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58" w:rsidRDefault="0032427E" w:rsidP="007E0A8B">
      <w:pPr>
        <w:pStyle w:val="a3"/>
        <w:spacing w:before="0" w:beforeAutospacing="0" w:after="0" w:afterAutospacing="0"/>
        <w:ind w:firstLine="567"/>
        <w:jc w:val="center"/>
      </w:pPr>
      <w:bookmarkStart w:id="0" w:name="_GoBack"/>
      <w:bookmarkEnd w:id="0"/>
      <w:r>
        <w:rPr>
          <w:noProof/>
          <w:lang w:val="en-US" w:eastAsia="en-US"/>
        </w:rPr>
        <w:drawing>
          <wp:inline distT="0" distB="0" distL="0" distR="0">
            <wp:extent cx="666750" cy="914400"/>
            <wp:effectExtent l="0" t="0" r="0" b="0"/>
            <wp:docPr id="1" name="Рисунок 1" descr="C:\Users\ninel.chernomorchen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el.chernomorchen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C47358" w:rsidRDefault="0032427E" w:rsidP="007E0A8B">
      <w:pPr>
        <w:pStyle w:val="2"/>
        <w:spacing w:before="0" w:beforeAutospacing="0" w:after="0" w:afterAutospacing="0"/>
        <w:ind w:firstLine="567"/>
        <w:jc w:val="center"/>
        <w:rPr>
          <w:rFonts w:eastAsia="Times New Roman"/>
        </w:rPr>
      </w:pPr>
      <w:r>
        <w:rPr>
          <w:rFonts w:eastAsia="Times New Roman"/>
        </w:rPr>
        <w:t>НАЦІОНАЛЬНА КОМІСІЯ З ЦІННИХ ПАПЕРІВ ТА ФОНДОВОГО РИНКУ</w:t>
      </w:r>
    </w:p>
    <w:p w:rsidR="00C47358" w:rsidRDefault="0032427E" w:rsidP="007E0A8B">
      <w:pPr>
        <w:pStyle w:val="2"/>
        <w:spacing w:before="0" w:beforeAutospacing="0" w:after="0" w:afterAutospacing="0"/>
        <w:ind w:firstLine="567"/>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C47358">
        <w:trPr>
          <w:tblCellSpacing w:w="22" w:type="dxa"/>
        </w:trPr>
        <w:tc>
          <w:tcPr>
            <w:tcW w:w="1750" w:type="pct"/>
            <w:hideMark/>
          </w:tcPr>
          <w:p w:rsidR="00C47358" w:rsidRDefault="0032427E" w:rsidP="007E0A8B">
            <w:pPr>
              <w:pStyle w:val="a3"/>
              <w:spacing w:before="0" w:beforeAutospacing="0" w:after="0" w:afterAutospacing="0"/>
              <w:ind w:firstLine="567"/>
              <w:jc w:val="center"/>
            </w:pPr>
            <w:r>
              <w:rPr>
                <w:b/>
                <w:bCs/>
              </w:rPr>
              <w:t>28.05.2013</w:t>
            </w:r>
          </w:p>
        </w:tc>
        <w:tc>
          <w:tcPr>
            <w:tcW w:w="1500" w:type="pct"/>
            <w:hideMark/>
          </w:tcPr>
          <w:p w:rsidR="00C47358" w:rsidRDefault="0032427E" w:rsidP="007E0A8B">
            <w:pPr>
              <w:pStyle w:val="a3"/>
              <w:spacing w:before="0" w:beforeAutospacing="0" w:after="0" w:afterAutospacing="0"/>
              <w:ind w:firstLine="567"/>
              <w:jc w:val="center"/>
            </w:pPr>
            <w:r>
              <w:rPr>
                <w:b/>
                <w:bCs/>
              </w:rPr>
              <w:t>м. Київ</w:t>
            </w:r>
          </w:p>
        </w:tc>
        <w:tc>
          <w:tcPr>
            <w:tcW w:w="1750" w:type="pct"/>
            <w:hideMark/>
          </w:tcPr>
          <w:p w:rsidR="00C47358" w:rsidRDefault="0032427E" w:rsidP="007E0A8B">
            <w:pPr>
              <w:pStyle w:val="a3"/>
              <w:spacing w:before="0" w:beforeAutospacing="0" w:after="0" w:afterAutospacing="0"/>
              <w:ind w:firstLine="567"/>
              <w:jc w:val="center"/>
            </w:pPr>
            <w:r>
              <w:rPr>
                <w:b/>
                <w:bCs/>
              </w:rPr>
              <w:t>N 894</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center"/>
      </w:pPr>
      <w:r>
        <w:rPr>
          <w:b/>
          <w:bCs/>
        </w:rPr>
        <w:t>Зареєстровано в Міністерстві юстиції України</w:t>
      </w:r>
      <w:r>
        <w:br/>
      </w:r>
      <w:r>
        <w:rPr>
          <w:b/>
          <w:bCs/>
        </w:rPr>
        <w:t>17 червня 2013 р. за N 975/23507</w:t>
      </w:r>
    </w:p>
    <w:p w:rsidR="00C47358" w:rsidRDefault="0032427E" w:rsidP="007E0A8B">
      <w:pPr>
        <w:pStyle w:val="2"/>
        <w:spacing w:before="0" w:beforeAutospacing="0" w:after="0" w:afterAutospacing="0"/>
        <w:ind w:firstLine="567"/>
        <w:jc w:val="center"/>
        <w:rPr>
          <w:rFonts w:eastAsia="Times New Roman"/>
        </w:rPr>
      </w:pPr>
      <w:r>
        <w:rPr>
          <w:rFonts w:eastAsia="Times New Roman"/>
        </w:rPr>
        <w:t>Про затвердження Положення про порядок звітування Центральним депозитарієм цінних паперів до Національної комісії з цінних паперів та фондового ринку</w:t>
      </w:r>
    </w:p>
    <w:p w:rsidR="00C47358" w:rsidRDefault="0032427E" w:rsidP="007E0A8B">
      <w:pPr>
        <w:pStyle w:val="a3"/>
        <w:spacing w:before="0" w:beforeAutospacing="0" w:after="0" w:afterAutospacing="0"/>
        <w:ind w:firstLine="567"/>
        <w:jc w:val="center"/>
      </w:pPr>
      <w:r>
        <w:t>Із змінами і доповненнями, внесеними</w:t>
      </w:r>
      <w:r>
        <w:br/>
        <w:t> рішеннями Національної комісії з цінних паперів та фондового ринку</w:t>
      </w:r>
      <w:r>
        <w:br/>
        <w:t> від 26 листопада 2015 року N 1920,</w:t>
      </w:r>
      <w:r>
        <w:br/>
        <w:t> від 26 квітня 2016 року N 497,</w:t>
      </w:r>
      <w:r>
        <w:br/>
        <w:t> від 10 січня 2017 року N 1,</w:t>
      </w:r>
      <w:r>
        <w:br/>
        <w:t>від 1 лютого 2018 року N 58,</w:t>
      </w:r>
      <w:r>
        <w:br/>
        <w:t>від 28 грудня 2018 року N 940,</w:t>
      </w:r>
      <w:r>
        <w:br/>
        <w:t>від 14 листопада 2019 року N 689</w:t>
      </w:r>
    </w:p>
    <w:p w:rsidR="00C47358" w:rsidRDefault="0032427E" w:rsidP="007E0A8B">
      <w:pPr>
        <w:pStyle w:val="a3"/>
        <w:spacing w:before="0" w:beforeAutospacing="0" w:after="0" w:afterAutospacing="0"/>
        <w:ind w:firstLine="567"/>
        <w:jc w:val="both"/>
      </w:pPr>
      <w:r>
        <w:t xml:space="preserve">Відповідно до абзацу шостого </w:t>
      </w:r>
      <w:r>
        <w:rPr>
          <w:color w:val="0000FF"/>
        </w:rPr>
        <w:t>пункту 2 статті 28 розділу V Закону України "Про депозитарну систему України"</w:t>
      </w:r>
      <w:r>
        <w:t xml:space="preserve"> та </w:t>
      </w:r>
      <w:r>
        <w:rPr>
          <w:color w:val="0000FF"/>
        </w:rPr>
        <w:t>пункту 10 частини другої статті 7</w:t>
      </w:r>
      <w:r>
        <w:t xml:space="preserve"> та </w:t>
      </w:r>
      <w:r>
        <w:rPr>
          <w:color w:val="0000FF"/>
        </w:rPr>
        <w:t>пункту 13 статті 8 Закону України "Про державне регулювання ринку цінних паперів в Україні"</w:t>
      </w:r>
      <w:r>
        <w:t xml:space="preserve"> Національна комісія з цінних паперів та фондового ринку</w:t>
      </w:r>
    </w:p>
    <w:p w:rsidR="00C47358" w:rsidRDefault="0032427E" w:rsidP="007E0A8B">
      <w:pPr>
        <w:pStyle w:val="a3"/>
        <w:spacing w:before="0" w:beforeAutospacing="0" w:after="0" w:afterAutospacing="0"/>
        <w:ind w:firstLine="567"/>
        <w:jc w:val="both"/>
      </w:pPr>
      <w:r>
        <w:rPr>
          <w:b/>
          <w:bCs/>
        </w:rPr>
        <w:t>ВИРІШИЛА:</w:t>
      </w:r>
    </w:p>
    <w:p w:rsidR="00C47358" w:rsidRDefault="0032427E" w:rsidP="007E0A8B">
      <w:pPr>
        <w:pStyle w:val="a3"/>
        <w:spacing w:before="0" w:beforeAutospacing="0" w:after="0" w:afterAutospacing="0"/>
        <w:ind w:firstLine="567"/>
        <w:jc w:val="both"/>
      </w:pPr>
      <w:r>
        <w:t>1. Затвердити Положення про порядок звітування Центральним депозитарієм цінних паперів до Національної комісії з цінних паперів та фондового ринку, що додається.</w:t>
      </w:r>
    </w:p>
    <w:p w:rsidR="00C47358" w:rsidRDefault="0032427E" w:rsidP="007E0A8B">
      <w:pPr>
        <w:pStyle w:val="a3"/>
        <w:spacing w:before="0" w:beforeAutospacing="0" w:after="0" w:afterAutospacing="0"/>
        <w:ind w:firstLine="567"/>
        <w:jc w:val="both"/>
      </w:pPr>
      <w:r>
        <w:t>2. Департаменту регулювання депозитарної та розрахунково-клірингової діяльності (І. Курочкіна) забезпечити:</w:t>
      </w:r>
    </w:p>
    <w:p w:rsidR="00C47358" w:rsidRDefault="0032427E" w:rsidP="007E0A8B">
      <w:pPr>
        <w:pStyle w:val="a3"/>
        <w:spacing w:before="0" w:beforeAutospacing="0" w:after="0" w:afterAutospacing="0"/>
        <w:ind w:firstLine="567"/>
        <w:jc w:val="both"/>
      </w:pPr>
      <w:r>
        <w:t xml:space="preserve">подання цього рішення для здійснення експертизи на відповідність </w:t>
      </w:r>
      <w:r>
        <w:rPr>
          <w:color w:val="0000FF"/>
        </w:rPr>
        <w:t>Конвенції про захист прав людини і основоположних свобод</w:t>
      </w:r>
      <w:r>
        <w:t xml:space="preserve"> до Секретаріату Урядового уповноваженого у справах Європейського суду з прав людини Міністерства юстиції України;</w:t>
      </w:r>
    </w:p>
    <w:p w:rsidR="00C47358" w:rsidRDefault="0032427E" w:rsidP="007E0A8B">
      <w:pPr>
        <w:pStyle w:val="a3"/>
        <w:spacing w:before="0" w:beforeAutospacing="0" w:after="0" w:afterAutospacing="0"/>
        <w:ind w:firstLine="567"/>
        <w:jc w:val="both"/>
      </w:pPr>
      <w:r>
        <w:t>подання цього рішення на державну реєстрацію до Міністерства юстиції України.</w:t>
      </w:r>
    </w:p>
    <w:p w:rsidR="00C47358" w:rsidRDefault="0032427E" w:rsidP="007E0A8B">
      <w:pPr>
        <w:pStyle w:val="a3"/>
        <w:spacing w:before="0" w:beforeAutospacing="0" w:after="0" w:afterAutospacing="0"/>
        <w:ind w:firstLine="567"/>
        <w:jc w:val="both"/>
      </w:pPr>
      <w:r>
        <w:t>3. Управлінню інформаційних технологій, зовнішніх та внутрішніх комунікацій (А. Заїка) забезпечити опублікування цього рішення відповідно до законодавства.</w:t>
      </w:r>
    </w:p>
    <w:p w:rsidR="00C47358" w:rsidRDefault="0032427E" w:rsidP="007E0A8B">
      <w:pPr>
        <w:pStyle w:val="a3"/>
        <w:spacing w:before="0" w:beforeAutospacing="0" w:after="0" w:afterAutospacing="0"/>
        <w:ind w:firstLine="567"/>
        <w:jc w:val="both"/>
      </w:pPr>
      <w:r>
        <w:t xml:space="preserve">4. Це рішення набирає чинності з дня його офіційного опублікування, але не раніше набрання чинності </w:t>
      </w:r>
      <w:r>
        <w:rPr>
          <w:color w:val="0000FF"/>
        </w:rPr>
        <w:t>Законом України "Про депозитарну систему України"</w:t>
      </w:r>
      <w:r>
        <w:t>.</w:t>
      </w:r>
    </w:p>
    <w:p w:rsidR="00C47358" w:rsidRDefault="0032427E" w:rsidP="007E0A8B">
      <w:pPr>
        <w:pStyle w:val="a3"/>
        <w:spacing w:before="0" w:beforeAutospacing="0" w:after="0" w:afterAutospacing="0"/>
        <w:ind w:firstLine="567"/>
        <w:jc w:val="both"/>
      </w:pPr>
      <w:r>
        <w:t>5. Контроль за виконанням цього рішення покласти на члена Комісії К. Кривенка.</w:t>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hideMark/>
          </w:tcPr>
          <w:p w:rsidR="00C47358" w:rsidRDefault="0032427E" w:rsidP="007E0A8B">
            <w:pPr>
              <w:pStyle w:val="a3"/>
              <w:spacing w:before="0" w:beforeAutospacing="0" w:after="0" w:afterAutospacing="0"/>
              <w:ind w:firstLine="567"/>
              <w:jc w:val="center"/>
            </w:pPr>
            <w:r>
              <w:rPr>
                <w:b/>
                <w:bCs/>
              </w:rPr>
              <w:t>Голова Комісії</w:t>
            </w:r>
          </w:p>
        </w:tc>
        <w:tc>
          <w:tcPr>
            <w:tcW w:w="2500" w:type="pct"/>
            <w:hideMark/>
          </w:tcPr>
          <w:p w:rsidR="00C47358" w:rsidRDefault="0032427E" w:rsidP="007E0A8B">
            <w:pPr>
              <w:pStyle w:val="a3"/>
              <w:spacing w:before="0" w:beforeAutospacing="0" w:after="0" w:afterAutospacing="0"/>
              <w:ind w:firstLine="567"/>
              <w:jc w:val="center"/>
            </w:pPr>
            <w:r>
              <w:rPr>
                <w:b/>
                <w:bCs/>
              </w:rPr>
              <w:t>Д. Тевелєв</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Протокол засідання Комісії</w:t>
            </w:r>
            <w:r>
              <w:br/>
              <w:t>від 28 травня 2013 р. N 26</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ЗАТВЕРДЖЕНО</w:t>
            </w:r>
            <w:r>
              <w:br/>
              <w:t>Рішення Національної комісії з цінних паперів та фондового ринку</w:t>
            </w:r>
            <w:r>
              <w:br/>
              <w:t>28.05.2013 N 894</w:t>
            </w:r>
          </w:p>
          <w:p w:rsidR="00C47358" w:rsidRDefault="0032427E" w:rsidP="007E0A8B">
            <w:pPr>
              <w:pStyle w:val="a3"/>
              <w:spacing w:before="0" w:beforeAutospacing="0" w:after="0" w:afterAutospacing="0"/>
              <w:ind w:firstLine="567"/>
            </w:pPr>
            <w:r>
              <w:t>Зареєстровано</w:t>
            </w:r>
            <w:r>
              <w:br/>
              <w:t>в Міністерстві юстиції України</w:t>
            </w:r>
            <w:r>
              <w:br/>
              <w:t>17 червня 2013 р. за N 975/23507</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ПОЛОЖЕННЯ</w:t>
      </w:r>
      <w:r>
        <w:rPr>
          <w:rFonts w:eastAsia="Times New Roman"/>
        </w:rPr>
        <w:br/>
        <w:t>про порядок звітування Центральним депозитарієм цінних паперів до Національної комісії з цінних паперів та фондового ринку</w:t>
      </w:r>
    </w:p>
    <w:p w:rsidR="00C47358" w:rsidRDefault="0032427E" w:rsidP="007E0A8B">
      <w:pPr>
        <w:pStyle w:val="3"/>
        <w:spacing w:before="0" w:beforeAutospacing="0" w:after="0" w:afterAutospacing="0"/>
        <w:ind w:firstLine="567"/>
        <w:jc w:val="center"/>
        <w:rPr>
          <w:rFonts w:eastAsia="Times New Roman"/>
        </w:rPr>
      </w:pPr>
      <w:r>
        <w:rPr>
          <w:rFonts w:eastAsia="Times New Roman"/>
        </w:rPr>
        <w:t>I. Загальні положення</w:t>
      </w:r>
    </w:p>
    <w:p w:rsidR="00C47358" w:rsidRDefault="0032427E" w:rsidP="007E0A8B">
      <w:pPr>
        <w:pStyle w:val="a3"/>
        <w:spacing w:before="0" w:beforeAutospacing="0" w:after="0" w:afterAutospacing="0"/>
        <w:ind w:firstLine="567"/>
        <w:jc w:val="both"/>
      </w:pPr>
      <w:r>
        <w:t>1. Це Положення визначає порядок звітування Центральним депозитарієм цінних паперів (далі - Центральний депозитарій) до Національної комісії з цінних паперів та фондового ринку (далі - Комісія), а саме: порядок складання, строки подання адміністративних даних (далі - Дані) про депозитарну діяльність Центрального депозитарію.</w:t>
      </w:r>
    </w:p>
    <w:p w:rsidR="00C47358" w:rsidRDefault="0032427E" w:rsidP="007E0A8B">
      <w:pPr>
        <w:pStyle w:val="a3"/>
        <w:spacing w:before="0" w:beforeAutospacing="0" w:after="0" w:afterAutospacing="0"/>
        <w:ind w:firstLine="567"/>
        <w:jc w:val="both"/>
      </w:pPr>
      <w:r>
        <w:t>2. У цьому Положенні терміни вживаються у такому значенні:</w:t>
      </w:r>
    </w:p>
    <w:p w:rsidR="00C47358" w:rsidRDefault="0032427E" w:rsidP="007E0A8B">
      <w:pPr>
        <w:pStyle w:val="a3"/>
        <w:spacing w:before="0" w:beforeAutospacing="0" w:after="0" w:afterAutospacing="0"/>
        <w:ind w:firstLine="567"/>
        <w:jc w:val="both"/>
      </w:pPr>
      <w:r>
        <w:t>дата виникнення нерегулярних Даних - дата, яка виникає у випадках, визначених пунктом 2 розділу III цього Положення;</w:t>
      </w:r>
    </w:p>
    <w:p w:rsidR="00C47358" w:rsidRDefault="0032427E" w:rsidP="007E0A8B">
      <w:pPr>
        <w:pStyle w:val="a3"/>
        <w:spacing w:before="0" w:beforeAutospacing="0" w:after="0" w:afterAutospacing="0"/>
        <w:ind w:firstLine="567"/>
        <w:jc w:val="both"/>
      </w:pPr>
      <w:r>
        <w:t>нерегулярні Дані - Дані, визначені пунктом 4 розділу II цього Положення;</w:t>
      </w:r>
    </w:p>
    <w:p w:rsidR="00C47358" w:rsidRDefault="0032427E" w:rsidP="007E0A8B">
      <w:pPr>
        <w:pStyle w:val="a3"/>
        <w:spacing w:before="0" w:beforeAutospacing="0" w:after="0" w:afterAutospacing="0"/>
        <w:ind w:firstLine="567"/>
        <w:jc w:val="both"/>
      </w:pPr>
      <w:r>
        <w:t xml:space="preserve">термін "депозитарій-кореспондент" вживається в цьому Положенні у значенні, визначеному у </w:t>
      </w:r>
      <w:r>
        <w:rPr>
          <w:color w:val="0000FF"/>
        </w:rPr>
        <w:t>Законі України "Про депозитарну систему України"</w:t>
      </w:r>
      <w:r>
        <w:t>;</w:t>
      </w:r>
    </w:p>
    <w:p w:rsidR="00C47358" w:rsidRDefault="0032427E" w:rsidP="007E0A8B">
      <w:pPr>
        <w:pStyle w:val="a3"/>
        <w:spacing w:before="0" w:beforeAutospacing="0" w:after="0" w:afterAutospacing="0"/>
        <w:ind w:firstLine="567"/>
        <w:jc w:val="both"/>
      </w:pPr>
      <w:r>
        <w:t>терміни "облікова операція" та "адміністративна операція" вживаються в цьому Положенні у значеннях, визначених у нормативно-правовому акті Комісії, що регулює провадження депозитарної діяльності.</w:t>
      </w:r>
    </w:p>
    <w:p w:rsidR="00C47358" w:rsidRDefault="0032427E" w:rsidP="007E0A8B">
      <w:pPr>
        <w:pStyle w:val="a3"/>
        <w:spacing w:before="0" w:beforeAutospacing="0" w:after="0" w:afterAutospacing="0"/>
        <w:ind w:firstLine="567"/>
        <w:jc w:val="both"/>
      </w:pPr>
      <w:r>
        <w:t>3. Дані Центрального депозитарію подаються до центрального апарату Комісії відповідно до нормативно-правових актів Комісії, що регулюють подання адміністративних даних та інформації у вигляді електронних документів до Комісії.</w:t>
      </w:r>
    </w:p>
    <w:p w:rsidR="00C47358" w:rsidRDefault="0032427E" w:rsidP="007E0A8B">
      <w:pPr>
        <w:pStyle w:val="a3"/>
        <w:spacing w:before="0" w:beforeAutospacing="0" w:after="0" w:afterAutospacing="0"/>
        <w:ind w:firstLine="567"/>
        <w:jc w:val="both"/>
      </w:pPr>
      <w:r>
        <w:t>4. Щоденні Дані за одну дату подаються один раз протягом робочого дня. Нерегулярні Дані, складені за окремою довідкою, за одну дату подаються один раз протягом робочого дня.</w:t>
      </w:r>
    </w:p>
    <w:p w:rsidR="00C47358" w:rsidRDefault="0032427E" w:rsidP="007E0A8B">
      <w:pPr>
        <w:pStyle w:val="a3"/>
        <w:spacing w:before="0" w:beforeAutospacing="0" w:after="0" w:afterAutospacing="0"/>
        <w:ind w:firstLine="567"/>
        <w:jc w:val="both"/>
      </w:pPr>
      <w:r>
        <w:t>5. Дані подаються до Комісії в обсязі, що встановлений цим Положенням, не пізніше строків, визначених у пункті 1 розділу III цього Положення.</w:t>
      </w:r>
    </w:p>
    <w:p w:rsidR="00C47358" w:rsidRDefault="0032427E" w:rsidP="007E0A8B">
      <w:pPr>
        <w:pStyle w:val="a3"/>
        <w:spacing w:before="0" w:beforeAutospacing="0" w:after="0" w:afterAutospacing="0"/>
        <w:ind w:firstLine="567"/>
        <w:jc w:val="both"/>
      </w:pPr>
      <w:r>
        <w:t>Дані повинні містити всі визначені цим Положенням довідки. Усі довідки Даних мають бути заповнені, містити достовірну та повну інформацію. Інформація в довідках повинна бути заповнена відповідно до додатків 1 - 21 до цього Положення.</w:t>
      </w:r>
    </w:p>
    <w:p w:rsidR="00C47358" w:rsidRDefault="0032427E" w:rsidP="007E0A8B">
      <w:pPr>
        <w:pStyle w:val="a3"/>
        <w:spacing w:before="0" w:beforeAutospacing="0" w:after="0" w:afterAutospacing="0"/>
        <w:ind w:firstLine="567"/>
        <w:jc w:val="right"/>
      </w:pPr>
      <w:r>
        <w:t>(абзац другий пункту 5 розділу І із змінами, внесеними згідно з</w:t>
      </w:r>
      <w:r>
        <w:br/>
        <w:t> рішенням Національної комісії з цінних паперів та фондового ринку</w:t>
      </w:r>
      <w:r>
        <w:br/>
        <w:t> від 26.04.2016 р. N 497)</w:t>
      </w:r>
    </w:p>
    <w:p w:rsidR="00C47358" w:rsidRDefault="0032427E" w:rsidP="007E0A8B">
      <w:pPr>
        <w:pStyle w:val="a3"/>
        <w:spacing w:before="0" w:beforeAutospacing="0" w:after="0" w:afterAutospacing="0"/>
        <w:ind w:firstLine="567"/>
        <w:jc w:val="both"/>
      </w:pPr>
      <w:r>
        <w:t xml:space="preserve">6. Дані Центрального депозитарію складаються з використанням Системи довідників та класифікаторів Національної комісії з цінних паперів та фондового ринку, затвердженої </w:t>
      </w:r>
      <w:r>
        <w:rPr>
          <w:color w:val="0000FF"/>
        </w:rPr>
        <w:t>рішенням Комісії від 08 травня 2012 року N 646</w:t>
      </w:r>
      <w:r>
        <w:t>, зареєстрованої в Міністерстві юстиції України 25 травня 2012 року за N 831/21143 (зі змінами) (далі - Система довідників та класифікаторів).</w:t>
      </w:r>
    </w:p>
    <w:p w:rsidR="00C47358" w:rsidRDefault="0032427E" w:rsidP="007E0A8B">
      <w:pPr>
        <w:pStyle w:val="a3"/>
        <w:spacing w:before="0" w:beforeAutospacing="0" w:after="0" w:afterAutospacing="0"/>
        <w:ind w:firstLine="567"/>
        <w:jc w:val="both"/>
      </w:pPr>
      <w:r>
        <w:t xml:space="preserve">7. Розрахунок Центральним депозитарієм </w:t>
      </w:r>
      <w:proofErr w:type="spellStart"/>
      <w:r>
        <w:t>пруденційних</w:t>
      </w:r>
      <w:proofErr w:type="spellEnd"/>
      <w:r>
        <w:t xml:space="preserve"> нормативів здійснюється в порядку та з періодичністю, встановленими нормативно-правовим актом Комісії, що визначає порядок та періодичність розрахунку </w:t>
      </w:r>
      <w:proofErr w:type="spellStart"/>
      <w:r>
        <w:t>пруденційних</w:t>
      </w:r>
      <w:proofErr w:type="spellEnd"/>
      <w:r>
        <w:t xml:space="preserve"> нормативів при провадженні депозитарної діяльності.</w:t>
      </w:r>
    </w:p>
    <w:p w:rsidR="00C47358" w:rsidRDefault="0032427E" w:rsidP="007E0A8B">
      <w:pPr>
        <w:pStyle w:val="a3"/>
        <w:spacing w:before="0" w:beforeAutospacing="0" w:after="0" w:afterAutospacing="0"/>
        <w:ind w:firstLine="567"/>
        <w:jc w:val="right"/>
      </w:pPr>
      <w:r>
        <w:t>(пункт 7 розділу І у редакції рішення Національної комісії з</w:t>
      </w:r>
      <w:r>
        <w:br/>
        <w:t> цінних паперів та фондового ринку від 26.11.2015 р. N 1920)</w:t>
      </w:r>
    </w:p>
    <w:p w:rsidR="00C47358" w:rsidRDefault="0032427E" w:rsidP="007E0A8B">
      <w:pPr>
        <w:pStyle w:val="a3"/>
        <w:spacing w:before="0" w:beforeAutospacing="0" w:after="0" w:afterAutospacing="0"/>
        <w:ind w:firstLine="567"/>
        <w:jc w:val="both"/>
      </w:pPr>
      <w:r>
        <w:t>8. На письмову вимогу уповноваженої особи Комісії Центральний депозитарій зобов'язаний подати Дані відповідно до цього Положення в паперовій формі.</w:t>
      </w:r>
    </w:p>
    <w:p w:rsidR="00C47358" w:rsidRDefault="0032427E" w:rsidP="007E0A8B">
      <w:pPr>
        <w:pStyle w:val="a3"/>
        <w:spacing w:before="0" w:beforeAutospacing="0" w:after="0" w:afterAutospacing="0"/>
        <w:ind w:firstLine="567"/>
        <w:jc w:val="both"/>
      </w:pPr>
      <w:r>
        <w:lastRenderedPageBreak/>
        <w:t>У разі якщо паперова форма Даних нараховує більше одного аркуша, такі Дані мають бути прошнуровані, аркуші пронумеровані та скріплені відбитком печатки Центрального депозитарію та підписом уповноваженої особи Центрального депозитарію. На зворотному боці останнього аркуша робиться такий напис: "Прошнуровано, пронумеровано та скріплено відбитком печатки Центрального депозитарію та підписом уповноваженої особи Центрального депозитарію (кількість) аркушів".</w:t>
      </w:r>
    </w:p>
    <w:p w:rsidR="00C47358" w:rsidRDefault="0032427E" w:rsidP="007E0A8B">
      <w:pPr>
        <w:pStyle w:val="a3"/>
        <w:spacing w:before="0" w:beforeAutospacing="0" w:after="0" w:afterAutospacing="0"/>
        <w:ind w:firstLine="567"/>
        <w:jc w:val="both"/>
      </w:pPr>
      <w:r>
        <w:t>9. Електронна форма Даних Центрального депозитарію складається відповідно до опису розділів та схем XML файлів, визначених окремим документом нормативно-технічного характеру.</w:t>
      </w:r>
    </w:p>
    <w:p w:rsidR="00C47358" w:rsidRDefault="0032427E" w:rsidP="007E0A8B">
      <w:pPr>
        <w:pStyle w:val="a3"/>
        <w:spacing w:before="0" w:beforeAutospacing="0" w:after="0" w:afterAutospacing="0"/>
        <w:ind w:firstLine="567"/>
        <w:jc w:val="both"/>
      </w:pPr>
      <w:r>
        <w:t>10. У разі наявності інформації, яка необхідна для повного і всебічного розуміння конкретних умов діяльності Центрального депозитарію, Центральний депозитарій наводить її у примітках до довідки.</w:t>
      </w:r>
    </w:p>
    <w:p w:rsidR="00C47358" w:rsidRDefault="0032427E" w:rsidP="007E0A8B">
      <w:pPr>
        <w:pStyle w:val="3"/>
        <w:spacing w:before="0" w:beforeAutospacing="0" w:after="0" w:afterAutospacing="0"/>
        <w:ind w:firstLine="567"/>
        <w:jc w:val="center"/>
        <w:rPr>
          <w:rFonts w:eastAsia="Times New Roman"/>
        </w:rPr>
      </w:pPr>
      <w:r>
        <w:rPr>
          <w:rFonts w:eastAsia="Times New Roman"/>
        </w:rPr>
        <w:t>II. Склад Даних</w:t>
      </w:r>
    </w:p>
    <w:p w:rsidR="00C47358" w:rsidRDefault="0032427E" w:rsidP="007E0A8B">
      <w:pPr>
        <w:pStyle w:val="a3"/>
        <w:spacing w:before="0" w:beforeAutospacing="0" w:after="0" w:afterAutospacing="0"/>
        <w:ind w:firstLine="567"/>
        <w:jc w:val="both"/>
      </w:pPr>
      <w:r>
        <w:t>1. Дані, які складаються та подаються до Комісії:</w:t>
      </w:r>
    </w:p>
    <w:p w:rsidR="00C47358" w:rsidRDefault="0032427E" w:rsidP="007E0A8B">
      <w:pPr>
        <w:pStyle w:val="a3"/>
        <w:spacing w:before="0" w:beforeAutospacing="0" w:after="0" w:afterAutospacing="0"/>
        <w:ind w:firstLine="567"/>
        <w:jc w:val="both"/>
      </w:pPr>
      <w:r>
        <w:t>щоденні;</w:t>
      </w:r>
    </w:p>
    <w:p w:rsidR="00C47358" w:rsidRDefault="0032427E" w:rsidP="007E0A8B">
      <w:pPr>
        <w:pStyle w:val="a3"/>
        <w:spacing w:before="0" w:beforeAutospacing="0" w:after="0" w:afterAutospacing="0"/>
        <w:ind w:firstLine="567"/>
        <w:jc w:val="both"/>
      </w:pPr>
      <w:r>
        <w:t xml:space="preserve">щомісячні; </w:t>
      </w:r>
    </w:p>
    <w:p w:rsidR="00C47358" w:rsidRDefault="0032427E" w:rsidP="007E0A8B">
      <w:pPr>
        <w:pStyle w:val="a3"/>
        <w:spacing w:before="0" w:beforeAutospacing="0" w:after="0" w:afterAutospacing="0"/>
        <w:ind w:firstLine="567"/>
        <w:jc w:val="right"/>
      </w:pPr>
      <w:r>
        <w:t>(абзац третій пункту 1 розділу ІІ у редакції рішень Національної</w:t>
      </w:r>
      <w:r>
        <w:br/>
        <w:t> комісії з цінних паперів та фондового ринку від 26.11.2015 р. N 1920,</w:t>
      </w:r>
      <w:r>
        <w:br/>
        <w:t> від 26.04.2016 р. N 497)</w:t>
      </w:r>
    </w:p>
    <w:p w:rsidR="00C47358" w:rsidRDefault="0032427E" w:rsidP="007E0A8B">
      <w:pPr>
        <w:pStyle w:val="a3"/>
        <w:spacing w:before="0" w:beforeAutospacing="0" w:after="0" w:afterAutospacing="0"/>
        <w:ind w:firstLine="567"/>
        <w:jc w:val="both"/>
      </w:pPr>
      <w:r>
        <w:t>щоквартальні;</w:t>
      </w:r>
    </w:p>
    <w:p w:rsidR="00C47358" w:rsidRDefault="0032427E" w:rsidP="007E0A8B">
      <w:pPr>
        <w:pStyle w:val="a3"/>
        <w:spacing w:before="0" w:beforeAutospacing="0" w:after="0" w:afterAutospacing="0"/>
        <w:ind w:firstLine="567"/>
        <w:jc w:val="right"/>
      </w:pPr>
      <w:r>
        <w:t>(абзац четвертий пункту 1 розділу ІІ у редакції рішень Національної</w:t>
      </w:r>
      <w:r>
        <w:br/>
        <w:t> комісії з цінних паперів та фондового ринку від 26.11.2015 р. N 1920,</w:t>
      </w:r>
      <w:r>
        <w:br/>
        <w:t> від 26.04.2016 р. N 497)</w:t>
      </w:r>
    </w:p>
    <w:p w:rsidR="00C47358" w:rsidRDefault="0032427E" w:rsidP="007E0A8B">
      <w:pPr>
        <w:pStyle w:val="a3"/>
        <w:spacing w:before="0" w:beforeAutospacing="0" w:after="0" w:afterAutospacing="0"/>
        <w:ind w:firstLine="567"/>
        <w:jc w:val="both"/>
      </w:pPr>
      <w:r>
        <w:t>нерегулярні.</w:t>
      </w:r>
    </w:p>
    <w:p w:rsidR="00C47358" w:rsidRDefault="0032427E" w:rsidP="007E0A8B">
      <w:pPr>
        <w:pStyle w:val="a3"/>
        <w:spacing w:before="0" w:beforeAutospacing="0" w:after="0" w:afterAutospacing="0"/>
        <w:ind w:firstLine="567"/>
        <w:jc w:val="both"/>
      </w:pPr>
      <w:r>
        <w:t>2. Щоденні Дані Центрального депозитарію складаються з довідки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 (додаток 1).</w:t>
      </w:r>
    </w:p>
    <w:p w:rsidR="00C47358" w:rsidRDefault="0032427E" w:rsidP="007E0A8B">
      <w:pPr>
        <w:pStyle w:val="a3"/>
        <w:spacing w:before="0" w:beforeAutospacing="0" w:after="0" w:afterAutospacing="0"/>
        <w:ind w:firstLine="567"/>
        <w:jc w:val="right"/>
      </w:pPr>
      <w:r>
        <w:t>(пункт 2 розділу ІІ у редакції рішень Національної комісії з</w:t>
      </w:r>
      <w:r>
        <w:br/>
        <w:t> цінних паперів та фондового ринку від 26.04.2016 р. N 497,</w:t>
      </w:r>
      <w:r>
        <w:br/>
        <w:t>від 14.11.2019 р. N 689)</w:t>
      </w:r>
    </w:p>
    <w:p w:rsidR="00C47358" w:rsidRDefault="0032427E" w:rsidP="007E0A8B">
      <w:pPr>
        <w:pStyle w:val="a3"/>
        <w:spacing w:before="0" w:beforeAutospacing="0" w:after="0" w:afterAutospacing="0"/>
        <w:ind w:firstLine="567"/>
        <w:jc w:val="both"/>
      </w:pPr>
      <w:r>
        <w:t>3. Щомісячні Дані Центрального депозитарію складаються з:</w:t>
      </w:r>
    </w:p>
    <w:p w:rsidR="00C47358" w:rsidRDefault="0032427E" w:rsidP="007E0A8B">
      <w:pPr>
        <w:pStyle w:val="a3"/>
        <w:spacing w:before="0" w:beforeAutospacing="0" w:after="0" w:afterAutospacing="0"/>
        <w:ind w:firstLine="567"/>
        <w:jc w:val="both"/>
      </w:pPr>
      <w:r>
        <w:t xml:space="preserve">1) довідки про </w:t>
      </w:r>
      <w:proofErr w:type="spellStart"/>
      <w:r>
        <w:t>пруденційні</w:t>
      </w:r>
      <w:proofErr w:type="spellEnd"/>
      <w:r>
        <w:t xml:space="preserve"> нормативи Центрального депозитарію (додаток 2);</w:t>
      </w:r>
    </w:p>
    <w:p w:rsidR="00C47358" w:rsidRDefault="0032427E" w:rsidP="007E0A8B">
      <w:pPr>
        <w:pStyle w:val="a3"/>
        <w:spacing w:before="0" w:beforeAutospacing="0" w:after="0" w:afterAutospacing="0"/>
        <w:ind w:firstLine="567"/>
        <w:jc w:val="right"/>
      </w:pPr>
      <w:r>
        <w:t>(підпункт 1 пункту 3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2) довідки про вихідні дані для розрахунку розміру власних коштів (додаток 3);</w:t>
      </w:r>
    </w:p>
    <w:p w:rsidR="00C47358" w:rsidRDefault="0032427E" w:rsidP="007E0A8B">
      <w:pPr>
        <w:pStyle w:val="a3"/>
        <w:spacing w:before="0" w:beforeAutospacing="0" w:after="0" w:afterAutospacing="0"/>
        <w:ind w:firstLine="567"/>
        <w:jc w:val="right"/>
      </w:pPr>
      <w:r>
        <w:t>(підпункт 2 пункту 3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3) довідки про вихідні дані для розрахунку фіксованих накладних витрат (додаток 4);</w:t>
      </w:r>
    </w:p>
    <w:p w:rsidR="00C47358" w:rsidRDefault="0032427E" w:rsidP="007E0A8B">
      <w:pPr>
        <w:pStyle w:val="a3"/>
        <w:spacing w:before="0" w:beforeAutospacing="0" w:after="0" w:afterAutospacing="0"/>
        <w:ind w:firstLine="567"/>
        <w:jc w:val="right"/>
      </w:pPr>
      <w:r>
        <w:t>(підпункт 3 пункту 3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4) довідки про вихідні дані для розрахунку нормативу достатності власних коштів та коефіцієнта покриття операційного ризику (додаток 5).</w:t>
      </w:r>
    </w:p>
    <w:p w:rsidR="00C47358" w:rsidRDefault="0032427E" w:rsidP="007E0A8B">
      <w:pPr>
        <w:pStyle w:val="a3"/>
        <w:spacing w:before="0" w:beforeAutospacing="0" w:after="0" w:afterAutospacing="0"/>
        <w:ind w:firstLine="567"/>
        <w:jc w:val="right"/>
      </w:pPr>
      <w:r>
        <w:t>(підпункт 4 пункту 3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right"/>
      </w:pPr>
      <w:r>
        <w:t>(пункт 3 розділу ІІ у редакції рішення Національної комісії з</w:t>
      </w:r>
      <w:r>
        <w:br/>
        <w:t> цінних паперів та фондового ринку від 26.11.2015 р. N 1920)</w:t>
      </w:r>
    </w:p>
    <w:p w:rsidR="00C47358" w:rsidRDefault="0032427E" w:rsidP="007E0A8B">
      <w:pPr>
        <w:pStyle w:val="a3"/>
        <w:spacing w:before="0" w:beforeAutospacing="0" w:after="0" w:afterAutospacing="0"/>
        <w:ind w:firstLine="567"/>
        <w:jc w:val="both"/>
      </w:pPr>
      <w:r>
        <w:t>4. Щоквартальні Дані Центрального депозитарію складаються з:</w:t>
      </w:r>
    </w:p>
    <w:p w:rsidR="00C47358" w:rsidRDefault="0032427E" w:rsidP="007E0A8B">
      <w:pPr>
        <w:pStyle w:val="a3"/>
        <w:spacing w:before="0" w:beforeAutospacing="0" w:after="0" w:afterAutospacing="0"/>
        <w:ind w:firstLine="567"/>
        <w:jc w:val="both"/>
      </w:pPr>
      <w:r>
        <w:t>1) довідки про адміністративні операції, здійснені Центральним депозитарієм (додаток 6);</w:t>
      </w:r>
    </w:p>
    <w:p w:rsidR="00C47358" w:rsidRDefault="0032427E" w:rsidP="007E0A8B">
      <w:pPr>
        <w:pStyle w:val="a3"/>
        <w:spacing w:before="0" w:beforeAutospacing="0" w:after="0" w:afterAutospacing="0"/>
        <w:ind w:firstLine="567"/>
        <w:jc w:val="right"/>
      </w:pPr>
      <w:r>
        <w:lastRenderedPageBreak/>
        <w:t>(підпункт 1 пункту 4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2) довідки про облікові операції, здійснені Центральним депозитарієм (додаток 7);</w:t>
      </w:r>
    </w:p>
    <w:p w:rsidR="00C47358" w:rsidRDefault="0032427E" w:rsidP="007E0A8B">
      <w:pPr>
        <w:pStyle w:val="a3"/>
        <w:spacing w:before="0" w:beforeAutospacing="0" w:after="0" w:afterAutospacing="0"/>
        <w:ind w:firstLine="567"/>
        <w:jc w:val="right"/>
      </w:pPr>
      <w:r>
        <w:t>(підпункт 2 пункту 4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3) підпункт 3 пункту 4 розділу II виключено</w:t>
      </w:r>
    </w:p>
    <w:p w:rsidR="00C47358" w:rsidRDefault="0032427E" w:rsidP="007E0A8B">
      <w:pPr>
        <w:pStyle w:val="a3"/>
        <w:spacing w:before="0" w:beforeAutospacing="0" w:after="0" w:afterAutospacing="0"/>
        <w:ind w:firstLine="567"/>
        <w:jc w:val="right"/>
      </w:pPr>
      <w:r>
        <w:t>(згідно з рішенням Національної комісії з цінних</w:t>
      </w:r>
      <w:r>
        <w:br/>
        <w:t> паперів та фондового ринку від 14.11.2019 р. N 689,</w:t>
      </w:r>
      <w:r>
        <w:br/>
        <w:t>у зв'язку з цим підпункти 4 - 9</w:t>
      </w:r>
      <w:r>
        <w:br/>
        <w:t> вважати відповідно підпунктами 3 - 8)</w:t>
      </w:r>
    </w:p>
    <w:p w:rsidR="00C47358" w:rsidRDefault="0032427E" w:rsidP="007E0A8B">
      <w:pPr>
        <w:pStyle w:val="a3"/>
        <w:spacing w:before="0" w:beforeAutospacing="0" w:after="0" w:afterAutospacing="0"/>
        <w:ind w:firstLine="567"/>
        <w:jc w:val="both"/>
      </w:pPr>
      <w:r>
        <w:t>3) довідки про цінні папери, які обслуговуються Центральним депозитарієм (додаток 8);</w:t>
      </w:r>
    </w:p>
    <w:p w:rsidR="00C47358" w:rsidRDefault="0032427E" w:rsidP="007E0A8B">
      <w:pPr>
        <w:pStyle w:val="a3"/>
        <w:spacing w:before="0" w:beforeAutospacing="0" w:after="0" w:afterAutospacing="0"/>
        <w:ind w:firstLine="567"/>
        <w:jc w:val="right"/>
      </w:pPr>
      <w:r>
        <w:t>(підпункт 3 пункту 4 розділу II у редакції рішення Національної</w:t>
      </w:r>
      <w:r>
        <w:br/>
        <w:t> комісії з цінних паперів та фондового ринку від 14.11.2019 р. N 689)</w:t>
      </w:r>
    </w:p>
    <w:p w:rsidR="00C47358" w:rsidRDefault="0032427E" w:rsidP="007E0A8B">
      <w:pPr>
        <w:pStyle w:val="a3"/>
        <w:spacing w:before="0" w:beforeAutospacing="0" w:after="0" w:afterAutospacing="0"/>
        <w:ind w:firstLine="567"/>
        <w:jc w:val="both"/>
      </w:pPr>
      <w:r>
        <w:t>4) підпункт 4 пункту 4 розділу II виключено</w:t>
      </w:r>
    </w:p>
    <w:p w:rsidR="00C47358" w:rsidRDefault="0032427E" w:rsidP="007E0A8B">
      <w:pPr>
        <w:pStyle w:val="a3"/>
        <w:spacing w:before="0" w:beforeAutospacing="0" w:after="0" w:afterAutospacing="0"/>
        <w:ind w:firstLine="567"/>
        <w:jc w:val="right"/>
      </w:pPr>
      <w:r>
        <w:t>(згідно з рішенням Національної комісії з цінних</w:t>
      </w:r>
      <w:r>
        <w:br/>
        <w:t> паперів та фондового ринку від 14.11.2019 р. N 689)</w:t>
      </w:r>
    </w:p>
    <w:p w:rsidR="00C47358" w:rsidRDefault="0032427E" w:rsidP="007E0A8B">
      <w:pPr>
        <w:pStyle w:val="a3"/>
        <w:spacing w:before="0" w:beforeAutospacing="0" w:after="0" w:afterAutospacing="0"/>
        <w:ind w:firstLine="567"/>
        <w:jc w:val="both"/>
      </w:pPr>
      <w:r>
        <w:t>5) підпункт 5 пункту 4 розділу II виключено</w:t>
      </w:r>
    </w:p>
    <w:p w:rsidR="00C47358" w:rsidRDefault="0032427E" w:rsidP="007E0A8B">
      <w:pPr>
        <w:pStyle w:val="a3"/>
        <w:spacing w:before="0" w:beforeAutospacing="0" w:after="0" w:afterAutospacing="0"/>
        <w:ind w:firstLine="567"/>
        <w:jc w:val="right"/>
      </w:pPr>
      <w:r>
        <w:t>(згідно з рішенням Національної комісії з цінних</w:t>
      </w:r>
      <w:r>
        <w:br/>
        <w:t> паперів та фондового ринку від 14.11.2019 р. N 689,</w:t>
      </w:r>
      <w:r>
        <w:br/>
        <w:t>у зв'язку з цим підпункти 6 - 8</w:t>
      </w:r>
      <w:r>
        <w:br/>
        <w:t> вважати відповідно підпунктами 4 - 6)</w:t>
      </w:r>
    </w:p>
    <w:p w:rsidR="00C47358" w:rsidRDefault="0032427E" w:rsidP="007E0A8B">
      <w:pPr>
        <w:pStyle w:val="a3"/>
        <w:spacing w:before="0" w:beforeAutospacing="0" w:after="0" w:afterAutospacing="0"/>
        <w:ind w:firstLine="567"/>
        <w:jc w:val="both"/>
      </w:pPr>
      <w:r>
        <w:t>4) довідки про виявлення службою внутрішнього аудиту (контролю) Центрального депозитарію порушень при здійсненні депозитарної діяльності та про стан їх усунення (додаток 9);</w:t>
      </w:r>
    </w:p>
    <w:p w:rsidR="00C47358" w:rsidRDefault="0032427E" w:rsidP="007E0A8B">
      <w:pPr>
        <w:pStyle w:val="a3"/>
        <w:spacing w:before="0" w:beforeAutospacing="0" w:after="0" w:afterAutospacing="0"/>
        <w:ind w:firstLine="567"/>
        <w:jc w:val="right"/>
      </w:pPr>
      <w:r>
        <w:t>(підпункт 4 пункту 4 розділу II із змінами, внесеними згідно з</w:t>
      </w:r>
      <w:r>
        <w:br/>
        <w:t> рішенням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5) підпункт 5 пункту 4 розділу II виключено</w:t>
      </w:r>
    </w:p>
    <w:p w:rsidR="00C47358" w:rsidRDefault="0032427E" w:rsidP="007E0A8B">
      <w:pPr>
        <w:pStyle w:val="a3"/>
        <w:spacing w:before="0" w:beforeAutospacing="0" w:after="0" w:afterAutospacing="0"/>
        <w:ind w:firstLine="567"/>
        <w:jc w:val="right"/>
      </w:pPr>
      <w:r>
        <w:t>(згідно з рішенням Національної комісії з цінних</w:t>
      </w:r>
      <w:r>
        <w:br/>
        <w:t> паперів та фондового ринку від 14.11.2019 р. N 689,</w:t>
      </w:r>
      <w:r>
        <w:br/>
        <w:t>у зв'язку з цим підпункт 6 вважати підпунктом 5)</w:t>
      </w:r>
    </w:p>
    <w:p w:rsidR="00C47358" w:rsidRDefault="0032427E" w:rsidP="007E0A8B">
      <w:pPr>
        <w:pStyle w:val="a3"/>
        <w:spacing w:before="0" w:beforeAutospacing="0" w:after="0" w:afterAutospacing="0"/>
        <w:ind w:firstLine="567"/>
        <w:jc w:val="both"/>
      </w:pPr>
      <w:r>
        <w:t>5) довідки про складення реєстрів власників іменних цінних паперів (додаток 10).</w:t>
      </w:r>
    </w:p>
    <w:p w:rsidR="00C47358" w:rsidRDefault="0032427E" w:rsidP="007E0A8B">
      <w:pPr>
        <w:pStyle w:val="a3"/>
        <w:spacing w:before="0" w:beforeAutospacing="0" w:after="0" w:afterAutospacing="0"/>
        <w:ind w:firstLine="567"/>
        <w:jc w:val="right"/>
      </w:pPr>
      <w:r>
        <w:t>(підпункт 5 пункту 4 розділу II у редакції рішення Національної</w:t>
      </w:r>
      <w:r>
        <w:br/>
        <w:t> комісії з цінних паперів та фондового ринку від 14.11.2019 р. N 689)</w:t>
      </w:r>
    </w:p>
    <w:p w:rsidR="00C47358" w:rsidRDefault="0032427E" w:rsidP="007E0A8B">
      <w:pPr>
        <w:pStyle w:val="a3"/>
        <w:spacing w:before="0" w:beforeAutospacing="0" w:after="0" w:afterAutospacing="0"/>
        <w:ind w:firstLine="567"/>
        <w:jc w:val="both"/>
      </w:pPr>
      <w:r>
        <w:t>5. Нерегулярні Дані депозитарію складаються з:</w:t>
      </w:r>
    </w:p>
    <w:p w:rsidR="00C47358" w:rsidRDefault="0032427E" w:rsidP="007E0A8B">
      <w:pPr>
        <w:pStyle w:val="a3"/>
        <w:spacing w:before="0" w:beforeAutospacing="0" w:after="0" w:afterAutospacing="0"/>
        <w:ind w:firstLine="567"/>
        <w:jc w:val="both"/>
      </w:pPr>
      <w:r>
        <w:t>1) довідки про кореспондентські відносини Центрального депозитарію (додаток 11);</w:t>
      </w:r>
    </w:p>
    <w:p w:rsidR="00C47358" w:rsidRDefault="0032427E" w:rsidP="007E0A8B">
      <w:pPr>
        <w:pStyle w:val="a3"/>
        <w:spacing w:before="0" w:beforeAutospacing="0" w:after="0" w:afterAutospacing="0"/>
        <w:ind w:firstLine="567"/>
        <w:jc w:val="both"/>
      </w:pPr>
      <w:r>
        <w:t>2) довідки про факти порушення депозитарною установою депозитарного балансу (додаток 13). Дані подаються за агрегованим (агрегованими) рахунком (рахунками) депозитарної установи в Центральному депозитарії.</w:t>
      </w:r>
    </w:p>
    <w:p w:rsidR="00C47358" w:rsidRDefault="0032427E" w:rsidP="007E0A8B">
      <w:pPr>
        <w:pStyle w:val="a3"/>
        <w:spacing w:before="0" w:beforeAutospacing="0" w:after="0" w:afterAutospacing="0"/>
        <w:ind w:firstLine="567"/>
        <w:jc w:val="right"/>
      </w:pPr>
      <w:r>
        <w:t>(пункт 5 розділу ІІ із змінами, внесеними згідно з рішенням</w:t>
      </w:r>
      <w:r>
        <w:br/>
        <w:t> Національної комісії з цінних паперів та фондового ринку</w:t>
      </w:r>
      <w:r>
        <w:br/>
        <w:t> від 26.04.2016 р. N 497,</w:t>
      </w:r>
      <w:r>
        <w:br/>
        <w:t>у редакції рішення Національної комісії з цінних</w:t>
      </w:r>
      <w:r>
        <w:br/>
        <w:t> паперів та фондового ринку від 14.11.2019 р. N 689)</w:t>
      </w:r>
    </w:p>
    <w:p w:rsidR="00C47358" w:rsidRDefault="0032427E" w:rsidP="007E0A8B">
      <w:pPr>
        <w:pStyle w:val="3"/>
        <w:spacing w:before="0" w:beforeAutospacing="0" w:after="0" w:afterAutospacing="0"/>
        <w:ind w:firstLine="567"/>
        <w:jc w:val="center"/>
        <w:rPr>
          <w:rFonts w:eastAsia="Times New Roman"/>
        </w:rPr>
      </w:pPr>
      <w:r>
        <w:rPr>
          <w:rFonts w:eastAsia="Times New Roman"/>
        </w:rPr>
        <w:t>III. Строки подання Даних до Комісії</w:t>
      </w:r>
    </w:p>
    <w:p w:rsidR="00C47358" w:rsidRDefault="0032427E" w:rsidP="007E0A8B">
      <w:pPr>
        <w:pStyle w:val="a3"/>
        <w:spacing w:before="0" w:beforeAutospacing="0" w:after="0" w:afterAutospacing="0"/>
        <w:ind w:firstLine="567"/>
        <w:jc w:val="both"/>
      </w:pPr>
      <w:r>
        <w:t>1. Центральний депозитарій подає Дані у строки:</w:t>
      </w:r>
    </w:p>
    <w:p w:rsidR="00C47358" w:rsidRDefault="0032427E" w:rsidP="007E0A8B">
      <w:pPr>
        <w:pStyle w:val="a3"/>
        <w:spacing w:before="0" w:beforeAutospacing="0" w:after="0" w:afterAutospacing="0"/>
        <w:ind w:firstLine="567"/>
        <w:jc w:val="both"/>
      </w:pPr>
      <w:r>
        <w:t>щоденні - не пізніше кінця дня, наступного за звітним;</w:t>
      </w:r>
    </w:p>
    <w:p w:rsidR="00C47358" w:rsidRDefault="0032427E" w:rsidP="007E0A8B">
      <w:pPr>
        <w:pStyle w:val="a3"/>
        <w:spacing w:before="0" w:beforeAutospacing="0" w:after="0" w:afterAutospacing="0"/>
        <w:ind w:firstLine="567"/>
        <w:jc w:val="right"/>
      </w:pPr>
      <w:r>
        <w:t>(абзац другий пункту 1 розділу ІІІ у редакції рішення Національної</w:t>
      </w:r>
      <w:r>
        <w:br/>
        <w:t> комісії з цінних паперів та фондового ринку від 26.04.2016 р. N 497)</w:t>
      </w:r>
    </w:p>
    <w:p w:rsidR="00C47358" w:rsidRDefault="0032427E" w:rsidP="007E0A8B">
      <w:pPr>
        <w:pStyle w:val="a3"/>
        <w:spacing w:before="0" w:beforeAutospacing="0" w:after="0" w:afterAutospacing="0"/>
        <w:ind w:firstLine="567"/>
        <w:jc w:val="both"/>
      </w:pPr>
      <w:r>
        <w:t>щомісячні - не пізніше останнього числа місяця, наступного за звітним;</w:t>
      </w:r>
    </w:p>
    <w:p w:rsidR="00C47358" w:rsidRDefault="0032427E" w:rsidP="007E0A8B">
      <w:pPr>
        <w:pStyle w:val="a3"/>
        <w:spacing w:before="0" w:beforeAutospacing="0" w:after="0" w:afterAutospacing="0"/>
        <w:ind w:firstLine="567"/>
        <w:jc w:val="right"/>
      </w:pPr>
      <w:r>
        <w:t>(абзац третій пункту 1 розділу ІІІ у редакції рішення Національної</w:t>
      </w:r>
      <w:r>
        <w:br/>
        <w:t> комісії з цінних паперів та фондового ринку від 26.04.2016 р. N 497)</w:t>
      </w:r>
    </w:p>
    <w:p w:rsidR="00C47358" w:rsidRDefault="0032427E" w:rsidP="007E0A8B">
      <w:pPr>
        <w:pStyle w:val="a3"/>
        <w:spacing w:before="0" w:beforeAutospacing="0" w:after="0" w:afterAutospacing="0"/>
        <w:ind w:firstLine="567"/>
        <w:jc w:val="both"/>
      </w:pPr>
      <w:r>
        <w:lastRenderedPageBreak/>
        <w:t>щоквартальні - не пізніше 25 (включно) числа місяця, наступного за звітним кварталом;</w:t>
      </w:r>
    </w:p>
    <w:p w:rsidR="00C47358" w:rsidRDefault="0032427E" w:rsidP="007E0A8B">
      <w:pPr>
        <w:pStyle w:val="a3"/>
        <w:spacing w:before="0" w:beforeAutospacing="0" w:after="0" w:afterAutospacing="0"/>
        <w:ind w:firstLine="567"/>
        <w:jc w:val="right"/>
      </w:pPr>
      <w:r>
        <w:t>(абзац четвертий пункту 1 розділу ІІІ у редакції рішення Національної</w:t>
      </w:r>
      <w:r>
        <w:br/>
        <w:t> комісії з цінних паперів та фондового ринку від 26.04.2016 р. N 497)</w:t>
      </w:r>
    </w:p>
    <w:p w:rsidR="00C47358" w:rsidRDefault="0032427E" w:rsidP="007E0A8B">
      <w:pPr>
        <w:pStyle w:val="a3"/>
        <w:spacing w:before="0" w:beforeAutospacing="0" w:after="0" w:afterAutospacing="0"/>
        <w:ind w:firstLine="567"/>
        <w:jc w:val="both"/>
      </w:pPr>
      <w:r>
        <w:t>нерегулярні - протягом трьох робочих днів після дати їх виникнення.</w:t>
      </w:r>
    </w:p>
    <w:p w:rsidR="00C47358" w:rsidRDefault="0032427E" w:rsidP="007E0A8B">
      <w:pPr>
        <w:pStyle w:val="a3"/>
        <w:spacing w:before="0" w:beforeAutospacing="0" w:after="0" w:afterAutospacing="0"/>
        <w:ind w:firstLine="567"/>
        <w:jc w:val="both"/>
      </w:pPr>
      <w:r>
        <w:t>2. Нерегулярні Дані Центрального депозитарію подаються за фактом їх виникнення у таких випадках:</w:t>
      </w:r>
    </w:p>
    <w:p w:rsidR="00C47358" w:rsidRDefault="0032427E" w:rsidP="007E0A8B">
      <w:pPr>
        <w:pStyle w:val="a3"/>
        <w:spacing w:before="0" w:beforeAutospacing="0" w:after="0" w:afterAutospacing="0"/>
        <w:ind w:firstLine="567"/>
        <w:jc w:val="both"/>
      </w:pPr>
      <w:r>
        <w:t>призначення та/або анулювання Центральним депозитарієм міжнародних ідентифікаційних номерів цінних паперів;</w:t>
      </w:r>
    </w:p>
    <w:p w:rsidR="00C47358" w:rsidRDefault="0032427E" w:rsidP="007E0A8B">
      <w:pPr>
        <w:pStyle w:val="a3"/>
        <w:spacing w:before="0" w:beforeAutospacing="0" w:after="0" w:afterAutospacing="0"/>
        <w:ind w:firstLine="567"/>
        <w:jc w:val="both"/>
      </w:pPr>
      <w:r>
        <w:t>внесення Центральним депозитарієм до Реєстру індивідуальних ідентифікаційних кодів власників цінних паперів - нерезидентів, призначених депозитарних установ;</w:t>
      </w:r>
    </w:p>
    <w:p w:rsidR="00C47358" w:rsidRDefault="0032427E" w:rsidP="007E0A8B">
      <w:pPr>
        <w:pStyle w:val="a3"/>
        <w:spacing w:before="0" w:beforeAutospacing="0" w:after="0" w:afterAutospacing="0"/>
        <w:ind w:firstLine="567"/>
        <w:jc w:val="both"/>
      </w:pPr>
      <w:r>
        <w:t>укладання/розірвання Центральним депозитарієм договорів про кореспондентські відносини;</w:t>
      </w:r>
    </w:p>
    <w:p w:rsidR="00C47358" w:rsidRDefault="0032427E" w:rsidP="007E0A8B">
      <w:pPr>
        <w:pStyle w:val="a3"/>
        <w:spacing w:before="0" w:beforeAutospacing="0" w:after="0" w:afterAutospacing="0"/>
        <w:ind w:firstLine="567"/>
        <w:jc w:val="both"/>
      </w:pPr>
      <w:r>
        <w:t>прийняття Центральним депозитарієм стандартів депозитарного обліку відповідно до міжнародних норм та прийняття стандартів документообігу щодо операцій з цінними паперами, які оформлюються виключно в паперовій формі в довільному вигляді на фірмовому бланку Центрального депозитарію.</w:t>
      </w:r>
    </w:p>
    <w:p w:rsidR="00C47358" w:rsidRDefault="0032427E" w:rsidP="007E0A8B">
      <w:pPr>
        <w:pStyle w:val="a3"/>
        <w:spacing w:before="0" w:beforeAutospacing="0" w:after="0" w:afterAutospacing="0"/>
        <w:ind w:firstLine="567"/>
        <w:jc w:val="both"/>
      </w:pPr>
      <w:r>
        <w:t>3. Центральний депозитарій у разі виявлення невідповідності Даних, які подані до Комісії, має усунути ці невідповідності, повторно подати Дані в обсязі, визначеному у розділі II цього Положення, але не пізніше строків, зазначених у цьому розділі. Виправлені Дані додатково повинні містити супровідну довідку для виправлених Даних Центрального депозитарію (додаток 12), в якій зазначаються причини заміни.</w:t>
      </w:r>
    </w:p>
    <w:p w:rsidR="00C47358" w:rsidRDefault="0032427E" w:rsidP="007E0A8B">
      <w:pPr>
        <w:pStyle w:val="a3"/>
        <w:spacing w:before="0" w:beforeAutospacing="0" w:after="0" w:afterAutospacing="0"/>
        <w:ind w:firstLine="567"/>
        <w:jc w:val="right"/>
      </w:pPr>
      <w:r>
        <w:t>(пункт 3 розділу III із змінами, внесеними згідно з рішенням</w:t>
      </w:r>
      <w:r>
        <w:br/>
        <w:t> Національної комісії з цінних паперів та фондового ринку</w:t>
      </w:r>
      <w:r>
        <w:br/>
        <w:t> від 14.11.2019 р. N 689)</w:t>
      </w:r>
    </w:p>
    <w:p w:rsidR="00C47358" w:rsidRDefault="0032427E" w:rsidP="007E0A8B">
      <w:pPr>
        <w:pStyle w:val="a3"/>
        <w:spacing w:before="0" w:beforeAutospacing="0" w:after="0" w:afterAutospacing="0"/>
        <w:ind w:firstLine="567"/>
        <w:jc w:val="both"/>
      </w:pPr>
      <w:r>
        <w:t>4. У разі якщо останній день подання Даних є неробочим, останнім днем подання вважається наступний після нього робочий день.</w:t>
      </w:r>
    </w:p>
    <w:p w:rsidR="00C47358" w:rsidRDefault="0032427E" w:rsidP="007E0A8B">
      <w:pPr>
        <w:pStyle w:val="a3"/>
        <w:spacing w:before="0" w:beforeAutospacing="0" w:after="0" w:afterAutospacing="0"/>
        <w:ind w:firstLine="567"/>
        <w:jc w:val="both"/>
      </w:pPr>
      <w:r>
        <w:t>5. Строк подання Даних Центральним депозитарієм продовжується у разі надходження до Комісії письмового повідомлення про неможливість подання Даних у встановлений строк у зв'язку з вилученням документів Центрального депозитарію у паперовій та електронній формах правоохоронними органами (з поданням копій документів, які підтверджують вилучення зазначеної документації).</w:t>
      </w:r>
    </w:p>
    <w:p w:rsidR="00C47358" w:rsidRDefault="0032427E" w:rsidP="007E0A8B">
      <w:pPr>
        <w:pStyle w:val="a3"/>
        <w:spacing w:before="0" w:beforeAutospacing="0" w:after="0" w:afterAutospacing="0"/>
        <w:ind w:firstLine="567"/>
        <w:jc w:val="both"/>
      </w:pPr>
      <w:r>
        <w:t>Дані Центрального депозитарію мають бути подані до Комісії протягом 15 календарних днів з дати повернення вилученого програмного забезпечення та/або документації (з наданням копій документів, які підтверджують повернення вилученої документації).</w:t>
      </w:r>
    </w:p>
    <w:p w:rsidR="00C47358" w:rsidRDefault="0032427E" w:rsidP="007E0A8B">
      <w:pPr>
        <w:pStyle w:val="a3"/>
        <w:spacing w:before="0" w:beforeAutospacing="0" w:after="0" w:afterAutospacing="0"/>
        <w:ind w:firstLine="567"/>
        <w:jc w:val="both"/>
      </w:pPr>
      <w:r>
        <w:t>6. Державний контроль за дотриманням Центральним депозитарієм вимог цього Положення здійснює Комісія.</w:t>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hideMark/>
          </w:tcPr>
          <w:p w:rsidR="00C47358" w:rsidRDefault="0032427E" w:rsidP="007E0A8B">
            <w:pPr>
              <w:pStyle w:val="a3"/>
              <w:spacing w:before="0" w:beforeAutospacing="0" w:after="0" w:afterAutospacing="0"/>
              <w:ind w:firstLine="567"/>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Курочкіна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both"/>
      </w:pPr>
      <w:r>
        <w:rPr>
          <w:b/>
          <w:bCs/>
        </w:rPr>
        <w:t> </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783"/>
      </w:tblGrid>
      <w:tr w:rsidR="00C47358">
        <w:trPr>
          <w:tblCellSpacing w:w="22" w:type="dxa"/>
          <w:jc w:val="center"/>
        </w:trPr>
        <w:tc>
          <w:tcPr>
            <w:tcW w:w="0" w:type="auto"/>
            <w:hideMark/>
          </w:tcPr>
          <w:p w:rsidR="00C47358" w:rsidRDefault="0032427E" w:rsidP="007E0A8B">
            <w:pPr>
              <w:pStyle w:val="a3"/>
              <w:spacing w:before="0" w:beforeAutospacing="0" w:after="0" w:afterAutospacing="0"/>
              <w:ind w:firstLine="567"/>
              <w:jc w:val="both"/>
            </w:pPr>
            <w:r>
              <w:t>(Нумерацію додатків змінено згідно з рішенням Національної комісії з цінних паперів та фондового ринку від 14 листопада 2019 року N 689)</w:t>
            </w:r>
          </w:p>
        </w:tc>
      </w:tr>
    </w:tbl>
    <w:p w:rsidR="00C47358" w:rsidRDefault="0032427E" w:rsidP="007E0A8B">
      <w:pPr>
        <w:pStyle w:val="a3"/>
        <w:spacing w:before="0" w:beforeAutospacing="0" w:after="0" w:afterAutospacing="0"/>
        <w:ind w:firstLine="567"/>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lastRenderedPageBreak/>
              <w:t>Додаток 1</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2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Дата, станом на яку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код за ЄДРПОУ/ідентифікаційний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міжнародний ідентифікаційний номер цінних паперів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класифікації фінансових інструментів (код CFI)</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w:t>
            </w:r>
            <w:r>
              <w:rPr>
                <w:vertAlign w:val="superscript"/>
              </w:rPr>
              <w:t xml:space="preserve"> 1</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номінальна вартість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валюти</w:t>
            </w:r>
            <w:r>
              <w:rPr>
                <w:vertAlign w:val="superscript"/>
              </w:rPr>
              <w:t xml:space="preserve"> 2</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код за ЄДРПОУ/ідентифікаційний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Тип рахунку клієнта Центрального депозитарію: "1" - </w:t>
            </w:r>
            <w:proofErr w:type="spellStart"/>
            <w:r>
              <w:t>сегрегований</w:t>
            </w:r>
            <w:proofErr w:type="spellEnd"/>
            <w:r>
              <w:t xml:space="preserve">, "2" - </w:t>
            </w:r>
            <w:proofErr w:type="spellStart"/>
            <w:r>
              <w:t>сегрегований</w:t>
            </w:r>
            <w:proofErr w:type="spellEnd"/>
            <w:r>
              <w:t>, на якому обліковуються цінні папери, що належать депозитарній установі на праві власності, "3" - агрегований</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Кількість рахунків певного типу клієнта,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Загальна кількість цінних паперів на рахунку (рахунках) певного типу клієнта,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Загальна номінальна вартість цінних паперів на рахунку (рахунках) певного типу клієнта</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Кількість заблокованих цінних паперів для продажу на організаторах торгівлі на рахунку (рахунках) певного типу клієнта, на початок звітного дня,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21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Кількість заблокованих цінних паперів для продажу на організаторах торгівлі на рахунку (рахунках) певного типу клієнта, на кінець звітного дня,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Дані про операції, здійснені протягом звітного дня: вид операції на рахунку (рахунках) певного типу клієнта ("1" - зарахування, "2" - переказ, пов'язаний з обслуговуванням операцій, виконаних відповідно до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"3" - переказ, пов'язаний з обслуговуванням обігу цінних паперів, "4" - переказ, пов'язаний з проведенням корпоративних операцій, "5" - списання, "6" - інше)</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операції, здійснені протягом звітного дня на рахунку (рахунках) певного типу клієнта: кількість операцій,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операцію, здійснену протягом звітного дня на рахунку (рахунках) певного типу клієнта: кількість цінних паперів,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rPr>
          <w:sz w:val="20"/>
          <w:szCs w:val="20"/>
        </w:rPr>
      </w:pPr>
      <w:r>
        <w:t>____________</w:t>
      </w:r>
      <w:r>
        <w:br/>
      </w:r>
      <w:r>
        <w:rPr>
          <w:vertAlign w:val="superscript"/>
        </w:rPr>
        <w:t>1</w:t>
      </w:r>
      <w:r>
        <w:t xml:space="preserve"> </w:t>
      </w:r>
      <w:r>
        <w:rPr>
          <w:sz w:val="20"/>
          <w:szCs w:val="20"/>
        </w:rPr>
        <w:t xml:space="preserve">Заповнюється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rPr>
          <w:sz w:val="20"/>
          <w:szCs w:val="20"/>
        </w:rPr>
      </w:pPr>
      <w:r>
        <w:rPr>
          <w:vertAlign w:val="superscript"/>
        </w:rPr>
        <w:t>2</w:t>
      </w:r>
      <w:r>
        <w:t xml:space="preserve"> </w:t>
      </w:r>
      <w:r>
        <w:rPr>
          <w:sz w:val="20"/>
          <w:szCs w:val="20"/>
        </w:rPr>
        <w:t xml:space="preserve">Заповнюється відповідно до </w:t>
      </w:r>
      <w:r>
        <w:rPr>
          <w:color w:val="0000FF"/>
          <w:sz w:val="20"/>
          <w:szCs w:val="20"/>
        </w:rPr>
        <w:t>Довідника 46 "Перелік та коди валют"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vAlign w:val="bottom"/>
            <w:hideMark/>
          </w:tcPr>
          <w:p w:rsidR="00C47358" w:rsidRDefault="0032427E" w:rsidP="007E0A8B">
            <w:pPr>
              <w:pStyle w:val="a3"/>
              <w:spacing w:before="0" w:beforeAutospacing="0" w:after="0" w:afterAutospacing="0"/>
              <w:ind w:firstLine="567"/>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Козловська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right"/>
      </w:pPr>
      <w:r>
        <w:t>(додаток 1 у редакції рішення Національної комісії з</w:t>
      </w:r>
      <w:r>
        <w:br/>
        <w:t>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2</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2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здійснені Центральним депозитарієм облікові операції на виконання договорів (біржових контрактів) на організаторах торгівлі</w:t>
      </w:r>
    </w:p>
    <w:p w:rsidR="00C47358" w:rsidRDefault="0032427E" w:rsidP="007E0A8B">
      <w:pPr>
        <w:pStyle w:val="a3"/>
        <w:spacing w:before="0" w:beforeAutospacing="0" w:after="0" w:afterAutospacing="0"/>
        <w:ind w:firstLine="567"/>
        <w:jc w:val="center"/>
      </w:pPr>
      <w:r>
        <w:t>Додаток 2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2</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3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lastRenderedPageBreak/>
        <w:t>ДОВІДКА</w:t>
      </w:r>
      <w:r>
        <w:rPr>
          <w:rFonts w:eastAsia="Times New Roman"/>
        </w:rPr>
        <w:br/>
        <w:t xml:space="preserve">про </w:t>
      </w:r>
      <w:proofErr w:type="spellStart"/>
      <w:r>
        <w:rPr>
          <w:rFonts w:eastAsia="Times New Roman"/>
        </w:rPr>
        <w:t>пруденційні</w:t>
      </w:r>
      <w:proofErr w:type="spellEnd"/>
      <w:r>
        <w:rPr>
          <w:rFonts w:eastAsia="Times New Roman"/>
        </w:rPr>
        <w:t xml:space="preserve"> нормативи Центрального депозитарію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4"/>
        <w:gridCol w:w="877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Звітний місяць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Дата, на яку здійснено розрахунок </w:t>
            </w:r>
            <w:proofErr w:type="spellStart"/>
            <w:r>
              <w:t>пруденційних</w:t>
            </w:r>
            <w:proofErr w:type="spellEnd"/>
            <w:r>
              <w:t xml:space="preserve"> нормативів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Норматив достатності власних коштів</w:t>
            </w:r>
            <w:r>
              <w:rPr>
                <w:vertAlign w:val="superscript"/>
              </w:rPr>
              <w:t xml:space="preserve"> 1</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Коефіцієнт покриття операційного ризику</w:t>
            </w:r>
            <w:r>
              <w:rPr>
                <w:vertAlign w:val="superscript"/>
              </w:rPr>
              <w:t xml:space="preserve"> 1</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rPr>
          <w:sz w:val="20"/>
          <w:szCs w:val="20"/>
        </w:rPr>
      </w:pPr>
      <w:r>
        <w:t>____________</w:t>
      </w:r>
      <w:r>
        <w:br/>
      </w:r>
      <w:r>
        <w:rPr>
          <w:vertAlign w:val="superscript"/>
        </w:rPr>
        <w:t>1</w:t>
      </w:r>
      <w:r>
        <w:rPr>
          <w:sz w:val="20"/>
          <w:szCs w:val="20"/>
        </w:rPr>
        <w:t xml:space="preserve"> Зазначається з округленням до чотирьох знаків після коми.</w:t>
      </w:r>
    </w:p>
    <w:p w:rsidR="00C47358" w:rsidRDefault="0032427E" w:rsidP="007E0A8B">
      <w:pPr>
        <w:pStyle w:val="a3"/>
        <w:spacing w:before="0" w:beforeAutospacing="0" w:after="0" w:afterAutospacing="0"/>
        <w:ind w:firstLine="567"/>
        <w:jc w:val="right"/>
      </w:pPr>
      <w:r>
        <w:t>(додаток 2 у редакції рішення Національної комісії з цінних</w:t>
      </w:r>
      <w:r>
        <w:br/>
        <w:t> паперів та фондового ринку від 26.11.2015 р. N 1920)</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3</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3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w:t>
      </w:r>
      <w:r>
        <w:rPr>
          <w:rFonts w:eastAsia="Times New Roman"/>
        </w:rPr>
        <w:br/>
        <w:t>про вихідні дані для розрахунку розміру власних коштів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Звітний місяць</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Дата, на яку здійснено розрахунок </w:t>
            </w:r>
            <w:proofErr w:type="spellStart"/>
            <w:r>
              <w:t>пруденційних</w:t>
            </w:r>
            <w:proofErr w:type="spellEnd"/>
            <w:r>
              <w:t xml:space="preserve"> нормативів</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Розмір власних коштів,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Зареєстрований статутний капітал,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Резервний капітал,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Додатковий капітал,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Нерозподілений прибуток на початок звітного року,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C47358">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Неоплачений статутний капітал, грн</w:t>
            </w:r>
          </w:p>
        </w:tc>
      </w:tr>
      <w:tr w:rsidR="00C47358">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Вилучений статутний капітал,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Прострочена понад 30 днів дебіторська заборгованість,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Довгострокова дебіторська заборгованість, в тому числі пролонгована, термін сплати якої не настав,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Рядок виключено</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Короткострокова дебіторська заборгованість, сумарний строк пролонгації якої перевищує 30 днів та термін сплати якої не настав,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Нематеріальні активи за залишковою вартістю,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Капітальні вкладення у нематеріальні активи, грн</w:t>
            </w:r>
          </w:p>
        </w:tc>
      </w:tr>
      <w:tr w:rsidR="00C47358">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18</w:t>
            </w:r>
          </w:p>
        </w:tc>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Прибуток на початок звітного року, що був розподілений у звітному році,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Непокритий збиток на початок звітного року,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Збитки поточного року (якщо фінансовим результатом є збиток),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Фінансові інвестиції у статутний капітал підприємств (крім приватних акціонерних товариств, акції яких перебувають у біржовому списку фондової біржі,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Балансова вартість цінних паперів, заборона щодо торгівлі якими на фондових біржах не встановлена законодавством України (крім акцій приватних акціонерних товариств, які відповідно до законодавства України можуть перебувати у біржовому списку фондової біржі),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C47358">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24</w:t>
            </w:r>
          </w:p>
        </w:tc>
        <w:tc>
          <w:tcPr>
            <w:tcW w:w="0" w:type="auto"/>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w:t>
            </w:r>
            <w:proofErr w:type="spellStart"/>
            <w:r>
              <w:t>зупинено</w:t>
            </w:r>
            <w:proofErr w:type="spellEnd"/>
            <w:r>
              <w:t xml:space="preserve"> внесення змін до системи депозитарного обліку цінних паперів або обіг яких </w:t>
            </w:r>
            <w:proofErr w:type="spellStart"/>
            <w:r>
              <w:t>зупинено</w:t>
            </w:r>
            <w:proofErr w:type="spellEnd"/>
            <w:r>
              <w:t xml:space="preserve">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Гудвіл,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Відстрочені податкові активи,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Витрати майбутніх періодів,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29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Внески до незареєстрованого статутного капіталу,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Капітал у дооцінках, грн</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t>Всі дані, зазначені в таблиці у гривнях, заповнюються з округленням до двох знаків після коми.</w:t>
      </w:r>
    </w:p>
    <w:p w:rsidR="00C47358" w:rsidRDefault="0032427E" w:rsidP="007E0A8B">
      <w:pPr>
        <w:pStyle w:val="a3"/>
        <w:spacing w:before="0" w:beforeAutospacing="0" w:after="0" w:afterAutospacing="0"/>
        <w:ind w:firstLine="567"/>
        <w:jc w:val="right"/>
      </w:pPr>
      <w:r>
        <w:t>(додаток 17 визнано додатком 3 згідно з рішенням Національної</w:t>
      </w:r>
      <w:r>
        <w:br/>
        <w:t> комісії з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4</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3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w:t>
      </w:r>
      <w:r>
        <w:rPr>
          <w:rFonts w:eastAsia="Times New Roman"/>
        </w:rPr>
        <w:br/>
        <w:t>про вихідні дані для розрахунку фіксованих накладних витрат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Звітний місяць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Дата, на яку здійснено розрахунок </w:t>
            </w:r>
            <w:proofErr w:type="spellStart"/>
            <w:r>
              <w:t>пруденційних</w:t>
            </w:r>
            <w:proofErr w:type="spellEnd"/>
            <w:r>
              <w:t xml:space="preserve"> нормативів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Витрати на утримання адміністративно-управлінського персоналу,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Витрати на службові відрядження,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Витрати на оплату послуг зв'язку,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Винагороди за консультаційні послуги,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Винагороди за інформаційні послуги,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Винагороди за аудиторські послуги,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Винагороди за інші послуги,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Плата за розрахунково-касове обслуговування та інші послуги банків,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Витрати на охорону приміщень,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Розмір фіксованих накладних витрат,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lastRenderedPageBreak/>
        <w:t>Всі дані, зазначені в таблиці у гривнях, заповнюються з округленням до двох знаків після коми.</w:t>
      </w:r>
    </w:p>
    <w:p w:rsidR="00C47358" w:rsidRDefault="0032427E" w:rsidP="007E0A8B">
      <w:pPr>
        <w:pStyle w:val="a3"/>
        <w:spacing w:before="0" w:beforeAutospacing="0" w:after="0" w:afterAutospacing="0"/>
        <w:ind w:firstLine="567"/>
        <w:jc w:val="right"/>
      </w:pPr>
      <w:r>
        <w:t>(додаток 18 визнано додатком 4 згідно з рішенням Національної</w:t>
      </w:r>
      <w:r>
        <w:br/>
        <w:t> комісії з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5</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3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w:t>
      </w:r>
      <w:r>
        <w:rPr>
          <w:rFonts w:eastAsia="Times New Roman"/>
        </w:rPr>
        <w:br/>
        <w:t>про вихідні дані для розрахунку нормативу достатності власних коштів та коефіцієнта покриття операційного ризику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Звітний місяць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Дата, на яку здійснено розрахунок </w:t>
            </w:r>
            <w:proofErr w:type="spellStart"/>
            <w:r>
              <w:t>пруденційних</w:t>
            </w:r>
            <w:proofErr w:type="spellEnd"/>
            <w:r>
              <w:t xml:space="preserve"> нормативів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Розмір власних коштів,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Розмір фіксованих накладних витрат,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Величина </w:t>
            </w:r>
            <w:proofErr w:type="spellStart"/>
            <w:r>
              <w:t>нетто</w:t>
            </w:r>
            <w:proofErr w:type="spellEnd"/>
            <w:r>
              <w:t>-доходу за 1-й рік,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Величина </w:t>
            </w:r>
            <w:proofErr w:type="spellStart"/>
            <w:r>
              <w:t>нетто</w:t>
            </w:r>
            <w:proofErr w:type="spellEnd"/>
            <w:r>
              <w:t>-доходу за 2-й рік,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Величина </w:t>
            </w:r>
            <w:proofErr w:type="spellStart"/>
            <w:r>
              <w:t>нетто</w:t>
            </w:r>
            <w:proofErr w:type="spellEnd"/>
            <w:r>
              <w:t>-доходу за 3-й рік,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Середнє значення позитивного </w:t>
            </w:r>
            <w:proofErr w:type="spellStart"/>
            <w:r>
              <w:t>нетто</w:t>
            </w:r>
            <w:proofErr w:type="spellEnd"/>
            <w:r>
              <w:t>-доходу, грн</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Величина операційного ризику</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t>Всі дані, зазначені в таблиці у гривнях, заповнюються з округленням до двох знаків після коми.</w:t>
      </w:r>
    </w:p>
    <w:p w:rsidR="00C47358" w:rsidRDefault="0032427E" w:rsidP="007E0A8B">
      <w:pPr>
        <w:pStyle w:val="a3"/>
        <w:spacing w:before="0" w:beforeAutospacing="0" w:after="0" w:afterAutospacing="0"/>
        <w:ind w:firstLine="567"/>
        <w:jc w:val="right"/>
      </w:pPr>
      <w:r>
        <w:t>(додаток 19 визнано додатком 5 згідно з рішенням Національної</w:t>
      </w:r>
      <w:r>
        <w:br/>
        <w:t> комісії з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6</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3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обслуговування Центральним депозитарієм корпоративних операцій емітента</w:t>
      </w:r>
    </w:p>
    <w:p w:rsidR="00C47358" w:rsidRDefault="0032427E" w:rsidP="007E0A8B">
      <w:pPr>
        <w:pStyle w:val="a3"/>
        <w:spacing w:before="0" w:beforeAutospacing="0" w:after="0" w:afterAutospacing="0"/>
        <w:ind w:firstLine="567"/>
        <w:jc w:val="center"/>
      </w:pPr>
      <w:r>
        <w:t>Додаток 6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lastRenderedPageBreak/>
              <w:t>Додаток 6</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1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адміністративні операції, здійснені Центральним депозитарієм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Квартал,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код за ЄДРПОУ / 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Тип рахунку клієнта Центрального депозитарію: "1" - </w:t>
            </w:r>
            <w:proofErr w:type="spellStart"/>
            <w:r>
              <w:t>сегрегований</w:t>
            </w:r>
            <w:proofErr w:type="spellEnd"/>
            <w:r>
              <w:t xml:space="preserve">, "2" - </w:t>
            </w:r>
            <w:proofErr w:type="spellStart"/>
            <w:r>
              <w:t>сегрегований</w:t>
            </w:r>
            <w:proofErr w:type="spellEnd"/>
            <w:r>
              <w:t>, на якому обліковуються цінні папери, що належать депозитарній установі на праві власності, "3" - агрегований</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рахунок (рахунки) певного типу клієнта: кількість відкритих рахунків на початок періоду,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рахунок (рахунки) певного типу клієнта: відкрито рахунків за період,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рахунок (рахунки) певного типу клієнта: закрито рахунків за період,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рахунок (рахунки) певного типу клієнта: кількість відкритих рахунків на кінець періоду,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vAlign w:val="bottom"/>
            <w:hideMark/>
          </w:tcPr>
          <w:p w:rsidR="00C47358" w:rsidRDefault="0032427E" w:rsidP="007E0A8B">
            <w:pPr>
              <w:pStyle w:val="a3"/>
              <w:spacing w:before="0" w:beforeAutospacing="0" w:after="0" w:afterAutospacing="0"/>
              <w:ind w:firstLine="567"/>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Козловська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right"/>
      </w:pPr>
      <w:r>
        <w:t>(додаток 6 у редакції рішення Національної комісії з</w:t>
      </w:r>
      <w:r>
        <w:br/>
        <w:t>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lastRenderedPageBreak/>
              <w:t>Додаток 7</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2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облікові операції, здійснені Центральним депозитарієм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Квартал, за який складено Дані</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код за ЄДРПОУ / ідентифікаційний код з торговельного, судового або банківського реєстру емітента (для нерезидентів)</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ідентифікаційний номер за міжнародним ідентифікатором юридичних осіб (код LEI) (за наявності)</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найменування</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міжнародний ідентифікаційний номер цінних паперів</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класифікації фінансових інструментів (код CFI)</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w:t>
            </w:r>
            <w:r>
              <w:rPr>
                <w:vertAlign w:val="superscript"/>
              </w:rPr>
              <w:t xml:space="preserve"> 1</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номінальна вартість одного цінного папера</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валюти</w:t>
            </w:r>
            <w:r>
              <w:rPr>
                <w:vertAlign w:val="superscript"/>
              </w:rPr>
              <w:t xml:space="preserve"> 2</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операції: вид операцій за рахунками клієнтів ("1" - зарахування, "2" - переказ, "3" - списання)</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Дані про операції: подія, з якою пов'язано проведення операцій ("1" - отримання депозитарного активу, "2" - розміщення цінних паперів, "3" - обслуговування операцій, виконаних відповідно до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xml:space="preserve">, "4" - вчинення правочину щодо цінних паперів поза фондовою </w:t>
            </w:r>
            <w:proofErr w:type="spellStart"/>
            <w:r>
              <w:t>біржею</w:t>
            </w:r>
            <w:proofErr w:type="spellEnd"/>
            <w:r>
              <w:t xml:space="preserve">, якщо проводяться розрахунки без додержання принципу "поставка цінних паперів проти оплати", "5" - вчинення правочину щодо цінних паперів на фондовій біржі чи поза фондовою </w:t>
            </w:r>
            <w:proofErr w:type="spellStart"/>
            <w:r>
              <w:t>біржею</w:t>
            </w:r>
            <w:proofErr w:type="spellEnd"/>
            <w:r>
              <w:t>, якщо проводяться розрахунки за принципом "поставка цінних паперів проти оплати", "6" - вчинення правочину щодо цінних паперів на фондовій біржі, якщо проводяться розрахунки без дотримання принципу "поставка цінних паперів проти оплати", "7" - викуп емітентом власних цінних паперів, "8" - продаж цінних паперів, викуплених емітентом, "9" - дроблення, "10" - консолідація, "11" - конвертація цінних паперів, "12" - погашення цінних паперів, "13" - анулювання цінних паперів, "14" - інше)</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15</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операції: кількість операцій, шт.</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16</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операції: кількість цінних паперів, шт.</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17</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операції: номінальна вартість</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18</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rPr>
          <w:sz w:val="20"/>
          <w:szCs w:val="20"/>
        </w:rPr>
      </w:pPr>
      <w:r>
        <w:lastRenderedPageBreak/>
        <w:t>____________</w:t>
      </w:r>
      <w:r>
        <w:br/>
      </w:r>
      <w:r>
        <w:rPr>
          <w:vertAlign w:val="superscript"/>
        </w:rPr>
        <w:t>1</w:t>
      </w:r>
      <w:r>
        <w:t xml:space="preserve"> </w:t>
      </w:r>
      <w:r>
        <w:rPr>
          <w:sz w:val="20"/>
          <w:szCs w:val="20"/>
        </w:rPr>
        <w:t xml:space="preserve">Заповнюється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rPr>
          <w:sz w:val="20"/>
          <w:szCs w:val="20"/>
        </w:rPr>
      </w:pPr>
      <w:r>
        <w:rPr>
          <w:vertAlign w:val="superscript"/>
        </w:rPr>
        <w:t>2</w:t>
      </w:r>
      <w:r>
        <w:t xml:space="preserve"> </w:t>
      </w:r>
      <w:r>
        <w:rPr>
          <w:sz w:val="20"/>
          <w:szCs w:val="20"/>
        </w:rPr>
        <w:t xml:space="preserve">Заповнюється відповідно до </w:t>
      </w:r>
      <w:r>
        <w:rPr>
          <w:color w:val="0000FF"/>
          <w:sz w:val="20"/>
          <w:szCs w:val="20"/>
        </w:rPr>
        <w:t>Довідника 46 "Перелік та коди валют"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vAlign w:val="bottom"/>
            <w:hideMark/>
          </w:tcPr>
          <w:p w:rsidR="00C47358" w:rsidRDefault="0032427E" w:rsidP="007E0A8B">
            <w:pPr>
              <w:pStyle w:val="a3"/>
              <w:spacing w:before="0" w:beforeAutospacing="0" w:after="0" w:afterAutospacing="0"/>
              <w:ind w:firstLine="567"/>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Козловська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right"/>
      </w:pPr>
      <w:r>
        <w:t>(додаток 7 у редакції рішення Національної комісії з</w:t>
      </w:r>
      <w:r>
        <w:br/>
        <w:t>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8</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5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загальну кількість цінних паперів, що обліковуються на рахунках депозитарних установ та депозитаріїв-кореспондентів у Центральному депозитарії</w:t>
      </w:r>
    </w:p>
    <w:p w:rsidR="00C47358" w:rsidRDefault="0032427E" w:rsidP="007E0A8B">
      <w:pPr>
        <w:pStyle w:val="a3"/>
        <w:spacing w:before="0" w:beforeAutospacing="0" w:after="0" w:afterAutospacing="0"/>
        <w:ind w:firstLine="567"/>
        <w:jc w:val="center"/>
      </w:pPr>
      <w:r>
        <w:t>Додаток 8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8</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3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цінні папери, які обслуговуються Центральним депозитарієм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Квартал, за який складено Дані</w:t>
            </w:r>
            <w:r>
              <w:rPr>
                <w:vertAlign w:val="superscript"/>
              </w:rPr>
              <w:t xml:space="preserve"> 1</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код за ЄДРПОУ / 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міжнародний ідентифікаційний номер цінних паперів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класифікації фінансових інструментів (код CFI)</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w:t>
            </w:r>
            <w:r>
              <w:rPr>
                <w:vertAlign w:val="superscript"/>
              </w:rPr>
              <w:t xml:space="preserve"> 1</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номінальна вартість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Дані про депозитарний актив: вид активу ("1" - глобальний сертифікат, "2" - тимчасовий глобальний сертифікат, "3" - запис на рахунках у цінних паперах Центрального депозитарію у депозитаріях інших країн та у міжнародних </w:t>
            </w:r>
            <w:proofErr w:type="spellStart"/>
            <w:r>
              <w:t>депозитарно</w:t>
            </w:r>
            <w:proofErr w:type="spellEnd"/>
            <w:r>
              <w:t>-клірингових установах, "4" - інше)</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код за ЄДРПОУ/ідентифікаційний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клієнта Центрального депозитарію: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Тип рахунків клієнта Центрального депозитарію: "1" - </w:t>
            </w:r>
            <w:proofErr w:type="spellStart"/>
            <w:r>
              <w:t>сегрегований</w:t>
            </w:r>
            <w:proofErr w:type="spellEnd"/>
            <w:r>
              <w:t xml:space="preserve">, "2" - </w:t>
            </w:r>
            <w:proofErr w:type="spellStart"/>
            <w:r>
              <w:t>сегрегований</w:t>
            </w:r>
            <w:proofErr w:type="spellEnd"/>
            <w:r>
              <w:t>, на якому обліковуються цінні папери, що належать депозитарній установі на праві власності, "3" - агрегований</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Кількість рахунків певного типу клієнта</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Загальна кількість цінних паперів на рахунку (рахунках) певного типу клієнта,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Загальна номінальна вартість на рахунку (рахунках) певного типу клієнта,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rPr>
          <w:sz w:val="20"/>
          <w:szCs w:val="20"/>
        </w:rPr>
      </w:pPr>
      <w:r>
        <w:t>____________</w:t>
      </w:r>
      <w:r>
        <w:br/>
      </w:r>
      <w:r>
        <w:rPr>
          <w:vertAlign w:val="superscript"/>
        </w:rPr>
        <w:t>1</w:t>
      </w:r>
      <w:r>
        <w:t xml:space="preserve"> </w:t>
      </w:r>
      <w:r>
        <w:rPr>
          <w:sz w:val="20"/>
          <w:szCs w:val="20"/>
        </w:rPr>
        <w:t>Станом на останній день звітного кварталу.</w:t>
      </w:r>
    </w:p>
    <w:p w:rsidR="00C47358" w:rsidRDefault="0032427E" w:rsidP="007E0A8B">
      <w:pPr>
        <w:pStyle w:val="a3"/>
        <w:spacing w:before="0" w:beforeAutospacing="0" w:after="0" w:afterAutospacing="0"/>
        <w:ind w:firstLine="567"/>
        <w:jc w:val="both"/>
        <w:rPr>
          <w:sz w:val="20"/>
          <w:szCs w:val="20"/>
        </w:rPr>
      </w:pPr>
      <w:r>
        <w:rPr>
          <w:vertAlign w:val="superscript"/>
        </w:rPr>
        <w:t xml:space="preserve">2 </w:t>
      </w:r>
      <w:r>
        <w:rPr>
          <w:sz w:val="20"/>
          <w:szCs w:val="20"/>
        </w:rPr>
        <w:t xml:space="preserve">Заповнюється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rPr>
          <w:sz w:val="20"/>
          <w:szCs w:val="20"/>
        </w:rPr>
      </w:pPr>
      <w:r>
        <w:rPr>
          <w:vertAlign w:val="superscript"/>
        </w:rPr>
        <w:t>3</w:t>
      </w:r>
      <w:r>
        <w:t xml:space="preserve"> </w:t>
      </w:r>
      <w:r>
        <w:rPr>
          <w:sz w:val="20"/>
          <w:szCs w:val="20"/>
        </w:rPr>
        <w:t xml:space="preserve">Заповнюється відповідно до </w:t>
      </w:r>
      <w:r>
        <w:rPr>
          <w:color w:val="0000FF"/>
          <w:sz w:val="20"/>
          <w:szCs w:val="20"/>
        </w:rPr>
        <w:t>Довідника 46 "Перелік та коди валют"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vAlign w:val="bottom"/>
            <w:hideMark/>
          </w:tcPr>
          <w:p w:rsidR="00C47358" w:rsidRDefault="0032427E" w:rsidP="007E0A8B">
            <w:pPr>
              <w:pStyle w:val="a3"/>
              <w:spacing w:before="0" w:beforeAutospacing="0" w:after="0" w:afterAutospacing="0"/>
              <w:ind w:firstLine="567"/>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Козловська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right"/>
      </w:pPr>
      <w:r>
        <w:t>(додаток 8 у редакції рішення Національної комісії з</w:t>
      </w:r>
      <w:r>
        <w:br/>
        <w:t>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9</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6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lastRenderedPageBreak/>
        <w:t>Довідка про облік у Центральному депозитарії цінних паперів, викуплених емітентом</w:t>
      </w:r>
    </w:p>
    <w:p w:rsidR="00C47358" w:rsidRDefault="0032427E" w:rsidP="007E0A8B">
      <w:pPr>
        <w:pStyle w:val="a3"/>
        <w:spacing w:before="0" w:beforeAutospacing="0" w:after="0" w:afterAutospacing="0"/>
        <w:ind w:firstLine="567"/>
        <w:jc w:val="center"/>
      </w:pPr>
      <w:r>
        <w:t>Додаток 9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9</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7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виявлення службою внутрішнього аудиту (контролю) Центрального депозитарію порушень при здійсненні депозитарної діяльності та про стан їх усунення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Квартал, за який складено Дані </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Рік, за який складено Дані </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Прізвище, ім'я та по батькові особи, яка виявила порушення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Посада особи, яка виявила порушення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Дата виявлення порушення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протоколу</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Суть порушення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Ступінь усунення порушення на дату подання Даних до Комісії</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hideMark/>
          </w:tcPr>
          <w:p w:rsidR="00C47358" w:rsidRDefault="0032427E" w:rsidP="007E0A8B">
            <w:pPr>
              <w:pStyle w:val="a3"/>
              <w:spacing w:before="0" w:beforeAutospacing="0" w:after="0" w:afterAutospacing="0"/>
              <w:ind w:firstLine="567"/>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Курочкіна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10</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5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складення реєстрів власників іменних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Квартал,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Рік, за який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код за ЄДРПОУ / 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both"/>
            </w:pPr>
            <w:r>
              <w:t>Підстава складення:</w:t>
            </w:r>
            <w:r>
              <w:br/>
              <w:t>"1" - рішення уповноваженого відповідно до законодавства органу акціонерного товариства про проведення річних (чергових) загальних зборів;</w:t>
            </w:r>
            <w:r>
              <w:br/>
              <w:t>"2" - рішення уповноваженого відповідно до законодавства органу акціонерного товариства про проведення позачергових загальних зборів;</w:t>
            </w:r>
            <w:r>
              <w:br/>
              <w:t>"3" - 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проведення позачергових загальних зборів у передбаченому законодавством порядку;</w:t>
            </w:r>
            <w:r>
              <w:br/>
              <w:t>"4" - настання терміну звітності Центрального депозитарію або особи, з якою емітентом укладений договір про надання реєстру власників іменних цінних паперів, перед емітентом відповідно до договору (договору про обслуговування випусків цінних паперів або договору про надання реєстру власників іменних цінних паперів) стосовно переліку власників;</w:t>
            </w:r>
            <w:r>
              <w:br/>
              <w:t>"5" - публічна безвідклична пропозиція особи (осіб, що діють спільно), яка (які) внаслідок придбання акцій товариства з урахуванням кількості акцій, які належать їй та її афілійованим особам, стала (стали) (прямо або опосередковано) власником контрольного пакета акцій приватного акціонерного товариства / контрольного пакета акцій, значного контрольного пакета акцій публічного акціонерного товариства, для всіх акціонерів - власників акцій товариства про придбання належних їм акцій;</w:t>
            </w:r>
            <w:r>
              <w:br/>
              <w:t>"6" - публічна безвідклична вимога;</w:t>
            </w:r>
            <w:r>
              <w:br/>
              <w:t>"7" - настання строку виплати доходів за цінними паперами;</w:t>
            </w:r>
            <w:r>
              <w:br/>
              <w:t>"8" - рішення про припинення діяльності емітента;</w:t>
            </w:r>
            <w:r>
              <w:br/>
              <w:t>"9" - рішення органів державної влади відповідно до їх компетенції та в межах їх повноважень, визначених законами України, у тому числі за запитом Комісії під час здійснення контролю за випуском і обігом цінних паперів;</w:t>
            </w:r>
            <w:r>
              <w:br/>
              <w:t>"10" - для отримання емітентом інформації про власників голосуючих акцій акціонерних товариств, пакет яких становить 5 і більше відсотків акцій;</w:t>
            </w:r>
            <w:r>
              <w:br/>
              <w:t>"11" - інше</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Дата, станом на яку складався реєстр</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Дата надання реєстру</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Особа, якій надано реєстр: "1" - емітент цінних паперів, "2" - депозитарна установа, з якою емітентом укладено договір про надання реєстру власників іменних цінних паперів, "3" - депозитарна установа, з якою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забезпечення проведення загальних зборів емітента, "4" - член реєстраційної комісії, призначеної акціонерами (акціонером), які (який) на день подання вимоги про скликання позачергових загальних зборів сукупно є </w:t>
            </w:r>
            <w:r>
              <w:lastRenderedPageBreak/>
              <w:t>власниками (власником) 10 і більше відсотків голосуючих акцій емітента, "5" - інше</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Спосіб надання реєстру</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vAlign w:val="bottom"/>
            <w:hideMark/>
          </w:tcPr>
          <w:p w:rsidR="00C47358" w:rsidRDefault="0032427E" w:rsidP="007E0A8B">
            <w:pPr>
              <w:pStyle w:val="a3"/>
              <w:spacing w:before="0" w:beforeAutospacing="0" w:after="0" w:afterAutospacing="0"/>
              <w:ind w:firstLine="567"/>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Козловська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right"/>
      </w:pPr>
      <w:r>
        <w:t>(додаток 10 у редакції рішення Національної комісії з</w:t>
      </w:r>
      <w:r>
        <w:br/>
        <w:t> цінних паперів та фондового ринку від 14.11.2019 р.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11</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8 пункту 4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прийняті на зберігання Центральним депозитарієм як уповноваженим на зберігання документів баз даних, копій баз даних, архівів баз даних та іншої інформації від депозитарних установ, що припинили свою депозитарну діяльність депозитарної установи</w:t>
      </w:r>
    </w:p>
    <w:p w:rsidR="00C47358" w:rsidRDefault="0032427E" w:rsidP="007E0A8B">
      <w:pPr>
        <w:pStyle w:val="a3"/>
        <w:spacing w:before="0" w:beforeAutospacing="0" w:after="0" w:afterAutospacing="0"/>
        <w:ind w:firstLine="567"/>
        <w:jc w:val="center"/>
      </w:pPr>
      <w:r>
        <w:t>Додаток 11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13</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1 пункту 5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призначення та/або анулювання Центральним депозитарієм міжнародних ідентифікаційних номерів цінних паперів</w:t>
      </w:r>
    </w:p>
    <w:p w:rsidR="00C47358" w:rsidRDefault="0032427E" w:rsidP="007E0A8B">
      <w:pPr>
        <w:pStyle w:val="a3"/>
        <w:spacing w:before="0" w:beforeAutospacing="0" w:after="0" w:afterAutospacing="0"/>
        <w:ind w:firstLine="567"/>
        <w:jc w:val="center"/>
      </w:pPr>
      <w:r>
        <w:t>Додаток 13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14</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2 пункту 5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lastRenderedPageBreak/>
        <w:t>Довідка щодо внесених до Реєстру індивідуальних ідентифікаційних кодів власників цінних паперів - нерезидентів, призначених депозитарними установами</w:t>
      </w:r>
    </w:p>
    <w:p w:rsidR="00C47358" w:rsidRDefault="0032427E" w:rsidP="007E0A8B">
      <w:pPr>
        <w:pStyle w:val="a3"/>
        <w:spacing w:before="0" w:beforeAutospacing="0" w:after="0" w:afterAutospacing="0"/>
        <w:ind w:firstLine="567"/>
        <w:jc w:val="center"/>
      </w:pPr>
      <w:r>
        <w:t>Додаток 14 виключено</w:t>
      </w:r>
      <w:r>
        <w:br/>
        <w:t>(згідно з рішенням Національної комісії з цінних паперів та фондового ринку</w:t>
      </w:r>
      <w:r>
        <w:br/>
        <w:t> від 14 листопада 2019 року N 689)</w:t>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11</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3 пункту 5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Довідка про кореспондентські відносини Центрального депозитарію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Дата виникнення нерегулярних Даних</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Договір про кореспондентські відносини: номер</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Договір про кореспондентські відносини: дата укладання</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Договір про кореспондентські відносини: дата розірвання</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депозитарію-кореспондента: ідентифікаційний код з торговельного, судового або банківського реєстру країни, де офіційно зареєстрований депозитарій-кореспондент</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депозитарію-кореспондента: повне найменування</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депозитарію-кореспондента: країна реєстрації</w:t>
            </w:r>
            <w:r>
              <w:rPr>
                <w:vertAlign w:val="superscript"/>
              </w:rPr>
              <w:t xml:space="preserve"> 1</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Дані про депозитарію-кореспондента: місцезнаходження </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rPr>
          <w:sz w:val="20"/>
          <w:szCs w:val="20"/>
        </w:rPr>
      </w:pPr>
      <w:r>
        <w:t>____________</w:t>
      </w:r>
      <w:r>
        <w:br/>
      </w:r>
      <w:r>
        <w:rPr>
          <w:vertAlign w:val="superscript"/>
        </w:rPr>
        <w:t>1</w:t>
      </w:r>
      <w:r>
        <w:t xml:space="preserve"> </w:t>
      </w:r>
      <w:r>
        <w:rPr>
          <w:sz w:val="20"/>
          <w:szCs w:val="20"/>
        </w:rPr>
        <w:t xml:space="preserve">Заповнюється відповідно до </w:t>
      </w:r>
      <w:r>
        <w:rPr>
          <w:color w:val="0000FF"/>
          <w:sz w:val="20"/>
          <w:szCs w:val="20"/>
        </w:rPr>
        <w:t>Довідника 45 "Класифікація країн світу" Системи довідників та класифікаторів</w:t>
      </w:r>
      <w:r>
        <w:rPr>
          <w:sz w:val="20"/>
          <w:szCs w:val="20"/>
        </w:rPr>
        <w:t>.</w:t>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hideMark/>
          </w:tcPr>
          <w:p w:rsidR="00C47358" w:rsidRDefault="0032427E" w:rsidP="007E0A8B">
            <w:pPr>
              <w:pStyle w:val="a3"/>
              <w:spacing w:before="0" w:beforeAutospacing="0" w:after="0" w:afterAutospacing="0"/>
              <w:ind w:firstLine="567"/>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Курочкіна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12</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(пункт 3 розділу III)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rPr>
      </w:pPr>
      <w:r>
        <w:rPr>
          <w:rFonts w:eastAsia="Times New Roman"/>
        </w:rPr>
        <w:t>Супровідна довідка для виправлених Даних Центрального депозитарію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4"/>
        <w:gridCol w:w="8779"/>
      </w:tblGrid>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1</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 xml:space="preserve">Дата заповнення </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Перелік виправлень та обґрунтування виправлених Даних</w:t>
            </w:r>
          </w:p>
        </w:tc>
      </w:tr>
      <w:tr w:rsidR="00C47358">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0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rPr>
      </w:pPr>
      <w:r>
        <w:rPr>
          <w:rFonts w:eastAsia="Times New Roman"/>
        </w:rPr>
        <w:br w:type="textWrapping" w:clear="all"/>
      </w:r>
    </w:p>
    <w:p w:rsidR="00C47358" w:rsidRDefault="0032427E" w:rsidP="007E0A8B">
      <w:pPr>
        <w:pStyle w:val="a3"/>
        <w:spacing w:before="0" w:beforeAutospacing="0" w:after="0" w:afterAutospacing="0"/>
        <w:ind w:firstLine="567"/>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hideMark/>
          </w:tcPr>
          <w:p w:rsidR="00C47358" w:rsidRDefault="0032427E" w:rsidP="007E0A8B">
            <w:pPr>
              <w:pStyle w:val="a3"/>
              <w:spacing w:before="0" w:beforeAutospacing="0" w:after="0" w:afterAutospacing="0"/>
              <w:ind w:firstLine="567"/>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Курочкіна</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a3"/>
        <w:spacing w:before="0" w:beforeAutospacing="0" w:after="0" w:afterAutospacing="0"/>
        <w:ind w:firstLine="567"/>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13</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2 пункту 5 розділу II)</w:t>
            </w:r>
          </w:p>
        </w:tc>
      </w:tr>
    </w:tbl>
    <w:p w:rsidR="00C47358" w:rsidRDefault="0032427E" w:rsidP="007E0A8B">
      <w:pPr>
        <w:pStyle w:val="a3"/>
        <w:spacing w:before="0" w:beforeAutospacing="0" w:after="0" w:afterAutospacing="0"/>
        <w:ind w:firstLine="567"/>
        <w:jc w:val="both"/>
      </w:pPr>
      <w:r>
        <w:br w:type="textWrapping" w:clear="all"/>
      </w:r>
    </w:p>
    <w:p w:rsidR="00C47358" w:rsidRDefault="0032427E" w:rsidP="007E0A8B">
      <w:pPr>
        <w:pStyle w:val="3"/>
        <w:spacing w:before="0" w:beforeAutospacing="0" w:after="0" w:afterAutospacing="0"/>
        <w:ind w:firstLine="567"/>
        <w:jc w:val="center"/>
        <w:rPr>
          <w:rFonts w:eastAsia="Times New Roman"/>
          <w:vertAlign w:val="superscript"/>
        </w:rPr>
      </w:pPr>
      <w:r>
        <w:rPr>
          <w:rFonts w:eastAsia="Times New Roman"/>
        </w:rPr>
        <w:t>Довідка про факти порушення депозитарною установою депозитарного балансу</w:t>
      </w:r>
      <w:r>
        <w:rPr>
          <w:rFonts w:eastAsia="Times New Roman"/>
          <w:vertAlign w:val="superscript"/>
        </w:rPr>
        <w:t xml:space="preserve">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
        <w:gridCol w:w="8659"/>
      </w:tblGrid>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Номер за порядком</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Код за ЄДРПОУ Центрального депозитарію</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Дата, станом на яку складено Дані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депозитарну установу: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депозитарну установу: код за ЄДРПОУ</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депозитарну установу: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Вид порушення: "0" - депозитарною установою не надано інформації для звірки балансу, "1" - депозитарною установою не виконано зарахування прав на цінні папери на рахунки у цінних паперах депонентів, клієнтів, "2" - депозитарною установою не виконано списання прав на цінні папери з рахунків у цінних паперах депонентів, клієнтів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найменування</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код за ЄДРПОУ / ідентифікаційний код з торговельного, судового або банківського реєстру емітента (для нерезидентів)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емітента: ідентифікаційний номер за міжнародним ідентифікатором юридичних осіб (код LEI) (за наявності)</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міжнародний ідентифікаційний номер цінних паперів</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класифікації фінансових інструментів (код CFI)</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w:t>
            </w:r>
            <w:r>
              <w:rPr>
                <w:vertAlign w:val="superscript"/>
              </w:rPr>
              <w:t xml:space="preserve"> 2</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номінальна вартість</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lastRenderedPageBreak/>
              <w:t>15</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Дані про цінні папери: код валюти</w:t>
            </w:r>
            <w:r>
              <w:rPr>
                <w:vertAlign w:val="superscript"/>
              </w:rPr>
              <w:t xml:space="preserve"> 3</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16</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Загальна кількість цінних паперів на відповідному агрегованому рахунку,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17</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Загальна номінальна вартість цінних паперів на відповідному агрегованому рахунку, шт.</w:t>
            </w:r>
          </w:p>
        </w:tc>
      </w:tr>
      <w:tr w:rsidR="00C47358">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jc w:val="center"/>
            </w:pPr>
            <w:r>
              <w:t>18</w:t>
            </w:r>
          </w:p>
        </w:tc>
        <w:tc>
          <w:tcPr>
            <w:tcW w:w="4750" w:type="pct"/>
            <w:tcBorders>
              <w:top w:val="outset" w:sz="6" w:space="0" w:color="auto"/>
              <w:left w:val="outset" w:sz="6" w:space="0" w:color="auto"/>
              <w:bottom w:val="outset" w:sz="6" w:space="0" w:color="auto"/>
              <w:right w:val="outset" w:sz="6" w:space="0" w:color="auto"/>
            </w:tcBorders>
            <w:hideMark/>
          </w:tcPr>
          <w:p w:rsidR="00C47358" w:rsidRDefault="0032427E" w:rsidP="007E0A8B">
            <w:pPr>
              <w:pStyle w:val="a3"/>
              <w:spacing w:before="0" w:beforeAutospacing="0" w:after="0" w:afterAutospacing="0"/>
              <w:ind w:firstLine="567"/>
            </w:pPr>
            <w:r>
              <w:t>Примітки</w:t>
            </w:r>
          </w:p>
        </w:tc>
      </w:tr>
    </w:tbl>
    <w:p w:rsidR="00C47358" w:rsidRDefault="0032427E" w:rsidP="007E0A8B">
      <w:pPr>
        <w:ind w:firstLine="567"/>
        <w:rPr>
          <w:rFonts w:eastAsia="Times New Roman"/>
          <w:vertAlign w:val="superscript"/>
        </w:rPr>
      </w:pPr>
      <w:r>
        <w:rPr>
          <w:rFonts w:eastAsia="Times New Roman"/>
          <w:vertAlign w:val="superscript"/>
        </w:rPr>
        <w:br w:type="textWrapping" w:clear="all"/>
      </w:r>
    </w:p>
    <w:p w:rsidR="00C47358" w:rsidRDefault="0032427E" w:rsidP="007E0A8B">
      <w:pPr>
        <w:pStyle w:val="a3"/>
        <w:spacing w:before="0" w:beforeAutospacing="0" w:after="0" w:afterAutospacing="0"/>
        <w:ind w:firstLine="567"/>
        <w:jc w:val="both"/>
        <w:rPr>
          <w:vertAlign w:val="superscript"/>
        </w:rPr>
      </w:pPr>
      <w:r>
        <w:rPr>
          <w:b/>
          <w:bCs/>
          <w:vertAlign w:val="superscript"/>
        </w:rPr>
        <w:t xml:space="preserve">Примітка. </w:t>
      </w:r>
      <w:r>
        <w:rPr>
          <w:vertAlign w:val="superscript"/>
        </w:rPr>
        <w:t>У разі зазначення у рядку 7 виду порушення "0" дані, зазначені у рядках 8 - 17, не подаються.</w:t>
      </w:r>
    </w:p>
    <w:p w:rsidR="00C47358" w:rsidRDefault="0032427E" w:rsidP="007E0A8B">
      <w:pPr>
        <w:pStyle w:val="a3"/>
        <w:spacing w:before="0" w:beforeAutospacing="0" w:after="0" w:afterAutospacing="0"/>
        <w:ind w:firstLine="567"/>
        <w:jc w:val="both"/>
        <w:rPr>
          <w:sz w:val="20"/>
          <w:szCs w:val="20"/>
          <w:vertAlign w:val="superscript"/>
        </w:rPr>
      </w:pPr>
      <w:r>
        <w:rPr>
          <w:vertAlign w:val="superscript"/>
        </w:rPr>
        <w:t>____________</w:t>
      </w:r>
      <w:r>
        <w:rPr>
          <w:vertAlign w:val="superscript"/>
        </w:rPr>
        <w:br/>
        <w:t xml:space="preserve">1 </w:t>
      </w:r>
      <w:r>
        <w:rPr>
          <w:sz w:val="20"/>
          <w:szCs w:val="20"/>
          <w:vertAlign w:val="superscript"/>
        </w:rPr>
        <w:t>Дані подаються за цінними паперами, випуски яких зареєстровано в бездокументарній формі.</w:t>
      </w:r>
    </w:p>
    <w:p w:rsidR="00C47358" w:rsidRDefault="0032427E" w:rsidP="007E0A8B">
      <w:pPr>
        <w:pStyle w:val="a3"/>
        <w:spacing w:before="0" w:beforeAutospacing="0" w:after="0" w:afterAutospacing="0"/>
        <w:ind w:firstLine="567"/>
        <w:jc w:val="both"/>
        <w:rPr>
          <w:sz w:val="20"/>
          <w:szCs w:val="20"/>
          <w:vertAlign w:val="superscript"/>
        </w:rPr>
      </w:pPr>
      <w:r>
        <w:rPr>
          <w:vertAlign w:val="superscript"/>
        </w:rPr>
        <w:t xml:space="preserve">2 </w:t>
      </w:r>
      <w:r>
        <w:rPr>
          <w:sz w:val="20"/>
          <w:szCs w:val="20"/>
          <w:vertAlign w:val="superscript"/>
        </w:rPr>
        <w:t xml:space="preserve">Заповнюється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C47358" w:rsidRDefault="0032427E" w:rsidP="007E0A8B">
      <w:pPr>
        <w:pStyle w:val="a3"/>
        <w:spacing w:before="0" w:beforeAutospacing="0" w:after="0" w:afterAutospacing="0"/>
        <w:ind w:firstLine="567"/>
        <w:jc w:val="both"/>
        <w:rPr>
          <w:sz w:val="20"/>
          <w:szCs w:val="20"/>
          <w:vertAlign w:val="superscript"/>
        </w:rPr>
      </w:pPr>
      <w:r>
        <w:rPr>
          <w:vertAlign w:val="superscript"/>
        </w:rPr>
        <w:t xml:space="preserve">3 </w:t>
      </w:r>
      <w:r>
        <w:rPr>
          <w:sz w:val="20"/>
          <w:szCs w:val="20"/>
          <w:vertAlign w:val="superscript"/>
        </w:rPr>
        <w:t xml:space="preserve">Заповнюється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C47358" w:rsidRDefault="0032427E" w:rsidP="007E0A8B">
      <w:pPr>
        <w:pStyle w:val="a3"/>
        <w:spacing w:before="0" w:beforeAutospacing="0" w:after="0" w:afterAutospacing="0"/>
        <w:ind w:firstLine="567"/>
        <w:jc w:val="both"/>
        <w:rPr>
          <w:vertAlign w:val="superscript"/>
        </w:rPr>
      </w:pPr>
      <w:r>
        <w:rPr>
          <w:vertAlign w:val="superscript"/>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47358">
        <w:trPr>
          <w:tblCellSpacing w:w="22" w:type="dxa"/>
        </w:trPr>
        <w:tc>
          <w:tcPr>
            <w:tcW w:w="2500" w:type="pct"/>
            <w:vAlign w:val="bottom"/>
            <w:hideMark/>
          </w:tcPr>
          <w:p w:rsidR="00C47358" w:rsidRDefault="0032427E" w:rsidP="007E0A8B">
            <w:pPr>
              <w:pStyle w:val="a3"/>
              <w:spacing w:before="0" w:beforeAutospacing="0" w:after="0" w:afterAutospacing="0"/>
              <w:ind w:firstLine="567"/>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C47358" w:rsidRDefault="0032427E" w:rsidP="007E0A8B">
            <w:pPr>
              <w:pStyle w:val="a3"/>
              <w:spacing w:before="0" w:beforeAutospacing="0" w:after="0" w:afterAutospacing="0"/>
              <w:ind w:firstLine="567"/>
              <w:jc w:val="center"/>
            </w:pPr>
            <w:r>
              <w:rPr>
                <w:b/>
                <w:bCs/>
              </w:rPr>
              <w:t>І. Козловська</w:t>
            </w:r>
          </w:p>
        </w:tc>
      </w:tr>
    </w:tbl>
    <w:p w:rsidR="00C47358" w:rsidRDefault="0032427E" w:rsidP="007E0A8B">
      <w:pPr>
        <w:pStyle w:val="a3"/>
        <w:spacing w:before="0" w:beforeAutospacing="0" w:after="0" w:afterAutospacing="0"/>
        <w:ind w:firstLine="567"/>
        <w:jc w:val="both"/>
        <w:rPr>
          <w:vertAlign w:val="superscript"/>
        </w:rPr>
      </w:pPr>
      <w:r>
        <w:rPr>
          <w:vertAlign w:val="superscript"/>
        </w:rPr>
        <w:br w:type="textWrapping" w:clear="all"/>
      </w:r>
    </w:p>
    <w:p w:rsidR="00C47358" w:rsidRDefault="0032427E" w:rsidP="007E0A8B">
      <w:pPr>
        <w:pStyle w:val="a3"/>
        <w:spacing w:before="0" w:beforeAutospacing="0" w:after="0" w:afterAutospacing="0"/>
        <w:ind w:firstLine="567"/>
        <w:jc w:val="right"/>
        <w:rPr>
          <w:vertAlign w:val="superscript"/>
        </w:rPr>
      </w:pPr>
      <w:r>
        <w:rPr>
          <w:vertAlign w:val="superscript"/>
        </w:rPr>
        <w:t>(Положення доповнено додатком 13 згідно з рішенням</w:t>
      </w:r>
      <w:r>
        <w:rPr>
          <w:vertAlign w:val="superscript"/>
        </w:rPr>
        <w:br/>
        <w:t> Національної комісії з цінних паперів та фондового ринку</w:t>
      </w:r>
      <w:r>
        <w:rPr>
          <w:vertAlign w:val="superscript"/>
        </w:rPr>
        <w:br/>
        <w:t> від 14.11.2019 р. N 689)</w:t>
      </w:r>
    </w:p>
    <w:p w:rsidR="00C47358" w:rsidRDefault="0032427E" w:rsidP="007E0A8B">
      <w:pPr>
        <w:pStyle w:val="a3"/>
        <w:spacing w:before="0" w:beforeAutospacing="0" w:after="0" w:afterAutospacing="0"/>
        <w:ind w:firstLine="567"/>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20</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3 пункту 2 розділу II)</w:t>
            </w:r>
          </w:p>
        </w:tc>
      </w:tr>
    </w:tbl>
    <w:p w:rsidR="00C47358" w:rsidRDefault="0032427E" w:rsidP="007E0A8B">
      <w:pPr>
        <w:pStyle w:val="a3"/>
        <w:spacing w:before="0" w:beforeAutospacing="0" w:after="0" w:afterAutospacing="0"/>
        <w:ind w:firstLine="567"/>
        <w:jc w:val="both"/>
        <w:rPr>
          <w:vertAlign w:val="superscript"/>
        </w:rPr>
      </w:pPr>
      <w:r>
        <w:rPr>
          <w:vertAlign w:val="superscript"/>
        </w:rPr>
        <w:br w:type="textWrapping" w:clear="all"/>
      </w:r>
    </w:p>
    <w:p w:rsidR="00C47358" w:rsidRDefault="0032427E" w:rsidP="007E0A8B">
      <w:pPr>
        <w:pStyle w:val="3"/>
        <w:spacing w:before="0" w:beforeAutospacing="0" w:after="0" w:afterAutospacing="0"/>
        <w:ind w:firstLine="567"/>
        <w:jc w:val="center"/>
        <w:rPr>
          <w:rFonts w:eastAsia="Times New Roman"/>
          <w:vertAlign w:val="superscript"/>
        </w:rPr>
      </w:pPr>
      <w:r>
        <w:rPr>
          <w:rFonts w:eastAsia="Times New Roman"/>
          <w:vertAlign w:val="superscript"/>
        </w:rPr>
        <w:t>ДОВІДКА</w:t>
      </w:r>
      <w:r>
        <w:rPr>
          <w:rFonts w:eastAsia="Times New Roman"/>
          <w:vertAlign w:val="superscript"/>
        </w:rPr>
        <w:br/>
        <w:t>про вихід/невихід депозитарних установ на зв'язок з інформаційною системою Центрального депозитарію</w:t>
      </w:r>
    </w:p>
    <w:p w:rsidR="00C47358" w:rsidRDefault="0032427E" w:rsidP="007E0A8B">
      <w:pPr>
        <w:pStyle w:val="a3"/>
        <w:spacing w:before="0" w:beforeAutospacing="0" w:after="0" w:afterAutospacing="0"/>
        <w:ind w:firstLine="567"/>
        <w:jc w:val="center"/>
        <w:rPr>
          <w:vertAlign w:val="superscript"/>
        </w:rPr>
      </w:pPr>
      <w:r>
        <w:rPr>
          <w:vertAlign w:val="superscript"/>
        </w:rPr>
        <w:t>Додаток 20 виключено</w:t>
      </w:r>
    </w:p>
    <w:p w:rsidR="00C47358" w:rsidRDefault="0032427E" w:rsidP="007E0A8B">
      <w:pPr>
        <w:pStyle w:val="a3"/>
        <w:spacing w:before="0" w:beforeAutospacing="0" w:after="0" w:afterAutospacing="0"/>
        <w:ind w:firstLine="567"/>
        <w:jc w:val="right"/>
        <w:rPr>
          <w:vertAlign w:val="superscript"/>
        </w:rPr>
      </w:pPr>
      <w:r>
        <w:rPr>
          <w:vertAlign w:val="superscript"/>
        </w:rPr>
        <w:t>(Положення доповнено додатком 20 згідно з рішенням Національної</w:t>
      </w:r>
      <w:r>
        <w:rPr>
          <w:vertAlign w:val="superscript"/>
        </w:rPr>
        <w:br/>
        <w:t> комісії з цінних паперів та фондового ринку від 26.04.2016 р. N 497,</w:t>
      </w:r>
      <w:r>
        <w:rPr>
          <w:vertAlign w:val="superscript"/>
        </w:rPr>
        <w:br/>
        <w:t>додаток 20 виключено згідно з рішенням Національної комісії</w:t>
      </w:r>
      <w:r>
        <w:rPr>
          <w:vertAlign w:val="superscript"/>
        </w:rPr>
        <w:br/>
        <w:t> з цінних паперів та фондового ринку від 14.11.2019 р. N 689)</w:t>
      </w:r>
    </w:p>
    <w:p w:rsidR="00C47358" w:rsidRDefault="0032427E" w:rsidP="007E0A8B">
      <w:pPr>
        <w:pStyle w:val="a3"/>
        <w:spacing w:before="0" w:beforeAutospacing="0" w:after="0" w:afterAutospacing="0"/>
        <w:ind w:firstLine="567"/>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47358">
        <w:trPr>
          <w:tblCellSpacing w:w="22" w:type="dxa"/>
        </w:trPr>
        <w:tc>
          <w:tcPr>
            <w:tcW w:w="5000" w:type="pct"/>
            <w:hideMark/>
          </w:tcPr>
          <w:p w:rsidR="00C47358" w:rsidRDefault="0032427E" w:rsidP="007E0A8B">
            <w:pPr>
              <w:pStyle w:val="a3"/>
              <w:spacing w:before="0" w:beforeAutospacing="0" w:after="0" w:afterAutospacing="0"/>
              <w:ind w:firstLine="567"/>
            </w:pPr>
            <w:r>
              <w:t>Додаток 21</w:t>
            </w:r>
            <w:r>
              <w:br/>
              <w:t>до Положення про порядок звітування Центральним депозитарієм цінних паперів до Національної комісії з цінних паперів та фондового ринку</w:t>
            </w:r>
            <w:r>
              <w:br/>
              <w:t>(підпункт 5 пункту 5 розділу II)</w:t>
            </w:r>
          </w:p>
        </w:tc>
      </w:tr>
    </w:tbl>
    <w:p w:rsidR="00C47358" w:rsidRDefault="0032427E" w:rsidP="007E0A8B">
      <w:pPr>
        <w:pStyle w:val="a3"/>
        <w:spacing w:before="0" w:beforeAutospacing="0" w:after="0" w:afterAutospacing="0"/>
        <w:ind w:firstLine="567"/>
        <w:jc w:val="both"/>
        <w:rPr>
          <w:vertAlign w:val="superscript"/>
        </w:rPr>
      </w:pPr>
      <w:r>
        <w:rPr>
          <w:vertAlign w:val="superscript"/>
        </w:rPr>
        <w:br w:type="textWrapping" w:clear="all"/>
      </w:r>
    </w:p>
    <w:p w:rsidR="00C47358" w:rsidRDefault="0032427E" w:rsidP="007E0A8B">
      <w:pPr>
        <w:pStyle w:val="3"/>
        <w:spacing w:before="0" w:beforeAutospacing="0" w:after="0" w:afterAutospacing="0"/>
        <w:ind w:firstLine="567"/>
        <w:jc w:val="center"/>
        <w:rPr>
          <w:rFonts w:eastAsia="Times New Roman"/>
          <w:vertAlign w:val="superscript"/>
        </w:rPr>
      </w:pPr>
      <w:r>
        <w:rPr>
          <w:rFonts w:eastAsia="Times New Roman"/>
          <w:vertAlign w:val="superscript"/>
        </w:rPr>
        <w:t>ДОВІДКА</w:t>
      </w:r>
      <w:r>
        <w:rPr>
          <w:rFonts w:eastAsia="Times New Roman"/>
          <w:vertAlign w:val="superscript"/>
        </w:rPr>
        <w:br/>
        <w:t>про передачу депозитарною установою на зберігання документів, баз даних, копій баз даних уповноваженому на зберігання</w:t>
      </w:r>
    </w:p>
    <w:p w:rsidR="00C47358" w:rsidRDefault="0032427E" w:rsidP="007E0A8B">
      <w:pPr>
        <w:pStyle w:val="a3"/>
        <w:spacing w:before="0" w:beforeAutospacing="0" w:after="0" w:afterAutospacing="0"/>
        <w:ind w:firstLine="567"/>
        <w:jc w:val="center"/>
        <w:rPr>
          <w:vertAlign w:val="superscript"/>
        </w:rPr>
      </w:pPr>
      <w:r>
        <w:rPr>
          <w:vertAlign w:val="superscript"/>
        </w:rPr>
        <w:t>Додаток 21 виключено</w:t>
      </w:r>
    </w:p>
    <w:p w:rsidR="00C47358" w:rsidRDefault="0032427E" w:rsidP="007E0A8B">
      <w:pPr>
        <w:pStyle w:val="a3"/>
        <w:spacing w:before="0" w:beforeAutospacing="0" w:after="0" w:afterAutospacing="0"/>
        <w:ind w:firstLine="567"/>
        <w:jc w:val="right"/>
        <w:rPr>
          <w:vertAlign w:val="superscript"/>
        </w:rPr>
      </w:pPr>
      <w:r>
        <w:rPr>
          <w:vertAlign w:val="superscript"/>
        </w:rPr>
        <w:lastRenderedPageBreak/>
        <w:t>(Положення доповнено додатком 21 згідно з рішенням Національної</w:t>
      </w:r>
      <w:r>
        <w:rPr>
          <w:vertAlign w:val="superscript"/>
        </w:rPr>
        <w:br/>
        <w:t> комісії з цінних паперів та фондового ринку від 26.04.2016 р. N 497,</w:t>
      </w:r>
      <w:r>
        <w:rPr>
          <w:vertAlign w:val="superscript"/>
        </w:rPr>
        <w:br/>
        <w:t>додаток 21 виключено згідно з рішенням Національної комісії</w:t>
      </w:r>
      <w:r>
        <w:rPr>
          <w:vertAlign w:val="superscript"/>
        </w:rPr>
        <w:br/>
        <w:t> з цінних паперів та фондового ринку від 14.11.2019 р. N 689)</w:t>
      </w:r>
    </w:p>
    <w:p w:rsidR="00C47358" w:rsidRDefault="0032427E" w:rsidP="007E0A8B">
      <w:pPr>
        <w:pStyle w:val="a3"/>
        <w:spacing w:before="0" w:beforeAutospacing="0" w:after="0" w:afterAutospacing="0"/>
        <w:ind w:firstLine="567"/>
        <w:jc w:val="center"/>
        <w:rPr>
          <w:vertAlign w:val="superscript"/>
        </w:rPr>
      </w:pPr>
      <w:r>
        <w:rPr>
          <w:vertAlign w:val="superscript"/>
        </w:rPr>
        <w:t>____________</w:t>
      </w:r>
    </w:p>
    <w:p w:rsidR="00C47358" w:rsidRDefault="0032427E" w:rsidP="007E0A8B">
      <w:pPr>
        <w:pStyle w:val="a3"/>
        <w:spacing w:before="0" w:beforeAutospacing="0" w:after="0" w:afterAutospacing="0"/>
        <w:ind w:firstLine="567"/>
        <w:jc w:val="both"/>
        <w:rPr>
          <w:vertAlign w:val="superscript"/>
        </w:rPr>
      </w:pPr>
      <w:r>
        <w:rPr>
          <w:vertAlign w:val="superscrip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86"/>
        <w:gridCol w:w="1753"/>
      </w:tblGrid>
      <w:tr w:rsidR="00C47358">
        <w:trPr>
          <w:tblCellSpacing w:w="15" w:type="dxa"/>
        </w:trPr>
        <w:tc>
          <w:tcPr>
            <w:tcW w:w="4500" w:type="pct"/>
            <w:vAlign w:val="center"/>
            <w:hideMark/>
          </w:tcPr>
          <w:p w:rsidR="00C47358" w:rsidRDefault="0032427E" w:rsidP="007E0A8B">
            <w:pPr>
              <w:ind w:firstLine="567"/>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C47358" w:rsidRDefault="0032427E" w:rsidP="007E0A8B">
            <w:pPr>
              <w:ind w:firstLine="567"/>
              <w:rPr>
                <w:rFonts w:eastAsia="Times New Roman"/>
              </w:rPr>
            </w:pPr>
            <w:r>
              <w:rPr>
                <w:rFonts w:eastAsia="Times New Roman"/>
                <w:noProof/>
                <w:lang w:val="en-US" w:eastAsia="en-US"/>
              </w:rPr>
              <w:drawing>
                <wp:inline distT="0" distB="0" distL="0" distR="0">
                  <wp:extent cx="695325" cy="314325"/>
                  <wp:effectExtent l="0" t="0" r="9525" b="9525"/>
                  <wp:docPr id="2" name="Рисунок 2" descr="C:\Users\ninel.chernomorchen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el.chernomorchenk\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32427E" w:rsidRDefault="0032427E" w:rsidP="007E0A8B">
      <w:pPr>
        <w:ind w:firstLine="567"/>
        <w:rPr>
          <w:rFonts w:eastAsia="Times New Roman"/>
          <w:vertAlign w:val="superscript"/>
        </w:rPr>
      </w:pPr>
    </w:p>
    <w:sectPr w:rsidR="003242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8B"/>
    <w:rsid w:val="0032427E"/>
    <w:rsid w:val="007E0A8B"/>
    <w:rsid w:val="00C47358"/>
    <w:rsid w:val="00FF63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CB353-9378-4810-81EE-1C792A3D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ninel.chernomorchenk\AppData\Roaming\Liga70\Client\Session\LOGOTYPE.BMP" TargetMode="External"/><Relationship Id="rId4" Type="http://schemas.openxmlformats.org/officeDocument/2006/relationships/image" Target="file:///C:\Users\ninel.chernomorchenk\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6660</Words>
  <Characters>37963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NSSMC</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Руслан Кисляк</cp:lastModifiedBy>
  <cp:revision>2</cp:revision>
  <dcterms:created xsi:type="dcterms:W3CDTF">2020-02-27T12:53:00Z</dcterms:created>
  <dcterms:modified xsi:type="dcterms:W3CDTF">2020-02-27T12:53:00Z</dcterms:modified>
</cp:coreProperties>
</file>