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"/>
        <w:gridCol w:w="4338"/>
        <w:gridCol w:w="4338"/>
      </w:tblGrid>
      <w:tr w:rsidR="00501C2F" w:rsidRPr="00501C2F" w:rsidTr="00501C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501C2F" w:rsidRPr="00501C2F" w:rsidTr="00501C2F"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наказом Державної комісії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цінних паперів та фондового ринку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24 вересня 1996 р. N 215</w:t>
            </w:r>
          </w:p>
        </w:tc>
      </w:tr>
      <w:tr w:rsidR="00501C2F" w:rsidRPr="00501C2F" w:rsidTr="00501C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Зареєстровано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Міністерстві юстиції України</w:t>
            </w: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 жовтня 1996 р. за N 584/1609  </w:t>
            </w:r>
          </w:p>
        </w:tc>
      </w:tr>
    </w:tbl>
    <w:bookmarkEnd w:id="0"/>
    <w:p w:rsidR="00501C2F" w:rsidRPr="00501C2F" w:rsidRDefault="00501C2F" w:rsidP="00501C2F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8"/>
          <w:szCs w:val="28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t>ПОЛОЖЕННЯ</w:t>
      </w:r>
      <w:r w:rsidRPr="00501C2F">
        <w:rPr>
          <w:rFonts w:ascii="Times New Roman" w:eastAsia="Times New Roman" w:hAnsi="Times New Roman" w:cs="Times New Roman"/>
          <w:b/>
          <w:bCs/>
          <w:color w:val="293A55"/>
          <w:sz w:val="28"/>
          <w:szCs w:val="28"/>
          <w:lang w:eastAsia="uk-UA"/>
        </w:rPr>
        <w:br/>
        <w:t>ПРО ПОРЯДОК НАВЧАННЯ ТА АТЕСТАЦІЇ ФАХІВЦІВ З ПИТАНЬ ФОНДОВОГО РИНКУ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</w:tblGrid>
      <w:tr w:rsidR="00501C2F" w:rsidRPr="00501C2F" w:rsidTr="00501C2F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C2F" w:rsidRPr="00501C2F" w:rsidRDefault="00501C2F" w:rsidP="00501C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1C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(Згідно з рішенням Державної комісії з цінних паперів та фондового ринку від 5 січня 1999 року N 1 Положення  діє в тій частині, що не суперечить пунктам 3, 4 вказаного рішення) </w:t>
            </w:r>
          </w:p>
        </w:tc>
      </w:tr>
    </w:tbl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Це Положення розроблено з метою забезпечення координації роботи з підготовки фахівців, які здійснюють професійну діяльність на ринку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(преамбула 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із змінами, внесеними згідно з рішенням Національної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16.07.2013 р. N 1248,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редакції рішення Національної комісії з 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13.09.2018 р. N 634)</w:t>
      </w:r>
    </w:p>
    <w:p w:rsidR="00501C2F" w:rsidRPr="00501C2F" w:rsidRDefault="00501C2F" w:rsidP="00501C2F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РОЗДІЛ 1. ПОРЯДОК НАВЧАННЯ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1.1. Навчання фахівців з питань фондового ринку здійснюється на підставі типових навчальних програм, що складаються з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базової програми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навчання фахівців з питань фондового ринку та спеціалізованої програми навчання фахівців з питань фондового ринку, затверджених Національною комісією з цінних паперів та фондового ринку.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1.1 із змінами, внесеними згідно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 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редакції рішення Національної комісії з 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08.10.2013 р. N 2186)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Зміни та доповнення до типових навчальних програм, пов'язані з розвитком законодавства з питань фондового ринку, змінами вимог щодо атестації фахівців, які здійснюють професійну діяльність на ринку цінних паперів, вносяться Комісією з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1.1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 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1.2. Типові навчальні програми та зміни і доповнення до них публікуються в засобах масової інформації.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1.3. Право на навчання фахівців має навчальний заклад, який здійснює свою діяльність відповідно до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 Кабінету Міністрів України від 5 квітня 1994 р. N 228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12 лютого 1996 р. N 200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та 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19 лютого 1996 р. N 224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 і який уклав договір 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про співробітництво з питань навчання фахівців відповідної спеціалізації з Комісією з цінних паперів. Договір про співробітництво укладається на термін не більше двох років.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1.4. Для укладення договору про співробітництво навчальний заклад подає до Комісії з цінних паперів такі документи: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загальний опис (інформацію) про навчальний заклад;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викладачів, які залучаються до проведення занять, із зазначенням посади, вченого звання, наукового ступеня та місця роботи, даних, які підтверджують наявність досвіду викладання у цій галузі, реквізити договорів, які засвідчують відносини між навчальними закладами та викладачами, а також інформацію про проходження стажування на базі Навчально-методичного центру відповідно до пункту 3.2 розділу 3 цього Положення;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третій пункту 1.4 у редакції рішення Національної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комісії з цінних паперів та фондового ринку від 22.01.2013 р. N 61)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навчальний план з відповідної спеціалізації, складений згідно з типовою навчальною програмою;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1.4 у редакції рішення Державної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ліцензії Міністерства освіти України на право здійснення освітньої діяльності;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договору про співробітництво з визначеним Комісією з цінних паперів навчально-методичним центром;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1.4 доповнено новим абзацом шостим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13.04.2005 р. N 178,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абзаци шостий та сьомий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вважати відповідно абзацами сьомим та восьмим)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навчальних посібників, рекомендованих Міністерством освіти і науки, молоді та спорту України або Національною комісією з цінних паперів та фондового ринку, які розкривають тематику відповідних спеціалізацій підготовки фахівців ринку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1.4 доповнено новим абзацом сьомим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 цінних паперів та фондового ринку 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абзаци сьомий, восьмий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вважати відповідно абзацами восьмим, дев'ятим)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заклад, який здійснює свою діяльність відповідно до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постанови Кабінету Міністрів України від 19 лютого 1996 р. N 224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подає до Комісії з цінних паперів копії статуту та відповідного рішення Уряду Автономної Республіки Крим, обласної, Київської та Севастопольської міської державної адміністрації про створення цього навчального закладу.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Документи, крім копій, підписуються керівником навчального закладу.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1.5. У разі, якщо з навчальним закладом укладений договір про співробітництво з питань навчання фахівців однієї спеціалізації, право на навчання фахівців інших спеціалізацій для здійснення ними професійної діяльності на ринку цінних паперів, цей навчальний заклад отримує шляхом внесення доповнення до цього договору.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Для внесення доповнень до договору навчальний заклад подає до Комісії з цінних паперів такі документи: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- навчальний план з відповідної спеціалізації, складений згідно з типовою навчальною програмою;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третій пункту 1.5 у редакції рішення Державної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викладачів, які залучаються до проведення занять, із зазначенням посади, вченого звання, наукового ступеня та місця роботи, даних, які підтверджують наявність досвіду викладання у цій галузі, реквізити договорів, які засвідчують відносини між навчальними закладами та викладачами, а також інформацію про проходження стажування на базі Навчально-методичного центру відповідно до пункту 3.2 розділу 3 цього Положення;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1.5 у редакції рішення Національної 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комісії з цінних паперів та фондового ринку від 22.01.2013 р. N 61)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навчальних посібників, рекомендованих Міністерством освіти і науки, молоді та спорту України або Національною комісією з цінних паперів та фондового ринку, які розкривають тематику відповідних спеціалізацій підготовки фахівців ринку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1.5 доповнено новим абзацом п'ятим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 цінних паперів та фондового ринку 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 п'ятий вважати абзацом шостим)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Документи підписуються керівником навчального закладу.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1.6. Перелік навчальних закладів, які уклали договори про співробітництво з Комісією з цінних паперів, публікується у засобах масової інформації.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Кожний навчальний заклад повинен оприлюднювати на власному веб-сайті таку інформацію: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новим абзацом другим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план-графік проведення навчання фахівців;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новим абзацом третім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розклад навчання;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новим абзацом четвертим згідно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 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навчальні програми із зазначенням викладачів з кожної теми, перелік актів законодавства, необхідних для вивчення відповідних навчальних програм.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новим абзацом п'ятим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абзаци другий, третій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вважати відповідно абзацами шостим, сьомим)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Навчальний заклад, який провадить навчання фахівців з питань фондового ринку, при рекламуванні своєї діяльності щодо відповідного виду навчання обов'язково 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повинен вказувати на наявність договору про співробітництво з Комісією з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 несе відповідальність за організацію і проведення навчального процесу згідно з установленими вимогами.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абзацом сьомим згідно з рішенням Державної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1.7. Навчальний заклад повинен забезпечити доступ слухачів до власного бібліотечного фонду, який повинен включати в себе літературу з питань функціонування і розвитку фондового ринку та навчальні посібники відповідно до типових навчальних програм.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 повинен забезпечити кожного слухача збірником чинних редакцій актів законодавства, необхідних для вивчення відповідних навчальних програм.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1.7, передбачений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абзацом третім підпункту 1.5 пункту 1 Змін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затверджених рішенням Національної комісії з цінних паперів та фондового ринку від 22.01.2013 р. N 61, набирає чинності з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01.01.2015 р.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враховуючи зміни, внесені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рішенням Національної комісії з цінних паперів та фондового ринку від 12.08.2014 р. N 1049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(розділ 1 доповнено новим пунктом 1.7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1.8. Навчальний заклад зобов'язаний щороку у термін до 1 вересня надавати до Комісії з цінних паперів актуалізовану інформацію стосовно списку викладачів, які залучатимуться до проведення занять протягом наступного навчального року, із зазначенням дати проходження останнього стажування кожним викладачем.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(розділ 1 доповнено новим пунктом 1.8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пункти 1.7 - 1.11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вважати відповідно пунктами 1.9 - 1.13)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1.9. За наявності стажу роботи на фондовому ринку не менше трьох років на момент подання документів для складання кваліфікаційного іспиту керівник професійного учасника або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саморегулівної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організації професійних учасників фондового ринку має право складати кваліфікаційний іспит з відповідної спеціалізації без обов'язкового проходження навчання.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(розділ 1 доповнено новим пунктом 1.9 згідно з рішенням Національної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08.10.2013 р. N 2186,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пункти 1.9 - 1.13 вважати відповідно пунктами 1.10 - 1.14)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1.10. За результатами проходження навчання за кожною з програм видається відповідне свідоцтво. Свідоцтва про навчання засвідчуються підписом керівника навчального закладу.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1.10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 від 29.08.2017 р. N 644)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Право на навчання за скороченою (спеціалізованою) типовою програмою мають особи: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які мають стаж роботи на фондовому ринку протягом останніх трьох років та чинний сертифікат за певним видом діяльності і мають намір пройти навчання за тим самим видом діяльності;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які мають сертифікат за певним видом діяльності і мають намір пройти навчання за іншим видом діяльності, якщо з дати одержання свідоцтва про навчання за базовою програмою пройшло не більше одного року.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1.10 у редакції рішення Національної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08.10.2013 р. N 2186)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1.11. Свідоцтво про навчання повинно містити: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назву навчального закладу;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надпис "Свідоцтво про навчання фахівця (вказується спеціалізація)";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дату видачі свідоцтва про навчання;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 фахівця;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запис, що свідоцтво про навчання надає можливість складання кваліфікаційного іспиту та одержання кваліфікаційного посвідчення з відповідної спеціалізації;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 підпис керівника навчального закладу.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сьомий пункту 1.11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 від 29.08.2017 р. N 644)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1.12. Навчальний заклад веде реєстри виданих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свідоцтв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про навчання з кожної спеціалізації із зазначенням прізвища, імені та по батькові, паспортних даних фахівця, номера та дати видачі свідоцтва.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 тижневий термін після закінчення курсу навчання навчальний заклад подає до Комісії з цінних паперів інформацію про фахівців, яким були видані свідоцтва про навчання з відповідної спеціалізації. Інформація подається на паперових носіях та у вигляді електронної копії на електронному носії у форматі, який встановлює Комісія з цінних паперів. Паперова форма інформації повинна бути засвідчена підписом керівника навчального закладу.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 1.12 із змінами, внесеними згідно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рішеннями 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29.08.2017 р. N 644)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Інформація про фахівців повинна містити: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назву навчального закладу;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реквізити договору про співробітництво з Комісією з цінних паперів;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дані про кожного фахівця, якому видано свідоцтво, а саме: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паспортні дані (серія та номер паспорта, назва органу, що видав паспорт, та дата видачі);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дата видачі свідоцтва про навчання.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1.13. Філія навчального закладу, який уклав договір про співробітництво, подає до Комісії з цінних паперів документи про філію, оформлені згідно з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пп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. 1.4, 1.5 цього Положення та підписані керівником навчального закладу та керівником філії.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Після письмового погодження Комісії з цінних паперів, яке надсилається філії та навчальному закладу, філія навчального закладу проводить навчання фахівців відповідно до вимог цього Положення.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 несе відповідальність за дотримання його філією вимог цього Положення та умов договору про співробітництво з Комісією з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1.14. Контроль за дотриманням навчальним закладом та його філією умов договору про співробітництво щодо навчання фахівців з питань фондового ринку здійснює Комісія.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 1.14 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34)</w:t>
      </w:r>
    </w:p>
    <w:p w:rsidR="00501C2F" w:rsidRPr="00501C2F" w:rsidRDefault="00501C2F" w:rsidP="00501C2F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РОЗДІЛ 2. ОРГАНІЗАЦІЯ АТЕСТАЦІЇ ФАХІВЦІВ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2.1. Атестація фахівців, які мають наміри займатися професійною діяльністю на ринку цінних паперів, провадиться з метою забезпечення сумлінного і професійного виконання ними своїх обов'язків перед учасниками ринку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Для атестації фахівців створюються екзаменаційні комісії, які проводять кваліфікаційні іспити з кожної спеціалізації.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2.1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2.2. Склад екзаменаційної комісії затверджується наказом керівника навчального закладу, на базі якого буде проходити атестація фахівців, за погодженням з Комісією.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2.2 у редакції рішення Державної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До складу екзаменаційних комісій входять представники Комісії з цінних паперів. При необхідності до складу екзаменаційних комісій можуть включатись представники інших державних органів, навчальних закладів та організацій, створених професійними учасниками фондового ринку.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2.2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2.3. Приймання кваліфікаційних іспитів екзаменаційними комісіями здійснюється відповідно до порядку роботи екзаменаційної комісії і правил проведення кваліфікаційного іспиту, які затверджуються Комісією в установленому порядку.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2.3 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2.4. Робота екзаменаційних комісій організовується на базі установ, з якими Комісія з цінних паперів уклала договори про співробітництво з питань атестації фахівців фондового ринку за умови наявності в цих установ відповідної ліцензії Міністерства освіти і науки України на право здійснення освітньої діяльності та відповідного договору про співробітництво з навчально-методичним центром.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2.4 у редакції рішень 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13.04.2005 р. N 178)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Атестація фахівців з питань фондового ринку може проводитись не за місцем навчання.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(абзац другий пункту 2.4 у редакції рішення Державної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Договір про співробітництво з питань атестації фахівців фондового ринку укладається на термін один рік.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Інформація про місцезнаходження екзаменаційних комісій та порядок їх роботи публікується в засобах масової інформації.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2.4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2.5. Особи, які претендують на одержання кваліфікаційного посвідчення, повинні мати освіту освітньо-кваліфікаційного рівня не нижче ніж "спеціаліст" або "магістр" за однією з таких спеціальностей відповідно до Переліку спеціальностей, за якими здійснюється підготовка фахівців у вищих навчальних закладах за освітньо-кваліфікаційними рівнями спеціаліста і магістра, затвердженого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постановою Кабінету Міністрів України від 27 серпня 2010 року N 787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міжнародне право та міжнародні економічні відносини в галузі знань "Міжнародні відносини";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правознавство та правоохоронна діяльність у галузі знань "Право";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прикладна економіка;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економічна теорія, економічна кібернетика, міжнародна економіка, економіка підприємства, управління персоналом та економіка праці, прикладна статистика, маркетинг, фінанси і кредит, банківська справа, оподаткування, облік і аудит, товарознавство і комерційна діяльність, товарознавство та експертиза в митній справі, експертиза товарів та послуг, управління безпечністю та якістю товарів, організація оптової та роздрібної торгівлі в галузі знань "Економіка та підприємництво";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менеджмент організацій і адміністрування, менеджмент інноваційної діяльності в галузі знань "Менеджмент і адміністрування";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математика,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актуарна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та фінансова математика, математична економіка та економетрика, комп'ютерна механіка в галузі знань "Фізико-математичні науки";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прикладна математика, комп'ютерна математика, математичне та комп'ютерне моделювання,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криптологія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інформатика, прикладна інформатика, системний аналіз і управління, системи і методи прийняття рішень у галузі знань "Системні науки та кібернетика";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інформаційні управляючі системи та технології, інформаційні технології проектування, системне проектування, системи штучного інтелекту, комп'ютерні системи та мережі, системне програмування, спеціалізовані комп'ютерні системи, програмне забезпечення систем, інженерія програмного забезпечення в галузі знань "Інформатика та обчислювальна техніка";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державне управління в галузі знань "Державне управління".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Установити, що ці вимоги не застосовуються до осіб, які мають загальний стаж роботи на фондовому ринку за будь-яким видом професійної діяльності не менше дев'яти років.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2.5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редакції рішень 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 цінних паперів та фондового ринку від 11.11.2008 р. N 1309,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02.02.2010 р. N 105,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 Національної комісії з цінних паперів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та фондового ринку від 08.10.2013 р. N 2186)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(зміни, внесені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підпунктом 1 пункту 2 Змін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затверджених рішенням Національної комісії з цінних паперів та фондового ринку від 08.10.2013 р. N 2186, до пункту 2.5 цього рішення, щодо будь-яких осіб, які претендують на одержання кваліфікаційного посвідчення, набирають чинності з </w:t>
      </w:r>
      <w:r w:rsidRPr="00501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 вересня 2017 року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2.6. Для участі у кваліфікаційному іспиті фахівець подає до екзаменаційної комісії: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2.6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заяву на участь у кваліфікаційному іспиті;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свідоцтва про навчання або іноземного документа щодо здобуття професійної кваліфікації;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третій пункту 2.6 у редакції рішення 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11.11.2008 р. N 1309)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документа про освіту, що відповідає вимогам пункту 2.5 цього Положення;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2.6 у редакції рішення 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11.11.2008 р. N 1309)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платіжного доручення про оплату за складання кваліфікаційного іспиту.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У разі наявності у професійного учасника ринку цінних паперів практичного досвіду роботи не менше одного останнього року на момент подання документів для складання кваліфікаційного іспиту: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свідоцтва про навчання за скороченою типовою програмою, виданого за відповідним видом професійної діяльності з цінними паперами;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ксерокопію трудової книжки за останній рік, засвідчену в установленому порядку;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документи, що підтверджують трудові відносини у разі сумісництва, за останній рік, якщо діяльність пов'язана з цінними паперами, засвідчені в установленому порядку.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2.6 доповнено новими абзацами шостим - дев'ятим згідно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 Державної комісії з 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13.12.2001 р. N 382,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абзац шостий вважати абзацом десятим)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Розмір оплати за складання кваліфікаційного іспиту  встановлюється згідно з вимогами чинного законодавства установою, на базі якої організовується робота екзаменаційної комісії.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 десятий пункту 2.6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2.7. Екзаменаційна комісія проводить кваліфікаційний іспит шляхом тестування фахівців. У разі необхідності екзаменаційна комісія може проводити додаткову співбесіду з фахівцями.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2.7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Фахівець має право скласти кваліфікаційний іспит протягом 1 року з дати отримання свідоцтва про навчання з відповідної спеціалізації.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2.7 доповнено новим абзацом другим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Національної комісії з цінних паперів та фондового ринку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 другий вважати абзацом третім)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Кваліфікаційні вимоги до фахівців при складанні кваліфікаційного іспиту та тести з кожної спеціалізації є єдиними для всіх екзаменаційних комісій і затверджуються Комісією з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 третій пункту 2.7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2.8. У разі успішного складання кваліфікаційного іспиту фахівцю видається кваліфікаційне посвідчення з відповідної спеціалізації.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Оформлення і видачу кваліфікаційного посвідчення не пізніше трьох днів від дати проведення кваліфікаційного іспиту здійснює установа, на базі якої організована робота екзаменаційної комісії. Кваліфікаційні посвідчення підписуються головою та секретарем екзаменаційної комісії і засвідчуються підписом керівника установи, на базі якої організована робота екзаменаційної комісії.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2.8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рішенням Національної комісії з 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29.08.2017 р. N 644)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2.9. Кваліфікаційне посвідчення повинно містити: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надпис "Екзаменаційна комісія (назва навчального закладу)";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2.9 у редакції рішення Державної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надпис "Кваліфікаційне посвідчення фахівця (вказується спеціалізація)";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місцезнаходження екзаменаційної комісії;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2.9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дату видачі кваліфікаційного посвідчення;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 фахівця;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абзац сьомий пункту 2.9 виключено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Національної комісії з 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08.10.2013 р. N 2186)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 підписи голови та секретаря екзаменаційної комісії, керівника установи, на базі якої організована робота екзаменаційної комісії.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восьмий пункту 2.9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рішенням Національної комісії з 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29.08.2017 р. N 644)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2.10. Екзаменаційна комісія за результатами кваліфікаційного іспиту складає протокол у двох примірниках, який підписують усі члени комісії та керівник установи, 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на базі якої організована робота екзаменаційної комісії. Перший примірник указаного протоколу в тижневий термін передається до Комісії. Другий примірник протоколу зберігається зазначеною установою протягом трьох років від дати проведення кваліфікаційного іспиту.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2.10 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із змінами, внесеними згідно з рішеннями Національної комісії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з цінних паперів та фондового ринку від 08.10.2013 р. N 2186,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29.08.2017 р. N 644)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2.11. Фахівець, який не склав кваліфікаційний іспит, вправі оскаржити дії екзаменаційної комісії в Комісію з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2.11 із змінами, внесеними згідно з рішенням Державної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2.12. Кожний атестований фахівець має право мати тільки одне кваліфікаційне посвідчення з відповідної спеціалізації. Термін дії кваліфікаційного посвідчення фахівця з питань фондового ринку - 3 роки з дати його видачі.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2.12 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2.13. Установа, на базі якої організована робота екзаменаційної комісії, веде реєстр виданих кваліфікаційних посвідчень із зазначенням прізвища, імені та по батькові, паспортних даних фахівця, номера та дати видачі посвідчення.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2.13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 тижневий термін після кваліфікаційного іспиту установа подає до Комісії з цінних паперів інформацію про фахівців, яким були видані кваліфікаційні посвідчення. Інформація подається на паперових носіях та у вигляді електронної копії на електронному носії у форматі, який встановлює Комісія з цінних паперів. Паперова форма інформації повинна бути засвідчена підписом керівника установи, на базі якої організована робота екзаменаційної комісії.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2.13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рішеннями Національної комісії з 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паперів та фондового ринку від 22.01.2013 р. N 61,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29.08.2017 р. N 644)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Інформація про фахівців повинна містити: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назву та місцезнаходження установи, на базі якої організована робота екзаменаційної комісії;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2.13 із змінами, внесеними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дату протоколу про результати кваліфікаційного іспиту;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дані про кожного фахівця, якому видано кваліфікаційне посвідчення, а саме: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паспортні дані (серія та номер паспорта, назва органу, що видав паспорт, та дата видачі);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- номер та дата видачі кваліфікаційного посвідчення.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2.14. Документи, які подані фахівцем до екзаменаційної комісії, після проведення кваліфікаційного іспиту повинні зберігатись установою протягом чотирьох років.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2.14 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із змінами, внесеними згідно з рішенням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13.04.2005 р. N 178)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2.15. Контроль за діяльністю установи щодо атестації фахівців з питань фондового ринку здійснює Комісія з цінних паперів.</w:t>
      </w:r>
    </w:p>
    <w:p w:rsidR="00501C2F" w:rsidRPr="00501C2F" w:rsidRDefault="00501C2F" w:rsidP="00501C2F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РОЗДІЛ 3. НАВЧАЛЬНО-МЕТОДИЧНИЙ ЦЕНТР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3.1. Навчально-методичний центр визначається рішенням Комісії з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3.2. Рішення Комісії з цінних паперів про визначення навчально-методичного центру є підставою для укладання договору з навчально-методичним центром про співробітництво щодо: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підготовки, перепідготовки та підвищення кваліфікації фахівців з питань фондового ринку, корпоративного управління, фінансового моніторингу професійних учасників ринку цінних паперів, фахівців - учасників ринку цінних паперів за іншими спеціальностями та спеціалізаціями, які визначаються Комісією з цінних паперів;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організації стажування викладачів з питань фондового ринку, корпоративного управління, фінансового моніторингу професійних учасників ринку цінних паперів, фахівців - учасників ринку цінних паперів за іншими спеціальностями та спеціалізаціями, які визначаються Комісією з цінних паперів;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організації та методологічного забезпечення роботи екзаменаційних комісій з проведення кваліфікаційних іспитів фахівців з питань фондового ринку, корпоративного управління та фахівців - учасників ринку цінних паперів за іншими спеціальностями та спеціалізаціями;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координації роботи регіональних екзаменаційних комісій з атестації фахівців з питань фондового ринку;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організація здійснення тестування;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інших завдань з питань підготовки фахівців фондового ринку, визначених законодавством.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(Положення доповнено новим розділом 3 згідно з рішенням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 цінних паперів та фондового ринку від 13.04.2005 р. N 178,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розділ 3 вважати розділом 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пункти 3.1 - 3.7 відповідно вважати пунктами 4.1 - 4.7)</w:t>
      </w:r>
    </w:p>
    <w:p w:rsidR="00501C2F" w:rsidRPr="00501C2F" w:rsidRDefault="00501C2F" w:rsidP="00501C2F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РОЗДІЛ 4. КОНТРОЛЬ ЗА ВИДАЧЕЮ КВАЛІФІКАЦІЙНИХ ПОСВІДЧЕНЬ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4.1. Контроль за </w:t>
      </w:r>
      <w:proofErr w:type="spellStart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видачею</w:t>
      </w:r>
      <w:proofErr w:type="spellEnd"/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кваліфікаційних посвідчень фахівців з питань фондового ринку з кожної спеціалізації здійснює Комісія з цінних паперів.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4.2. Пункт 4.2 вилучено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4.3. Пункт 4.3 вилучено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(згідно з рішенням Державної комісії з 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4.4. Пункт 4.4 вилучено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4.5. Пункт 4.5 вилучено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4.6. Подовження терміну дії кваліфікаційного посвідчення проводиться у порядку, встановленому цим Положенням щодо атестації фахівців. 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 4.6 у редакції рішення Державної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цінних паперів та фондового ринку від 02.03.99 р. N 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4.7. Пункт 4.7 вилучено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501C2F" w:rsidRPr="00501C2F" w:rsidRDefault="00501C2F" w:rsidP="00501C2F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501C2F">
        <w:rPr>
          <w:rFonts w:ascii="Times New Roman" w:eastAsia="Times New Roman" w:hAnsi="Times New Roman" w:cs="Times New Roman"/>
          <w:b/>
          <w:bCs/>
          <w:color w:val="293A55"/>
          <w:sz w:val="24"/>
          <w:szCs w:val="24"/>
          <w:lang w:eastAsia="uk-UA"/>
        </w:rPr>
        <w:t>5. Розділ 5 виключено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(Положення доповнено розділом 5 згідно з рішенням Національної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комісії з цінних паперів та фондового ринку від 16.07.2013 р. N 1248,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розділ 5 із змінами, внесеними згідно з рішенням Національної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29.08.2017 р. N 644,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виключено згідно з рішенням Національної комісії з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13.09.2018 р. N 634)</w:t>
      </w:r>
    </w:p>
    <w:p w:rsidR="00501C2F" w:rsidRPr="00501C2F" w:rsidRDefault="00501C2F" w:rsidP="00501C2F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_____________</w:t>
      </w:r>
      <w:r w:rsidRPr="00501C2F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</w:t>
      </w:r>
    </w:p>
    <w:p w:rsidR="008C64A2" w:rsidRDefault="008C64A2"/>
    <w:sectPr w:rsidR="008C6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F"/>
    <w:rsid w:val="00501C2F"/>
    <w:rsid w:val="00896D61"/>
    <w:rsid w:val="008C64A2"/>
    <w:rsid w:val="00C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7ACDB-A2AF-469D-9891-58337556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19267</Words>
  <Characters>10983</Characters>
  <Application>Microsoft Office Word</Application>
  <DocSecurity>0</DocSecurity>
  <Lines>91</Lines>
  <Paragraphs>60</Paragraphs>
  <ScaleCrop>false</ScaleCrop>
  <Company>NSSMC</Company>
  <LinksUpToDate>false</LinksUpToDate>
  <CharactersWithSpaces>30190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Носікова</dc:creator>
  <cp:keywords/>
  <dc:description/>
  <cp:lastModifiedBy>Ірина Носікова</cp:lastModifiedBy>
  <cp:revision>3</cp:revision>
  <dcterms:created xsi:type="dcterms:W3CDTF">2018-10-30T11:27:00Z</dcterms:created>
  <dcterms:modified xsi:type="dcterms:W3CDTF">2018-10-30T11:43:00Z</dcterms:modified>
</cp:coreProperties>
</file>