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5783"/>
        <w:gridCol w:w="3856"/>
      </w:tblGrid>
      <w:tr w:rsidR="00BA4516" w:rsidRPr="00BA4516" w:rsidTr="00BA4516">
        <w:tc>
          <w:tcPr>
            <w:tcW w:w="2000" w:type="pct"/>
            <w:gridSpan w:val="2"/>
            <w:hideMark/>
          </w:tcPr>
          <w:p w:rsidR="00BA4516" w:rsidRPr="00BA4516" w:rsidRDefault="00BA4516" w:rsidP="00BA4516">
            <w:pPr>
              <w:spacing w:after="0" w:line="240" w:lineRule="auto"/>
              <w:jc w:val="right"/>
              <w:textAlignment w:val="baseline"/>
              <w:rPr>
                <w:rFonts w:ascii="Times New Roman" w:eastAsia="Times New Roman" w:hAnsi="Times New Roman" w:cs="Times New Roman"/>
                <w:sz w:val="20"/>
                <w:szCs w:val="20"/>
                <w:lang w:eastAsia="uk-UA"/>
              </w:rPr>
            </w:pPr>
            <w:r w:rsidRPr="00BA4516">
              <w:rPr>
                <w:rFonts w:ascii="Times New Roman" w:eastAsia="Times New Roman" w:hAnsi="Times New Roman" w:cs="Times New Roman"/>
                <w:bCs/>
                <w:color w:val="000000"/>
                <w:sz w:val="20"/>
                <w:szCs w:val="20"/>
                <w:lang w:eastAsia="uk-UA"/>
              </w:rPr>
              <w:t>ЗАТВЕРДЖЕНО</w:t>
            </w:r>
            <w:r w:rsidRPr="00BA4516">
              <w:rPr>
                <w:rFonts w:ascii="Times New Roman" w:eastAsia="Times New Roman" w:hAnsi="Times New Roman" w:cs="Times New Roman"/>
                <w:sz w:val="20"/>
                <w:szCs w:val="20"/>
                <w:lang w:eastAsia="uk-UA"/>
              </w:rPr>
              <w:t> </w:t>
            </w:r>
            <w:r w:rsidRPr="00BA4516">
              <w:rPr>
                <w:rFonts w:ascii="Times New Roman" w:eastAsia="Times New Roman" w:hAnsi="Times New Roman" w:cs="Times New Roman"/>
                <w:sz w:val="20"/>
                <w:szCs w:val="20"/>
                <w:lang w:eastAsia="uk-UA"/>
              </w:rPr>
              <w:br/>
            </w:r>
            <w:r w:rsidRPr="00BA4516">
              <w:rPr>
                <w:rFonts w:ascii="Times New Roman" w:eastAsia="Times New Roman" w:hAnsi="Times New Roman" w:cs="Times New Roman"/>
                <w:bCs/>
                <w:color w:val="000000"/>
                <w:sz w:val="20"/>
                <w:szCs w:val="20"/>
                <w:lang w:eastAsia="uk-UA"/>
              </w:rPr>
              <w:t>Рішення Національної</w:t>
            </w:r>
            <w:r w:rsidRPr="00BA4516">
              <w:rPr>
                <w:rFonts w:ascii="Times New Roman" w:eastAsia="Times New Roman" w:hAnsi="Times New Roman" w:cs="Times New Roman"/>
                <w:sz w:val="20"/>
                <w:szCs w:val="20"/>
                <w:lang w:eastAsia="uk-UA"/>
              </w:rPr>
              <w:t> </w:t>
            </w:r>
            <w:r w:rsidRPr="00BA4516">
              <w:rPr>
                <w:rFonts w:ascii="Times New Roman" w:eastAsia="Times New Roman" w:hAnsi="Times New Roman" w:cs="Times New Roman"/>
                <w:sz w:val="20"/>
                <w:szCs w:val="20"/>
                <w:lang w:eastAsia="uk-UA"/>
              </w:rPr>
              <w:br/>
            </w:r>
            <w:r w:rsidRPr="00BA4516">
              <w:rPr>
                <w:rFonts w:ascii="Times New Roman" w:eastAsia="Times New Roman" w:hAnsi="Times New Roman" w:cs="Times New Roman"/>
                <w:bCs/>
                <w:color w:val="000000"/>
                <w:sz w:val="20"/>
                <w:szCs w:val="20"/>
                <w:lang w:eastAsia="uk-UA"/>
              </w:rPr>
              <w:t>комісії з цінних паперів</w:t>
            </w:r>
            <w:r w:rsidRPr="00BA4516">
              <w:rPr>
                <w:rFonts w:ascii="Times New Roman" w:eastAsia="Times New Roman" w:hAnsi="Times New Roman" w:cs="Times New Roman"/>
                <w:sz w:val="20"/>
                <w:szCs w:val="20"/>
                <w:lang w:eastAsia="uk-UA"/>
              </w:rPr>
              <w:t> </w:t>
            </w:r>
            <w:r w:rsidRPr="00BA4516">
              <w:rPr>
                <w:rFonts w:ascii="Times New Roman" w:eastAsia="Times New Roman" w:hAnsi="Times New Roman" w:cs="Times New Roman"/>
                <w:sz w:val="20"/>
                <w:szCs w:val="20"/>
                <w:lang w:eastAsia="uk-UA"/>
              </w:rPr>
              <w:br/>
            </w:r>
            <w:r w:rsidRPr="00BA4516">
              <w:rPr>
                <w:rFonts w:ascii="Times New Roman" w:eastAsia="Times New Roman" w:hAnsi="Times New Roman" w:cs="Times New Roman"/>
                <w:bCs/>
                <w:color w:val="000000"/>
                <w:sz w:val="20"/>
                <w:szCs w:val="20"/>
                <w:lang w:eastAsia="uk-UA"/>
              </w:rPr>
              <w:t>та фондового ринку</w:t>
            </w:r>
            <w:r w:rsidRPr="00BA4516">
              <w:rPr>
                <w:rFonts w:ascii="Times New Roman" w:eastAsia="Times New Roman" w:hAnsi="Times New Roman" w:cs="Times New Roman"/>
                <w:sz w:val="20"/>
                <w:szCs w:val="20"/>
                <w:lang w:eastAsia="uk-UA"/>
              </w:rPr>
              <w:t> </w:t>
            </w:r>
            <w:r w:rsidRPr="00BA4516">
              <w:rPr>
                <w:rFonts w:ascii="Times New Roman" w:eastAsia="Times New Roman" w:hAnsi="Times New Roman" w:cs="Times New Roman"/>
                <w:sz w:val="20"/>
                <w:szCs w:val="20"/>
                <w:lang w:eastAsia="uk-UA"/>
              </w:rPr>
              <w:br/>
            </w:r>
            <w:r w:rsidRPr="00BA4516">
              <w:rPr>
                <w:rFonts w:ascii="Times New Roman" w:eastAsia="Times New Roman" w:hAnsi="Times New Roman" w:cs="Times New Roman"/>
                <w:bCs/>
                <w:color w:val="000000"/>
                <w:sz w:val="20"/>
                <w:szCs w:val="20"/>
                <w:lang w:eastAsia="uk-UA"/>
              </w:rPr>
              <w:t>20.06.2013 № 1105</w:t>
            </w:r>
          </w:p>
        </w:tc>
      </w:tr>
      <w:tr w:rsidR="00BA4516" w:rsidRPr="00BA4516" w:rsidTr="00BA4516">
        <w:tc>
          <w:tcPr>
            <w:tcW w:w="3000" w:type="pct"/>
            <w:hideMark/>
          </w:tcPr>
          <w:p w:rsidR="00BA4516" w:rsidRPr="00BA4516" w:rsidRDefault="00BA4516" w:rsidP="00BA4516">
            <w:pPr>
              <w:spacing w:after="0" w:line="240" w:lineRule="auto"/>
              <w:textAlignment w:val="baseline"/>
              <w:rPr>
                <w:rFonts w:ascii="Times New Roman" w:eastAsia="Times New Roman" w:hAnsi="Times New Roman" w:cs="Times New Roman"/>
                <w:sz w:val="20"/>
                <w:szCs w:val="20"/>
                <w:lang w:eastAsia="uk-UA"/>
              </w:rPr>
            </w:pPr>
            <w:bookmarkStart w:id="0" w:name="n17"/>
            <w:bookmarkEnd w:id="0"/>
            <w:r w:rsidRPr="00BA4516">
              <w:rPr>
                <w:rFonts w:ascii="Times New Roman" w:eastAsia="Times New Roman" w:hAnsi="Times New Roman" w:cs="Times New Roman"/>
                <w:bCs/>
                <w:color w:val="000000"/>
                <w:sz w:val="20"/>
                <w:szCs w:val="20"/>
                <w:bdr w:val="none" w:sz="0" w:space="0" w:color="auto" w:frame="1"/>
                <w:lang w:eastAsia="uk-UA"/>
              </w:rPr>
              <w:br/>
            </w:r>
          </w:p>
        </w:tc>
        <w:tc>
          <w:tcPr>
            <w:tcW w:w="2000" w:type="pct"/>
            <w:hideMark/>
          </w:tcPr>
          <w:p w:rsidR="00BA4516" w:rsidRPr="00BA4516" w:rsidRDefault="00BA4516" w:rsidP="00BA4516">
            <w:pPr>
              <w:spacing w:after="0" w:line="240" w:lineRule="auto"/>
              <w:jc w:val="right"/>
              <w:textAlignment w:val="baseline"/>
              <w:rPr>
                <w:rFonts w:ascii="Times New Roman" w:eastAsia="Times New Roman" w:hAnsi="Times New Roman" w:cs="Times New Roman"/>
                <w:bCs/>
                <w:color w:val="000000"/>
                <w:sz w:val="20"/>
                <w:szCs w:val="20"/>
                <w:lang w:eastAsia="uk-UA"/>
              </w:rPr>
            </w:pPr>
          </w:p>
          <w:p w:rsidR="00BA4516" w:rsidRPr="00BA4516" w:rsidRDefault="00BA4516" w:rsidP="00BA4516">
            <w:pPr>
              <w:spacing w:after="0" w:line="240" w:lineRule="auto"/>
              <w:jc w:val="right"/>
              <w:textAlignment w:val="baseline"/>
              <w:rPr>
                <w:rFonts w:ascii="Times New Roman" w:eastAsia="Times New Roman" w:hAnsi="Times New Roman" w:cs="Times New Roman"/>
                <w:sz w:val="20"/>
                <w:szCs w:val="20"/>
                <w:lang w:eastAsia="uk-UA"/>
              </w:rPr>
            </w:pPr>
            <w:r w:rsidRPr="00BA4516">
              <w:rPr>
                <w:rFonts w:ascii="Times New Roman" w:eastAsia="Times New Roman" w:hAnsi="Times New Roman" w:cs="Times New Roman"/>
                <w:bCs/>
                <w:color w:val="000000"/>
                <w:sz w:val="20"/>
                <w:szCs w:val="20"/>
                <w:lang w:eastAsia="uk-UA"/>
              </w:rPr>
              <w:t>Зареєстровано в Міністерстві</w:t>
            </w:r>
            <w:r w:rsidRPr="00BA4516">
              <w:rPr>
                <w:rFonts w:ascii="Times New Roman" w:eastAsia="Times New Roman" w:hAnsi="Times New Roman" w:cs="Times New Roman"/>
                <w:sz w:val="20"/>
                <w:szCs w:val="20"/>
                <w:lang w:eastAsia="uk-UA"/>
              </w:rPr>
              <w:t> </w:t>
            </w:r>
            <w:r w:rsidRPr="00BA4516">
              <w:rPr>
                <w:rFonts w:ascii="Times New Roman" w:eastAsia="Times New Roman" w:hAnsi="Times New Roman" w:cs="Times New Roman"/>
                <w:sz w:val="20"/>
                <w:szCs w:val="20"/>
                <w:lang w:eastAsia="uk-UA"/>
              </w:rPr>
              <w:br/>
            </w:r>
            <w:r w:rsidRPr="00BA4516">
              <w:rPr>
                <w:rFonts w:ascii="Times New Roman" w:eastAsia="Times New Roman" w:hAnsi="Times New Roman" w:cs="Times New Roman"/>
                <w:bCs/>
                <w:color w:val="000000"/>
                <w:sz w:val="20"/>
                <w:szCs w:val="20"/>
                <w:lang w:eastAsia="uk-UA"/>
              </w:rPr>
              <w:t>юстиції України</w:t>
            </w:r>
            <w:r w:rsidRPr="00BA4516">
              <w:rPr>
                <w:rFonts w:ascii="Times New Roman" w:eastAsia="Times New Roman" w:hAnsi="Times New Roman" w:cs="Times New Roman"/>
                <w:sz w:val="20"/>
                <w:szCs w:val="20"/>
                <w:lang w:eastAsia="uk-UA"/>
              </w:rPr>
              <w:t> </w:t>
            </w:r>
            <w:r w:rsidRPr="00BA4516">
              <w:rPr>
                <w:rFonts w:ascii="Times New Roman" w:eastAsia="Times New Roman" w:hAnsi="Times New Roman" w:cs="Times New Roman"/>
                <w:sz w:val="20"/>
                <w:szCs w:val="20"/>
                <w:lang w:eastAsia="uk-UA"/>
              </w:rPr>
              <w:br/>
            </w:r>
            <w:r w:rsidRPr="00BA4516">
              <w:rPr>
                <w:rFonts w:ascii="Times New Roman" w:eastAsia="Times New Roman" w:hAnsi="Times New Roman" w:cs="Times New Roman"/>
                <w:bCs/>
                <w:color w:val="000000"/>
                <w:sz w:val="20"/>
                <w:szCs w:val="20"/>
                <w:lang w:eastAsia="uk-UA"/>
              </w:rPr>
              <w:t>17 липня 2013 р.</w:t>
            </w:r>
            <w:r w:rsidRPr="00BA4516">
              <w:rPr>
                <w:rFonts w:ascii="Times New Roman" w:eastAsia="Times New Roman" w:hAnsi="Times New Roman" w:cs="Times New Roman"/>
                <w:sz w:val="20"/>
                <w:szCs w:val="20"/>
                <w:lang w:eastAsia="uk-UA"/>
              </w:rPr>
              <w:t> </w:t>
            </w:r>
            <w:r w:rsidRPr="00BA4516">
              <w:rPr>
                <w:rFonts w:ascii="Times New Roman" w:eastAsia="Times New Roman" w:hAnsi="Times New Roman" w:cs="Times New Roman"/>
                <w:sz w:val="20"/>
                <w:szCs w:val="20"/>
                <w:lang w:eastAsia="uk-UA"/>
              </w:rPr>
              <w:br/>
            </w:r>
            <w:r w:rsidRPr="00BA4516">
              <w:rPr>
                <w:rFonts w:ascii="Times New Roman" w:eastAsia="Times New Roman" w:hAnsi="Times New Roman" w:cs="Times New Roman"/>
                <w:bCs/>
                <w:color w:val="000000"/>
                <w:sz w:val="20"/>
                <w:szCs w:val="20"/>
                <w:lang w:eastAsia="uk-UA"/>
              </w:rPr>
              <w:t>за № 1201/23733</w:t>
            </w:r>
          </w:p>
        </w:tc>
      </w:tr>
    </w:tbl>
    <w:p w:rsidR="00BA4516" w:rsidRPr="00BA4516" w:rsidRDefault="00BA4516" w:rsidP="00BA4516">
      <w:pPr>
        <w:shd w:val="clear" w:color="auto" w:fill="FFFFFF"/>
        <w:spacing w:after="0" w:line="240" w:lineRule="auto"/>
        <w:ind w:left="275" w:right="275"/>
        <w:jc w:val="center"/>
        <w:textAlignment w:val="baseline"/>
        <w:rPr>
          <w:rFonts w:ascii="Times New Roman" w:eastAsia="Times New Roman" w:hAnsi="Times New Roman" w:cs="Times New Roman"/>
          <w:color w:val="000000"/>
          <w:sz w:val="20"/>
          <w:szCs w:val="20"/>
          <w:lang w:eastAsia="uk-UA"/>
        </w:rPr>
      </w:pPr>
      <w:bookmarkStart w:id="1" w:name="n18"/>
      <w:bookmarkEnd w:id="1"/>
      <w:r w:rsidRPr="00BA4516">
        <w:rPr>
          <w:rFonts w:ascii="Times New Roman" w:eastAsia="Times New Roman" w:hAnsi="Times New Roman" w:cs="Times New Roman"/>
          <w:b/>
          <w:bCs/>
          <w:color w:val="000000"/>
          <w:sz w:val="20"/>
          <w:szCs w:val="20"/>
          <w:lang w:eastAsia="uk-UA"/>
        </w:rPr>
        <w:t>ПОРЯДОК </w:t>
      </w:r>
      <w:r w:rsidRPr="00BA4516">
        <w:rPr>
          <w:rFonts w:ascii="Times New Roman" w:eastAsia="Times New Roman" w:hAnsi="Times New Roman" w:cs="Times New Roman"/>
          <w:color w:val="000000"/>
          <w:sz w:val="20"/>
          <w:szCs w:val="20"/>
          <w:lang w:eastAsia="uk-UA"/>
        </w:rPr>
        <w:br/>
      </w:r>
      <w:r w:rsidRPr="00BA4516">
        <w:rPr>
          <w:rFonts w:ascii="Times New Roman" w:eastAsia="Times New Roman" w:hAnsi="Times New Roman" w:cs="Times New Roman"/>
          <w:b/>
          <w:bCs/>
          <w:color w:val="000000"/>
          <w:sz w:val="20"/>
          <w:szCs w:val="20"/>
          <w:lang w:eastAsia="uk-UA"/>
        </w:rPr>
        <w:t>надання дозволу на розміщення та/або обіг цінних паперів українських емітентів за межами України</w:t>
      </w:r>
    </w:p>
    <w:p w:rsidR="00BA4516" w:rsidRPr="00BA4516" w:rsidRDefault="00BA4516" w:rsidP="00BA4516">
      <w:pPr>
        <w:shd w:val="clear" w:color="auto" w:fill="FFFFFF"/>
        <w:spacing w:after="0" w:line="240" w:lineRule="auto"/>
        <w:ind w:left="275" w:right="275"/>
        <w:jc w:val="center"/>
        <w:textAlignment w:val="baseline"/>
        <w:rPr>
          <w:rFonts w:ascii="Times New Roman" w:eastAsia="Times New Roman" w:hAnsi="Times New Roman" w:cs="Times New Roman"/>
          <w:color w:val="000000"/>
          <w:sz w:val="20"/>
          <w:szCs w:val="20"/>
          <w:lang w:eastAsia="uk-UA"/>
        </w:rPr>
      </w:pPr>
      <w:bookmarkStart w:id="2" w:name="n19"/>
      <w:bookmarkEnd w:id="2"/>
      <w:r w:rsidRPr="00BA4516">
        <w:rPr>
          <w:rFonts w:ascii="Times New Roman" w:eastAsia="Times New Roman" w:hAnsi="Times New Roman" w:cs="Times New Roman"/>
          <w:b/>
          <w:bCs/>
          <w:color w:val="000000"/>
          <w:sz w:val="20"/>
          <w:szCs w:val="20"/>
          <w:lang w:eastAsia="uk-UA"/>
        </w:rPr>
        <w:t>І. Загальні положення</w:t>
      </w:r>
    </w:p>
    <w:p w:rsidR="00BA4516" w:rsidRP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bookmarkStart w:id="3" w:name="n20"/>
      <w:bookmarkEnd w:id="3"/>
      <w:r w:rsidRPr="00BA4516">
        <w:rPr>
          <w:rFonts w:ascii="Times New Roman" w:eastAsia="Times New Roman" w:hAnsi="Times New Roman" w:cs="Times New Roman"/>
          <w:color w:val="000000"/>
          <w:sz w:val="20"/>
          <w:szCs w:val="20"/>
          <w:lang w:eastAsia="uk-UA"/>
        </w:rPr>
        <w:t>1. Цей Порядок:</w:t>
      </w:r>
    </w:p>
    <w:p w:rsidR="00BA4516" w:rsidRP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bookmarkStart w:id="4" w:name="n21"/>
      <w:bookmarkEnd w:id="4"/>
      <w:r w:rsidRPr="00BA4516">
        <w:rPr>
          <w:rFonts w:ascii="Times New Roman" w:eastAsia="Times New Roman" w:hAnsi="Times New Roman" w:cs="Times New Roman"/>
          <w:color w:val="000000"/>
          <w:sz w:val="20"/>
          <w:szCs w:val="20"/>
          <w:lang w:eastAsia="uk-UA"/>
        </w:rPr>
        <w:t>регулює видачу Національною комісією з цінних паперів та фондового ринку (далі - Комісія) дозволу на розміщення та/або обіг емісійних цінних паперів, крім облігацій зовнішніх державних позик України (далі - цінні папери) українських емітентів за межами України;</w:t>
      </w:r>
    </w:p>
    <w:p w:rsidR="00BA4516" w:rsidRP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bookmarkStart w:id="5" w:name="n22"/>
      <w:bookmarkEnd w:id="5"/>
      <w:r w:rsidRPr="00BA4516">
        <w:rPr>
          <w:rFonts w:ascii="Times New Roman" w:eastAsia="Times New Roman" w:hAnsi="Times New Roman" w:cs="Times New Roman"/>
          <w:color w:val="000000"/>
          <w:sz w:val="20"/>
          <w:szCs w:val="20"/>
          <w:lang w:eastAsia="uk-UA"/>
        </w:rPr>
        <w:t>визначає перелік документів, що подаються до Комісії для отримання дозволу на розміщення та/або обіг цінних паперів українських емітентів за межами України (далі - дозвіл).</w:t>
      </w:r>
    </w:p>
    <w:p w:rsidR="00BA4516" w:rsidRP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bookmarkStart w:id="6" w:name="n23"/>
      <w:bookmarkEnd w:id="6"/>
      <w:r w:rsidRPr="00BA4516">
        <w:rPr>
          <w:rFonts w:ascii="Times New Roman" w:eastAsia="Times New Roman" w:hAnsi="Times New Roman" w:cs="Times New Roman"/>
          <w:color w:val="000000"/>
          <w:sz w:val="20"/>
          <w:szCs w:val="20"/>
          <w:lang w:eastAsia="uk-UA"/>
        </w:rPr>
        <w:t>2. Розміщення та/або обіг цінних паперів українських емітентів за межами України здійснюються виключно на підставі дозволу Комісії.</w:t>
      </w:r>
    </w:p>
    <w:p w:rsidR="00BA4516" w:rsidRP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bookmarkStart w:id="7" w:name="n24"/>
      <w:bookmarkEnd w:id="7"/>
      <w:r w:rsidRPr="00BA4516">
        <w:rPr>
          <w:rFonts w:ascii="Times New Roman" w:eastAsia="Times New Roman" w:hAnsi="Times New Roman" w:cs="Times New Roman"/>
          <w:color w:val="000000"/>
          <w:sz w:val="20"/>
          <w:szCs w:val="20"/>
          <w:lang w:eastAsia="uk-UA"/>
        </w:rPr>
        <w:t>3. Дозвіл на обіг цінних паперів українських емітентів за межами України видається при одночасному дотриманні таких умов:</w:t>
      </w:r>
    </w:p>
    <w:p w:rsidR="00BA4516" w:rsidRP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bookmarkStart w:id="8" w:name="n25"/>
      <w:bookmarkEnd w:id="8"/>
      <w:r w:rsidRPr="00BA4516">
        <w:rPr>
          <w:rFonts w:ascii="Times New Roman" w:eastAsia="Times New Roman" w:hAnsi="Times New Roman" w:cs="Times New Roman"/>
          <w:color w:val="000000"/>
          <w:sz w:val="20"/>
          <w:szCs w:val="20"/>
          <w:lang w:eastAsia="uk-UA"/>
        </w:rPr>
        <w:t>проведення реєстрації випуску цінних паперів;</w:t>
      </w:r>
    </w:p>
    <w:p w:rsidR="00BA4516" w:rsidRP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bookmarkStart w:id="9" w:name="n26"/>
      <w:bookmarkEnd w:id="9"/>
      <w:r w:rsidRPr="00BA4516">
        <w:rPr>
          <w:rFonts w:ascii="Times New Roman" w:eastAsia="Times New Roman" w:hAnsi="Times New Roman" w:cs="Times New Roman"/>
          <w:color w:val="000000"/>
          <w:sz w:val="20"/>
          <w:szCs w:val="20"/>
          <w:lang w:eastAsia="uk-UA"/>
        </w:rPr>
        <w:t>допущення того самого виду цінних паперів відповідного емітента до біржових торгів на одній з українських фондових бірж.</w:t>
      </w:r>
    </w:p>
    <w:p w:rsidR="00BA4516" w:rsidRP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bookmarkStart w:id="10" w:name="n27"/>
      <w:bookmarkEnd w:id="10"/>
      <w:r w:rsidRPr="00BA4516">
        <w:rPr>
          <w:rFonts w:ascii="Times New Roman" w:eastAsia="Times New Roman" w:hAnsi="Times New Roman" w:cs="Times New Roman"/>
          <w:color w:val="000000"/>
          <w:sz w:val="20"/>
          <w:szCs w:val="20"/>
          <w:lang w:eastAsia="uk-UA"/>
        </w:rPr>
        <w:t>4. Дозвіл на обіг цінних паперів українських емітентів за межами України видається лише щодо кількості цінних паперів, які знаходяться на рахунку в цінних паперах їх власника.</w:t>
      </w:r>
    </w:p>
    <w:p w:rsidR="00BA4516" w:rsidRP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bookmarkStart w:id="11" w:name="n28"/>
      <w:bookmarkEnd w:id="11"/>
      <w:r w:rsidRPr="00BA4516">
        <w:rPr>
          <w:rFonts w:ascii="Times New Roman" w:eastAsia="Times New Roman" w:hAnsi="Times New Roman" w:cs="Times New Roman"/>
          <w:color w:val="000000"/>
          <w:sz w:val="20"/>
          <w:szCs w:val="20"/>
          <w:lang w:eastAsia="uk-UA"/>
        </w:rPr>
        <w:t>5. Дозвіл на розміщення та обіг цінних паперів українських емітентів за межами України видається при одночасному дотриманні умов, передбачених пунктом 3 цього розділу, а стосовно акцій - також за умови, якщо кількість акцій, щодо яких планується здійснення розміщення та обігу за межами України, не перевищує 75 відсотків від загальної кількості акцій відповідного випуску.</w:t>
      </w:r>
    </w:p>
    <w:p w:rsidR="00BA4516" w:rsidRP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bookmarkStart w:id="12" w:name="n29"/>
      <w:bookmarkEnd w:id="12"/>
      <w:r w:rsidRPr="00BA4516">
        <w:rPr>
          <w:rFonts w:ascii="Times New Roman" w:eastAsia="Times New Roman" w:hAnsi="Times New Roman" w:cs="Times New Roman"/>
          <w:color w:val="000000"/>
          <w:sz w:val="20"/>
          <w:szCs w:val="20"/>
          <w:lang w:eastAsia="uk-UA"/>
        </w:rPr>
        <w:t>6. Відчуження цінних паперів (крім дисконтних облігацій) за межі України на підставі дозволу на розміщення та обіг цінних паперів українського емітента за межами України здійснюється за ціною, не нижчою за їх номінальну вартість.</w:t>
      </w:r>
    </w:p>
    <w:p w:rsidR="00BA4516" w:rsidRP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bookmarkStart w:id="13" w:name="n30"/>
      <w:bookmarkEnd w:id="13"/>
      <w:r w:rsidRPr="00BA4516">
        <w:rPr>
          <w:rFonts w:ascii="Times New Roman" w:eastAsia="Times New Roman" w:hAnsi="Times New Roman" w:cs="Times New Roman"/>
          <w:color w:val="000000"/>
          <w:sz w:val="20"/>
          <w:szCs w:val="20"/>
          <w:lang w:eastAsia="uk-UA"/>
        </w:rPr>
        <w:t>Акціонерне товариство здійснює розміщення кожної акції при збільшенні статутного капіталу за ціною, не нижчою за її ринкову вартість, визначену відповідно до законодавства України, і не має права розміщувати акції за ціною, нижчою за їх номінальну вартість.</w:t>
      </w:r>
    </w:p>
    <w:p w:rsidR="00BA4516" w:rsidRP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bookmarkStart w:id="14" w:name="n31"/>
      <w:bookmarkEnd w:id="14"/>
      <w:r w:rsidRPr="00BA4516">
        <w:rPr>
          <w:rFonts w:ascii="Times New Roman" w:eastAsia="Times New Roman" w:hAnsi="Times New Roman" w:cs="Times New Roman"/>
          <w:color w:val="000000"/>
          <w:sz w:val="20"/>
          <w:szCs w:val="20"/>
          <w:lang w:eastAsia="uk-UA"/>
        </w:rPr>
        <w:t>7. У разі наявності цінних паперів декількох випусків дозвіл видається щодо цінних паперів кожного випуску окремо.</w:t>
      </w:r>
    </w:p>
    <w:p w:rsidR="00BA4516" w:rsidRP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bookmarkStart w:id="15" w:name="n32"/>
      <w:bookmarkEnd w:id="15"/>
      <w:r w:rsidRPr="00BA4516">
        <w:rPr>
          <w:rFonts w:ascii="Times New Roman" w:eastAsia="Times New Roman" w:hAnsi="Times New Roman" w:cs="Times New Roman"/>
          <w:color w:val="000000"/>
          <w:sz w:val="20"/>
          <w:szCs w:val="20"/>
          <w:lang w:eastAsia="uk-UA"/>
        </w:rPr>
        <w:t>8. Надання Комісією дозволу не може розглядатися як гарантія вартості цих цінних паперів.</w:t>
      </w:r>
    </w:p>
    <w:p w:rsidR="00BA4516" w:rsidRP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bookmarkStart w:id="16" w:name="n33"/>
      <w:bookmarkEnd w:id="16"/>
      <w:r w:rsidRPr="00BA4516">
        <w:rPr>
          <w:rFonts w:ascii="Times New Roman" w:eastAsia="Times New Roman" w:hAnsi="Times New Roman" w:cs="Times New Roman"/>
          <w:color w:val="000000"/>
          <w:sz w:val="20"/>
          <w:szCs w:val="20"/>
          <w:lang w:eastAsia="uk-UA"/>
        </w:rPr>
        <w:t>9. Підставами для прийняття рішення про відмову в наданні дозволу є:</w:t>
      </w:r>
    </w:p>
    <w:p w:rsidR="00BA4516" w:rsidRP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bookmarkStart w:id="17" w:name="n34"/>
      <w:bookmarkEnd w:id="17"/>
      <w:r w:rsidRPr="00BA4516">
        <w:rPr>
          <w:rFonts w:ascii="Times New Roman" w:eastAsia="Times New Roman" w:hAnsi="Times New Roman" w:cs="Times New Roman"/>
          <w:color w:val="000000"/>
          <w:sz w:val="20"/>
          <w:szCs w:val="20"/>
          <w:lang w:eastAsia="uk-UA"/>
        </w:rPr>
        <w:t>1) невідповідність поданих документів вимогам законодавства;</w:t>
      </w:r>
    </w:p>
    <w:p w:rsidR="00BA4516" w:rsidRP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bookmarkStart w:id="18" w:name="n35"/>
      <w:bookmarkEnd w:id="18"/>
      <w:r w:rsidRPr="00BA4516">
        <w:rPr>
          <w:rFonts w:ascii="Times New Roman" w:eastAsia="Times New Roman" w:hAnsi="Times New Roman" w:cs="Times New Roman"/>
          <w:color w:val="000000"/>
          <w:sz w:val="20"/>
          <w:szCs w:val="20"/>
          <w:lang w:eastAsia="uk-UA"/>
        </w:rPr>
        <w:t>2) недостовірність інформації у поданих документах;</w:t>
      </w:r>
    </w:p>
    <w:p w:rsidR="00BA4516" w:rsidRP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bookmarkStart w:id="19" w:name="n36"/>
      <w:bookmarkEnd w:id="19"/>
      <w:r w:rsidRPr="00BA4516">
        <w:rPr>
          <w:rFonts w:ascii="Times New Roman" w:eastAsia="Times New Roman" w:hAnsi="Times New Roman" w:cs="Times New Roman"/>
          <w:color w:val="000000"/>
          <w:sz w:val="20"/>
          <w:szCs w:val="20"/>
          <w:lang w:eastAsia="uk-UA"/>
        </w:rPr>
        <w:t>3) невиконання вимог, що встановлені цим Порядком.</w:t>
      </w:r>
    </w:p>
    <w:p w:rsidR="00BA4516" w:rsidRP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bookmarkStart w:id="20" w:name="n37"/>
      <w:bookmarkEnd w:id="20"/>
      <w:r w:rsidRPr="00BA4516">
        <w:rPr>
          <w:rFonts w:ascii="Times New Roman" w:eastAsia="Times New Roman" w:hAnsi="Times New Roman" w:cs="Times New Roman"/>
          <w:color w:val="000000"/>
          <w:sz w:val="20"/>
          <w:szCs w:val="20"/>
          <w:lang w:eastAsia="uk-UA"/>
        </w:rPr>
        <w:t>Підстави відмови зазначаються у рішенні про відмову в наданні дозволу.</w:t>
      </w:r>
    </w:p>
    <w:p w:rsidR="00BA4516" w:rsidRP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bookmarkStart w:id="21" w:name="n38"/>
      <w:bookmarkEnd w:id="21"/>
      <w:r w:rsidRPr="00BA4516">
        <w:rPr>
          <w:rFonts w:ascii="Times New Roman" w:eastAsia="Times New Roman" w:hAnsi="Times New Roman" w:cs="Times New Roman"/>
          <w:color w:val="000000"/>
          <w:sz w:val="20"/>
          <w:szCs w:val="20"/>
          <w:lang w:eastAsia="uk-UA"/>
        </w:rPr>
        <w:t>10. Повідомлення Комісії про прийняте рішення про відмову в наданні дозволу доводиться до відома заявника письмово і має містити правове обґрунтування такої відмови.</w:t>
      </w:r>
    </w:p>
    <w:p w:rsidR="00BA4516" w:rsidRP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bookmarkStart w:id="22" w:name="n39"/>
      <w:bookmarkEnd w:id="22"/>
      <w:r w:rsidRPr="00BA4516">
        <w:rPr>
          <w:rFonts w:ascii="Times New Roman" w:eastAsia="Times New Roman" w:hAnsi="Times New Roman" w:cs="Times New Roman"/>
          <w:color w:val="000000"/>
          <w:sz w:val="20"/>
          <w:szCs w:val="20"/>
          <w:lang w:eastAsia="uk-UA"/>
        </w:rPr>
        <w:t>У випадку прийняття Комісією рішення про відмову в наданні дозволу всі подані заявником документи залишаються в Комісії.</w:t>
      </w:r>
    </w:p>
    <w:p w:rsidR="00BA4516" w:rsidRP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bookmarkStart w:id="23" w:name="n40"/>
      <w:bookmarkEnd w:id="23"/>
      <w:r w:rsidRPr="00BA4516">
        <w:rPr>
          <w:rFonts w:ascii="Times New Roman" w:eastAsia="Times New Roman" w:hAnsi="Times New Roman" w:cs="Times New Roman"/>
          <w:color w:val="000000"/>
          <w:sz w:val="20"/>
          <w:szCs w:val="20"/>
          <w:lang w:eastAsia="uk-UA"/>
        </w:rPr>
        <w:t>11. Рішення про надання або про відмову в наданні дозволу приймається Комісією протягом 30 днів з дати отримання документів, передбачених </w:t>
      </w:r>
      <w:hyperlink r:id="rId4" w:anchor="n47" w:history="1">
        <w:r w:rsidRPr="00BA4516">
          <w:rPr>
            <w:rFonts w:ascii="Times New Roman" w:eastAsia="Times New Roman" w:hAnsi="Times New Roman" w:cs="Times New Roman"/>
            <w:color w:val="006600"/>
            <w:sz w:val="20"/>
            <w:szCs w:val="20"/>
            <w:u w:val="single"/>
            <w:lang w:eastAsia="uk-UA"/>
          </w:rPr>
          <w:t>розділами ІІ</w:t>
        </w:r>
      </w:hyperlink>
      <w:r w:rsidRPr="00BA4516">
        <w:rPr>
          <w:rFonts w:ascii="Times New Roman" w:eastAsia="Times New Roman" w:hAnsi="Times New Roman" w:cs="Times New Roman"/>
          <w:color w:val="000000"/>
          <w:sz w:val="20"/>
          <w:szCs w:val="20"/>
          <w:lang w:eastAsia="uk-UA"/>
        </w:rPr>
        <w:t>, </w:t>
      </w:r>
      <w:hyperlink r:id="rId5" w:anchor="n55" w:history="1">
        <w:r w:rsidRPr="00BA4516">
          <w:rPr>
            <w:rFonts w:ascii="Times New Roman" w:eastAsia="Times New Roman" w:hAnsi="Times New Roman" w:cs="Times New Roman"/>
            <w:color w:val="006600"/>
            <w:sz w:val="20"/>
            <w:szCs w:val="20"/>
            <w:u w:val="single"/>
            <w:lang w:eastAsia="uk-UA"/>
          </w:rPr>
          <w:t>ІІІ</w:t>
        </w:r>
      </w:hyperlink>
      <w:r w:rsidRPr="00BA4516">
        <w:rPr>
          <w:rFonts w:ascii="Times New Roman" w:eastAsia="Times New Roman" w:hAnsi="Times New Roman" w:cs="Times New Roman"/>
          <w:color w:val="000000"/>
          <w:sz w:val="20"/>
          <w:szCs w:val="20"/>
          <w:lang w:eastAsia="uk-UA"/>
        </w:rPr>
        <w:t> цього Порядку.</w:t>
      </w:r>
    </w:p>
    <w:p w:rsidR="00BA4516" w:rsidRP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bookmarkStart w:id="24" w:name="n41"/>
      <w:bookmarkEnd w:id="24"/>
      <w:r w:rsidRPr="00BA4516">
        <w:rPr>
          <w:rFonts w:ascii="Times New Roman" w:eastAsia="Times New Roman" w:hAnsi="Times New Roman" w:cs="Times New Roman"/>
          <w:color w:val="000000"/>
          <w:sz w:val="20"/>
          <w:szCs w:val="20"/>
          <w:lang w:eastAsia="uk-UA"/>
        </w:rPr>
        <w:t>12. За письмовим зверненням заявника, поданим до Комісії до закінчення строку розгляду документів, передбаченого пунктом 11 цього розділу, Комісія може повернути всі подані документи на доопрацювання.</w:t>
      </w:r>
    </w:p>
    <w:p w:rsidR="00BA4516" w:rsidRP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bookmarkStart w:id="25" w:name="n42"/>
      <w:bookmarkEnd w:id="25"/>
      <w:r w:rsidRPr="00BA4516">
        <w:rPr>
          <w:rFonts w:ascii="Times New Roman" w:eastAsia="Times New Roman" w:hAnsi="Times New Roman" w:cs="Times New Roman"/>
          <w:color w:val="000000"/>
          <w:sz w:val="20"/>
          <w:szCs w:val="20"/>
          <w:lang w:eastAsia="uk-UA"/>
        </w:rPr>
        <w:t>13. Комісія протягом п’яти робочих днів з дати прийняття рішення про надання дозволу надсилає копію такого рішення депозитарію.</w:t>
      </w:r>
    </w:p>
    <w:p w:rsidR="00BA4516" w:rsidRP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bookmarkStart w:id="26" w:name="n43"/>
      <w:bookmarkEnd w:id="26"/>
      <w:r w:rsidRPr="00BA4516">
        <w:rPr>
          <w:rFonts w:ascii="Times New Roman" w:eastAsia="Times New Roman" w:hAnsi="Times New Roman" w:cs="Times New Roman"/>
          <w:color w:val="000000"/>
          <w:sz w:val="20"/>
          <w:szCs w:val="20"/>
          <w:lang w:eastAsia="uk-UA"/>
        </w:rPr>
        <w:t>Протягом п’яти робочих днів з дати прийняття рішення про надання дозволу на обіг цінних паперів українських емітентів за межами України Комісія надсилає копію такого рішення також відповідному емітенту цінних паперів.</w:t>
      </w:r>
    </w:p>
    <w:p w:rsidR="00BA4516" w:rsidRP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bookmarkStart w:id="27" w:name="n44"/>
      <w:bookmarkEnd w:id="27"/>
      <w:r w:rsidRPr="00BA4516">
        <w:rPr>
          <w:rFonts w:ascii="Times New Roman" w:eastAsia="Times New Roman" w:hAnsi="Times New Roman" w:cs="Times New Roman"/>
          <w:color w:val="000000"/>
          <w:sz w:val="20"/>
          <w:szCs w:val="20"/>
          <w:lang w:eastAsia="uk-UA"/>
        </w:rPr>
        <w:t xml:space="preserve">14. Повідомлення про прийняття рішення про надання дозволу не пізніше наступного робочого дня після його прийняття оприлюднюється на офіційному </w:t>
      </w:r>
      <w:proofErr w:type="spellStart"/>
      <w:r w:rsidRPr="00BA4516">
        <w:rPr>
          <w:rFonts w:ascii="Times New Roman" w:eastAsia="Times New Roman" w:hAnsi="Times New Roman" w:cs="Times New Roman"/>
          <w:color w:val="000000"/>
          <w:sz w:val="20"/>
          <w:szCs w:val="20"/>
          <w:lang w:eastAsia="uk-UA"/>
        </w:rPr>
        <w:t>веб-сайті</w:t>
      </w:r>
      <w:proofErr w:type="spellEnd"/>
      <w:r w:rsidRPr="00BA4516">
        <w:rPr>
          <w:rFonts w:ascii="Times New Roman" w:eastAsia="Times New Roman" w:hAnsi="Times New Roman" w:cs="Times New Roman"/>
          <w:color w:val="000000"/>
          <w:sz w:val="20"/>
          <w:szCs w:val="20"/>
          <w:lang w:eastAsia="uk-UA"/>
        </w:rPr>
        <w:t xml:space="preserve"> Комісії і протягом трьох робочих днів після його прийняття публікується в офіційному друкованому виданні Комісії.</w:t>
      </w:r>
    </w:p>
    <w:p w:rsidR="00BA4516" w:rsidRP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bookmarkStart w:id="28" w:name="n45"/>
      <w:bookmarkEnd w:id="28"/>
      <w:r w:rsidRPr="00BA4516">
        <w:rPr>
          <w:rFonts w:ascii="Times New Roman" w:eastAsia="Times New Roman" w:hAnsi="Times New Roman" w:cs="Times New Roman"/>
          <w:color w:val="000000"/>
          <w:sz w:val="20"/>
          <w:szCs w:val="20"/>
          <w:lang w:eastAsia="uk-UA"/>
        </w:rPr>
        <w:lastRenderedPageBreak/>
        <w:t>15. Отримання дозволу відповідно до вимог цього Порядку не потребується для цінних паперів, що були зараховані на відповідні рахунки у цінних паперах іноземних депозитарних установ у Національному депозитарії України до набрання чинності цим Порядком та продовжують обліковуватися на таких рахунках.</w:t>
      </w:r>
    </w:p>
    <w:p w:rsidR="00BA4516" w:rsidRP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bookmarkStart w:id="29" w:name="n46"/>
      <w:bookmarkEnd w:id="29"/>
      <w:r w:rsidRPr="00BA4516">
        <w:rPr>
          <w:rFonts w:ascii="Times New Roman" w:eastAsia="Times New Roman" w:hAnsi="Times New Roman" w:cs="Times New Roman"/>
          <w:color w:val="000000"/>
          <w:sz w:val="20"/>
          <w:szCs w:val="20"/>
          <w:lang w:eastAsia="uk-UA"/>
        </w:rPr>
        <w:t>16. Дозвіл діє безстроково.</w:t>
      </w:r>
    </w:p>
    <w:p w:rsidR="00BA4516" w:rsidRP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bookmarkStart w:id="30" w:name="n92"/>
      <w:bookmarkEnd w:id="30"/>
      <w:r w:rsidRPr="00BA4516">
        <w:rPr>
          <w:rFonts w:ascii="Times New Roman" w:eastAsia="Times New Roman" w:hAnsi="Times New Roman" w:cs="Times New Roman"/>
          <w:color w:val="000000"/>
          <w:sz w:val="20"/>
          <w:szCs w:val="20"/>
          <w:lang w:eastAsia="uk-UA"/>
        </w:rPr>
        <w:t>17. Документи (їх копії), які подаються відповідно до цього Порядку та мають бути засвідчені печаткою (печатками), потребують такого засвідчення у разі наявності відповідної(</w:t>
      </w:r>
      <w:proofErr w:type="spellStart"/>
      <w:r w:rsidRPr="00BA4516">
        <w:rPr>
          <w:rFonts w:ascii="Times New Roman" w:eastAsia="Times New Roman" w:hAnsi="Times New Roman" w:cs="Times New Roman"/>
          <w:color w:val="000000"/>
          <w:sz w:val="20"/>
          <w:szCs w:val="20"/>
          <w:lang w:eastAsia="uk-UA"/>
        </w:rPr>
        <w:t>их</w:t>
      </w:r>
      <w:proofErr w:type="spellEnd"/>
      <w:r w:rsidRPr="00BA4516">
        <w:rPr>
          <w:rFonts w:ascii="Times New Roman" w:eastAsia="Times New Roman" w:hAnsi="Times New Roman" w:cs="Times New Roman"/>
          <w:color w:val="000000"/>
          <w:sz w:val="20"/>
          <w:szCs w:val="20"/>
          <w:lang w:eastAsia="uk-UA"/>
        </w:rPr>
        <w:t>) печатки (печаток).</w:t>
      </w:r>
    </w:p>
    <w:p w:rsidR="00BA4516" w:rsidRP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bookmarkStart w:id="31" w:name="n93"/>
      <w:bookmarkEnd w:id="31"/>
      <w:r w:rsidRPr="00BA4516">
        <w:rPr>
          <w:rFonts w:ascii="Times New Roman" w:eastAsia="Times New Roman" w:hAnsi="Times New Roman" w:cs="Times New Roman"/>
          <w:i/>
          <w:iCs/>
          <w:color w:val="000000"/>
          <w:sz w:val="20"/>
          <w:szCs w:val="20"/>
          <w:lang w:eastAsia="uk-UA"/>
        </w:rPr>
        <w:t>{Розділ І доповнено новим пунктом згідно з</w:t>
      </w:r>
      <w:r w:rsidRPr="00BA4516">
        <w:rPr>
          <w:rFonts w:ascii="Times New Roman" w:eastAsia="Times New Roman" w:hAnsi="Times New Roman" w:cs="Times New Roman"/>
          <w:color w:val="000000"/>
          <w:sz w:val="20"/>
          <w:szCs w:val="20"/>
          <w:lang w:eastAsia="uk-UA"/>
        </w:rPr>
        <w:t> </w:t>
      </w:r>
      <w:r w:rsidRPr="00BA4516">
        <w:rPr>
          <w:rFonts w:ascii="Times New Roman" w:eastAsia="Times New Roman" w:hAnsi="Times New Roman" w:cs="Times New Roman"/>
          <w:i/>
          <w:iCs/>
          <w:color w:val="000000"/>
          <w:sz w:val="20"/>
          <w:szCs w:val="20"/>
          <w:lang w:eastAsia="uk-UA"/>
        </w:rPr>
        <w:t>Рішенням Національної комісії з цінних паперів та фондового ринку </w:t>
      </w:r>
      <w:hyperlink r:id="rId6" w:anchor="n25" w:tgtFrame="_blank" w:history="1">
        <w:r w:rsidRPr="00BA4516">
          <w:rPr>
            <w:rFonts w:ascii="Times New Roman" w:eastAsia="Times New Roman" w:hAnsi="Times New Roman" w:cs="Times New Roman"/>
            <w:i/>
            <w:iCs/>
            <w:color w:val="000099"/>
            <w:sz w:val="20"/>
            <w:szCs w:val="20"/>
            <w:u w:val="single"/>
            <w:lang w:eastAsia="uk-UA"/>
          </w:rPr>
          <w:t>№ 1250 від 23.09.2014</w:t>
        </w:r>
      </w:hyperlink>
      <w:r w:rsidRPr="00BA4516">
        <w:rPr>
          <w:rFonts w:ascii="Times New Roman" w:eastAsia="Times New Roman" w:hAnsi="Times New Roman" w:cs="Times New Roman"/>
          <w:i/>
          <w:iCs/>
          <w:color w:val="000000"/>
          <w:sz w:val="20"/>
          <w:szCs w:val="20"/>
          <w:lang w:eastAsia="uk-UA"/>
        </w:rPr>
        <w:t>}</w:t>
      </w:r>
    </w:p>
    <w:p w:rsidR="00BA4516" w:rsidRPr="00BA4516" w:rsidRDefault="00BA4516" w:rsidP="00BA4516">
      <w:pPr>
        <w:shd w:val="clear" w:color="auto" w:fill="FFFFFF"/>
        <w:spacing w:after="0" w:line="240" w:lineRule="auto"/>
        <w:ind w:left="275" w:right="275"/>
        <w:jc w:val="center"/>
        <w:textAlignment w:val="baseline"/>
        <w:rPr>
          <w:rFonts w:ascii="Times New Roman" w:eastAsia="Times New Roman" w:hAnsi="Times New Roman" w:cs="Times New Roman"/>
          <w:color w:val="000000"/>
          <w:sz w:val="20"/>
          <w:szCs w:val="20"/>
          <w:lang w:eastAsia="uk-UA"/>
        </w:rPr>
      </w:pPr>
      <w:bookmarkStart w:id="32" w:name="n47"/>
      <w:bookmarkEnd w:id="32"/>
      <w:r w:rsidRPr="00BA4516">
        <w:rPr>
          <w:rFonts w:ascii="Times New Roman" w:eastAsia="Times New Roman" w:hAnsi="Times New Roman" w:cs="Times New Roman"/>
          <w:b/>
          <w:bCs/>
          <w:color w:val="000000"/>
          <w:sz w:val="20"/>
          <w:szCs w:val="20"/>
          <w:lang w:eastAsia="uk-UA"/>
        </w:rPr>
        <w:t>II. Порядок отримання дозволу на розміщення та обіг цінних паперів за межами України</w:t>
      </w:r>
    </w:p>
    <w:p w:rsidR="00BA4516" w:rsidRP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bookmarkStart w:id="33" w:name="n48"/>
      <w:bookmarkEnd w:id="33"/>
      <w:r w:rsidRPr="00BA4516">
        <w:rPr>
          <w:rFonts w:ascii="Times New Roman" w:eastAsia="Times New Roman" w:hAnsi="Times New Roman" w:cs="Times New Roman"/>
          <w:color w:val="000000"/>
          <w:sz w:val="20"/>
          <w:szCs w:val="20"/>
          <w:lang w:eastAsia="uk-UA"/>
        </w:rPr>
        <w:t>1. Для отримання дозволу на розміщення та обіг цінних паперів українських емітентів за межами України емітент подає до Комісії такі документи:</w:t>
      </w:r>
    </w:p>
    <w:p w:rsidR="00BA4516" w:rsidRP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bookmarkStart w:id="34" w:name="n49"/>
      <w:bookmarkEnd w:id="34"/>
      <w:r w:rsidRPr="00BA4516">
        <w:rPr>
          <w:rFonts w:ascii="Times New Roman" w:eastAsia="Times New Roman" w:hAnsi="Times New Roman" w:cs="Times New Roman"/>
          <w:color w:val="000000"/>
          <w:sz w:val="20"/>
          <w:szCs w:val="20"/>
          <w:lang w:eastAsia="uk-UA"/>
        </w:rPr>
        <w:t>1)</w:t>
      </w:r>
      <w:hyperlink r:id="rId7" w:anchor="n66" w:history="1">
        <w:r w:rsidRPr="00BA4516">
          <w:rPr>
            <w:rFonts w:ascii="Times New Roman" w:eastAsia="Times New Roman" w:hAnsi="Times New Roman" w:cs="Times New Roman"/>
            <w:color w:val="006600"/>
            <w:sz w:val="20"/>
            <w:szCs w:val="20"/>
            <w:u w:val="single"/>
            <w:lang w:eastAsia="uk-UA"/>
          </w:rPr>
          <w:t> заяву про видачу дозволу, підписану керівником і засвідчену печаткою емітента</w:t>
        </w:r>
      </w:hyperlink>
      <w:r w:rsidRPr="00BA4516">
        <w:rPr>
          <w:rFonts w:ascii="Times New Roman" w:eastAsia="Times New Roman" w:hAnsi="Times New Roman" w:cs="Times New Roman"/>
          <w:color w:val="000000"/>
          <w:sz w:val="20"/>
          <w:szCs w:val="20"/>
          <w:lang w:eastAsia="uk-UA"/>
        </w:rPr>
        <w:t> (додаток 1);</w:t>
      </w:r>
    </w:p>
    <w:p w:rsidR="00BA4516" w:rsidRP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bookmarkStart w:id="35" w:name="n50"/>
      <w:bookmarkEnd w:id="35"/>
      <w:r w:rsidRPr="00BA4516">
        <w:rPr>
          <w:rFonts w:ascii="Times New Roman" w:eastAsia="Times New Roman" w:hAnsi="Times New Roman" w:cs="Times New Roman"/>
          <w:color w:val="000000"/>
          <w:sz w:val="20"/>
          <w:szCs w:val="20"/>
          <w:lang w:eastAsia="uk-UA"/>
        </w:rPr>
        <w:t>2) копію тимчасового свідоцтва про реєстрацію випуску відповідних цінних паперів, засвідчену підписом керівника та печаткою емітента;</w:t>
      </w:r>
    </w:p>
    <w:p w:rsidR="00BA4516" w:rsidRP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bookmarkStart w:id="36" w:name="n51"/>
      <w:bookmarkEnd w:id="36"/>
      <w:r w:rsidRPr="00BA4516">
        <w:rPr>
          <w:rFonts w:ascii="Times New Roman" w:eastAsia="Times New Roman" w:hAnsi="Times New Roman" w:cs="Times New Roman"/>
          <w:color w:val="000000"/>
          <w:sz w:val="20"/>
          <w:szCs w:val="20"/>
          <w:lang w:eastAsia="uk-UA"/>
        </w:rPr>
        <w:t>3) довідку про допуск до торгівлі на українській фондовій біржі цінних паперів емітента того самого виду, що й цінні папери, для отримання дозволу на розміщення та обіг яких подається заява, засвідчену підписами керівників та печатками емітента і фондової біржі;</w:t>
      </w:r>
    </w:p>
    <w:p w:rsidR="00BA4516" w:rsidRP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bookmarkStart w:id="37" w:name="n52"/>
      <w:bookmarkEnd w:id="37"/>
      <w:r w:rsidRPr="00BA4516">
        <w:rPr>
          <w:rFonts w:ascii="Times New Roman" w:eastAsia="Times New Roman" w:hAnsi="Times New Roman" w:cs="Times New Roman"/>
          <w:color w:val="000000"/>
          <w:sz w:val="20"/>
          <w:szCs w:val="20"/>
          <w:lang w:eastAsia="uk-UA"/>
        </w:rPr>
        <w:t>4) довідку про депонування тимчасового глобального сертифіката, засвідчену підписом керівника та печаткою депозитарію.</w:t>
      </w:r>
    </w:p>
    <w:p w:rsidR="00BA4516" w:rsidRP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bookmarkStart w:id="38" w:name="n53"/>
      <w:bookmarkEnd w:id="38"/>
      <w:r w:rsidRPr="00BA4516">
        <w:rPr>
          <w:rFonts w:ascii="Times New Roman" w:eastAsia="Times New Roman" w:hAnsi="Times New Roman" w:cs="Times New Roman"/>
          <w:color w:val="000000"/>
          <w:sz w:val="20"/>
          <w:szCs w:val="20"/>
          <w:lang w:eastAsia="uk-UA"/>
        </w:rPr>
        <w:t>2. За результатами розгляду наданих документів Комісія приймає рішення про надання дозволу на розміщення та обіг цінних паперів українських емітентів за межами України або рішення про відмову в наданні відповідного дозволу.</w:t>
      </w:r>
    </w:p>
    <w:p w:rsidR="00BA4516" w:rsidRP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bookmarkStart w:id="39" w:name="n54"/>
      <w:bookmarkEnd w:id="39"/>
      <w:r w:rsidRPr="00BA4516">
        <w:rPr>
          <w:rFonts w:ascii="Times New Roman" w:eastAsia="Times New Roman" w:hAnsi="Times New Roman" w:cs="Times New Roman"/>
          <w:color w:val="000000"/>
          <w:sz w:val="20"/>
          <w:szCs w:val="20"/>
          <w:lang w:eastAsia="uk-UA"/>
        </w:rPr>
        <w:t>3. На підставі рішення про надання дозволу, зазначеного в пункті 2 цього розділу, емітенту видається відповідний </w:t>
      </w:r>
      <w:hyperlink r:id="rId8" w:anchor="n70" w:history="1">
        <w:r w:rsidRPr="00BA4516">
          <w:rPr>
            <w:rFonts w:ascii="Times New Roman" w:eastAsia="Times New Roman" w:hAnsi="Times New Roman" w:cs="Times New Roman"/>
            <w:color w:val="006600"/>
            <w:sz w:val="20"/>
            <w:szCs w:val="20"/>
            <w:u w:val="single"/>
            <w:lang w:eastAsia="uk-UA"/>
          </w:rPr>
          <w:t>дозвіл</w:t>
        </w:r>
      </w:hyperlink>
      <w:r w:rsidRPr="00BA4516">
        <w:rPr>
          <w:rFonts w:ascii="Times New Roman" w:eastAsia="Times New Roman" w:hAnsi="Times New Roman" w:cs="Times New Roman"/>
          <w:color w:val="000000"/>
          <w:sz w:val="20"/>
          <w:szCs w:val="20"/>
          <w:lang w:eastAsia="uk-UA"/>
        </w:rPr>
        <w:t> (додаток 2), що засвідчується підписом уповноваженої особи Комісії та печаткою Комісії.</w:t>
      </w:r>
    </w:p>
    <w:p w:rsidR="00BA4516" w:rsidRPr="00BA4516" w:rsidRDefault="00BA4516" w:rsidP="00BA4516">
      <w:pPr>
        <w:shd w:val="clear" w:color="auto" w:fill="FFFFFF"/>
        <w:spacing w:after="0" w:line="240" w:lineRule="auto"/>
        <w:ind w:left="275" w:right="275"/>
        <w:jc w:val="center"/>
        <w:textAlignment w:val="baseline"/>
        <w:rPr>
          <w:rFonts w:ascii="Times New Roman" w:eastAsia="Times New Roman" w:hAnsi="Times New Roman" w:cs="Times New Roman"/>
          <w:color w:val="000000"/>
          <w:sz w:val="20"/>
          <w:szCs w:val="20"/>
          <w:lang w:eastAsia="uk-UA"/>
        </w:rPr>
      </w:pPr>
      <w:bookmarkStart w:id="40" w:name="n55"/>
      <w:bookmarkEnd w:id="40"/>
      <w:r w:rsidRPr="00BA4516">
        <w:rPr>
          <w:rFonts w:ascii="Times New Roman" w:eastAsia="Times New Roman" w:hAnsi="Times New Roman" w:cs="Times New Roman"/>
          <w:b/>
          <w:bCs/>
          <w:color w:val="000000"/>
          <w:sz w:val="20"/>
          <w:szCs w:val="20"/>
          <w:lang w:eastAsia="uk-UA"/>
        </w:rPr>
        <w:t>IIІ. Порядок отримання дозволу на обіг цінних паперів за межами України</w:t>
      </w:r>
    </w:p>
    <w:p w:rsidR="00BA4516" w:rsidRP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bookmarkStart w:id="41" w:name="n56"/>
      <w:bookmarkEnd w:id="41"/>
      <w:r w:rsidRPr="00BA4516">
        <w:rPr>
          <w:rFonts w:ascii="Times New Roman" w:eastAsia="Times New Roman" w:hAnsi="Times New Roman" w:cs="Times New Roman"/>
          <w:color w:val="000000"/>
          <w:sz w:val="20"/>
          <w:szCs w:val="20"/>
          <w:lang w:eastAsia="uk-UA"/>
        </w:rPr>
        <w:t>1. Для отримання дозволу на обіг цінних паперів українських емітентів за межами України власник цінних паперів українського емітента подає до Комісії такі документи:</w:t>
      </w:r>
    </w:p>
    <w:p w:rsidR="00BA4516" w:rsidRP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bookmarkStart w:id="42" w:name="n57"/>
      <w:bookmarkEnd w:id="42"/>
      <w:r w:rsidRPr="00BA4516">
        <w:rPr>
          <w:rFonts w:ascii="Times New Roman" w:eastAsia="Times New Roman" w:hAnsi="Times New Roman" w:cs="Times New Roman"/>
          <w:color w:val="000000"/>
          <w:sz w:val="20"/>
          <w:szCs w:val="20"/>
          <w:lang w:eastAsia="uk-UA"/>
        </w:rPr>
        <w:t>1) </w:t>
      </w:r>
      <w:hyperlink r:id="rId9" w:anchor="n73" w:history="1">
        <w:r w:rsidRPr="00BA4516">
          <w:rPr>
            <w:rFonts w:ascii="Times New Roman" w:eastAsia="Times New Roman" w:hAnsi="Times New Roman" w:cs="Times New Roman"/>
            <w:color w:val="006600"/>
            <w:sz w:val="20"/>
            <w:szCs w:val="20"/>
            <w:u w:val="single"/>
            <w:lang w:eastAsia="uk-UA"/>
          </w:rPr>
          <w:t>заяву про видачу дозволу</w:t>
        </w:r>
      </w:hyperlink>
      <w:r w:rsidRPr="00BA4516">
        <w:rPr>
          <w:rFonts w:ascii="Times New Roman" w:eastAsia="Times New Roman" w:hAnsi="Times New Roman" w:cs="Times New Roman"/>
          <w:color w:val="000000"/>
          <w:sz w:val="20"/>
          <w:szCs w:val="20"/>
          <w:lang w:eastAsia="uk-UA"/>
        </w:rPr>
        <w:t>, підписану власником цінних паперів українського емітента або керівником власника цінних паперів та засвідчену його печаткою, якщо власником цінних паперів є юридична особа (додаток 3);</w:t>
      </w:r>
    </w:p>
    <w:p w:rsidR="00BA4516" w:rsidRP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bookmarkStart w:id="43" w:name="n58"/>
      <w:bookmarkEnd w:id="43"/>
      <w:r w:rsidRPr="00BA4516">
        <w:rPr>
          <w:rFonts w:ascii="Times New Roman" w:eastAsia="Times New Roman" w:hAnsi="Times New Roman" w:cs="Times New Roman"/>
          <w:color w:val="000000"/>
          <w:sz w:val="20"/>
          <w:szCs w:val="20"/>
          <w:lang w:eastAsia="uk-UA"/>
        </w:rPr>
        <w:t>2) виписку з рахунку в цінних паперах, яка є підтвердженням прав власності на цінні папери, засвідчену підписом керівника та печаткою депозитарної установи;</w:t>
      </w:r>
    </w:p>
    <w:p w:rsidR="00BA4516" w:rsidRP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bookmarkStart w:id="44" w:name="n59"/>
      <w:bookmarkEnd w:id="44"/>
      <w:r w:rsidRPr="00BA4516">
        <w:rPr>
          <w:rFonts w:ascii="Times New Roman" w:eastAsia="Times New Roman" w:hAnsi="Times New Roman" w:cs="Times New Roman"/>
          <w:color w:val="000000"/>
          <w:sz w:val="20"/>
          <w:szCs w:val="20"/>
          <w:lang w:eastAsia="uk-UA"/>
        </w:rPr>
        <w:t>3) довідку про допуск до торгівлі на українській фондовій біржі цінних паперів емітента того самого виду, що й цінні папери, для отримання дозволу на обіг яких подається заява, засвідчену підписами керівників та печатками емітента і фондової біржі.</w:t>
      </w:r>
    </w:p>
    <w:p w:rsidR="00BA4516" w:rsidRP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bookmarkStart w:id="45" w:name="n60"/>
      <w:bookmarkEnd w:id="45"/>
      <w:r w:rsidRPr="00BA4516">
        <w:rPr>
          <w:rFonts w:ascii="Times New Roman" w:eastAsia="Times New Roman" w:hAnsi="Times New Roman" w:cs="Times New Roman"/>
          <w:color w:val="000000"/>
          <w:sz w:val="20"/>
          <w:szCs w:val="20"/>
          <w:lang w:eastAsia="uk-UA"/>
        </w:rPr>
        <w:t>2. За результатами розгляду наданих документів Комісія приймає рішення про видачу дозволу на обіг цінних паперів українських емітентів за межами України або рішення про відмову у видачі відповідного дозволу.</w:t>
      </w:r>
    </w:p>
    <w:p w:rsidR="00BA4516" w:rsidRP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bookmarkStart w:id="46" w:name="n61"/>
      <w:bookmarkEnd w:id="46"/>
      <w:r w:rsidRPr="00BA4516">
        <w:rPr>
          <w:rFonts w:ascii="Times New Roman" w:eastAsia="Times New Roman" w:hAnsi="Times New Roman" w:cs="Times New Roman"/>
          <w:color w:val="000000"/>
          <w:sz w:val="20"/>
          <w:szCs w:val="20"/>
          <w:lang w:eastAsia="uk-UA"/>
        </w:rPr>
        <w:t>3. На підставі рішення про видачу дозволу, зазначеного в пункті 2 цього розділу, власнику цінних паперів українського емітента видається відповідний </w:t>
      </w:r>
      <w:hyperlink r:id="rId10" w:anchor="n77" w:history="1">
        <w:r w:rsidRPr="00BA4516">
          <w:rPr>
            <w:rFonts w:ascii="Times New Roman" w:eastAsia="Times New Roman" w:hAnsi="Times New Roman" w:cs="Times New Roman"/>
            <w:color w:val="006600"/>
            <w:sz w:val="20"/>
            <w:szCs w:val="20"/>
            <w:u w:val="single"/>
            <w:lang w:eastAsia="uk-UA"/>
          </w:rPr>
          <w:t>дозвіл</w:t>
        </w:r>
      </w:hyperlink>
      <w:r w:rsidRPr="00BA4516">
        <w:rPr>
          <w:rFonts w:ascii="Times New Roman" w:eastAsia="Times New Roman" w:hAnsi="Times New Roman" w:cs="Times New Roman"/>
          <w:color w:val="000000"/>
          <w:sz w:val="20"/>
          <w:szCs w:val="20"/>
          <w:lang w:eastAsia="uk-UA"/>
        </w:rPr>
        <w:t> (додаток 4), що засвідчується підписом уповноваженої особи Комісії та печаткою Комісії.</w:t>
      </w:r>
    </w:p>
    <w:p w:rsid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bookmarkStart w:id="47" w:name="n62"/>
      <w:bookmarkEnd w:id="47"/>
      <w:r w:rsidRPr="00BA4516">
        <w:rPr>
          <w:rFonts w:ascii="Times New Roman" w:eastAsia="Times New Roman" w:hAnsi="Times New Roman" w:cs="Times New Roman"/>
          <w:color w:val="000000"/>
          <w:sz w:val="20"/>
          <w:szCs w:val="20"/>
          <w:lang w:eastAsia="uk-UA"/>
        </w:rPr>
        <w:t>4. У разі необхідності отримання дозволу на обіг цінних паперів за межами України на більшу кількість цінних паперів, ніж зазначена в дозволі, до документів, зазначених у пункті 1 цього розділу, додається також оригінал раніше наданого дозволу.</w:t>
      </w:r>
    </w:p>
    <w:p w:rsidR="00BA4516" w:rsidRPr="00BA4516" w:rsidRDefault="00BA4516" w:rsidP="00BA4516">
      <w:pPr>
        <w:shd w:val="clear" w:color="auto" w:fill="FFFFFF"/>
        <w:spacing w:after="0" w:line="240" w:lineRule="auto"/>
        <w:ind w:firstLine="275"/>
        <w:jc w:val="both"/>
        <w:textAlignment w:val="baseline"/>
        <w:rPr>
          <w:rFonts w:ascii="Times New Roman" w:eastAsia="Times New Roman" w:hAnsi="Times New Roman" w:cs="Times New Roman"/>
          <w:color w:val="000000"/>
          <w:sz w:val="20"/>
          <w:szCs w:val="20"/>
          <w:lang w:eastAsia="uk-UA"/>
        </w:rPr>
      </w:pPr>
    </w:p>
    <w:tbl>
      <w:tblPr>
        <w:tblW w:w="5000" w:type="pct"/>
        <w:tblCellMar>
          <w:left w:w="0" w:type="dxa"/>
          <w:right w:w="0" w:type="dxa"/>
        </w:tblCellMar>
        <w:tblLook w:val="04A0"/>
      </w:tblPr>
      <w:tblGrid>
        <w:gridCol w:w="4048"/>
        <w:gridCol w:w="5591"/>
      </w:tblGrid>
      <w:tr w:rsidR="00BA4516" w:rsidRPr="00BA4516" w:rsidTr="00BA4516">
        <w:tc>
          <w:tcPr>
            <w:tcW w:w="2100" w:type="pct"/>
            <w:hideMark/>
          </w:tcPr>
          <w:p w:rsidR="00BA4516" w:rsidRPr="00BA4516" w:rsidRDefault="00BA4516" w:rsidP="00BA4516">
            <w:pPr>
              <w:spacing w:after="0" w:line="240" w:lineRule="auto"/>
              <w:jc w:val="center"/>
              <w:textAlignment w:val="baseline"/>
              <w:rPr>
                <w:rFonts w:ascii="Times New Roman" w:eastAsia="Times New Roman" w:hAnsi="Times New Roman" w:cs="Times New Roman"/>
                <w:sz w:val="20"/>
                <w:szCs w:val="20"/>
                <w:lang w:eastAsia="uk-UA"/>
              </w:rPr>
            </w:pPr>
            <w:bookmarkStart w:id="48" w:name="n63"/>
            <w:bookmarkEnd w:id="48"/>
            <w:r w:rsidRPr="00BA4516">
              <w:rPr>
                <w:rFonts w:ascii="Times New Roman" w:eastAsia="Times New Roman" w:hAnsi="Times New Roman" w:cs="Times New Roman"/>
                <w:b/>
                <w:bCs/>
                <w:color w:val="000000"/>
                <w:sz w:val="20"/>
                <w:szCs w:val="20"/>
                <w:lang w:eastAsia="uk-UA"/>
              </w:rPr>
              <w:t>Директор департаменту</w:t>
            </w:r>
            <w:r w:rsidRPr="00BA4516">
              <w:rPr>
                <w:rFonts w:ascii="Times New Roman" w:eastAsia="Times New Roman" w:hAnsi="Times New Roman" w:cs="Times New Roman"/>
                <w:sz w:val="20"/>
                <w:szCs w:val="20"/>
                <w:lang w:eastAsia="uk-UA"/>
              </w:rPr>
              <w:t> </w:t>
            </w:r>
            <w:r w:rsidRPr="00BA4516">
              <w:rPr>
                <w:rFonts w:ascii="Times New Roman" w:eastAsia="Times New Roman" w:hAnsi="Times New Roman" w:cs="Times New Roman"/>
                <w:sz w:val="20"/>
                <w:szCs w:val="20"/>
                <w:lang w:eastAsia="uk-UA"/>
              </w:rPr>
              <w:br/>
            </w:r>
            <w:r w:rsidRPr="00BA4516">
              <w:rPr>
                <w:rFonts w:ascii="Times New Roman" w:eastAsia="Times New Roman" w:hAnsi="Times New Roman" w:cs="Times New Roman"/>
                <w:b/>
                <w:bCs/>
                <w:color w:val="000000"/>
                <w:sz w:val="20"/>
                <w:szCs w:val="20"/>
                <w:lang w:eastAsia="uk-UA"/>
              </w:rPr>
              <w:t>корпоративного управління</w:t>
            </w:r>
            <w:r w:rsidRPr="00BA4516">
              <w:rPr>
                <w:rFonts w:ascii="Times New Roman" w:eastAsia="Times New Roman" w:hAnsi="Times New Roman" w:cs="Times New Roman"/>
                <w:sz w:val="20"/>
                <w:szCs w:val="20"/>
                <w:lang w:eastAsia="uk-UA"/>
              </w:rPr>
              <w:t> </w:t>
            </w:r>
            <w:r w:rsidRPr="00BA4516">
              <w:rPr>
                <w:rFonts w:ascii="Times New Roman" w:eastAsia="Times New Roman" w:hAnsi="Times New Roman" w:cs="Times New Roman"/>
                <w:sz w:val="20"/>
                <w:szCs w:val="20"/>
                <w:lang w:eastAsia="uk-UA"/>
              </w:rPr>
              <w:br/>
            </w:r>
            <w:r w:rsidRPr="00BA4516">
              <w:rPr>
                <w:rFonts w:ascii="Times New Roman" w:eastAsia="Times New Roman" w:hAnsi="Times New Roman" w:cs="Times New Roman"/>
                <w:b/>
                <w:bCs/>
                <w:color w:val="000000"/>
                <w:sz w:val="20"/>
                <w:szCs w:val="20"/>
                <w:lang w:eastAsia="uk-UA"/>
              </w:rPr>
              <w:t>та корпоративних фінансів</w:t>
            </w:r>
          </w:p>
        </w:tc>
        <w:tc>
          <w:tcPr>
            <w:tcW w:w="3500" w:type="pct"/>
            <w:hideMark/>
          </w:tcPr>
          <w:p w:rsidR="00BA4516" w:rsidRPr="00BA4516" w:rsidRDefault="00BA4516" w:rsidP="00BA4516">
            <w:pPr>
              <w:spacing w:after="0" w:line="240" w:lineRule="auto"/>
              <w:jc w:val="right"/>
              <w:textAlignment w:val="baseline"/>
              <w:rPr>
                <w:rFonts w:ascii="Times New Roman" w:eastAsia="Times New Roman" w:hAnsi="Times New Roman" w:cs="Times New Roman"/>
                <w:sz w:val="20"/>
                <w:szCs w:val="20"/>
                <w:lang w:eastAsia="uk-UA"/>
              </w:rPr>
            </w:pPr>
            <w:r w:rsidRPr="00BA4516">
              <w:rPr>
                <w:rFonts w:ascii="Times New Roman" w:eastAsia="Times New Roman" w:hAnsi="Times New Roman" w:cs="Times New Roman"/>
                <w:sz w:val="20"/>
                <w:szCs w:val="20"/>
                <w:lang w:eastAsia="uk-UA"/>
              </w:rPr>
              <w:br/>
            </w:r>
            <w:r w:rsidRPr="00BA4516">
              <w:rPr>
                <w:rFonts w:ascii="Times New Roman" w:eastAsia="Times New Roman" w:hAnsi="Times New Roman" w:cs="Times New Roman"/>
                <w:sz w:val="20"/>
                <w:szCs w:val="20"/>
                <w:lang w:eastAsia="uk-UA"/>
              </w:rPr>
              <w:br/>
            </w:r>
            <w:r w:rsidRPr="00BA4516">
              <w:rPr>
                <w:rFonts w:ascii="Times New Roman" w:eastAsia="Times New Roman" w:hAnsi="Times New Roman" w:cs="Times New Roman"/>
                <w:b/>
                <w:bCs/>
                <w:color w:val="000000"/>
                <w:sz w:val="20"/>
                <w:szCs w:val="20"/>
                <w:lang w:eastAsia="uk-UA"/>
              </w:rPr>
              <w:t xml:space="preserve">А. </w:t>
            </w:r>
            <w:proofErr w:type="spellStart"/>
            <w:r w:rsidRPr="00BA4516">
              <w:rPr>
                <w:rFonts w:ascii="Times New Roman" w:eastAsia="Times New Roman" w:hAnsi="Times New Roman" w:cs="Times New Roman"/>
                <w:b/>
                <w:bCs/>
                <w:color w:val="000000"/>
                <w:sz w:val="20"/>
                <w:szCs w:val="20"/>
                <w:lang w:eastAsia="uk-UA"/>
              </w:rPr>
              <w:t>Папаіка</w:t>
            </w:r>
            <w:proofErr w:type="spellEnd"/>
          </w:p>
        </w:tc>
      </w:tr>
    </w:tbl>
    <w:p w:rsidR="005627A0" w:rsidRPr="00BA4516" w:rsidRDefault="005627A0">
      <w:pPr>
        <w:rPr>
          <w:sz w:val="20"/>
          <w:szCs w:val="20"/>
        </w:rPr>
      </w:pPr>
    </w:p>
    <w:sectPr w:rsidR="005627A0" w:rsidRPr="00BA4516" w:rsidSect="005627A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BA4516"/>
    <w:rsid w:val="005627A0"/>
    <w:rsid w:val="00BA451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7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BA451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BA4516"/>
  </w:style>
  <w:style w:type="character" w:customStyle="1" w:styleId="apple-converted-space">
    <w:name w:val="apple-converted-space"/>
    <w:basedOn w:val="a0"/>
    <w:rsid w:val="00BA4516"/>
  </w:style>
  <w:style w:type="paragraph" w:customStyle="1" w:styleId="rvps6">
    <w:name w:val="rvps6"/>
    <w:basedOn w:val="a"/>
    <w:rsid w:val="00BA451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BA4516"/>
  </w:style>
  <w:style w:type="paragraph" w:customStyle="1" w:styleId="rvps7">
    <w:name w:val="rvps7"/>
    <w:basedOn w:val="a"/>
    <w:rsid w:val="00BA451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BA4516"/>
  </w:style>
  <w:style w:type="paragraph" w:customStyle="1" w:styleId="rvps2">
    <w:name w:val="rvps2"/>
    <w:basedOn w:val="a"/>
    <w:rsid w:val="00BA451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BA4516"/>
    <w:rPr>
      <w:color w:val="0000FF"/>
      <w:u w:val="single"/>
    </w:rPr>
  </w:style>
  <w:style w:type="character" w:customStyle="1" w:styleId="rvts46">
    <w:name w:val="rvts46"/>
    <w:basedOn w:val="a0"/>
    <w:rsid w:val="00BA4516"/>
  </w:style>
  <w:style w:type="character" w:customStyle="1" w:styleId="rvts11">
    <w:name w:val="rvts11"/>
    <w:basedOn w:val="a0"/>
    <w:rsid w:val="00BA4516"/>
  </w:style>
  <w:style w:type="paragraph" w:customStyle="1" w:styleId="rvps4">
    <w:name w:val="rvps4"/>
    <w:basedOn w:val="a"/>
    <w:rsid w:val="00BA451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BA4516"/>
  </w:style>
  <w:style w:type="paragraph" w:customStyle="1" w:styleId="rvps15">
    <w:name w:val="rvps15"/>
    <w:basedOn w:val="a"/>
    <w:rsid w:val="00BA4516"/>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796994950">
      <w:bodyDiv w:val="1"/>
      <w:marLeft w:val="0"/>
      <w:marRight w:val="0"/>
      <w:marTop w:val="0"/>
      <w:marBottom w:val="0"/>
      <w:divBdr>
        <w:top w:val="none" w:sz="0" w:space="0" w:color="auto"/>
        <w:left w:val="none" w:sz="0" w:space="0" w:color="auto"/>
        <w:bottom w:val="none" w:sz="0" w:space="0" w:color="auto"/>
        <w:right w:val="none" w:sz="0" w:space="0" w:color="auto"/>
      </w:divBdr>
      <w:divsChild>
        <w:div w:id="1837528543">
          <w:marLeft w:val="0"/>
          <w:marRight w:val="0"/>
          <w:marTop w:val="0"/>
          <w:marBottom w:val="92"/>
          <w:divBdr>
            <w:top w:val="none" w:sz="0" w:space="0" w:color="auto"/>
            <w:left w:val="none" w:sz="0" w:space="0" w:color="auto"/>
            <w:bottom w:val="none" w:sz="0" w:space="0" w:color="auto"/>
            <w:right w:val="none" w:sz="0" w:space="0" w:color="auto"/>
          </w:divBdr>
        </w:div>
        <w:div w:id="732700248">
          <w:marLeft w:val="0"/>
          <w:marRight w:val="0"/>
          <w:marTop w:val="0"/>
          <w:marBottom w:val="9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z1201-13" TargetMode="External"/><Relationship Id="rId3" Type="http://schemas.openxmlformats.org/officeDocument/2006/relationships/webSettings" Target="webSettings.xml"/><Relationship Id="rId7" Type="http://schemas.openxmlformats.org/officeDocument/2006/relationships/hyperlink" Target="http://zakon4.rada.gov.ua/laws/show/z1201-1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4.rada.gov.ua/laws/show/z1269-14/paran25" TargetMode="External"/><Relationship Id="rId11" Type="http://schemas.openxmlformats.org/officeDocument/2006/relationships/fontTable" Target="fontTable.xml"/><Relationship Id="rId5" Type="http://schemas.openxmlformats.org/officeDocument/2006/relationships/hyperlink" Target="http://zakon4.rada.gov.ua/laws/show/z1201-13" TargetMode="External"/><Relationship Id="rId10" Type="http://schemas.openxmlformats.org/officeDocument/2006/relationships/hyperlink" Target="http://zakon4.rada.gov.ua/laws/show/z1201-13" TargetMode="External"/><Relationship Id="rId4" Type="http://schemas.openxmlformats.org/officeDocument/2006/relationships/hyperlink" Target="http://zakon4.rada.gov.ua/laws/show/z1201-13" TargetMode="External"/><Relationship Id="rId9" Type="http://schemas.openxmlformats.org/officeDocument/2006/relationships/hyperlink" Target="http://zakon4.rada.gov.ua/laws/show/z1201-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5152</Words>
  <Characters>2937</Characters>
  <Application>Microsoft Office Word</Application>
  <DocSecurity>0</DocSecurity>
  <Lines>24</Lines>
  <Paragraphs>16</Paragraphs>
  <ScaleCrop>false</ScaleCrop>
  <Company>Національна комісія</Company>
  <LinksUpToDate>false</LinksUpToDate>
  <CharactersWithSpaces>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kateryna.burenko</dc:creator>
  <cp:lastModifiedBy>kateryna.burenko</cp:lastModifiedBy>
  <cp:revision>1</cp:revision>
  <dcterms:created xsi:type="dcterms:W3CDTF">2017-04-07T09:53:00Z</dcterms:created>
  <dcterms:modified xsi:type="dcterms:W3CDTF">2017-04-07T09:54:00Z</dcterms:modified>
</cp:coreProperties>
</file>