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CB" w:rsidRPr="00C935CB" w:rsidRDefault="00C935CB" w:rsidP="00C935CB">
      <w:pPr>
        <w:shd w:val="clear" w:color="auto" w:fill="FFFFFF"/>
        <w:spacing w:before="400" w:after="600" w:line="240" w:lineRule="auto"/>
        <w:ind w:left="600" w:right="600"/>
        <w:jc w:val="center"/>
        <w:rPr>
          <w:rFonts w:ascii="Times New Roman" w:eastAsia="Times New Roman" w:hAnsi="Times New Roman" w:cs="Times New Roman"/>
          <w:color w:val="000000"/>
          <w:sz w:val="32"/>
          <w:szCs w:val="32"/>
          <w:lang w:eastAsia="ru-RU"/>
        </w:rPr>
      </w:pPr>
      <w:bookmarkStart w:id="0" w:name="n19"/>
      <w:bookmarkEnd w:id="0"/>
      <w:r w:rsidRPr="00C935CB">
        <w:rPr>
          <w:rFonts w:ascii="Times New Roman" w:eastAsia="Times New Roman" w:hAnsi="Times New Roman" w:cs="Times New Roman"/>
          <w:b/>
          <w:bCs/>
          <w:color w:val="000000"/>
          <w:sz w:val="32"/>
          <w:lang w:eastAsia="ru-RU"/>
        </w:rPr>
        <w:t>ПОЛОЖЕННЯ </w:t>
      </w:r>
      <w:r w:rsidRPr="00C935CB">
        <w:rPr>
          <w:rFonts w:ascii="Times New Roman" w:eastAsia="Times New Roman" w:hAnsi="Times New Roman" w:cs="Times New Roman"/>
          <w:color w:val="000000"/>
          <w:sz w:val="32"/>
          <w:szCs w:val="32"/>
          <w:lang w:eastAsia="ru-RU"/>
        </w:rPr>
        <w:br/>
      </w:r>
      <w:r w:rsidRPr="00C935CB">
        <w:rPr>
          <w:rFonts w:ascii="Times New Roman" w:eastAsia="Times New Roman" w:hAnsi="Times New Roman" w:cs="Times New Roman"/>
          <w:b/>
          <w:bCs/>
          <w:color w:val="000000"/>
          <w:sz w:val="32"/>
          <w:lang w:eastAsia="ru-RU"/>
        </w:rPr>
        <w:t xml:space="preserve">про порядок складання та подання адміністративних даних щодо діяльності торговців цінними паперами до Національної комісії з цінних паперів та </w:t>
      </w:r>
      <w:proofErr w:type="gramStart"/>
      <w:r w:rsidRPr="00C935CB">
        <w:rPr>
          <w:rFonts w:ascii="Times New Roman" w:eastAsia="Times New Roman" w:hAnsi="Times New Roman" w:cs="Times New Roman"/>
          <w:b/>
          <w:bCs/>
          <w:color w:val="000000"/>
          <w:sz w:val="32"/>
          <w:lang w:eastAsia="ru-RU"/>
        </w:rPr>
        <w:t>фондового</w:t>
      </w:r>
      <w:proofErr w:type="gramEnd"/>
      <w:r w:rsidRPr="00C935CB">
        <w:rPr>
          <w:rFonts w:ascii="Times New Roman" w:eastAsia="Times New Roman" w:hAnsi="Times New Roman" w:cs="Times New Roman"/>
          <w:b/>
          <w:bCs/>
          <w:color w:val="000000"/>
          <w:sz w:val="32"/>
          <w:lang w:eastAsia="ru-RU"/>
        </w:rPr>
        <w:t xml:space="preserve"> ринку</w:t>
      </w:r>
    </w:p>
    <w:p w:rsidR="00C935CB" w:rsidRPr="00C935CB" w:rsidRDefault="00C935CB" w:rsidP="00C935CB">
      <w:pPr>
        <w:shd w:val="clear" w:color="auto" w:fill="FFFFFF"/>
        <w:spacing w:before="200" w:line="240" w:lineRule="auto"/>
        <w:ind w:left="600" w:right="600"/>
        <w:jc w:val="center"/>
        <w:rPr>
          <w:rFonts w:ascii="Times New Roman" w:eastAsia="Times New Roman" w:hAnsi="Times New Roman" w:cs="Times New Roman"/>
          <w:color w:val="000000"/>
          <w:sz w:val="32"/>
          <w:szCs w:val="32"/>
          <w:lang w:eastAsia="ru-RU"/>
        </w:rPr>
      </w:pPr>
      <w:bookmarkStart w:id="1" w:name="n20"/>
      <w:bookmarkEnd w:id="1"/>
      <w:r w:rsidRPr="00C935CB">
        <w:rPr>
          <w:rFonts w:ascii="Times New Roman" w:eastAsia="Times New Roman" w:hAnsi="Times New Roman" w:cs="Times New Roman"/>
          <w:b/>
          <w:bCs/>
          <w:color w:val="000000"/>
          <w:sz w:val="28"/>
          <w:lang w:eastAsia="ru-RU"/>
        </w:rPr>
        <w:t>I. Загальні положення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2" w:name="n21"/>
      <w:bookmarkEnd w:id="2"/>
      <w:r w:rsidRPr="00C935CB">
        <w:rPr>
          <w:rFonts w:ascii="Times New Roman" w:eastAsia="Times New Roman" w:hAnsi="Times New Roman" w:cs="Times New Roman"/>
          <w:color w:val="000000"/>
          <w:sz w:val="32"/>
          <w:szCs w:val="32"/>
          <w:lang w:eastAsia="ru-RU"/>
        </w:rPr>
        <w:t xml:space="preserve">1. Це Положення визначає склад, строки та порядок подання до Національної комісії з цінних паперів та </w:t>
      </w:r>
      <w:proofErr w:type="gramStart"/>
      <w:r w:rsidRPr="00C935CB">
        <w:rPr>
          <w:rFonts w:ascii="Times New Roman" w:eastAsia="Times New Roman" w:hAnsi="Times New Roman" w:cs="Times New Roman"/>
          <w:color w:val="000000"/>
          <w:sz w:val="32"/>
          <w:szCs w:val="32"/>
          <w:lang w:eastAsia="ru-RU"/>
        </w:rPr>
        <w:t>фондового</w:t>
      </w:r>
      <w:proofErr w:type="gramEnd"/>
      <w:r w:rsidRPr="00C935CB">
        <w:rPr>
          <w:rFonts w:ascii="Times New Roman" w:eastAsia="Times New Roman" w:hAnsi="Times New Roman" w:cs="Times New Roman"/>
          <w:color w:val="000000"/>
          <w:sz w:val="32"/>
          <w:szCs w:val="32"/>
          <w:lang w:eastAsia="ru-RU"/>
        </w:rPr>
        <w:t xml:space="preserve"> ринку (далі - Комісія) адміністративних даних (далі - Дані) торговцем цінними паперами щодо своєї професійної діяльності на фондовому ринку.</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3" w:name="n22"/>
      <w:bookmarkEnd w:id="3"/>
      <w:r w:rsidRPr="00C935CB">
        <w:rPr>
          <w:rFonts w:ascii="Times New Roman" w:eastAsia="Times New Roman" w:hAnsi="Times New Roman" w:cs="Times New Roman"/>
          <w:color w:val="000000"/>
          <w:sz w:val="32"/>
          <w:szCs w:val="32"/>
          <w:lang w:eastAsia="ru-RU"/>
        </w:rPr>
        <w:t>2. Дія цього Положення поширюється на юридичних осіб, які в установленому законодавством порядку отримали ліцензії на провадження професійної діяльності на фондовому ринку - діяльності з торгі</w:t>
      </w:r>
      <w:proofErr w:type="gramStart"/>
      <w:r w:rsidRPr="00C935CB">
        <w:rPr>
          <w:rFonts w:ascii="Times New Roman" w:eastAsia="Times New Roman" w:hAnsi="Times New Roman" w:cs="Times New Roman"/>
          <w:color w:val="000000"/>
          <w:sz w:val="32"/>
          <w:szCs w:val="32"/>
          <w:lang w:eastAsia="ru-RU"/>
        </w:rPr>
        <w:t>вл</w:t>
      </w:r>
      <w:proofErr w:type="gramEnd"/>
      <w:r w:rsidRPr="00C935CB">
        <w:rPr>
          <w:rFonts w:ascii="Times New Roman" w:eastAsia="Times New Roman" w:hAnsi="Times New Roman" w:cs="Times New Roman"/>
          <w:color w:val="000000"/>
          <w:sz w:val="32"/>
          <w:szCs w:val="32"/>
          <w:lang w:eastAsia="ru-RU"/>
        </w:rPr>
        <w:t xml:space="preserve">і цінними паперами, а саме: брокерської діяльності, дилерської діяльності, андеррайтингу, діяльності з управління цінними паперами, у тому числі які мали право на провадження цієї професійної діяльності протягом періоду, за який подаються </w:t>
      </w:r>
      <w:proofErr w:type="gramStart"/>
      <w:r w:rsidRPr="00C935CB">
        <w:rPr>
          <w:rFonts w:ascii="Times New Roman" w:eastAsia="Times New Roman" w:hAnsi="Times New Roman" w:cs="Times New Roman"/>
          <w:color w:val="000000"/>
          <w:sz w:val="32"/>
          <w:szCs w:val="32"/>
          <w:lang w:eastAsia="ru-RU"/>
        </w:rPr>
        <w:t>Дан</w:t>
      </w:r>
      <w:proofErr w:type="gramEnd"/>
      <w:r w:rsidRPr="00C935CB">
        <w:rPr>
          <w:rFonts w:ascii="Times New Roman" w:eastAsia="Times New Roman" w:hAnsi="Times New Roman" w:cs="Times New Roman"/>
          <w:color w:val="000000"/>
          <w:sz w:val="32"/>
          <w:szCs w:val="32"/>
          <w:lang w:eastAsia="ru-RU"/>
        </w:rPr>
        <w:t>і.</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4" w:name="n23"/>
      <w:bookmarkEnd w:id="4"/>
      <w:r w:rsidRPr="00C935CB">
        <w:rPr>
          <w:rFonts w:ascii="Times New Roman" w:eastAsia="Times New Roman" w:hAnsi="Times New Roman" w:cs="Times New Roman"/>
          <w:color w:val="000000"/>
          <w:sz w:val="32"/>
          <w:szCs w:val="32"/>
          <w:lang w:eastAsia="ru-RU"/>
        </w:rPr>
        <w:t xml:space="preserve">3. У цьому Положенні терміни вживаються </w:t>
      </w:r>
      <w:proofErr w:type="gramStart"/>
      <w:r w:rsidRPr="00C935CB">
        <w:rPr>
          <w:rFonts w:ascii="Times New Roman" w:eastAsia="Times New Roman" w:hAnsi="Times New Roman" w:cs="Times New Roman"/>
          <w:color w:val="000000"/>
          <w:sz w:val="32"/>
          <w:szCs w:val="32"/>
          <w:lang w:eastAsia="ru-RU"/>
        </w:rPr>
        <w:t>у</w:t>
      </w:r>
      <w:proofErr w:type="gramEnd"/>
      <w:r w:rsidRPr="00C935CB">
        <w:rPr>
          <w:rFonts w:ascii="Times New Roman" w:eastAsia="Times New Roman" w:hAnsi="Times New Roman" w:cs="Times New Roman"/>
          <w:color w:val="000000"/>
          <w:sz w:val="32"/>
          <w:szCs w:val="32"/>
          <w:lang w:eastAsia="ru-RU"/>
        </w:rPr>
        <w:t xml:space="preserve"> такому значенні:</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5" w:name="n24"/>
      <w:bookmarkEnd w:id="5"/>
      <w:r w:rsidRPr="00C935CB">
        <w:rPr>
          <w:rFonts w:ascii="Times New Roman" w:eastAsia="Times New Roman" w:hAnsi="Times New Roman" w:cs="Times New Roman"/>
          <w:color w:val="000000"/>
          <w:sz w:val="32"/>
          <w:szCs w:val="32"/>
          <w:lang w:eastAsia="ru-RU"/>
        </w:rPr>
        <w:t>відкриті позиції - договори купівл</w:t>
      </w:r>
      <w:proofErr w:type="gramStart"/>
      <w:r w:rsidRPr="00C935CB">
        <w:rPr>
          <w:rFonts w:ascii="Times New Roman" w:eastAsia="Times New Roman" w:hAnsi="Times New Roman" w:cs="Times New Roman"/>
          <w:color w:val="000000"/>
          <w:sz w:val="32"/>
          <w:szCs w:val="32"/>
          <w:lang w:eastAsia="ru-RU"/>
        </w:rPr>
        <w:t>і-</w:t>
      </w:r>
      <w:proofErr w:type="gramEnd"/>
      <w:r w:rsidRPr="00C935CB">
        <w:rPr>
          <w:rFonts w:ascii="Times New Roman" w:eastAsia="Times New Roman" w:hAnsi="Times New Roman" w:cs="Times New Roman"/>
          <w:color w:val="000000"/>
          <w:sz w:val="32"/>
          <w:szCs w:val="32"/>
          <w:lang w:eastAsia="ru-RU"/>
        </w:rPr>
        <w:t>продажу цінних паперів, договори на виконання (крім договорів, відповідно до яких розрахунки за договором щодо цінних паперів здійснюються клієнтом торговця цінними паперами самостійно), договори на придбання цінних паперів, що укладені торговцем цінними паперами, але не виконані на звітну дату;</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6" w:name="n25"/>
      <w:bookmarkEnd w:id="6"/>
      <w:r w:rsidRPr="00C935CB">
        <w:rPr>
          <w:rFonts w:ascii="Times New Roman" w:eastAsia="Times New Roman" w:hAnsi="Times New Roman" w:cs="Times New Roman"/>
          <w:color w:val="000000"/>
          <w:sz w:val="32"/>
          <w:szCs w:val="32"/>
          <w:lang w:eastAsia="ru-RU"/>
        </w:rPr>
        <w:t>нерегулярні Дані - Дані щодо виконання та розірвання договор</w:t>
      </w:r>
      <w:proofErr w:type="gramStart"/>
      <w:r w:rsidRPr="00C935CB">
        <w:rPr>
          <w:rFonts w:ascii="Times New Roman" w:eastAsia="Times New Roman" w:hAnsi="Times New Roman" w:cs="Times New Roman"/>
          <w:color w:val="000000"/>
          <w:sz w:val="32"/>
          <w:szCs w:val="32"/>
          <w:lang w:eastAsia="ru-RU"/>
        </w:rPr>
        <w:t>у(</w:t>
      </w:r>
      <w:proofErr w:type="gramEnd"/>
      <w:r w:rsidRPr="00C935CB">
        <w:rPr>
          <w:rFonts w:ascii="Times New Roman" w:eastAsia="Times New Roman" w:hAnsi="Times New Roman" w:cs="Times New Roman"/>
          <w:color w:val="000000"/>
          <w:sz w:val="32"/>
          <w:szCs w:val="32"/>
          <w:lang w:eastAsia="ru-RU"/>
        </w:rPr>
        <w:t>ів) з цінними паперами або іншими фінансовими інструментами торговцем цінними паперами на неорганізованому ринку та Дані щодо укладання "підозрілого(их)" договору(ів) на неорганізованому ринку.</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7" w:name="n292"/>
      <w:bookmarkEnd w:id="7"/>
      <w:r w:rsidRPr="00C935CB">
        <w:rPr>
          <w:rFonts w:ascii="Times New Roman" w:eastAsia="Times New Roman" w:hAnsi="Times New Roman" w:cs="Times New Roman"/>
          <w:i/>
          <w:iCs/>
          <w:color w:val="000000"/>
          <w:sz w:val="24"/>
          <w:szCs w:val="24"/>
          <w:lang w:eastAsia="ru-RU"/>
        </w:rPr>
        <w:t xml:space="preserve">{Абзац третій пункту 3 розділу I в редакції </w:t>
      </w:r>
      <w:proofErr w:type="gramStart"/>
      <w:r w:rsidRPr="00C935CB">
        <w:rPr>
          <w:rFonts w:ascii="Times New Roman" w:eastAsia="Times New Roman" w:hAnsi="Times New Roman" w:cs="Times New Roman"/>
          <w:i/>
          <w:iCs/>
          <w:color w:val="000000"/>
          <w:sz w:val="24"/>
          <w:szCs w:val="24"/>
          <w:lang w:eastAsia="ru-RU"/>
        </w:rPr>
        <w:t>Р</w:t>
      </w:r>
      <w:proofErr w:type="gramEnd"/>
      <w:r w:rsidRPr="00C935CB">
        <w:rPr>
          <w:rFonts w:ascii="Times New Roman" w:eastAsia="Times New Roman" w:hAnsi="Times New Roman" w:cs="Times New Roman"/>
          <w:i/>
          <w:iCs/>
          <w:color w:val="000000"/>
          <w:sz w:val="24"/>
          <w:szCs w:val="24"/>
          <w:lang w:eastAsia="ru-RU"/>
        </w:rPr>
        <w:t>ішення Національної комісії з цінних паперів та фондового ринку </w:t>
      </w:r>
      <w:hyperlink r:id="rId4" w:anchor="n25" w:tgtFrame="_blank" w:history="1">
        <w:r w:rsidRPr="00C935CB">
          <w:rPr>
            <w:rFonts w:ascii="Times New Roman" w:eastAsia="Times New Roman" w:hAnsi="Times New Roman" w:cs="Times New Roman"/>
            <w:i/>
            <w:iCs/>
            <w:color w:val="0000FF"/>
            <w:sz w:val="24"/>
            <w:szCs w:val="24"/>
            <w:u w:val="single"/>
            <w:lang w:eastAsia="ru-RU"/>
          </w:rPr>
          <w:t>№ 460 від 22.06.2017</w:t>
        </w:r>
      </w:hyperlink>
      <w:r w:rsidRPr="00C935CB">
        <w:rPr>
          <w:rFonts w:ascii="Times New Roman" w:eastAsia="Times New Roman" w:hAnsi="Times New Roman" w:cs="Times New Roman"/>
          <w:i/>
          <w:iCs/>
          <w:color w:val="000000"/>
          <w:sz w:val="24"/>
          <w:szCs w:val="24"/>
          <w:lang w:eastAsia="ru-RU"/>
        </w:rPr>
        <w:t>}</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8" w:name="n26"/>
      <w:bookmarkEnd w:id="8"/>
      <w:r w:rsidRPr="00C935CB">
        <w:rPr>
          <w:rFonts w:ascii="Times New Roman" w:eastAsia="Times New Roman" w:hAnsi="Times New Roman" w:cs="Times New Roman"/>
          <w:color w:val="000000"/>
          <w:sz w:val="32"/>
          <w:szCs w:val="32"/>
          <w:lang w:eastAsia="ru-RU"/>
        </w:rPr>
        <w:t xml:space="preserve">4. Дані торговця цінними паперами подаються до </w:t>
      </w:r>
      <w:proofErr w:type="gramStart"/>
      <w:r w:rsidRPr="00C935CB">
        <w:rPr>
          <w:rFonts w:ascii="Times New Roman" w:eastAsia="Times New Roman" w:hAnsi="Times New Roman" w:cs="Times New Roman"/>
          <w:color w:val="000000"/>
          <w:sz w:val="32"/>
          <w:szCs w:val="32"/>
          <w:lang w:eastAsia="ru-RU"/>
        </w:rPr>
        <w:t>центрального</w:t>
      </w:r>
      <w:proofErr w:type="gramEnd"/>
      <w:r w:rsidRPr="00C935CB">
        <w:rPr>
          <w:rFonts w:ascii="Times New Roman" w:eastAsia="Times New Roman" w:hAnsi="Times New Roman" w:cs="Times New Roman"/>
          <w:color w:val="000000"/>
          <w:sz w:val="32"/>
          <w:szCs w:val="32"/>
          <w:lang w:eastAsia="ru-RU"/>
        </w:rPr>
        <w:t xml:space="preserve"> апарату Комісії відповідно до нормативно - правових актів Комісії, що регулюють подання Даних та інформацій професійними </w:t>
      </w:r>
      <w:r w:rsidRPr="00C935CB">
        <w:rPr>
          <w:rFonts w:ascii="Times New Roman" w:eastAsia="Times New Roman" w:hAnsi="Times New Roman" w:cs="Times New Roman"/>
          <w:color w:val="000000"/>
          <w:sz w:val="32"/>
          <w:szCs w:val="32"/>
          <w:lang w:eastAsia="ru-RU"/>
        </w:rPr>
        <w:lastRenderedPageBreak/>
        <w:t>учасниками фондового ринку у вигляді електронних документів до Комісії, за винятком випадку, передбаченого </w:t>
      </w:r>
      <w:hyperlink r:id="rId5" w:anchor="n31" w:history="1">
        <w:r w:rsidRPr="00C935CB">
          <w:rPr>
            <w:rFonts w:ascii="Times New Roman" w:eastAsia="Times New Roman" w:hAnsi="Times New Roman" w:cs="Times New Roman"/>
            <w:color w:val="0000FF"/>
            <w:sz w:val="24"/>
            <w:szCs w:val="24"/>
            <w:u w:val="single"/>
            <w:lang w:eastAsia="ru-RU"/>
          </w:rPr>
          <w:t>пунктом 8</w:t>
        </w:r>
      </w:hyperlink>
      <w:r w:rsidRPr="00C935CB">
        <w:rPr>
          <w:rFonts w:ascii="Times New Roman" w:eastAsia="Times New Roman" w:hAnsi="Times New Roman" w:cs="Times New Roman"/>
          <w:color w:val="000000"/>
          <w:sz w:val="32"/>
          <w:szCs w:val="32"/>
          <w:lang w:eastAsia="ru-RU"/>
        </w:rPr>
        <w:t> цього розділу.</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9" w:name="n27"/>
      <w:bookmarkEnd w:id="9"/>
      <w:r w:rsidRPr="00C935CB">
        <w:rPr>
          <w:rFonts w:ascii="Times New Roman" w:eastAsia="Times New Roman" w:hAnsi="Times New Roman" w:cs="Times New Roman"/>
          <w:color w:val="000000"/>
          <w:sz w:val="32"/>
          <w:szCs w:val="32"/>
          <w:lang w:eastAsia="ru-RU"/>
        </w:rPr>
        <w:t>5. Дані торговця цінними паперами складаються з використанням</w:t>
      </w:r>
      <w:hyperlink r:id="rId6" w:anchor="n18" w:tgtFrame="_blank" w:history="1">
        <w:r w:rsidRPr="00C935CB">
          <w:rPr>
            <w:rFonts w:ascii="Times New Roman" w:eastAsia="Times New Roman" w:hAnsi="Times New Roman" w:cs="Times New Roman"/>
            <w:color w:val="0000FF"/>
            <w:sz w:val="24"/>
            <w:szCs w:val="24"/>
            <w:u w:val="single"/>
            <w:lang w:eastAsia="ru-RU"/>
          </w:rPr>
          <w:t> Системи довідників та класифікаторів Національної комісії з цінних паперів та фондового ринку</w:t>
        </w:r>
      </w:hyperlink>
      <w:r w:rsidRPr="00C935CB">
        <w:rPr>
          <w:rFonts w:ascii="Times New Roman" w:eastAsia="Times New Roman" w:hAnsi="Times New Roman" w:cs="Times New Roman"/>
          <w:color w:val="000000"/>
          <w:sz w:val="32"/>
          <w:szCs w:val="32"/>
          <w:lang w:eastAsia="ru-RU"/>
        </w:rPr>
        <w:t xml:space="preserve">, затвердженої </w:t>
      </w:r>
      <w:proofErr w:type="gramStart"/>
      <w:r w:rsidRPr="00C935CB">
        <w:rPr>
          <w:rFonts w:ascii="Times New Roman" w:eastAsia="Times New Roman" w:hAnsi="Times New Roman" w:cs="Times New Roman"/>
          <w:color w:val="000000"/>
          <w:sz w:val="32"/>
          <w:szCs w:val="32"/>
          <w:lang w:eastAsia="ru-RU"/>
        </w:rPr>
        <w:t>р</w:t>
      </w:r>
      <w:proofErr w:type="gramEnd"/>
      <w:r w:rsidRPr="00C935CB">
        <w:rPr>
          <w:rFonts w:ascii="Times New Roman" w:eastAsia="Times New Roman" w:hAnsi="Times New Roman" w:cs="Times New Roman"/>
          <w:color w:val="000000"/>
          <w:sz w:val="32"/>
          <w:szCs w:val="32"/>
          <w:lang w:eastAsia="ru-RU"/>
        </w:rPr>
        <w:t>ішенням Національної комісії з цінних паперів та фондового ринку від 8 травня 2012 року № 646, зареєстрованої в Міністерстві юстиції України 25 травня 2012 року за № 831/21143 (далі - Система довідникі</w:t>
      </w:r>
      <w:proofErr w:type="gramStart"/>
      <w:r w:rsidRPr="00C935CB">
        <w:rPr>
          <w:rFonts w:ascii="Times New Roman" w:eastAsia="Times New Roman" w:hAnsi="Times New Roman" w:cs="Times New Roman"/>
          <w:color w:val="000000"/>
          <w:sz w:val="32"/>
          <w:szCs w:val="32"/>
          <w:lang w:eastAsia="ru-RU"/>
        </w:rPr>
        <w:t>в</w:t>
      </w:r>
      <w:proofErr w:type="gramEnd"/>
      <w:r w:rsidRPr="00C935CB">
        <w:rPr>
          <w:rFonts w:ascii="Times New Roman" w:eastAsia="Times New Roman" w:hAnsi="Times New Roman" w:cs="Times New Roman"/>
          <w:color w:val="000000"/>
          <w:sz w:val="32"/>
          <w:szCs w:val="32"/>
          <w:lang w:eastAsia="ru-RU"/>
        </w:rPr>
        <w:t xml:space="preserve"> та класифікаторів).</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10" w:name="n28"/>
      <w:bookmarkEnd w:id="10"/>
      <w:r w:rsidRPr="00C935CB">
        <w:rPr>
          <w:rFonts w:ascii="Times New Roman" w:eastAsia="Times New Roman" w:hAnsi="Times New Roman" w:cs="Times New Roman"/>
          <w:color w:val="000000"/>
          <w:sz w:val="32"/>
          <w:szCs w:val="32"/>
          <w:lang w:eastAsia="ru-RU"/>
        </w:rPr>
        <w:t xml:space="preserve">6. </w:t>
      </w:r>
      <w:proofErr w:type="gramStart"/>
      <w:r w:rsidRPr="00C935CB">
        <w:rPr>
          <w:rFonts w:ascii="Times New Roman" w:eastAsia="Times New Roman" w:hAnsi="Times New Roman" w:cs="Times New Roman"/>
          <w:color w:val="000000"/>
          <w:sz w:val="32"/>
          <w:szCs w:val="32"/>
          <w:lang w:eastAsia="ru-RU"/>
        </w:rPr>
        <w:t>Дані торговця цінними паперами складаються відповідно до опису розділів та схем XML файлів, визначених окремим документом нормативно-технічного характеру.</w:t>
      </w:r>
      <w:proofErr w:type="gramEnd"/>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11" w:name="n29"/>
      <w:bookmarkEnd w:id="11"/>
      <w:r w:rsidRPr="00C935CB">
        <w:rPr>
          <w:rFonts w:ascii="Times New Roman" w:eastAsia="Times New Roman" w:hAnsi="Times New Roman" w:cs="Times New Roman"/>
          <w:color w:val="000000"/>
          <w:sz w:val="32"/>
          <w:szCs w:val="32"/>
          <w:lang w:eastAsia="ru-RU"/>
        </w:rPr>
        <w:t xml:space="preserve">7. Дані подаються до Комісії в обсязі, що встановлений цим Положенням, не </w:t>
      </w:r>
      <w:proofErr w:type="gramStart"/>
      <w:r w:rsidRPr="00C935CB">
        <w:rPr>
          <w:rFonts w:ascii="Times New Roman" w:eastAsia="Times New Roman" w:hAnsi="Times New Roman" w:cs="Times New Roman"/>
          <w:color w:val="000000"/>
          <w:sz w:val="32"/>
          <w:szCs w:val="32"/>
          <w:lang w:eastAsia="ru-RU"/>
        </w:rPr>
        <w:t>п</w:t>
      </w:r>
      <w:proofErr w:type="gramEnd"/>
      <w:r w:rsidRPr="00C935CB">
        <w:rPr>
          <w:rFonts w:ascii="Times New Roman" w:eastAsia="Times New Roman" w:hAnsi="Times New Roman" w:cs="Times New Roman"/>
          <w:color w:val="000000"/>
          <w:sz w:val="32"/>
          <w:szCs w:val="32"/>
          <w:lang w:eastAsia="ru-RU"/>
        </w:rPr>
        <w:t>ізніше строків, визначених у </w:t>
      </w:r>
      <w:hyperlink r:id="rId7" w:anchor="n54" w:history="1">
        <w:r w:rsidRPr="00C935CB">
          <w:rPr>
            <w:rFonts w:ascii="Times New Roman" w:eastAsia="Times New Roman" w:hAnsi="Times New Roman" w:cs="Times New Roman"/>
            <w:color w:val="0000FF"/>
            <w:sz w:val="24"/>
            <w:szCs w:val="24"/>
            <w:u w:val="single"/>
            <w:lang w:eastAsia="ru-RU"/>
          </w:rPr>
          <w:t>пункті 1 розділу III</w:t>
        </w:r>
      </w:hyperlink>
      <w:r w:rsidRPr="00C935CB">
        <w:rPr>
          <w:rFonts w:ascii="Times New Roman" w:eastAsia="Times New Roman" w:hAnsi="Times New Roman" w:cs="Times New Roman"/>
          <w:color w:val="000000"/>
          <w:sz w:val="32"/>
          <w:szCs w:val="32"/>
          <w:lang w:eastAsia="ru-RU"/>
        </w:rPr>
        <w:t> цього Положення.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12" w:name="n30"/>
      <w:bookmarkEnd w:id="12"/>
      <w:r w:rsidRPr="00C935CB">
        <w:rPr>
          <w:rFonts w:ascii="Times New Roman" w:eastAsia="Times New Roman" w:hAnsi="Times New Roman" w:cs="Times New Roman"/>
          <w:color w:val="000000"/>
          <w:sz w:val="32"/>
          <w:szCs w:val="32"/>
          <w:lang w:eastAsia="ru-RU"/>
        </w:rPr>
        <w:t xml:space="preserve">Дані повинні містити </w:t>
      </w:r>
      <w:proofErr w:type="gramStart"/>
      <w:r w:rsidRPr="00C935CB">
        <w:rPr>
          <w:rFonts w:ascii="Times New Roman" w:eastAsia="Times New Roman" w:hAnsi="Times New Roman" w:cs="Times New Roman"/>
          <w:color w:val="000000"/>
          <w:sz w:val="32"/>
          <w:szCs w:val="32"/>
          <w:lang w:eastAsia="ru-RU"/>
        </w:rPr>
        <w:t>вс</w:t>
      </w:r>
      <w:proofErr w:type="gramEnd"/>
      <w:r w:rsidRPr="00C935CB">
        <w:rPr>
          <w:rFonts w:ascii="Times New Roman" w:eastAsia="Times New Roman" w:hAnsi="Times New Roman" w:cs="Times New Roman"/>
          <w:color w:val="000000"/>
          <w:sz w:val="32"/>
          <w:szCs w:val="32"/>
          <w:lang w:eastAsia="ru-RU"/>
        </w:rPr>
        <w:t>і визначені Положенням довідки, які мають бути заповнені, містити достовірну та повну інформацію. Інформація в довідках повинна бути заповнена відповідно до цього Положення.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13" w:name="n31"/>
      <w:bookmarkEnd w:id="13"/>
      <w:r w:rsidRPr="00C935CB">
        <w:rPr>
          <w:rFonts w:ascii="Times New Roman" w:eastAsia="Times New Roman" w:hAnsi="Times New Roman" w:cs="Times New Roman"/>
          <w:color w:val="000000"/>
          <w:sz w:val="32"/>
          <w:szCs w:val="32"/>
          <w:lang w:eastAsia="ru-RU"/>
        </w:rPr>
        <w:t xml:space="preserve">8. На письмову вимогу уповноваженої особи Комісії торговець цінними паперами зобов'язаний подати (надіслати) до Комісії Дані у строк/термін, передбачений вимогою, відповідно до цього Положення </w:t>
      </w:r>
      <w:proofErr w:type="gramStart"/>
      <w:r w:rsidRPr="00C935CB">
        <w:rPr>
          <w:rFonts w:ascii="Times New Roman" w:eastAsia="Times New Roman" w:hAnsi="Times New Roman" w:cs="Times New Roman"/>
          <w:color w:val="000000"/>
          <w:sz w:val="32"/>
          <w:szCs w:val="32"/>
          <w:lang w:eastAsia="ru-RU"/>
        </w:rPr>
        <w:t>в</w:t>
      </w:r>
      <w:proofErr w:type="gramEnd"/>
      <w:r w:rsidRPr="00C935CB">
        <w:rPr>
          <w:rFonts w:ascii="Times New Roman" w:eastAsia="Times New Roman" w:hAnsi="Times New Roman" w:cs="Times New Roman"/>
          <w:color w:val="000000"/>
          <w:sz w:val="32"/>
          <w:szCs w:val="32"/>
          <w:lang w:eastAsia="ru-RU"/>
        </w:rPr>
        <w:t xml:space="preserve"> паперовій формі.</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14" w:name="n32"/>
      <w:bookmarkEnd w:id="14"/>
      <w:r w:rsidRPr="00C935CB">
        <w:rPr>
          <w:rFonts w:ascii="Times New Roman" w:eastAsia="Times New Roman" w:hAnsi="Times New Roman" w:cs="Times New Roman"/>
          <w:color w:val="000000"/>
          <w:sz w:val="32"/>
          <w:szCs w:val="32"/>
          <w:lang w:eastAsia="ru-RU"/>
        </w:rPr>
        <w:t xml:space="preserve">У разі якщо паперова форма Даних нараховує більше одного аркуша, така паперова форма Даних має бути прошнурована, аркуші пронумеровані та скріплені відбитком печатки (за наявності) торговця цінними паперами та </w:t>
      </w:r>
      <w:proofErr w:type="gramStart"/>
      <w:r w:rsidRPr="00C935CB">
        <w:rPr>
          <w:rFonts w:ascii="Times New Roman" w:eastAsia="Times New Roman" w:hAnsi="Times New Roman" w:cs="Times New Roman"/>
          <w:color w:val="000000"/>
          <w:sz w:val="32"/>
          <w:szCs w:val="32"/>
          <w:lang w:eastAsia="ru-RU"/>
        </w:rPr>
        <w:t>п</w:t>
      </w:r>
      <w:proofErr w:type="gramEnd"/>
      <w:r w:rsidRPr="00C935CB">
        <w:rPr>
          <w:rFonts w:ascii="Times New Roman" w:eastAsia="Times New Roman" w:hAnsi="Times New Roman" w:cs="Times New Roman"/>
          <w:color w:val="000000"/>
          <w:sz w:val="32"/>
          <w:szCs w:val="32"/>
          <w:lang w:eastAsia="ru-RU"/>
        </w:rPr>
        <w:t xml:space="preserve">ідписом уповноваженої особи торговця цінними паперами. На зворотному боці останнього аркуша робиться такий напис: «Прошнуровано, пронумеровано та скріплено відбитком печатки (за наявності) торговця цінними паперами та </w:t>
      </w:r>
      <w:proofErr w:type="gramStart"/>
      <w:r w:rsidRPr="00C935CB">
        <w:rPr>
          <w:rFonts w:ascii="Times New Roman" w:eastAsia="Times New Roman" w:hAnsi="Times New Roman" w:cs="Times New Roman"/>
          <w:color w:val="000000"/>
          <w:sz w:val="32"/>
          <w:szCs w:val="32"/>
          <w:lang w:eastAsia="ru-RU"/>
        </w:rPr>
        <w:t>п</w:t>
      </w:r>
      <w:proofErr w:type="gramEnd"/>
      <w:r w:rsidRPr="00C935CB">
        <w:rPr>
          <w:rFonts w:ascii="Times New Roman" w:eastAsia="Times New Roman" w:hAnsi="Times New Roman" w:cs="Times New Roman"/>
          <w:color w:val="000000"/>
          <w:sz w:val="32"/>
          <w:szCs w:val="32"/>
          <w:lang w:eastAsia="ru-RU"/>
        </w:rPr>
        <w:t>ідписом уповноваженої особи торговця цінними паперами (кількість) аркушів».</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15" w:name="n150"/>
      <w:bookmarkEnd w:id="15"/>
      <w:r w:rsidRPr="00C935CB">
        <w:rPr>
          <w:rFonts w:ascii="Times New Roman" w:eastAsia="Times New Roman" w:hAnsi="Times New Roman" w:cs="Times New Roman"/>
          <w:i/>
          <w:iCs/>
          <w:color w:val="000000"/>
          <w:sz w:val="24"/>
          <w:szCs w:val="24"/>
          <w:lang w:eastAsia="ru-RU"/>
        </w:rPr>
        <w:t xml:space="preserve">{Абзац другий пункту 8 розділу I із змінами, внесеними згідно з </w:t>
      </w:r>
      <w:proofErr w:type="gramStart"/>
      <w:r w:rsidRPr="00C935CB">
        <w:rPr>
          <w:rFonts w:ascii="Times New Roman" w:eastAsia="Times New Roman" w:hAnsi="Times New Roman" w:cs="Times New Roman"/>
          <w:i/>
          <w:iCs/>
          <w:color w:val="000000"/>
          <w:sz w:val="24"/>
          <w:szCs w:val="24"/>
          <w:lang w:eastAsia="ru-RU"/>
        </w:rPr>
        <w:t>Р</w:t>
      </w:r>
      <w:proofErr w:type="gramEnd"/>
      <w:r w:rsidRPr="00C935CB">
        <w:rPr>
          <w:rFonts w:ascii="Times New Roman" w:eastAsia="Times New Roman" w:hAnsi="Times New Roman" w:cs="Times New Roman"/>
          <w:i/>
          <w:iCs/>
          <w:color w:val="000000"/>
          <w:sz w:val="24"/>
          <w:szCs w:val="24"/>
          <w:lang w:eastAsia="ru-RU"/>
        </w:rPr>
        <w:t>ішенням Національної комісії з цінних паперів та фондового ринку </w:t>
      </w:r>
      <w:hyperlink r:id="rId8" w:anchor="n18" w:tgtFrame="_blank" w:history="1">
        <w:r w:rsidRPr="00C935CB">
          <w:rPr>
            <w:rFonts w:ascii="Times New Roman" w:eastAsia="Times New Roman" w:hAnsi="Times New Roman" w:cs="Times New Roman"/>
            <w:i/>
            <w:iCs/>
            <w:color w:val="0000FF"/>
            <w:sz w:val="24"/>
            <w:szCs w:val="24"/>
            <w:u w:val="single"/>
            <w:lang w:eastAsia="ru-RU"/>
          </w:rPr>
          <w:t>№ 247 від 26.02.2013</w:t>
        </w:r>
      </w:hyperlink>
      <w:r w:rsidRPr="00C935CB">
        <w:rPr>
          <w:rFonts w:ascii="Times New Roman" w:eastAsia="Times New Roman" w:hAnsi="Times New Roman" w:cs="Times New Roman"/>
          <w:i/>
          <w:iCs/>
          <w:color w:val="000000"/>
          <w:sz w:val="24"/>
          <w:szCs w:val="24"/>
          <w:lang w:eastAsia="ru-RU"/>
        </w:rPr>
        <w:t>; в редакції Рішення Національної комісії з цінних паперів та фондового ринку </w:t>
      </w:r>
      <w:hyperlink r:id="rId9" w:anchor="n7" w:tgtFrame="_blank" w:history="1">
        <w:r w:rsidRPr="00C935CB">
          <w:rPr>
            <w:rFonts w:ascii="Times New Roman" w:eastAsia="Times New Roman" w:hAnsi="Times New Roman" w:cs="Times New Roman"/>
            <w:i/>
            <w:iCs/>
            <w:color w:val="0000FF"/>
            <w:sz w:val="24"/>
            <w:szCs w:val="24"/>
            <w:u w:val="single"/>
            <w:lang w:eastAsia="ru-RU"/>
          </w:rPr>
          <w:t>№ 1776 від 23.12.2014</w:t>
        </w:r>
      </w:hyperlink>
      <w:r w:rsidRPr="00C935CB">
        <w:rPr>
          <w:rFonts w:ascii="Times New Roman" w:eastAsia="Times New Roman" w:hAnsi="Times New Roman" w:cs="Times New Roman"/>
          <w:i/>
          <w:iCs/>
          <w:color w:val="000000"/>
          <w:sz w:val="24"/>
          <w:szCs w:val="24"/>
          <w:lang w:eastAsia="ru-RU"/>
        </w:rPr>
        <w:t>}</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16" w:name="n33"/>
      <w:bookmarkEnd w:id="16"/>
      <w:r w:rsidRPr="00C935CB">
        <w:rPr>
          <w:rFonts w:ascii="Times New Roman" w:eastAsia="Times New Roman" w:hAnsi="Times New Roman" w:cs="Times New Roman"/>
          <w:color w:val="000000"/>
          <w:sz w:val="32"/>
          <w:szCs w:val="32"/>
          <w:lang w:eastAsia="ru-RU"/>
        </w:rPr>
        <w:t>9. Склад та опис полів електронної форми файлів фінансової звітності встановлюються окремим наказом Голови Комі</w:t>
      </w:r>
      <w:proofErr w:type="gramStart"/>
      <w:r w:rsidRPr="00C935CB">
        <w:rPr>
          <w:rFonts w:ascii="Times New Roman" w:eastAsia="Times New Roman" w:hAnsi="Times New Roman" w:cs="Times New Roman"/>
          <w:color w:val="000000"/>
          <w:sz w:val="32"/>
          <w:szCs w:val="32"/>
          <w:lang w:eastAsia="ru-RU"/>
        </w:rPr>
        <w:t>с</w:t>
      </w:r>
      <w:proofErr w:type="gramEnd"/>
      <w:r w:rsidRPr="00C935CB">
        <w:rPr>
          <w:rFonts w:ascii="Times New Roman" w:eastAsia="Times New Roman" w:hAnsi="Times New Roman" w:cs="Times New Roman"/>
          <w:color w:val="000000"/>
          <w:sz w:val="32"/>
          <w:szCs w:val="32"/>
          <w:lang w:eastAsia="ru-RU"/>
        </w:rPr>
        <w:t>ії.</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17" w:name="n34"/>
      <w:bookmarkEnd w:id="17"/>
      <w:r w:rsidRPr="00C935CB">
        <w:rPr>
          <w:rFonts w:ascii="Times New Roman" w:eastAsia="Times New Roman" w:hAnsi="Times New Roman" w:cs="Times New Roman"/>
          <w:color w:val="000000"/>
          <w:sz w:val="32"/>
          <w:szCs w:val="32"/>
          <w:lang w:eastAsia="ru-RU"/>
        </w:rPr>
        <w:lastRenderedPageBreak/>
        <w:t xml:space="preserve">10. У разі наявності інформації, яка необхідна для повного і всебічного розуміння конкретних умов діяльності торговця цінними паперами, торговець цінними паперами наводить її </w:t>
      </w:r>
      <w:proofErr w:type="gramStart"/>
      <w:r w:rsidRPr="00C935CB">
        <w:rPr>
          <w:rFonts w:ascii="Times New Roman" w:eastAsia="Times New Roman" w:hAnsi="Times New Roman" w:cs="Times New Roman"/>
          <w:color w:val="000000"/>
          <w:sz w:val="32"/>
          <w:szCs w:val="32"/>
          <w:lang w:eastAsia="ru-RU"/>
        </w:rPr>
        <w:t>в дов</w:t>
      </w:r>
      <w:proofErr w:type="gramEnd"/>
      <w:r w:rsidRPr="00C935CB">
        <w:rPr>
          <w:rFonts w:ascii="Times New Roman" w:eastAsia="Times New Roman" w:hAnsi="Times New Roman" w:cs="Times New Roman"/>
          <w:color w:val="000000"/>
          <w:sz w:val="32"/>
          <w:szCs w:val="32"/>
          <w:lang w:eastAsia="ru-RU"/>
        </w:rPr>
        <w:t>ільній формі у примітках до довідки.</w:t>
      </w:r>
    </w:p>
    <w:p w:rsidR="00C935CB" w:rsidRPr="00C935CB" w:rsidRDefault="00C935CB" w:rsidP="00C935CB">
      <w:pPr>
        <w:shd w:val="clear" w:color="auto" w:fill="FFFFFF"/>
        <w:spacing w:before="200" w:line="240" w:lineRule="auto"/>
        <w:ind w:left="600" w:right="600"/>
        <w:jc w:val="center"/>
        <w:rPr>
          <w:rFonts w:ascii="Times New Roman" w:eastAsia="Times New Roman" w:hAnsi="Times New Roman" w:cs="Times New Roman"/>
          <w:color w:val="000000"/>
          <w:sz w:val="32"/>
          <w:szCs w:val="32"/>
          <w:lang w:eastAsia="ru-RU"/>
        </w:rPr>
      </w:pPr>
      <w:bookmarkStart w:id="18" w:name="n35"/>
      <w:bookmarkEnd w:id="18"/>
      <w:r w:rsidRPr="00C935CB">
        <w:rPr>
          <w:rFonts w:ascii="Times New Roman" w:eastAsia="Times New Roman" w:hAnsi="Times New Roman" w:cs="Times New Roman"/>
          <w:b/>
          <w:bCs/>
          <w:color w:val="000000"/>
          <w:sz w:val="28"/>
          <w:lang w:eastAsia="ru-RU"/>
        </w:rPr>
        <w:t>II. Склад Даних</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19" w:name="n151"/>
      <w:bookmarkEnd w:id="19"/>
      <w:r w:rsidRPr="00C935CB">
        <w:rPr>
          <w:rFonts w:ascii="Times New Roman" w:eastAsia="Times New Roman" w:hAnsi="Times New Roman" w:cs="Times New Roman"/>
          <w:color w:val="000000"/>
          <w:sz w:val="32"/>
          <w:szCs w:val="32"/>
          <w:lang w:eastAsia="ru-RU"/>
        </w:rPr>
        <w:t xml:space="preserve">1. Дані, які складаються та подаються </w:t>
      </w:r>
      <w:proofErr w:type="gramStart"/>
      <w:r w:rsidRPr="00C935CB">
        <w:rPr>
          <w:rFonts w:ascii="Times New Roman" w:eastAsia="Times New Roman" w:hAnsi="Times New Roman" w:cs="Times New Roman"/>
          <w:color w:val="000000"/>
          <w:sz w:val="32"/>
          <w:szCs w:val="32"/>
          <w:lang w:eastAsia="ru-RU"/>
        </w:rPr>
        <w:t>до</w:t>
      </w:r>
      <w:proofErr w:type="gramEnd"/>
      <w:r w:rsidRPr="00C935CB">
        <w:rPr>
          <w:rFonts w:ascii="Times New Roman" w:eastAsia="Times New Roman" w:hAnsi="Times New Roman" w:cs="Times New Roman"/>
          <w:color w:val="000000"/>
          <w:sz w:val="32"/>
          <w:szCs w:val="32"/>
          <w:lang w:eastAsia="ru-RU"/>
        </w:rPr>
        <w:t xml:space="preserve"> Комісії:</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20" w:name="n240"/>
      <w:bookmarkEnd w:id="20"/>
      <w:proofErr w:type="gramStart"/>
      <w:r w:rsidRPr="00C935CB">
        <w:rPr>
          <w:rFonts w:ascii="Times New Roman" w:eastAsia="Times New Roman" w:hAnsi="Times New Roman" w:cs="Times New Roman"/>
          <w:color w:val="000000"/>
          <w:sz w:val="32"/>
          <w:szCs w:val="32"/>
          <w:lang w:eastAsia="ru-RU"/>
        </w:rPr>
        <w:t>м</w:t>
      </w:r>
      <w:proofErr w:type="gramEnd"/>
      <w:r w:rsidRPr="00C935CB">
        <w:rPr>
          <w:rFonts w:ascii="Times New Roman" w:eastAsia="Times New Roman" w:hAnsi="Times New Roman" w:cs="Times New Roman"/>
          <w:color w:val="000000"/>
          <w:sz w:val="32"/>
          <w:szCs w:val="32"/>
          <w:lang w:eastAsia="ru-RU"/>
        </w:rPr>
        <w:t>ісячні;</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21" w:name="n241"/>
      <w:bookmarkEnd w:id="21"/>
      <w:r w:rsidRPr="00C935CB">
        <w:rPr>
          <w:rFonts w:ascii="Times New Roman" w:eastAsia="Times New Roman" w:hAnsi="Times New Roman" w:cs="Times New Roman"/>
          <w:color w:val="000000"/>
          <w:sz w:val="32"/>
          <w:szCs w:val="32"/>
          <w:lang w:eastAsia="ru-RU"/>
        </w:rPr>
        <w:t>нерегулярні.</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22" w:name="n242"/>
      <w:bookmarkEnd w:id="22"/>
      <w:r w:rsidRPr="00C935CB">
        <w:rPr>
          <w:rFonts w:ascii="Times New Roman" w:eastAsia="Times New Roman" w:hAnsi="Times New Roman" w:cs="Times New Roman"/>
          <w:color w:val="000000"/>
          <w:sz w:val="32"/>
          <w:szCs w:val="32"/>
          <w:lang w:eastAsia="ru-RU"/>
        </w:rPr>
        <w:t>2. Місячні Дані складаються з:</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23" w:name="n243"/>
      <w:bookmarkEnd w:id="23"/>
      <w:r w:rsidRPr="00C935CB">
        <w:rPr>
          <w:rFonts w:ascii="Times New Roman" w:eastAsia="Times New Roman" w:hAnsi="Times New Roman" w:cs="Times New Roman"/>
          <w:color w:val="000000"/>
          <w:sz w:val="32"/>
          <w:szCs w:val="32"/>
          <w:lang w:eastAsia="ru-RU"/>
        </w:rPr>
        <w:t>2.1. </w:t>
      </w:r>
      <w:hyperlink r:id="rId10" w:anchor="n81" w:history="1">
        <w:r w:rsidRPr="00C935CB">
          <w:rPr>
            <w:rFonts w:ascii="Times New Roman" w:eastAsia="Times New Roman" w:hAnsi="Times New Roman" w:cs="Times New Roman"/>
            <w:color w:val="0000FF"/>
            <w:sz w:val="24"/>
            <w:szCs w:val="24"/>
            <w:u w:val="single"/>
            <w:lang w:eastAsia="ru-RU"/>
          </w:rPr>
          <w:t>Довідки про торговця цінними паперами</w:t>
        </w:r>
      </w:hyperlink>
      <w:r w:rsidRPr="00C935CB">
        <w:rPr>
          <w:rFonts w:ascii="Times New Roman" w:eastAsia="Times New Roman" w:hAnsi="Times New Roman" w:cs="Times New Roman"/>
          <w:color w:val="000000"/>
          <w:sz w:val="32"/>
          <w:szCs w:val="32"/>
          <w:lang w:eastAsia="ru-RU"/>
        </w:rPr>
        <w:t> (додаток 1 до цього Положення).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24" w:name="n244"/>
      <w:bookmarkEnd w:id="24"/>
      <w:r w:rsidRPr="00C935CB">
        <w:rPr>
          <w:rFonts w:ascii="Times New Roman" w:eastAsia="Times New Roman" w:hAnsi="Times New Roman" w:cs="Times New Roman"/>
          <w:color w:val="000000"/>
          <w:sz w:val="32"/>
          <w:szCs w:val="32"/>
          <w:lang w:eastAsia="ru-RU"/>
        </w:rPr>
        <w:t>2.2. </w:t>
      </w:r>
      <w:hyperlink r:id="rId11" w:anchor="n85" w:history="1">
        <w:r w:rsidRPr="00C935CB">
          <w:rPr>
            <w:rFonts w:ascii="Times New Roman" w:eastAsia="Times New Roman" w:hAnsi="Times New Roman" w:cs="Times New Roman"/>
            <w:color w:val="0000FF"/>
            <w:sz w:val="24"/>
            <w:szCs w:val="24"/>
            <w:u w:val="single"/>
            <w:lang w:eastAsia="ru-RU"/>
          </w:rPr>
          <w:t>Довідки про невиконані разові замовлення та договори з цінними паперами або іншими фінансовими інструментами торговцем цінними паперами станом на останній день звітного місяця</w:t>
        </w:r>
      </w:hyperlink>
      <w:r w:rsidRPr="00C935CB">
        <w:rPr>
          <w:rFonts w:ascii="Times New Roman" w:eastAsia="Times New Roman" w:hAnsi="Times New Roman" w:cs="Times New Roman"/>
          <w:color w:val="000000"/>
          <w:sz w:val="32"/>
          <w:szCs w:val="32"/>
          <w:lang w:eastAsia="ru-RU"/>
        </w:rPr>
        <w:t> (додаток 2 до цього Положення).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25" w:name="n245"/>
      <w:bookmarkEnd w:id="25"/>
      <w:r w:rsidRPr="00C935CB">
        <w:rPr>
          <w:rFonts w:ascii="Times New Roman" w:eastAsia="Times New Roman" w:hAnsi="Times New Roman" w:cs="Times New Roman"/>
          <w:color w:val="000000"/>
          <w:sz w:val="32"/>
          <w:szCs w:val="32"/>
          <w:lang w:eastAsia="ru-RU"/>
        </w:rPr>
        <w:t>2.3. </w:t>
      </w:r>
      <w:hyperlink r:id="rId12" w:anchor="n89" w:history="1">
        <w:r w:rsidRPr="00C935CB">
          <w:rPr>
            <w:rFonts w:ascii="Times New Roman" w:eastAsia="Times New Roman" w:hAnsi="Times New Roman" w:cs="Times New Roman"/>
            <w:color w:val="0000FF"/>
            <w:sz w:val="24"/>
            <w:szCs w:val="24"/>
            <w:u w:val="single"/>
            <w:lang w:eastAsia="ru-RU"/>
          </w:rPr>
          <w:t xml:space="preserve">Довідки про фінансові інструменти, які перебувають у власності торговця цінними паперами станом на останній день </w:t>
        </w:r>
        <w:proofErr w:type="gramStart"/>
        <w:r w:rsidRPr="00C935CB">
          <w:rPr>
            <w:rFonts w:ascii="Times New Roman" w:eastAsia="Times New Roman" w:hAnsi="Times New Roman" w:cs="Times New Roman"/>
            <w:color w:val="0000FF"/>
            <w:sz w:val="24"/>
            <w:szCs w:val="24"/>
            <w:u w:val="single"/>
            <w:lang w:eastAsia="ru-RU"/>
          </w:rPr>
          <w:t>м</w:t>
        </w:r>
        <w:proofErr w:type="gramEnd"/>
        <w:r w:rsidRPr="00C935CB">
          <w:rPr>
            <w:rFonts w:ascii="Times New Roman" w:eastAsia="Times New Roman" w:hAnsi="Times New Roman" w:cs="Times New Roman"/>
            <w:color w:val="0000FF"/>
            <w:sz w:val="24"/>
            <w:szCs w:val="24"/>
            <w:u w:val="single"/>
            <w:lang w:eastAsia="ru-RU"/>
          </w:rPr>
          <w:t>ісяця (крім цінних паперів власних випусків)</w:t>
        </w:r>
      </w:hyperlink>
      <w:r w:rsidRPr="00C935CB">
        <w:rPr>
          <w:rFonts w:ascii="Times New Roman" w:eastAsia="Times New Roman" w:hAnsi="Times New Roman" w:cs="Times New Roman"/>
          <w:color w:val="000000"/>
          <w:sz w:val="32"/>
          <w:szCs w:val="32"/>
          <w:lang w:eastAsia="ru-RU"/>
        </w:rPr>
        <w:t> (додаток 3 до цього Положення).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26" w:name="n246"/>
      <w:bookmarkEnd w:id="26"/>
      <w:r w:rsidRPr="00C935CB">
        <w:rPr>
          <w:rFonts w:ascii="Times New Roman" w:eastAsia="Times New Roman" w:hAnsi="Times New Roman" w:cs="Times New Roman"/>
          <w:color w:val="000000"/>
          <w:sz w:val="32"/>
          <w:szCs w:val="32"/>
          <w:lang w:eastAsia="ru-RU"/>
        </w:rPr>
        <w:t>2.4. </w:t>
      </w:r>
      <w:hyperlink r:id="rId13" w:anchor="n93" w:history="1">
        <w:r w:rsidRPr="00C935CB">
          <w:rPr>
            <w:rFonts w:ascii="Times New Roman" w:eastAsia="Times New Roman" w:hAnsi="Times New Roman" w:cs="Times New Roman"/>
            <w:color w:val="0000FF"/>
            <w:sz w:val="24"/>
            <w:szCs w:val="24"/>
            <w:u w:val="single"/>
            <w:lang w:eastAsia="ru-RU"/>
          </w:rPr>
          <w:t>Довідки про цінні папери та/або грошові кошти, які знаходяться в управлінні торговця цінними паперами станом на останній день звітного місяця</w:t>
        </w:r>
      </w:hyperlink>
      <w:r w:rsidRPr="00C935CB">
        <w:rPr>
          <w:rFonts w:ascii="Times New Roman" w:eastAsia="Times New Roman" w:hAnsi="Times New Roman" w:cs="Times New Roman"/>
          <w:color w:val="000000"/>
          <w:sz w:val="32"/>
          <w:szCs w:val="32"/>
          <w:lang w:eastAsia="ru-RU"/>
        </w:rPr>
        <w:t> (додаток 4 до цього Положення).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27" w:name="n247"/>
      <w:bookmarkEnd w:id="27"/>
      <w:r w:rsidRPr="00C935CB">
        <w:rPr>
          <w:rFonts w:ascii="Times New Roman" w:eastAsia="Times New Roman" w:hAnsi="Times New Roman" w:cs="Times New Roman"/>
          <w:color w:val="000000"/>
          <w:sz w:val="32"/>
          <w:szCs w:val="32"/>
          <w:lang w:eastAsia="ru-RU"/>
        </w:rPr>
        <w:t>2.5. </w:t>
      </w:r>
      <w:hyperlink r:id="rId14" w:anchor="n97" w:history="1">
        <w:r w:rsidRPr="00C935CB">
          <w:rPr>
            <w:rFonts w:ascii="Times New Roman" w:eastAsia="Times New Roman" w:hAnsi="Times New Roman" w:cs="Times New Roman"/>
            <w:color w:val="0000FF"/>
            <w:sz w:val="24"/>
            <w:szCs w:val="24"/>
            <w:u w:val="single"/>
            <w:lang w:eastAsia="ru-RU"/>
          </w:rPr>
          <w:t>Довідки про нормативи торговця цінними паперами при здійсненні маржинальних операцій (крім банків</w:t>
        </w:r>
      </w:hyperlink>
      <w:r w:rsidRPr="00C935CB">
        <w:rPr>
          <w:rFonts w:ascii="Times New Roman" w:eastAsia="Times New Roman" w:hAnsi="Times New Roman" w:cs="Times New Roman"/>
          <w:color w:val="000000"/>
          <w:sz w:val="32"/>
          <w:szCs w:val="32"/>
          <w:lang w:eastAsia="ru-RU"/>
        </w:rPr>
        <w:t>) (додаток 5 до цього Положення).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28" w:name="n248"/>
      <w:bookmarkEnd w:id="28"/>
      <w:r w:rsidRPr="00C935CB">
        <w:rPr>
          <w:rFonts w:ascii="Times New Roman" w:eastAsia="Times New Roman" w:hAnsi="Times New Roman" w:cs="Times New Roman"/>
          <w:color w:val="000000"/>
          <w:sz w:val="32"/>
          <w:szCs w:val="32"/>
          <w:lang w:eastAsia="ru-RU"/>
        </w:rPr>
        <w:t>2.6. </w:t>
      </w:r>
      <w:hyperlink r:id="rId15" w:anchor="n101" w:history="1">
        <w:r w:rsidRPr="00C935CB">
          <w:rPr>
            <w:rFonts w:ascii="Times New Roman" w:eastAsia="Times New Roman" w:hAnsi="Times New Roman" w:cs="Times New Roman"/>
            <w:color w:val="0000FF"/>
            <w:sz w:val="24"/>
            <w:szCs w:val="24"/>
            <w:u w:val="single"/>
            <w:lang w:eastAsia="ru-RU"/>
          </w:rPr>
          <w:t>Довідки про пруденційні нормативи торговця цінними паперами (крім банків)</w:t>
        </w:r>
      </w:hyperlink>
      <w:r w:rsidRPr="00C935CB">
        <w:rPr>
          <w:rFonts w:ascii="Times New Roman" w:eastAsia="Times New Roman" w:hAnsi="Times New Roman" w:cs="Times New Roman"/>
          <w:color w:val="000000"/>
          <w:sz w:val="32"/>
          <w:szCs w:val="32"/>
          <w:lang w:eastAsia="ru-RU"/>
        </w:rPr>
        <w:t> (додаток 6 до цього Положення).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29" w:name="n249"/>
      <w:bookmarkEnd w:id="29"/>
      <w:r w:rsidRPr="00C935CB">
        <w:rPr>
          <w:rFonts w:ascii="Times New Roman" w:eastAsia="Times New Roman" w:hAnsi="Times New Roman" w:cs="Times New Roman"/>
          <w:color w:val="000000"/>
          <w:sz w:val="32"/>
          <w:szCs w:val="32"/>
          <w:lang w:eastAsia="ru-RU"/>
        </w:rPr>
        <w:t>2.7. </w:t>
      </w:r>
      <w:hyperlink r:id="rId16" w:anchor="n105" w:history="1">
        <w:r w:rsidRPr="00C935CB">
          <w:rPr>
            <w:rFonts w:ascii="Times New Roman" w:eastAsia="Times New Roman" w:hAnsi="Times New Roman" w:cs="Times New Roman"/>
            <w:color w:val="0000FF"/>
            <w:sz w:val="24"/>
            <w:szCs w:val="24"/>
            <w:u w:val="single"/>
            <w:lang w:eastAsia="ru-RU"/>
          </w:rPr>
          <w:t xml:space="preserve">Довідки про вихідні дані для розрахунку показника розміру </w:t>
        </w:r>
        <w:proofErr w:type="gramStart"/>
        <w:r w:rsidRPr="00C935CB">
          <w:rPr>
            <w:rFonts w:ascii="Times New Roman" w:eastAsia="Times New Roman" w:hAnsi="Times New Roman" w:cs="Times New Roman"/>
            <w:color w:val="0000FF"/>
            <w:sz w:val="24"/>
            <w:szCs w:val="24"/>
            <w:u w:val="single"/>
            <w:lang w:eastAsia="ru-RU"/>
          </w:rPr>
          <w:t>регулятивного</w:t>
        </w:r>
        <w:proofErr w:type="gramEnd"/>
        <w:r w:rsidRPr="00C935CB">
          <w:rPr>
            <w:rFonts w:ascii="Times New Roman" w:eastAsia="Times New Roman" w:hAnsi="Times New Roman" w:cs="Times New Roman"/>
            <w:color w:val="0000FF"/>
            <w:sz w:val="24"/>
            <w:szCs w:val="24"/>
            <w:u w:val="single"/>
            <w:lang w:eastAsia="ru-RU"/>
          </w:rPr>
          <w:t xml:space="preserve"> капіталу (крім банків)</w:t>
        </w:r>
      </w:hyperlink>
      <w:r w:rsidRPr="00C935CB">
        <w:rPr>
          <w:rFonts w:ascii="Times New Roman" w:eastAsia="Times New Roman" w:hAnsi="Times New Roman" w:cs="Times New Roman"/>
          <w:color w:val="000000"/>
          <w:sz w:val="32"/>
          <w:szCs w:val="32"/>
          <w:lang w:eastAsia="ru-RU"/>
        </w:rPr>
        <w:t> (додаток 7 до цього Положення).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30" w:name="n289"/>
      <w:bookmarkEnd w:id="30"/>
      <w:r w:rsidRPr="00C935CB">
        <w:rPr>
          <w:rFonts w:ascii="Times New Roman" w:eastAsia="Times New Roman" w:hAnsi="Times New Roman" w:cs="Times New Roman"/>
          <w:i/>
          <w:iCs/>
          <w:color w:val="000000"/>
          <w:sz w:val="24"/>
          <w:szCs w:val="24"/>
          <w:lang w:eastAsia="ru-RU"/>
        </w:rPr>
        <w:t>{</w:t>
      </w:r>
      <w:proofErr w:type="gramStart"/>
      <w:r w:rsidRPr="00C935CB">
        <w:rPr>
          <w:rFonts w:ascii="Times New Roman" w:eastAsia="Times New Roman" w:hAnsi="Times New Roman" w:cs="Times New Roman"/>
          <w:i/>
          <w:iCs/>
          <w:color w:val="000000"/>
          <w:sz w:val="24"/>
          <w:szCs w:val="24"/>
          <w:lang w:eastAsia="ru-RU"/>
        </w:rPr>
        <w:t>П</w:t>
      </w:r>
      <w:proofErr w:type="gramEnd"/>
      <w:r w:rsidRPr="00C935CB">
        <w:rPr>
          <w:rFonts w:ascii="Times New Roman" w:eastAsia="Times New Roman" w:hAnsi="Times New Roman" w:cs="Times New Roman"/>
          <w:i/>
          <w:iCs/>
          <w:color w:val="000000"/>
          <w:sz w:val="24"/>
          <w:szCs w:val="24"/>
          <w:lang w:eastAsia="ru-RU"/>
        </w:rPr>
        <w:t>ідпункт 2.7 пункту 2 розділу ІІ із змінами, внесеними згідно з Рішенням Національної комісія з цінних паперів та фондового ринку </w:t>
      </w:r>
      <w:hyperlink r:id="rId17" w:anchor="n5" w:tgtFrame="_blank" w:history="1">
        <w:r w:rsidRPr="00C935CB">
          <w:rPr>
            <w:rFonts w:ascii="Times New Roman" w:eastAsia="Times New Roman" w:hAnsi="Times New Roman" w:cs="Times New Roman"/>
            <w:i/>
            <w:iCs/>
            <w:color w:val="0000FF"/>
            <w:sz w:val="24"/>
            <w:szCs w:val="24"/>
            <w:u w:val="single"/>
            <w:lang w:eastAsia="ru-RU"/>
          </w:rPr>
          <w:t>№ 1 від 10.01.2017</w:t>
        </w:r>
      </w:hyperlink>
      <w:r w:rsidRPr="00C935CB">
        <w:rPr>
          <w:rFonts w:ascii="Times New Roman" w:eastAsia="Times New Roman" w:hAnsi="Times New Roman" w:cs="Times New Roman"/>
          <w:i/>
          <w:iCs/>
          <w:color w:val="000000"/>
          <w:sz w:val="24"/>
          <w:szCs w:val="24"/>
          <w:lang w:eastAsia="ru-RU"/>
        </w:rPr>
        <w:t>}</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31" w:name="n250"/>
      <w:bookmarkEnd w:id="31"/>
      <w:r w:rsidRPr="00C935CB">
        <w:rPr>
          <w:rFonts w:ascii="Times New Roman" w:eastAsia="Times New Roman" w:hAnsi="Times New Roman" w:cs="Times New Roman"/>
          <w:color w:val="000000"/>
          <w:sz w:val="32"/>
          <w:szCs w:val="32"/>
          <w:lang w:eastAsia="ru-RU"/>
        </w:rPr>
        <w:t>2.8. </w:t>
      </w:r>
      <w:hyperlink r:id="rId18" w:anchor="n115" w:history="1">
        <w:r w:rsidRPr="00C935CB">
          <w:rPr>
            <w:rFonts w:ascii="Times New Roman" w:eastAsia="Times New Roman" w:hAnsi="Times New Roman" w:cs="Times New Roman"/>
            <w:color w:val="0000FF"/>
            <w:sz w:val="24"/>
            <w:szCs w:val="24"/>
            <w:u w:val="single"/>
            <w:lang w:eastAsia="ru-RU"/>
          </w:rPr>
          <w:t xml:space="preserve">Довідки про вихідні дані для розрахунку нормативу адекватності регулятивного капіталу, нормативу адекватності капіталу першого </w:t>
        </w:r>
        <w:proofErr w:type="gramStart"/>
        <w:r w:rsidRPr="00C935CB">
          <w:rPr>
            <w:rFonts w:ascii="Times New Roman" w:eastAsia="Times New Roman" w:hAnsi="Times New Roman" w:cs="Times New Roman"/>
            <w:color w:val="0000FF"/>
            <w:sz w:val="24"/>
            <w:szCs w:val="24"/>
            <w:u w:val="single"/>
            <w:lang w:eastAsia="ru-RU"/>
          </w:rPr>
          <w:t>р</w:t>
        </w:r>
        <w:proofErr w:type="gramEnd"/>
        <w:r w:rsidRPr="00C935CB">
          <w:rPr>
            <w:rFonts w:ascii="Times New Roman" w:eastAsia="Times New Roman" w:hAnsi="Times New Roman" w:cs="Times New Roman"/>
            <w:color w:val="0000FF"/>
            <w:sz w:val="24"/>
            <w:szCs w:val="24"/>
            <w:u w:val="single"/>
            <w:lang w:eastAsia="ru-RU"/>
          </w:rPr>
          <w:t>івня, коефіцієнта фінансового левериджу та коефіцієнта абсолютної ліквідності (крім банків</w:t>
        </w:r>
      </w:hyperlink>
      <w:r w:rsidRPr="00C935CB">
        <w:rPr>
          <w:rFonts w:ascii="Times New Roman" w:eastAsia="Times New Roman" w:hAnsi="Times New Roman" w:cs="Times New Roman"/>
          <w:color w:val="000000"/>
          <w:sz w:val="32"/>
          <w:szCs w:val="32"/>
          <w:lang w:eastAsia="ru-RU"/>
        </w:rPr>
        <w:t>) (додаток 8 до цього Положення).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32" w:name="n251"/>
      <w:bookmarkEnd w:id="32"/>
      <w:r w:rsidRPr="00C935CB">
        <w:rPr>
          <w:rFonts w:ascii="Times New Roman" w:eastAsia="Times New Roman" w:hAnsi="Times New Roman" w:cs="Times New Roman"/>
          <w:color w:val="000000"/>
          <w:sz w:val="32"/>
          <w:szCs w:val="32"/>
          <w:lang w:eastAsia="ru-RU"/>
        </w:rPr>
        <w:t>2.9. </w:t>
      </w:r>
      <w:hyperlink r:id="rId19" w:anchor="n118" w:history="1">
        <w:r w:rsidRPr="00C935CB">
          <w:rPr>
            <w:rFonts w:ascii="Times New Roman" w:eastAsia="Times New Roman" w:hAnsi="Times New Roman" w:cs="Times New Roman"/>
            <w:color w:val="0000FF"/>
            <w:sz w:val="24"/>
            <w:szCs w:val="24"/>
            <w:u w:val="single"/>
            <w:lang w:eastAsia="ru-RU"/>
          </w:rPr>
          <w:t>Довідки про вихідні дані для розрахунку суми активів, зважених за ступенем ризику (крім банків)</w:t>
        </w:r>
      </w:hyperlink>
      <w:r w:rsidRPr="00C935CB">
        <w:rPr>
          <w:rFonts w:ascii="Times New Roman" w:eastAsia="Times New Roman" w:hAnsi="Times New Roman" w:cs="Times New Roman"/>
          <w:color w:val="000000"/>
          <w:sz w:val="32"/>
          <w:szCs w:val="32"/>
          <w:lang w:eastAsia="ru-RU"/>
        </w:rPr>
        <w:t> (додаток 9 до цього Положення).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33" w:name="n252"/>
      <w:bookmarkEnd w:id="33"/>
      <w:r w:rsidRPr="00C935CB">
        <w:rPr>
          <w:rFonts w:ascii="Times New Roman" w:eastAsia="Times New Roman" w:hAnsi="Times New Roman" w:cs="Times New Roman"/>
          <w:color w:val="000000"/>
          <w:sz w:val="32"/>
          <w:szCs w:val="32"/>
          <w:lang w:eastAsia="ru-RU"/>
        </w:rPr>
        <w:lastRenderedPageBreak/>
        <w:t>2.10. </w:t>
      </w:r>
      <w:hyperlink r:id="rId20" w:anchor="n194" w:history="1">
        <w:r w:rsidRPr="00C935CB">
          <w:rPr>
            <w:rFonts w:ascii="Times New Roman" w:eastAsia="Times New Roman" w:hAnsi="Times New Roman" w:cs="Times New Roman"/>
            <w:color w:val="0000FF"/>
            <w:sz w:val="24"/>
            <w:szCs w:val="24"/>
            <w:u w:val="single"/>
            <w:lang w:eastAsia="ru-RU"/>
          </w:rPr>
          <w:t>Довідки про розрахунок коефіцієнта покриття операційного ризику (крім банків)</w:t>
        </w:r>
      </w:hyperlink>
      <w:r w:rsidRPr="00C935CB">
        <w:rPr>
          <w:rFonts w:ascii="Times New Roman" w:eastAsia="Times New Roman" w:hAnsi="Times New Roman" w:cs="Times New Roman"/>
          <w:color w:val="000000"/>
          <w:sz w:val="32"/>
          <w:szCs w:val="32"/>
          <w:lang w:eastAsia="ru-RU"/>
        </w:rPr>
        <w:t>(додаток 10 до цього Положення).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34" w:name="n253"/>
      <w:bookmarkEnd w:id="34"/>
      <w:r w:rsidRPr="00C935CB">
        <w:rPr>
          <w:rFonts w:ascii="Times New Roman" w:eastAsia="Times New Roman" w:hAnsi="Times New Roman" w:cs="Times New Roman"/>
          <w:color w:val="000000"/>
          <w:sz w:val="32"/>
          <w:szCs w:val="32"/>
          <w:lang w:eastAsia="ru-RU"/>
        </w:rPr>
        <w:t xml:space="preserve">3. Крім документів, визначених пунктом 2 цього розділу, до складу Даних за місяць грудень входить довідка про загальний обсяг укладених та виконаних договорів з цінними паперами або іншими фінансовими інструментами торговця цінними паперами за </w:t>
      </w:r>
      <w:proofErr w:type="gramStart"/>
      <w:r w:rsidRPr="00C935CB">
        <w:rPr>
          <w:rFonts w:ascii="Times New Roman" w:eastAsia="Times New Roman" w:hAnsi="Times New Roman" w:cs="Times New Roman"/>
          <w:color w:val="000000"/>
          <w:sz w:val="32"/>
          <w:szCs w:val="32"/>
          <w:lang w:eastAsia="ru-RU"/>
        </w:rPr>
        <w:t>р</w:t>
      </w:r>
      <w:proofErr w:type="gramEnd"/>
      <w:r w:rsidRPr="00C935CB">
        <w:rPr>
          <w:rFonts w:ascii="Times New Roman" w:eastAsia="Times New Roman" w:hAnsi="Times New Roman" w:cs="Times New Roman"/>
          <w:color w:val="000000"/>
          <w:sz w:val="32"/>
          <w:szCs w:val="32"/>
          <w:lang w:eastAsia="ru-RU"/>
        </w:rPr>
        <w:t>ік (</w:t>
      </w:r>
      <w:hyperlink r:id="rId21" w:anchor="n199" w:history="1">
        <w:r w:rsidRPr="00C935CB">
          <w:rPr>
            <w:rFonts w:ascii="Times New Roman" w:eastAsia="Times New Roman" w:hAnsi="Times New Roman" w:cs="Times New Roman"/>
            <w:color w:val="0000FF"/>
            <w:sz w:val="24"/>
            <w:szCs w:val="24"/>
            <w:u w:val="single"/>
            <w:lang w:eastAsia="ru-RU"/>
          </w:rPr>
          <w:t>додаток 11 до цього Положення</w:t>
        </w:r>
      </w:hyperlink>
      <w:r w:rsidRPr="00C935CB">
        <w:rPr>
          <w:rFonts w:ascii="Times New Roman" w:eastAsia="Times New Roman" w:hAnsi="Times New Roman" w:cs="Times New Roman"/>
          <w:color w:val="000000"/>
          <w:sz w:val="32"/>
          <w:szCs w:val="32"/>
          <w:lang w:eastAsia="ru-RU"/>
        </w:rPr>
        <w:t>).</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35" w:name="n254"/>
      <w:bookmarkEnd w:id="35"/>
      <w:r w:rsidRPr="00C935CB">
        <w:rPr>
          <w:rFonts w:ascii="Times New Roman" w:eastAsia="Times New Roman" w:hAnsi="Times New Roman" w:cs="Times New Roman"/>
          <w:color w:val="000000"/>
          <w:sz w:val="32"/>
          <w:szCs w:val="32"/>
          <w:lang w:eastAsia="ru-RU"/>
        </w:rPr>
        <w:t xml:space="preserve">4. </w:t>
      </w:r>
      <w:proofErr w:type="gramStart"/>
      <w:r w:rsidRPr="00C935CB">
        <w:rPr>
          <w:rFonts w:ascii="Times New Roman" w:eastAsia="Times New Roman" w:hAnsi="Times New Roman" w:cs="Times New Roman"/>
          <w:color w:val="000000"/>
          <w:sz w:val="32"/>
          <w:szCs w:val="32"/>
          <w:lang w:eastAsia="ru-RU"/>
        </w:rPr>
        <w:t>До</w:t>
      </w:r>
      <w:proofErr w:type="gramEnd"/>
      <w:r w:rsidRPr="00C935CB">
        <w:rPr>
          <w:rFonts w:ascii="Times New Roman" w:eastAsia="Times New Roman" w:hAnsi="Times New Roman" w:cs="Times New Roman"/>
          <w:color w:val="000000"/>
          <w:sz w:val="32"/>
          <w:szCs w:val="32"/>
          <w:lang w:eastAsia="ru-RU"/>
        </w:rPr>
        <w:t xml:space="preserve"> складу даних за березень, червень, вересень входить проміжна фінансова звітність (крім банків), вимоги до якої встановлюються відповідним нормативно-правовим актом.</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36" w:name="n255"/>
      <w:bookmarkEnd w:id="36"/>
      <w:r w:rsidRPr="00C935CB">
        <w:rPr>
          <w:rFonts w:ascii="Times New Roman" w:eastAsia="Times New Roman" w:hAnsi="Times New Roman" w:cs="Times New Roman"/>
          <w:color w:val="000000"/>
          <w:sz w:val="32"/>
          <w:szCs w:val="32"/>
          <w:lang w:eastAsia="ru-RU"/>
        </w:rPr>
        <w:t xml:space="preserve">5. До складу даних за лютий місяць входить </w:t>
      </w:r>
      <w:proofErr w:type="gramStart"/>
      <w:r w:rsidRPr="00C935CB">
        <w:rPr>
          <w:rFonts w:ascii="Times New Roman" w:eastAsia="Times New Roman" w:hAnsi="Times New Roman" w:cs="Times New Roman"/>
          <w:color w:val="000000"/>
          <w:sz w:val="32"/>
          <w:szCs w:val="32"/>
          <w:lang w:eastAsia="ru-RU"/>
        </w:rPr>
        <w:t>р</w:t>
      </w:r>
      <w:proofErr w:type="gramEnd"/>
      <w:r w:rsidRPr="00C935CB">
        <w:rPr>
          <w:rFonts w:ascii="Times New Roman" w:eastAsia="Times New Roman" w:hAnsi="Times New Roman" w:cs="Times New Roman"/>
          <w:color w:val="000000"/>
          <w:sz w:val="32"/>
          <w:szCs w:val="32"/>
          <w:lang w:eastAsia="ru-RU"/>
        </w:rPr>
        <w:t>ічна фінансова звітність (крім банків), вимоги до якої встановлюються відповідним нормативно-правовим актом.</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37" w:name="n256"/>
      <w:bookmarkEnd w:id="37"/>
      <w:r w:rsidRPr="00C935CB">
        <w:rPr>
          <w:rFonts w:ascii="Times New Roman" w:eastAsia="Times New Roman" w:hAnsi="Times New Roman" w:cs="Times New Roman"/>
          <w:color w:val="000000"/>
          <w:sz w:val="32"/>
          <w:szCs w:val="32"/>
          <w:lang w:eastAsia="ru-RU"/>
        </w:rPr>
        <w:t>6. Нерегулярні Дані складаються з </w:t>
      </w:r>
      <w:hyperlink r:id="rId22" w:anchor="n122" w:history="1">
        <w:r w:rsidRPr="00C935CB">
          <w:rPr>
            <w:rFonts w:ascii="Times New Roman" w:eastAsia="Times New Roman" w:hAnsi="Times New Roman" w:cs="Times New Roman"/>
            <w:color w:val="0000FF"/>
            <w:sz w:val="24"/>
            <w:szCs w:val="24"/>
            <w:u w:val="single"/>
            <w:lang w:eastAsia="ru-RU"/>
          </w:rPr>
          <w:t>довідки про виконани</w:t>
        </w:r>
        <w:proofErr w:type="gramStart"/>
        <w:r w:rsidRPr="00C935CB">
          <w:rPr>
            <w:rFonts w:ascii="Times New Roman" w:eastAsia="Times New Roman" w:hAnsi="Times New Roman" w:cs="Times New Roman"/>
            <w:color w:val="0000FF"/>
            <w:sz w:val="24"/>
            <w:szCs w:val="24"/>
            <w:u w:val="single"/>
            <w:lang w:eastAsia="ru-RU"/>
          </w:rPr>
          <w:t>й(</w:t>
        </w:r>
        <w:proofErr w:type="gramEnd"/>
        <w:r w:rsidRPr="00C935CB">
          <w:rPr>
            <w:rFonts w:ascii="Times New Roman" w:eastAsia="Times New Roman" w:hAnsi="Times New Roman" w:cs="Times New Roman"/>
            <w:color w:val="0000FF"/>
            <w:sz w:val="24"/>
            <w:szCs w:val="24"/>
            <w:u w:val="single"/>
            <w:lang w:eastAsia="ru-RU"/>
          </w:rPr>
          <w:t>і) або розірваний(і) договір(ори) з цінними паперами або іншими фінансовими інструментами торговцем цінними паперами на неорганізованому ринку</w:t>
        </w:r>
      </w:hyperlink>
      <w:r w:rsidRPr="00C935CB">
        <w:rPr>
          <w:rFonts w:ascii="Times New Roman" w:eastAsia="Times New Roman" w:hAnsi="Times New Roman" w:cs="Times New Roman"/>
          <w:color w:val="000000"/>
          <w:sz w:val="32"/>
          <w:szCs w:val="32"/>
          <w:lang w:eastAsia="ru-RU"/>
        </w:rPr>
        <w:t> (додаток 12 до цього Положення) та </w:t>
      </w:r>
      <w:hyperlink r:id="rId23" w:anchor="n299" w:history="1">
        <w:r w:rsidRPr="00C935CB">
          <w:rPr>
            <w:rFonts w:ascii="Times New Roman" w:eastAsia="Times New Roman" w:hAnsi="Times New Roman" w:cs="Times New Roman"/>
            <w:color w:val="0000FF"/>
            <w:sz w:val="24"/>
            <w:szCs w:val="24"/>
            <w:u w:val="single"/>
            <w:lang w:eastAsia="ru-RU"/>
          </w:rPr>
          <w:t>довідки про укладення "підозрілого(их)" договору(ів) на неорганізованому ринку</w:t>
        </w:r>
      </w:hyperlink>
      <w:r w:rsidRPr="00C935CB">
        <w:rPr>
          <w:rFonts w:ascii="Times New Roman" w:eastAsia="Times New Roman" w:hAnsi="Times New Roman" w:cs="Times New Roman"/>
          <w:color w:val="000000"/>
          <w:sz w:val="32"/>
          <w:szCs w:val="32"/>
          <w:lang w:eastAsia="ru-RU"/>
        </w:rPr>
        <w:t> (додаток 14 до цього Положення).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38" w:name="n293"/>
      <w:bookmarkEnd w:id="38"/>
      <w:r w:rsidRPr="00C935CB">
        <w:rPr>
          <w:rFonts w:ascii="Times New Roman" w:eastAsia="Times New Roman" w:hAnsi="Times New Roman" w:cs="Times New Roman"/>
          <w:i/>
          <w:iCs/>
          <w:color w:val="000000"/>
          <w:sz w:val="24"/>
          <w:szCs w:val="24"/>
          <w:lang w:eastAsia="ru-RU"/>
        </w:rPr>
        <w:t xml:space="preserve">{Пункт 6 розділу II в редакції </w:t>
      </w:r>
      <w:proofErr w:type="gramStart"/>
      <w:r w:rsidRPr="00C935CB">
        <w:rPr>
          <w:rFonts w:ascii="Times New Roman" w:eastAsia="Times New Roman" w:hAnsi="Times New Roman" w:cs="Times New Roman"/>
          <w:i/>
          <w:iCs/>
          <w:color w:val="000000"/>
          <w:sz w:val="24"/>
          <w:szCs w:val="24"/>
          <w:lang w:eastAsia="ru-RU"/>
        </w:rPr>
        <w:t>Р</w:t>
      </w:r>
      <w:proofErr w:type="gramEnd"/>
      <w:r w:rsidRPr="00C935CB">
        <w:rPr>
          <w:rFonts w:ascii="Times New Roman" w:eastAsia="Times New Roman" w:hAnsi="Times New Roman" w:cs="Times New Roman"/>
          <w:i/>
          <w:iCs/>
          <w:color w:val="000000"/>
          <w:sz w:val="24"/>
          <w:szCs w:val="24"/>
          <w:lang w:eastAsia="ru-RU"/>
        </w:rPr>
        <w:t>ішення Національної комісії з цінних паперів та фондового ринку </w:t>
      </w:r>
      <w:hyperlink r:id="rId24" w:anchor="n27" w:tgtFrame="_blank" w:history="1">
        <w:r w:rsidRPr="00C935CB">
          <w:rPr>
            <w:rFonts w:ascii="Times New Roman" w:eastAsia="Times New Roman" w:hAnsi="Times New Roman" w:cs="Times New Roman"/>
            <w:i/>
            <w:iCs/>
            <w:color w:val="0000FF"/>
            <w:sz w:val="24"/>
            <w:szCs w:val="24"/>
            <w:u w:val="single"/>
            <w:lang w:eastAsia="ru-RU"/>
          </w:rPr>
          <w:t>№ 460 від 22.06.2017</w:t>
        </w:r>
      </w:hyperlink>
      <w:r w:rsidRPr="00C935CB">
        <w:rPr>
          <w:rFonts w:ascii="Times New Roman" w:eastAsia="Times New Roman" w:hAnsi="Times New Roman" w:cs="Times New Roman"/>
          <w:i/>
          <w:iCs/>
          <w:color w:val="000000"/>
          <w:sz w:val="24"/>
          <w:szCs w:val="24"/>
          <w:lang w:eastAsia="ru-RU"/>
        </w:rPr>
        <w:t>}</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39" w:name="n173"/>
      <w:bookmarkEnd w:id="39"/>
      <w:r w:rsidRPr="00C935CB">
        <w:rPr>
          <w:rFonts w:ascii="Times New Roman" w:eastAsia="Times New Roman" w:hAnsi="Times New Roman" w:cs="Times New Roman"/>
          <w:i/>
          <w:iCs/>
          <w:color w:val="000000"/>
          <w:sz w:val="24"/>
          <w:szCs w:val="24"/>
          <w:lang w:eastAsia="ru-RU"/>
        </w:rPr>
        <w:t>{Розділ II в редакції</w:t>
      </w:r>
      <w:r w:rsidRPr="00C935CB">
        <w:rPr>
          <w:rFonts w:ascii="Times New Roman" w:eastAsia="Times New Roman" w:hAnsi="Times New Roman" w:cs="Times New Roman"/>
          <w:color w:val="000000"/>
          <w:sz w:val="32"/>
          <w:szCs w:val="32"/>
          <w:lang w:eastAsia="ru-RU"/>
        </w:rPr>
        <w:t> </w:t>
      </w:r>
      <w:proofErr w:type="gramStart"/>
      <w:r w:rsidRPr="00C935CB">
        <w:rPr>
          <w:rFonts w:ascii="Times New Roman" w:eastAsia="Times New Roman" w:hAnsi="Times New Roman" w:cs="Times New Roman"/>
          <w:i/>
          <w:iCs/>
          <w:color w:val="000000"/>
          <w:sz w:val="24"/>
          <w:szCs w:val="24"/>
          <w:lang w:eastAsia="ru-RU"/>
        </w:rPr>
        <w:t>Р</w:t>
      </w:r>
      <w:proofErr w:type="gramEnd"/>
      <w:r w:rsidRPr="00C935CB">
        <w:rPr>
          <w:rFonts w:ascii="Times New Roman" w:eastAsia="Times New Roman" w:hAnsi="Times New Roman" w:cs="Times New Roman"/>
          <w:i/>
          <w:iCs/>
          <w:color w:val="000000"/>
          <w:sz w:val="24"/>
          <w:szCs w:val="24"/>
          <w:lang w:eastAsia="ru-RU"/>
        </w:rPr>
        <w:t>ішень Національної комісії з цінних паперів та фондового ринку </w:t>
      </w:r>
      <w:hyperlink r:id="rId25" w:anchor="n19" w:tgtFrame="_blank" w:history="1">
        <w:r w:rsidRPr="00C935CB">
          <w:rPr>
            <w:rFonts w:ascii="Times New Roman" w:eastAsia="Times New Roman" w:hAnsi="Times New Roman" w:cs="Times New Roman"/>
            <w:i/>
            <w:iCs/>
            <w:color w:val="0000FF"/>
            <w:sz w:val="24"/>
            <w:szCs w:val="24"/>
            <w:u w:val="single"/>
            <w:lang w:eastAsia="ru-RU"/>
          </w:rPr>
          <w:t>№ 247 від 26.02.2013</w:t>
        </w:r>
      </w:hyperlink>
      <w:r w:rsidRPr="00C935CB">
        <w:rPr>
          <w:rFonts w:ascii="Times New Roman" w:eastAsia="Times New Roman" w:hAnsi="Times New Roman" w:cs="Times New Roman"/>
          <w:i/>
          <w:iCs/>
          <w:color w:val="000000"/>
          <w:sz w:val="24"/>
          <w:szCs w:val="24"/>
          <w:lang w:eastAsia="ru-RU"/>
        </w:rPr>
        <w:t>, </w:t>
      </w:r>
      <w:hyperlink r:id="rId26" w:anchor="n7" w:tgtFrame="_blank" w:history="1">
        <w:r w:rsidRPr="00C935CB">
          <w:rPr>
            <w:rFonts w:ascii="Times New Roman" w:eastAsia="Times New Roman" w:hAnsi="Times New Roman" w:cs="Times New Roman"/>
            <w:i/>
            <w:iCs/>
            <w:color w:val="0000FF"/>
            <w:sz w:val="24"/>
            <w:szCs w:val="24"/>
            <w:u w:val="single"/>
            <w:lang w:eastAsia="ru-RU"/>
          </w:rPr>
          <w:t>№ 2002  від 01.12.2015</w:t>
        </w:r>
      </w:hyperlink>
      <w:r w:rsidRPr="00C935CB">
        <w:rPr>
          <w:rFonts w:ascii="Times New Roman" w:eastAsia="Times New Roman" w:hAnsi="Times New Roman" w:cs="Times New Roman"/>
          <w:i/>
          <w:iCs/>
          <w:color w:val="000000"/>
          <w:sz w:val="24"/>
          <w:szCs w:val="24"/>
          <w:lang w:eastAsia="ru-RU"/>
        </w:rPr>
        <w:t>}</w:t>
      </w:r>
    </w:p>
    <w:p w:rsidR="00C935CB" w:rsidRPr="00C935CB" w:rsidRDefault="00C935CB" w:rsidP="00C935CB">
      <w:pPr>
        <w:shd w:val="clear" w:color="auto" w:fill="FFFFFF"/>
        <w:spacing w:before="200" w:line="240" w:lineRule="auto"/>
        <w:ind w:left="600" w:right="600"/>
        <w:jc w:val="center"/>
        <w:rPr>
          <w:rFonts w:ascii="Times New Roman" w:eastAsia="Times New Roman" w:hAnsi="Times New Roman" w:cs="Times New Roman"/>
          <w:color w:val="000000"/>
          <w:sz w:val="32"/>
          <w:szCs w:val="32"/>
          <w:lang w:eastAsia="ru-RU"/>
        </w:rPr>
      </w:pPr>
      <w:bookmarkStart w:id="40" w:name="n53"/>
      <w:bookmarkEnd w:id="40"/>
      <w:r w:rsidRPr="00C935CB">
        <w:rPr>
          <w:rFonts w:ascii="Times New Roman" w:eastAsia="Times New Roman" w:hAnsi="Times New Roman" w:cs="Times New Roman"/>
          <w:b/>
          <w:bCs/>
          <w:color w:val="000000"/>
          <w:sz w:val="28"/>
          <w:lang w:eastAsia="ru-RU"/>
        </w:rPr>
        <w:t xml:space="preserve">III. Строки подання Даних </w:t>
      </w:r>
      <w:proofErr w:type="gramStart"/>
      <w:r w:rsidRPr="00C935CB">
        <w:rPr>
          <w:rFonts w:ascii="Times New Roman" w:eastAsia="Times New Roman" w:hAnsi="Times New Roman" w:cs="Times New Roman"/>
          <w:b/>
          <w:bCs/>
          <w:color w:val="000000"/>
          <w:sz w:val="28"/>
          <w:lang w:eastAsia="ru-RU"/>
        </w:rPr>
        <w:t>до</w:t>
      </w:r>
      <w:proofErr w:type="gramEnd"/>
      <w:r w:rsidRPr="00C935CB">
        <w:rPr>
          <w:rFonts w:ascii="Times New Roman" w:eastAsia="Times New Roman" w:hAnsi="Times New Roman" w:cs="Times New Roman"/>
          <w:b/>
          <w:bCs/>
          <w:color w:val="000000"/>
          <w:sz w:val="28"/>
          <w:lang w:eastAsia="ru-RU"/>
        </w:rPr>
        <w:t xml:space="preserve"> Комісії</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41" w:name="n54"/>
      <w:bookmarkEnd w:id="41"/>
      <w:r w:rsidRPr="00C935CB">
        <w:rPr>
          <w:rFonts w:ascii="Times New Roman" w:eastAsia="Times New Roman" w:hAnsi="Times New Roman" w:cs="Times New Roman"/>
          <w:color w:val="000000"/>
          <w:sz w:val="32"/>
          <w:szCs w:val="32"/>
          <w:lang w:eastAsia="ru-RU"/>
        </w:rPr>
        <w:t xml:space="preserve">1. Торговець цінними паперами подає Дані </w:t>
      </w:r>
      <w:proofErr w:type="gramStart"/>
      <w:r w:rsidRPr="00C935CB">
        <w:rPr>
          <w:rFonts w:ascii="Times New Roman" w:eastAsia="Times New Roman" w:hAnsi="Times New Roman" w:cs="Times New Roman"/>
          <w:color w:val="000000"/>
          <w:sz w:val="32"/>
          <w:szCs w:val="32"/>
          <w:lang w:eastAsia="ru-RU"/>
        </w:rPr>
        <w:t>до</w:t>
      </w:r>
      <w:proofErr w:type="gramEnd"/>
      <w:r w:rsidRPr="00C935CB">
        <w:rPr>
          <w:rFonts w:ascii="Times New Roman" w:eastAsia="Times New Roman" w:hAnsi="Times New Roman" w:cs="Times New Roman"/>
          <w:color w:val="000000"/>
          <w:sz w:val="32"/>
          <w:szCs w:val="32"/>
          <w:lang w:eastAsia="ru-RU"/>
        </w:rPr>
        <w:t xml:space="preserve"> центрального апарату Комісії у строки:</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42" w:name="n257"/>
      <w:bookmarkEnd w:id="42"/>
      <w:r w:rsidRPr="00C935CB">
        <w:rPr>
          <w:rFonts w:ascii="Times New Roman" w:eastAsia="Times New Roman" w:hAnsi="Times New Roman" w:cs="Times New Roman"/>
          <w:color w:val="000000"/>
          <w:sz w:val="32"/>
          <w:szCs w:val="32"/>
          <w:lang w:eastAsia="ru-RU"/>
        </w:rPr>
        <w:t xml:space="preserve">місячні - не </w:t>
      </w:r>
      <w:proofErr w:type="gramStart"/>
      <w:r w:rsidRPr="00C935CB">
        <w:rPr>
          <w:rFonts w:ascii="Times New Roman" w:eastAsia="Times New Roman" w:hAnsi="Times New Roman" w:cs="Times New Roman"/>
          <w:color w:val="000000"/>
          <w:sz w:val="32"/>
          <w:szCs w:val="32"/>
          <w:lang w:eastAsia="ru-RU"/>
        </w:rPr>
        <w:t>п</w:t>
      </w:r>
      <w:proofErr w:type="gramEnd"/>
      <w:r w:rsidRPr="00C935CB">
        <w:rPr>
          <w:rFonts w:ascii="Times New Roman" w:eastAsia="Times New Roman" w:hAnsi="Times New Roman" w:cs="Times New Roman"/>
          <w:color w:val="000000"/>
          <w:sz w:val="32"/>
          <w:szCs w:val="32"/>
          <w:lang w:eastAsia="ru-RU"/>
        </w:rPr>
        <w:t>ізніше останнього числа місяця, наступного за звітним;</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43" w:name="n258"/>
      <w:bookmarkEnd w:id="43"/>
      <w:r w:rsidRPr="00C935CB">
        <w:rPr>
          <w:rFonts w:ascii="Times New Roman" w:eastAsia="Times New Roman" w:hAnsi="Times New Roman" w:cs="Times New Roman"/>
          <w:color w:val="000000"/>
          <w:sz w:val="32"/>
          <w:szCs w:val="32"/>
          <w:lang w:eastAsia="ru-RU"/>
        </w:rPr>
        <w:t xml:space="preserve">нерегулярні - протягом трьох робочих днів </w:t>
      </w:r>
      <w:proofErr w:type="gramStart"/>
      <w:r w:rsidRPr="00C935CB">
        <w:rPr>
          <w:rFonts w:ascii="Times New Roman" w:eastAsia="Times New Roman" w:hAnsi="Times New Roman" w:cs="Times New Roman"/>
          <w:color w:val="000000"/>
          <w:sz w:val="32"/>
          <w:szCs w:val="32"/>
          <w:lang w:eastAsia="ru-RU"/>
        </w:rPr>
        <w:t>п</w:t>
      </w:r>
      <w:proofErr w:type="gramEnd"/>
      <w:r w:rsidRPr="00C935CB">
        <w:rPr>
          <w:rFonts w:ascii="Times New Roman" w:eastAsia="Times New Roman" w:hAnsi="Times New Roman" w:cs="Times New Roman"/>
          <w:color w:val="000000"/>
          <w:sz w:val="32"/>
          <w:szCs w:val="32"/>
          <w:lang w:eastAsia="ru-RU"/>
        </w:rPr>
        <w:t>ісля дати виникнення нерегулярних даних.</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44" w:name="n259"/>
      <w:bookmarkEnd w:id="44"/>
      <w:r w:rsidRPr="00C935CB">
        <w:rPr>
          <w:rFonts w:ascii="Times New Roman" w:eastAsia="Times New Roman" w:hAnsi="Times New Roman" w:cs="Times New Roman"/>
          <w:i/>
          <w:iCs/>
          <w:color w:val="000000"/>
          <w:sz w:val="24"/>
          <w:szCs w:val="24"/>
          <w:lang w:eastAsia="ru-RU"/>
        </w:rPr>
        <w:t>{Пункт 1 розділу III в редакції </w:t>
      </w:r>
      <w:proofErr w:type="gramStart"/>
      <w:r w:rsidRPr="00C935CB">
        <w:rPr>
          <w:rFonts w:ascii="Times New Roman" w:eastAsia="Times New Roman" w:hAnsi="Times New Roman" w:cs="Times New Roman"/>
          <w:i/>
          <w:iCs/>
          <w:color w:val="000000"/>
          <w:sz w:val="24"/>
          <w:szCs w:val="24"/>
          <w:lang w:eastAsia="ru-RU"/>
        </w:rPr>
        <w:t>Р</w:t>
      </w:r>
      <w:proofErr w:type="gramEnd"/>
      <w:r w:rsidRPr="00C935CB">
        <w:rPr>
          <w:rFonts w:ascii="Times New Roman" w:eastAsia="Times New Roman" w:hAnsi="Times New Roman" w:cs="Times New Roman"/>
          <w:i/>
          <w:iCs/>
          <w:color w:val="000000"/>
          <w:sz w:val="24"/>
          <w:szCs w:val="24"/>
          <w:lang w:eastAsia="ru-RU"/>
        </w:rPr>
        <w:t>ішення Національної комісії з цінних паперів та фондового ринку </w:t>
      </w:r>
      <w:hyperlink r:id="rId27" w:anchor="n27" w:tgtFrame="_blank" w:history="1">
        <w:r w:rsidRPr="00C935CB">
          <w:rPr>
            <w:rFonts w:ascii="Times New Roman" w:eastAsia="Times New Roman" w:hAnsi="Times New Roman" w:cs="Times New Roman"/>
            <w:i/>
            <w:iCs/>
            <w:color w:val="0000FF"/>
            <w:sz w:val="24"/>
            <w:szCs w:val="24"/>
            <w:u w:val="single"/>
            <w:lang w:eastAsia="ru-RU"/>
          </w:rPr>
          <w:t>№ 2002 від 01.12.2015</w:t>
        </w:r>
      </w:hyperlink>
      <w:r w:rsidRPr="00C935CB">
        <w:rPr>
          <w:rFonts w:ascii="Times New Roman" w:eastAsia="Times New Roman" w:hAnsi="Times New Roman" w:cs="Times New Roman"/>
          <w:i/>
          <w:iCs/>
          <w:color w:val="000000"/>
          <w:sz w:val="24"/>
          <w:szCs w:val="24"/>
          <w:lang w:eastAsia="ru-RU"/>
        </w:rPr>
        <w:t>}</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45" w:name="n57"/>
      <w:bookmarkEnd w:id="45"/>
      <w:r w:rsidRPr="00C935CB">
        <w:rPr>
          <w:rFonts w:ascii="Times New Roman" w:eastAsia="Times New Roman" w:hAnsi="Times New Roman" w:cs="Times New Roman"/>
          <w:color w:val="000000"/>
          <w:sz w:val="32"/>
          <w:szCs w:val="32"/>
          <w:lang w:eastAsia="ru-RU"/>
        </w:rPr>
        <w:t xml:space="preserve">2. У разі якщо останній день подання Даних припадає на неробочий день, строк подання Даних переноситься на перший </w:t>
      </w:r>
      <w:proofErr w:type="gramStart"/>
      <w:r w:rsidRPr="00C935CB">
        <w:rPr>
          <w:rFonts w:ascii="Times New Roman" w:eastAsia="Times New Roman" w:hAnsi="Times New Roman" w:cs="Times New Roman"/>
          <w:color w:val="000000"/>
          <w:sz w:val="32"/>
          <w:szCs w:val="32"/>
          <w:lang w:eastAsia="ru-RU"/>
        </w:rPr>
        <w:t>п</w:t>
      </w:r>
      <w:proofErr w:type="gramEnd"/>
      <w:r w:rsidRPr="00C935CB">
        <w:rPr>
          <w:rFonts w:ascii="Times New Roman" w:eastAsia="Times New Roman" w:hAnsi="Times New Roman" w:cs="Times New Roman"/>
          <w:color w:val="000000"/>
          <w:sz w:val="32"/>
          <w:szCs w:val="32"/>
          <w:lang w:eastAsia="ru-RU"/>
        </w:rPr>
        <w:t>ісля нього робочий день.</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46" w:name="n58"/>
      <w:bookmarkEnd w:id="46"/>
      <w:r w:rsidRPr="00C935CB">
        <w:rPr>
          <w:rFonts w:ascii="Times New Roman" w:eastAsia="Times New Roman" w:hAnsi="Times New Roman" w:cs="Times New Roman"/>
          <w:color w:val="000000"/>
          <w:sz w:val="32"/>
          <w:szCs w:val="32"/>
          <w:lang w:eastAsia="ru-RU"/>
        </w:rPr>
        <w:lastRenderedPageBreak/>
        <w:t>3. Нерегулярні Дані за одну дату подаються один раз протягом робочого дня, крім нерегулярних даних, які містять супровідну довідку про виправлених Даних торговця цінними паперами (додаток 13 до цього Положення).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47" w:name="n176"/>
      <w:bookmarkEnd w:id="47"/>
      <w:r w:rsidRPr="00C935CB">
        <w:rPr>
          <w:rFonts w:ascii="Times New Roman" w:eastAsia="Times New Roman" w:hAnsi="Times New Roman" w:cs="Times New Roman"/>
          <w:i/>
          <w:iCs/>
          <w:color w:val="000000"/>
          <w:sz w:val="24"/>
          <w:szCs w:val="24"/>
          <w:lang w:eastAsia="ru-RU"/>
        </w:rPr>
        <w:t>{Пункт 3 розділу III із змінами, внесеними згідно з</w:t>
      </w:r>
      <w:r w:rsidRPr="00C935CB">
        <w:rPr>
          <w:rFonts w:ascii="Times New Roman" w:eastAsia="Times New Roman" w:hAnsi="Times New Roman" w:cs="Times New Roman"/>
          <w:color w:val="000000"/>
          <w:sz w:val="32"/>
          <w:szCs w:val="32"/>
          <w:lang w:eastAsia="ru-RU"/>
        </w:rPr>
        <w:t> </w:t>
      </w:r>
      <w:proofErr w:type="gramStart"/>
      <w:r w:rsidRPr="00C935CB">
        <w:rPr>
          <w:rFonts w:ascii="Times New Roman" w:eastAsia="Times New Roman" w:hAnsi="Times New Roman" w:cs="Times New Roman"/>
          <w:i/>
          <w:iCs/>
          <w:color w:val="000000"/>
          <w:sz w:val="24"/>
          <w:szCs w:val="24"/>
          <w:lang w:eastAsia="ru-RU"/>
        </w:rPr>
        <w:t>Р</w:t>
      </w:r>
      <w:proofErr w:type="gramEnd"/>
      <w:r w:rsidRPr="00C935CB">
        <w:rPr>
          <w:rFonts w:ascii="Times New Roman" w:eastAsia="Times New Roman" w:hAnsi="Times New Roman" w:cs="Times New Roman"/>
          <w:i/>
          <w:iCs/>
          <w:color w:val="000000"/>
          <w:sz w:val="24"/>
          <w:szCs w:val="24"/>
          <w:lang w:eastAsia="ru-RU"/>
        </w:rPr>
        <w:t>ішеннями Національної комісії з цінних паперів та фондового ринку </w:t>
      </w:r>
      <w:hyperlink r:id="rId28" w:anchor="n47" w:tgtFrame="_blank" w:history="1">
        <w:r w:rsidRPr="00C935CB">
          <w:rPr>
            <w:rFonts w:ascii="Times New Roman" w:eastAsia="Times New Roman" w:hAnsi="Times New Roman" w:cs="Times New Roman"/>
            <w:i/>
            <w:iCs/>
            <w:color w:val="0000FF"/>
            <w:sz w:val="24"/>
            <w:szCs w:val="24"/>
            <w:u w:val="single"/>
            <w:lang w:eastAsia="ru-RU"/>
          </w:rPr>
          <w:t>№ 247 від 26.02.2013</w:t>
        </w:r>
      </w:hyperlink>
      <w:r w:rsidRPr="00C935CB">
        <w:rPr>
          <w:rFonts w:ascii="Times New Roman" w:eastAsia="Times New Roman" w:hAnsi="Times New Roman" w:cs="Times New Roman"/>
          <w:color w:val="000000"/>
          <w:sz w:val="32"/>
          <w:szCs w:val="32"/>
          <w:lang w:eastAsia="ru-RU"/>
        </w:rPr>
        <w:t>,</w:t>
      </w:r>
      <w:r w:rsidRPr="00C935CB">
        <w:rPr>
          <w:rFonts w:ascii="Times New Roman" w:eastAsia="Times New Roman" w:hAnsi="Times New Roman" w:cs="Times New Roman"/>
          <w:i/>
          <w:iCs/>
          <w:color w:val="000000"/>
          <w:sz w:val="24"/>
          <w:szCs w:val="24"/>
          <w:lang w:eastAsia="ru-RU"/>
        </w:rPr>
        <w:t> </w:t>
      </w:r>
      <w:hyperlink r:id="rId29" w:anchor="n18" w:tgtFrame="_blank" w:history="1">
        <w:r w:rsidRPr="00C935CB">
          <w:rPr>
            <w:rFonts w:ascii="Times New Roman" w:eastAsia="Times New Roman" w:hAnsi="Times New Roman" w:cs="Times New Roman"/>
            <w:i/>
            <w:iCs/>
            <w:color w:val="0000FF"/>
            <w:sz w:val="24"/>
            <w:szCs w:val="24"/>
            <w:u w:val="single"/>
            <w:lang w:eastAsia="ru-RU"/>
          </w:rPr>
          <w:t>№ 1408 від 06.08.2013</w:t>
        </w:r>
      </w:hyperlink>
      <w:r w:rsidRPr="00C935CB">
        <w:rPr>
          <w:rFonts w:ascii="Times New Roman" w:eastAsia="Times New Roman" w:hAnsi="Times New Roman" w:cs="Times New Roman"/>
          <w:i/>
          <w:iCs/>
          <w:color w:val="000000"/>
          <w:sz w:val="24"/>
          <w:szCs w:val="24"/>
          <w:lang w:eastAsia="ru-RU"/>
        </w:rPr>
        <w:t>}</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48" w:name="n59"/>
      <w:bookmarkEnd w:id="48"/>
      <w:r w:rsidRPr="00C935CB">
        <w:rPr>
          <w:rFonts w:ascii="Times New Roman" w:eastAsia="Times New Roman" w:hAnsi="Times New Roman" w:cs="Times New Roman"/>
          <w:color w:val="000000"/>
          <w:sz w:val="32"/>
          <w:szCs w:val="32"/>
          <w:lang w:eastAsia="ru-RU"/>
        </w:rPr>
        <w:t>4. Нерегулярні Дані торговця цінними паперами подаються за фактом їх виникнення, а саме: при виконанні та/або розірванні договорі</w:t>
      </w:r>
      <w:proofErr w:type="gramStart"/>
      <w:r w:rsidRPr="00C935CB">
        <w:rPr>
          <w:rFonts w:ascii="Times New Roman" w:eastAsia="Times New Roman" w:hAnsi="Times New Roman" w:cs="Times New Roman"/>
          <w:color w:val="000000"/>
          <w:sz w:val="32"/>
          <w:szCs w:val="32"/>
          <w:lang w:eastAsia="ru-RU"/>
        </w:rPr>
        <w:t>в</w:t>
      </w:r>
      <w:proofErr w:type="gramEnd"/>
      <w:r w:rsidRPr="00C935CB">
        <w:rPr>
          <w:rFonts w:ascii="Times New Roman" w:eastAsia="Times New Roman" w:hAnsi="Times New Roman" w:cs="Times New Roman"/>
          <w:color w:val="000000"/>
          <w:sz w:val="32"/>
          <w:szCs w:val="32"/>
          <w:lang w:eastAsia="ru-RU"/>
        </w:rPr>
        <w:t>.</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49" w:name="n60"/>
      <w:bookmarkEnd w:id="49"/>
      <w:r w:rsidRPr="00C935CB">
        <w:rPr>
          <w:rFonts w:ascii="Times New Roman" w:eastAsia="Times New Roman" w:hAnsi="Times New Roman" w:cs="Times New Roman"/>
          <w:color w:val="000000"/>
          <w:sz w:val="32"/>
          <w:szCs w:val="32"/>
          <w:lang w:eastAsia="ru-RU"/>
        </w:rPr>
        <w:t>5. Торговець цінними паперами у разі виявлення невідповідності Даних, які подані до Комісії, має усунути ці невідповідності, повторно подати Дані в обсязі, визначеному в </w:t>
      </w:r>
      <w:hyperlink r:id="rId30" w:anchor="n35" w:history="1">
        <w:r w:rsidRPr="00C935CB">
          <w:rPr>
            <w:rFonts w:ascii="Times New Roman" w:eastAsia="Times New Roman" w:hAnsi="Times New Roman" w:cs="Times New Roman"/>
            <w:color w:val="0000FF"/>
            <w:sz w:val="24"/>
            <w:szCs w:val="24"/>
            <w:u w:val="single"/>
            <w:lang w:eastAsia="ru-RU"/>
          </w:rPr>
          <w:t>розділі II</w:t>
        </w:r>
      </w:hyperlink>
      <w:r w:rsidRPr="00C935CB">
        <w:rPr>
          <w:rFonts w:ascii="Times New Roman" w:eastAsia="Times New Roman" w:hAnsi="Times New Roman" w:cs="Times New Roman"/>
          <w:color w:val="000000"/>
          <w:sz w:val="32"/>
          <w:szCs w:val="32"/>
          <w:lang w:eastAsia="ru-RU"/>
        </w:rPr>
        <w:t xml:space="preserve">цього Положення, але не </w:t>
      </w:r>
      <w:proofErr w:type="gramStart"/>
      <w:r w:rsidRPr="00C935CB">
        <w:rPr>
          <w:rFonts w:ascii="Times New Roman" w:eastAsia="Times New Roman" w:hAnsi="Times New Roman" w:cs="Times New Roman"/>
          <w:color w:val="000000"/>
          <w:sz w:val="32"/>
          <w:szCs w:val="32"/>
          <w:lang w:eastAsia="ru-RU"/>
        </w:rPr>
        <w:t>п</w:t>
      </w:r>
      <w:proofErr w:type="gramEnd"/>
      <w:r w:rsidRPr="00C935CB">
        <w:rPr>
          <w:rFonts w:ascii="Times New Roman" w:eastAsia="Times New Roman" w:hAnsi="Times New Roman" w:cs="Times New Roman"/>
          <w:color w:val="000000"/>
          <w:sz w:val="32"/>
          <w:szCs w:val="32"/>
          <w:lang w:eastAsia="ru-RU"/>
        </w:rPr>
        <w:t xml:space="preserve">ізніше строків, зазначених у цьому розділі. Виправлені Дані додатково повинні подаватися разом із супровідною довідкою для виправлених Даних торговця цінними паперами (додаток 13 до цього Положення), </w:t>
      </w:r>
      <w:proofErr w:type="gramStart"/>
      <w:r w:rsidRPr="00C935CB">
        <w:rPr>
          <w:rFonts w:ascii="Times New Roman" w:eastAsia="Times New Roman" w:hAnsi="Times New Roman" w:cs="Times New Roman"/>
          <w:color w:val="000000"/>
          <w:sz w:val="32"/>
          <w:szCs w:val="32"/>
          <w:lang w:eastAsia="ru-RU"/>
        </w:rPr>
        <w:t>в</w:t>
      </w:r>
      <w:proofErr w:type="gramEnd"/>
      <w:r w:rsidRPr="00C935CB">
        <w:rPr>
          <w:rFonts w:ascii="Times New Roman" w:eastAsia="Times New Roman" w:hAnsi="Times New Roman" w:cs="Times New Roman"/>
          <w:color w:val="000000"/>
          <w:sz w:val="32"/>
          <w:szCs w:val="32"/>
          <w:lang w:eastAsia="ru-RU"/>
        </w:rPr>
        <w:t xml:space="preserve"> якій зазначається причина виникнення невідповідності (невідповідностей).</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50" w:name="n177"/>
      <w:bookmarkEnd w:id="50"/>
      <w:r w:rsidRPr="00C935CB">
        <w:rPr>
          <w:rFonts w:ascii="Times New Roman" w:eastAsia="Times New Roman" w:hAnsi="Times New Roman" w:cs="Times New Roman"/>
          <w:i/>
          <w:iCs/>
          <w:color w:val="000000"/>
          <w:sz w:val="24"/>
          <w:szCs w:val="24"/>
          <w:lang w:eastAsia="ru-RU"/>
        </w:rPr>
        <w:t>{Пункт 5 розділу III із змінами, внесеними згідно з</w:t>
      </w:r>
      <w:r w:rsidRPr="00C935CB">
        <w:rPr>
          <w:rFonts w:ascii="Times New Roman" w:eastAsia="Times New Roman" w:hAnsi="Times New Roman" w:cs="Times New Roman"/>
          <w:color w:val="000000"/>
          <w:sz w:val="32"/>
          <w:szCs w:val="32"/>
          <w:lang w:eastAsia="ru-RU"/>
        </w:rPr>
        <w:t> </w:t>
      </w:r>
      <w:proofErr w:type="gramStart"/>
      <w:r w:rsidRPr="00C935CB">
        <w:rPr>
          <w:rFonts w:ascii="Times New Roman" w:eastAsia="Times New Roman" w:hAnsi="Times New Roman" w:cs="Times New Roman"/>
          <w:i/>
          <w:iCs/>
          <w:color w:val="000000"/>
          <w:sz w:val="24"/>
          <w:szCs w:val="24"/>
          <w:lang w:eastAsia="ru-RU"/>
        </w:rPr>
        <w:t>Р</w:t>
      </w:r>
      <w:proofErr w:type="gramEnd"/>
      <w:r w:rsidRPr="00C935CB">
        <w:rPr>
          <w:rFonts w:ascii="Times New Roman" w:eastAsia="Times New Roman" w:hAnsi="Times New Roman" w:cs="Times New Roman"/>
          <w:i/>
          <w:iCs/>
          <w:color w:val="000000"/>
          <w:sz w:val="24"/>
          <w:szCs w:val="24"/>
          <w:lang w:eastAsia="ru-RU"/>
        </w:rPr>
        <w:t>ішеннями Національної комісії з цінних паперів та фондового ринку </w:t>
      </w:r>
      <w:hyperlink r:id="rId31" w:anchor="n47" w:tgtFrame="_blank" w:history="1">
        <w:r w:rsidRPr="00C935CB">
          <w:rPr>
            <w:rFonts w:ascii="Times New Roman" w:eastAsia="Times New Roman" w:hAnsi="Times New Roman" w:cs="Times New Roman"/>
            <w:i/>
            <w:iCs/>
            <w:color w:val="0000FF"/>
            <w:sz w:val="24"/>
            <w:szCs w:val="24"/>
            <w:u w:val="single"/>
            <w:lang w:eastAsia="ru-RU"/>
          </w:rPr>
          <w:t>№ 247 від 26.02.2013</w:t>
        </w:r>
      </w:hyperlink>
      <w:r w:rsidRPr="00C935CB">
        <w:rPr>
          <w:rFonts w:ascii="Times New Roman" w:eastAsia="Times New Roman" w:hAnsi="Times New Roman" w:cs="Times New Roman"/>
          <w:i/>
          <w:iCs/>
          <w:color w:val="000000"/>
          <w:sz w:val="24"/>
          <w:szCs w:val="24"/>
          <w:lang w:eastAsia="ru-RU"/>
        </w:rPr>
        <w:t>, </w:t>
      </w:r>
      <w:hyperlink r:id="rId32" w:anchor="n18" w:tgtFrame="_blank" w:history="1">
        <w:r w:rsidRPr="00C935CB">
          <w:rPr>
            <w:rFonts w:ascii="Times New Roman" w:eastAsia="Times New Roman" w:hAnsi="Times New Roman" w:cs="Times New Roman"/>
            <w:i/>
            <w:iCs/>
            <w:color w:val="0000FF"/>
            <w:sz w:val="24"/>
            <w:szCs w:val="24"/>
            <w:u w:val="single"/>
            <w:lang w:eastAsia="ru-RU"/>
          </w:rPr>
          <w:t>№ 1408 від 06.08.2013</w:t>
        </w:r>
      </w:hyperlink>
      <w:r w:rsidRPr="00C935CB">
        <w:rPr>
          <w:rFonts w:ascii="Times New Roman" w:eastAsia="Times New Roman" w:hAnsi="Times New Roman" w:cs="Times New Roman"/>
          <w:i/>
          <w:iCs/>
          <w:color w:val="000000"/>
          <w:sz w:val="24"/>
          <w:szCs w:val="24"/>
          <w:lang w:eastAsia="ru-RU"/>
        </w:rPr>
        <w:t>}</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51" w:name="n61"/>
      <w:bookmarkEnd w:id="51"/>
      <w:r w:rsidRPr="00C935CB">
        <w:rPr>
          <w:rFonts w:ascii="Times New Roman" w:eastAsia="Times New Roman" w:hAnsi="Times New Roman" w:cs="Times New Roman"/>
          <w:color w:val="000000"/>
          <w:sz w:val="32"/>
          <w:szCs w:val="32"/>
          <w:lang w:eastAsia="ru-RU"/>
        </w:rPr>
        <w:t xml:space="preserve">6. </w:t>
      </w:r>
      <w:proofErr w:type="gramStart"/>
      <w:r w:rsidRPr="00C935CB">
        <w:rPr>
          <w:rFonts w:ascii="Times New Roman" w:eastAsia="Times New Roman" w:hAnsi="Times New Roman" w:cs="Times New Roman"/>
          <w:color w:val="000000"/>
          <w:sz w:val="32"/>
          <w:szCs w:val="32"/>
          <w:lang w:eastAsia="ru-RU"/>
        </w:rPr>
        <w:t>Строк подання Даних продовжується у разі надходження до Комісії письмового повідомлення про неможливість подання Даних у встановлений строк у зв'язку з:</w:t>
      </w:r>
      <w:proofErr w:type="gramEnd"/>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52" w:name="n62"/>
      <w:bookmarkEnd w:id="52"/>
      <w:r w:rsidRPr="00C935CB">
        <w:rPr>
          <w:rFonts w:ascii="Times New Roman" w:eastAsia="Times New Roman" w:hAnsi="Times New Roman" w:cs="Times New Roman"/>
          <w:color w:val="000000"/>
          <w:sz w:val="32"/>
          <w:szCs w:val="32"/>
          <w:lang w:eastAsia="ru-RU"/>
        </w:rPr>
        <w:t xml:space="preserve">вилученням програмного забезпечення та/або документації торговця цінними паперами правоохоронними органами (з наданням копій документів, які </w:t>
      </w:r>
      <w:proofErr w:type="gramStart"/>
      <w:r w:rsidRPr="00C935CB">
        <w:rPr>
          <w:rFonts w:ascii="Times New Roman" w:eastAsia="Times New Roman" w:hAnsi="Times New Roman" w:cs="Times New Roman"/>
          <w:color w:val="000000"/>
          <w:sz w:val="32"/>
          <w:szCs w:val="32"/>
          <w:lang w:eastAsia="ru-RU"/>
        </w:rPr>
        <w:t>п</w:t>
      </w:r>
      <w:proofErr w:type="gramEnd"/>
      <w:r w:rsidRPr="00C935CB">
        <w:rPr>
          <w:rFonts w:ascii="Times New Roman" w:eastAsia="Times New Roman" w:hAnsi="Times New Roman" w:cs="Times New Roman"/>
          <w:color w:val="000000"/>
          <w:sz w:val="32"/>
          <w:szCs w:val="32"/>
          <w:lang w:eastAsia="ru-RU"/>
        </w:rPr>
        <w:t>ідтверджують вилучення зазначеної документації);</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53" w:name="n63"/>
      <w:bookmarkEnd w:id="53"/>
      <w:r w:rsidRPr="00C935CB">
        <w:rPr>
          <w:rFonts w:ascii="Times New Roman" w:eastAsia="Times New Roman" w:hAnsi="Times New Roman" w:cs="Times New Roman"/>
          <w:color w:val="000000"/>
          <w:sz w:val="32"/>
          <w:szCs w:val="32"/>
          <w:lang w:eastAsia="ru-RU"/>
        </w:rPr>
        <w:t xml:space="preserve">настанням форс-мажорних обставин (з наданням копій документів, які </w:t>
      </w:r>
      <w:proofErr w:type="gramStart"/>
      <w:r w:rsidRPr="00C935CB">
        <w:rPr>
          <w:rFonts w:ascii="Times New Roman" w:eastAsia="Times New Roman" w:hAnsi="Times New Roman" w:cs="Times New Roman"/>
          <w:color w:val="000000"/>
          <w:sz w:val="32"/>
          <w:szCs w:val="32"/>
          <w:lang w:eastAsia="ru-RU"/>
        </w:rPr>
        <w:t>п</w:t>
      </w:r>
      <w:proofErr w:type="gramEnd"/>
      <w:r w:rsidRPr="00C935CB">
        <w:rPr>
          <w:rFonts w:ascii="Times New Roman" w:eastAsia="Times New Roman" w:hAnsi="Times New Roman" w:cs="Times New Roman"/>
          <w:color w:val="000000"/>
          <w:sz w:val="32"/>
          <w:szCs w:val="32"/>
          <w:lang w:eastAsia="ru-RU"/>
        </w:rPr>
        <w:t>ідтверджують зазначені обставини).</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54" w:name="n64"/>
      <w:bookmarkEnd w:id="54"/>
      <w:r w:rsidRPr="00C935CB">
        <w:rPr>
          <w:rFonts w:ascii="Times New Roman" w:eastAsia="Times New Roman" w:hAnsi="Times New Roman" w:cs="Times New Roman"/>
          <w:color w:val="000000"/>
          <w:sz w:val="32"/>
          <w:szCs w:val="32"/>
          <w:lang w:eastAsia="ru-RU"/>
        </w:rPr>
        <w:t xml:space="preserve">7. </w:t>
      </w:r>
      <w:proofErr w:type="gramStart"/>
      <w:r w:rsidRPr="00C935CB">
        <w:rPr>
          <w:rFonts w:ascii="Times New Roman" w:eastAsia="Times New Roman" w:hAnsi="Times New Roman" w:cs="Times New Roman"/>
          <w:color w:val="000000"/>
          <w:sz w:val="32"/>
          <w:szCs w:val="32"/>
          <w:lang w:eastAsia="ru-RU"/>
        </w:rPr>
        <w:t>Повідомлення про неможливість подання Даних до Комісії у строк, визначений цим Положенням, торговець цінними паперами повинен надати протягом трьох робочих днів з дня вилучення відповідних програмного забезпечення та/або документації торговця цінними паперами або настання форс-мажорних обставин.</w:t>
      </w:r>
      <w:proofErr w:type="gramEnd"/>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55" w:name="n65"/>
      <w:bookmarkEnd w:id="55"/>
      <w:r w:rsidRPr="00C935CB">
        <w:rPr>
          <w:rFonts w:ascii="Times New Roman" w:eastAsia="Times New Roman" w:hAnsi="Times New Roman" w:cs="Times New Roman"/>
          <w:color w:val="000000"/>
          <w:sz w:val="32"/>
          <w:szCs w:val="32"/>
          <w:lang w:eastAsia="ru-RU"/>
        </w:rPr>
        <w:t xml:space="preserve">8. Торговець цінними паперами зобов'язаний протягом 15 календарних днів з дати відновлення та/або повернення вилученого програмного забезпечення та/або документації подати Дані до Комісії </w:t>
      </w:r>
      <w:r w:rsidRPr="00C935CB">
        <w:rPr>
          <w:rFonts w:ascii="Times New Roman" w:eastAsia="Times New Roman" w:hAnsi="Times New Roman" w:cs="Times New Roman"/>
          <w:color w:val="000000"/>
          <w:sz w:val="32"/>
          <w:szCs w:val="32"/>
          <w:lang w:eastAsia="ru-RU"/>
        </w:rPr>
        <w:lastRenderedPageBreak/>
        <w:t xml:space="preserve">та копії документів, які </w:t>
      </w:r>
      <w:proofErr w:type="gramStart"/>
      <w:r w:rsidRPr="00C935CB">
        <w:rPr>
          <w:rFonts w:ascii="Times New Roman" w:eastAsia="Times New Roman" w:hAnsi="Times New Roman" w:cs="Times New Roman"/>
          <w:color w:val="000000"/>
          <w:sz w:val="32"/>
          <w:szCs w:val="32"/>
          <w:lang w:eastAsia="ru-RU"/>
        </w:rPr>
        <w:t>п</w:t>
      </w:r>
      <w:proofErr w:type="gramEnd"/>
      <w:r w:rsidRPr="00C935CB">
        <w:rPr>
          <w:rFonts w:ascii="Times New Roman" w:eastAsia="Times New Roman" w:hAnsi="Times New Roman" w:cs="Times New Roman"/>
          <w:color w:val="000000"/>
          <w:sz w:val="32"/>
          <w:szCs w:val="32"/>
          <w:lang w:eastAsia="ru-RU"/>
        </w:rPr>
        <w:t>ідтверджують повернення зазначених засобів та/або документів, надіслати на поштову адресу центрального апарату Комісії.</w:t>
      </w:r>
    </w:p>
    <w:p w:rsidR="00C935CB" w:rsidRPr="00C935CB" w:rsidRDefault="00C935CB" w:rsidP="00C935CB">
      <w:pPr>
        <w:shd w:val="clear" w:color="auto" w:fill="FFFFFF"/>
        <w:spacing w:before="200" w:line="240" w:lineRule="auto"/>
        <w:ind w:left="600" w:right="600"/>
        <w:jc w:val="center"/>
        <w:rPr>
          <w:rFonts w:ascii="Times New Roman" w:eastAsia="Times New Roman" w:hAnsi="Times New Roman" w:cs="Times New Roman"/>
          <w:color w:val="000000"/>
          <w:sz w:val="32"/>
          <w:szCs w:val="32"/>
          <w:lang w:eastAsia="ru-RU"/>
        </w:rPr>
      </w:pPr>
      <w:bookmarkStart w:id="56" w:name="n66"/>
      <w:bookmarkEnd w:id="56"/>
      <w:r w:rsidRPr="00C935CB">
        <w:rPr>
          <w:rFonts w:ascii="Times New Roman" w:eastAsia="Times New Roman" w:hAnsi="Times New Roman" w:cs="Times New Roman"/>
          <w:b/>
          <w:bCs/>
          <w:color w:val="000000"/>
          <w:sz w:val="28"/>
          <w:lang w:eastAsia="ru-RU"/>
        </w:rPr>
        <w:t xml:space="preserve">IV. Порядок </w:t>
      </w:r>
      <w:proofErr w:type="gramStart"/>
      <w:r w:rsidRPr="00C935CB">
        <w:rPr>
          <w:rFonts w:ascii="Times New Roman" w:eastAsia="Times New Roman" w:hAnsi="Times New Roman" w:cs="Times New Roman"/>
          <w:b/>
          <w:bCs/>
          <w:color w:val="000000"/>
          <w:sz w:val="28"/>
          <w:lang w:eastAsia="ru-RU"/>
        </w:rPr>
        <w:t>п</w:t>
      </w:r>
      <w:proofErr w:type="gramEnd"/>
      <w:r w:rsidRPr="00C935CB">
        <w:rPr>
          <w:rFonts w:ascii="Times New Roman" w:eastAsia="Times New Roman" w:hAnsi="Times New Roman" w:cs="Times New Roman"/>
          <w:b/>
          <w:bCs/>
          <w:color w:val="000000"/>
          <w:sz w:val="28"/>
          <w:lang w:eastAsia="ru-RU"/>
        </w:rPr>
        <w:t>ідготовки та подання інформації щодо дотримання показників ліквідності, що обмежують ризики професійної діяльності на фондовому ринку, та нормативів торговця цінними паперами при здійсненні маржинальних операцій</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57" w:name="n260"/>
      <w:bookmarkEnd w:id="57"/>
      <w:r w:rsidRPr="00C935CB">
        <w:rPr>
          <w:rFonts w:ascii="Times New Roman" w:eastAsia="Times New Roman" w:hAnsi="Times New Roman" w:cs="Times New Roman"/>
          <w:color w:val="000000"/>
          <w:sz w:val="32"/>
          <w:szCs w:val="32"/>
          <w:lang w:eastAsia="ru-RU"/>
        </w:rPr>
        <w:t xml:space="preserve">1. </w:t>
      </w:r>
      <w:proofErr w:type="gramStart"/>
      <w:r w:rsidRPr="00C935CB">
        <w:rPr>
          <w:rFonts w:ascii="Times New Roman" w:eastAsia="Times New Roman" w:hAnsi="Times New Roman" w:cs="Times New Roman"/>
          <w:color w:val="000000"/>
          <w:sz w:val="32"/>
          <w:szCs w:val="32"/>
          <w:lang w:eastAsia="ru-RU"/>
        </w:rPr>
        <w:t>Дані </w:t>
      </w:r>
      <w:hyperlink r:id="rId33" w:anchor="n97" w:history="1">
        <w:r w:rsidRPr="00C935CB">
          <w:rPr>
            <w:rFonts w:ascii="Times New Roman" w:eastAsia="Times New Roman" w:hAnsi="Times New Roman" w:cs="Times New Roman"/>
            <w:color w:val="0000FF"/>
            <w:sz w:val="24"/>
            <w:szCs w:val="24"/>
            <w:u w:val="single"/>
            <w:lang w:eastAsia="ru-RU"/>
          </w:rPr>
          <w:t>довідки про нормативи торговця цінними паперами при здійсненні маржинальних операцій (крім банків</w:t>
        </w:r>
      </w:hyperlink>
      <w:r w:rsidRPr="00C935CB">
        <w:rPr>
          <w:rFonts w:ascii="Times New Roman" w:eastAsia="Times New Roman" w:hAnsi="Times New Roman" w:cs="Times New Roman"/>
          <w:color w:val="000000"/>
          <w:sz w:val="32"/>
          <w:szCs w:val="32"/>
          <w:lang w:eastAsia="ru-RU"/>
        </w:rPr>
        <w:t>) (додаток 5 до цього Положення) розраховуються відповідно до вимог нормативно-правового акта Національної комісії з цінних паперів та фондового ринку, що встановлює порядок та умови провадження торговцем цінними паперами брокерської діяльності за договорами на</w:t>
      </w:r>
      <w:proofErr w:type="gramEnd"/>
      <w:r w:rsidRPr="00C935CB">
        <w:rPr>
          <w:rFonts w:ascii="Times New Roman" w:eastAsia="Times New Roman" w:hAnsi="Times New Roman" w:cs="Times New Roman"/>
          <w:color w:val="000000"/>
          <w:sz w:val="32"/>
          <w:szCs w:val="32"/>
          <w:lang w:eastAsia="ru-RU"/>
        </w:rPr>
        <w:t xml:space="preserve"> брокерське обслуговування з подальшим врегулюванням зобов'язань клієнта.</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58" w:name="n261"/>
      <w:bookmarkEnd w:id="58"/>
      <w:r w:rsidRPr="00C935CB">
        <w:rPr>
          <w:rFonts w:ascii="Times New Roman" w:eastAsia="Times New Roman" w:hAnsi="Times New Roman" w:cs="Times New Roman"/>
          <w:color w:val="000000"/>
          <w:sz w:val="32"/>
          <w:szCs w:val="32"/>
          <w:lang w:eastAsia="ru-RU"/>
        </w:rPr>
        <w:t xml:space="preserve">2. </w:t>
      </w:r>
      <w:proofErr w:type="gramStart"/>
      <w:r w:rsidRPr="00C935CB">
        <w:rPr>
          <w:rFonts w:ascii="Times New Roman" w:eastAsia="Times New Roman" w:hAnsi="Times New Roman" w:cs="Times New Roman"/>
          <w:color w:val="000000"/>
          <w:sz w:val="32"/>
          <w:szCs w:val="32"/>
          <w:lang w:eastAsia="ru-RU"/>
        </w:rPr>
        <w:t>Формування </w:t>
      </w:r>
      <w:hyperlink r:id="rId34" w:anchor="n97" w:history="1">
        <w:r w:rsidRPr="00C935CB">
          <w:rPr>
            <w:rFonts w:ascii="Times New Roman" w:eastAsia="Times New Roman" w:hAnsi="Times New Roman" w:cs="Times New Roman"/>
            <w:color w:val="0000FF"/>
            <w:sz w:val="24"/>
            <w:szCs w:val="24"/>
            <w:u w:val="single"/>
            <w:lang w:eastAsia="ru-RU"/>
          </w:rPr>
          <w:t>довідки про нормативи торговця цінними паперами при здійсненні маржинальних операцій (крім банків)</w:t>
        </w:r>
      </w:hyperlink>
      <w:r w:rsidRPr="00C935CB">
        <w:rPr>
          <w:rFonts w:ascii="Times New Roman" w:eastAsia="Times New Roman" w:hAnsi="Times New Roman" w:cs="Times New Roman"/>
          <w:color w:val="000000"/>
          <w:sz w:val="32"/>
          <w:szCs w:val="32"/>
          <w:lang w:eastAsia="ru-RU"/>
        </w:rPr>
        <w:t> (додаток 5 до цього Положення), </w:t>
      </w:r>
      <w:hyperlink r:id="rId35" w:anchor="n101" w:history="1">
        <w:r w:rsidRPr="00C935CB">
          <w:rPr>
            <w:rFonts w:ascii="Times New Roman" w:eastAsia="Times New Roman" w:hAnsi="Times New Roman" w:cs="Times New Roman"/>
            <w:color w:val="0000FF"/>
            <w:sz w:val="24"/>
            <w:szCs w:val="24"/>
            <w:u w:val="single"/>
            <w:lang w:eastAsia="ru-RU"/>
          </w:rPr>
          <w:t>довідки про пруденційні нормативи торговця цінними паперами (крім банків)</w:t>
        </w:r>
      </w:hyperlink>
      <w:r w:rsidRPr="00C935CB">
        <w:rPr>
          <w:rFonts w:ascii="Times New Roman" w:eastAsia="Times New Roman" w:hAnsi="Times New Roman" w:cs="Times New Roman"/>
          <w:color w:val="000000"/>
          <w:sz w:val="32"/>
          <w:szCs w:val="32"/>
          <w:lang w:eastAsia="ru-RU"/>
        </w:rPr>
        <w:t> (додаток 6 до цього Положення), </w:t>
      </w:r>
      <w:hyperlink r:id="rId36" w:anchor="n105" w:history="1">
        <w:r w:rsidRPr="00C935CB">
          <w:rPr>
            <w:rFonts w:ascii="Times New Roman" w:eastAsia="Times New Roman" w:hAnsi="Times New Roman" w:cs="Times New Roman"/>
            <w:color w:val="0000FF"/>
            <w:sz w:val="24"/>
            <w:szCs w:val="24"/>
            <w:u w:val="single"/>
            <w:lang w:eastAsia="ru-RU"/>
          </w:rPr>
          <w:t>довідки про вихідні дані для розрахунку показника розміру регулятивного капіталу</w:t>
        </w:r>
      </w:hyperlink>
      <w:hyperlink r:id="rId37" w:anchor="n105" w:history="1">
        <w:r w:rsidRPr="00C935CB">
          <w:rPr>
            <w:rFonts w:ascii="Times New Roman" w:eastAsia="Times New Roman" w:hAnsi="Times New Roman" w:cs="Times New Roman"/>
            <w:color w:val="0000FF"/>
            <w:sz w:val="24"/>
            <w:szCs w:val="24"/>
            <w:u w:val="single"/>
            <w:lang w:eastAsia="ru-RU"/>
          </w:rPr>
          <w:t> (крім банк</w:t>
        </w:r>
        <w:proofErr w:type="gramEnd"/>
        <w:r w:rsidRPr="00C935CB">
          <w:rPr>
            <w:rFonts w:ascii="Times New Roman" w:eastAsia="Times New Roman" w:hAnsi="Times New Roman" w:cs="Times New Roman"/>
            <w:color w:val="0000FF"/>
            <w:sz w:val="24"/>
            <w:szCs w:val="24"/>
            <w:u w:val="single"/>
            <w:lang w:eastAsia="ru-RU"/>
          </w:rPr>
          <w:t>ів)</w:t>
        </w:r>
      </w:hyperlink>
      <w:r w:rsidRPr="00C935CB">
        <w:rPr>
          <w:rFonts w:ascii="Times New Roman" w:eastAsia="Times New Roman" w:hAnsi="Times New Roman" w:cs="Times New Roman"/>
          <w:color w:val="000000"/>
          <w:sz w:val="32"/>
          <w:szCs w:val="32"/>
          <w:lang w:eastAsia="ru-RU"/>
        </w:rPr>
        <w:t>(додаток 7 до цього Положення), </w:t>
      </w:r>
      <w:hyperlink r:id="rId38" w:anchor="n115" w:history="1">
        <w:r w:rsidRPr="00C935CB">
          <w:rPr>
            <w:rFonts w:ascii="Times New Roman" w:eastAsia="Times New Roman" w:hAnsi="Times New Roman" w:cs="Times New Roman"/>
            <w:color w:val="0000FF"/>
            <w:sz w:val="24"/>
            <w:szCs w:val="24"/>
            <w:u w:val="single"/>
            <w:lang w:eastAsia="ru-RU"/>
          </w:rPr>
          <w:t xml:space="preserve">довідки про вихідні дані для розрахунку нормативу адекватності регулятивного капіталу, нормативу адекватності капіталу першого </w:t>
        </w:r>
        <w:proofErr w:type="gramStart"/>
        <w:r w:rsidRPr="00C935CB">
          <w:rPr>
            <w:rFonts w:ascii="Times New Roman" w:eastAsia="Times New Roman" w:hAnsi="Times New Roman" w:cs="Times New Roman"/>
            <w:color w:val="0000FF"/>
            <w:sz w:val="24"/>
            <w:szCs w:val="24"/>
            <w:u w:val="single"/>
            <w:lang w:eastAsia="ru-RU"/>
          </w:rPr>
          <w:t>р</w:t>
        </w:r>
        <w:proofErr w:type="gramEnd"/>
        <w:r w:rsidRPr="00C935CB">
          <w:rPr>
            <w:rFonts w:ascii="Times New Roman" w:eastAsia="Times New Roman" w:hAnsi="Times New Roman" w:cs="Times New Roman"/>
            <w:color w:val="0000FF"/>
            <w:sz w:val="24"/>
            <w:szCs w:val="24"/>
            <w:u w:val="single"/>
            <w:lang w:eastAsia="ru-RU"/>
          </w:rPr>
          <w:t>івня, коефіцієнта фінансового левериджу та коефіцієнта абсолютної ліквідності</w:t>
        </w:r>
      </w:hyperlink>
      <w:r w:rsidRPr="00C935CB">
        <w:rPr>
          <w:rFonts w:ascii="Times New Roman" w:eastAsia="Times New Roman" w:hAnsi="Times New Roman" w:cs="Times New Roman"/>
          <w:color w:val="000000"/>
          <w:sz w:val="32"/>
          <w:szCs w:val="32"/>
          <w:lang w:eastAsia="ru-RU"/>
        </w:rPr>
        <w:t> (крім банків) (додаток 8 до цього Положення), </w:t>
      </w:r>
      <w:hyperlink r:id="rId39" w:anchor="n118" w:history="1">
        <w:r w:rsidRPr="00C935CB">
          <w:rPr>
            <w:rFonts w:ascii="Times New Roman" w:eastAsia="Times New Roman" w:hAnsi="Times New Roman" w:cs="Times New Roman"/>
            <w:color w:val="0000FF"/>
            <w:sz w:val="24"/>
            <w:szCs w:val="24"/>
            <w:u w:val="single"/>
            <w:lang w:eastAsia="ru-RU"/>
          </w:rPr>
          <w:t>довідки про вихідні дані для розрахунку суми активів, зважених за ступенем ризику</w:t>
        </w:r>
      </w:hyperlink>
      <w:r w:rsidRPr="00C935CB">
        <w:rPr>
          <w:rFonts w:ascii="Times New Roman" w:eastAsia="Times New Roman" w:hAnsi="Times New Roman" w:cs="Times New Roman"/>
          <w:color w:val="000000"/>
          <w:sz w:val="32"/>
          <w:szCs w:val="32"/>
          <w:lang w:eastAsia="ru-RU"/>
        </w:rPr>
        <w:t> (крім банків) (додаток 9 до цього Положення) здійснюється на кожний робочий день.</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59" w:name="n290"/>
      <w:bookmarkEnd w:id="59"/>
      <w:r w:rsidRPr="00C935CB">
        <w:rPr>
          <w:rFonts w:ascii="Times New Roman" w:eastAsia="Times New Roman" w:hAnsi="Times New Roman" w:cs="Times New Roman"/>
          <w:i/>
          <w:iCs/>
          <w:color w:val="000000"/>
          <w:sz w:val="24"/>
          <w:szCs w:val="24"/>
          <w:lang w:eastAsia="ru-RU"/>
        </w:rPr>
        <w:t xml:space="preserve">{Абзац перший пункту 2 розділу ІV із змінами, внесеними згідно з </w:t>
      </w:r>
      <w:proofErr w:type="gramStart"/>
      <w:r w:rsidRPr="00C935CB">
        <w:rPr>
          <w:rFonts w:ascii="Times New Roman" w:eastAsia="Times New Roman" w:hAnsi="Times New Roman" w:cs="Times New Roman"/>
          <w:i/>
          <w:iCs/>
          <w:color w:val="000000"/>
          <w:sz w:val="24"/>
          <w:szCs w:val="24"/>
          <w:lang w:eastAsia="ru-RU"/>
        </w:rPr>
        <w:t>Р</w:t>
      </w:r>
      <w:proofErr w:type="gramEnd"/>
      <w:r w:rsidRPr="00C935CB">
        <w:rPr>
          <w:rFonts w:ascii="Times New Roman" w:eastAsia="Times New Roman" w:hAnsi="Times New Roman" w:cs="Times New Roman"/>
          <w:i/>
          <w:iCs/>
          <w:color w:val="000000"/>
          <w:sz w:val="24"/>
          <w:szCs w:val="24"/>
          <w:lang w:eastAsia="ru-RU"/>
        </w:rPr>
        <w:t>ішенням Національної комісія з цінних паперів та фондового ринку </w:t>
      </w:r>
      <w:hyperlink r:id="rId40" w:anchor="n7" w:tgtFrame="_blank" w:history="1">
        <w:r w:rsidRPr="00C935CB">
          <w:rPr>
            <w:rFonts w:ascii="Times New Roman" w:eastAsia="Times New Roman" w:hAnsi="Times New Roman" w:cs="Times New Roman"/>
            <w:i/>
            <w:iCs/>
            <w:color w:val="0000FF"/>
            <w:sz w:val="24"/>
            <w:szCs w:val="24"/>
            <w:u w:val="single"/>
            <w:lang w:eastAsia="ru-RU"/>
          </w:rPr>
          <w:t>№ 1 від 10.01.2017</w:t>
        </w:r>
      </w:hyperlink>
      <w:r w:rsidRPr="00C935CB">
        <w:rPr>
          <w:rFonts w:ascii="Times New Roman" w:eastAsia="Times New Roman" w:hAnsi="Times New Roman" w:cs="Times New Roman"/>
          <w:i/>
          <w:iCs/>
          <w:color w:val="000000"/>
          <w:sz w:val="24"/>
          <w:szCs w:val="24"/>
          <w:lang w:eastAsia="ru-RU"/>
        </w:rPr>
        <w:t>}</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60" w:name="n262"/>
      <w:bookmarkEnd w:id="60"/>
      <w:r w:rsidRPr="00C935CB">
        <w:rPr>
          <w:rFonts w:ascii="Times New Roman" w:eastAsia="Times New Roman" w:hAnsi="Times New Roman" w:cs="Times New Roman"/>
          <w:color w:val="000000"/>
          <w:sz w:val="32"/>
          <w:szCs w:val="32"/>
          <w:lang w:eastAsia="ru-RU"/>
        </w:rPr>
        <w:t>Формування </w:t>
      </w:r>
      <w:hyperlink r:id="rId41" w:anchor="n194" w:history="1">
        <w:r w:rsidRPr="00C935CB">
          <w:rPr>
            <w:rFonts w:ascii="Times New Roman" w:eastAsia="Times New Roman" w:hAnsi="Times New Roman" w:cs="Times New Roman"/>
            <w:color w:val="0000FF"/>
            <w:sz w:val="24"/>
            <w:szCs w:val="24"/>
            <w:u w:val="single"/>
            <w:lang w:eastAsia="ru-RU"/>
          </w:rPr>
          <w:t>довідки про розрахунок коефіцієнта покриття операційного ризику</w:t>
        </w:r>
      </w:hyperlink>
      <w:r w:rsidRPr="00C935CB">
        <w:rPr>
          <w:rFonts w:ascii="Times New Roman" w:eastAsia="Times New Roman" w:hAnsi="Times New Roman" w:cs="Times New Roman"/>
          <w:color w:val="000000"/>
          <w:sz w:val="32"/>
          <w:szCs w:val="32"/>
          <w:lang w:eastAsia="ru-RU"/>
        </w:rPr>
        <w:t xml:space="preserve"> (крім банків) (додаток 10 до цього Положення) здійснюється торговцем цінними паперами, що поєднує діяльність з депозитарною діяльністю депозитарної установи, станом </w:t>
      </w:r>
      <w:proofErr w:type="gramStart"/>
      <w:r w:rsidRPr="00C935CB">
        <w:rPr>
          <w:rFonts w:ascii="Times New Roman" w:eastAsia="Times New Roman" w:hAnsi="Times New Roman" w:cs="Times New Roman"/>
          <w:color w:val="000000"/>
          <w:sz w:val="32"/>
          <w:szCs w:val="32"/>
          <w:lang w:eastAsia="ru-RU"/>
        </w:rPr>
        <w:t>на</w:t>
      </w:r>
      <w:proofErr w:type="gramEnd"/>
      <w:r w:rsidRPr="00C935CB">
        <w:rPr>
          <w:rFonts w:ascii="Times New Roman" w:eastAsia="Times New Roman" w:hAnsi="Times New Roman" w:cs="Times New Roman"/>
          <w:color w:val="000000"/>
          <w:sz w:val="32"/>
          <w:szCs w:val="32"/>
          <w:lang w:eastAsia="ru-RU"/>
        </w:rPr>
        <w:t xml:space="preserve"> кінець останнього дня кожного місяця.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61" w:name="n263"/>
      <w:bookmarkEnd w:id="61"/>
      <w:r w:rsidRPr="00C935CB">
        <w:rPr>
          <w:rFonts w:ascii="Times New Roman" w:eastAsia="Times New Roman" w:hAnsi="Times New Roman" w:cs="Times New Roman"/>
          <w:color w:val="000000"/>
          <w:sz w:val="32"/>
          <w:szCs w:val="32"/>
          <w:lang w:eastAsia="ru-RU"/>
        </w:rPr>
        <w:t xml:space="preserve">3. </w:t>
      </w:r>
      <w:proofErr w:type="gramStart"/>
      <w:r w:rsidRPr="00C935CB">
        <w:rPr>
          <w:rFonts w:ascii="Times New Roman" w:eastAsia="Times New Roman" w:hAnsi="Times New Roman" w:cs="Times New Roman"/>
          <w:color w:val="000000"/>
          <w:sz w:val="32"/>
          <w:szCs w:val="32"/>
          <w:lang w:eastAsia="ru-RU"/>
        </w:rPr>
        <w:t>Дані довідки про пруденційні нормативи торговця цінними паперами (крім банків) (додаток 6 до цього Положення), довідки про вихідні дані для розрахунку показника розміру регулятивного капіталу (крім банків) (додаток 7 до цього Положення), довідки про вихідні дані для розрахунку нормативу адекватності регулятивного капіталу, нормативу адекватності капіталу</w:t>
      </w:r>
      <w:proofErr w:type="gramEnd"/>
      <w:r w:rsidRPr="00C935CB">
        <w:rPr>
          <w:rFonts w:ascii="Times New Roman" w:eastAsia="Times New Roman" w:hAnsi="Times New Roman" w:cs="Times New Roman"/>
          <w:color w:val="000000"/>
          <w:sz w:val="32"/>
          <w:szCs w:val="32"/>
          <w:lang w:eastAsia="ru-RU"/>
        </w:rPr>
        <w:t xml:space="preserve"> першого </w:t>
      </w:r>
      <w:proofErr w:type="gramStart"/>
      <w:r w:rsidRPr="00C935CB">
        <w:rPr>
          <w:rFonts w:ascii="Times New Roman" w:eastAsia="Times New Roman" w:hAnsi="Times New Roman" w:cs="Times New Roman"/>
          <w:color w:val="000000"/>
          <w:sz w:val="32"/>
          <w:szCs w:val="32"/>
          <w:lang w:eastAsia="ru-RU"/>
        </w:rPr>
        <w:t>р</w:t>
      </w:r>
      <w:proofErr w:type="gramEnd"/>
      <w:r w:rsidRPr="00C935CB">
        <w:rPr>
          <w:rFonts w:ascii="Times New Roman" w:eastAsia="Times New Roman" w:hAnsi="Times New Roman" w:cs="Times New Roman"/>
          <w:color w:val="000000"/>
          <w:sz w:val="32"/>
          <w:szCs w:val="32"/>
          <w:lang w:eastAsia="ru-RU"/>
        </w:rPr>
        <w:t xml:space="preserve">івня, коефіцієнта фінансового левериджу та коефіцієнта абсолютної </w:t>
      </w:r>
      <w:r w:rsidRPr="00C935CB">
        <w:rPr>
          <w:rFonts w:ascii="Times New Roman" w:eastAsia="Times New Roman" w:hAnsi="Times New Roman" w:cs="Times New Roman"/>
          <w:color w:val="000000"/>
          <w:sz w:val="32"/>
          <w:szCs w:val="32"/>
          <w:lang w:eastAsia="ru-RU"/>
        </w:rPr>
        <w:lastRenderedPageBreak/>
        <w:t xml:space="preserve">ліквідності (крім банків) (додаток 8 до цього Положення), довідки про вихідні дані для розрахунку суми активів, зважених за ступенем ризику (крім банків) (додаток 9 до цього Положення), довідки про розрахунок коефіцієнта покриття операційного </w:t>
      </w:r>
      <w:proofErr w:type="gramStart"/>
      <w:r w:rsidRPr="00C935CB">
        <w:rPr>
          <w:rFonts w:ascii="Times New Roman" w:eastAsia="Times New Roman" w:hAnsi="Times New Roman" w:cs="Times New Roman"/>
          <w:color w:val="000000"/>
          <w:sz w:val="32"/>
          <w:szCs w:val="32"/>
          <w:lang w:eastAsia="ru-RU"/>
        </w:rPr>
        <w:t>ризику (крім банків) (додаток 10 до цього Положення) розраховуються торговцями цінними паперами (крім банків) відповідно до вимог нормативно-правового акта Національної комісії з цінних паперів та фондового ринку, що встановлює вимоги до пруденційних нормативів професійної діяльності на фондовому ринку.</w:t>
      </w:r>
      <w:proofErr w:type="gramEnd"/>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62" w:name="n291"/>
      <w:bookmarkEnd w:id="62"/>
      <w:r w:rsidRPr="00C935CB">
        <w:rPr>
          <w:rFonts w:ascii="Times New Roman" w:eastAsia="Times New Roman" w:hAnsi="Times New Roman" w:cs="Times New Roman"/>
          <w:i/>
          <w:iCs/>
          <w:color w:val="000000"/>
          <w:sz w:val="24"/>
          <w:szCs w:val="24"/>
          <w:lang w:eastAsia="ru-RU"/>
        </w:rPr>
        <w:t xml:space="preserve">{Пункт 3 розділу ІV із змінами, внесеними згідно з </w:t>
      </w:r>
      <w:proofErr w:type="gramStart"/>
      <w:r w:rsidRPr="00C935CB">
        <w:rPr>
          <w:rFonts w:ascii="Times New Roman" w:eastAsia="Times New Roman" w:hAnsi="Times New Roman" w:cs="Times New Roman"/>
          <w:i/>
          <w:iCs/>
          <w:color w:val="000000"/>
          <w:sz w:val="24"/>
          <w:szCs w:val="24"/>
          <w:lang w:eastAsia="ru-RU"/>
        </w:rPr>
        <w:t>Р</w:t>
      </w:r>
      <w:proofErr w:type="gramEnd"/>
      <w:r w:rsidRPr="00C935CB">
        <w:rPr>
          <w:rFonts w:ascii="Times New Roman" w:eastAsia="Times New Roman" w:hAnsi="Times New Roman" w:cs="Times New Roman"/>
          <w:i/>
          <w:iCs/>
          <w:color w:val="000000"/>
          <w:sz w:val="24"/>
          <w:szCs w:val="24"/>
          <w:lang w:eastAsia="ru-RU"/>
        </w:rPr>
        <w:t>ішенням Національної комісія з цінних паперів та фондового ринку </w:t>
      </w:r>
      <w:hyperlink r:id="rId42" w:anchor="n8" w:tgtFrame="_blank" w:history="1">
        <w:r w:rsidRPr="00C935CB">
          <w:rPr>
            <w:rFonts w:ascii="Times New Roman" w:eastAsia="Times New Roman" w:hAnsi="Times New Roman" w:cs="Times New Roman"/>
            <w:i/>
            <w:iCs/>
            <w:color w:val="0000FF"/>
            <w:sz w:val="24"/>
            <w:szCs w:val="24"/>
            <w:u w:val="single"/>
            <w:lang w:eastAsia="ru-RU"/>
          </w:rPr>
          <w:t>№ 1 від 10.01.2017</w:t>
        </w:r>
      </w:hyperlink>
      <w:r w:rsidRPr="00C935CB">
        <w:rPr>
          <w:rFonts w:ascii="Times New Roman" w:eastAsia="Times New Roman" w:hAnsi="Times New Roman" w:cs="Times New Roman"/>
          <w:i/>
          <w:iCs/>
          <w:color w:val="000000"/>
          <w:sz w:val="24"/>
          <w:szCs w:val="24"/>
          <w:lang w:eastAsia="ru-RU"/>
        </w:rPr>
        <w:t>}</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63" w:name="n264"/>
      <w:bookmarkEnd w:id="63"/>
      <w:r w:rsidRPr="00C935CB">
        <w:rPr>
          <w:rFonts w:ascii="Times New Roman" w:eastAsia="Times New Roman" w:hAnsi="Times New Roman" w:cs="Times New Roman"/>
          <w:color w:val="000000"/>
          <w:sz w:val="32"/>
          <w:szCs w:val="32"/>
          <w:lang w:eastAsia="ru-RU"/>
        </w:rPr>
        <w:t>4. Державний контроль за дотриманням торговцями цінними паперами вимог цього Положення здійснює Комі</w:t>
      </w:r>
      <w:proofErr w:type="gramStart"/>
      <w:r w:rsidRPr="00C935CB">
        <w:rPr>
          <w:rFonts w:ascii="Times New Roman" w:eastAsia="Times New Roman" w:hAnsi="Times New Roman" w:cs="Times New Roman"/>
          <w:color w:val="000000"/>
          <w:sz w:val="32"/>
          <w:szCs w:val="32"/>
          <w:lang w:eastAsia="ru-RU"/>
        </w:rPr>
        <w:t>с</w:t>
      </w:r>
      <w:proofErr w:type="gramEnd"/>
      <w:r w:rsidRPr="00C935CB">
        <w:rPr>
          <w:rFonts w:ascii="Times New Roman" w:eastAsia="Times New Roman" w:hAnsi="Times New Roman" w:cs="Times New Roman"/>
          <w:color w:val="000000"/>
          <w:sz w:val="32"/>
          <w:szCs w:val="32"/>
          <w:lang w:eastAsia="ru-RU"/>
        </w:rPr>
        <w:t>ія.</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eastAsia="ru-RU"/>
        </w:rPr>
      </w:pPr>
      <w:bookmarkStart w:id="64" w:name="n265"/>
      <w:bookmarkEnd w:id="64"/>
      <w:r w:rsidRPr="00C935CB">
        <w:rPr>
          <w:rFonts w:ascii="Times New Roman" w:eastAsia="Times New Roman" w:hAnsi="Times New Roman" w:cs="Times New Roman"/>
          <w:i/>
          <w:iCs/>
          <w:color w:val="000000"/>
          <w:sz w:val="24"/>
          <w:szCs w:val="24"/>
          <w:lang w:eastAsia="ru-RU"/>
        </w:rPr>
        <w:t>{Розділ IV в редакції </w:t>
      </w:r>
      <w:proofErr w:type="gramStart"/>
      <w:r w:rsidRPr="00C935CB">
        <w:rPr>
          <w:rFonts w:ascii="Times New Roman" w:eastAsia="Times New Roman" w:hAnsi="Times New Roman" w:cs="Times New Roman"/>
          <w:i/>
          <w:iCs/>
          <w:color w:val="000000"/>
          <w:sz w:val="24"/>
          <w:szCs w:val="24"/>
          <w:lang w:eastAsia="ru-RU"/>
        </w:rPr>
        <w:t>Р</w:t>
      </w:r>
      <w:proofErr w:type="gramEnd"/>
      <w:r w:rsidRPr="00C935CB">
        <w:rPr>
          <w:rFonts w:ascii="Times New Roman" w:eastAsia="Times New Roman" w:hAnsi="Times New Roman" w:cs="Times New Roman"/>
          <w:i/>
          <w:iCs/>
          <w:color w:val="000000"/>
          <w:sz w:val="24"/>
          <w:szCs w:val="24"/>
          <w:lang w:eastAsia="ru-RU"/>
        </w:rPr>
        <w:t>ішення Національної комісії з цінних паперів та фондового ринку </w:t>
      </w:r>
      <w:hyperlink r:id="rId43" w:anchor="n31" w:tgtFrame="_blank" w:history="1">
        <w:r w:rsidRPr="00C935CB">
          <w:rPr>
            <w:rFonts w:ascii="Times New Roman" w:eastAsia="Times New Roman" w:hAnsi="Times New Roman" w:cs="Times New Roman"/>
            <w:i/>
            <w:iCs/>
            <w:color w:val="0000FF"/>
            <w:sz w:val="24"/>
            <w:szCs w:val="24"/>
            <w:u w:val="single"/>
            <w:lang w:eastAsia="ru-RU"/>
          </w:rPr>
          <w:t>№ 2002 від 01.12.2015</w:t>
        </w:r>
      </w:hyperlink>
      <w:r w:rsidRPr="00C935CB">
        <w:rPr>
          <w:rFonts w:ascii="Times New Roman" w:eastAsia="Times New Roman" w:hAnsi="Times New Roman" w:cs="Times New Roman"/>
          <w:i/>
          <w:iCs/>
          <w:color w:val="000000"/>
          <w:sz w:val="24"/>
          <w:szCs w:val="24"/>
          <w:lang w:eastAsia="ru-RU"/>
        </w:rPr>
        <w:t>}</w:t>
      </w:r>
    </w:p>
    <w:p w:rsidR="00C935CB" w:rsidRPr="00C935CB" w:rsidRDefault="00C935CB" w:rsidP="00C935CB">
      <w:pPr>
        <w:shd w:val="clear" w:color="auto" w:fill="FFFFFF"/>
        <w:spacing w:line="240" w:lineRule="auto"/>
        <w:ind w:firstLine="600"/>
        <w:jc w:val="both"/>
        <w:rPr>
          <w:rFonts w:ascii="Times New Roman" w:eastAsia="Times New Roman" w:hAnsi="Times New Roman" w:cs="Times New Roman"/>
          <w:color w:val="000000"/>
          <w:sz w:val="32"/>
          <w:szCs w:val="32"/>
          <w:lang w:val="uk-UA" w:eastAsia="ru-RU"/>
        </w:rPr>
      </w:pPr>
      <w:bookmarkStart w:id="65" w:name="n70"/>
      <w:bookmarkEnd w:id="65"/>
      <w:r w:rsidRPr="00C935CB">
        <w:rPr>
          <w:rFonts w:ascii="Times New Roman" w:eastAsia="Times New Roman" w:hAnsi="Times New Roman" w:cs="Times New Roman"/>
          <w:i/>
          <w:iCs/>
          <w:color w:val="000000"/>
          <w:sz w:val="24"/>
          <w:szCs w:val="24"/>
          <w:lang w:eastAsia="ru-RU"/>
        </w:rPr>
        <w:t xml:space="preserve">{Розділ V виключено на </w:t>
      </w:r>
      <w:proofErr w:type="gramStart"/>
      <w:r w:rsidRPr="00C935CB">
        <w:rPr>
          <w:rFonts w:ascii="Times New Roman" w:eastAsia="Times New Roman" w:hAnsi="Times New Roman" w:cs="Times New Roman"/>
          <w:i/>
          <w:iCs/>
          <w:color w:val="000000"/>
          <w:sz w:val="24"/>
          <w:szCs w:val="24"/>
          <w:lang w:eastAsia="ru-RU"/>
        </w:rPr>
        <w:t>п</w:t>
      </w:r>
      <w:proofErr w:type="gramEnd"/>
      <w:r w:rsidRPr="00C935CB">
        <w:rPr>
          <w:rFonts w:ascii="Times New Roman" w:eastAsia="Times New Roman" w:hAnsi="Times New Roman" w:cs="Times New Roman"/>
          <w:i/>
          <w:iCs/>
          <w:color w:val="000000"/>
          <w:sz w:val="24"/>
          <w:szCs w:val="24"/>
          <w:lang w:eastAsia="ru-RU"/>
        </w:rPr>
        <w:t>ідставі Рішення Національної комісії з цінних паперів та фондового ринку </w:t>
      </w:r>
      <w:hyperlink r:id="rId44" w:anchor="n38" w:tgtFrame="_blank" w:history="1">
        <w:r w:rsidRPr="00C935CB">
          <w:rPr>
            <w:rFonts w:ascii="Times New Roman" w:eastAsia="Times New Roman" w:hAnsi="Times New Roman" w:cs="Times New Roman"/>
            <w:i/>
            <w:iCs/>
            <w:color w:val="0000FF"/>
            <w:sz w:val="24"/>
            <w:szCs w:val="24"/>
            <w:u w:val="single"/>
            <w:lang w:eastAsia="ru-RU"/>
          </w:rPr>
          <w:t>№ 2002  від 01.12.2015</w:t>
        </w:r>
      </w:hyperlink>
      <w:r w:rsidRPr="00C935CB">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tblPr>
      <w:tblGrid>
        <w:gridCol w:w="4051"/>
        <w:gridCol w:w="5594"/>
      </w:tblGrid>
      <w:tr w:rsidR="00C935CB" w:rsidRPr="00C935CB" w:rsidTr="00C935CB">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C935CB" w:rsidRPr="00C935CB" w:rsidRDefault="00C935CB" w:rsidP="00C935CB">
            <w:pPr>
              <w:spacing w:before="400" w:line="240" w:lineRule="auto"/>
              <w:jc w:val="center"/>
              <w:rPr>
                <w:rFonts w:ascii="Times New Roman" w:eastAsia="Times New Roman" w:hAnsi="Times New Roman" w:cs="Times New Roman"/>
                <w:sz w:val="24"/>
                <w:szCs w:val="24"/>
                <w:lang w:eastAsia="ru-RU"/>
              </w:rPr>
            </w:pPr>
            <w:bookmarkStart w:id="66" w:name="n79"/>
            <w:bookmarkEnd w:id="66"/>
            <w:r w:rsidRPr="00C935CB">
              <w:rPr>
                <w:rFonts w:ascii="Times New Roman" w:eastAsia="Times New Roman" w:hAnsi="Times New Roman" w:cs="Times New Roman"/>
                <w:b/>
                <w:bCs/>
                <w:color w:val="000000"/>
                <w:sz w:val="24"/>
                <w:szCs w:val="24"/>
                <w:lang w:eastAsia="ru-RU"/>
              </w:rPr>
              <w:t>Директор департаменту</w:t>
            </w:r>
            <w:r w:rsidRPr="00C935CB">
              <w:rPr>
                <w:rFonts w:ascii="Times New Roman" w:eastAsia="Times New Roman" w:hAnsi="Times New Roman" w:cs="Times New Roman"/>
                <w:sz w:val="24"/>
                <w:szCs w:val="24"/>
                <w:lang w:eastAsia="ru-RU"/>
              </w:rPr>
              <w:t> </w:t>
            </w:r>
            <w:r w:rsidRPr="00C935CB">
              <w:rPr>
                <w:rFonts w:ascii="Times New Roman" w:eastAsia="Times New Roman" w:hAnsi="Times New Roman" w:cs="Times New Roman"/>
                <w:sz w:val="24"/>
                <w:szCs w:val="24"/>
                <w:lang w:eastAsia="ru-RU"/>
              </w:rPr>
              <w:br/>
            </w:r>
            <w:r w:rsidRPr="00C935CB">
              <w:rPr>
                <w:rFonts w:ascii="Times New Roman" w:eastAsia="Times New Roman" w:hAnsi="Times New Roman" w:cs="Times New Roman"/>
                <w:b/>
                <w:bCs/>
                <w:color w:val="000000"/>
                <w:sz w:val="24"/>
                <w:szCs w:val="24"/>
                <w:lang w:eastAsia="ru-RU"/>
              </w:rPr>
              <w:t>регулювання діяльності</w:t>
            </w:r>
            <w:r w:rsidRPr="00C935CB">
              <w:rPr>
                <w:rFonts w:ascii="Times New Roman" w:eastAsia="Times New Roman" w:hAnsi="Times New Roman" w:cs="Times New Roman"/>
                <w:sz w:val="24"/>
                <w:szCs w:val="24"/>
                <w:lang w:eastAsia="ru-RU"/>
              </w:rPr>
              <w:t> </w:t>
            </w:r>
            <w:r w:rsidRPr="00C935CB">
              <w:rPr>
                <w:rFonts w:ascii="Times New Roman" w:eastAsia="Times New Roman" w:hAnsi="Times New Roman" w:cs="Times New Roman"/>
                <w:sz w:val="24"/>
                <w:szCs w:val="24"/>
                <w:lang w:eastAsia="ru-RU"/>
              </w:rPr>
              <w:br/>
            </w:r>
            <w:r w:rsidRPr="00C935CB">
              <w:rPr>
                <w:rFonts w:ascii="Times New Roman" w:eastAsia="Times New Roman" w:hAnsi="Times New Roman" w:cs="Times New Roman"/>
                <w:b/>
                <w:bCs/>
                <w:color w:val="000000"/>
                <w:sz w:val="24"/>
                <w:szCs w:val="24"/>
                <w:lang w:eastAsia="ru-RU"/>
              </w:rPr>
              <w:t>торговців цінними паперами</w:t>
            </w:r>
            <w:r w:rsidRPr="00C935CB">
              <w:rPr>
                <w:rFonts w:ascii="Times New Roman" w:eastAsia="Times New Roman" w:hAnsi="Times New Roman" w:cs="Times New Roman"/>
                <w:sz w:val="24"/>
                <w:szCs w:val="24"/>
                <w:lang w:eastAsia="ru-RU"/>
              </w:rPr>
              <w:t> </w:t>
            </w:r>
            <w:r w:rsidRPr="00C935CB">
              <w:rPr>
                <w:rFonts w:ascii="Times New Roman" w:eastAsia="Times New Roman" w:hAnsi="Times New Roman" w:cs="Times New Roman"/>
                <w:sz w:val="24"/>
                <w:szCs w:val="24"/>
                <w:lang w:eastAsia="ru-RU"/>
              </w:rPr>
              <w:br/>
            </w:r>
            <w:r w:rsidRPr="00C935CB">
              <w:rPr>
                <w:rFonts w:ascii="Times New Roman" w:eastAsia="Times New Roman" w:hAnsi="Times New Roman" w:cs="Times New Roman"/>
                <w:b/>
                <w:bCs/>
                <w:color w:val="000000"/>
                <w:sz w:val="24"/>
                <w:szCs w:val="24"/>
                <w:lang w:eastAsia="ru-RU"/>
              </w:rPr>
              <w:t>та фондових бірж</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C935CB" w:rsidRPr="00C935CB" w:rsidRDefault="00C935CB" w:rsidP="00C935CB">
            <w:pPr>
              <w:spacing w:before="400" w:after="0" w:line="240" w:lineRule="auto"/>
              <w:jc w:val="right"/>
              <w:rPr>
                <w:rFonts w:ascii="Times New Roman" w:eastAsia="Times New Roman" w:hAnsi="Times New Roman" w:cs="Times New Roman"/>
                <w:sz w:val="24"/>
                <w:szCs w:val="24"/>
                <w:lang w:eastAsia="ru-RU"/>
              </w:rPr>
            </w:pPr>
            <w:r w:rsidRPr="00C935CB">
              <w:rPr>
                <w:rFonts w:ascii="Times New Roman" w:eastAsia="Times New Roman" w:hAnsi="Times New Roman" w:cs="Times New Roman"/>
                <w:sz w:val="24"/>
                <w:szCs w:val="24"/>
                <w:lang w:eastAsia="ru-RU"/>
              </w:rPr>
              <w:br/>
            </w:r>
            <w:r w:rsidRPr="00C935CB">
              <w:rPr>
                <w:rFonts w:ascii="Times New Roman" w:eastAsia="Times New Roman" w:hAnsi="Times New Roman" w:cs="Times New Roman"/>
                <w:sz w:val="24"/>
                <w:szCs w:val="24"/>
                <w:lang w:eastAsia="ru-RU"/>
              </w:rPr>
              <w:br/>
            </w:r>
            <w:r w:rsidRPr="00C935CB">
              <w:rPr>
                <w:rFonts w:ascii="Times New Roman" w:eastAsia="Times New Roman" w:hAnsi="Times New Roman" w:cs="Times New Roman"/>
                <w:sz w:val="24"/>
                <w:szCs w:val="24"/>
                <w:lang w:eastAsia="ru-RU"/>
              </w:rPr>
              <w:br/>
            </w:r>
            <w:r w:rsidRPr="00C935CB">
              <w:rPr>
                <w:rFonts w:ascii="Times New Roman" w:eastAsia="Times New Roman" w:hAnsi="Times New Roman" w:cs="Times New Roman"/>
                <w:b/>
                <w:bCs/>
                <w:color w:val="000000"/>
                <w:sz w:val="24"/>
                <w:szCs w:val="24"/>
                <w:lang w:eastAsia="ru-RU"/>
              </w:rPr>
              <w:t>О. Науменко</w:t>
            </w:r>
          </w:p>
        </w:tc>
      </w:tr>
    </w:tbl>
    <w:p w:rsidR="00707FEC" w:rsidRDefault="00707FEC"/>
    <w:sectPr w:rsidR="00707FEC" w:rsidSect="00707FE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grammar="clean"/>
  <w:defaultTabStop w:val="708"/>
  <w:characterSpacingControl w:val="doNotCompress"/>
  <w:compat/>
  <w:rsids>
    <w:rsidRoot w:val="00C935CB"/>
    <w:rsid w:val="00707FEC"/>
    <w:rsid w:val="00C341DD"/>
    <w:rsid w:val="00C93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C935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C93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935CB"/>
  </w:style>
  <w:style w:type="character" w:customStyle="1" w:styleId="rvts23">
    <w:name w:val="rvts23"/>
    <w:basedOn w:val="a0"/>
    <w:rsid w:val="00C935CB"/>
  </w:style>
  <w:style w:type="paragraph" w:customStyle="1" w:styleId="rvps7">
    <w:name w:val="rvps7"/>
    <w:basedOn w:val="a"/>
    <w:rsid w:val="00C93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C935CB"/>
  </w:style>
  <w:style w:type="paragraph" w:customStyle="1" w:styleId="rvps14">
    <w:name w:val="rvps14"/>
    <w:basedOn w:val="a"/>
    <w:rsid w:val="00C935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C935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C93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935CB"/>
    <w:rPr>
      <w:color w:val="0000FF"/>
      <w:u w:val="single"/>
    </w:rPr>
  </w:style>
  <w:style w:type="paragraph" w:customStyle="1" w:styleId="rvps2">
    <w:name w:val="rvps2"/>
    <w:basedOn w:val="a"/>
    <w:rsid w:val="00C93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C935CB"/>
  </w:style>
  <w:style w:type="character" w:customStyle="1" w:styleId="rvts46">
    <w:name w:val="rvts46"/>
    <w:basedOn w:val="a0"/>
    <w:rsid w:val="00C935CB"/>
  </w:style>
  <w:style w:type="character" w:customStyle="1" w:styleId="rvts44">
    <w:name w:val="rvts44"/>
    <w:basedOn w:val="a0"/>
    <w:rsid w:val="00C935CB"/>
  </w:style>
  <w:style w:type="paragraph" w:customStyle="1" w:styleId="rvps15">
    <w:name w:val="rvps15"/>
    <w:basedOn w:val="a"/>
    <w:rsid w:val="00C935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C935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C93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C935CB"/>
  </w:style>
  <w:style w:type="paragraph" w:styleId="a4">
    <w:name w:val="Balloon Text"/>
    <w:basedOn w:val="a"/>
    <w:link w:val="a5"/>
    <w:uiPriority w:val="99"/>
    <w:semiHidden/>
    <w:unhideWhenUsed/>
    <w:rsid w:val="00C935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35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691597">
      <w:bodyDiv w:val="1"/>
      <w:marLeft w:val="0"/>
      <w:marRight w:val="0"/>
      <w:marTop w:val="0"/>
      <w:marBottom w:val="0"/>
      <w:divBdr>
        <w:top w:val="none" w:sz="0" w:space="0" w:color="auto"/>
        <w:left w:val="none" w:sz="0" w:space="0" w:color="auto"/>
        <w:bottom w:val="none" w:sz="0" w:space="0" w:color="auto"/>
        <w:right w:val="none" w:sz="0" w:space="0" w:color="auto"/>
      </w:divBdr>
      <w:divsChild>
        <w:div w:id="395595420">
          <w:marLeft w:val="0"/>
          <w:marRight w:val="0"/>
          <w:marTop w:val="200"/>
          <w:marBottom w:val="200"/>
          <w:divBdr>
            <w:top w:val="none" w:sz="0" w:space="0" w:color="auto"/>
            <w:left w:val="none" w:sz="0" w:space="0" w:color="auto"/>
            <w:bottom w:val="none" w:sz="0" w:space="0" w:color="auto"/>
            <w:right w:val="none" w:sz="0" w:space="0" w:color="auto"/>
          </w:divBdr>
        </w:div>
        <w:div w:id="406683586">
          <w:marLeft w:val="0"/>
          <w:marRight w:val="0"/>
          <w:marTop w:val="0"/>
          <w:marBottom w:val="200"/>
          <w:divBdr>
            <w:top w:val="none" w:sz="0" w:space="0" w:color="auto"/>
            <w:left w:val="none" w:sz="0" w:space="0" w:color="auto"/>
            <w:bottom w:val="none" w:sz="0" w:space="0" w:color="auto"/>
            <w:right w:val="none" w:sz="0" w:space="0" w:color="auto"/>
          </w:divBdr>
        </w:div>
        <w:div w:id="396981858">
          <w:marLeft w:val="0"/>
          <w:marRight w:val="0"/>
          <w:marTop w:val="0"/>
          <w:marBottom w:val="200"/>
          <w:divBdr>
            <w:top w:val="none" w:sz="0" w:space="0" w:color="auto"/>
            <w:left w:val="none" w:sz="0" w:space="0" w:color="auto"/>
            <w:bottom w:val="none" w:sz="0" w:space="0" w:color="auto"/>
            <w:right w:val="none" w:sz="0" w:space="0" w:color="auto"/>
          </w:divBdr>
        </w:div>
        <w:div w:id="1071201085">
          <w:marLeft w:val="0"/>
          <w:marRight w:val="0"/>
          <w:marTop w:val="0"/>
          <w:marBottom w:val="200"/>
          <w:divBdr>
            <w:top w:val="none" w:sz="0" w:space="0" w:color="auto"/>
            <w:left w:val="none" w:sz="0" w:space="0" w:color="auto"/>
            <w:bottom w:val="none" w:sz="0" w:space="0" w:color="auto"/>
            <w:right w:val="none" w:sz="0" w:space="0" w:color="auto"/>
          </w:divBdr>
        </w:div>
        <w:div w:id="82139154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0460-13/paran18" TargetMode="External"/><Relationship Id="rId13" Type="http://schemas.openxmlformats.org/officeDocument/2006/relationships/hyperlink" Target="http://zakon2.rada.gov.ua/laws/show/z1737-12/print" TargetMode="External"/><Relationship Id="rId18" Type="http://schemas.openxmlformats.org/officeDocument/2006/relationships/hyperlink" Target="http://zakon2.rada.gov.ua/laws/show/z1737-12/print" TargetMode="External"/><Relationship Id="rId26" Type="http://schemas.openxmlformats.org/officeDocument/2006/relationships/hyperlink" Target="http://zakon2.rada.gov.ua/laws/show/z1632-15/paran7" TargetMode="External"/><Relationship Id="rId39" Type="http://schemas.openxmlformats.org/officeDocument/2006/relationships/hyperlink" Target="http://zakon2.rada.gov.ua/laws/show/z1737-12/print" TargetMode="External"/><Relationship Id="rId3" Type="http://schemas.openxmlformats.org/officeDocument/2006/relationships/webSettings" Target="webSettings.xml"/><Relationship Id="rId21" Type="http://schemas.openxmlformats.org/officeDocument/2006/relationships/hyperlink" Target="http://zakon2.rada.gov.ua/laws/show/z1737-12/print" TargetMode="External"/><Relationship Id="rId34" Type="http://schemas.openxmlformats.org/officeDocument/2006/relationships/hyperlink" Target="http://zakon2.rada.gov.ua/laws/show/z1737-12/print" TargetMode="External"/><Relationship Id="rId42" Type="http://schemas.openxmlformats.org/officeDocument/2006/relationships/hyperlink" Target="http://zakon2.rada.gov.ua/laws/show/z0152-17/paran8" TargetMode="External"/><Relationship Id="rId7" Type="http://schemas.openxmlformats.org/officeDocument/2006/relationships/hyperlink" Target="http://zakon2.rada.gov.ua/laws/show/z1737-12/print" TargetMode="External"/><Relationship Id="rId12" Type="http://schemas.openxmlformats.org/officeDocument/2006/relationships/hyperlink" Target="http://zakon2.rada.gov.ua/laws/show/z1737-12/print" TargetMode="External"/><Relationship Id="rId17" Type="http://schemas.openxmlformats.org/officeDocument/2006/relationships/hyperlink" Target="http://zakon2.rada.gov.ua/laws/show/z0152-17/paran5" TargetMode="External"/><Relationship Id="rId25" Type="http://schemas.openxmlformats.org/officeDocument/2006/relationships/hyperlink" Target="http://zakon2.rada.gov.ua/laws/show/z0460-13/paran19" TargetMode="External"/><Relationship Id="rId33" Type="http://schemas.openxmlformats.org/officeDocument/2006/relationships/hyperlink" Target="http://zakon2.rada.gov.ua/laws/show/z1737-12/print" TargetMode="External"/><Relationship Id="rId38" Type="http://schemas.openxmlformats.org/officeDocument/2006/relationships/hyperlink" Target="http://zakon2.rada.gov.ua/laws/show/z1737-12/print"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zakon2.rada.gov.ua/laws/show/z1737-12/print" TargetMode="External"/><Relationship Id="rId20" Type="http://schemas.openxmlformats.org/officeDocument/2006/relationships/hyperlink" Target="http://zakon2.rada.gov.ua/laws/show/z1737-12/print" TargetMode="External"/><Relationship Id="rId29" Type="http://schemas.openxmlformats.org/officeDocument/2006/relationships/hyperlink" Target="http://zakon2.rada.gov.ua/laws/show/z1480-13/paran18" TargetMode="External"/><Relationship Id="rId41" Type="http://schemas.openxmlformats.org/officeDocument/2006/relationships/hyperlink" Target="http://zakon2.rada.gov.ua/laws/show/z1737-12/print" TargetMode="External"/><Relationship Id="rId1" Type="http://schemas.openxmlformats.org/officeDocument/2006/relationships/styles" Target="styles.xml"/><Relationship Id="rId6" Type="http://schemas.openxmlformats.org/officeDocument/2006/relationships/hyperlink" Target="http://zakon2.rada.gov.ua/laws/show/z0831-12/paran18" TargetMode="External"/><Relationship Id="rId11" Type="http://schemas.openxmlformats.org/officeDocument/2006/relationships/hyperlink" Target="http://zakon2.rada.gov.ua/laws/show/z1737-12/print" TargetMode="External"/><Relationship Id="rId24" Type="http://schemas.openxmlformats.org/officeDocument/2006/relationships/hyperlink" Target="http://zakon2.rada.gov.ua/laws/show/z0882-17/paran27" TargetMode="External"/><Relationship Id="rId32" Type="http://schemas.openxmlformats.org/officeDocument/2006/relationships/hyperlink" Target="http://zakon2.rada.gov.ua/laws/show/z1480-13/paran18" TargetMode="External"/><Relationship Id="rId37" Type="http://schemas.openxmlformats.org/officeDocument/2006/relationships/hyperlink" Target="http://zakon2.rada.gov.ua/laws/show/z1737-12/print" TargetMode="External"/><Relationship Id="rId40" Type="http://schemas.openxmlformats.org/officeDocument/2006/relationships/hyperlink" Target="http://zakon2.rada.gov.ua/laws/show/z0152-17/paran7" TargetMode="External"/><Relationship Id="rId45" Type="http://schemas.openxmlformats.org/officeDocument/2006/relationships/fontTable" Target="fontTable.xml"/><Relationship Id="rId5" Type="http://schemas.openxmlformats.org/officeDocument/2006/relationships/hyperlink" Target="http://zakon2.rada.gov.ua/laws/show/z1737-12/print" TargetMode="External"/><Relationship Id="rId15" Type="http://schemas.openxmlformats.org/officeDocument/2006/relationships/hyperlink" Target="http://zakon2.rada.gov.ua/laws/show/z1737-12/print" TargetMode="External"/><Relationship Id="rId23" Type="http://schemas.openxmlformats.org/officeDocument/2006/relationships/hyperlink" Target="http://zakon2.rada.gov.ua/laws/show/z1737-12/print" TargetMode="External"/><Relationship Id="rId28" Type="http://schemas.openxmlformats.org/officeDocument/2006/relationships/hyperlink" Target="http://zakon2.rada.gov.ua/laws/show/z0460-13/paran47" TargetMode="External"/><Relationship Id="rId36" Type="http://schemas.openxmlformats.org/officeDocument/2006/relationships/hyperlink" Target="http://zakon2.rada.gov.ua/laws/show/z1737-12/print" TargetMode="External"/><Relationship Id="rId10" Type="http://schemas.openxmlformats.org/officeDocument/2006/relationships/hyperlink" Target="http://zakon2.rada.gov.ua/laws/show/z1737-12/print" TargetMode="External"/><Relationship Id="rId19" Type="http://schemas.openxmlformats.org/officeDocument/2006/relationships/hyperlink" Target="http://zakon2.rada.gov.ua/laws/show/z1737-12/print" TargetMode="External"/><Relationship Id="rId31" Type="http://schemas.openxmlformats.org/officeDocument/2006/relationships/hyperlink" Target="http://zakon2.rada.gov.ua/laws/show/z0460-13/paran47" TargetMode="External"/><Relationship Id="rId44" Type="http://schemas.openxmlformats.org/officeDocument/2006/relationships/hyperlink" Target="http://zakon2.rada.gov.ua/laws/show/z1632-15/paran38" TargetMode="External"/><Relationship Id="rId4" Type="http://schemas.openxmlformats.org/officeDocument/2006/relationships/hyperlink" Target="http://zakon2.rada.gov.ua/laws/show/z0882-17/paran25" TargetMode="External"/><Relationship Id="rId9" Type="http://schemas.openxmlformats.org/officeDocument/2006/relationships/hyperlink" Target="http://zakon2.rada.gov.ua/laws/show/z0051-15/paran7" TargetMode="External"/><Relationship Id="rId14" Type="http://schemas.openxmlformats.org/officeDocument/2006/relationships/hyperlink" Target="http://zakon2.rada.gov.ua/laws/show/z1737-12/print" TargetMode="External"/><Relationship Id="rId22" Type="http://schemas.openxmlformats.org/officeDocument/2006/relationships/hyperlink" Target="http://zakon2.rada.gov.ua/laws/show/z1737-12/print" TargetMode="External"/><Relationship Id="rId27" Type="http://schemas.openxmlformats.org/officeDocument/2006/relationships/hyperlink" Target="http://zakon2.rada.gov.ua/laws/show/z1632-15/paran27" TargetMode="External"/><Relationship Id="rId30" Type="http://schemas.openxmlformats.org/officeDocument/2006/relationships/hyperlink" Target="http://zakon2.rada.gov.ua/laws/show/z1737-12/print" TargetMode="External"/><Relationship Id="rId35" Type="http://schemas.openxmlformats.org/officeDocument/2006/relationships/hyperlink" Target="http://zakon2.rada.gov.ua/laws/show/z1737-12/print" TargetMode="External"/><Relationship Id="rId43" Type="http://schemas.openxmlformats.org/officeDocument/2006/relationships/hyperlink" Target="http://zakon2.rada.gov.ua/laws/show/z1632-15/paran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2502</Words>
  <Characters>14268</Characters>
  <Application>Microsoft Office Word</Application>
  <DocSecurity>0</DocSecurity>
  <Lines>118</Lines>
  <Paragraphs>33</Paragraphs>
  <ScaleCrop>false</ScaleCrop>
  <Company>Національна комісія</Company>
  <LinksUpToDate>false</LinksUpToDate>
  <CharactersWithSpaces>16737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oleg.sorochan</dc:creator>
  <cp:lastModifiedBy>oleg.sorochan</cp:lastModifiedBy>
  <cp:revision>2</cp:revision>
  <dcterms:created xsi:type="dcterms:W3CDTF">2018-01-09T09:49:00Z</dcterms:created>
  <dcterms:modified xsi:type="dcterms:W3CDTF">2018-01-09T09:49:00Z</dcterms:modified>
</cp:coreProperties>
</file>