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5B28" w:rsidP="00CE411A">
      <w:pPr>
        <w:pStyle w:val="a3"/>
        <w:spacing w:before="0" w:beforeAutospacing="0" w:after="0" w:afterAutospacing="0"/>
        <w:ind w:firstLine="851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ninel.chernomorchenk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el.chernomorchenk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95B28" w:rsidP="00CE411A">
      <w:pPr>
        <w:pStyle w:val="2"/>
        <w:spacing w:before="0" w:beforeAutospacing="0" w:after="0" w:afterAutospacing="0"/>
        <w:ind w:firstLine="851"/>
        <w:jc w:val="center"/>
        <w:rPr>
          <w:rFonts w:eastAsia="Times New Roman"/>
        </w:rPr>
      </w:pPr>
      <w:r>
        <w:rPr>
          <w:rFonts w:eastAsia="Times New Roman"/>
        </w:rPr>
        <w:t>НАЦІОНАЛЬНА КОМІСІЯ З ЦІННИХ ПАПЕРІВ ТА ФОНДОВОГО РИНКУ</w:t>
      </w:r>
    </w:p>
    <w:p w:rsidR="00000000" w:rsidRDefault="00495B28" w:rsidP="00CE411A">
      <w:pPr>
        <w:pStyle w:val="2"/>
        <w:spacing w:before="0" w:beforeAutospacing="0" w:after="0" w:afterAutospacing="0"/>
        <w:ind w:firstLine="851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78"/>
        <w:gridCol w:w="2883"/>
        <w:gridCol w:w="3378"/>
      </w:tblGrid>
      <w:tr w:rsidR="00000000">
        <w:trPr>
          <w:tblCellSpacing w:w="22" w:type="dxa"/>
        </w:trPr>
        <w:tc>
          <w:tcPr>
            <w:tcW w:w="1750" w:type="pct"/>
            <w:hideMark/>
          </w:tcPr>
          <w:p w:rsidR="00000000" w:rsidRDefault="00495B28" w:rsidP="00CE411A">
            <w:pPr>
              <w:pStyle w:val="a3"/>
              <w:spacing w:before="0" w:beforeAutospacing="0" w:after="0" w:afterAutospacing="0"/>
              <w:ind w:firstLine="851"/>
              <w:jc w:val="center"/>
            </w:pPr>
            <w:r>
              <w:rPr>
                <w:b/>
                <w:bCs/>
              </w:rPr>
              <w:t>06.08.2013</w:t>
            </w:r>
          </w:p>
        </w:tc>
        <w:tc>
          <w:tcPr>
            <w:tcW w:w="1500" w:type="pct"/>
            <w:hideMark/>
          </w:tcPr>
          <w:p w:rsidR="00000000" w:rsidRDefault="00495B28" w:rsidP="00CE411A">
            <w:pPr>
              <w:pStyle w:val="a3"/>
              <w:spacing w:before="0" w:beforeAutospacing="0" w:after="0" w:afterAutospacing="0"/>
              <w:ind w:firstLine="851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000000" w:rsidRDefault="00495B28" w:rsidP="00CE411A">
            <w:pPr>
              <w:pStyle w:val="a3"/>
              <w:spacing w:before="0" w:beforeAutospacing="0" w:after="0" w:afterAutospacing="0"/>
              <w:ind w:firstLine="851"/>
              <w:jc w:val="center"/>
            </w:pPr>
            <w:r>
              <w:rPr>
                <w:b/>
                <w:bCs/>
              </w:rPr>
              <w:t>N 1412</w:t>
            </w:r>
          </w:p>
        </w:tc>
      </w:tr>
    </w:tbl>
    <w:p w:rsidR="00000000" w:rsidRDefault="00495B28" w:rsidP="00CE411A">
      <w:pPr>
        <w:ind w:firstLine="851"/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center"/>
      </w:pPr>
      <w:r>
        <w:rPr>
          <w:b/>
          <w:bCs/>
        </w:rPr>
        <w:t>Зареєстровано в Міністерстві юстиції України</w:t>
      </w:r>
      <w:r>
        <w:br/>
      </w:r>
      <w:r>
        <w:rPr>
          <w:b/>
          <w:bCs/>
        </w:rPr>
        <w:t>02 вересня 2013 р. за N 1502/24034</w:t>
      </w:r>
    </w:p>
    <w:p w:rsidR="00000000" w:rsidRDefault="00495B28" w:rsidP="00CE411A">
      <w:pPr>
        <w:pStyle w:val="2"/>
        <w:spacing w:before="0" w:beforeAutospacing="0" w:after="0" w:afterAutospacing="0"/>
        <w:ind w:firstLine="851"/>
        <w:jc w:val="center"/>
        <w:rPr>
          <w:rFonts w:eastAsia="Times New Roman"/>
        </w:rPr>
      </w:pPr>
      <w:r>
        <w:rPr>
          <w:rFonts w:eastAsia="Times New Roman"/>
        </w:rPr>
        <w:t>Про затвердження Вимог до договору про обс</w:t>
      </w:r>
      <w:r>
        <w:rPr>
          <w:rFonts w:eastAsia="Times New Roman"/>
        </w:rPr>
        <w:t>луговування рахунку в цінних паперах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center"/>
      </w:pPr>
      <w:r>
        <w:t>Із змінами і доповненнями, внесеними</w:t>
      </w:r>
      <w:r>
        <w:br/>
        <w:t> рішеннями Національної комісії з цінних паперів та фондового ринку</w:t>
      </w:r>
      <w:r>
        <w:br/>
        <w:t> від 24 червня 2014 року N 807</w:t>
      </w:r>
      <w:r>
        <w:br/>
      </w:r>
      <w:r>
        <w:rPr>
          <w:i/>
          <w:iCs/>
        </w:rPr>
        <w:t xml:space="preserve">(зміни, внесені </w:t>
      </w:r>
      <w:r>
        <w:rPr>
          <w:i/>
          <w:iCs/>
          <w:color w:val="0000FF"/>
        </w:rPr>
        <w:t>підпунктом 1 пункту 1</w:t>
      </w:r>
      <w:r>
        <w:rPr>
          <w:i/>
          <w:iCs/>
        </w:rPr>
        <w:t> рішення Національної комісії з цінних паперів</w:t>
      </w:r>
      <w:r>
        <w:br/>
      </w:r>
      <w:r>
        <w:rPr>
          <w:i/>
          <w:iCs/>
        </w:rPr>
        <w:t> та фондового ринку від 24 червня 2014 року N 807, набирають чинності з </w:t>
      </w:r>
      <w:r>
        <w:rPr>
          <w:i/>
          <w:iCs/>
          <w:color w:val="0000FF"/>
        </w:rPr>
        <w:t xml:space="preserve">30 жовтня 2014 </w:t>
      </w:r>
      <w:r>
        <w:rPr>
          <w:color w:val="0000FF"/>
        </w:rPr>
        <w:br/>
      </w:r>
      <w:r>
        <w:rPr>
          <w:i/>
          <w:iCs/>
          <w:color w:val="0000FF"/>
        </w:rPr>
        <w:t>року</w:t>
      </w:r>
      <w:r>
        <w:rPr>
          <w:i/>
          <w:iCs/>
        </w:rPr>
        <w:t>),</w:t>
      </w:r>
      <w:r>
        <w:br/>
        <w:t> від 24 липня 2015 року N 1085,</w:t>
      </w:r>
      <w:r>
        <w:br/>
        <w:t> від 26 травня 2016 року N 590,</w:t>
      </w:r>
      <w:r>
        <w:br/>
        <w:t> від 7 березня 2017 року N 148,</w:t>
      </w:r>
      <w:r>
        <w:br/>
        <w:t>від 7 вересня 2017 року N 673,</w:t>
      </w:r>
      <w:r>
        <w:br/>
        <w:t>від 3 травня 2018 року N 293</w:t>
      </w:r>
      <w:r>
        <w:br/>
      </w:r>
      <w:r>
        <w:rPr>
          <w:i/>
          <w:iCs/>
        </w:rPr>
        <w:t>(змі</w:t>
      </w:r>
      <w:r>
        <w:rPr>
          <w:i/>
          <w:iCs/>
        </w:rPr>
        <w:t xml:space="preserve">ни, внесені </w:t>
      </w:r>
      <w:r>
        <w:rPr>
          <w:i/>
          <w:iCs/>
          <w:color w:val="0000FF"/>
        </w:rPr>
        <w:t>абзацом другим пункту 7</w:t>
      </w:r>
      <w:r>
        <w:rPr>
          <w:i/>
          <w:iCs/>
        </w:rPr>
        <w:t> рішення Національної комісії з цінних</w:t>
      </w:r>
      <w:r>
        <w:br/>
      </w:r>
      <w:r>
        <w:rPr>
          <w:i/>
          <w:iCs/>
        </w:rPr>
        <w:t> паперів та фондового ринку від 3 травня 2018 року N 293, набирають чинності з </w:t>
      </w:r>
      <w:r>
        <w:rPr>
          <w:i/>
          <w:iCs/>
          <w:color w:val="0000FF"/>
        </w:rPr>
        <w:t>7 листопада 2018 року</w:t>
      </w:r>
      <w:r>
        <w:rPr>
          <w:i/>
          <w:iCs/>
        </w:rPr>
        <w:t>),</w:t>
      </w:r>
      <w:r>
        <w:br/>
        <w:t>від 9 жовтня 2018 року N 700,</w:t>
      </w:r>
      <w:r>
        <w:br/>
        <w:t>від 5 лютого 2019 року N 46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 xml:space="preserve">Відповідно до </w:t>
      </w:r>
      <w:r>
        <w:rPr>
          <w:color w:val="0000FF"/>
        </w:rPr>
        <w:t xml:space="preserve">пункту </w:t>
      </w:r>
      <w:r>
        <w:rPr>
          <w:color w:val="0000FF"/>
        </w:rPr>
        <w:t>38 частини другої статті 7</w:t>
      </w:r>
      <w:r>
        <w:t xml:space="preserve">, </w:t>
      </w:r>
      <w:r>
        <w:rPr>
          <w:color w:val="0000FF"/>
        </w:rPr>
        <w:t>пункту 13 статті 8 Закону України "Про державне регулювання ринку цінних паперів в Україні"</w:t>
      </w:r>
      <w:r>
        <w:t xml:space="preserve">, </w:t>
      </w:r>
      <w:r>
        <w:rPr>
          <w:color w:val="0000FF"/>
        </w:rPr>
        <w:t>частини сьомої статті 5 Закону України "Про депозитарну систему України"</w:t>
      </w:r>
      <w:r>
        <w:t xml:space="preserve"> (далі - Закон) та з метою забезпечення захисту прав інвесторів</w:t>
      </w:r>
      <w:r>
        <w:t xml:space="preserve"> та дотримання учасниками ринку цінних паперів вимог актів законодавства Національна комісія з цінних паперів та фондового ринку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rPr>
          <w:b/>
          <w:bCs/>
        </w:rPr>
        <w:t>ВИРІШИЛА: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1. Затвердити Вимоги до договору про обслуговування рахунку в цінних паперах (далі - Вимоги), що додаються.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2. Депози</w:t>
      </w:r>
      <w:r>
        <w:t xml:space="preserve">тарним установам, які до набрання чинності цим рішенням провадили професійну діяльність на фондовому ринку - депозитарну діяльність, а саме депозитарну діяльність зберігача цінних паперів, протягом року з дня набрання чинності </w:t>
      </w:r>
      <w:r>
        <w:rPr>
          <w:color w:val="0000FF"/>
        </w:rPr>
        <w:t>Законом</w:t>
      </w:r>
      <w:r>
        <w:t xml:space="preserve"> здійснити дії щодо пр</w:t>
      </w:r>
      <w:r>
        <w:t>иведення договорів про відкриття рахунку в цінних паперах,</w:t>
      </w:r>
      <w:r>
        <w:rPr>
          <w:b/>
          <w:bCs/>
        </w:rPr>
        <w:t xml:space="preserve"> </w:t>
      </w:r>
      <w:r>
        <w:t>укладених з депонентами до набрання чинності Законом, у відповідність до Вимог (крім випадку, передбаченого реченням другим цього пункту). Для здійснення розрахунків за правочинами щодо цінних папе</w:t>
      </w:r>
      <w:r>
        <w:t>рів з дотриманням принципу "поставка цінних паперів проти оплати" відповідно до вимог Закону депозитарним установам здійснити дії щодо приведення договорів про відкриття рахунку в цінних паперах, укладених з депонентами до набрання чинності цим рішенням, у</w:t>
      </w:r>
      <w:r>
        <w:t xml:space="preserve"> відповідність до Вимог до дня набрання чинності Законом.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 xml:space="preserve">Депозитарна установа у разі невчинення депонентом необхідних дій для приведення договору про відкриття рахунку в цінних паперах, укладеного до набрання чинності </w:t>
      </w:r>
      <w:r>
        <w:rPr>
          <w:color w:val="0000FF"/>
        </w:rPr>
        <w:t>Законом</w:t>
      </w:r>
      <w:r>
        <w:t xml:space="preserve">, </w:t>
      </w:r>
      <w:r>
        <w:lastRenderedPageBreak/>
        <w:t>у відповідність до Вимог, мо</w:t>
      </w:r>
      <w:r>
        <w:t>же відмовити депоненту в проведенні депозитарних операцій (крім депозитарних операцій, пов'язаних із переведенням цінних паперів на власний рахунок, відкритий в іншій депозитарній установі (з наступним закриттям рахунку), закриттям рахунку в цінних паперах</w:t>
      </w:r>
      <w:r>
        <w:t>), наданні послуг, якщо це передбачено договором з депонентом та/або внутрішніми документами депозитарної установи.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right"/>
      </w:pPr>
      <w:r>
        <w:t>(пункт 2 доповнено абзацом другим згідно з рішенням Національної</w:t>
      </w:r>
      <w:r>
        <w:br/>
        <w:t> комісії з цінних паперів та фондового ринку від 24.07.2015 р. N 1085)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3. Д</w:t>
      </w:r>
      <w:r>
        <w:t>епартаменту регулювання депозитарної та розрахунково-клірингової діяльності (І. Курочкіна) забезпечити подання цього рішення на державну реєстрацію до Міністерства юстиції України.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4. Управлінню інформаційних технологій, зовнішніх та внутрішніх комунікацій</w:t>
      </w:r>
      <w:r>
        <w:t xml:space="preserve"> (А. Заїка) забезпечити: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опублікування цього рішення в офіційному друкованому виданні Національної комісії з цінних паперів та фондового ринку;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оприлюднення цього рішення на офіційному сайті Національної комісії з цінних паперів та фондового ринку.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5. Це р</w:t>
      </w:r>
      <w:r>
        <w:t>ішення набирає чинності з дня його офіційного опублікування.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6. Контроль за виконанням цього рішення покласти на члена Комісії О. Тарасенка.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495B28" w:rsidP="00CE411A">
            <w:pPr>
              <w:pStyle w:val="a3"/>
              <w:spacing w:before="0" w:beforeAutospacing="0" w:after="0" w:afterAutospacing="0"/>
              <w:ind w:firstLine="851"/>
              <w:jc w:val="center"/>
            </w:pPr>
            <w:r>
              <w:rPr>
                <w:b/>
                <w:bCs/>
              </w:rPr>
              <w:t>Голова Комісії</w:t>
            </w:r>
          </w:p>
        </w:tc>
        <w:tc>
          <w:tcPr>
            <w:tcW w:w="2500" w:type="pct"/>
            <w:hideMark/>
          </w:tcPr>
          <w:p w:rsidR="00000000" w:rsidRDefault="00495B28" w:rsidP="00CE411A">
            <w:pPr>
              <w:pStyle w:val="a3"/>
              <w:spacing w:before="0" w:beforeAutospacing="0" w:after="0" w:afterAutospacing="0"/>
              <w:ind w:firstLine="851"/>
              <w:jc w:val="center"/>
            </w:pPr>
            <w:r>
              <w:rPr>
                <w:b/>
                <w:bCs/>
              </w:rPr>
              <w:t>Д. Тевелєв</w:t>
            </w:r>
          </w:p>
        </w:tc>
      </w:tr>
    </w:tbl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br w:type="textWrapping" w:clear="all"/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495B28" w:rsidP="00CE411A">
            <w:pPr>
              <w:pStyle w:val="a3"/>
              <w:spacing w:before="0" w:beforeAutospacing="0" w:after="0" w:afterAutospacing="0"/>
              <w:ind w:firstLine="851"/>
            </w:pPr>
            <w:r>
              <w:t>Протокол засідання Комісії</w:t>
            </w:r>
            <w:r>
              <w:br/>
              <w:t>від 06 серпня 2013 р. N 38</w:t>
            </w:r>
          </w:p>
        </w:tc>
      </w:tr>
    </w:tbl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br w:type="textWrapping" w:clear="all"/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495B28" w:rsidP="00CE411A">
            <w:pPr>
              <w:pStyle w:val="a3"/>
              <w:spacing w:before="0" w:beforeAutospacing="0" w:after="0" w:afterAutospacing="0"/>
              <w:ind w:firstLine="851"/>
            </w:pPr>
            <w:r>
              <w:t>ЗАТВЕРДЖЕНО</w:t>
            </w:r>
            <w:r>
              <w:br/>
            </w:r>
            <w:r>
              <w:t>Рішення Національної комісії з цінних паперів та фондового ринку</w:t>
            </w:r>
            <w:r>
              <w:br/>
              <w:t>06.08.2013 N 1412</w:t>
            </w:r>
          </w:p>
          <w:p w:rsidR="00000000" w:rsidRDefault="00495B28" w:rsidP="00CE411A">
            <w:pPr>
              <w:pStyle w:val="a3"/>
              <w:spacing w:before="0" w:beforeAutospacing="0" w:after="0" w:afterAutospacing="0"/>
              <w:ind w:firstLine="851"/>
            </w:pPr>
            <w:r>
              <w:t>Зареєстровано</w:t>
            </w:r>
            <w:r>
              <w:br/>
              <w:t>в Міністерстві юстиції України</w:t>
            </w:r>
            <w:r>
              <w:br/>
              <w:t>02 вересня 2013 р. за N 1502/24034</w:t>
            </w:r>
          </w:p>
        </w:tc>
      </w:tr>
    </w:tbl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br w:type="textWrapping" w:clear="all"/>
      </w:r>
    </w:p>
    <w:p w:rsidR="00000000" w:rsidRDefault="00495B28" w:rsidP="00CE411A">
      <w:pPr>
        <w:pStyle w:val="3"/>
        <w:spacing w:before="0" w:beforeAutospacing="0" w:after="0" w:afterAutospacing="0"/>
        <w:ind w:firstLine="851"/>
        <w:jc w:val="center"/>
        <w:rPr>
          <w:rFonts w:eastAsia="Times New Roman"/>
        </w:rPr>
      </w:pPr>
      <w:r>
        <w:rPr>
          <w:rFonts w:eastAsia="Times New Roman"/>
        </w:rPr>
        <w:t>Вимоги до договору про обслуговування рахунку в цінних паперах</w:t>
      </w:r>
    </w:p>
    <w:p w:rsidR="00000000" w:rsidRDefault="00495B28" w:rsidP="00CE411A">
      <w:pPr>
        <w:pStyle w:val="3"/>
        <w:spacing w:before="0" w:beforeAutospacing="0" w:after="0" w:afterAutospacing="0"/>
        <w:ind w:firstLine="851"/>
        <w:jc w:val="center"/>
        <w:rPr>
          <w:rFonts w:eastAsia="Times New Roman"/>
        </w:rPr>
      </w:pPr>
      <w:r>
        <w:rPr>
          <w:rFonts w:eastAsia="Times New Roman"/>
        </w:rPr>
        <w:t>I. Загальні положення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1. Ці</w:t>
      </w:r>
      <w:r>
        <w:t xml:space="preserve"> Вимоги поширюються на власників, у тому числі державу / територіальну громаду, управління цінними паперами якої здійснює суб'єкт управління об'єктами державної власності / комунальної власності, визначений відповідно до законодавства (далі - суб'єкт управ</w:t>
      </w:r>
      <w:r>
        <w:t>ління), співвласників цінних паперів, нотаріусів, на депозит яких внесені цінні папери (далі - депонент), та депозитарні установи при укладенні договору про обслуговування рахунку в цінних паперах (далі - Договір), внесенні змін до нього.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2. Договір уклада</w:t>
      </w:r>
      <w:r>
        <w:t>ється між депонентом та депозитарною установою, відповідно до якого депозитарна установа в установленому Національною комісією з цінних паперів та фондового ринку порядку відкриває рахунок у цінних паперах депоненту та веде на ньому облік цінних паперів, щ</w:t>
      </w:r>
      <w:r>
        <w:t>о належать власникові, співвласникам цінних паперів, у разі зарахування цінних паперів на депозит нотаріуса - відповідному кредиторові, а також облік прав зазначених осіб на цінні папери, що обліковуються на певному рахунку у цінних паперах, та обмеження т</w:t>
      </w:r>
      <w:r>
        <w:t>аких прав.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Щодо рахунку в цінних паперах, який відкривається на ім'я держави / територіальної громади, Договір укладається між суб'єктом управління, який набуває за цим рахунком статусу керуючого рахунком у цінних паперах, та обраною ним депозитарною устан</w:t>
      </w:r>
      <w:r>
        <w:t xml:space="preserve">овою. Для </w:t>
      </w:r>
      <w:r>
        <w:lastRenderedPageBreak/>
        <w:t>набуття в депозитарній установі за рахунком у цінних паперах держави статусу керуючого рахунком у цінних паперах іншим суб'єктом такий суб'єкт управління від імені держави повинен укласти з депозитарною установою додатковий договір до Договору, н</w:t>
      </w:r>
      <w:r>
        <w:t>а підставі якого цей рахунок був відкритий, із зазначенням у ньому всіх умов Договору, крім вимог щодо відкриття рахунку у цінних паперах.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right"/>
      </w:pPr>
      <w:r>
        <w:t>(абзац перший пункту 2 розділу І із змінами, внесеними згідно з</w:t>
      </w:r>
      <w:r>
        <w:br/>
        <w:t> рішенням Національної комісії з цінних паперів та фо</w:t>
      </w:r>
      <w:r>
        <w:t>ндового ринку</w:t>
      </w:r>
      <w:r>
        <w:br/>
        <w:t> від 24.07.2015 р. N 1085)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 xml:space="preserve">3. Договір має складатися у формі єдиного документа, підписаного сторонами, або у формі електронного документа відповідно до </w:t>
      </w:r>
      <w:r>
        <w:rPr>
          <w:color w:val="0000FF"/>
        </w:rPr>
        <w:t>Законів України "Про електронні документи та електронний документообіг"</w:t>
      </w:r>
      <w:r>
        <w:t xml:space="preserve">, </w:t>
      </w:r>
      <w:r>
        <w:rPr>
          <w:color w:val="0000FF"/>
        </w:rPr>
        <w:t>"Про електронні довірчі послуги"</w:t>
      </w:r>
      <w:r>
        <w:t xml:space="preserve">. 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right"/>
      </w:pPr>
      <w:r>
        <w:t>(абзац перший пункту 3 розділу I у редакції рішення Національної</w:t>
      </w:r>
      <w:r>
        <w:br/>
        <w:t> комісії з цінних паперів та фондового ринку від 24.06.2014 р. N 807,</w:t>
      </w:r>
      <w:r>
        <w:br/>
        <w:t>із змінами, внесеними згідно з рішенням Національної комісії</w:t>
      </w:r>
      <w:r>
        <w:br/>
        <w:t> </w:t>
      </w:r>
      <w:r>
        <w:t>з цінних паперів та фондового ринку від 03.05.2018 р. N 293)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Скріплення договору печатками (у разі їх використання) може бути визначено за письмовою домовленістю сторін.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right"/>
      </w:pPr>
      <w:r>
        <w:t>(пункт 3 розділу I доповнено новим абзацом другим згідно з</w:t>
      </w:r>
      <w:r>
        <w:br/>
        <w:t> рішенням Національної комі</w:t>
      </w:r>
      <w:r>
        <w:t>сії з цінних паперів та фондового ринку</w:t>
      </w:r>
      <w:r>
        <w:br/>
        <w:t> від 24.06.2014 р. N 807,</w:t>
      </w:r>
      <w:r>
        <w:br/>
        <w:t>у зв'язку з цим абзац другий вважати абзацом третім,</w:t>
      </w:r>
      <w:r>
        <w:br/>
        <w:t>абзац другий пункту 3 розділу І у редакції рішення Національної</w:t>
      </w:r>
      <w:r>
        <w:br/>
        <w:t> комісії з цінних паперів та фондового ринку від 07.09.2017 р. N 673)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 xml:space="preserve">За </w:t>
      </w:r>
      <w:r>
        <w:t xml:space="preserve">згодою депонента Договір може укладатися шляхом приєднання депонента до запропонованого депозитарною установою договору в цілому відповідно до </w:t>
      </w:r>
      <w:r>
        <w:rPr>
          <w:color w:val="0000FF"/>
        </w:rPr>
        <w:t>Цивільного кодексу України</w:t>
      </w:r>
      <w:r>
        <w:t xml:space="preserve"> та </w:t>
      </w:r>
      <w:r>
        <w:rPr>
          <w:color w:val="0000FF"/>
        </w:rPr>
        <w:t>Господарського кодексу України</w:t>
      </w:r>
      <w:r>
        <w:t xml:space="preserve">. У разі якщо укладення Договору відбувається шляхом </w:t>
      </w:r>
      <w:r>
        <w:t>приєднання депонента до запропонованого депозитарною установою договору, текст такого Договору та зміни до нього мають бути оприлюднені на веб-сторінці депозитарної установи. При укладенні Договору шляхом приєднання депозитарна установа зобов'язана забезпе</w:t>
      </w:r>
      <w:r>
        <w:t>чити інформування депонента про всі умови такого договору, про порядок припинення дії договору, а також про всі зміни до нього. При укладенні Договору депозитарна установа не має права обмежувати право депонента на укладення Договору з депозитарною установ</w:t>
      </w:r>
      <w:r>
        <w:t>ою у формі єдиного документа, визначеного цим пунктом.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 xml:space="preserve">Договір між депозитарною установою (яка одночасно є банком та/або торговцем цінними паперами) та депонентом, якщо така особа вже є клієнтом депозитарної установи та була ідентифікована, </w:t>
      </w:r>
      <w:proofErr w:type="spellStart"/>
      <w:r>
        <w:t>верифікована</w:t>
      </w:r>
      <w:proofErr w:type="spellEnd"/>
      <w:r>
        <w:t xml:space="preserve"> пі</w:t>
      </w:r>
      <w:r>
        <w:t>д час встановлення ділових відносин щодо надання банківських послуг та/або послуг з торгівлі цінними паперами, може бути укладений із застосуванням спеціалізованого програмного продукту, у тому числі розміщеного в апаратно-програмному середовищі бездротово</w:t>
      </w:r>
      <w:r>
        <w:t>го електронного пристрою депонента, який виконує функцію засобу ідентифікації та використовується в системах дистанційного обслуговування депонентів і відповідає нормативно-правовому акту Національної комісії з цінних паперів та фондового ринку, який визна</w:t>
      </w:r>
      <w:r>
        <w:t>чає вимоги до програмних продуктів, що використовуються на фондовому ринку, а також включений до переліку програмних продуктів на фондовому ринку, що ведеться Національною комісією з цінних паперів та фондового ринку згідно з нормативно-правовим актом Наці</w:t>
      </w:r>
      <w:r>
        <w:t>ональної комісії з цінних паперів та фондового ринку щодо порядку ведення обліку програмних продуктів на фондовому ринку.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right"/>
      </w:pPr>
      <w:r>
        <w:t>(пункт 3 розділу I доповнено абзацом четвертим згідно з рішенням</w:t>
      </w:r>
      <w:r>
        <w:br/>
        <w:t> Національної комісії з цінних паперів та фондового ринку від 09.10.2</w:t>
      </w:r>
      <w:r>
        <w:t>018 р. N 700,</w:t>
      </w:r>
      <w:r>
        <w:br/>
        <w:t>абзац четвертий пункту 3 розділу I у редакції рішення Національної</w:t>
      </w:r>
      <w:r>
        <w:br/>
        <w:t> комісії з цінних паперів та фондового ринку від 05.02.2019 р. N 46)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 xml:space="preserve">4. Договір має встановлювати умови щодо порядку розкриття інформації, що відповідно до закону належить до </w:t>
      </w:r>
      <w:r>
        <w:t>інформації з обмеженим доступом.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 xml:space="preserve">5. Питання, що виникають під час укладення, виконання, зміни, розірвання Договору і не врегульовані ним, регулюються </w:t>
      </w:r>
      <w:r>
        <w:rPr>
          <w:color w:val="0000FF"/>
        </w:rPr>
        <w:t>Цивільним кодексом України</w:t>
      </w:r>
      <w:r>
        <w:t xml:space="preserve">, </w:t>
      </w:r>
      <w:r>
        <w:rPr>
          <w:color w:val="0000FF"/>
        </w:rPr>
        <w:t xml:space="preserve">Господарським кодексом </w:t>
      </w:r>
      <w:r>
        <w:rPr>
          <w:color w:val="0000FF"/>
        </w:rPr>
        <w:lastRenderedPageBreak/>
        <w:t>України</w:t>
      </w:r>
      <w:r>
        <w:t xml:space="preserve">, </w:t>
      </w:r>
      <w:r>
        <w:rPr>
          <w:color w:val="0000FF"/>
        </w:rPr>
        <w:t>Законом України "Про депозитарну систему Украї</w:t>
      </w:r>
      <w:r>
        <w:rPr>
          <w:color w:val="0000FF"/>
        </w:rPr>
        <w:t>ни"</w:t>
      </w:r>
      <w:r>
        <w:t>, цими Вимогами та іншими нормативно-правовими актами Національної комісії з цінних паперів та фондового ринку.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6. Укладення Договору про обслуговування рахунку в цінних паперах депонента не тягне за собою переходу прав на цінні папери та прав за цінним</w:t>
      </w:r>
      <w:r>
        <w:t>и паперами до депозитарної установи.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7. Договір має містити умову про те, що грошові кошти, які відповідно до законодавства надходять на поточний рахунок депозитарної установи з метою їх подальшого переказу депоненту, не є власністю депозитарної установи.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8. Забороняється включати до Договору положення, що передбачають: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стягнення з депонента окремої плати за роботу та послуги, які не є самостійними і призначені для забезпечення належної якості послуг, ліквідації технічних пошкоджень або аварій, що виникли н</w:t>
      </w:r>
      <w:r>
        <w:t>е з вини депонента;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отримання та/або сплату депонентом послуг, не передбачених законодавством та/або які він не замовляв;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ускладнення порядку пред'явлення претензій та скарг з боку депонента;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умови, які ставлять сторони договору у нерівне становище, обмежу</w:t>
      </w:r>
      <w:r>
        <w:t>ють чи погіршують права однієї зі сторін у порівнянні з визначеними законодавством та цими Вимогами;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інші положення, що суперечать законодавству.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9. Вимога до Договору, визначена абзацом одинадцятим підпункту 1 пункту 4 розділу II цих Вимог, не є обов'язко</w:t>
      </w:r>
      <w:r>
        <w:t>вою для включення до умов Договору у разі наявності відповідної норми у внутрішньому положенні про депозитарну діяльність депозитарної установи, що визначає порядок надання фінансових послуг.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right"/>
      </w:pPr>
      <w:r>
        <w:t>(розділ І доповнено пунктом 9 згідно з рішенням Національної</w:t>
      </w:r>
      <w:r>
        <w:br/>
        <w:t> ко</w:t>
      </w:r>
      <w:r>
        <w:t>місії з цінних паперів та фондового ринку від 26.05.2016 р. N 590)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10. За домовленістю сторін Договір може містити посилання на те, що перелік та вартість послуг депозитарної установи, порядок їх зміни та оплати, порядок розгляду спорів та відповідальність</w:t>
      </w:r>
      <w:r>
        <w:t xml:space="preserve"> сторін за невиконання або неналежне виконання умов Договору, порядок розрахунків у разі припинення дії Договору визначаються сторонами з урахуванням вимог законодавства в інших договорах, укладених між ними.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 xml:space="preserve">У такому випадку вимоги до Договору, визначені </w:t>
      </w:r>
      <w:r>
        <w:t>у пунктах 6, 8 розділу II цих Вимог, не застосовуються.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right"/>
      </w:pPr>
      <w:r>
        <w:t>(розділ І доповнено пунктом 10 згідно з рішенням Національної</w:t>
      </w:r>
      <w:r>
        <w:br/>
        <w:t> комісії з цінних паперів та фондового ринку від 26.05.2016 р. N 590)</w:t>
      </w:r>
    </w:p>
    <w:p w:rsidR="00000000" w:rsidRDefault="00495B28" w:rsidP="00CE411A">
      <w:pPr>
        <w:pStyle w:val="3"/>
        <w:spacing w:before="0" w:beforeAutospacing="0" w:after="0" w:afterAutospacing="0"/>
        <w:ind w:firstLine="851"/>
        <w:jc w:val="center"/>
        <w:rPr>
          <w:rFonts w:eastAsia="Times New Roman"/>
        </w:rPr>
      </w:pPr>
      <w:r>
        <w:rPr>
          <w:rFonts w:eastAsia="Times New Roman"/>
        </w:rPr>
        <w:t>II. Вимоги до Договору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1. Договір повинен містити: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дату та місце укл</w:t>
      </w:r>
      <w:r>
        <w:t>адення;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реквізити сторін Договору;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предмет Договору;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права та обов'язки сторін;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тарифи на послуги та порядок розрахунків за надані послуги;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відповідальність сторін;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порядок розгляду спорів, що можуть виникнути мі</w:t>
      </w:r>
      <w:r>
        <w:t>ж сторонами в процесі виконання, зміни чи розірвання Договору;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строк дії Договору, порядок внесення змін, умови розірвання Договору та припинення його дії.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абзац десятий пункту 1 розділу II виключено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right"/>
      </w:pPr>
      <w:r>
        <w:t>(згідно з рішенням Національної комісії з цінних</w:t>
      </w:r>
      <w:r>
        <w:br/>
        <w:t> папері</w:t>
      </w:r>
      <w:r>
        <w:t>в та фондового ринку від 24.06.2014 р. N 807)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2. Сторонами Договору є депонент та депозитарна установа.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Реквізити сторін Договору мають містити повне найменування юридичних осіб та/або прізвище, ім'я та по батькові фізичної особи (для нерезидентів у разі н</w:t>
      </w:r>
      <w:r>
        <w:t>аявності), місцезнаходження (місце проживання) сторін, код за ЄДРПОУ (номер реєстрації юридичної особи в країні її місцезнаходження для юридичної особи - нерезидента) та банківські реквізити, серію, номер, дату видачі депозитарній установі ліцензії на пров</w:t>
      </w:r>
      <w:r>
        <w:t xml:space="preserve">адження </w:t>
      </w:r>
      <w:r>
        <w:lastRenderedPageBreak/>
        <w:t>депозитарної діяльності депозитарної установи, відомості про контактні телефони та електронні адреси, інформацію про документ, що підтверджує повноваження особи, яка підписує Договір.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У Договорі, що укладається для корпоративного інвестиційного фон</w:t>
      </w:r>
      <w:r>
        <w:t>ду, мають бути зазначені повне найменування та місцезнаходження, код за ЄДРПОУ фонду та компанії з управління активами цього фонду та контактні особи фонду.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У Договорі, що укладається для пайового інвестиційного фонду, повинні бути зазначені повне найменув</w:t>
      </w:r>
      <w:r>
        <w:t>ання та місцезнаходження, ідентифікаційний код за ЄДРПОУ компанії з управління активами цього фонду, а також реквізити пайового інвестиційного фонду - повне найменування фонду, реєстраційний код фонду за ЄДРІСІ.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У Договорі, що укладається на ім'я держави /</w:t>
      </w:r>
      <w:r>
        <w:t xml:space="preserve"> територіальної громади, мають бути зазначені найменування депонента "держава" / "територіальна громада" та найменування, місцезнаходження та код за ЄДРПОУ суб'єкта управління, який ініціює укладання Договору (додаткового договору). Якщо суб'єктом управлін</w:t>
      </w:r>
      <w:r>
        <w:t xml:space="preserve">ня є Кабінет Міністрів України або інші органи, визначені </w:t>
      </w:r>
      <w:r>
        <w:rPr>
          <w:color w:val="0000FF"/>
        </w:rPr>
        <w:t>Законом України "Про управління об'єктами державної власності"</w:t>
      </w:r>
      <w:r>
        <w:t>, які не є юридичними особами, код за ЄДРПОУ не проставляється.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3. Предметом Договору є надання депозитарною установою послуг щодо відкр</w:t>
      </w:r>
      <w:r>
        <w:t xml:space="preserve">иття та обслуговування рахунку в цінних паперах, проведення депозитарною установою депозитарних операцій за рахунками у цінних паперах на підставі розпоряджень депонента (суб'єкта управління) та в інший спосіб, передбачений законодавством, а також надання </w:t>
      </w:r>
      <w:r>
        <w:t xml:space="preserve">депозитарною установою інших послуг у процесі провадження депозитарної діяльності відповідно до Положення про провадження депозитарної діяльності, затвердженого </w:t>
      </w:r>
      <w:r>
        <w:rPr>
          <w:color w:val="0000FF"/>
        </w:rPr>
        <w:t>рішенням Національної комісії з цінних паперів та фондового ринку від 23 квітня 2013 року N 735</w:t>
      </w:r>
      <w:r>
        <w:t>, зареєстрованого в Міністерстві юстиції України 27 червня 2013 року за N 1084/23616 (далі - Положення).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4. Права та обов'язки сторін: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1) Договір має передбачати такі обов'язки депозитарної установи: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відкрити депоненту рахунок у цінних паперах протягом стр</w:t>
      </w:r>
      <w:r>
        <w:t>оку, встановленого Договором, після подання депонентом документів, передбачених законодавством України для відкриття рахунку в цінних паперах;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ознайомити депонента з внутрішніми документами (витягами з внутрішніх документів) депозитарної установи, які регл</w:t>
      </w:r>
      <w:r>
        <w:t>аментують відносини депонента та депозитарної установи стосовно порядку виконання розпоряджень депонента, отримання виписок про стан рахунку в цінних паперах депонента та про операції з цінними паперами, інформаційних довідок про незавершені операції з цін</w:t>
      </w:r>
      <w:r>
        <w:t>ними паперами за рахунками в цінних паперах цього депонента, інших інформаційних довідок, що можуть передбачатись у Договорі, та надалі ознайомлювати депонента зі змінами до цих документів у спосіб, визначений Договором;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здійснювати облік цінних паперів, щ</w:t>
      </w:r>
      <w:r>
        <w:t>о належать депоненту, на рахунку в цінних паперах;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здійснювати облік прав депонента на цінні папери, що обліковуються на його рахунку в цінних паперах, та обмеження таких прав, у тому числі відокремлений облік прав на цінні папери, які зарезервовані для зд</w:t>
      </w:r>
      <w:r>
        <w:t>ійснення розрахунків за правочинами щодо цінних паперів з дотриманням принципу "поставка цінних паперів проти оплати";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здійснювати обслуговування обігу цінних паперів на рахунках у цінних паперах депонентів шляхом проведення депозитарних операцій за рахунк</w:t>
      </w:r>
      <w:r>
        <w:t>ом в цінних паперах у порядку та строки, визначені законодавством та внутрішніми документами депозитарної установи;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складати та видавати виписку з рахунку в цінних паперах депонента та виписку про операції з цінними паперами періодично у строк, передбачени</w:t>
      </w:r>
      <w:r>
        <w:t>й Договором, або на запит депонента та у спосіб, визначений Договором. Щодо рахунку в цінних паперах, який відкривається на ім'я держави / територіальної громади, на запит суб'єкта управління та щокварталу без його запиту готувати та надавати суб'єкту упра</w:t>
      </w:r>
      <w:r>
        <w:t>вління в межах його повноважень виписку про стан рахунку в цінних паперах депонента без стягнення плати за підготовку і надання такої виписки;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lastRenderedPageBreak/>
        <w:t>надавати депоненту інформаційні довідки (про незавершені операції з цінними паперами за рахунками в цінних папера</w:t>
      </w:r>
      <w:r>
        <w:t>х цього депонента; інші інформаційні довідки, якщо вони передбачені в Договорі) періодично, у строк, передбачений Договором, та у спосіб, визначений Договором;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 xml:space="preserve">повідомляти депонента про проведення коригувальної операції у разі виявлення технічної помилки, </w:t>
      </w:r>
      <w:r>
        <w:t>допущеної при виконанні депозитарної операції, відповідно до умов Договору;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 xml:space="preserve">не виконувати дії та не надавати інформацію щодо цінних паперів, що належать депоненту, або інформацію щодо депонента без відповідних розпоряджень депонента або керуючого рахунком </w:t>
      </w:r>
      <w:r>
        <w:t>у цінних паперах депонента, крім випадків, передбачених законодавством та цим Договором;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надавати Центральному депозитарію цінних паперів (далі - Центральний депозитарій) інформацію щодо депонента, торговця цінними паперами, якому депонентом надані повнова</w:t>
      </w:r>
      <w:r>
        <w:t>ження на вчинення правочинів щодо цінних паперів в інтересах депонента, та цінних паперів, що належать депоненту, яка необхідна для здійснення розрахунків за правочинами щодо цінних паперів з дотриманням принципу "поставка цінних паперів проти оплати", з м</w:t>
      </w:r>
      <w:r>
        <w:t xml:space="preserve">етою подальшого надання такої інформації Розрахунковому центру з обслуговування договорів на фінансових ринках (далі - Розрахунковий центр) чи кліринговій установі для її відображення у внутрішній системі обліку такої особи; 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right"/>
      </w:pPr>
      <w:r>
        <w:t>(абзац одинадцятий підпункту 1</w:t>
      </w:r>
      <w:r>
        <w:t xml:space="preserve"> пункту 4 розділу II у редакції</w:t>
      </w:r>
      <w:r>
        <w:br/>
        <w:t> рішення Національної комісії з цінних паперів та фондового ринку</w:t>
      </w:r>
      <w:r>
        <w:br/>
        <w:t> від 24.06.2014 р. N 807)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абзац дванадцятий підпункту 1 пункту 4 розділу ІІ виключено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right"/>
      </w:pPr>
      <w:r>
        <w:t>(згідно з рішенням Національної комісії з цінних</w:t>
      </w:r>
      <w:r>
        <w:br/>
        <w:t> паперів та фондового р</w:t>
      </w:r>
      <w:r>
        <w:t>инку від 26.05.2016 р. N 590,</w:t>
      </w:r>
      <w:r>
        <w:br/>
        <w:t> у зв'язку з цим абзаци тринадцятий - шістнадцятий</w:t>
      </w:r>
      <w:r>
        <w:br/>
        <w:t> вважати відповідно абзацами дванадцятим - п'ятнадцятим)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виконувати за рахунком у цінних паперах депонента, що був узятий на облік Розрахунковим центром чи кліринговою установ</w:t>
      </w:r>
      <w:r>
        <w:t>ою, адміністративні операції, які визначені Регламентом Центрального депозитарію як такі, що можуть призвести до неможливості здійснення розрахунків у цінних паперах за результатами правочинів, тільки після отримання від Центрального депозитарію інформації</w:t>
      </w:r>
      <w:r>
        <w:t xml:space="preserve"> про внесення до внутрішньої системи обліку Розрахункового центру чи клірингової установи відповідних змін щодо такого депонента; 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right"/>
      </w:pPr>
      <w:r>
        <w:t>(абзац дванадцятий підпункту 1 пункту 4 розділу II у редакції</w:t>
      </w:r>
      <w:r>
        <w:br/>
        <w:t> рішення Національної комісії з цінних паперів та фондового рин</w:t>
      </w:r>
      <w:r>
        <w:t>ку</w:t>
      </w:r>
      <w:r>
        <w:br/>
        <w:t> від 24.06.2014 р. N 807)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не здійснювати депозитарних операцій за рахунком у цінних паперах у випадку виявлення порушень вимог подання, заповнення розпорядження та захисту інформації, яка потрібна для здійснення цих операцій депозитарною установою, або якщо виконання цього розпоряд</w:t>
      </w:r>
      <w:r>
        <w:t>ження буде суперечити законодавству;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протягом п'яти робочих днів з дати початку депозитарною установою процедури припинення нею провадження професійної діяльності на фондовому ринку - депозитарної діяльності депозитарної установи відповідно до вимог нормат</w:t>
      </w:r>
      <w:r>
        <w:t xml:space="preserve">ивно-правового </w:t>
      </w:r>
      <w:proofErr w:type="spellStart"/>
      <w:r>
        <w:t>акта</w:t>
      </w:r>
      <w:proofErr w:type="spellEnd"/>
      <w:r>
        <w:t xml:space="preserve"> щодо припинення депозитарної діяльності депозитарної установи повідомити депонента у спосіб, визначений Договором, щодо необхідності закриття рахунку в цінних паперах протягом 60 календарних днів з дати початку цієї процедури;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right"/>
      </w:pPr>
      <w:r>
        <w:t>(абзац чо</w:t>
      </w:r>
      <w:r>
        <w:t>тирнадцятий підпункту 1 пункту 4 розділу ІІ</w:t>
      </w:r>
      <w:r>
        <w:br/>
        <w:t> із змінами, внесеними згідно з рішенням Національної комісії з</w:t>
      </w:r>
      <w:r>
        <w:br/>
        <w:t> цінних паперів та фондового ринку від 26.05.2016 р. N 590)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закрити рахунок у цінних паперах у порядку, передбаченому Договором та законодавством;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н</w:t>
      </w:r>
      <w:r>
        <w:t xml:space="preserve">аправляти у встановленому законодавством порядку депоненту, який є власником акцій акціонерного товариства на визначену відповідно до закону дату, повідомлення у разі направлення відповідно до Порядку направлення повідомлень акціонерам через депозитарну </w:t>
      </w:r>
      <w:r>
        <w:lastRenderedPageBreak/>
        <w:t>си</w:t>
      </w:r>
      <w:r>
        <w:t xml:space="preserve">стему України, затвердженого </w:t>
      </w:r>
      <w:r>
        <w:rPr>
          <w:color w:val="0000FF"/>
        </w:rPr>
        <w:t>рішенням Національної комісії з цінних паперів та фондового ринку від 07 березня 2017 року N 148</w:t>
      </w:r>
      <w:r>
        <w:t>, зареєстрованого в Міністерстві юстиції України 28 березня 2017 року за N 408/30276 (із змінами), повідомлення акціонерам через де</w:t>
      </w:r>
      <w:r>
        <w:t xml:space="preserve">позитарну систему України відповідно до </w:t>
      </w:r>
      <w:r>
        <w:rPr>
          <w:color w:val="0000FF"/>
        </w:rPr>
        <w:t>Закону України "Про акціонерні товариства"</w:t>
      </w:r>
      <w:r>
        <w:t>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right"/>
      </w:pPr>
      <w:r>
        <w:t>(підпункт 1 пункту 4 розділу ІІ доповнено абзацом шістнадцятим</w:t>
      </w:r>
      <w:r>
        <w:br/>
        <w:t> згідно з рішенням Національної комісії з цінних паперів та фондового ринку</w:t>
      </w:r>
      <w:r>
        <w:br/>
        <w:t> від 07.03.2017 р. N 148,</w:t>
      </w:r>
      <w:r>
        <w:br/>
        <w:t>абзац ш</w:t>
      </w:r>
      <w:r>
        <w:t>істнадцятий підпункту 1 пункту 4 розділу II із змінами, внесеними</w:t>
      </w:r>
      <w:r>
        <w:br/>
        <w:t> згідно з рішенням Національної комісії з цінних паперів та фондового ринку</w:t>
      </w:r>
      <w:r>
        <w:br/>
        <w:t> від 03.05.2018 р. N 293)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2) Договір має передбачати такі обов'язки депонента: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призначити розпорядника рахунку в ц</w:t>
      </w:r>
      <w:r>
        <w:t>інних паперах;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дотримуватись вимог внутрішніх документів депозитарної установи, які регламентують відносини депонента та депозитарної установи;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оплачувати послуги депозитарної установи згідно з умовами та строками, передбаченими Договором, та тарифами, вст</w:t>
      </w:r>
      <w:r>
        <w:t>ановленими депозитарною установою;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надавати депозитарній установі документи, які передбачені законодавством України та внутрішніми документами депозитарної установи як обов'язкові для подання або необхідні їй для виконання дій згідно з вимогами законодавст</w:t>
      </w:r>
      <w:r>
        <w:t>ва України та умовами Договору;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протягом строку, встановленого Договором, з дати внесення відповідних змін до своїх реквізитів або документів, що надавалися для відкриття рахунку в цінних паперах, надавати інформацію про ці зміни депозитарній установі у по</w:t>
      </w:r>
      <w:r>
        <w:t>рядку, встановленому законодавством та внутрішніми документами депозитарної установи;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протягом 60 календарних днів з дати початку депозитарною установою процедури припинення нею провадження професійної діяльності на фондовому ринку - депозитарної діяльност</w:t>
      </w:r>
      <w:r>
        <w:t xml:space="preserve">і депозитарної установи відповідно до вимог нормативно-правового </w:t>
      </w:r>
      <w:proofErr w:type="spellStart"/>
      <w:r>
        <w:t>акта</w:t>
      </w:r>
      <w:proofErr w:type="spellEnd"/>
      <w:r>
        <w:t xml:space="preserve"> щодо припинення депозитарної діяльності депозитарної установи здійснити всі необхідні дії щодо закриття рахунку в цінних паперах;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надавати депозитарній установі для здійснення розрахункі</w:t>
      </w:r>
      <w:r>
        <w:t>в за правочинами щодо цінних паперів з дотриманням принципу "поставка цінних паперів проти оплати" інформацію про торговця цінними паперами, якому депонентом надані повноваження на вчинення правочинів щодо цінних паперів в інтересах депонента, з метою пода</w:t>
      </w:r>
      <w:r>
        <w:t xml:space="preserve">льшого надання такої інформації Центральному депозитарію та Розрахунковому центру чи кліринговій установі для її відображення у внутрішній системі обліку такої особи; 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right"/>
      </w:pPr>
      <w:r>
        <w:t>(підпункт 2 пункту 4 розділу II доповнено абзацом восьмим згідно з</w:t>
      </w:r>
      <w:r>
        <w:br/>
        <w:t> рішенням Національно</w:t>
      </w:r>
      <w:r>
        <w:t>ї комісії з цінних паперів та фондового ринку</w:t>
      </w:r>
      <w:r>
        <w:br/>
        <w:t> від 24.06.2014 р. N 807)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3) у Договорі можуть бути зазначені, зокрема, такі права депозитарної установи: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абзац другий підпункту 3 пункту 4 розділу ІІ виключено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right"/>
      </w:pPr>
      <w:r>
        <w:t>(згідно з рішенням Національної комісії з цінних</w:t>
      </w:r>
      <w:r>
        <w:br/>
      </w:r>
      <w:r>
        <w:t> паперів та фондового ринку від 26.05.2016 р. N 590,</w:t>
      </w:r>
      <w:r>
        <w:br/>
        <w:t> у зв'язку з цим абзаци третій - сьомий</w:t>
      </w:r>
      <w:r>
        <w:br/>
        <w:t> вважати відповідно абзацами другим - шостим)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надавати письмову відмову у видачі виписки з рахунку в цінних паперах у разі невідповідності оформлення запиту вимога</w:t>
      </w:r>
      <w:r>
        <w:t>м Положення;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надавати депоненту додаткові послуги, зокрема, з реалізації прав за цінними паперами;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у випадку початку депозитарною установою процедури припинення нею провадження професійної діяльності на фондовому ринку - депозитарної діяльності депозитарно</w:t>
      </w:r>
      <w:r>
        <w:t xml:space="preserve">ї установи відповідно до вимог нормативно-правового </w:t>
      </w:r>
      <w:proofErr w:type="spellStart"/>
      <w:r>
        <w:t>акта</w:t>
      </w:r>
      <w:proofErr w:type="spellEnd"/>
      <w:r>
        <w:t xml:space="preserve"> щодо припинення депозитарної діяльності депозитарної установи виконувати тільки ті розпорядження депонента, виконання яких не заборонено таким нормативно-правовим актом;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закрити рахунок у цінних папе</w:t>
      </w:r>
      <w:r>
        <w:t xml:space="preserve">рах депонента, на якому відсутні права на цінні папери, без розпорядження депонента про закриття рахунку в цінних паперах та розірвати Договір в </w:t>
      </w:r>
      <w:r>
        <w:lastRenderedPageBreak/>
        <w:t>односторонньому порядку у разі припинення здійснення ним діяльності депозитарної установи відповідно до вимог н</w:t>
      </w:r>
      <w:r>
        <w:t xml:space="preserve">ормативно-правового </w:t>
      </w:r>
      <w:proofErr w:type="spellStart"/>
      <w:r>
        <w:t>акта</w:t>
      </w:r>
      <w:proofErr w:type="spellEnd"/>
      <w:r>
        <w:t xml:space="preserve"> щодо припинення депозитарної діяльності депозитарної установи;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призупинити обслуговування рахунку в цінних паперах у разі порушення депонентом цього Договору щодо оплати послуг депозитарної установи;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4) у Договорі можуть бути зазна</w:t>
      </w:r>
      <w:r>
        <w:t>чені, зокрема, такі права депонента: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призначити керуючого (керуючих) рахунком у цінних паперах;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 xml:space="preserve">надавати депозитарній установі інформацію лише щодо одного - торговця цінними паперами, якому депонентом надані повноваження на вчинення правочинів щодо цінних </w:t>
      </w:r>
      <w:r>
        <w:t>паперів в інтересах депонента, які виконуються із забезпеченням здійснення розрахунків за правочинами щодо цінних паперів з дотриманням принципу "поставка цінних паперів проти оплати";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right"/>
      </w:pPr>
      <w:r>
        <w:t>(абзац третій підпункту 4 пункту 4 розділу II із змінами, внесеними</w:t>
      </w:r>
      <w:r>
        <w:br/>
        <w:t> зг</w:t>
      </w:r>
      <w:r>
        <w:t>ідно з рішенням Національної комісії з цінних паперів та фондового ринку</w:t>
      </w:r>
      <w:r>
        <w:br/>
        <w:t> від 24.06.2014 р. N 807)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 xml:space="preserve">отримувати від депозитарної установи відповідно до умов Договору інформацію щодо цінних паперів, прав на цінні папери, які обліковуються на рахунку у цінних </w:t>
      </w:r>
      <w:r>
        <w:t>паперах;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5) Договором можуть встановлюватися інші права та обов'язки сторін, що не суперечать цим Вимогам та законодавству про депозитарну систему;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6) умови Договору не повинні позбавляти депонента прав, обмежувати в правах, передбачених законодавством України.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5. Договір має містити умови щодо порядку виплати доходів, отриманих депонентом за результатами проведених корпоративних операцій емітента.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6.</w:t>
      </w:r>
      <w:r>
        <w:t xml:space="preserve"> Договір має містити перелік та вартість послуг депозитарної установи або вказівку на те, що депонент погоджується з тарифами, встановленими депозитарною установою на дату укладення Договору.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 xml:space="preserve">Договір повинен містити строки та спосіб повідомлення депонента </w:t>
      </w:r>
      <w:r>
        <w:t>депозитарною установою про зміни до тарифів на послуги депозитарної установи.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 xml:space="preserve">Умови оплати за надання послуг мають бути деталізовані з видів </w:t>
      </w:r>
      <w:proofErr w:type="spellStart"/>
      <w:r>
        <w:t>оплат</w:t>
      </w:r>
      <w:proofErr w:type="spellEnd"/>
      <w:r>
        <w:t xml:space="preserve"> для кожного виду послуг, що нараховуються депоненту за отримані послуги.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Зазначаються порядок, строки та форм</w:t>
      </w:r>
      <w:r>
        <w:t>а оплати послуг: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тривалість розрахункового періоду надання послуг;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 xml:space="preserve">умови, періодичність та порядок надання депоненту рахунків та </w:t>
      </w:r>
      <w:proofErr w:type="spellStart"/>
      <w:r>
        <w:t>розшифровок</w:t>
      </w:r>
      <w:proofErr w:type="spellEnd"/>
      <w:r>
        <w:t xml:space="preserve"> нарахованої до оплати суми за надані послуги (окремо за кожним видом послуг);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порядок розрахунків у разі припинення</w:t>
      </w:r>
      <w:r>
        <w:t xml:space="preserve"> дії Договору.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7. Договір має встановлювати: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форму обміну між депонентом та депозитарною установою розпорядженнями, повідомленнями, інформацією, що надаються у зв'язку з виконанням сторонами Договору;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спосіб підтвердження достовірності підпису на розпорядж</w:t>
      </w:r>
      <w:r>
        <w:t>енні депонента.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8. У Договорі визначаються відповідальність сторін за невиконання або неналежне виконання умов Договору і порядок розгляду спорів (визначаються, зокрема, умови, за яких сторони звільняються від відповідальності, а також застереження щодо по</w:t>
      </w:r>
      <w:r>
        <w:t>рядку вирішення спорів, що можуть виникнути між сторонами в процесі виконання Договору).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Відповідальність депонента та депозитарної установи визначається у Договорі відповідно до закону.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9. У Договорі має зазначатися строк дії Договору, порядок зміни, умов</w:t>
      </w:r>
      <w:r>
        <w:t>и розірвання Договору та припинення його дії, порядок закриття рахунку в цінних паперах.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Обов'язковою умовою закриття рахунку в цінних паперах має бути відсутність в обліку цінних паперів, прав на цінні папери.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10. Договір повинен містити підтвердження вик</w:t>
      </w:r>
      <w:r>
        <w:t xml:space="preserve">онання депозитарною установою обов'язку, встановленого </w:t>
      </w:r>
      <w:r>
        <w:rPr>
          <w:color w:val="0000FF"/>
        </w:rPr>
        <w:t>статтею 12 Закону України "Про фінансові послуги та державне регулювання ринків фінансових послуг"</w:t>
      </w:r>
      <w:r>
        <w:t>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 xml:space="preserve">11. Договір на виконання </w:t>
      </w:r>
      <w:r>
        <w:rPr>
          <w:color w:val="0000FF"/>
        </w:rPr>
        <w:t>підпункту 6 абзацу другого частини першої статті 6 Закону України "Про фінан</w:t>
      </w:r>
      <w:r>
        <w:rPr>
          <w:color w:val="0000FF"/>
        </w:rPr>
        <w:t>сові послуги та державне регулювання ринків фінансових послуг"</w:t>
      </w:r>
      <w:r>
        <w:t xml:space="preserve"> повинен </w:t>
      </w:r>
      <w:r>
        <w:lastRenderedPageBreak/>
        <w:t xml:space="preserve">містити інформацію про те, що цінні папери (фінансовий актив), права на які обліковуються депозитарною установою, зберігаються Центральним депозитарієм відповідно до </w:t>
      </w:r>
      <w:r>
        <w:rPr>
          <w:color w:val="0000FF"/>
        </w:rPr>
        <w:t>Закону України "Про</w:t>
      </w:r>
      <w:r>
        <w:rPr>
          <w:color w:val="0000FF"/>
        </w:rPr>
        <w:t xml:space="preserve"> депозитарну систему України"</w:t>
      </w:r>
      <w:r>
        <w:t>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12. При укладенні Договору кожна зі сторін повинна надати іншій стороні на вимогу засвідчені у встановленому порядку копії документів, що підтверджують правовий статус, обов'язкові реквізити та повноваження осіб, що укладають</w:t>
      </w:r>
      <w:r>
        <w:t xml:space="preserve"> Договір.</w:t>
      </w:r>
    </w:p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00000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000000" w:rsidRDefault="00495B28" w:rsidP="00CE411A">
            <w:pPr>
              <w:pStyle w:val="a3"/>
              <w:spacing w:before="0" w:beforeAutospacing="0" w:after="0" w:afterAutospacing="0"/>
              <w:ind w:firstLine="851"/>
              <w:jc w:val="center"/>
            </w:pPr>
            <w:r>
              <w:rPr>
                <w:b/>
                <w:bCs/>
              </w:rPr>
              <w:t>Т. в. о. директора департаменту</w:t>
            </w:r>
            <w:r>
              <w:br/>
            </w:r>
            <w:r>
              <w:rPr>
                <w:b/>
                <w:bCs/>
              </w:rPr>
              <w:t>регулювання депозитарної</w:t>
            </w:r>
            <w:r>
              <w:br/>
            </w:r>
            <w:r>
              <w:rPr>
                <w:b/>
                <w:bCs/>
              </w:rPr>
              <w:t>та розрахунково-клірингової діяльності</w:t>
            </w:r>
          </w:p>
        </w:tc>
        <w:tc>
          <w:tcPr>
            <w:tcW w:w="2500" w:type="pct"/>
            <w:vAlign w:val="bottom"/>
            <w:hideMark/>
          </w:tcPr>
          <w:p w:rsidR="00000000" w:rsidRDefault="00495B28" w:rsidP="00CE411A">
            <w:pPr>
              <w:pStyle w:val="a3"/>
              <w:spacing w:before="0" w:beforeAutospacing="0" w:after="0" w:afterAutospacing="0"/>
              <w:ind w:firstLine="851"/>
              <w:jc w:val="center"/>
            </w:pPr>
            <w:r>
              <w:rPr>
                <w:b/>
                <w:bCs/>
              </w:rPr>
              <w:t xml:space="preserve">О. </w:t>
            </w:r>
            <w:proofErr w:type="spellStart"/>
            <w:r>
              <w:rPr>
                <w:b/>
                <w:bCs/>
              </w:rPr>
              <w:t>Сальчук</w:t>
            </w:r>
            <w:proofErr w:type="spellEnd"/>
          </w:p>
        </w:tc>
      </w:tr>
    </w:tbl>
    <w:p w:rsidR="00000000" w:rsidRDefault="00495B28" w:rsidP="00CE411A">
      <w:pPr>
        <w:pStyle w:val="a3"/>
        <w:spacing w:before="0" w:beforeAutospacing="0" w:after="0" w:afterAutospacing="0"/>
        <w:ind w:firstLine="851"/>
        <w:jc w:val="both"/>
      </w:pPr>
      <w:r>
        <w:br w:type="textWrapping" w:clear="all"/>
      </w:r>
    </w:p>
    <w:p w:rsidR="00495B28" w:rsidRDefault="00495B28" w:rsidP="00CE411A">
      <w:pPr>
        <w:pStyle w:val="a3"/>
        <w:spacing w:before="0" w:beforeAutospacing="0" w:after="0" w:afterAutospacing="0"/>
        <w:ind w:firstLine="851"/>
        <w:jc w:val="both"/>
        <w:rPr>
          <w:rFonts w:eastAsia="Times New Roman"/>
        </w:rPr>
      </w:pPr>
      <w:r>
        <w:t> </w:t>
      </w:r>
      <w:bookmarkStart w:id="0" w:name="_GoBack"/>
      <w:bookmarkEnd w:id="0"/>
    </w:p>
    <w:sectPr w:rsidR="00495B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411A"/>
    <w:rsid w:val="00495B28"/>
    <w:rsid w:val="00C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4A789-3F10-4029-9F7C-9ABCF795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ninel.chernomorchenk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18042</Words>
  <Characters>10284</Characters>
  <Application>Microsoft Office Word</Application>
  <DocSecurity>0</DocSecurity>
  <Lines>85</Lines>
  <Paragraphs>56</Paragraphs>
  <ScaleCrop>false</ScaleCrop>
  <Company>NSSMC</Company>
  <LinksUpToDate>false</LinksUpToDate>
  <CharactersWithSpaces>28270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Нінель Черноморченко</dc:creator>
  <cp:keywords/>
  <dc:description/>
  <cp:lastModifiedBy>Нінель Черноморченко</cp:lastModifiedBy>
  <cp:revision>2</cp:revision>
  <dcterms:created xsi:type="dcterms:W3CDTF">2019-03-26T08:46:00Z</dcterms:created>
  <dcterms:modified xsi:type="dcterms:W3CDTF">2019-03-26T08:46:00Z</dcterms:modified>
</cp:coreProperties>
</file>