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 </w:t>
      </w:r>
    </w:p>
    <w:p w:rsidR="00C40423" w:rsidRPr="00C40423" w:rsidRDefault="00C40423" w:rsidP="00A00C42">
      <w:pPr>
        <w:spacing w:after="165" w:line="240" w:lineRule="auto"/>
        <w:jc w:val="right"/>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ЗАТВЕРДЖЕНО</w:t>
      </w:r>
      <w:r w:rsidRPr="00C40423">
        <w:rPr>
          <w:rFonts w:ascii="Times New Roman" w:eastAsia="Times New Roman" w:hAnsi="Times New Roman" w:cs="Times New Roman"/>
          <w:color w:val="293A55"/>
          <w:sz w:val="28"/>
          <w:szCs w:val="28"/>
          <w:lang w:eastAsia="uk-UA"/>
        </w:rPr>
        <w:br/>
        <w:t>Рішення Національної комісії з цінних паперів та фондового ринку</w:t>
      </w:r>
      <w:r w:rsidRPr="00C40423">
        <w:rPr>
          <w:rFonts w:ascii="Times New Roman" w:eastAsia="Times New Roman" w:hAnsi="Times New Roman" w:cs="Times New Roman"/>
          <w:color w:val="293A55"/>
          <w:sz w:val="28"/>
          <w:szCs w:val="28"/>
          <w:lang w:eastAsia="uk-UA"/>
        </w:rPr>
        <w:br/>
        <w:t>20.08.2013 N 1525</w:t>
      </w:r>
    </w:p>
    <w:p w:rsidR="00C40423" w:rsidRPr="00C40423" w:rsidRDefault="00C40423" w:rsidP="00A00C42">
      <w:pPr>
        <w:spacing w:after="165" w:line="240" w:lineRule="auto"/>
        <w:jc w:val="right"/>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Зареєстровано</w:t>
      </w:r>
      <w:r w:rsidRPr="00C40423">
        <w:rPr>
          <w:rFonts w:ascii="Times New Roman" w:eastAsia="Times New Roman" w:hAnsi="Times New Roman" w:cs="Times New Roman"/>
          <w:color w:val="293A55"/>
          <w:sz w:val="28"/>
          <w:szCs w:val="28"/>
          <w:lang w:eastAsia="uk-UA"/>
        </w:rPr>
        <w:br/>
        <w:t>в Міністерстві юстиції України</w:t>
      </w:r>
      <w:r w:rsidRPr="00C40423">
        <w:rPr>
          <w:rFonts w:ascii="Times New Roman" w:eastAsia="Times New Roman" w:hAnsi="Times New Roman" w:cs="Times New Roman"/>
          <w:color w:val="293A55"/>
          <w:sz w:val="28"/>
          <w:szCs w:val="28"/>
          <w:lang w:eastAsia="uk-UA"/>
        </w:rPr>
        <w:br/>
        <w:t>11 вересня 2013 р. за N 1565/24097</w:t>
      </w:r>
    </w:p>
    <w:p w:rsidR="00C40423" w:rsidRPr="00C40423" w:rsidRDefault="00C40423" w:rsidP="00A00C42">
      <w:pPr>
        <w:spacing w:before="330" w:after="165" w:line="240" w:lineRule="auto"/>
        <w:jc w:val="center"/>
        <w:outlineLvl w:val="2"/>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b/>
          <w:bCs/>
          <w:color w:val="293A55"/>
          <w:sz w:val="28"/>
          <w:szCs w:val="28"/>
          <w:lang w:eastAsia="uk-UA"/>
        </w:rPr>
        <w:t>Вимоги до договору про проведення грошових розрахунків за результатами клірингу</w:t>
      </w:r>
    </w:p>
    <w:p w:rsidR="00C40423" w:rsidRPr="00C40423" w:rsidRDefault="00C40423" w:rsidP="00A00C42">
      <w:pPr>
        <w:spacing w:before="330" w:after="165" w:line="240" w:lineRule="auto"/>
        <w:jc w:val="center"/>
        <w:outlineLvl w:val="2"/>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b/>
          <w:bCs/>
          <w:color w:val="293A55"/>
          <w:sz w:val="28"/>
          <w:szCs w:val="28"/>
          <w:lang w:eastAsia="uk-UA"/>
        </w:rPr>
        <w:t>I. Загальні положення</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1. Ці Вимоги поширюються на клірингові установи та Розрахунковий центр з обслуговування договорів на фінансових ринках (далі - Розрахунковий центр) при укладенні договору про проведення грошових розрахунків за результатами клірингу (далі - Договір), внесенні змін до Договору.</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2. Терміни, які використовуються у цих Вимогах, вживаються у значеннях, наведених у </w:t>
      </w:r>
      <w:r w:rsidRPr="00C40423">
        <w:rPr>
          <w:rFonts w:ascii="Times New Roman" w:eastAsia="Times New Roman" w:hAnsi="Times New Roman" w:cs="Times New Roman"/>
          <w:color w:val="000000"/>
          <w:sz w:val="28"/>
          <w:szCs w:val="28"/>
          <w:lang w:eastAsia="uk-UA"/>
        </w:rPr>
        <w:t>Законах України "Про депозитарну систему України"</w:t>
      </w:r>
      <w:r w:rsidRPr="00C40423">
        <w:rPr>
          <w:rFonts w:ascii="Times New Roman" w:eastAsia="Times New Roman" w:hAnsi="Times New Roman" w:cs="Times New Roman"/>
          <w:color w:val="293A55"/>
          <w:sz w:val="28"/>
          <w:szCs w:val="28"/>
          <w:lang w:eastAsia="uk-UA"/>
        </w:rPr>
        <w:t>, </w:t>
      </w:r>
      <w:r w:rsidRPr="00C40423">
        <w:rPr>
          <w:rFonts w:ascii="Times New Roman" w:eastAsia="Times New Roman" w:hAnsi="Times New Roman" w:cs="Times New Roman"/>
          <w:color w:val="000000"/>
          <w:sz w:val="28"/>
          <w:szCs w:val="28"/>
          <w:lang w:eastAsia="uk-UA"/>
        </w:rPr>
        <w:t>"Про державне регулювання ринку цінних паперів в Україні"</w:t>
      </w:r>
      <w:r w:rsidRPr="00C40423">
        <w:rPr>
          <w:rFonts w:ascii="Times New Roman" w:eastAsia="Times New Roman" w:hAnsi="Times New Roman" w:cs="Times New Roman"/>
          <w:color w:val="293A55"/>
          <w:sz w:val="28"/>
          <w:szCs w:val="28"/>
          <w:lang w:eastAsia="uk-UA"/>
        </w:rPr>
        <w:t>, </w:t>
      </w:r>
      <w:r w:rsidRPr="00C40423">
        <w:rPr>
          <w:rFonts w:ascii="Times New Roman" w:eastAsia="Times New Roman" w:hAnsi="Times New Roman" w:cs="Times New Roman"/>
          <w:color w:val="000000"/>
          <w:sz w:val="28"/>
          <w:szCs w:val="28"/>
          <w:lang w:eastAsia="uk-UA"/>
        </w:rPr>
        <w:t>"Про цінні папери та фондовий ринок"</w:t>
      </w:r>
      <w:r w:rsidR="00A00C42">
        <w:rPr>
          <w:rFonts w:ascii="Times New Roman" w:eastAsia="Times New Roman" w:hAnsi="Times New Roman" w:cs="Times New Roman"/>
          <w:color w:val="000000"/>
          <w:sz w:val="28"/>
          <w:szCs w:val="28"/>
          <w:lang w:eastAsia="uk-UA"/>
        </w:rPr>
        <w:t xml:space="preserve"> </w:t>
      </w:r>
      <w:r w:rsidRPr="00C40423">
        <w:rPr>
          <w:rFonts w:ascii="Times New Roman" w:eastAsia="Times New Roman" w:hAnsi="Times New Roman" w:cs="Times New Roman"/>
          <w:color w:val="293A55"/>
          <w:sz w:val="28"/>
          <w:szCs w:val="28"/>
          <w:lang w:eastAsia="uk-UA"/>
        </w:rPr>
        <w:t>тощо.</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 xml:space="preserve">3. Договір укладається між Розрахунковим центром та кліринговою установою, відповідно до якого між Розрахунковим центром та кліринговою установою здійснюється обмін інформацією, необхідною для здійснення грошових розрахунків за результатами клірингу з метою забезпечення виконання правочинів щодо цінних паперів, вчинених на фондовій біржі та поза фондовою </w:t>
      </w:r>
      <w:proofErr w:type="spellStart"/>
      <w:r w:rsidRPr="00C40423">
        <w:rPr>
          <w:rFonts w:ascii="Times New Roman" w:eastAsia="Times New Roman" w:hAnsi="Times New Roman" w:cs="Times New Roman"/>
          <w:color w:val="293A55"/>
          <w:sz w:val="28"/>
          <w:szCs w:val="28"/>
          <w:lang w:eastAsia="uk-UA"/>
        </w:rPr>
        <w:t>біржею</w:t>
      </w:r>
      <w:proofErr w:type="spellEnd"/>
      <w:r w:rsidRPr="00C40423">
        <w:rPr>
          <w:rFonts w:ascii="Times New Roman" w:eastAsia="Times New Roman" w:hAnsi="Times New Roman" w:cs="Times New Roman"/>
          <w:color w:val="293A55"/>
          <w:sz w:val="28"/>
          <w:szCs w:val="28"/>
          <w:lang w:eastAsia="uk-UA"/>
        </w:rPr>
        <w:t xml:space="preserve"> з дотриманням принципу "поставка цінних паперів проти оплати".</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4. Договір має складатися у формі єдиного документа, підписаного сторонами, або у формі електронного документа відповідно до </w:t>
      </w:r>
      <w:r w:rsidRPr="00C40423">
        <w:rPr>
          <w:rFonts w:ascii="Times New Roman" w:eastAsia="Times New Roman" w:hAnsi="Times New Roman" w:cs="Times New Roman"/>
          <w:color w:val="000000"/>
          <w:sz w:val="28"/>
          <w:szCs w:val="28"/>
          <w:lang w:eastAsia="uk-UA"/>
        </w:rPr>
        <w:t>Законів України "Про електронні документи та електронний документообіг"</w:t>
      </w:r>
      <w:r w:rsidRPr="00C40423">
        <w:rPr>
          <w:rFonts w:ascii="Times New Roman" w:eastAsia="Times New Roman" w:hAnsi="Times New Roman" w:cs="Times New Roman"/>
          <w:color w:val="293A55"/>
          <w:sz w:val="28"/>
          <w:szCs w:val="28"/>
          <w:lang w:eastAsia="uk-UA"/>
        </w:rPr>
        <w:t>, </w:t>
      </w:r>
      <w:r w:rsidRPr="00C40423">
        <w:rPr>
          <w:rFonts w:ascii="Times New Roman" w:eastAsia="Times New Roman" w:hAnsi="Times New Roman" w:cs="Times New Roman"/>
          <w:color w:val="000000"/>
          <w:sz w:val="28"/>
          <w:szCs w:val="28"/>
          <w:lang w:eastAsia="uk-UA"/>
        </w:rPr>
        <w:t>"Про електронні довірчі послуги"</w:t>
      </w:r>
      <w:r w:rsidRPr="00C40423">
        <w:rPr>
          <w:rFonts w:ascii="Times New Roman" w:eastAsia="Times New Roman" w:hAnsi="Times New Roman" w:cs="Times New Roman"/>
          <w:color w:val="293A55"/>
          <w:sz w:val="28"/>
          <w:szCs w:val="28"/>
          <w:lang w:eastAsia="uk-UA"/>
        </w:rPr>
        <w:t>.</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(абзац перший пункту 4 розділу І із змінами, внесеними згідно з рішенням</w:t>
      </w:r>
      <w:r w:rsidRPr="00C40423">
        <w:rPr>
          <w:rFonts w:ascii="Times New Roman" w:eastAsia="Times New Roman" w:hAnsi="Times New Roman" w:cs="Times New Roman"/>
          <w:color w:val="293A55"/>
          <w:sz w:val="28"/>
          <w:szCs w:val="28"/>
          <w:lang w:eastAsia="uk-UA"/>
        </w:rPr>
        <w:br/>
        <w:t> Національної комісії з цінних паперів та фондового ринку від 03.05.2018 р. N 293)</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Скріплення договору печатками (у разі їх використання) може бути визначено за письмовою домовленістю сторін.</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(абзац другий пункту 4 розділу I у редакції рішення Національної</w:t>
      </w:r>
      <w:r w:rsidRPr="00C40423">
        <w:rPr>
          <w:rFonts w:ascii="Times New Roman" w:eastAsia="Times New Roman" w:hAnsi="Times New Roman" w:cs="Times New Roman"/>
          <w:color w:val="293A55"/>
          <w:sz w:val="28"/>
          <w:szCs w:val="28"/>
          <w:lang w:eastAsia="uk-UA"/>
        </w:rPr>
        <w:br/>
        <w:t> комісії з цінних паперів та фондового ринку від 07.09.2017 р. N 673)</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(пункт 4 розділу І у редакції рішення Національної комісії з</w:t>
      </w:r>
      <w:r w:rsidRPr="00C40423">
        <w:rPr>
          <w:rFonts w:ascii="Times New Roman" w:eastAsia="Times New Roman" w:hAnsi="Times New Roman" w:cs="Times New Roman"/>
          <w:color w:val="293A55"/>
          <w:sz w:val="28"/>
          <w:szCs w:val="28"/>
          <w:lang w:eastAsia="uk-UA"/>
        </w:rPr>
        <w:br/>
        <w:t> цінних паперів та фондового ринку від 07.10.2014 р. N 1316)</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5. Договір має встановлювати умови щодо порядку розкриття інформації, що відповідно до закону належить до інформації з обмеженим доступом.</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lastRenderedPageBreak/>
        <w:t>6. Питання, що виникають під час укладення, виконання, зміни, розірвання Договору і не врегульовані ним, регулюються </w:t>
      </w:r>
      <w:r w:rsidRPr="00C40423">
        <w:rPr>
          <w:rFonts w:ascii="Times New Roman" w:eastAsia="Times New Roman" w:hAnsi="Times New Roman" w:cs="Times New Roman"/>
          <w:color w:val="000000"/>
          <w:sz w:val="28"/>
          <w:szCs w:val="28"/>
          <w:lang w:eastAsia="uk-UA"/>
        </w:rPr>
        <w:t>Цивільним кодексом України</w:t>
      </w:r>
      <w:r w:rsidRPr="00C40423">
        <w:rPr>
          <w:rFonts w:ascii="Times New Roman" w:eastAsia="Times New Roman" w:hAnsi="Times New Roman" w:cs="Times New Roman"/>
          <w:color w:val="293A55"/>
          <w:sz w:val="28"/>
          <w:szCs w:val="28"/>
          <w:lang w:eastAsia="uk-UA"/>
        </w:rPr>
        <w:t>, </w:t>
      </w:r>
      <w:r w:rsidRPr="00C40423">
        <w:rPr>
          <w:rFonts w:ascii="Times New Roman" w:eastAsia="Times New Roman" w:hAnsi="Times New Roman" w:cs="Times New Roman"/>
          <w:color w:val="000000"/>
          <w:sz w:val="28"/>
          <w:szCs w:val="28"/>
          <w:lang w:eastAsia="uk-UA"/>
        </w:rPr>
        <w:t>Господарським кодексом України</w:t>
      </w:r>
      <w:r w:rsidRPr="00C40423">
        <w:rPr>
          <w:rFonts w:ascii="Times New Roman" w:eastAsia="Times New Roman" w:hAnsi="Times New Roman" w:cs="Times New Roman"/>
          <w:color w:val="293A55"/>
          <w:sz w:val="28"/>
          <w:szCs w:val="28"/>
          <w:lang w:eastAsia="uk-UA"/>
        </w:rPr>
        <w:t>, </w:t>
      </w:r>
      <w:r w:rsidRPr="00C40423">
        <w:rPr>
          <w:rFonts w:ascii="Times New Roman" w:eastAsia="Times New Roman" w:hAnsi="Times New Roman" w:cs="Times New Roman"/>
          <w:color w:val="000000"/>
          <w:sz w:val="28"/>
          <w:szCs w:val="28"/>
          <w:lang w:eastAsia="uk-UA"/>
        </w:rPr>
        <w:t>Законом України "Про депозитарну систему України"</w:t>
      </w:r>
      <w:r w:rsidRPr="00C40423">
        <w:rPr>
          <w:rFonts w:ascii="Times New Roman" w:eastAsia="Times New Roman" w:hAnsi="Times New Roman" w:cs="Times New Roman"/>
          <w:color w:val="293A55"/>
          <w:sz w:val="28"/>
          <w:szCs w:val="28"/>
          <w:lang w:eastAsia="uk-UA"/>
        </w:rPr>
        <w:t>, </w:t>
      </w:r>
      <w:r w:rsidRPr="00C40423">
        <w:rPr>
          <w:rFonts w:ascii="Times New Roman" w:eastAsia="Times New Roman" w:hAnsi="Times New Roman" w:cs="Times New Roman"/>
          <w:color w:val="000000"/>
          <w:sz w:val="28"/>
          <w:szCs w:val="28"/>
          <w:lang w:eastAsia="uk-UA"/>
        </w:rPr>
        <w:t>"Про цінні папери та фондовий ринок"</w:t>
      </w:r>
      <w:r w:rsidRPr="00C40423">
        <w:rPr>
          <w:rFonts w:ascii="Times New Roman" w:eastAsia="Times New Roman" w:hAnsi="Times New Roman" w:cs="Times New Roman"/>
          <w:color w:val="293A55"/>
          <w:sz w:val="28"/>
          <w:szCs w:val="28"/>
          <w:lang w:eastAsia="uk-UA"/>
        </w:rPr>
        <w:t>, цими Вимогами та іншими нормативно-правовими актами Національної комісії з цінних паперів та фондового ринку.</w:t>
      </w:r>
    </w:p>
    <w:p w:rsidR="00C40423" w:rsidRPr="00C40423" w:rsidRDefault="00C40423" w:rsidP="00064125">
      <w:pPr>
        <w:spacing w:before="330" w:after="165" w:line="240" w:lineRule="auto"/>
        <w:jc w:val="center"/>
        <w:outlineLvl w:val="2"/>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b/>
          <w:bCs/>
          <w:color w:val="293A55"/>
          <w:sz w:val="28"/>
          <w:szCs w:val="28"/>
          <w:lang w:eastAsia="uk-UA"/>
        </w:rPr>
        <w:t>II. Вимоги до Договору</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1. Договір повинен містити:</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дату та місце укладення;</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реквізити сторін Договору;</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предмет Договору;</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права та обов'язки сторін;</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відповідальність сторін;</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порядок розгляду спорів, що можуть виникнути між сторонами в процесі виконання, зміни чи розірвання Договору;</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строк дії Договору, порядок внесення змін, умови розірвання Договору та припинення його дії;</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інші умови, що не суперечать законодавству.</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2. Сторонами Договору є клірингова установа та Розрахунковий центр.</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Реквізити сторін Договору мають містити щодо кожної сторони повне найменування, місцезнаходження, код за ЄДРПОУ та банківські реквізити, серію, номер, дату видачі ліцензії на провадження клірингової діяльності (для клірингової установи), інформацію про документ, що підтверджує повноваження особи, яка підписує Договір.</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 xml:space="preserve">3. Предметом Договору є обмін між Розрахунковим центром та кліринговою установою інформацією, необхідною для здійснення грошових розрахунків за результатами клірингу на рахунках для здійснення розрахунків клієнтів Розрахункового центру з метою забезпечення виконання правочинів щодо цінних паперів, вчинених на фондовій біржі та поза фондовою </w:t>
      </w:r>
      <w:proofErr w:type="spellStart"/>
      <w:r w:rsidRPr="00C40423">
        <w:rPr>
          <w:rFonts w:ascii="Times New Roman" w:eastAsia="Times New Roman" w:hAnsi="Times New Roman" w:cs="Times New Roman"/>
          <w:color w:val="293A55"/>
          <w:sz w:val="28"/>
          <w:szCs w:val="28"/>
          <w:lang w:eastAsia="uk-UA"/>
        </w:rPr>
        <w:t>біржею</w:t>
      </w:r>
      <w:proofErr w:type="spellEnd"/>
      <w:r w:rsidRPr="00C40423">
        <w:rPr>
          <w:rFonts w:ascii="Times New Roman" w:eastAsia="Times New Roman" w:hAnsi="Times New Roman" w:cs="Times New Roman"/>
          <w:color w:val="293A55"/>
          <w:sz w:val="28"/>
          <w:szCs w:val="28"/>
          <w:lang w:eastAsia="uk-UA"/>
        </w:rPr>
        <w:t xml:space="preserve"> з дотриманням принципу "поставка цінних паперів проти оплати".</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4. Права та обов'язки сторін:</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1) у Договорі може бути зазначено, зокрема, право Розрахункового центру отримувати від клірингової установи необхідну інформацію, передбачену Договором, у разі, якщо отримані Розрахунковим центром розпорядження та інформація не містять всіх необхідних даних для здійснення операцій на рахунках для здійснення розрахунків клієнтів Розрахункового центру;</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2) Договір має передбачати такі обов'язки Розрахункового центру:</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 xml:space="preserve">надавати кліринговій установі отриману від клієнтів відповідно до договору, що укладається між Розрахунковим центром і клієнтом - власником рахунка, </w:t>
      </w:r>
      <w:r w:rsidRPr="00C40423">
        <w:rPr>
          <w:rFonts w:ascii="Times New Roman" w:eastAsia="Times New Roman" w:hAnsi="Times New Roman" w:cs="Times New Roman"/>
          <w:color w:val="293A55"/>
          <w:sz w:val="28"/>
          <w:szCs w:val="28"/>
          <w:lang w:eastAsia="uk-UA"/>
        </w:rPr>
        <w:lastRenderedPageBreak/>
        <w:t>інформацію, передбачену Договором, щодо клієнтів Розрахункового центру та коштів, зарезервованих клієнтами Розрахункового центру для здійснення грошових розрахунків за правочинами щодо цінних паперів з дотриманням принципу "поставка цінних паперів проти оплати", з метою її відображення у внутрішній системі обліку клірингової установи;</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у порядку та строки, встановлені Договором, виконувати на рахунках для здійснення розрахунків клієнтів Розрахункового центру операції з коштами, зарезервованими клієнтами Розрахункового центру для здійснення грошових розрахунків за правочинами щодо цінних паперів з дотриманням принципу "поставка цінних паперів проти оплати", без розпоряджень клієнтів Розрахункового центру виключно на підставі інформації, отриманої Розрахунковим центром від клірингової установи;</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у порядку та строки, встановлені Договором, повідомляти клірингову установу про виконання операцій на рахунках для здійснення розрахунків клієнтів Розрахункового центру, що здійснюються на підставі інформації, отриманої Розрахунковим центром від клірингової установи;</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3) у Договорі може бути зазначено, зокрема, право клірингової установи отримувати від Розрахункового центру необхідну інформацію, передбачену Договором, у разі, якщо отримані документи та/або інформація не містять всіх необхідних даних для здійснення клірингу зобов'язань та/або прав з поставки та/або отримання коштів;</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4) умови Договору повинні передбачати такі обов'язки клірингової установи:</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у порядку та строки, встановлені Договором, надавати Розрахунковому центру розпорядження та інформацію, на підставі яких Розрахунковим центром на рахунках для здійснення розрахунків клієнтів Розрахункового центру виконуються операції з коштами, зарезервованими клієнтами Розрахункового центру для здійснення грошових розрахунків за правочинами щодо цінних паперів з дотриманням принципу "поставка цінних паперів проти оплати";</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у порядку та формі, встановленими Договором, надавати Розрахунковому центру інформацію про внесення до системи обліку клірингової установи змін щодо клієнтів Розрахункового центру, які були взяті на облік кліринговою установою;</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ознайомлювати Розрахунковий центр з внутрішніми документами (витягами з внутрішніх документів) клірингової установи, які регламентують відносини клірингової установи та Розрахункового центру;</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5) Договором можуть встановлюватися інші права та обов'язки сторін, що не суперечать цим Вимогам та законодавству про цінні папери та депозитарну систему України;</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6) умови Договору не повинні позбавляти клірингову установу та Розрахунковий центр прав, обмежувати в правах, передбачених законодавством України.</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5. Договір має передбачати порядок обміну інформацією, надання та обробки розрахункових документів.</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lastRenderedPageBreak/>
        <w:t>6. У Договорі визначаються відповідальність сторін за невиконання або неналежне виконання умов Договору і порядок розгляду спорів (визначаються, зокрема, умови, за яких сторони звільняються від відповідальності, а також застереження щодо порядку вирішення спорів, що можуть виникнути між сторонами у процесі виконання Договору).</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Відповідальність клірингової установи та Розрахункового центру визначається у Договорі відповідно до закону.</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7. Договором можуть бути визначені інші умови, що не суперечать законодавству України.</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8. При укладенні Договору кожна зі сторін повинна надати іншій стороні на вимогу засвідчені у встановленому порядку копії документів, що підтверджують правовий статус, обов'язкові реквізити та повноваження осіб, що укладають Договір.</w:t>
      </w:r>
    </w:p>
    <w:p w:rsidR="00C40423" w:rsidRPr="00C40423" w:rsidRDefault="00C40423" w:rsidP="00C40423">
      <w:pPr>
        <w:spacing w:after="165" w:line="240" w:lineRule="auto"/>
        <w:rPr>
          <w:rFonts w:ascii="Times New Roman" w:eastAsia="Times New Roman" w:hAnsi="Times New Roman" w:cs="Times New Roman"/>
          <w:color w:val="293A55"/>
          <w:sz w:val="28"/>
          <w:szCs w:val="28"/>
          <w:lang w:eastAsia="uk-UA"/>
        </w:rPr>
      </w:pPr>
      <w:r w:rsidRPr="00C40423">
        <w:rPr>
          <w:rFonts w:ascii="Times New Roman" w:eastAsia="Times New Roman" w:hAnsi="Times New Roman" w:cs="Times New Roman"/>
          <w:color w:val="293A55"/>
          <w:sz w:val="28"/>
          <w:szCs w:val="28"/>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C40423" w:rsidRPr="00C40423" w:rsidTr="00C40423">
        <w:tc>
          <w:tcPr>
            <w:tcW w:w="2500" w:type="pct"/>
            <w:shd w:val="clear" w:color="auto" w:fill="auto"/>
            <w:tcMar>
              <w:top w:w="0" w:type="dxa"/>
              <w:left w:w="0" w:type="dxa"/>
              <w:bottom w:w="0" w:type="dxa"/>
              <w:right w:w="0" w:type="dxa"/>
            </w:tcMar>
            <w:vAlign w:val="center"/>
            <w:hideMark/>
          </w:tcPr>
          <w:p w:rsidR="00C40423" w:rsidRPr="00C40423" w:rsidRDefault="00C40423" w:rsidP="00C40423">
            <w:pPr>
              <w:spacing w:after="165" w:line="240" w:lineRule="auto"/>
              <w:rPr>
                <w:rFonts w:ascii="Times New Roman" w:eastAsia="Times New Roman" w:hAnsi="Times New Roman" w:cs="Times New Roman"/>
                <w:sz w:val="28"/>
                <w:szCs w:val="28"/>
                <w:lang w:eastAsia="uk-UA"/>
              </w:rPr>
            </w:pPr>
            <w:r w:rsidRPr="00C40423">
              <w:rPr>
                <w:rFonts w:ascii="Times New Roman" w:eastAsia="Times New Roman" w:hAnsi="Times New Roman" w:cs="Times New Roman"/>
                <w:b/>
                <w:bCs/>
                <w:sz w:val="28"/>
                <w:szCs w:val="28"/>
                <w:lang w:eastAsia="uk-UA"/>
              </w:rPr>
              <w:t>Т. в. о. директора департаменту</w:t>
            </w:r>
            <w:r w:rsidRPr="00C40423">
              <w:rPr>
                <w:rFonts w:ascii="Times New Roman" w:eastAsia="Times New Roman" w:hAnsi="Times New Roman" w:cs="Times New Roman"/>
                <w:b/>
                <w:bCs/>
                <w:sz w:val="28"/>
                <w:szCs w:val="28"/>
                <w:lang w:eastAsia="uk-UA"/>
              </w:rPr>
              <w:br/>
              <w:t>регулювання депозитарної</w:t>
            </w:r>
            <w:r w:rsidRPr="00C40423">
              <w:rPr>
                <w:rFonts w:ascii="Times New Roman" w:eastAsia="Times New Roman" w:hAnsi="Times New Roman" w:cs="Times New Roman"/>
                <w:b/>
                <w:bCs/>
                <w:sz w:val="28"/>
                <w:szCs w:val="28"/>
                <w:lang w:eastAsia="uk-UA"/>
              </w:rPr>
              <w:br/>
              <w:t>та розрахунково-клірингової діяльності</w:t>
            </w:r>
          </w:p>
        </w:tc>
        <w:tc>
          <w:tcPr>
            <w:tcW w:w="2500" w:type="pct"/>
            <w:shd w:val="clear" w:color="auto" w:fill="auto"/>
            <w:tcMar>
              <w:top w:w="0" w:type="dxa"/>
              <w:left w:w="0" w:type="dxa"/>
              <w:bottom w:w="0" w:type="dxa"/>
              <w:right w:w="0" w:type="dxa"/>
            </w:tcMar>
            <w:vAlign w:val="center"/>
            <w:hideMark/>
          </w:tcPr>
          <w:p w:rsidR="00C40423" w:rsidRPr="00C40423" w:rsidRDefault="00C40423" w:rsidP="00064125">
            <w:pPr>
              <w:spacing w:after="165" w:line="240" w:lineRule="auto"/>
              <w:jc w:val="right"/>
              <w:rPr>
                <w:rFonts w:ascii="Times New Roman" w:eastAsia="Times New Roman" w:hAnsi="Times New Roman" w:cs="Times New Roman"/>
                <w:sz w:val="28"/>
                <w:szCs w:val="28"/>
                <w:lang w:eastAsia="uk-UA"/>
              </w:rPr>
            </w:pPr>
            <w:bookmarkStart w:id="0" w:name="_GoBack"/>
            <w:r w:rsidRPr="00C40423">
              <w:rPr>
                <w:rFonts w:ascii="Times New Roman" w:eastAsia="Times New Roman" w:hAnsi="Times New Roman" w:cs="Times New Roman"/>
                <w:b/>
                <w:bCs/>
                <w:sz w:val="28"/>
                <w:szCs w:val="28"/>
                <w:lang w:eastAsia="uk-UA"/>
              </w:rPr>
              <w:t xml:space="preserve">О. </w:t>
            </w:r>
            <w:proofErr w:type="spellStart"/>
            <w:r w:rsidRPr="00C40423">
              <w:rPr>
                <w:rFonts w:ascii="Times New Roman" w:eastAsia="Times New Roman" w:hAnsi="Times New Roman" w:cs="Times New Roman"/>
                <w:b/>
                <w:bCs/>
                <w:sz w:val="28"/>
                <w:szCs w:val="28"/>
                <w:lang w:eastAsia="uk-UA"/>
              </w:rPr>
              <w:t>Са</w:t>
            </w:r>
            <w:r w:rsidR="00064125">
              <w:rPr>
                <w:rFonts w:ascii="Times New Roman" w:eastAsia="Times New Roman" w:hAnsi="Times New Roman" w:cs="Times New Roman"/>
                <w:b/>
                <w:bCs/>
                <w:sz w:val="28"/>
                <w:szCs w:val="28"/>
                <w:lang w:eastAsia="uk-UA"/>
              </w:rPr>
              <w:t>льчук</w:t>
            </w:r>
            <w:bookmarkEnd w:id="0"/>
            <w:proofErr w:type="spellEnd"/>
          </w:p>
        </w:tc>
      </w:tr>
    </w:tbl>
    <w:p w:rsidR="008C64A2" w:rsidRPr="00C40423" w:rsidRDefault="008C64A2">
      <w:pPr>
        <w:rPr>
          <w:rFonts w:ascii="Times New Roman" w:hAnsi="Times New Roman" w:cs="Times New Roman"/>
          <w:sz w:val="28"/>
          <w:szCs w:val="28"/>
        </w:rPr>
      </w:pPr>
    </w:p>
    <w:sectPr w:rsidR="008C64A2" w:rsidRPr="00C40423" w:rsidSect="00A00C42">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23"/>
    <w:rsid w:val="00064125"/>
    <w:rsid w:val="005B5F20"/>
    <w:rsid w:val="008C64A2"/>
    <w:rsid w:val="00A00C42"/>
    <w:rsid w:val="00C404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7F68"/>
  <w15:chartTrackingRefBased/>
  <w15:docId w15:val="{8DE32139-0178-4CD8-95F7-C46F490B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251430">
      <w:bodyDiv w:val="1"/>
      <w:marLeft w:val="0"/>
      <w:marRight w:val="0"/>
      <w:marTop w:val="0"/>
      <w:marBottom w:val="0"/>
      <w:divBdr>
        <w:top w:val="none" w:sz="0" w:space="0" w:color="auto"/>
        <w:left w:val="none" w:sz="0" w:space="0" w:color="auto"/>
        <w:bottom w:val="none" w:sz="0" w:space="0" w:color="auto"/>
        <w:right w:val="none" w:sz="0" w:space="0" w:color="auto"/>
      </w:divBdr>
      <w:divsChild>
        <w:div w:id="79912074">
          <w:marLeft w:val="0"/>
          <w:marRight w:val="0"/>
          <w:marTop w:val="0"/>
          <w:marBottom w:val="0"/>
          <w:divBdr>
            <w:top w:val="none" w:sz="0" w:space="0" w:color="auto"/>
            <w:left w:val="none" w:sz="0" w:space="0" w:color="auto"/>
            <w:bottom w:val="none" w:sz="0" w:space="0" w:color="auto"/>
            <w:right w:val="none" w:sz="0" w:space="0" w:color="auto"/>
          </w:divBdr>
        </w:div>
        <w:div w:id="714431363">
          <w:marLeft w:val="0"/>
          <w:marRight w:val="0"/>
          <w:marTop w:val="0"/>
          <w:marBottom w:val="0"/>
          <w:divBdr>
            <w:top w:val="none" w:sz="0" w:space="0" w:color="auto"/>
            <w:left w:val="none" w:sz="0" w:space="0" w:color="auto"/>
            <w:bottom w:val="none" w:sz="0" w:space="0" w:color="auto"/>
            <w:right w:val="none" w:sz="0" w:space="0" w:color="auto"/>
          </w:divBdr>
        </w:div>
        <w:div w:id="1297569656">
          <w:marLeft w:val="0"/>
          <w:marRight w:val="0"/>
          <w:marTop w:val="0"/>
          <w:marBottom w:val="0"/>
          <w:divBdr>
            <w:top w:val="none" w:sz="0" w:space="0" w:color="auto"/>
            <w:left w:val="none" w:sz="0" w:space="0" w:color="auto"/>
            <w:bottom w:val="none" w:sz="0" w:space="0" w:color="auto"/>
            <w:right w:val="none" w:sz="0" w:space="0" w:color="auto"/>
          </w:divBdr>
        </w:div>
        <w:div w:id="1055078935">
          <w:marLeft w:val="0"/>
          <w:marRight w:val="0"/>
          <w:marTop w:val="0"/>
          <w:marBottom w:val="0"/>
          <w:divBdr>
            <w:top w:val="none" w:sz="0" w:space="0" w:color="auto"/>
            <w:left w:val="none" w:sz="0" w:space="0" w:color="auto"/>
            <w:bottom w:val="none" w:sz="0" w:space="0" w:color="auto"/>
            <w:right w:val="none" w:sz="0" w:space="0" w:color="auto"/>
          </w:divBdr>
        </w:div>
        <w:div w:id="808789039">
          <w:marLeft w:val="0"/>
          <w:marRight w:val="0"/>
          <w:marTop w:val="0"/>
          <w:marBottom w:val="0"/>
          <w:divBdr>
            <w:top w:val="none" w:sz="0" w:space="0" w:color="auto"/>
            <w:left w:val="none" w:sz="0" w:space="0" w:color="auto"/>
            <w:bottom w:val="none" w:sz="0" w:space="0" w:color="auto"/>
            <w:right w:val="none" w:sz="0" w:space="0" w:color="auto"/>
          </w:divBdr>
        </w:div>
        <w:div w:id="935134922">
          <w:marLeft w:val="0"/>
          <w:marRight w:val="0"/>
          <w:marTop w:val="0"/>
          <w:marBottom w:val="0"/>
          <w:divBdr>
            <w:top w:val="none" w:sz="0" w:space="0" w:color="auto"/>
            <w:left w:val="none" w:sz="0" w:space="0" w:color="auto"/>
            <w:bottom w:val="none" w:sz="0" w:space="0" w:color="auto"/>
            <w:right w:val="none" w:sz="0" w:space="0" w:color="auto"/>
          </w:divBdr>
        </w:div>
        <w:div w:id="1886212729">
          <w:marLeft w:val="0"/>
          <w:marRight w:val="0"/>
          <w:marTop w:val="0"/>
          <w:marBottom w:val="0"/>
          <w:divBdr>
            <w:top w:val="none" w:sz="0" w:space="0" w:color="auto"/>
            <w:left w:val="none" w:sz="0" w:space="0" w:color="auto"/>
            <w:bottom w:val="none" w:sz="0" w:space="0" w:color="auto"/>
            <w:right w:val="none" w:sz="0" w:space="0" w:color="auto"/>
          </w:divBdr>
        </w:div>
        <w:div w:id="498694868">
          <w:marLeft w:val="0"/>
          <w:marRight w:val="0"/>
          <w:marTop w:val="0"/>
          <w:marBottom w:val="0"/>
          <w:divBdr>
            <w:top w:val="none" w:sz="0" w:space="0" w:color="auto"/>
            <w:left w:val="none" w:sz="0" w:space="0" w:color="auto"/>
            <w:bottom w:val="none" w:sz="0" w:space="0" w:color="auto"/>
            <w:right w:val="none" w:sz="0" w:space="0" w:color="auto"/>
          </w:divBdr>
        </w:div>
        <w:div w:id="1077895584">
          <w:marLeft w:val="0"/>
          <w:marRight w:val="0"/>
          <w:marTop w:val="0"/>
          <w:marBottom w:val="0"/>
          <w:divBdr>
            <w:top w:val="none" w:sz="0" w:space="0" w:color="auto"/>
            <w:left w:val="none" w:sz="0" w:space="0" w:color="auto"/>
            <w:bottom w:val="none" w:sz="0" w:space="0" w:color="auto"/>
            <w:right w:val="none" w:sz="0" w:space="0" w:color="auto"/>
          </w:divBdr>
        </w:div>
        <w:div w:id="1233469267">
          <w:marLeft w:val="0"/>
          <w:marRight w:val="0"/>
          <w:marTop w:val="0"/>
          <w:marBottom w:val="0"/>
          <w:divBdr>
            <w:top w:val="none" w:sz="0" w:space="0" w:color="auto"/>
            <w:left w:val="none" w:sz="0" w:space="0" w:color="auto"/>
            <w:bottom w:val="none" w:sz="0" w:space="0" w:color="auto"/>
            <w:right w:val="none" w:sz="0" w:space="0" w:color="auto"/>
          </w:divBdr>
        </w:div>
        <w:div w:id="1746419315">
          <w:marLeft w:val="0"/>
          <w:marRight w:val="0"/>
          <w:marTop w:val="0"/>
          <w:marBottom w:val="0"/>
          <w:divBdr>
            <w:top w:val="none" w:sz="0" w:space="0" w:color="auto"/>
            <w:left w:val="none" w:sz="0" w:space="0" w:color="auto"/>
            <w:bottom w:val="none" w:sz="0" w:space="0" w:color="auto"/>
            <w:right w:val="none" w:sz="0" w:space="0" w:color="auto"/>
          </w:divBdr>
        </w:div>
        <w:div w:id="1843397382">
          <w:marLeft w:val="0"/>
          <w:marRight w:val="0"/>
          <w:marTop w:val="0"/>
          <w:marBottom w:val="0"/>
          <w:divBdr>
            <w:top w:val="none" w:sz="0" w:space="0" w:color="auto"/>
            <w:left w:val="none" w:sz="0" w:space="0" w:color="auto"/>
            <w:bottom w:val="none" w:sz="0" w:space="0" w:color="auto"/>
            <w:right w:val="none" w:sz="0" w:space="0" w:color="auto"/>
          </w:divBdr>
        </w:div>
        <w:div w:id="228266753">
          <w:marLeft w:val="0"/>
          <w:marRight w:val="0"/>
          <w:marTop w:val="0"/>
          <w:marBottom w:val="0"/>
          <w:divBdr>
            <w:top w:val="none" w:sz="0" w:space="0" w:color="auto"/>
            <w:left w:val="none" w:sz="0" w:space="0" w:color="auto"/>
            <w:bottom w:val="none" w:sz="0" w:space="0" w:color="auto"/>
            <w:right w:val="none" w:sz="0" w:space="0" w:color="auto"/>
          </w:divBdr>
        </w:div>
        <w:div w:id="588662933">
          <w:marLeft w:val="0"/>
          <w:marRight w:val="0"/>
          <w:marTop w:val="0"/>
          <w:marBottom w:val="0"/>
          <w:divBdr>
            <w:top w:val="none" w:sz="0" w:space="0" w:color="auto"/>
            <w:left w:val="none" w:sz="0" w:space="0" w:color="auto"/>
            <w:bottom w:val="none" w:sz="0" w:space="0" w:color="auto"/>
            <w:right w:val="none" w:sz="0" w:space="0" w:color="auto"/>
          </w:divBdr>
        </w:div>
        <w:div w:id="441416712">
          <w:marLeft w:val="0"/>
          <w:marRight w:val="0"/>
          <w:marTop w:val="0"/>
          <w:marBottom w:val="0"/>
          <w:divBdr>
            <w:top w:val="none" w:sz="0" w:space="0" w:color="auto"/>
            <w:left w:val="none" w:sz="0" w:space="0" w:color="auto"/>
            <w:bottom w:val="none" w:sz="0" w:space="0" w:color="auto"/>
            <w:right w:val="none" w:sz="0" w:space="0" w:color="auto"/>
          </w:divBdr>
        </w:div>
        <w:div w:id="2071073298">
          <w:marLeft w:val="0"/>
          <w:marRight w:val="0"/>
          <w:marTop w:val="0"/>
          <w:marBottom w:val="0"/>
          <w:divBdr>
            <w:top w:val="none" w:sz="0" w:space="0" w:color="auto"/>
            <w:left w:val="none" w:sz="0" w:space="0" w:color="auto"/>
            <w:bottom w:val="none" w:sz="0" w:space="0" w:color="auto"/>
            <w:right w:val="none" w:sz="0" w:space="0" w:color="auto"/>
          </w:divBdr>
        </w:div>
        <w:div w:id="41367046">
          <w:marLeft w:val="0"/>
          <w:marRight w:val="0"/>
          <w:marTop w:val="0"/>
          <w:marBottom w:val="0"/>
          <w:divBdr>
            <w:top w:val="none" w:sz="0" w:space="0" w:color="auto"/>
            <w:left w:val="none" w:sz="0" w:space="0" w:color="auto"/>
            <w:bottom w:val="none" w:sz="0" w:space="0" w:color="auto"/>
            <w:right w:val="none" w:sz="0" w:space="0" w:color="auto"/>
          </w:divBdr>
        </w:div>
        <w:div w:id="251164675">
          <w:marLeft w:val="0"/>
          <w:marRight w:val="0"/>
          <w:marTop w:val="0"/>
          <w:marBottom w:val="0"/>
          <w:divBdr>
            <w:top w:val="none" w:sz="0" w:space="0" w:color="auto"/>
            <w:left w:val="none" w:sz="0" w:space="0" w:color="auto"/>
            <w:bottom w:val="none" w:sz="0" w:space="0" w:color="auto"/>
            <w:right w:val="none" w:sz="0" w:space="0" w:color="auto"/>
          </w:divBdr>
        </w:div>
        <w:div w:id="702630297">
          <w:marLeft w:val="0"/>
          <w:marRight w:val="0"/>
          <w:marTop w:val="0"/>
          <w:marBottom w:val="0"/>
          <w:divBdr>
            <w:top w:val="none" w:sz="0" w:space="0" w:color="auto"/>
            <w:left w:val="none" w:sz="0" w:space="0" w:color="auto"/>
            <w:bottom w:val="none" w:sz="0" w:space="0" w:color="auto"/>
            <w:right w:val="none" w:sz="0" w:space="0" w:color="auto"/>
          </w:divBdr>
        </w:div>
        <w:div w:id="411707859">
          <w:marLeft w:val="0"/>
          <w:marRight w:val="0"/>
          <w:marTop w:val="0"/>
          <w:marBottom w:val="0"/>
          <w:divBdr>
            <w:top w:val="none" w:sz="0" w:space="0" w:color="auto"/>
            <w:left w:val="none" w:sz="0" w:space="0" w:color="auto"/>
            <w:bottom w:val="none" w:sz="0" w:space="0" w:color="auto"/>
            <w:right w:val="none" w:sz="0" w:space="0" w:color="auto"/>
          </w:divBdr>
        </w:div>
        <w:div w:id="631249697">
          <w:marLeft w:val="0"/>
          <w:marRight w:val="0"/>
          <w:marTop w:val="0"/>
          <w:marBottom w:val="0"/>
          <w:divBdr>
            <w:top w:val="none" w:sz="0" w:space="0" w:color="auto"/>
            <w:left w:val="none" w:sz="0" w:space="0" w:color="auto"/>
            <w:bottom w:val="none" w:sz="0" w:space="0" w:color="auto"/>
            <w:right w:val="none" w:sz="0" w:space="0" w:color="auto"/>
          </w:divBdr>
        </w:div>
        <w:div w:id="1113937299">
          <w:marLeft w:val="0"/>
          <w:marRight w:val="0"/>
          <w:marTop w:val="0"/>
          <w:marBottom w:val="0"/>
          <w:divBdr>
            <w:top w:val="none" w:sz="0" w:space="0" w:color="auto"/>
            <w:left w:val="none" w:sz="0" w:space="0" w:color="auto"/>
            <w:bottom w:val="none" w:sz="0" w:space="0" w:color="auto"/>
            <w:right w:val="none" w:sz="0" w:space="0" w:color="auto"/>
          </w:divBdr>
        </w:div>
        <w:div w:id="254171440">
          <w:marLeft w:val="0"/>
          <w:marRight w:val="0"/>
          <w:marTop w:val="0"/>
          <w:marBottom w:val="0"/>
          <w:divBdr>
            <w:top w:val="none" w:sz="0" w:space="0" w:color="auto"/>
            <w:left w:val="none" w:sz="0" w:space="0" w:color="auto"/>
            <w:bottom w:val="none" w:sz="0" w:space="0" w:color="auto"/>
            <w:right w:val="none" w:sz="0" w:space="0" w:color="auto"/>
          </w:divBdr>
        </w:div>
        <w:div w:id="863127987">
          <w:marLeft w:val="0"/>
          <w:marRight w:val="0"/>
          <w:marTop w:val="0"/>
          <w:marBottom w:val="0"/>
          <w:divBdr>
            <w:top w:val="none" w:sz="0" w:space="0" w:color="auto"/>
            <w:left w:val="none" w:sz="0" w:space="0" w:color="auto"/>
            <w:bottom w:val="none" w:sz="0" w:space="0" w:color="auto"/>
            <w:right w:val="none" w:sz="0" w:space="0" w:color="auto"/>
          </w:divBdr>
        </w:div>
        <w:div w:id="1780684787">
          <w:marLeft w:val="0"/>
          <w:marRight w:val="0"/>
          <w:marTop w:val="0"/>
          <w:marBottom w:val="0"/>
          <w:divBdr>
            <w:top w:val="none" w:sz="0" w:space="0" w:color="auto"/>
            <w:left w:val="none" w:sz="0" w:space="0" w:color="auto"/>
            <w:bottom w:val="none" w:sz="0" w:space="0" w:color="auto"/>
            <w:right w:val="none" w:sz="0" w:space="0" w:color="auto"/>
          </w:divBdr>
        </w:div>
        <w:div w:id="1508901797">
          <w:marLeft w:val="0"/>
          <w:marRight w:val="0"/>
          <w:marTop w:val="0"/>
          <w:marBottom w:val="0"/>
          <w:divBdr>
            <w:top w:val="none" w:sz="0" w:space="0" w:color="auto"/>
            <w:left w:val="none" w:sz="0" w:space="0" w:color="auto"/>
            <w:bottom w:val="none" w:sz="0" w:space="0" w:color="auto"/>
            <w:right w:val="none" w:sz="0" w:space="0" w:color="auto"/>
          </w:divBdr>
        </w:div>
        <w:div w:id="1771970206">
          <w:marLeft w:val="0"/>
          <w:marRight w:val="0"/>
          <w:marTop w:val="0"/>
          <w:marBottom w:val="0"/>
          <w:divBdr>
            <w:top w:val="none" w:sz="0" w:space="0" w:color="auto"/>
            <w:left w:val="none" w:sz="0" w:space="0" w:color="auto"/>
            <w:bottom w:val="none" w:sz="0" w:space="0" w:color="auto"/>
            <w:right w:val="none" w:sz="0" w:space="0" w:color="auto"/>
          </w:divBdr>
        </w:div>
        <w:div w:id="413085720">
          <w:marLeft w:val="0"/>
          <w:marRight w:val="0"/>
          <w:marTop w:val="0"/>
          <w:marBottom w:val="0"/>
          <w:divBdr>
            <w:top w:val="none" w:sz="0" w:space="0" w:color="auto"/>
            <w:left w:val="none" w:sz="0" w:space="0" w:color="auto"/>
            <w:bottom w:val="none" w:sz="0" w:space="0" w:color="auto"/>
            <w:right w:val="none" w:sz="0" w:space="0" w:color="auto"/>
          </w:divBdr>
        </w:div>
        <w:div w:id="234701535">
          <w:marLeft w:val="0"/>
          <w:marRight w:val="0"/>
          <w:marTop w:val="0"/>
          <w:marBottom w:val="0"/>
          <w:divBdr>
            <w:top w:val="none" w:sz="0" w:space="0" w:color="auto"/>
            <w:left w:val="none" w:sz="0" w:space="0" w:color="auto"/>
            <w:bottom w:val="none" w:sz="0" w:space="0" w:color="auto"/>
            <w:right w:val="none" w:sz="0" w:space="0" w:color="auto"/>
          </w:divBdr>
        </w:div>
        <w:div w:id="1934052675">
          <w:marLeft w:val="0"/>
          <w:marRight w:val="0"/>
          <w:marTop w:val="0"/>
          <w:marBottom w:val="0"/>
          <w:divBdr>
            <w:top w:val="none" w:sz="0" w:space="0" w:color="auto"/>
            <w:left w:val="none" w:sz="0" w:space="0" w:color="auto"/>
            <w:bottom w:val="none" w:sz="0" w:space="0" w:color="auto"/>
            <w:right w:val="none" w:sz="0" w:space="0" w:color="auto"/>
          </w:divBdr>
        </w:div>
        <w:div w:id="804196402">
          <w:marLeft w:val="0"/>
          <w:marRight w:val="0"/>
          <w:marTop w:val="0"/>
          <w:marBottom w:val="0"/>
          <w:divBdr>
            <w:top w:val="none" w:sz="0" w:space="0" w:color="auto"/>
            <w:left w:val="none" w:sz="0" w:space="0" w:color="auto"/>
            <w:bottom w:val="none" w:sz="0" w:space="0" w:color="auto"/>
            <w:right w:val="none" w:sz="0" w:space="0" w:color="auto"/>
          </w:divBdr>
        </w:div>
        <w:div w:id="1693527515">
          <w:marLeft w:val="0"/>
          <w:marRight w:val="0"/>
          <w:marTop w:val="0"/>
          <w:marBottom w:val="0"/>
          <w:divBdr>
            <w:top w:val="none" w:sz="0" w:space="0" w:color="auto"/>
            <w:left w:val="none" w:sz="0" w:space="0" w:color="auto"/>
            <w:bottom w:val="none" w:sz="0" w:space="0" w:color="auto"/>
            <w:right w:val="none" w:sz="0" w:space="0" w:color="auto"/>
          </w:divBdr>
        </w:div>
        <w:div w:id="914048329">
          <w:marLeft w:val="0"/>
          <w:marRight w:val="0"/>
          <w:marTop w:val="0"/>
          <w:marBottom w:val="0"/>
          <w:divBdr>
            <w:top w:val="none" w:sz="0" w:space="0" w:color="auto"/>
            <w:left w:val="none" w:sz="0" w:space="0" w:color="auto"/>
            <w:bottom w:val="none" w:sz="0" w:space="0" w:color="auto"/>
            <w:right w:val="none" w:sz="0" w:space="0" w:color="auto"/>
          </w:divBdr>
        </w:div>
        <w:div w:id="519976627">
          <w:marLeft w:val="0"/>
          <w:marRight w:val="0"/>
          <w:marTop w:val="0"/>
          <w:marBottom w:val="0"/>
          <w:divBdr>
            <w:top w:val="none" w:sz="0" w:space="0" w:color="auto"/>
            <w:left w:val="none" w:sz="0" w:space="0" w:color="auto"/>
            <w:bottom w:val="none" w:sz="0" w:space="0" w:color="auto"/>
            <w:right w:val="none" w:sz="0" w:space="0" w:color="auto"/>
          </w:divBdr>
        </w:div>
        <w:div w:id="2069645778">
          <w:marLeft w:val="0"/>
          <w:marRight w:val="0"/>
          <w:marTop w:val="0"/>
          <w:marBottom w:val="0"/>
          <w:divBdr>
            <w:top w:val="none" w:sz="0" w:space="0" w:color="auto"/>
            <w:left w:val="none" w:sz="0" w:space="0" w:color="auto"/>
            <w:bottom w:val="none" w:sz="0" w:space="0" w:color="auto"/>
            <w:right w:val="none" w:sz="0" w:space="0" w:color="auto"/>
          </w:divBdr>
        </w:div>
        <w:div w:id="361790001">
          <w:marLeft w:val="0"/>
          <w:marRight w:val="0"/>
          <w:marTop w:val="0"/>
          <w:marBottom w:val="0"/>
          <w:divBdr>
            <w:top w:val="none" w:sz="0" w:space="0" w:color="auto"/>
            <w:left w:val="none" w:sz="0" w:space="0" w:color="auto"/>
            <w:bottom w:val="none" w:sz="0" w:space="0" w:color="auto"/>
            <w:right w:val="none" w:sz="0" w:space="0" w:color="auto"/>
          </w:divBdr>
        </w:div>
        <w:div w:id="1743024697">
          <w:marLeft w:val="0"/>
          <w:marRight w:val="0"/>
          <w:marTop w:val="0"/>
          <w:marBottom w:val="0"/>
          <w:divBdr>
            <w:top w:val="none" w:sz="0" w:space="0" w:color="auto"/>
            <w:left w:val="none" w:sz="0" w:space="0" w:color="auto"/>
            <w:bottom w:val="none" w:sz="0" w:space="0" w:color="auto"/>
            <w:right w:val="none" w:sz="0" w:space="0" w:color="auto"/>
          </w:divBdr>
        </w:div>
        <w:div w:id="422191433">
          <w:marLeft w:val="0"/>
          <w:marRight w:val="0"/>
          <w:marTop w:val="0"/>
          <w:marBottom w:val="0"/>
          <w:divBdr>
            <w:top w:val="none" w:sz="0" w:space="0" w:color="auto"/>
            <w:left w:val="none" w:sz="0" w:space="0" w:color="auto"/>
            <w:bottom w:val="none" w:sz="0" w:space="0" w:color="auto"/>
            <w:right w:val="none" w:sz="0" w:space="0" w:color="auto"/>
          </w:divBdr>
        </w:div>
        <w:div w:id="2022582511">
          <w:marLeft w:val="0"/>
          <w:marRight w:val="0"/>
          <w:marTop w:val="0"/>
          <w:marBottom w:val="0"/>
          <w:divBdr>
            <w:top w:val="none" w:sz="0" w:space="0" w:color="auto"/>
            <w:left w:val="none" w:sz="0" w:space="0" w:color="auto"/>
            <w:bottom w:val="none" w:sz="0" w:space="0" w:color="auto"/>
            <w:right w:val="none" w:sz="0" w:space="0" w:color="auto"/>
          </w:divBdr>
        </w:div>
        <w:div w:id="1773936408">
          <w:marLeft w:val="0"/>
          <w:marRight w:val="0"/>
          <w:marTop w:val="0"/>
          <w:marBottom w:val="0"/>
          <w:divBdr>
            <w:top w:val="none" w:sz="0" w:space="0" w:color="auto"/>
            <w:left w:val="none" w:sz="0" w:space="0" w:color="auto"/>
            <w:bottom w:val="none" w:sz="0" w:space="0" w:color="auto"/>
            <w:right w:val="none" w:sz="0" w:space="0" w:color="auto"/>
          </w:divBdr>
        </w:div>
        <w:div w:id="1518694218">
          <w:marLeft w:val="0"/>
          <w:marRight w:val="0"/>
          <w:marTop w:val="0"/>
          <w:marBottom w:val="0"/>
          <w:divBdr>
            <w:top w:val="none" w:sz="0" w:space="0" w:color="auto"/>
            <w:left w:val="none" w:sz="0" w:space="0" w:color="auto"/>
            <w:bottom w:val="none" w:sz="0" w:space="0" w:color="auto"/>
            <w:right w:val="none" w:sz="0" w:space="0" w:color="auto"/>
          </w:divBdr>
        </w:div>
        <w:div w:id="517088563">
          <w:marLeft w:val="0"/>
          <w:marRight w:val="0"/>
          <w:marTop w:val="0"/>
          <w:marBottom w:val="0"/>
          <w:divBdr>
            <w:top w:val="none" w:sz="0" w:space="0" w:color="auto"/>
            <w:left w:val="none" w:sz="0" w:space="0" w:color="auto"/>
            <w:bottom w:val="none" w:sz="0" w:space="0" w:color="auto"/>
            <w:right w:val="none" w:sz="0" w:space="0" w:color="auto"/>
          </w:divBdr>
        </w:div>
        <w:div w:id="955869757">
          <w:marLeft w:val="0"/>
          <w:marRight w:val="0"/>
          <w:marTop w:val="0"/>
          <w:marBottom w:val="0"/>
          <w:divBdr>
            <w:top w:val="none" w:sz="0" w:space="0" w:color="auto"/>
            <w:left w:val="none" w:sz="0" w:space="0" w:color="auto"/>
            <w:bottom w:val="none" w:sz="0" w:space="0" w:color="auto"/>
            <w:right w:val="none" w:sz="0" w:space="0" w:color="auto"/>
          </w:divBdr>
        </w:div>
        <w:div w:id="1468163502">
          <w:marLeft w:val="0"/>
          <w:marRight w:val="0"/>
          <w:marTop w:val="0"/>
          <w:marBottom w:val="0"/>
          <w:divBdr>
            <w:top w:val="none" w:sz="0" w:space="0" w:color="auto"/>
            <w:left w:val="none" w:sz="0" w:space="0" w:color="auto"/>
            <w:bottom w:val="none" w:sz="0" w:space="0" w:color="auto"/>
            <w:right w:val="none" w:sz="0" w:space="0" w:color="auto"/>
          </w:divBdr>
        </w:div>
        <w:div w:id="1533152233">
          <w:marLeft w:val="0"/>
          <w:marRight w:val="0"/>
          <w:marTop w:val="0"/>
          <w:marBottom w:val="0"/>
          <w:divBdr>
            <w:top w:val="none" w:sz="0" w:space="0" w:color="auto"/>
            <w:left w:val="none" w:sz="0" w:space="0" w:color="auto"/>
            <w:bottom w:val="none" w:sz="0" w:space="0" w:color="auto"/>
            <w:right w:val="none" w:sz="0" w:space="0" w:color="auto"/>
          </w:divBdr>
        </w:div>
        <w:div w:id="1994598113">
          <w:marLeft w:val="0"/>
          <w:marRight w:val="0"/>
          <w:marTop w:val="0"/>
          <w:marBottom w:val="0"/>
          <w:divBdr>
            <w:top w:val="none" w:sz="0" w:space="0" w:color="auto"/>
            <w:left w:val="none" w:sz="0" w:space="0" w:color="auto"/>
            <w:bottom w:val="none" w:sz="0" w:space="0" w:color="auto"/>
            <w:right w:val="none" w:sz="0" w:space="0" w:color="auto"/>
          </w:divBdr>
        </w:div>
        <w:div w:id="724064386">
          <w:marLeft w:val="0"/>
          <w:marRight w:val="0"/>
          <w:marTop w:val="0"/>
          <w:marBottom w:val="0"/>
          <w:divBdr>
            <w:top w:val="none" w:sz="0" w:space="0" w:color="auto"/>
            <w:left w:val="none" w:sz="0" w:space="0" w:color="auto"/>
            <w:bottom w:val="none" w:sz="0" w:space="0" w:color="auto"/>
            <w:right w:val="none" w:sz="0" w:space="0" w:color="auto"/>
          </w:divBdr>
        </w:div>
        <w:div w:id="326396846">
          <w:marLeft w:val="0"/>
          <w:marRight w:val="0"/>
          <w:marTop w:val="0"/>
          <w:marBottom w:val="0"/>
          <w:divBdr>
            <w:top w:val="none" w:sz="0" w:space="0" w:color="auto"/>
            <w:left w:val="none" w:sz="0" w:space="0" w:color="auto"/>
            <w:bottom w:val="none" w:sz="0" w:space="0" w:color="auto"/>
            <w:right w:val="none" w:sz="0" w:space="0" w:color="auto"/>
          </w:divBdr>
        </w:div>
        <w:div w:id="758017684">
          <w:marLeft w:val="0"/>
          <w:marRight w:val="0"/>
          <w:marTop w:val="0"/>
          <w:marBottom w:val="0"/>
          <w:divBdr>
            <w:top w:val="none" w:sz="0" w:space="0" w:color="auto"/>
            <w:left w:val="none" w:sz="0" w:space="0" w:color="auto"/>
            <w:bottom w:val="none" w:sz="0" w:space="0" w:color="auto"/>
            <w:right w:val="none" w:sz="0" w:space="0" w:color="auto"/>
          </w:divBdr>
        </w:div>
        <w:div w:id="1551844027">
          <w:marLeft w:val="0"/>
          <w:marRight w:val="0"/>
          <w:marTop w:val="0"/>
          <w:marBottom w:val="0"/>
          <w:divBdr>
            <w:top w:val="none" w:sz="0" w:space="0" w:color="auto"/>
            <w:left w:val="none" w:sz="0" w:space="0" w:color="auto"/>
            <w:bottom w:val="none" w:sz="0" w:space="0" w:color="auto"/>
            <w:right w:val="none" w:sz="0" w:space="0" w:color="auto"/>
          </w:divBdr>
        </w:div>
        <w:div w:id="167329460">
          <w:marLeft w:val="0"/>
          <w:marRight w:val="0"/>
          <w:marTop w:val="0"/>
          <w:marBottom w:val="0"/>
          <w:divBdr>
            <w:top w:val="none" w:sz="0" w:space="0" w:color="auto"/>
            <w:left w:val="none" w:sz="0" w:space="0" w:color="auto"/>
            <w:bottom w:val="none" w:sz="0" w:space="0" w:color="auto"/>
            <w:right w:val="none" w:sz="0" w:space="0" w:color="auto"/>
          </w:divBdr>
        </w:div>
        <w:div w:id="320549216">
          <w:marLeft w:val="0"/>
          <w:marRight w:val="0"/>
          <w:marTop w:val="0"/>
          <w:marBottom w:val="0"/>
          <w:divBdr>
            <w:top w:val="none" w:sz="0" w:space="0" w:color="auto"/>
            <w:left w:val="none" w:sz="0" w:space="0" w:color="auto"/>
            <w:bottom w:val="none" w:sz="0" w:space="0" w:color="auto"/>
            <w:right w:val="none" w:sz="0" w:space="0" w:color="auto"/>
          </w:divBdr>
        </w:div>
        <w:div w:id="1455948986">
          <w:marLeft w:val="0"/>
          <w:marRight w:val="0"/>
          <w:marTop w:val="0"/>
          <w:marBottom w:val="0"/>
          <w:divBdr>
            <w:top w:val="none" w:sz="0" w:space="0" w:color="auto"/>
            <w:left w:val="none" w:sz="0" w:space="0" w:color="auto"/>
            <w:bottom w:val="none" w:sz="0" w:space="0" w:color="auto"/>
            <w:right w:val="none" w:sz="0" w:space="0" w:color="auto"/>
          </w:divBdr>
        </w:div>
        <w:div w:id="1564171978">
          <w:marLeft w:val="0"/>
          <w:marRight w:val="0"/>
          <w:marTop w:val="0"/>
          <w:marBottom w:val="0"/>
          <w:divBdr>
            <w:top w:val="none" w:sz="0" w:space="0" w:color="auto"/>
            <w:left w:val="none" w:sz="0" w:space="0" w:color="auto"/>
            <w:bottom w:val="none" w:sz="0" w:space="0" w:color="auto"/>
            <w:right w:val="none" w:sz="0" w:space="0" w:color="auto"/>
          </w:divBdr>
        </w:div>
        <w:div w:id="449398032">
          <w:marLeft w:val="0"/>
          <w:marRight w:val="0"/>
          <w:marTop w:val="0"/>
          <w:marBottom w:val="0"/>
          <w:divBdr>
            <w:top w:val="none" w:sz="0" w:space="0" w:color="auto"/>
            <w:left w:val="none" w:sz="0" w:space="0" w:color="auto"/>
            <w:bottom w:val="none" w:sz="0" w:space="0" w:color="auto"/>
            <w:right w:val="none" w:sz="0" w:space="0" w:color="auto"/>
          </w:divBdr>
        </w:div>
        <w:div w:id="414131481">
          <w:marLeft w:val="0"/>
          <w:marRight w:val="0"/>
          <w:marTop w:val="0"/>
          <w:marBottom w:val="0"/>
          <w:divBdr>
            <w:top w:val="none" w:sz="0" w:space="0" w:color="auto"/>
            <w:left w:val="none" w:sz="0" w:space="0" w:color="auto"/>
            <w:bottom w:val="none" w:sz="0" w:space="0" w:color="auto"/>
            <w:right w:val="none" w:sz="0" w:space="0" w:color="auto"/>
          </w:divBdr>
        </w:div>
        <w:div w:id="1131165764">
          <w:marLeft w:val="0"/>
          <w:marRight w:val="0"/>
          <w:marTop w:val="0"/>
          <w:marBottom w:val="0"/>
          <w:divBdr>
            <w:top w:val="none" w:sz="0" w:space="0" w:color="auto"/>
            <w:left w:val="none" w:sz="0" w:space="0" w:color="auto"/>
            <w:bottom w:val="none" w:sz="0" w:space="0" w:color="auto"/>
            <w:right w:val="none" w:sz="0" w:space="0" w:color="auto"/>
          </w:divBdr>
        </w:div>
        <w:div w:id="804930275">
          <w:marLeft w:val="0"/>
          <w:marRight w:val="0"/>
          <w:marTop w:val="0"/>
          <w:marBottom w:val="0"/>
          <w:divBdr>
            <w:top w:val="none" w:sz="0" w:space="0" w:color="auto"/>
            <w:left w:val="none" w:sz="0" w:space="0" w:color="auto"/>
            <w:bottom w:val="none" w:sz="0" w:space="0" w:color="auto"/>
            <w:right w:val="none" w:sz="0" w:space="0" w:color="auto"/>
          </w:divBdr>
        </w:div>
        <w:div w:id="426849510">
          <w:marLeft w:val="0"/>
          <w:marRight w:val="0"/>
          <w:marTop w:val="0"/>
          <w:marBottom w:val="0"/>
          <w:divBdr>
            <w:top w:val="none" w:sz="0" w:space="0" w:color="auto"/>
            <w:left w:val="none" w:sz="0" w:space="0" w:color="auto"/>
            <w:bottom w:val="none" w:sz="0" w:space="0" w:color="auto"/>
            <w:right w:val="none" w:sz="0" w:space="0" w:color="auto"/>
          </w:divBdr>
        </w:div>
        <w:div w:id="1700935784">
          <w:marLeft w:val="0"/>
          <w:marRight w:val="0"/>
          <w:marTop w:val="0"/>
          <w:marBottom w:val="0"/>
          <w:divBdr>
            <w:top w:val="none" w:sz="0" w:space="0" w:color="auto"/>
            <w:left w:val="none" w:sz="0" w:space="0" w:color="auto"/>
            <w:bottom w:val="none" w:sz="0" w:space="0" w:color="auto"/>
            <w:right w:val="none" w:sz="0" w:space="0" w:color="auto"/>
          </w:divBdr>
        </w:div>
        <w:div w:id="2081830749">
          <w:marLeft w:val="0"/>
          <w:marRight w:val="0"/>
          <w:marTop w:val="0"/>
          <w:marBottom w:val="0"/>
          <w:divBdr>
            <w:top w:val="none" w:sz="0" w:space="0" w:color="auto"/>
            <w:left w:val="none" w:sz="0" w:space="0" w:color="auto"/>
            <w:bottom w:val="none" w:sz="0" w:space="0" w:color="auto"/>
            <w:right w:val="none" w:sz="0" w:space="0" w:color="auto"/>
          </w:divBdr>
        </w:div>
        <w:div w:id="153763996">
          <w:marLeft w:val="0"/>
          <w:marRight w:val="0"/>
          <w:marTop w:val="0"/>
          <w:marBottom w:val="0"/>
          <w:divBdr>
            <w:top w:val="none" w:sz="0" w:space="0" w:color="auto"/>
            <w:left w:val="none" w:sz="0" w:space="0" w:color="auto"/>
            <w:bottom w:val="none" w:sz="0" w:space="0" w:color="auto"/>
            <w:right w:val="none" w:sz="0" w:space="0" w:color="auto"/>
          </w:divBdr>
        </w:div>
        <w:div w:id="1231383009">
          <w:marLeft w:val="0"/>
          <w:marRight w:val="0"/>
          <w:marTop w:val="0"/>
          <w:marBottom w:val="0"/>
          <w:divBdr>
            <w:top w:val="none" w:sz="0" w:space="0" w:color="auto"/>
            <w:left w:val="none" w:sz="0" w:space="0" w:color="auto"/>
            <w:bottom w:val="none" w:sz="0" w:space="0" w:color="auto"/>
            <w:right w:val="none" w:sz="0" w:space="0" w:color="auto"/>
          </w:divBdr>
        </w:div>
        <w:div w:id="1924995484">
          <w:marLeft w:val="0"/>
          <w:marRight w:val="0"/>
          <w:marTop w:val="0"/>
          <w:marBottom w:val="0"/>
          <w:divBdr>
            <w:top w:val="none" w:sz="0" w:space="0" w:color="auto"/>
            <w:left w:val="none" w:sz="0" w:space="0" w:color="auto"/>
            <w:bottom w:val="none" w:sz="0" w:space="0" w:color="auto"/>
            <w:right w:val="none" w:sz="0" w:space="0" w:color="auto"/>
          </w:divBdr>
        </w:div>
        <w:div w:id="351340151">
          <w:marLeft w:val="0"/>
          <w:marRight w:val="0"/>
          <w:marTop w:val="0"/>
          <w:marBottom w:val="0"/>
          <w:divBdr>
            <w:top w:val="none" w:sz="0" w:space="0" w:color="auto"/>
            <w:left w:val="none" w:sz="0" w:space="0" w:color="auto"/>
            <w:bottom w:val="none" w:sz="0" w:space="0" w:color="auto"/>
            <w:right w:val="none" w:sz="0" w:space="0" w:color="auto"/>
          </w:divBdr>
        </w:div>
        <w:div w:id="246884619">
          <w:marLeft w:val="0"/>
          <w:marRight w:val="0"/>
          <w:marTop w:val="0"/>
          <w:marBottom w:val="0"/>
          <w:divBdr>
            <w:top w:val="none" w:sz="0" w:space="0" w:color="auto"/>
            <w:left w:val="none" w:sz="0" w:space="0" w:color="auto"/>
            <w:bottom w:val="none" w:sz="0" w:space="0" w:color="auto"/>
            <w:right w:val="none" w:sz="0" w:space="0" w:color="auto"/>
          </w:divBdr>
        </w:div>
        <w:div w:id="1053967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5031</Words>
  <Characters>2869</Characters>
  <Application>Microsoft Office Word</Application>
  <DocSecurity>0</DocSecurity>
  <Lines>23</Lines>
  <Paragraphs>15</Paragraphs>
  <ScaleCrop>false</ScaleCrop>
  <Company>NSSMC</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Носікова</dc:creator>
  <cp:keywords/>
  <dc:description/>
  <cp:lastModifiedBy>Ірина Носікова</cp:lastModifiedBy>
  <cp:revision>4</cp:revision>
  <dcterms:created xsi:type="dcterms:W3CDTF">2018-11-05T13:45:00Z</dcterms:created>
  <dcterms:modified xsi:type="dcterms:W3CDTF">2018-11-05T13:46:00Z</dcterms:modified>
</cp:coreProperties>
</file>