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870682" w:rsidRPr="00870682" w:rsidTr="00DC7146">
        <w:tc>
          <w:tcPr>
            <w:tcW w:w="2000" w:type="pct"/>
            <w:hideMark/>
          </w:tcPr>
          <w:p w:rsidR="00870682" w:rsidRPr="00870682" w:rsidRDefault="00870682" w:rsidP="00DC7146">
            <w:pPr>
              <w:spacing w:before="125" w:after="125" w:line="240" w:lineRule="auto"/>
              <w:jc w:val="right"/>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br/>
              <w:t>Додаток 5 </w:t>
            </w:r>
            <w:r w:rsidRPr="00870682">
              <w:rPr>
                <w:rFonts w:ascii="Times New Roman" w:eastAsia="Times New Roman" w:hAnsi="Times New Roman" w:cs="Times New Roman"/>
                <w:sz w:val="24"/>
                <w:szCs w:val="24"/>
                <w:lang w:eastAsia="uk-UA"/>
              </w:rPr>
              <w:br/>
              <w:t>до Положення про реєстрацію випуску </w:t>
            </w:r>
            <w:r w:rsidRPr="00870682">
              <w:rPr>
                <w:rFonts w:ascii="Times New Roman" w:eastAsia="Times New Roman" w:hAnsi="Times New Roman" w:cs="Times New Roman"/>
                <w:sz w:val="24"/>
                <w:szCs w:val="24"/>
                <w:lang w:eastAsia="uk-UA"/>
              </w:rPr>
              <w:br/>
              <w:t>сертифікатів фонду операцій </w:t>
            </w:r>
            <w:r w:rsidRPr="00870682">
              <w:rPr>
                <w:rFonts w:ascii="Times New Roman" w:eastAsia="Times New Roman" w:hAnsi="Times New Roman" w:cs="Times New Roman"/>
                <w:sz w:val="24"/>
                <w:szCs w:val="24"/>
                <w:lang w:eastAsia="uk-UA"/>
              </w:rPr>
              <w:br/>
              <w:t>з нерухомістю, проспекту емісії, </w:t>
            </w:r>
            <w:r w:rsidRPr="00870682">
              <w:rPr>
                <w:rFonts w:ascii="Times New Roman" w:eastAsia="Times New Roman" w:hAnsi="Times New Roman" w:cs="Times New Roman"/>
                <w:sz w:val="24"/>
                <w:szCs w:val="24"/>
                <w:lang w:eastAsia="uk-UA"/>
              </w:rPr>
              <w:br/>
              <w:t>звіту про результати розміщення </w:t>
            </w:r>
            <w:r w:rsidRPr="00870682">
              <w:rPr>
                <w:rFonts w:ascii="Times New Roman" w:eastAsia="Times New Roman" w:hAnsi="Times New Roman" w:cs="Times New Roman"/>
                <w:sz w:val="24"/>
                <w:szCs w:val="24"/>
                <w:lang w:eastAsia="uk-UA"/>
              </w:rPr>
              <w:br/>
              <w:t>сертифікатів фонду операцій </w:t>
            </w:r>
            <w:r w:rsidRPr="00870682">
              <w:rPr>
                <w:rFonts w:ascii="Times New Roman" w:eastAsia="Times New Roman" w:hAnsi="Times New Roman" w:cs="Times New Roman"/>
                <w:sz w:val="24"/>
                <w:szCs w:val="24"/>
                <w:lang w:eastAsia="uk-UA"/>
              </w:rPr>
              <w:br/>
              <w:t>з нерухомістю, погашення сертифікатів </w:t>
            </w:r>
            <w:r w:rsidRPr="00870682">
              <w:rPr>
                <w:rFonts w:ascii="Times New Roman" w:eastAsia="Times New Roman" w:hAnsi="Times New Roman" w:cs="Times New Roman"/>
                <w:sz w:val="24"/>
                <w:szCs w:val="24"/>
                <w:lang w:eastAsia="uk-UA"/>
              </w:rPr>
              <w:br/>
              <w:t>фонду операцій з нерухомістю </w:t>
            </w:r>
            <w:r w:rsidRPr="00870682">
              <w:rPr>
                <w:rFonts w:ascii="Times New Roman" w:eastAsia="Times New Roman" w:hAnsi="Times New Roman" w:cs="Times New Roman"/>
                <w:sz w:val="24"/>
                <w:szCs w:val="24"/>
                <w:lang w:eastAsia="uk-UA"/>
              </w:rPr>
              <w:br/>
              <w:t>та скасування реєстрації випуску </w:t>
            </w:r>
            <w:r w:rsidRPr="00870682">
              <w:rPr>
                <w:rFonts w:ascii="Times New Roman" w:eastAsia="Times New Roman" w:hAnsi="Times New Roman" w:cs="Times New Roman"/>
                <w:sz w:val="24"/>
                <w:szCs w:val="24"/>
                <w:lang w:eastAsia="uk-UA"/>
              </w:rPr>
              <w:br/>
              <w:t>(підпункт 4 пункту 1 глави 2 розділу ІІ)</w:t>
            </w:r>
          </w:p>
        </w:tc>
      </w:tr>
    </w:tbl>
    <w:p w:rsidR="00870682" w:rsidRPr="00870682" w:rsidRDefault="00870682" w:rsidP="00870682">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0" w:name="n316"/>
      <w:bookmarkEnd w:id="0"/>
      <w:r w:rsidRPr="00870682">
        <w:rPr>
          <w:rFonts w:ascii="Times New Roman" w:eastAsia="Times New Roman" w:hAnsi="Times New Roman" w:cs="Times New Roman"/>
          <w:b/>
          <w:bCs/>
          <w:color w:val="000000"/>
          <w:sz w:val="28"/>
          <w:lang w:eastAsia="uk-UA"/>
        </w:rPr>
        <w:t>РІШЕННЯ </w:t>
      </w:r>
      <w:r w:rsidRPr="00870682">
        <w:rPr>
          <w:rFonts w:ascii="Times New Roman" w:eastAsia="Times New Roman" w:hAnsi="Times New Roman" w:cs="Times New Roman"/>
          <w:color w:val="000000"/>
          <w:sz w:val="20"/>
          <w:szCs w:val="20"/>
          <w:lang w:eastAsia="uk-UA"/>
        </w:rPr>
        <w:br/>
      </w:r>
      <w:r w:rsidRPr="00870682">
        <w:rPr>
          <w:rFonts w:ascii="Times New Roman" w:eastAsia="Times New Roman" w:hAnsi="Times New Roman" w:cs="Times New Roman"/>
          <w:b/>
          <w:bCs/>
          <w:color w:val="000000"/>
          <w:sz w:val="28"/>
          <w:lang w:eastAsia="uk-UA"/>
        </w:rPr>
        <w:t>про приватне/публічне розміщення сертифікатів ФОН</w:t>
      </w:r>
    </w:p>
    <w:p w:rsidR="00870682" w:rsidRPr="00870682" w:rsidRDefault="00870682" w:rsidP="00870682">
      <w:pPr>
        <w:shd w:val="clear" w:color="auto" w:fill="FFFFFF"/>
        <w:spacing w:after="0" w:line="240" w:lineRule="auto"/>
        <w:jc w:val="center"/>
        <w:textAlignment w:val="baseline"/>
        <w:rPr>
          <w:rFonts w:ascii="Times New Roman" w:eastAsia="Times New Roman" w:hAnsi="Times New Roman" w:cs="Times New Roman"/>
          <w:color w:val="000000"/>
          <w:sz w:val="20"/>
          <w:szCs w:val="20"/>
          <w:lang w:eastAsia="uk-UA"/>
        </w:rPr>
      </w:pPr>
      <w:bookmarkStart w:id="1" w:name="n317"/>
      <w:bookmarkEnd w:id="1"/>
      <w:r w:rsidRPr="00870682">
        <w:rPr>
          <w:rFonts w:ascii="Times New Roman" w:eastAsia="Times New Roman" w:hAnsi="Times New Roman" w:cs="Times New Roman"/>
          <w:color w:val="000000"/>
          <w:sz w:val="20"/>
          <w:szCs w:val="20"/>
          <w:lang w:eastAsia="uk-UA"/>
        </w:rPr>
        <w:t>____________________________________________________________________</w:t>
      </w:r>
      <w:r w:rsidRPr="00870682">
        <w:rPr>
          <w:rFonts w:ascii="Times New Roman" w:eastAsia="Times New Roman" w:hAnsi="Times New Roman" w:cs="Times New Roman"/>
          <w:color w:val="000000"/>
          <w:sz w:val="20"/>
          <w:lang w:eastAsia="uk-UA"/>
        </w:rPr>
        <w:t> </w:t>
      </w:r>
      <w:r w:rsidRPr="00870682">
        <w:rPr>
          <w:rFonts w:ascii="Times New Roman" w:eastAsia="Times New Roman" w:hAnsi="Times New Roman" w:cs="Times New Roman"/>
          <w:color w:val="000000"/>
          <w:sz w:val="20"/>
          <w:szCs w:val="20"/>
          <w:lang w:eastAsia="uk-UA"/>
        </w:rPr>
        <w:br/>
      </w:r>
      <w:r w:rsidRPr="00870682">
        <w:rPr>
          <w:rFonts w:ascii="Times New Roman" w:eastAsia="Times New Roman" w:hAnsi="Times New Roman" w:cs="Times New Roman"/>
          <w:color w:val="000000"/>
          <w:sz w:val="20"/>
          <w:lang w:eastAsia="uk-UA"/>
        </w:rPr>
        <w:t>(найменування емітента, код за ЄДРПОУ, місцезнаходження)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85"/>
        <w:gridCol w:w="7991"/>
        <w:gridCol w:w="1073"/>
      </w:tblGrid>
      <w:tr w:rsidR="00870682" w:rsidRPr="00870682" w:rsidTr="00870682">
        <w:tc>
          <w:tcPr>
            <w:tcW w:w="3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bookmarkStart w:id="2" w:name="n318"/>
            <w:bookmarkEnd w:id="2"/>
            <w:r w:rsidRPr="00870682">
              <w:rPr>
                <w:rFonts w:ascii="Times New Roman" w:eastAsia="Times New Roman" w:hAnsi="Times New Roman" w:cs="Times New Roman"/>
                <w:sz w:val="24"/>
                <w:szCs w:val="24"/>
                <w:lang w:eastAsia="uk-UA"/>
              </w:rPr>
              <w:t>1</w:t>
            </w: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Дата і номер рішення (протоколу) про розміщення сертифікатів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300" w:type="pct"/>
            <w:vMerge w:val="restar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2</w:t>
            </w:r>
          </w:p>
        </w:tc>
        <w:tc>
          <w:tcPr>
            <w:tcW w:w="4650" w:type="pct"/>
            <w:gridSpan w:val="2"/>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Інформація про емітента сертифікатів ФОН:</w:t>
            </w: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номери телефонів, електронна пошта та інші засоби зв'язку</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дата створення, зміни організаційно-правової форми, найменування емітента</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предмет діяльності</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відомості про внесення емітента відповідним державним органом до Державного реєстру фінансових установ або до Державного реєстру банків</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розмір власного капіталу емітента на дату прийняття рішення про розміщення сертифікатів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розмір статутного капіталу на дату прийняття рішення, відомості щодо його сплати. Якщо емітент планує змінити (збільшити або зменшити) розмір статутного капіталу і на момент подання рішення про розміщення сертифікатів ФОН на реєстрацію до органу реєстрації емітент здійснив оголошення про скликання загальних зборів, до порядку денного яких включено питання про зміну розміру статутного капіталу, але зміни до статуту емітента, пов'язані зі зміною розміру статутного капіталу, не зареєстровані, емітент зобов'язаний відобразити таку інформацію в рішенні про розміщення сертифікатів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300" w:type="pct"/>
            <w:vMerge w:val="restar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3</w:t>
            </w:r>
          </w:p>
        </w:tc>
        <w:tc>
          <w:tcPr>
            <w:tcW w:w="4650" w:type="pct"/>
            <w:gridSpan w:val="2"/>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Інформація про ФОН:</w:t>
            </w: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найменування фонду операцій з нерухомістю</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дата початку та закінчення дії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порядок розподілу грошових коштів, отриманих від реалізації майна, у разі припинення функціонування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порядок встановлення управління майном та визначення обмеження</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напрями та обмеження щодо інвестування коштів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300" w:type="pct"/>
            <w:vMerge w:val="restar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lastRenderedPageBreak/>
              <w:t>4</w:t>
            </w: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Інформація про сертифікати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інформація про результати розміщення раніше випущених сертифікатів ФОН на дату прийняття рішення (із зазначенням реквізитів свідоцтв про реєстрацію випуску сертифікатів ФОН, кількості, номінальної вартості та загальної суми емісії, найменування ФОН, строку дії ФОН, строку обігу сертифікатів, дат початку та закінчення виплати доходу, найменування об'єкта будівництва та терміну введення його в експлуатацію, вартості чистих активів відповідного ФОН, що припадає на один сертифікат ФОН, станом на останню звітну дату)</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вартість одного євро за курсом Національного банку України на дату прийняття рішення про розміщення сертифікатів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загальний обсяг емісії сертифікатів ФОН; у разі випуску сертифікатів ФОН різними серіями - кожної серії, кількість сертифікатів ФОН, порядок розміщення, номінальна вартість та ціна розміщення</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напрями використання залучених коштів (опис щодо напрямів та обмеження інвестування коштів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дати початку і закінчення розміщення та порядок оплати сертифікатів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строк обігу сертифікатів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порядок виплати доходу за сертифікатами ФОН: </w:t>
            </w:r>
            <w:r w:rsidRPr="00870682">
              <w:rPr>
                <w:rFonts w:ascii="Times New Roman" w:eastAsia="Times New Roman" w:hAnsi="Times New Roman" w:cs="Times New Roman"/>
                <w:sz w:val="24"/>
                <w:szCs w:val="24"/>
                <w:lang w:eastAsia="uk-UA"/>
              </w:rPr>
              <w:br/>
              <w:t>порядок розрахунку виплати доходу за сертифікатами ФОН; </w:t>
            </w:r>
            <w:r w:rsidRPr="00870682">
              <w:rPr>
                <w:rFonts w:ascii="Times New Roman" w:eastAsia="Times New Roman" w:hAnsi="Times New Roman" w:cs="Times New Roman"/>
                <w:sz w:val="24"/>
                <w:szCs w:val="24"/>
                <w:lang w:eastAsia="uk-UA"/>
              </w:rPr>
              <w:br/>
              <w:t>порядок та строки виплати доходу за сертифікатами ФОН; </w:t>
            </w:r>
            <w:r w:rsidRPr="00870682">
              <w:rPr>
                <w:rFonts w:ascii="Times New Roman" w:eastAsia="Times New Roman" w:hAnsi="Times New Roman" w:cs="Times New Roman"/>
                <w:sz w:val="24"/>
                <w:szCs w:val="24"/>
                <w:lang w:eastAsia="uk-UA"/>
              </w:rPr>
              <w:br/>
              <w:t>дії емітента у разі несвоєчасного подання власником сертифікатів ФОН сертифікатів ФОН для виплати доходу;</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порядок погашення сертифікатів ФОН: </w:t>
            </w:r>
            <w:r w:rsidRPr="00870682">
              <w:rPr>
                <w:rFonts w:ascii="Times New Roman" w:eastAsia="Times New Roman" w:hAnsi="Times New Roman" w:cs="Times New Roman"/>
                <w:sz w:val="24"/>
                <w:szCs w:val="24"/>
                <w:lang w:eastAsia="uk-UA"/>
              </w:rPr>
              <w:br/>
              <w:t>порядок та строки погашення сертифікатів ФОН; </w:t>
            </w:r>
            <w:r w:rsidRPr="00870682">
              <w:rPr>
                <w:rFonts w:ascii="Times New Roman" w:eastAsia="Times New Roman" w:hAnsi="Times New Roman" w:cs="Times New Roman"/>
                <w:sz w:val="24"/>
                <w:szCs w:val="24"/>
                <w:lang w:eastAsia="uk-UA"/>
              </w:rPr>
              <w:br/>
              <w:t>дії емітента у разі несвоєчасного подання власником сертифікатів ФОН сертифікатів ФОН для погашення</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порядок та строки викупу сертифікатів ФОН емітентом на вимогу власників сертифікатів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3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5</w:t>
            </w: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Інформація про забудовника, підрядника (повне найменування, місцезнаходження, номери телефонів, дані щодо дозволів та ліцензій із зазначенням строку їх дії)</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300" w:type="pct"/>
            <w:vMerge w:val="restar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6</w:t>
            </w: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Інформація про об'єкт фінансування будівництва:</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ідентифікація об'єкта будівництва із зазначенням місця (майданчика), де буде споруджуватися об'єкт будівництва, та терміну введення в експлуатацію;</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реквізити документа, що підтверджує виділення землі під будівництво об'єкта нерухомості;</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реквізити документа, який підтверджує право на забудову земельної ділянки;</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 xml:space="preserve">реквізити договору між емітентом і забудовником та оформлення </w:t>
            </w:r>
            <w:r w:rsidRPr="00870682">
              <w:rPr>
                <w:rFonts w:ascii="Times New Roman" w:eastAsia="Times New Roman" w:hAnsi="Times New Roman" w:cs="Times New Roman"/>
                <w:sz w:val="24"/>
                <w:szCs w:val="24"/>
                <w:lang w:eastAsia="uk-UA"/>
              </w:rPr>
              <w:lastRenderedPageBreak/>
              <w:t xml:space="preserve">забезпечення зобов'язань забудовника за таким договором (дані щодо договору уступки майнових прав на нерухомість, яка є об'єктом будівництва, та договору доручення з </w:t>
            </w:r>
            <w:proofErr w:type="spellStart"/>
            <w:r w:rsidRPr="00870682">
              <w:rPr>
                <w:rFonts w:ascii="Times New Roman" w:eastAsia="Times New Roman" w:hAnsi="Times New Roman" w:cs="Times New Roman"/>
                <w:sz w:val="24"/>
                <w:szCs w:val="24"/>
                <w:lang w:eastAsia="uk-UA"/>
              </w:rPr>
              <w:t>відкладальними</w:t>
            </w:r>
            <w:proofErr w:type="spellEnd"/>
            <w:r w:rsidRPr="00870682">
              <w:rPr>
                <w:rFonts w:ascii="Times New Roman" w:eastAsia="Times New Roman" w:hAnsi="Times New Roman" w:cs="Times New Roman"/>
                <w:sz w:val="24"/>
                <w:szCs w:val="24"/>
                <w:lang w:eastAsia="uk-UA"/>
              </w:rPr>
              <w:t xml:space="preserve"> умовами)</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300" w:type="pct"/>
            <w:vMerge w:val="restar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lastRenderedPageBreak/>
              <w:t>7</w:t>
            </w:r>
          </w:p>
        </w:tc>
        <w:tc>
          <w:tcPr>
            <w:tcW w:w="4650" w:type="pct"/>
            <w:gridSpan w:val="2"/>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Інформація про:</w:t>
            </w: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proofErr w:type="spellStart"/>
            <w:r w:rsidRPr="00870682">
              <w:rPr>
                <w:rFonts w:ascii="Times New Roman" w:eastAsia="Times New Roman" w:hAnsi="Times New Roman" w:cs="Times New Roman"/>
                <w:sz w:val="24"/>
                <w:szCs w:val="24"/>
                <w:lang w:eastAsia="uk-UA"/>
              </w:rPr>
              <w:t>андеррайтера</w:t>
            </w:r>
            <w:proofErr w:type="spellEnd"/>
            <w:r w:rsidRPr="00870682">
              <w:rPr>
                <w:rFonts w:ascii="Times New Roman" w:eastAsia="Times New Roman" w:hAnsi="Times New Roman" w:cs="Times New Roman"/>
                <w:sz w:val="24"/>
                <w:szCs w:val="24"/>
                <w:lang w:eastAsia="uk-UA"/>
              </w:rPr>
              <w:t xml:space="preserve"> (якщо емітент користується його послугами щодо розміщення цього випуску) із зазначенням повного та скороченого найменування (за наявності), місцезнаходження, номерів телефонів та факсів, ідентифікаційного коду за ЄДРПОУ, дати видачі ліцензії на здійснення професійної діяльності на ринку цінних паперів - діяльності з торгівлі цінними паперами та терміну дії ліцензії</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682" w:rsidRPr="00870682" w:rsidRDefault="00870682" w:rsidP="00870682">
            <w:pPr>
              <w:spacing w:after="0" w:line="240" w:lineRule="auto"/>
              <w:rPr>
                <w:rFonts w:ascii="Times New Roman" w:eastAsia="Times New Roman" w:hAnsi="Times New Roman" w:cs="Times New Roman"/>
                <w:sz w:val="24"/>
                <w:szCs w:val="24"/>
                <w:lang w:eastAsia="uk-UA"/>
              </w:rPr>
            </w:pP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аудитора (аудиторську фірму) із зазначенням повного та скороченого найменування (за наявності), місцезнаходження, ідентифікаційного коду за ЄДРПОУ, номера та терміну дії ліцензії (відомостей про внесення до відповідного реєстру)</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3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8</w:t>
            </w: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Перелік осіб, серед яких буде здійснюватися приватне розміщення сертифікатів ФОН (у разі приватного розміщення сертифікатів ФОН)</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r w:rsidR="00870682" w:rsidRPr="00870682" w:rsidTr="00870682">
        <w:tc>
          <w:tcPr>
            <w:tcW w:w="3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9</w:t>
            </w:r>
          </w:p>
        </w:tc>
        <w:tc>
          <w:tcPr>
            <w:tcW w:w="41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textAlignment w:val="baseline"/>
              <w:rPr>
                <w:rFonts w:ascii="Times New Roman" w:eastAsia="Times New Roman" w:hAnsi="Times New Roman" w:cs="Times New Roman"/>
                <w:sz w:val="24"/>
                <w:szCs w:val="24"/>
                <w:lang w:eastAsia="uk-UA"/>
              </w:rPr>
            </w:pPr>
            <w:r w:rsidRPr="00870682">
              <w:rPr>
                <w:rFonts w:ascii="Times New Roman" w:eastAsia="Times New Roman" w:hAnsi="Times New Roman" w:cs="Times New Roman"/>
                <w:sz w:val="24"/>
                <w:szCs w:val="24"/>
                <w:lang w:eastAsia="uk-UA"/>
              </w:rPr>
              <w:t>Інші відомості</w:t>
            </w:r>
          </w:p>
        </w:tc>
        <w:tc>
          <w:tcPr>
            <w:tcW w:w="500" w:type="pct"/>
            <w:tcBorders>
              <w:top w:val="single" w:sz="4" w:space="0" w:color="000000"/>
              <w:left w:val="single" w:sz="4" w:space="0" w:color="000000"/>
              <w:bottom w:val="single" w:sz="4" w:space="0" w:color="000000"/>
              <w:right w:val="single" w:sz="4" w:space="0" w:color="000000"/>
            </w:tcBorders>
            <w:hideMark/>
          </w:tcPr>
          <w:p w:rsidR="00870682" w:rsidRPr="00870682" w:rsidRDefault="00870682" w:rsidP="00870682">
            <w:pPr>
              <w:spacing w:before="125" w:after="125" w:line="240" w:lineRule="auto"/>
              <w:jc w:val="center"/>
              <w:textAlignment w:val="baseline"/>
              <w:rPr>
                <w:rFonts w:ascii="Times New Roman" w:eastAsia="Times New Roman" w:hAnsi="Times New Roman" w:cs="Times New Roman"/>
                <w:sz w:val="24"/>
                <w:szCs w:val="24"/>
                <w:lang w:eastAsia="uk-UA"/>
              </w:rPr>
            </w:pPr>
          </w:p>
        </w:tc>
      </w:tr>
    </w:tbl>
    <w:p w:rsidR="00455C81" w:rsidRDefault="00455C81"/>
    <w:sectPr w:rsidR="00455C81" w:rsidSect="00455C8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70682"/>
    <w:rsid w:val="00455C81"/>
    <w:rsid w:val="00870682"/>
    <w:rsid w:val="00C156E2"/>
    <w:rsid w:val="00DC714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8706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870682"/>
  </w:style>
  <w:style w:type="paragraph" w:customStyle="1" w:styleId="rvps7">
    <w:name w:val="rvps7"/>
    <w:basedOn w:val="a"/>
    <w:rsid w:val="008706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70682"/>
  </w:style>
  <w:style w:type="paragraph" w:customStyle="1" w:styleId="rvps12">
    <w:name w:val="rvps12"/>
    <w:basedOn w:val="a"/>
    <w:rsid w:val="008706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870682"/>
  </w:style>
</w:styles>
</file>

<file path=word/webSettings.xml><?xml version="1.0" encoding="utf-8"?>
<w:webSettings xmlns:r="http://schemas.openxmlformats.org/officeDocument/2006/relationships" xmlns:w="http://schemas.openxmlformats.org/wordprocessingml/2006/main">
  <w:divs>
    <w:div w:id="460344951">
      <w:bodyDiv w:val="1"/>
      <w:marLeft w:val="0"/>
      <w:marRight w:val="0"/>
      <w:marTop w:val="0"/>
      <w:marBottom w:val="0"/>
      <w:divBdr>
        <w:top w:val="none" w:sz="0" w:space="0" w:color="auto"/>
        <w:left w:val="none" w:sz="0" w:space="0" w:color="auto"/>
        <w:bottom w:val="none" w:sz="0" w:space="0" w:color="auto"/>
        <w:right w:val="none" w:sz="0" w:space="0" w:color="auto"/>
      </w:divBdr>
      <w:divsChild>
        <w:div w:id="1081833063">
          <w:marLeft w:val="0"/>
          <w:marRight w:val="0"/>
          <w:marTop w:val="0"/>
          <w:marBottom w:val="125"/>
          <w:divBdr>
            <w:top w:val="none" w:sz="0" w:space="0" w:color="auto"/>
            <w:left w:val="none" w:sz="0" w:space="0" w:color="auto"/>
            <w:bottom w:val="none" w:sz="0" w:space="0" w:color="auto"/>
            <w:right w:val="none" w:sz="0" w:space="0" w:color="auto"/>
          </w:divBdr>
        </w:div>
        <w:div w:id="1759329862">
          <w:marLeft w:val="0"/>
          <w:marRight w:val="0"/>
          <w:marTop w:val="125"/>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3271</Words>
  <Characters>1865</Characters>
  <Application>Microsoft Office Word</Application>
  <DocSecurity>0</DocSecurity>
  <Lines>15</Lines>
  <Paragraphs>10</Paragraphs>
  <ScaleCrop>false</ScaleCrop>
  <Company>Національна комісія</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alla.valyorko</dc:creator>
  <cp:lastModifiedBy>alla.valyorko</cp:lastModifiedBy>
  <cp:revision>2</cp:revision>
  <dcterms:created xsi:type="dcterms:W3CDTF">2017-04-06T09:50:00Z</dcterms:created>
  <dcterms:modified xsi:type="dcterms:W3CDTF">2017-04-06T12:36:00Z</dcterms:modified>
</cp:coreProperties>
</file>