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E15ADD" w:rsidRPr="00E15ADD" w:rsidTr="00E15ADD">
        <w:tc>
          <w:tcPr>
            <w:tcW w:w="2000" w:type="pct"/>
            <w:hideMark/>
          </w:tcPr>
          <w:p w:rsidR="00E15ADD" w:rsidRPr="00E15ADD" w:rsidRDefault="00E15ADD" w:rsidP="00E15ADD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7 </w:t>
            </w:r>
            <w:r w:rsidRPr="00E15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E15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E15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E15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E15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2 пункту 1 глави 2 розділу ІІІ)</w:t>
            </w:r>
          </w:p>
        </w:tc>
      </w:tr>
    </w:tbl>
    <w:p w:rsidR="00E15ADD" w:rsidRPr="00E15ADD" w:rsidRDefault="00E15ADD" w:rsidP="00E15ADD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801"/>
      <w:bookmarkEnd w:id="0"/>
      <w:r w:rsidRPr="00E15AD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РІШЕННЯ </w:t>
      </w:r>
      <w:r w:rsidRPr="00E15A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E15AD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публічне/приватне розміщення облігацій</w:t>
      </w:r>
    </w:p>
    <w:p w:rsidR="00E15ADD" w:rsidRPr="00E15ADD" w:rsidRDefault="00E15ADD" w:rsidP="00E15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02"/>
      <w:bookmarkEnd w:id="1"/>
      <w:r w:rsidRPr="00E15A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 </w:t>
      </w:r>
      <w:r w:rsidRPr="00E15A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E15AD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(найменування емітента, код за ЄДРПОУ, місцезнаходження)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"/>
        <w:gridCol w:w="8202"/>
        <w:gridCol w:w="1120"/>
      </w:tblGrid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803"/>
            <w:bookmarkEnd w:id="2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Дата і номер рішення (протоколу) про розміщення облігацій; найменування органу, який прийняв рішення; порядок проведення та кількість учасників голосування; кількість та відсоток голосів, якими приймалось рішення про розміщення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rPr>
          <w:trHeight w:val="43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Мета використання фінансових ресурсів, залучених від розміщення облігацій (конкретні обсяги та напрями використання, зокрема інформація про об'єкт житлового будівництва, яким забезпечується виконання зобов'язань за цільовими облігаціями у разі прийняття рішення про публічне/приватне розміщення цільових облігацій, виконання зобов'язань за якими передбачається об'єктами житлового будівництва, для фінансування будівництва яких залучаються кошти від фізичних та юридичних осіб через розміщення облігацій)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rPr>
          <w:trHeight w:val="43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Джерела погашення та виплати доходу за облігаціями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rPr>
          <w:trHeight w:val="43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4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Зобов’язання емітента щодо невикористання коштів, отриманих при розміщенні облігацій в рахунок їх оплати, для формування і поповнення статутного капіталу емітента, а також покриття збитків від господарської діяльності шляхом зарахування доходу від продажу облігацій як результату поточної господарської діяльності</w:t>
            </w:r>
          </w:p>
        </w:tc>
      </w:tr>
      <w:tr w:rsidR="00E15ADD" w:rsidRPr="00E15ADD" w:rsidTr="00E15ADD">
        <w:trPr>
          <w:trHeight w:val="43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5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Розмір статутного капіталу емітента на дату прийняття рішення, відомості щодо його оплати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rPr>
          <w:trHeight w:val="43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6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Розмір власного капіталу емітента на дату прийняття рішення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7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Інформація про облігації, які пропонуються до розміщення:</w:t>
            </w:r>
          </w:p>
        </w:tc>
      </w:tr>
      <w:tr w:rsidR="00E15ADD" w:rsidRPr="00E15ADD" w:rsidTr="00E15ADD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1)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параметри випуску:</w:t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характеристика облігацій (іменні; відсоткові/цільові/дисконтні; звичайні (незабезпечені)/забезпечені)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кількість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номінальна вартість облігації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rPr>
          <w:trHeight w:val="3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загальна номінальна вартість випуску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rPr>
          <w:trHeight w:val="3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серія облігацій*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кількість облігацій та порядкові номери облігацій в серії облігацій*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загальна номінальна вартість облігацій в серії облігацій*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2)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інформація щодо забезпечення облігацій (у разі прийняття рішення про публічне/приватне розміщення забезпечених облігацій):</w:t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вид забезпечення (порука щодо забезпечення виконання зобов'язання стосовно погашення основної суми боргу/ погашення основної суми боргу та виплати доходу за облігаціями або гарантія щодо погашення основної суми боргу/погашення основної суми боргу та виплати доходу за облігаціями)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розмір забезпечення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найменування, місцезнаходження, код за ЄДРПОУ поручителя(</w:t>
            </w:r>
            <w:proofErr w:type="spellStart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ів</w:t>
            </w:r>
            <w:proofErr w:type="spellEnd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)/гаранта(</w:t>
            </w:r>
            <w:proofErr w:type="spellStart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ів</w:t>
            </w:r>
            <w:proofErr w:type="spellEnd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), місце та дата проведення його (їх) державної реєстрації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розмір власного капіталу поручителя(</w:t>
            </w:r>
            <w:proofErr w:type="spellStart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ів</w:t>
            </w:r>
            <w:proofErr w:type="spellEnd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)/гаранта(</w:t>
            </w:r>
            <w:proofErr w:type="spellStart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ів</w:t>
            </w:r>
            <w:proofErr w:type="spellEnd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реквізити документів, що підтверджують забезпечення (гарантія/ договір поруки)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повідомлення власників забезпечених облігацій про зміну поручителя(</w:t>
            </w:r>
            <w:proofErr w:type="spellStart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ів</w:t>
            </w:r>
            <w:proofErr w:type="spellEnd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)/гаранта(</w:t>
            </w:r>
            <w:proofErr w:type="spellStart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ів</w:t>
            </w:r>
            <w:proofErr w:type="spellEnd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та умови конвертації облігацій у власні акції емітента (для емітентів - акціонерних товариств)*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rPr>
          <w:trHeight w:val="37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4)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інформація про права, які надаються власникам облігацій, які планується розмістити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rPr>
          <w:trHeight w:val="525"/>
        </w:trPr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8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публічного/приватного розміщення облігацій та їх оплати:</w:t>
            </w:r>
          </w:p>
        </w:tc>
      </w:tr>
      <w:tr w:rsidR="00E15ADD" w:rsidRPr="00E15ADD" w:rsidTr="00E15ADD">
        <w:tc>
          <w:tcPr>
            <w:tcW w:w="3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1)</w:t>
            </w:r>
          </w:p>
        </w:tc>
        <w:tc>
          <w:tcPr>
            <w:tcW w:w="81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дати початку та закінчення укладення договорів з першими власниками у процесі публічного/приватного розміщення облігацій; адреса, де відбуватиметься укладення договорів з першими власниками у процесі публічного/приватного розміщення облігацій</w:t>
            </w:r>
          </w:p>
        </w:tc>
        <w:tc>
          <w:tcPr>
            <w:tcW w:w="7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можливість дострокового закінчення укладення договорів з першими власниками у процесі публічного/приватного розміщення облігацій (у разі приватного розміщення - якщо на запланований обсяг облігацій укладено договори з першими власниками та облігації повністю оплачено)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дії, що проводяться в разі дострокового закінчення укладення договорів з першими власниками у процесі публічного/приватного розміщення облігацій (якщо на запланований обсяг облігацій укладено договори з першими власниками та облігації повністю оплачено)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4)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подання заяв на придбання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5)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укладання договорів купівлі-продажу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6)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строк та порядок оплати облігацій, зокрема:</w:t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запланована ціна продажу облігацій під час розміщення (за номінальною вартістю/з дисконтом (нижче номінальної вартості)/з премією (вище номінальної вартості))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валюта, у якій здійснюється оплата облігацій (національна або іноземна валюта)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найменування і реквізити банку та номер поточного рахунку, на який вноситиметься оплата за облігації (якщо оплата облігацій здійснюється у національній валюті та іноземній валюті, - окремо вказуються номери рахунків у національній та іноземній валютах)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строк оплати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7)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 xml:space="preserve">відомості про </w:t>
            </w:r>
            <w:proofErr w:type="spellStart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андеррайтера</w:t>
            </w:r>
            <w:proofErr w:type="spellEnd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 xml:space="preserve"> (якщо емітент користується його послугами щодо розміщення облігацій цього випуску):</w:t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повне найменування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код за ЄДРПОУ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місцезнаходження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номери телефонів та факсів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 xml:space="preserve">номер і дата видачі ліцензії на провадження професійної діяльності на фондовому ринку - діяльності з торгівлі цінними паперами, а саме, </w:t>
            </w:r>
            <w:proofErr w:type="spellStart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андеррайтингу</w:t>
            </w:r>
            <w:proofErr w:type="spellEnd"/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8)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відомості про фондову біржу, через яку прийнято рішення здійснювати публічне розміщення облігацій (у разі прийняття рішення про публічне розміщення облігацій):</w:t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повне найменування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код за ЄДРПОУ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місцезнаходження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номери телефонів та факсів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номер і дата видачі ліцензії на провадження професійної діяльності на фондовому ринку - діяльності з організації торгівлі на фондовому ринку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9)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відомості про особу, визначену на надання емітенту реєстру власників іменних цінних паперів (депозитарну установу/Центральний депозитарій цінних паперів):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повне найменування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місцезнаходження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код за ЄДРПОУ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реквізити договору про надання реєстру власників іменних цінних паперів (номер, дата укладення) (зазначаються у разі складання такого договору)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номер, серія та дата видачі ліцензії на здійснення професійної діяльності на фондовому ринку - депозитарної діяльності депозитарної установи (зазначаються у разі, якщо особою, визначеною на надання емітенту реєстру власників іменних цінних паперів, є депозитарна установа)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9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Строк та порядок повернення внесків, внесених в оплату за облігації, у разі визнання емісії облігацій недійсною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10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 xml:space="preserve">Строк та порядок повернення внесків, внесених в оплату за облігації, у разі </w:t>
            </w:r>
            <w:proofErr w:type="spellStart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незатвердження</w:t>
            </w:r>
            <w:proofErr w:type="spellEnd"/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 xml:space="preserve"> у встановлені строки результатів укладення договорів з першими власниками у процесі публічного/приватного розміщення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11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надання копії зареєстрованого проспекту емісії облігацій та копії зареєстрованих змін до проспекту емісії облігацій (у разі внесення таких змін) особам, які є учасниками приватного розміщення облігацій (у разі прийняття рішення про приватне розміщення облігацій)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12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Перелік осіб, які є учасниками приватного розміщення облігацій (у разі прийняття рішення про приватне розміщення облігацій), із зазначенням: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для юридичних осіб - резидентів: найменування, місцезнаходження, коду за ЄДРПОУ, місця та дати проведення державної реєстрації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для юридичних осіб - нерезидентів: найменування, місцезнаходження, реквізитів документа, що свідчить про реєстрацію цієї юридичної особи в країні її місцезнаходження (копія легалізованого витягу торговельного, банківського чи судового реєстру або засвідчене нотаріально реєстраційне посвідчення уповноваженого органу іноземної держави про реєстрацію відповідної юридичної особи)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для фізичних осіб - резидентів: прізвища, імені, по батькові, місця проживання, номера та серії паспорта або іншого документа, що посвідчує особу, дати його видачі, найменування органу, що видав відповідний документ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4)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для фізичних осіб - нерезидентів: прізвища, імені, по батькові (за наявності), громадянства, номера та серії паспорта або іншого документа, що посвідчує особу, дати його видачі, найменування органу, що видав відповідний документ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13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Умови та дата закінчення обігу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14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Інформація щодо викупу емітентом облігацій: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випадки, у яких емітент здійснює обов'язковий викуп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повідомлення власників облігацій про здійснення викупу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встановлення ціни викупу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строк, у який облігації можуть бути пред'явлені їх власниками для викупу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15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виплати відсоткового доходу за облігаціями (у разі прийняття рішення про публічне/приватне розміщення відсоткових облігацій):</w:t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дати початку і закінчення виплати доходу за облігаціями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заплановані відсотки (або межі, у яких емітент може визначити розмір відсоткового доходу за відсотковими облігаціями, щодо яких прийнято рішення про публічне розміщення, під час розміщення), метод розрахунку та порядок виплати відсоткового доходу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3)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валюта, у якій здійснюється виплата відсоткового доходу (національна або іноземна валюта)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4)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переказу коштів власникам облігацій з метою забезпечення виплати відсоткового доходу за облігаціями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16</w:t>
            </w:r>
          </w:p>
        </w:tc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погашення облігацій:</w:t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дати початку і закінчення погашення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2)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 xml:space="preserve">умови та порядок надання товарів (послуг) (у разі прийняття рішення про публічне/приватне </w:t>
            </w: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lastRenderedPageBreak/>
              <w:t>розміщення цільових облігацій)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lastRenderedPageBreak/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lastRenderedPageBreak/>
              <w:t>3)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порядок виплати номінальної вартості облігації із зазначенням валюти, у якій здійснюється погашення (національна або іноземна валюта) (у разі прийняття рішення про публічне/приватне розміщення відсоткових/дисконтних облігацій)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4)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можливість дострокового погашення емітентом всього випуску (серії) облігацій за власною ініціативою (порядок повідомлення власників облігацій про прийняття емітентом рішення про дострокове погашення випуску (серії) облігацій; порядок встановлення ціни дострокового погашення облігацій; строк, у який облігації мають бути пред'явлені для дострокового погашення)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5)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можливість дострокового погашення облігацій за вимогою їх власників (порядок повідомлення власників облігацій про прийняття емітентом рішення про дострокове погашення випуску (серії) облігацій; порядок встановлення ціни дострокового погашення облігацій; строк, у який облігації можуть бути пред'явлені для дострокового погашення)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ADD" w:rsidRPr="00E15ADD" w:rsidRDefault="00E15ADD" w:rsidP="00E1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дії, які проводяться у разі несвоєчасного подання облігацій для погашення (дострокового погашення) випуску (серії) облігацій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  <w:tr w:rsidR="00E15ADD" w:rsidRPr="00E15ADD" w:rsidTr="00E15ADD"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17</w:t>
            </w:r>
          </w:p>
        </w:tc>
        <w:tc>
          <w:tcPr>
            <w:tcW w:w="8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Інші відомості*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5ADD" w:rsidRPr="00E15ADD" w:rsidRDefault="00E15ADD" w:rsidP="00E15A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E15ADD" w:rsidRPr="00E15ADD" w:rsidRDefault="00E15ADD" w:rsidP="00E15A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804"/>
      <w:bookmarkEnd w:id="3"/>
      <w:r w:rsidRPr="00E15AD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E15A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15A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E15AD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За наявності.</w:t>
      </w:r>
    </w:p>
    <w:p w:rsidR="00E15ADD" w:rsidRPr="00E15ADD" w:rsidRDefault="00E15ADD" w:rsidP="00E15AD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048"/>
      <w:bookmarkEnd w:id="4"/>
      <w:r w:rsidRPr="00E15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7 із змінами, внесеними згідно з Рішеннями Національної комісії з цінних паперів та фондового ринку </w:t>
      </w:r>
      <w:hyperlink r:id="rId4" w:anchor="n78" w:tgtFrame="_blank" w:history="1">
        <w:r w:rsidRPr="00E15AD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1453 від 28.10.2014</w:t>
        </w:r>
      </w:hyperlink>
      <w:r w:rsidRPr="00E15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, </w:t>
      </w:r>
      <w:hyperlink r:id="rId5" w:anchor="n157" w:tgtFrame="_blank" w:history="1">
        <w:r w:rsidRPr="00E15AD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1104 від 10.11.2016</w:t>
        </w:r>
      </w:hyperlink>
      <w:r w:rsidRPr="00E15A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5ADD"/>
    <w:rsid w:val="004348FC"/>
    <w:rsid w:val="00E1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E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15ADD"/>
  </w:style>
  <w:style w:type="paragraph" w:customStyle="1" w:styleId="rvps7">
    <w:name w:val="rvps7"/>
    <w:basedOn w:val="a"/>
    <w:rsid w:val="00E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15ADD"/>
  </w:style>
  <w:style w:type="paragraph" w:customStyle="1" w:styleId="rvps12">
    <w:name w:val="rvps12"/>
    <w:basedOn w:val="a"/>
    <w:rsid w:val="00E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E15ADD"/>
  </w:style>
  <w:style w:type="paragraph" w:customStyle="1" w:styleId="rvps2">
    <w:name w:val="rvps2"/>
    <w:basedOn w:val="a"/>
    <w:rsid w:val="00E1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E15ADD"/>
  </w:style>
  <w:style w:type="character" w:styleId="a3">
    <w:name w:val="Hyperlink"/>
    <w:basedOn w:val="a0"/>
    <w:uiPriority w:val="99"/>
    <w:semiHidden/>
    <w:unhideWhenUsed/>
    <w:rsid w:val="00E15A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9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6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z1583-16/paran157" TargetMode="External"/><Relationship Id="rId4" Type="http://schemas.openxmlformats.org/officeDocument/2006/relationships/hyperlink" Target="http://zakon3.rada.gov.ua/laws/show/z1460-14/paran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6680</Words>
  <Characters>3808</Characters>
  <Application>Microsoft Office Word</Application>
  <DocSecurity>0</DocSecurity>
  <Lines>31</Lines>
  <Paragraphs>20</Paragraphs>
  <ScaleCrop>false</ScaleCrop>
  <Company>Національна комісія</Company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2017-04-06T11:31:00Z</dcterms:created>
  <dcterms:modified xsi:type="dcterms:W3CDTF">2017-04-06T11:32:00Z</dcterms:modified>
</cp:coreProperties>
</file>