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39"/>
      </w:tblGrid>
      <w:tr w:rsidR="00CE1274" w:rsidRPr="00CE1274" w:rsidTr="00CE1274">
        <w:tc>
          <w:tcPr>
            <w:tcW w:w="2000" w:type="pct"/>
            <w:hideMark/>
          </w:tcPr>
          <w:p w:rsidR="00CE1274" w:rsidRPr="00CE1274" w:rsidRDefault="00CE1274" w:rsidP="00CE1274">
            <w:pPr>
              <w:spacing w:before="150" w:after="15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12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8 </w:t>
            </w:r>
            <w:r w:rsidRPr="00CE12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Порядку погодження набуття особою </w:t>
            </w:r>
            <w:r w:rsidRPr="00CE12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істотної участі у професійному учаснику </w:t>
            </w:r>
            <w:r w:rsidRPr="00CE12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фондового ринку або збільшення </w:t>
            </w:r>
            <w:r w:rsidRPr="00CE12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її таким чином, що зазначена особа буде </w:t>
            </w:r>
            <w:r w:rsidRPr="00CE12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прямо чи опосередковано володіти </w:t>
            </w:r>
            <w:r w:rsidRPr="00CE12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або контролювати 10, 25, 50 і 75 відсотків </w:t>
            </w:r>
            <w:r w:rsidRPr="00CE12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статутного капіталу такого учасника </w:t>
            </w:r>
            <w:r w:rsidRPr="00CE12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чи права голосу придбаних акцій (часток) </w:t>
            </w:r>
            <w:r w:rsidRPr="00CE12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 його органах управління </w:t>
            </w:r>
            <w:r w:rsidRPr="00CE12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1 розділу IV)</w:t>
            </w:r>
          </w:p>
        </w:tc>
      </w:tr>
    </w:tbl>
    <w:p w:rsidR="00CE1274" w:rsidRPr="00CE1274" w:rsidRDefault="00CE1274" w:rsidP="00CE1274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0" w:name="n551"/>
      <w:bookmarkEnd w:id="0"/>
      <w:r w:rsidRPr="00CE1274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ПОРЯДОК </w:t>
      </w:r>
      <w:r w:rsidRPr="00CE1274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</w:r>
      <w:r w:rsidRPr="00CE1274">
        <w:rPr>
          <w:rFonts w:ascii="Times New Roman" w:eastAsia="Times New Roman" w:hAnsi="Times New Roman" w:cs="Times New Roman"/>
          <w:b/>
          <w:bCs/>
          <w:color w:val="000000"/>
          <w:sz w:val="28"/>
          <w:lang w:eastAsia="uk-UA"/>
        </w:rPr>
        <w:t>розрахунку рекомендованих показників платоспроможності та фінансової стійкості заявника - юридичної особи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7"/>
        <w:gridCol w:w="4828"/>
      </w:tblGrid>
      <w:tr w:rsidR="00CE1274" w:rsidRPr="00CE1274" w:rsidTr="00CE1274">
        <w:trPr>
          <w:trHeight w:val="150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274" w:rsidRPr="00CE1274" w:rsidRDefault="00CE1274" w:rsidP="00CE1274">
            <w:pPr>
              <w:spacing w:before="150" w:after="15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552"/>
            <w:bookmarkEnd w:id="1"/>
            <w:r w:rsidRPr="00CE12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Фінансовий коефіцієнт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274" w:rsidRPr="00CE1274" w:rsidRDefault="00CE1274" w:rsidP="00CE1274">
            <w:pPr>
              <w:spacing w:before="150" w:after="150" w:line="15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12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Формула розрахунку показників платоспроможності та фінансової стійкості</w:t>
            </w:r>
          </w:p>
        </w:tc>
      </w:tr>
      <w:tr w:rsidR="00CE1274" w:rsidRPr="00CE1274" w:rsidTr="00CE1274">
        <w:trPr>
          <w:trHeight w:val="150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274" w:rsidRPr="00CE1274" w:rsidRDefault="00CE1274" w:rsidP="00CE1274">
            <w:pPr>
              <w:spacing w:before="150" w:after="150" w:line="15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12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 КЛ1 - коефіцієнт поточної ліквідності, що характеризує можливість погашення короткострокових зобов'язань у встановлені строки за рахунок грошових коштів і їх еквівалентів, поточних фінансових інвестицій та дебіторської заборгованості. Теоретичне оптимальне значення КЛ1 - не менше ніж 0,5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274" w:rsidRPr="00CE1274" w:rsidRDefault="00CE1274" w:rsidP="00CE1274">
            <w:pPr>
              <w:spacing w:before="150" w:after="150" w:line="15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12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Оборотні активи </w:t>
            </w:r>
            <w:r w:rsidRPr="00CE12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 </w:t>
            </w:r>
            <w:r w:rsidRPr="00CE12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Поточні зобов'язання</w:t>
            </w:r>
          </w:p>
        </w:tc>
      </w:tr>
      <w:tr w:rsidR="00CE1274" w:rsidRPr="00CE1274" w:rsidTr="00CE1274">
        <w:trPr>
          <w:trHeight w:val="1695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274" w:rsidRPr="00CE1274" w:rsidRDefault="00CE1274" w:rsidP="00CE1274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12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 КЛ2 - коефіцієнт миттєвої ліквідності, що характеризує те, як швидко короткострокові зобов'язання можуть бути погашені за рахунок ліквідних оборотних активів та вимог. Теоретичне оптимальне значення КЛ2 - не менше ніж 0,2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274" w:rsidRPr="00CE1274" w:rsidRDefault="00CE1274" w:rsidP="00CE1274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12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Монетарні оборотні активи </w:t>
            </w:r>
            <w:r w:rsidRPr="00CE12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 </w:t>
            </w:r>
            <w:r w:rsidRPr="00CE12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Поточні зобов'язання</w:t>
            </w:r>
          </w:p>
        </w:tc>
      </w:tr>
      <w:tr w:rsidR="00CE1274" w:rsidRPr="00CE1274" w:rsidTr="00CE1274">
        <w:trPr>
          <w:trHeight w:val="1125"/>
        </w:trPr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274" w:rsidRPr="00CE1274" w:rsidRDefault="00CE1274" w:rsidP="00CE1274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12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 КФН - коефіцієнт фінансової незалежності, що характеризує ступінь фінансового ризику. Теоретичне оптимальне значення КФН - не менше ніж 0,5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E1274" w:rsidRPr="00CE1274" w:rsidRDefault="00CE1274" w:rsidP="00CE1274">
            <w:pPr>
              <w:spacing w:before="150" w:after="15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12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Власний капітал </w:t>
            </w:r>
            <w:r w:rsidRPr="00CE12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 </w:t>
            </w:r>
            <w:r w:rsidRPr="00CE127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Валюта балансу (пасив)</w:t>
            </w:r>
          </w:p>
        </w:tc>
      </w:tr>
    </w:tbl>
    <w:p w:rsidR="00CE1274" w:rsidRPr="00CE1274" w:rsidRDefault="00CE1274" w:rsidP="00CE1274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" w:name="n554"/>
      <w:bookmarkEnd w:id="2"/>
      <w:r w:rsidRPr="00CE12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{Порядок доповнено новим Додатком 8 згідно з Рішенням Національної комісії з цінних паперів та фондового ринку </w:t>
      </w:r>
      <w:hyperlink r:id="rId4" w:anchor="n222" w:tgtFrame="_blank" w:history="1">
        <w:r w:rsidRPr="00CE1274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uk-UA"/>
          </w:rPr>
          <w:t>№ 272 від 10.03.2016</w:t>
        </w:r>
      </w:hyperlink>
      <w:r w:rsidRPr="00CE12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uk-UA"/>
        </w:rPr>
        <w:t>}</w:t>
      </w:r>
    </w:p>
    <w:p w:rsidR="00BA2C5D" w:rsidRDefault="00BA2C5D"/>
    <w:sectPr w:rsidR="00BA2C5D" w:rsidSect="00BA2C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1274"/>
    <w:rsid w:val="00BA2C5D"/>
    <w:rsid w:val="00CE1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CE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CE1274"/>
  </w:style>
  <w:style w:type="paragraph" w:customStyle="1" w:styleId="rvps7">
    <w:name w:val="rvps7"/>
    <w:basedOn w:val="a"/>
    <w:rsid w:val="00CE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CE1274"/>
  </w:style>
  <w:style w:type="paragraph" w:customStyle="1" w:styleId="rvps12">
    <w:name w:val="rvps12"/>
    <w:basedOn w:val="a"/>
    <w:rsid w:val="00CE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CE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CE1274"/>
  </w:style>
  <w:style w:type="character" w:customStyle="1" w:styleId="rvts11">
    <w:name w:val="rvts11"/>
    <w:basedOn w:val="a0"/>
    <w:rsid w:val="00CE1274"/>
  </w:style>
  <w:style w:type="character" w:styleId="a3">
    <w:name w:val="Hyperlink"/>
    <w:basedOn w:val="a0"/>
    <w:uiPriority w:val="99"/>
    <w:semiHidden/>
    <w:unhideWhenUsed/>
    <w:rsid w:val="00CE12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56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50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0.rada.gov.ua/laws/show/z0485-16/paran2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1054</Words>
  <Characters>602</Characters>
  <Application>Microsoft Office Word</Application>
  <DocSecurity>0</DocSecurity>
  <Lines>5</Lines>
  <Paragraphs>3</Paragraphs>
  <ScaleCrop>false</ScaleCrop>
  <Company>Національна комісія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kateryna.burenko</dc:creator>
  <cp:lastModifiedBy>kateryna.burenko</cp:lastModifiedBy>
  <cp:revision>1</cp:revision>
  <dcterms:created xsi:type="dcterms:W3CDTF">2017-04-05T08:26:00Z</dcterms:created>
  <dcterms:modified xsi:type="dcterms:W3CDTF">2017-04-05T08:26:00Z</dcterms:modified>
</cp:coreProperties>
</file>