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CBA" w:rsidRPr="007C04D1" w:rsidRDefault="00BA1CBA" w:rsidP="00DD5EA2">
      <w:pPr>
        <w:shd w:val="clear" w:color="auto" w:fill="FFFFFF"/>
        <w:spacing w:before="120" w:after="120" w:line="240" w:lineRule="auto"/>
        <w:ind w:left="450" w:right="450"/>
        <w:jc w:val="center"/>
        <w:textAlignment w:val="baseline"/>
        <w:rPr>
          <w:color w:val="000000"/>
          <w:sz w:val="24"/>
          <w:szCs w:val="24"/>
          <w:lang w:eastAsia="uk-UA"/>
        </w:rPr>
      </w:pPr>
      <w:bookmarkStart w:id="0" w:name="n16"/>
      <w:bookmarkEnd w:id="0"/>
      <w:r w:rsidRPr="007C04D1">
        <w:rPr>
          <w:b/>
          <w:bCs/>
          <w:color w:val="000000"/>
          <w:sz w:val="32"/>
          <w:lang w:eastAsia="uk-UA"/>
        </w:rPr>
        <w:t>ПОРЯДОК </w:t>
      </w:r>
      <w:r w:rsidRPr="007C04D1">
        <w:rPr>
          <w:color w:val="000000"/>
          <w:sz w:val="24"/>
          <w:szCs w:val="24"/>
          <w:lang w:eastAsia="uk-UA"/>
        </w:rPr>
        <w:br/>
      </w:r>
      <w:r w:rsidRPr="007C04D1">
        <w:rPr>
          <w:b/>
          <w:bCs/>
          <w:color w:val="000000"/>
          <w:sz w:val="32"/>
          <w:lang w:eastAsia="uk-UA"/>
        </w:rPr>
        <w:t>ведення обліку програмних продуктів на фондовому ринку</w:t>
      </w:r>
    </w:p>
    <w:p w:rsidR="00BA1CBA" w:rsidRDefault="00BA1CBA" w:rsidP="00DD5EA2">
      <w:pPr>
        <w:shd w:val="clear" w:color="auto" w:fill="FFFFFF"/>
        <w:spacing w:before="120" w:after="120" w:line="240" w:lineRule="auto"/>
        <w:ind w:left="450" w:right="450"/>
        <w:jc w:val="center"/>
        <w:textAlignment w:val="baseline"/>
        <w:rPr>
          <w:b/>
          <w:bCs/>
          <w:color w:val="000000"/>
          <w:lang w:val="en-US" w:eastAsia="uk-UA"/>
        </w:rPr>
      </w:pPr>
      <w:bookmarkStart w:id="1" w:name="n17"/>
      <w:bookmarkEnd w:id="1"/>
    </w:p>
    <w:p w:rsidR="00BA1CBA" w:rsidRPr="007C04D1" w:rsidRDefault="00BA1CBA" w:rsidP="00DD5EA2">
      <w:pPr>
        <w:shd w:val="clear" w:color="auto" w:fill="FFFFFF"/>
        <w:spacing w:before="120" w:after="120" w:line="240" w:lineRule="auto"/>
        <w:ind w:left="450" w:right="450"/>
        <w:jc w:val="center"/>
        <w:textAlignment w:val="baseline"/>
        <w:rPr>
          <w:color w:val="000000"/>
          <w:sz w:val="24"/>
          <w:szCs w:val="24"/>
          <w:lang w:eastAsia="uk-UA"/>
        </w:rPr>
      </w:pPr>
      <w:r w:rsidRPr="007C04D1">
        <w:rPr>
          <w:b/>
          <w:bCs/>
          <w:color w:val="000000"/>
          <w:lang w:eastAsia="uk-UA"/>
        </w:rPr>
        <w:t>I. Загальні положення</w:t>
      </w:r>
    </w:p>
    <w:p w:rsidR="00BA1CBA" w:rsidRPr="007C04D1" w:rsidRDefault="00BA1CBA" w:rsidP="00DD5EA2">
      <w:pPr>
        <w:shd w:val="clear" w:color="auto" w:fill="FFFFFF"/>
        <w:spacing w:before="120" w:after="120" w:line="240" w:lineRule="auto"/>
        <w:ind w:firstLine="450"/>
        <w:jc w:val="both"/>
        <w:textAlignment w:val="baseline"/>
        <w:rPr>
          <w:color w:val="000000"/>
          <w:sz w:val="24"/>
          <w:szCs w:val="24"/>
          <w:lang w:eastAsia="uk-UA"/>
        </w:rPr>
      </w:pPr>
      <w:bookmarkStart w:id="2" w:name="n18"/>
      <w:bookmarkEnd w:id="2"/>
      <w:r w:rsidRPr="007C04D1">
        <w:rPr>
          <w:color w:val="000000"/>
          <w:sz w:val="24"/>
          <w:szCs w:val="24"/>
          <w:lang w:eastAsia="uk-UA"/>
        </w:rPr>
        <w:t>1. У цьому Порядку терміни вживаються в таких значеннях:</w:t>
      </w:r>
    </w:p>
    <w:p w:rsidR="00BA1CBA" w:rsidRPr="007C04D1" w:rsidRDefault="00BA1CBA" w:rsidP="00DD5EA2">
      <w:pPr>
        <w:shd w:val="clear" w:color="auto" w:fill="FFFFFF"/>
        <w:spacing w:before="120" w:after="120" w:line="240" w:lineRule="auto"/>
        <w:ind w:firstLine="450"/>
        <w:jc w:val="both"/>
        <w:textAlignment w:val="baseline"/>
        <w:rPr>
          <w:color w:val="000000"/>
          <w:sz w:val="24"/>
          <w:szCs w:val="24"/>
          <w:lang w:eastAsia="uk-UA"/>
        </w:rPr>
      </w:pPr>
      <w:bookmarkStart w:id="3" w:name="n19"/>
      <w:bookmarkEnd w:id="3"/>
      <w:r w:rsidRPr="007C04D1">
        <w:rPr>
          <w:color w:val="000000"/>
          <w:sz w:val="24"/>
          <w:szCs w:val="24"/>
          <w:lang w:eastAsia="uk-UA"/>
        </w:rPr>
        <w:t>заявник - учасник фондового ринку, який створив програмний продукт (модуль) для власних потреб чи розповсюдження на фондовому ринку або надає інформацію про програмний продукт (модуль), що призначений для використання на фондовому ринку, з метою включення програмного продукту (модуля) до переліку програмних продуктів на фондовому ринку (далі - Перелік);</w:t>
      </w:r>
    </w:p>
    <w:p w:rsidR="00BA1CBA" w:rsidRPr="007C04D1" w:rsidRDefault="00BA1CBA" w:rsidP="00DD5EA2">
      <w:pPr>
        <w:shd w:val="clear" w:color="auto" w:fill="FFFFFF"/>
        <w:spacing w:before="120" w:after="120" w:line="240" w:lineRule="auto"/>
        <w:ind w:firstLine="450"/>
        <w:jc w:val="both"/>
        <w:textAlignment w:val="baseline"/>
        <w:rPr>
          <w:color w:val="000000"/>
          <w:sz w:val="24"/>
          <w:szCs w:val="24"/>
          <w:lang w:eastAsia="uk-UA"/>
        </w:rPr>
      </w:pPr>
      <w:bookmarkStart w:id="4" w:name="n20"/>
      <w:bookmarkEnd w:id="4"/>
      <w:r w:rsidRPr="007C04D1">
        <w:rPr>
          <w:color w:val="000000"/>
          <w:sz w:val="24"/>
          <w:szCs w:val="24"/>
          <w:lang w:eastAsia="uk-UA"/>
        </w:rPr>
        <w:t>розробник програмного продукту (модуля) - юридична особа або фізична особа - підприємець, що взяла на себе ініціативу створення програмного продукту (модуля), володіє виключним правом на програмний продукт (модуль) (далі - розробник);</w:t>
      </w:r>
    </w:p>
    <w:p w:rsidR="00BA1CBA" w:rsidRPr="007C04D1" w:rsidRDefault="00BA1CBA" w:rsidP="00DD5EA2">
      <w:pPr>
        <w:shd w:val="clear" w:color="auto" w:fill="FFFFFF"/>
        <w:spacing w:before="120" w:after="120" w:line="240" w:lineRule="auto"/>
        <w:ind w:firstLine="450"/>
        <w:jc w:val="both"/>
        <w:textAlignment w:val="baseline"/>
        <w:rPr>
          <w:color w:val="000000"/>
          <w:sz w:val="24"/>
          <w:szCs w:val="24"/>
          <w:lang w:eastAsia="uk-UA"/>
        </w:rPr>
      </w:pPr>
      <w:bookmarkStart w:id="5" w:name="n21"/>
      <w:bookmarkEnd w:id="5"/>
      <w:r w:rsidRPr="007C04D1">
        <w:rPr>
          <w:color w:val="000000"/>
          <w:sz w:val="24"/>
          <w:szCs w:val="24"/>
          <w:lang w:eastAsia="uk-UA"/>
        </w:rPr>
        <w:t>спеціалізований програмний продукт (модуль спеціалізованого програмного продукту) - програмний продукт (модуль), який створюється із застосуванням засобів розробки програмних продуктів та використовується професійними учасниками на фондовому ринку при здійсненні професійної діяльності, за винятком:</w:t>
      </w:r>
    </w:p>
    <w:p w:rsidR="00BA1CBA" w:rsidRPr="007C04D1" w:rsidRDefault="00BA1CBA" w:rsidP="00DD5EA2">
      <w:pPr>
        <w:shd w:val="clear" w:color="auto" w:fill="FFFFFF"/>
        <w:spacing w:before="120" w:after="120" w:line="240" w:lineRule="auto"/>
        <w:ind w:firstLine="450"/>
        <w:jc w:val="both"/>
        <w:textAlignment w:val="baseline"/>
        <w:rPr>
          <w:color w:val="000000"/>
          <w:sz w:val="24"/>
          <w:szCs w:val="24"/>
          <w:lang w:eastAsia="uk-UA"/>
        </w:rPr>
      </w:pPr>
      <w:bookmarkStart w:id="6" w:name="n22"/>
      <w:bookmarkEnd w:id="6"/>
      <w:r w:rsidRPr="007C04D1">
        <w:rPr>
          <w:color w:val="000000"/>
          <w:sz w:val="24"/>
          <w:szCs w:val="24"/>
          <w:lang w:eastAsia="uk-UA"/>
        </w:rPr>
        <w:t>програмного продукту загального користування, який без додаткових змін та доповнень у повному обсязі може використовуватись у діяльності, не пов'язаній з фондовим ринком;</w:t>
      </w:r>
    </w:p>
    <w:p w:rsidR="00BA1CBA" w:rsidRPr="007C04D1" w:rsidRDefault="00BA1CBA" w:rsidP="00DD5EA2">
      <w:pPr>
        <w:shd w:val="clear" w:color="auto" w:fill="FFFFFF"/>
        <w:spacing w:before="120" w:after="120" w:line="240" w:lineRule="auto"/>
        <w:ind w:firstLine="450"/>
        <w:jc w:val="both"/>
        <w:textAlignment w:val="baseline"/>
        <w:rPr>
          <w:color w:val="000000"/>
          <w:sz w:val="24"/>
          <w:szCs w:val="24"/>
          <w:lang w:eastAsia="uk-UA"/>
        </w:rPr>
      </w:pPr>
      <w:bookmarkStart w:id="7" w:name="n23"/>
      <w:bookmarkEnd w:id="7"/>
      <w:r w:rsidRPr="007C04D1">
        <w:rPr>
          <w:color w:val="000000"/>
          <w:sz w:val="24"/>
          <w:szCs w:val="24"/>
          <w:lang w:eastAsia="uk-UA"/>
        </w:rPr>
        <w:t>допоміжного програмного продукту, заміна якого на інший програмний продукт не призведе до порушення професійної діяльності.</w:t>
      </w:r>
    </w:p>
    <w:p w:rsidR="00BA1CBA" w:rsidRPr="007C04D1" w:rsidRDefault="00BA1CBA" w:rsidP="00DD5EA2">
      <w:pPr>
        <w:shd w:val="clear" w:color="auto" w:fill="FFFFFF"/>
        <w:spacing w:before="120" w:after="120" w:line="240" w:lineRule="auto"/>
        <w:ind w:firstLine="450"/>
        <w:jc w:val="both"/>
        <w:textAlignment w:val="baseline"/>
        <w:rPr>
          <w:color w:val="000000"/>
          <w:sz w:val="24"/>
          <w:szCs w:val="24"/>
          <w:lang w:eastAsia="uk-UA"/>
        </w:rPr>
      </w:pPr>
      <w:bookmarkStart w:id="8" w:name="n24"/>
      <w:bookmarkEnd w:id="8"/>
      <w:r w:rsidRPr="007C04D1">
        <w:rPr>
          <w:color w:val="000000"/>
          <w:sz w:val="24"/>
          <w:szCs w:val="24"/>
          <w:lang w:eastAsia="uk-UA"/>
        </w:rPr>
        <w:t>2. У цьому Порядку інші терміни використовуються у значеннях, наведених у Законах України </w:t>
      </w:r>
      <w:hyperlink r:id="rId4" w:tgtFrame="_blank" w:history="1">
        <w:r w:rsidRPr="007C04D1">
          <w:rPr>
            <w:color w:val="000099"/>
            <w:sz w:val="24"/>
            <w:szCs w:val="24"/>
            <w:u w:val="single"/>
            <w:lang w:eastAsia="uk-UA"/>
          </w:rPr>
          <w:t>«Про цінні папери та фондовий ринок»</w:t>
        </w:r>
      </w:hyperlink>
      <w:r w:rsidRPr="007C04D1">
        <w:rPr>
          <w:color w:val="000000"/>
          <w:sz w:val="24"/>
          <w:szCs w:val="24"/>
          <w:lang w:eastAsia="uk-UA"/>
        </w:rPr>
        <w:t>, </w:t>
      </w:r>
      <w:hyperlink r:id="rId5" w:tgtFrame="_blank" w:history="1">
        <w:r w:rsidRPr="007C04D1">
          <w:rPr>
            <w:color w:val="000099"/>
            <w:sz w:val="24"/>
            <w:szCs w:val="24"/>
            <w:u w:val="single"/>
            <w:lang w:eastAsia="uk-UA"/>
          </w:rPr>
          <w:t>«Про авторське право і суміжні права»</w:t>
        </w:r>
      </w:hyperlink>
      <w:r w:rsidRPr="007C04D1">
        <w:rPr>
          <w:color w:val="000000"/>
          <w:sz w:val="24"/>
          <w:szCs w:val="24"/>
          <w:lang w:eastAsia="uk-UA"/>
        </w:rPr>
        <w:t>, </w:t>
      </w:r>
      <w:hyperlink r:id="rId6" w:anchor="n17" w:tgtFrame="_blank" w:history="1">
        <w:r w:rsidRPr="007C04D1">
          <w:rPr>
            <w:color w:val="000099"/>
            <w:sz w:val="24"/>
            <w:szCs w:val="24"/>
            <w:u w:val="single"/>
            <w:lang w:eastAsia="uk-UA"/>
          </w:rPr>
          <w:t>Вимогах до програмних продуктів на фондовому ринку</w:t>
        </w:r>
      </w:hyperlink>
      <w:r w:rsidRPr="007C04D1">
        <w:rPr>
          <w:color w:val="000000"/>
          <w:sz w:val="24"/>
          <w:szCs w:val="24"/>
          <w:lang w:eastAsia="uk-UA"/>
        </w:rPr>
        <w:t>, затверджених рішенням Національної комісії з цінних паперів та фондового ринку (далі - НКЦПФР) від 02 жовтня 2012 року № 1342, зареєстрованих в Міністерстві юстиції України 19 жовтня 2012 року за № 1760/22072 (далі - Вимоги).</w:t>
      </w:r>
    </w:p>
    <w:p w:rsidR="00BA1CBA" w:rsidRPr="007C04D1" w:rsidRDefault="00BA1CBA" w:rsidP="00DD5EA2">
      <w:pPr>
        <w:shd w:val="clear" w:color="auto" w:fill="FFFFFF"/>
        <w:spacing w:before="120" w:after="120" w:line="240" w:lineRule="auto"/>
        <w:ind w:firstLine="450"/>
        <w:jc w:val="both"/>
        <w:textAlignment w:val="baseline"/>
        <w:rPr>
          <w:color w:val="000000"/>
          <w:sz w:val="24"/>
          <w:szCs w:val="24"/>
          <w:lang w:eastAsia="uk-UA"/>
        </w:rPr>
      </w:pPr>
      <w:bookmarkStart w:id="9" w:name="n25"/>
      <w:bookmarkEnd w:id="9"/>
      <w:r w:rsidRPr="007C04D1">
        <w:rPr>
          <w:color w:val="000000"/>
          <w:sz w:val="24"/>
          <w:szCs w:val="24"/>
          <w:lang w:eastAsia="uk-UA"/>
        </w:rPr>
        <w:t>3. Цей Порядок розроблено з метою визначення механізму подання інформації про програмні продукти (модулі), які створюються за призначенням для фондового ринку та/або використовуються професійними учасниками фондового ринку при здійсненні професійної діяльності, до НКЦПФР, внесення інформації про програмний продукт (модуль) до Переліку, внесення змін до інформації про програмний продукт (модуль) до Переліку.</w:t>
      </w:r>
    </w:p>
    <w:p w:rsidR="00BA1CBA" w:rsidRPr="007C04D1" w:rsidRDefault="00BA1CBA" w:rsidP="00DD5EA2">
      <w:pPr>
        <w:shd w:val="clear" w:color="auto" w:fill="FFFFFF"/>
        <w:spacing w:before="120" w:after="120" w:line="240" w:lineRule="auto"/>
        <w:ind w:firstLine="450"/>
        <w:jc w:val="both"/>
        <w:textAlignment w:val="baseline"/>
        <w:rPr>
          <w:color w:val="000000"/>
          <w:sz w:val="24"/>
          <w:szCs w:val="24"/>
          <w:lang w:eastAsia="uk-UA"/>
        </w:rPr>
      </w:pPr>
      <w:bookmarkStart w:id="10" w:name="n26"/>
      <w:bookmarkEnd w:id="10"/>
      <w:r w:rsidRPr="007C04D1">
        <w:rPr>
          <w:color w:val="000000"/>
          <w:sz w:val="24"/>
          <w:szCs w:val="24"/>
          <w:lang w:eastAsia="uk-UA"/>
        </w:rPr>
        <w:t>4. Інформація, яка розміщена в Переліку, має заявницький характер, є відкритою для користувачів та оприлюднюється в мережі Інтернет на веб-сайті НКЦПФР.</w:t>
      </w:r>
    </w:p>
    <w:p w:rsidR="00BA1CBA" w:rsidRPr="007C04D1" w:rsidRDefault="00BA1CBA" w:rsidP="00DD5EA2">
      <w:pPr>
        <w:shd w:val="clear" w:color="auto" w:fill="FFFFFF"/>
        <w:spacing w:before="120" w:after="120" w:line="240" w:lineRule="auto"/>
        <w:ind w:firstLine="450"/>
        <w:jc w:val="both"/>
        <w:textAlignment w:val="baseline"/>
        <w:rPr>
          <w:color w:val="000000"/>
          <w:sz w:val="24"/>
          <w:szCs w:val="24"/>
          <w:lang w:eastAsia="uk-UA"/>
        </w:rPr>
      </w:pPr>
      <w:bookmarkStart w:id="11" w:name="n27"/>
      <w:bookmarkEnd w:id="11"/>
      <w:r w:rsidRPr="007C04D1">
        <w:rPr>
          <w:color w:val="000000"/>
          <w:sz w:val="24"/>
          <w:szCs w:val="24"/>
          <w:lang w:eastAsia="uk-UA"/>
        </w:rPr>
        <w:t>5. Програмний продукт (модуль), який вноситься до Переліку, повинен відповідати </w:t>
      </w:r>
      <w:hyperlink r:id="rId7" w:anchor="n17" w:tgtFrame="_blank" w:history="1">
        <w:r w:rsidRPr="007C04D1">
          <w:rPr>
            <w:color w:val="000099"/>
            <w:sz w:val="24"/>
            <w:szCs w:val="24"/>
            <w:u w:val="single"/>
            <w:lang w:eastAsia="uk-UA"/>
          </w:rPr>
          <w:t>Вимогам</w:t>
        </w:r>
      </w:hyperlink>
      <w:r w:rsidRPr="007C04D1">
        <w:rPr>
          <w:color w:val="000000"/>
          <w:sz w:val="24"/>
          <w:szCs w:val="24"/>
          <w:lang w:eastAsia="uk-UA"/>
        </w:rPr>
        <w:t>.</w:t>
      </w:r>
    </w:p>
    <w:p w:rsidR="00BA1CBA" w:rsidRPr="007C04D1" w:rsidRDefault="00BA1CBA" w:rsidP="00DD5EA2">
      <w:pPr>
        <w:shd w:val="clear" w:color="auto" w:fill="FFFFFF"/>
        <w:spacing w:before="120" w:after="120" w:line="240" w:lineRule="auto"/>
        <w:ind w:firstLine="450"/>
        <w:jc w:val="both"/>
        <w:textAlignment w:val="baseline"/>
        <w:rPr>
          <w:color w:val="000000"/>
          <w:sz w:val="24"/>
          <w:szCs w:val="24"/>
          <w:lang w:eastAsia="uk-UA"/>
        </w:rPr>
      </w:pPr>
      <w:bookmarkStart w:id="12" w:name="n28"/>
      <w:bookmarkEnd w:id="12"/>
      <w:r w:rsidRPr="007C04D1">
        <w:rPr>
          <w:color w:val="000000"/>
          <w:sz w:val="24"/>
          <w:szCs w:val="24"/>
          <w:lang w:eastAsia="uk-UA"/>
        </w:rPr>
        <w:t>6. Невідповідність програмного продукту (модуля) </w:t>
      </w:r>
      <w:hyperlink r:id="rId8" w:anchor="n17" w:tgtFrame="_blank" w:history="1">
        <w:r w:rsidRPr="007C04D1">
          <w:rPr>
            <w:color w:val="000099"/>
            <w:sz w:val="24"/>
            <w:szCs w:val="24"/>
            <w:u w:val="single"/>
            <w:lang w:eastAsia="uk-UA"/>
          </w:rPr>
          <w:t>Вимогам</w:t>
        </w:r>
      </w:hyperlink>
      <w:r w:rsidRPr="007C04D1">
        <w:rPr>
          <w:color w:val="000000"/>
          <w:sz w:val="24"/>
          <w:szCs w:val="24"/>
          <w:lang w:eastAsia="uk-UA"/>
        </w:rPr>
        <w:t> є підставою для виключення інформації про програмний продукт (модуль) з Переліку.</w:t>
      </w:r>
    </w:p>
    <w:p w:rsidR="00BA1CBA" w:rsidRPr="007C04D1" w:rsidRDefault="00BA1CBA" w:rsidP="00DD5EA2">
      <w:pPr>
        <w:shd w:val="clear" w:color="auto" w:fill="FFFFFF"/>
        <w:spacing w:before="120" w:after="120" w:line="240" w:lineRule="auto"/>
        <w:ind w:firstLine="450"/>
        <w:jc w:val="both"/>
        <w:textAlignment w:val="baseline"/>
        <w:rPr>
          <w:color w:val="000000"/>
          <w:sz w:val="24"/>
          <w:szCs w:val="24"/>
          <w:lang w:eastAsia="uk-UA"/>
        </w:rPr>
      </w:pPr>
      <w:bookmarkStart w:id="13" w:name="n29"/>
      <w:bookmarkEnd w:id="13"/>
      <w:r w:rsidRPr="007C04D1">
        <w:rPr>
          <w:color w:val="000000"/>
          <w:sz w:val="24"/>
          <w:szCs w:val="24"/>
          <w:lang w:eastAsia="uk-UA"/>
        </w:rPr>
        <w:t>7. Учасник фондового ринку, який створив програмний продукт (модуль) або придбав майнові права на програмний продукт (модуль) для провадження професійної діяльності, надає інформацію за своєю згодою про створений або за згодою розробника про придбаний програмний продукт (модуль) з метою включення цього програмного продукту (модуля) до Переліку.</w:t>
      </w:r>
    </w:p>
    <w:p w:rsidR="00BA1CBA" w:rsidRDefault="00BA1CBA" w:rsidP="00DD5EA2">
      <w:pPr>
        <w:shd w:val="clear" w:color="auto" w:fill="FFFFFF"/>
        <w:spacing w:before="120" w:after="120" w:line="240" w:lineRule="auto"/>
        <w:ind w:left="450" w:right="450"/>
        <w:jc w:val="center"/>
        <w:textAlignment w:val="baseline"/>
        <w:rPr>
          <w:b/>
          <w:bCs/>
          <w:color w:val="000000"/>
          <w:lang w:val="en-US" w:eastAsia="uk-UA"/>
        </w:rPr>
      </w:pPr>
      <w:bookmarkStart w:id="14" w:name="n30"/>
      <w:bookmarkEnd w:id="14"/>
    </w:p>
    <w:p w:rsidR="00BA1CBA" w:rsidRPr="007C04D1" w:rsidRDefault="00BA1CBA" w:rsidP="00DD5EA2">
      <w:pPr>
        <w:shd w:val="clear" w:color="auto" w:fill="FFFFFF"/>
        <w:spacing w:before="120" w:after="120" w:line="240" w:lineRule="auto"/>
        <w:ind w:left="450" w:right="450"/>
        <w:jc w:val="center"/>
        <w:textAlignment w:val="baseline"/>
        <w:rPr>
          <w:color w:val="000000"/>
          <w:sz w:val="24"/>
          <w:szCs w:val="24"/>
          <w:lang w:eastAsia="uk-UA"/>
        </w:rPr>
      </w:pPr>
      <w:r w:rsidRPr="007C04D1">
        <w:rPr>
          <w:b/>
          <w:bCs/>
          <w:color w:val="000000"/>
          <w:lang w:eastAsia="uk-UA"/>
        </w:rPr>
        <w:t>II. Порядок внесення інформації про програмний продукт (модуль) до Переліку</w:t>
      </w:r>
    </w:p>
    <w:p w:rsidR="00BA1CBA" w:rsidRPr="007C04D1" w:rsidRDefault="00BA1CBA" w:rsidP="00DD5EA2">
      <w:pPr>
        <w:shd w:val="clear" w:color="auto" w:fill="FFFFFF"/>
        <w:spacing w:before="120" w:after="120" w:line="240" w:lineRule="auto"/>
        <w:ind w:firstLine="450"/>
        <w:jc w:val="both"/>
        <w:textAlignment w:val="baseline"/>
        <w:rPr>
          <w:color w:val="000000"/>
          <w:sz w:val="24"/>
          <w:szCs w:val="24"/>
          <w:lang w:eastAsia="uk-UA"/>
        </w:rPr>
      </w:pPr>
      <w:bookmarkStart w:id="15" w:name="n31"/>
      <w:bookmarkEnd w:id="15"/>
      <w:r w:rsidRPr="007C04D1">
        <w:rPr>
          <w:color w:val="000000"/>
          <w:sz w:val="24"/>
          <w:szCs w:val="24"/>
          <w:lang w:eastAsia="uk-UA"/>
        </w:rPr>
        <w:t>1. Інформація про програмний продукт (модуль) для внесення його до Переліку подається до центрального апарату НКЦПФР в електронній формі у вигляді електронного документа з використанням системи електронного документообігу.</w:t>
      </w:r>
    </w:p>
    <w:p w:rsidR="00BA1CBA" w:rsidRPr="007C04D1" w:rsidRDefault="00BA1CBA" w:rsidP="00DD5EA2">
      <w:pPr>
        <w:shd w:val="clear" w:color="auto" w:fill="FFFFFF"/>
        <w:spacing w:before="120" w:after="120" w:line="240" w:lineRule="auto"/>
        <w:ind w:firstLine="450"/>
        <w:jc w:val="both"/>
        <w:textAlignment w:val="baseline"/>
        <w:rPr>
          <w:color w:val="000000"/>
          <w:sz w:val="24"/>
          <w:szCs w:val="24"/>
          <w:lang w:eastAsia="uk-UA"/>
        </w:rPr>
      </w:pPr>
      <w:bookmarkStart w:id="16" w:name="n32"/>
      <w:bookmarkEnd w:id="16"/>
      <w:r w:rsidRPr="007C04D1">
        <w:rPr>
          <w:color w:val="000000"/>
          <w:sz w:val="24"/>
          <w:szCs w:val="24"/>
          <w:lang w:eastAsia="uk-UA"/>
        </w:rPr>
        <w:t>2. Електронна форма інформації, яка подається для внесення до Переліку, складається відповідно до опису розділів та схем XML-файлів, визначених окремим документом нормативно-технічного характеру.</w:t>
      </w:r>
    </w:p>
    <w:p w:rsidR="00BA1CBA" w:rsidRPr="007C04D1" w:rsidRDefault="00BA1CBA" w:rsidP="00DD5EA2">
      <w:pPr>
        <w:shd w:val="clear" w:color="auto" w:fill="FFFFFF"/>
        <w:spacing w:before="120" w:after="120" w:line="240" w:lineRule="auto"/>
        <w:ind w:firstLine="450"/>
        <w:jc w:val="both"/>
        <w:textAlignment w:val="baseline"/>
        <w:rPr>
          <w:color w:val="000000"/>
          <w:sz w:val="24"/>
          <w:szCs w:val="24"/>
          <w:lang w:eastAsia="uk-UA"/>
        </w:rPr>
      </w:pPr>
      <w:bookmarkStart w:id="17" w:name="n33"/>
      <w:bookmarkEnd w:id="17"/>
      <w:r w:rsidRPr="007C04D1">
        <w:rPr>
          <w:color w:val="000000"/>
          <w:sz w:val="24"/>
          <w:szCs w:val="24"/>
          <w:lang w:eastAsia="uk-UA"/>
        </w:rPr>
        <w:t>3. Заявник забезпечує достовірність та повноту інформації, поданої до Переліку, внесення змін або оновлення інформації в Переліку.</w:t>
      </w:r>
    </w:p>
    <w:p w:rsidR="00BA1CBA" w:rsidRPr="007C04D1" w:rsidRDefault="00BA1CBA" w:rsidP="00DD5EA2">
      <w:pPr>
        <w:shd w:val="clear" w:color="auto" w:fill="FFFFFF"/>
        <w:spacing w:before="120" w:after="120" w:line="240" w:lineRule="auto"/>
        <w:ind w:firstLine="450"/>
        <w:jc w:val="both"/>
        <w:textAlignment w:val="baseline"/>
        <w:rPr>
          <w:color w:val="000000"/>
          <w:sz w:val="24"/>
          <w:szCs w:val="24"/>
          <w:lang w:eastAsia="uk-UA"/>
        </w:rPr>
      </w:pPr>
      <w:bookmarkStart w:id="18" w:name="n34"/>
      <w:bookmarkEnd w:id="18"/>
      <w:r w:rsidRPr="007C04D1">
        <w:rPr>
          <w:color w:val="000000"/>
          <w:sz w:val="24"/>
          <w:szCs w:val="24"/>
          <w:lang w:eastAsia="uk-UA"/>
        </w:rPr>
        <w:t>4. Інформація до Переліку вноситься протягом двох робочих днів з моменту отримання електронного документа НКЦПФР.</w:t>
      </w:r>
    </w:p>
    <w:p w:rsidR="00BA1CBA" w:rsidRPr="007C04D1" w:rsidRDefault="00BA1CBA" w:rsidP="00DD5EA2">
      <w:pPr>
        <w:shd w:val="clear" w:color="auto" w:fill="FFFFFF"/>
        <w:spacing w:before="120" w:after="120" w:line="240" w:lineRule="auto"/>
        <w:ind w:firstLine="450"/>
        <w:jc w:val="both"/>
        <w:textAlignment w:val="baseline"/>
        <w:rPr>
          <w:color w:val="000000"/>
          <w:sz w:val="24"/>
          <w:szCs w:val="24"/>
          <w:lang w:eastAsia="uk-UA"/>
        </w:rPr>
      </w:pPr>
      <w:bookmarkStart w:id="19" w:name="n35"/>
      <w:bookmarkEnd w:id="19"/>
      <w:r w:rsidRPr="007C04D1">
        <w:rPr>
          <w:color w:val="000000"/>
          <w:sz w:val="24"/>
          <w:szCs w:val="24"/>
          <w:lang w:eastAsia="uk-UA"/>
        </w:rPr>
        <w:t>5. Формування та ведення Переліку здійснюється НКЦПФР в електронному вигляді.</w:t>
      </w:r>
    </w:p>
    <w:p w:rsidR="00BA1CBA" w:rsidRPr="007C04D1" w:rsidRDefault="00BA1CBA" w:rsidP="00DD5EA2">
      <w:pPr>
        <w:shd w:val="clear" w:color="auto" w:fill="FFFFFF"/>
        <w:spacing w:before="120" w:after="120" w:line="240" w:lineRule="auto"/>
        <w:ind w:left="450" w:right="450"/>
        <w:jc w:val="center"/>
        <w:textAlignment w:val="baseline"/>
        <w:rPr>
          <w:color w:val="000000"/>
          <w:sz w:val="24"/>
          <w:szCs w:val="24"/>
          <w:lang w:eastAsia="uk-UA"/>
        </w:rPr>
      </w:pPr>
      <w:bookmarkStart w:id="20" w:name="n36"/>
      <w:bookmarkEnd w:id="20"/>
      <w:r w:rsidRPr="007C04D1">
        <w:rPr>
          <w:b/>
          <w:bCs/>
          <w:color w:val="000000"/>
          <w:lang w:eastAsia="uk-UA"/>
        </w:rPr>
        <w:t>III. Порядок надання інформації про оновлення програмного продукту (модуля) або нової версії програмного продукту (модуля)</w:t>
      </w:r>
    </w:p>
    <w:p w:rsidR="00BA1CBA" w:rsidRPr="007C04D1" w:rsidRDefault="00BA1CBA" w:rsidP="00DD5EA2">
      <w:pPr>
        <w:shd w:val="clear" w:color="auto" w:fill="FFFFFF"/>
        <w:spacing w:before="120" w:after="120" w:line="240" w:lineRule="auto"/>
        <w:ind w:firstLine="450"/>
        <w:jc w:val="both"/>
        <w:textAlignment w:val="baseline"/>
        <w:rPr>
          <w:color w:val="000000"/>
          <w:sz w:val="24"/>
          <w:szCs w:val="24"/>
          <w:lang w:eastAsia="uk-UA"/>
        </w:rPr>
      </w:pPr>
      <w:bookmarkStart w:id="21" w:name="n37"/>
      <w:bookmarkEnd w:id="21"/>
      <w:r w:rsidRPr="007C04D1">
        <w:rPr>
          <w:color w:val="000000"/>
          <w:sz w:val="24"/>
          <w:szCs w:val="24"/>
          <w:lang w:eastAsia="uk-UA"/>
        </w:rPr>
        <w:t>1. Ініціатором оновлення розміщеної в Переліку інформації про програмний продукт (модуль) є заявник.</w:t>
      </w:r>
    </w:p>
    <w:p w:rsidR="00BA1CBA" w:rsidRPr="007C04D1" w:rsidRDefault="00BA1CBA" w:rsidP="00DD5EA2">
      <w:pPr>
        <w:shd w:val="clear" w:color="auto" w:fill="FFFFFF"/>
        <w:spacing w:before="120" w:after="120" w:line="240" w:lineRule="auto"/>
        <w:ind w:firstLine="450"/>
        <w:jc w:val="both"/>
        <w:textAlignment w:val="baseline"/>
        <w:rPr>
          <w:color w:val="000000"/>
          <w:sz w:val="24"/>
          <w:szCs w:val="24"/>
          <w:lang w:eastAsia="uk-UA"/>
        </w:rPr>
      </w:pPr>
      <w:bookmarkStart w:id="22" w:name="n38"/>
      <w:bookmarkEnd w:id="22"/>
      <w:r w:rsidRPr="007C04D1">
        <w:rPr>
          <w:color w:val="000000"/>
          <w:sz w:val="24"/>
          <w:szCs w:val="24"/>
          <w:lang w:eastAsia="uk-UA"/>
        </w:rPr>
        <w:t>2. У разі розроблення оновленої версії програмного продукту (модуля) заявник, якщо він є розробником програмного продукту (модуля) для власних потреб чи розповсюдження на фондовому ринку, надає інформацію НКЦПФР за один місяць до початку розповсюдження програмного продукту (модуля).</w:t>
      </w:r>
    </w:p>
    <w:p w:rsidR="00BA1CBA" w:rsidRPr="007C04D1" w:rsidRDefault="00BA1CBA" w:rsidP="00DD5EA2">
      <w:pPr>
        <w:shd w:val="clear" w:color="auto" w:fill="FFFFFF"/>
        <w:spacing w:before="120" w:after="120" w:line="240" w:lineRule="auto"/>
        <w:ind w:firstLine="450"/>
        <w:jc w:val="both"/>
        <w:textAlignment w:val="baseline"/>
        <w:rPr>
          <w:color w:val="000000"/>
          <w:sz w:val="24"/>
          <w:szCs w:val="24"/>
          <w:lang w:eastAsia="uk-UA"/>
        </w:rPr>
      </w:pPr>
      <w:bookmarkStart w:id="23" w:name="n39"/>
      <w:bookmarkEnd w:id="23"/>
      <w:r w:rsidRPr="007C04D1">
        <w:rPr>
          <w:color w:val="000000"/>
          <w:sz w:val="24"/>
          <w:szCs w:val="24"/>
          <w:lang w:eastAsia="uk-UA"/>
        </w:rPr>
        <w:t>3. Оновлена версія програмного продукту (модуля) повинна відповідати </w:t>
      </w:r>
      <w:hyperlink r:id="rId9" w:anchor="n17" w:tgtFrame="_blank" w:history="1">
        <w:r w:rsidRPr="007C04D1">
          <w:rPr>
            <w:color w:val="000099"/>
            <w:sz w:val="24"/>
            <w:szCs w:val="24"/>
            <w:u w:val="single"/>
            <w:lang w:eastAsia="uk-UA"/>
          </w:rPr>
          <w:t>Вимогам</w:t>
        </w:r>
      </w:hyperlink>
      <w:r w:rsidRPr="007C04D1">
        <w:rPr>
          <w:color w:val="000000"/>
          <w:sz w:val="24"/>
          <w:szCs w:val="24"/>
          <w:lang w:eastAsia="uk-UA"/>
        </w:rPr>
        <w:t>.</w:t>
      </w:r>
    </w:p>
    <w:p w:rsidR="00BA1CBA" w:rsidRPr="007C04D1" w:rsidRDefault="00BA1CBA" w:rsidP="00DD5EA2">
      <w:pPr>
        <w:shd w:val="clear" w:color="auto" w:fill="FFFFFF"/>
        <w:spacing w:before="120" w:after="120" w:line="240" w:lineRule="auto"/>
        <w:ind w:firstLine="450"/>
        <w:jc w:val="both"/>
        <w:textAlignment w:val="baseline"/>
        <w:rPr>
          <w:color w:val="000000"/>
          <w:sz w:val="24"/>
          <w:szCs w:val="24"/>
          <w:lang w:eastAsia="uk-UA"/>
        </w:rPr>
      </w:pPr>
      <w:bookmarkStart w:id="24" w:name="n40"/>
      <w:bookmarkEnd w:id="24"/>
      <w:r w:rsidRPr="007C04D1">
        <w:rPr>
          <w:color w:val="000000"/>
          <w:sz w:val="24"/>
          <w:szCs w:val="24"/>
          <w:lang w:eastAsia="uk-UA"/>
        </w:rPr>
        <w:t>4. Інформація про оновлення програмного продукту (модуля) для внесення його до Переліку подається за згодою розробника до центрального апарату НКЦПФР в електронній формі у вигляді електронного документа з використанням системи електронного документообігу.</w:t>
      </w:r>
    </w:p>
    <w:p w:rsidR="00BA1CBA" w:rsidRPr="007C04D1" w:rsidRDefault="00BA1CBA" w:rsidP="00DD5EA2">
      <w:pPr>
        <w:shd w:val="clear" w:color="auto" w:fill="FFFFFF"/>
        <w:spacing w:before="120" w:after="120" w:line="240" w:lineRule="auto"/>
        <w:ind w:firstLine="450"/>
        <w:jc w:val="both"/>
        <w:textAlignment w:val="baseline"/>
        <w:rPr>
          <w:color w:val="000000"/>
          <w:sz w:val="24"/>
          <w:szCs w:val="24"/>
          <w:lang w:eastAsia="uk-UA"/>
        </w:rPr>
      </w:pPr>
      <w:bookmarkStart w:id="25" w:name="n41"/>
      <w:bookmarkEnd w:id="25"/>
      <w:r w:rsidRPr="007C04D1">
        <w:rPr>
          <w:color w:val="000000"/>
          <w:sz w:val="24"/>
          <w:szCs w:val="24"/>
          <w:lang w:eastAsia="uk-UA"/>
        </w:rPr>
        <w:t>5. Інформація до Переліку вноситься протягом двох робочих днів з моменту отримання електронного документа НКЦПФР.</w:t>
      </w:r>
    </w:p>
    <w:p w:rsidR="00BA1CBA" w:rsidRPr="007C04D1" w:rsidRDefault="00BA1CBA" w:rsidP="00DD5EA2">
      <w:pPr>
        <w:shd w:val="clear" w:color="auto" w:fill="FFFFFF"/>
        <w:spacing w:before="120" w:after="120" w:line="240" w:lineRule="auto"/>
        <w:ind w:firstLine="450"/>
        <w:jc w:val="both"/>
        <w:textAlignment w:val="baseline"/>
        <w:rPr>
          <w:color w:val="000000"/>
          <w:sz w:val="24"/>
          <w:szCs w:val="24"/>
          <w:lang w:eastAsia="uk-UA"/>
        </w:rPr>
      </w:pPr>
      <w:bookmarkStart w:id="26" w:name="n42"/>
      <w:bookmarkEnd w:id="26"/>
      <w:r w:rsidRPr="007C04D1">
        <w:rPr>
          <w:color w:val="000000"/>
          <w:sz w:val="24"/>
          <w:szCs w:val="24"/>
          <w:lang w:eastAsia="uk-UA"/>
        </w:rPr>
        <w:t>6. Електронна форма інформації, яка подається для внесення до Переліку, складається відповідно до опису розділів та схем XML-файлів, визначених окремим документом нормативно-технічного характеру.</w:t>
      </w:r>
    </w:p>
    <w:p w:rsidR="00BA1CBA" w:rsidRPr="007C04D1" w:rsidRDefault="00BA1CBA" w:rsidP="00DD5EA2">
      <w:pPr>
        <w:shd w:val="clear" w:color="auto" w:fill="FFFFFF"/>
        <w:spacing w:before="120" w:after="120" w:line="240" w:lineRule="auto"/>
        <w:ind w:left="450" w:right="450"/>
        <w:jc w:val="center"/>
        <w:textAlignment w:val="baseline"/>
        <w:rPr>
          <w:color w:val="000000"/>
          <w:sz w:val="24"/>
          <w:szCs w:val="24"/>
          <w:lang w:eastAsia="uk-UA"/>
        </w:rPr>
      </w:pPr>
      <w:bookmarkStart w:id="27" w:name="n43"/>
      <w:bookmarkEnd w:id="27"/>
      <w:r w:rsidRPr="007C04D1">
        <w:rPr>
          <w:b/>
          <w:bCs/>
          <w:color w:val="000000"/>
          <w:lang w:eastAsia="uk-UA"/>
        </w:rPr>
        <w:t>ІV. Вимоги щодо зберігання інформації та контроль</w:t>
      </w:r>
    </w:p>
    <w:p w:rsidR="00BA1CBA" w:rsidRPr="007C04D1" w:rsidRDefault="00BA1CBA" w:rsidP="00DD5EA2">
      <w:pPr>
        <w:shd w:val="clear" w:color="auto" w:fill="FFFFFF"/>
        <w:spacing w:before="120" w:after="120" w:line="240" w:lineRule="auto"/>
        <w:ind w:firstLine="450"/>
        <w:jc w:val="both"/>
        <w:textAlignment w:val="baseline"/>
        <w:rPr>
          <w:color w:val="000000"/>
          <w:sz w:val="24"/>
          <w:szCs w:val="24"/>
          <w:lang w:eastAsia="uk-UA"/>
        </w:rPr>
      </w:pPr>
      <w:bookmarkStart w:id="28" w:name="n44"/>
      <w:bookmarkEnd w:id="28"/>
      <w:r w:rsidRPr="007C04D1">
        <w:rPr>
          <w:color w:val="000000"/>
          <w:sz w:val="24"/>
          <w:szCs w:val="24"/>
          <w:lang w:eastAsia="uk-UA"/>
        </w:rPr>
        <w:t>1. Інформація, яка подається для розміщення програмного продукту (модуля) у Переліку, зберігається в НКЦПФР протягом життєвого циклу програмного продукту (модуля).</w:t>
      </w:r>
    </w:p>
    <w:p w:rsidR="00BA1CBA" w:rsidRDefault="00BA1CBA" w:rsidP="00DD5EA2">
      <w:pPr>
        <w:shd w:val="clear" w:color="auto" w:fill="FFFFFF"/>
        <w:spacing w:before="120" w:after="120" w:line="240" w:lineRule="auto"/>
        <w:ind w:firstLine="450"/>
        <w:jc w:val="both"/>
        <w:textAlignment w:val="baseline"/>
        <w:rPr>
          <w:color w:val="000000"/>
          <w:sz w:val="24"/>
          <w:szCs w:val="24"/>
          <w:lang w:val="en-US" w:eastAsia="uk-UA"/>
        </w:rPr>
      </w:pPr>
      <w:bookmarkStart w:id="29" w:name="n45"/>
      <w:bookmarkEnd w:id="29"/>
      <w:r w:rsidRPr="007C04D1">
        <w:rPr>
          <w:color w:val="000000"/>
          <w:sz w:val="24"/>
          <w:szCs w:val="24"/>
          <w:lang w:eastAsia="uk-UA"/>
        </w:rPr>
        <w:t>2. Контроль за веденням Переліку здійснюється управлінням інформаційних технологій, зовнішніх та внутрішніх комунікацій НКЦПФР.</w:t>
      </w:r>
    </w:p>
    <w:p w:rsidR="00BA1CBA" w:rsidRPr="00DD5EA2" w:rsidRDefault="00BA1CBA" w:rsidP="00DD5EA2">
      <w:pPr>
        <w:shd w:val="clear" w:color="auto" w:fill="FFFFFF"/>
        <w:spacing w:before="120" w:after="120" w:line="240" w:lineRule="auto"/>
        <w:ind w:firstLine="450"/>
        <w:jc w:val="both"/>
        <w:textAlignment w:val="baseline"/>
        <w:rPr>
          <w:color w:val="000000"/>
          <w:sz w:val="24"/>
          <w:szCs w:val="24"/>
          <w:lang w:val="en-US" w:eastAsia="uk-UA"/>
        </w:rPr>
      </w:pPr>
    </w:p>
    <w:tbl>
      <w:tblPr>
        <w:tblW w:w="5000" w:type="pct"/>
        <w:tblCellMar>
          <w:left w:w="0" w:type="dxa"/>
          <w:right w:w="0" w:type="dxa"/>
        </w:tblCellMar>
        <w:tblLook w:val="00A0"/>
      </w:tblPr>
      <w:tblGrid>
        <w:gridCol w:w="4048"/>
        <w:gridCol w:w="5591"/>
      </w:tblGrid>
      <w:tr w:rsidR="00BA1CBA" w:rsidRPr="00B74C70" w:rsidTr="00DD5EA2">
        <w:tc>
          <w:tcPr>
            <w:tcW w:w="2100" w:type="pct"/>
          </w:tcPr>
          <w:p w:rsidR="00BA1CBA" w:rsidRPr="007C04D1" w:rsidRDefault="00BA1CBA" w:rsidP="00DD5EA2">
            <w:pPr>
              <w:spacing w:before="120" w:after="120" w:line="240" w:lineRule="auto"/>
              <w:jc w:val="center"/>
              <w:textAlignment w:val="baseline"/>
              <w:rPr>
                <w:sz w:val="24"/>
                <w:szCs w:val="24"/>
                <w:lang w:eastAsia="uk-UA"/>
              </w:rPr>
            </w:pPr>
            <w:bookmarkStart w:id="30" w:name="n46"/>
            <w:bookmarkEnd w:id="30"/>
            <w:r w:rsidRPr="007C04D1">
              <w:rPr>
                <w:b/>
                <w:bCs/>
                <w:color w:val="000000"/>
                <w:sz w:val="24"/>
                <w:szCs w:val="24"/>
                <w:lang w:eastAsia="uk-UA"/>
              </w:rPr>
              <w:t>Начальник управління</w:t>
            </w:r>
            <w:r w:rsidRPr="007C04D1">
              <w:rPr>
                <w:sz w:val="24"/>
                <w:szCs w:val="24"/>
                <w:lang w:eastAsia="uk-UA"/>
              </w:rPr>
              <w:t> </w:t>
            </w:r>
            <w:r w:rsidRPr="007C04D1">
              <w:rPr>
                <w:sz w:val="24"/>
                <w:szCs w:val="24"/>
                <w:lang w:eastAsia="uk-UA"/>
              </w:rPr>
              <w:br/>
            </w:r>
            <w:r w:rsidRPr="007C04D1">
              <w:rPr>
                <w:b/>
                <w:bCs/>
                <w:color w:val="000000"/>
                <w:sz w:val="24"/>
                <w:szCs w:val="24"/>
                <w:lang w:eastAsia="uk-UA"/>
              </w:rPr>
              <w:t>інформаційних технологій,</w:t>
            </w:r>
            <w:r w:rsidRPr="007C04D1">
              <w:rPr>
                <w:sz w:val="24"/>
                <w:szCs w:val="24"/>
                <w:lang w:eastAsia="uk-UA"/>
              </w:rPr>
              <w:t> </w:t>
            </w:r>
            <w:r w:rsidRPr="007C04D1">
              <w:rPr>
                <w:sz w:val="24"/>
                <w:szCs w:val="24"/>
                <w:lang w:eastAsia="uk-UA"/>
              </w:rPr>
              <w:br/>
            </w:r>
            <w:r w:rsidRPr="007C04D1">
              <w:rPr>
                <w:b/>
                <w:bCs/>
                <w:color w:val="000000"/>
                <w:sz w:val="24"/>
                <w:szCs w:val="24"/>
                <w:lang w:eastAsia="uk-UA"/>
              </w:rPr>
              <w:t>зовнішніх та внутрішніх</w:t>
            </w:r>
            <w:r w:rsidRPr="007C04D1">
              <w:rPr>
                <w:sz w:val="24"/>
                <w:szCs w:val="24"/>
                <w:lang w:eastAsia="uk-UA"/>
              </w:rPr>
              <w:t> </w:t>
            </w:r>
            <w:r w:rsidRPr="007C04D1">
              <w:rPr>
                <w:sz w:val="24"/>
                <w:szCs w:val="24"/>
                <w:lang w:eastAsia="uk-UA"/>
              </w:rPr>
              <w:br/>
            </w:r>
            <w:r w:rsidRPr="007C04D1">
              <w:rPr>
                <w:b/>
                <w:bCs/>
                <w:color w:val="000000"/>
                <w:sz w:val="24"/>
                <w:szCs w:val="24"/>
                <w:lang w:eastAsia="uk-UA"/>
              </w:rPr>
              <w:t>комунікацій</w:t>
            </w:r>
          </w:p>
        </w:tc>
        <w:tc>
          <w:tcPr>
            <w:tcW w:w="3500" w:type="pct"/>
          </w:tcPr>
          <w:p w:rsidR="00BA1CBA" w:rsidRPr="007C04D1" w:rsidRDefault="00BA1CBA" w:rsidP="00DD5EA2">
            <w:pPr>
              <w:spacing w:before="120" w:after="120" w:line="240" w:lineRule="auto"/>
              <w:jc w:val="right"/>
              <w:textAlignment w:val="baseline"/>
              <w:rPr>
                <w:sz w:val="24"/>
                <w:szCs w:val="24"/>
                <w:lang w:eastAsia="uk-UA"/>
              </w:rPr>
            </w:pPr>
            <w:r w:rsidRPr="007C04D1">
              <w:rPr>
                <w:sz w:val="24"/>
                <w:szCs w:val="24"/>
                <w:lang w:eastAsia="uk-UA"/>
              </w:rPr>
              <w:br/>
            </w:r>
            <w:r w:rsidRPr="007C04D1">
              <w:rPr>
                <w:sz w:val="24"/>
                <w:szCs w:val="24"/>
                <w:lang w:eastAsia="uk-UA"/>
              </w:rPr>
              <w:br/>
            </w:r>
            <w:r w:rsidRPr="007C04D1">
              <w:rPr>
                <w:sz w:val="24"/>
                <w:szCs w:val="24"/>
                <w:lang w:eastAsia="uk-UA"/>
              </w:rPr>
              <w:br/>
            </w:r>
            <w:r w:rsidRPr="007C04D1">
              <w:rPr>
                <w:b/>
                <w:bCs/>
                <w:color w:val="000000"/>
                <w:sz w:val="24"/>
                <w:szCs w:val="24"/>
                <w:lang w:eastAsia="uk-UA"/>
              </w:rPr>
              <w:t>А. Заїка</w:t>
            </w:r>
          </w:p>
        </w:tc>
      </w:tr>
    </w:tbl>
    <w:p w:rsidR="00BA1CBA" w:rsidRDefault="00BA1CBA">
      <w:hyperlink r:id="rId10" w:history="1">
        <w:r w:rsidRPr="00DD5EA2">
          <w:rPr>
            <w:rStyle w:val="Hyperlink"/>
          </w:rPr>
          <w:t>http://zakon5.rada.gov.ua/laws/show/z0141-13</w:t>
        </w:r>
      </w:hyperlink>
    </w:p>
    <w:sectPr w:rsidR="00BA1CBA" w:rsidSect="00BB27F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04D1"/>
    <w:rsid w:val="005E0CC7"/>
    <w:rsid w:val="006C31FC"/>
    <w:rsid w:val="007C04D1"/>
    <w:rsid w:val="009846E8"/>
    <w:rsid w:val="00B74C70"/>
    <w:rsid w:val="00BA1CBA"/>
    <w:rsid w:val="00BB27F8"/>
    <w:rsid w:val="00DB36C9"/>
    <w:rsid w:val="00DD5EA2"/>
    <w:rsid w:val="00E5718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7F8"/>
    <w:pPr>
      <w:spacing w:after="200" w:line="276" w:lineRule="auto"/>
    </w:pPr>
    <w:rPr>
      <w:sz w:val="28"/>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4">
    <w:name w:val="rvps4"/>
    <w:basedOn w:val="Normal"/>
    <w:uiPriority w:val="99"/>
    <w:rsid w:val="007C04D1"/>
    <w:pPr>
      <w:spacing w:before="100" w:beforeAutospacing="1" w:after="100" w:afterAutospacing="1" w:line="240" w:lineRule="auto"/>
    </w:pPr>
    <w:rPr>
      <w:rFonts w:eastAsia="Times New Roman"/>
      <w:sz w:val="24"/>
      <w:szCs w:val="24"/>
      <w:lang w:eastAsia="uk-UA"/>
    </w:rPr>
  </w:style>
  <w:style w:type="paragraph" w:customStyle="1" w:styleId="rvps1">
    <w:name w:val="rvps1"/>
    <w:basedOn w:val="Normal"/>
    <w:uiPriority w:val="99"/>
    <w:rsid w:val="007C04D1"/>
    <w:pPr>
      <w:spacing w:before="100" w:beforeAutospacing="1" w:after="100" w:afterAutospacing="1" w:line="240" w:lineRule="auto"/>
    </w:pPr>
    <w:rPr>
      <w:rFonts w:eastAsia="Times New Roman"/>
      <w:sz w:val="24"/>
      <w:szCs w:val="24"/>
      <w:lang w:eastAsia="uk-UA"/>
    </w:rPr>
  </w:style>
  <w:style w:type="character" w:customStyle="1" w:styleId="rvts15">
    <w:name w:val="rvts15"/>
    <w:basedOn w:val="DefaultParagraphFont"/>
    <w:uiPriority w:val="99"/>
    <w:rsid w:val="007C04D1"/>
    <w:rPr>
      <w:rFonts w:cs="Times New Roman"/>
    </w:rPr>
  </w:style>
  <w:style w:type="character" w:customStyle="1" w:styleId="rvts23">
    <w:name w:val="rvts23"/>
    <w:basedOn w:val="DefaultParagraphFont"/>
    <w:uiPriority w:val="99"/>
    <w:rsid w:val="007C04D1"/>
    <w:rPr>
      <w:rFonts w:cs="Times New Roman"/>
    </w:rPr>
  </w:style>
  <w:style w:type="paragraph" w:customStyle="1" w:styleId="rvps7">
    <w:name w:val="rvps7"/>
    <w:basedOn w:val="Normal"/>
    <w:uiPriority w:val="99"/>
    <w:rsid w:val="007C04D1"/>
    <w:pPr>
      <w:spacing w:before="100" w:beforeAutospacing="1" w:after="100" w:afterAutospacing="1" w:line="240" w:lineRule="auto"/>
    </w:pPr>
    <w:rPr>
      <w:rFonts w:eastAsia="Times New Roman"/>
      <w:sz w:val="24"/>
      <w:szCs w:val="24"/>
      <w:lang w:eastAsia="uk-UA"/>
    </w:rPr>
  </w:style>
  <w:style w:type="character" w:customStyle="1" w:styleId="rvts9">
    <w:name w:val="rvts9"/>
    <w:basedOn w:val="DefaultParagraphFont"/>
    <w:uiPriority w:val="99"/>
    <w:rsid w:val="007C04D1"/>
    <w:rPr>
      <w:rFonts w:cs="Times New Roman"/>
    </w:rPr>
  </w:style>
  <w:style w:type="paragraph" w:customStyle="1" w:styleId="rvps14">
    <w:name w:val="rvps14"/>
    <w:basedOn w:val="Normal"/>
    <w:uiPriority w:val="99"/>
    <w:rsid w:val="007C04D1"/>
    <w:pPr>
      <w:spacing w:before="100" w:beforeAutospacing="1" w:after="100" w:afterAutospacing="1" w:line="240" w:lineRule="auto"/>
    </w:pPr>
    <w:rPr>
      <w:rFonts w:eastAsia="Times New Roman"/>
      <w:sz w:val="24"/>
      <w:szCs w:val="24"/>
      <w:lang w:eastAsia="uk-UA"/>
    </w:rPr>
  </w:style>
  <w:style w:type="character" w:customStyle="1" w:styleId="apple-converted-space">
    <w:name w:val="apple-converted-space"/>
    <w:basedOn w:val="DefaultParagraphFont"/>
    <w:uiPriority w:val="99"/>
    <w:rsid w:val="007C04D1"/>
    <w:rPr>
      <w:rFonts w:cs="Times New Roman"/>
    </w:rPr>
  </w:style>
  <w:style w:type="paragraph" w:customStyle="1" w:styleId="rvps6">
    <w:name w:val="rvps6"/>
    <w:basedOn w:val="Normal"/>
    <w:uiPriority w:val="99"/>
    <w:rsid w:val="007C04D1"/>
    <w:pPr>
      <w:spacing w:before="100" w:beforeAutospacing="1" w:after="100" w:afterAutospacing="1" w:line="240" w:lineRule="auto"/>
    </w:pPr>
    <w:rPr>
      <w:rFonts w:eastAsia="Times New Roman"/>
      <w:sz w:val="24"/>
      <w:szCs w:val="24"/>
      <w:lang w:eastAsia="uk-UA"/>
    </w:rPr>
  </w:style>
  <w:style w:type="paragraph" w:customStyle="1" w:styleId="rvps2">
    <w:name w:val="rvps2"/>
    <w:basedOn w:val="Normal"/>
    <w:uiPriority w:val="99"/>
    <w:rsid w:val="007C04D1"/>
    <w:pPr>
      <w:spacing w:before="100" w:beforeAutospacing="1" w:after="100" w:afterAutospacing="1" w:line="240" w:lineRule="auto"/>
    </w:pPr>
    <w:rPr>
      <w:rFonts w:eastAsia="Times New Roman"/>
      <w:sz w:val="24"/>
      <w:szCs w:val="24"/>
      <w:lang w:eastAsia="uk-UA"/>
    </w:rPr>
  </w:style>
  <w:style w:type="character" w:styleId="Hyperlink">
    <w:name w:val="Hyperlink"/>
    <w:basedOn w:val="DefaultParagraphFont"/>
    <w:uiPriority w:val="99"/>
    <w:semiHidden/>
    <w:rsid w:val="007C04D1"/>
    <w:rPr>
      <w:rFonts w:cs="Times New Roman"/>
      <w:color w:val="0000FF"/>
      <w:u w:val="single"/>
    </w:rPr>
  </w:style>
  <w:style w:type="character" w:customStyle="1" w:styleId="rvts52">
    <w:name w:val="rvts52"/>
    <w:basedOn w:val="DefaultParagraphFont"/>
    <w:uiPriority w:val="99"/>
    <w:rsid w:val="007C04D1"/>
    <w:rPr>
      <w:rFonts w:cs="Times New Roman"/>
    </w:rPr>
  </w:style>
  <w:style w:type="character" w:customStyle="1" w:styleId="rvts44">
    <w:name w:val="rvts44"/>
    <w:basedOn w:val="DefaultParagraphFont"/>
    <w:uiPriority w:val="99"/>
    <w:rsid w:val="007C04D1"/>
    <w:rPr>
      <w:rFonts w:cs="Times New Roman"/>
    </w:rPr>
  </w:style>
  <w:style w:type="paragraph" w:customStyle="1" w:styleId="rvps15">
    <w:name w:val="rvps15"/>
    <w:basedOn w:val="Normal"/>
    <w:uiPriority w:val="99"/>
    <w:rsid w:val="007C04D1"/>
    <w:pPr>
      <w:spacing w:before="100" w:beforeAutospacing="1" w:after="100" w:afterAutospacing="1" w:line="240" w:lineRule="auto"/>
    </w:pPr>
    <w:rPr>
      <w:rFonts w:eastAsia="Times New Roman"/>
      <w:sz w:val="24"/>
      <w:szCs w:val="24"/>
      <w:lang w:eastAsia="uk-UA"/>
    </w:rPr>
  </w:style>
  <w:style w:type="paragraph" w:customStyle="1" w:styleId="rvps11">
    <w:name w:val="rvps11"/>
    <w:basedOn w:val="Normal"/>
    <w:uiPriority w:val="99"/>
    <w:rsid w:val="007C04D1"/>
    <w:pPr>
      <w:spacing w:before="100" w:beforeAutospacing="1" w:after="100" w:afterAutospacing="1" w:line="240" w:lineRule="auto"/>
    </w:pPr>
    <w:rPr>
      <w:rFonts w:eastAsia="Times New Roman"/>
      <w:sz w:val="24"/>
      <w:szCs w:val="24"/>
      <w:lang w:eastAsia="uk-UA"/>
    </w:rPr>
  </w:style>
  <w:style w:type="paragraph" w:styleId="BalloonText">
    <w:name w:val="Balloon Text"/>
    <w:basedOn w:val="Normal"/>
    <w:link w:val="BalloonTextChar"/>
    <w:uiPriority w:val="99"/>
    <w:semiHidden/>
    <w:rsid w:val="007C0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04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3661849">
      <w:marLeft w:val="0"/>
      <w:marRight w:val="0"/>
      <w:marTop w:val="0"/>
      <w:marBottom w:val="0"/>
      <w:divBdr>
        <w:top w:val="none" w:sz="0" w:space="0" w:color="auto"/>
        <w:left w:val="none" w:sz="0" w:space="0" w:color="auto"/>
        <w:bottom w:val="none" w:sz="0" w:space="0" w:color="auto"/>
        <w:right w:val="none" w:sz="0" w:space="0" w:color="auto"/>
      </w:divBdr>
      <w:divsChild>
        <w:div w:id="283661847">
          <w:marLeft w:val="0"/>
          <w:marRight w:val="0"/>
          <w:marTop w:val="0"/>
          <w:marBottom w:val="150"/>
          <w:divBdr>
            <w:top w:val="none" w:sz="0" w:space="0" w:color="auto"/>
            <w:left w:val="none" w:sz="0" w:space="0" w:color="auto"/>
            <w:bottom w:val="none" w:sz="0" w:space="0" w:color="auto"/>
            <w:right w:val="none" w:sz="0" w:space="0" w:color="auto"/>
          </w:divBdr>
        </w:div>
        <w:div w:id="283661848">
          <w:marLeft w:val="0"/>
          <w:marRight w:val="0"/>
          <w:marTop w:val="0"/>
          <w:marBottom w:val="150"/>
          <w:divBdr>
            <w:top w:val="none" w:sz="0" w:space="0" w:color="auto"/>
            <w:left w:val="none" w:sz="0" w:space="0" w:color="auto"/>
            <w:bottom w:val="none" w:sz="0" w:space="0" w:color="auto"/>
            <w:right w:val="none" w:sz="0" w:space="0" w:color="auto"/>
          </w:divBdr>
        </w:div>
        <w:div w:id="283661850">
          <w:marLeft w:val="0"/>
          <w:marRight w:val="0"/>
          <w:marTop w:val="0"/>
          <w:marBottom w:val="150"/>
          <w:divBdr>
            <w:top w:val="none" w:sz="0" w:space="0" w:color="auto"/>
            <w:left w:val="none" w:sz="0" w:space="0" w:color="auto"/>
            <w:bottom w:val="none" w:sz="0" w:space="0" w:color="auto"/>
            <w:right w:val="none" w:sz="0" w:space="0" w:color="auto"/>
          </w:divBdr>
        </w:div>
        <w:div w:id="283661851">
          <w:marLeft w:val="0"/>
          <w:marRight w:val="0"/>
          <w:marTop w:val="150"/>
          <w:marBottom w:val="150"/>
          <w:divBdr>
            <w:top w:val="none" w:sz="0" w:space="0" w:color="auto"/>
            <w:left w:val="none" w:sz="0" w:space="0" w:color="auto"/>
            <w:bottom w:val="none" w:sz="0" w:space="0" w:color="auto"/>
            <w:right w:val="none" w:sz="0" w:space="0" w:color="auto"/>
          </w:divBdr>
        </w:div>
        <w:div w:id="28366185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z1760-12/paran17" TargetMode="External"/><Relationship Id="rId3" Type="http://schemas.openxmlformats.org/officeDocument/2006/relationships/webSettings" Target="webSettings.xml"/><Relationship Id="rId7" Type="http://schemas.openxmlformats.org/officeDocument/2006/relationships/hyperlink" Target="http://zakon3.rada.gov.ua/laws/show/z1760-12/paran1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3.rada.gov.ua/laws/show/z1760-12/paran17" TargetMode="External"/><Relationship Id="rId11" Type="http://schemas.openxmlformats.org/officeDocument/2006/relationships/fontTable" Target="fontTable.xml"/><Relationship Id="rId5" Type="http://schemas.openxmlformats.org/officeDocument/2006/relationships/hyperlink" Target="http://zakon3.rada.gov.ua/laws/show/3792-12" TargetMode="External"/><Relationship Id="rId10" Type="http://schemas.openxmlformats.org/officeDocument/2006/relationships/hyperlink" Target="http://zakon5.rada.gov.ua/laws/show/z0141-13" TargetMode="External"/><Relationship Id="rId4" Type="http://schemas.openxmlformats.org/officeDocument/2006/relationships/hyperlink" Target="http://zakon3.rada.gov.ua/laws/show/3480-15" TargetMode="External"/><Relationship Id="rId9" Type="http://schemas.openxmlformats.org/officeDocument/2006/relationships/hyperlink" Target="http://zakon3.rada.gov.ua/laws/show/z1760-12/paran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Pages>
  <Words>3778</Words>
  <Characters>2154</Characters>
  <Application>Microsoft Office Outlook</Application>
  <DocSecurity>0</DocSecurity>
  <Lines>0</Lines>
  <Paragraphs>0</Paragraphs>
  <ScaleCrop>false</ScaleCrop>
  <Company>Національна комісія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melnikova</dc:creator>
  <cp:keywords/>
  <dc:description/>
  <cp:lastModifiedBy>oskin</cp:lastModifiedBy>
  <cp:revision>3</cp:revision>
  <dcterms:created xsi:type="dcterms:W3CDTF">2017-04-20T09:38:00Z</dcterms:created>
  <dcterms:modified xsi:type="dcterms:W3CDTF">2017-04-21T13:02:00Z</dcterms:modified>
</cp:coreProperties>
</file>