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7C" w:rsidRDefault="008A03DB">
      <w:pPr>
        <w:pStyle w:val="a3"/>
        <w:jc w:val="center"/>
      </w:pPr>
      <w:bookmarkStart w:id="0" w:name="_GoBack"/>
      <w:bookmarkEnd w:id="0"/>
      <w:r>
        <w:rPr>
          <w:noProof/>
        </w:rPr>
        <w:drawing>
          <wp:inline distT="0" distB="0" distL="0" distR="0">
            <wp:extent cx="666750" cy="914400"/>
            <wp:effectExtent l="0" t="0" r="0" b="0"/>
            <wp:docPr id="2" name="Рисунок 2" descr="C:\Users\iryna.shapoval\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yna.shapoval\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DB667C" w:rsidRDefault="008A03DB">
      <w:pPr>
        <w:pStyle w:val="2"/>
        <w:jc w:val="center"/>
        <w:rPr>
          <w:rFonts w:eastAsia="Times New Roman"/>
        </w:rPr>
      </w:pPr>
      <w:r>
        <w:rPr>
          <w:rFonts w:eastAsia="Times New Roman"/>
        </w:rPr>
        <w:t>НАЦІОНАЛЬНА КОМІСІЯ З ЦІННИХ ПАПЕРІВ ТА ФОНДОВОГО РИНКУ</w:t>
      </w:r>
    </w:p>
    <w:p w:rsidR="00DB667C" w:rsidRDefault="008A03DB">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DB667C">
        <w:trPr>
          <w:tblCellSpacing w:w="22" w:type="dxa"/>
        </w:trPr>
        <w:tc>
          <w:tcPr>
            <w:tcW w:w="1750" w:type="pct"/>
            <w:hideMark/>
          </w:tcPr>
          <w:p w:rsidR="00DB667C" w:rsidRDefault="008A03DB">
            <w:pPr>
              <w:pStyle w:val="a3"/>
              <w:jc w:val="center"/>
            </w:pPr>
            <w:r>
              <w:rPr>
                <w:b/>
                <w:bCs/>
              </w:rPr>
              <w:t>25.09.2012</w:t>
            </w:r>
          </w:p>
        </w:tc>
        <w:tc>
          <w:tcPr>
            <w:tcW w:w="1500" w:type="pct"/>
            <w:hideMark/>
          </w:tcPr>
          <w:p w:rsidR="00DB667C" w:rsidRDefault="008A03DB">
            <w:pPr>
              <w:pStyle w:val="a3"/>
              <w:jc w:val="center"/>
            </w:pPr>
            <w:r>
              <w:rPr>
                <w:b/>
                <w:bCs/>
              </w:rPr>
              <w:t>м. Київ</w:t>
            </w:r>
          </w:p>
        </w:tc>
        <w:tc>
          <w:tcPr>
            <w:tcW w:w="1750" w:type="pct"/>
            <w:hideMark/>
          </w:tcPr>
          <w:p w:rsidR="00DB667C" w:rsidRDefault="008A03DB">
            <w:pPr>
              <w:pStyle w:val="a3"/>
              <w:jc w:val="center"/>
            </w:pPr>
            <w:r>
              <w:rPr>
                <w:b/>
                <w:bCs/>
              </w:rPr>
              <w:t>N 1284</w:t>
            </w:r>
          </w:p>
        </w:tc>
      </w:tr>
    </w:tbl>
    <w:p w:rsidR="00DB667C" w:rsidRDefault="008A03DB">
      <w:pPr>
        <w:rPr>
          <w:rFonts w:eastAsia="Times New Roman"/>
        </w:rPr>
      </w:pPr>
      <w:r>
        <w:rPr>
          <w:rFonts w:eastAsia="Times New Roman"/>
        </w:rPr>
        <w:br w:type="textWrapping" w:clear="all"/>
      </w:r>
    </w:p>
    <w:p w:rsidR="00DB667C" w:rsidRDefault="008A03DB">
      <w:pPr>
        <w:pStyle w:val="a3"/>
        <w:jc w:val="center"/>
      </w:pPr>
      <w:r>
        <w:rPr>
          <w:b/>
          <w:bCs/>
        </w:rPr>
        <w:t>Зареєстровано в Міністерстві юстиції України</w:t>
      </w:r>
      <w:r>
        <w:br/>
      </w:r>
      <w:r>
        <w:rPr>
          <w:b/>
          <w:bCs/>
        </w:rPr>
        <w:t>16 жовтня 2012 р. за N 1738/22050</w:t>
      </w:r>
    </w:p>
    <w:p w:rsidR="00DB667C" w:rsidRDefault="008A03DB">
      <w:pPr>
        <w:pStyle w:val="2"/>
        <w:jc w:val="center"/>
        <w:rPr>
          <w:rFonts w:eastAsia="Times New Roman"/>
        </w:rPr>
      </w:pPr>
      <w:r>
        <w:rPr>
          <w:rFonts w:eastAsia="Times New Roman"/>
        </w:rPr>
        <w:t>Про затвердження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p w:rsidR="00DB667C" w:rsidRDefault="008A03DB">
      <w:pPr>
        <w:pStyle w:val="a3"/>
        <w:jc w:val="center"/>
      </w:pPr>
      <w:r>
        <w:t xml:space="preserve">Із змінами і доповненнями, внесеними </w:t>
      </w:r>
      <w:r>
        <w:br/>
        <w:t xml:space="preserve">рішеннями Національної комісії з цінних паперів та фондового ринку </w:t>
      </w:r>
      <w:r>
        <w:br/>
        <w:t>від 18 грудня 2012 року N 1810,</w:t>
      </w:r>
      <w:r>
        <w:br/>
        <w:t> від 13 серпня 2013 року N 1467,</w:t>
      </w:r>
      <w:r>
        <w:br/>
        <w:t> від 23 вересня 2014 року N 1245,</w:t>
      </w:r>
      <w:r>
        <w:br/>
        <w:t> від 4 серпня 2015 року N 1178,</w:t>
      </w:r>
      <w:r>
        <w:br/>
        <w:t> від 1 грудня 2015 року N 2003,</w:t>
      </w:r>
      <w:r>
        <w:br/>
        <w:t> від 10 січня 2017 року N 1,</w:t>
      </w:r>
      <w:r>
        <w:br/>
        <w:t>від 22 червня 2017 року N 460,</w:t>
      </w:r>
      <w:r>
        <w:br/>
        <w:t>від 5 жовтня 2017 року N 741,</w:t>
      </w:r>
      <w:r>
        <w:br/>
        <w:t>від 1 лютого 2018 року N 58,</w:t>
      </w:r>
      <w:r>
        <w:br/>
        <w:t>від 15 березня 2018 року N 145,</w:t>
      </w:r>
      <w:r>
        <w:br/>
        <w:t>від 28 грудня 2018 року N 940,</w:t>
      </w:r>
      <w:r>
        <w:br/>
        <w:t>від 9 липня 2019 року N 361</w:t>
      </w:r>
    </w:p>
    <w:p w:rsidR="00DB667C" w:rsidRDefault="008A03DB">
      <w:pPr>
        <w:pStyle w:val="a3"/>
        <w:jc w:val="both"/>
      </w:pPr>
      <w:r>
        <w:t xml:space="preserve">Відповідно до </w:t>
      </w:r>
      <w:r>
        <w:rPr>
          <w:color w:val="0000FF"/>
        </w:rPr>
        <w:t>пункту 10 частини другої статті 7</w:t>
      </w:r>
      <w:r>
        <w:t xml:space="preserve"> та </w:t>
      </w:r>
      <w:r>
        <w:rPr>
          <w:color w:val="0000FF"/>
        </w:rPr>
        <w:t>пункту 13 статті 8 Закону України "Про державне регулювання ринку цінних паперів в Україні"</w:t>
      </w:r>
      <w:r>
        <w:t xml:space="preserve"> Національна комісія з цінних паперів та фондового ринку</w:t>
      </w:r>
    </w:p>
    <w:p w:rsidR="00DB667C" w:rsidRDefault="008A03DB">
      <w:pPr>
        <w:pStyle w:val="a3"/>
        <w:jc w:val="both"/>
      </w:pPr>
      <w:r>
        <w:rPr>
          <w:b/>
          <w:bCs/>
        </w:rPr>
        <w:t>ВИРІШИЛА:</w:t>
      </w:r>
    </w:p>
    <w:p w:rsidR="00DB667C" w:rsidRDefault="008A03DB">
      <w:pPr>
        <w:pStyle w:val="a3"/>
        <w:jc w:val="both"/>
      </w:pPr>
      <w:r>
        <w:t>1. Затвердити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що додається.</w:t>
      </w:r>
    </w:p>
    <w:p w:rsidR="00DB667C" w:rsidRDefault="008A03DB">
      <w:pPr>
        <w:pStyle w:val="a3"/>
        <w:jc w:val="both"/>
      </w:pPr>
      <w:r>
        <w:lastRenderedPageBreak/>
        <w:t xml:space="preserve">2. Визнати таким, що втратило чинність, </w:t>
      </w:r>
      <w:r>
        <w:rPr>
          <w:color w:val="0000FF"/>
        </w:rPr>
        <w:t>рішення Державної комісії з цінних паперів та фондового ринку від 11 червня 2002 року N 212 "Про затвердження Положення про порядок оприлюднення інформації та подання адміністративних даних щодо здійснення діяльності організаторами торгівлі"</w:t>
      </w:r>
      <w:r>
        <w:t>, зареєстроване в Міністерстві юстиції України 21 серпня 2002 року за N 696/6984 (зі змінами).</w:t>
      </w:r>
    </w:p>
    <w:p w:rsidR="00DB667C" w:rsidRDefault="008A03DB">
      <w:pPr>
        <w:pStyle w:val="a3"/>
        <w:jc w:val="both"/>
      </w:pPr>
      <w:r>
        <w:t>3. Адміністративні дані організатора торгівлі за 2012 рік подаються до Національної комісії з цінних паперів та фондового ринку за формою, у складі, терміни та порядку, що встановлені нормативно-правовими актами, які діяли на звітну дату складання таких даних.</w:t>
      </w:r>
    </w:p>
    <w:p w:rsidR="00DB667C" w:rsidRDefault="008A03DB">
      <w:pPr>
        <w:pStyle w:val="a3"/>
        <w:jc w:val="right"/>
      </w:pPr>
      <w:r>
        <w:t>(рішення доповнено новим пунктом 3 згідно з рішенням Національної</w:t>
      </w:r>
      <w:r>
        <w:br/>
        <w:t xml:space="preserve"> комісії з цінних паперів та фондового ринку від 18.12.2012 р. N 1810, </w:t>
      </w:r>
      <w:r>
        <w:br/>
        <w:t>у зв'язку з цим пункти 3 - 7 вважати відповідно пунктами 4 - 8)</w:t>
      </w:r>
    </w:p>
    <w:p w:rsidR="00DB667C" w:rsidRDefault="008A03DB">
      <w:pPr>
        <w:pStyle w:val="a3"/>
        <w:jc w:val="both"/>
      </w:pPr>
      <w:r>
        <w:t xml:space="preserve">4. Встановити, що Система довідників та класифікаторів Національної комісії з цінних паперів та фондового ринку, затверджена </w:t>
      </w:r>
      <w:r>
        <w:rPr>
          <w:color w:val="0000FF"/>
        </w:rPr>
        <w:t>рішенням Національної комісії з цінних паперів та фондового ринку від 08 травня 2012 року N 646</w:t>
      </w:r>
      <w:r>
        <w:t>, зареєстрована в Міністерстві юстиції України 25 травня 2012 року за N 831/21143, є обов'язковою для використання організаторами торгівлі при складанні та поданні до Національної комісії з цінних паперів та фондового ринку адміністративних даних.</w:t>
      </w:r>
    </w:p>
    <w:p w:rsidR="00DB667C" w:rsidRDefault="008A03DB">
      <w:pPr>
        <w:pStyle w:val="a3"/>
        <w:jc w:val="both"/>
      </w:pPr>
      <w:r>
        <w:t>5. Департаменту регулювання діяльності торговців цінними паперами та фондових бірж (О. Науменко) забезпечити:</w:t>
      </w:r>
    </w:p>
    <w:p w:rsidR="00DB667C" w:rsidRDefault="008A03DB">
      <w:pPr>
        <w:pStyle w:val="a3"/>
        <w:jc w:val="both"/>
      </w:pPr>
      <w:r>
        <w:t xml:space="preserve">подання цього рішення для здійснення експертизи на відповідність </w:t>
      </w:r>
      <w:r>
        <w:rPr>
          <w:color w:val="0000FF"/>
        </w:rPr>
        <w:t>Конвенції про захист прав людини і основоположних свобод</w:t>
      </w:r>
      <w:r>
        <w:t xml:space="preserve"> до Секретаріату Урядового уповноваженого у справах Європейського суду з прав людини Міністерства юстиції України;</w:t>
      </w:r>
    </w:p>
    <w:p w:rsidR="00DB667C" w:rsidRDefault="008A03DB">
      <w:pPr>
        <w:pStyle w:val="a3"/>
        <w:jc w:val="both"/>
      </w:pPr>
      <w:r>
        <w:t>подання цього рішення на державну реєстрацію до Міністерства юстиції України.</w:t>
      </w:r>
    </w:p>
    <w:p w:rsidR="00DB667C" w:rsidRDefault="008A03DB">
      <w:pPr>
        <w:pStyle w:val="a3"/>
        <w:jc w:val="both"/>
      </w:pPr>
      <w:r>
        <w:t>6. Управлінню інформаційних технологій, зовнішніх та внутрішніх комунікацій (А. Заїка) забезпечити опублікування цього рішення відповідно до вимог законодавства України.</w:t>
      </w:r>
    </w:p>
    <w:p w:rsidR="00DB667C" w:rsidRDefault="008A03DB">
      <w:pPr>
        <w:pStyle w:val="a3"/>
        <w:jc w:val="both"/>
      </w:pPr>
      <w:r>
        <w:t>7. Це рішення набирає чинності з 01 січня 2013 року, але не раніше дня офіційного опублікування.</w:t>
      </w:r>
    </w:p>
    <w:p w:rsidR="00DB667C" w:rsidRDefault="008A03DB">
      <w:pPr>
        <w:pStyle w:val="a3"/>
        <w:jc w:val="both"/>
      </w:pPr>
      <w:r>
        <w:t>8. Контроль за виконанням цього рішення покласти на члена Комісії К. Кривенка.</w:t>
      </w:r>
    </w:p>
    <w:p w:rsidR="00DB667C" w:rsidRDefault="008A03DB">
      <w:pPr>
        <w:pStyle w:val="a3"/>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19"/>
        <w:gridCol w:w="4820"/>
      </w:tblGrid>
      <w:tr w:rsidR="00DB667C">
        <w:trPr>
          <w:tblCellSpacing w:w="22" w:type="dxa"/>
        </w:trPr>
        <w:tc>
          <w:tcPr>
            <w:tcW w:w="2500" w:type="pct"/>
            <w:hideMark/>
          </w:tcPr>
          <w:p w:rsidR="00DB667C" w:rsidRDefault="008A03DB">
            <w:pPr>
              <w:pStyle w:val="a3"/>
              <w:jc w:val="center"/>
            </w:pPr>
            <w:r>
              <w:rPr>
                <w:b/>
                <w:bCs/>
              </w:rPr>
              <w:t>Голова Комісії</w:t>
            </w:r>
          </w:p>
        </w:tc>
        <w:tc>
          <w:tcPr>
            <w:tcW w:w="2500" w:type="pct"/>
            <w:hideMark/>
          </w:tcPr>
          <w:p w:rsidR="00DB667C" w:rsidRDefault="008A03DB">
            <w:pPr>
              <w:pStyle w:val="a3"/>
              <w:jc w:val="center"/>
            </w:pPr>
            <w:r>
              <w:rPr>
                <w:b/>
                <w:bCs/>
              </w:rPr>
              <w:t>Д. Тевелєв</w:t>
            </w:r>
          </w:p>
        </w:tc>
      </w:tr>
      <w:tr w:rsidR="00DB667C">
        <w:trPr>
          <w:tblCellSpacing w:w="22" w:type="dxa"/>
        </w:trPr>
        <w:tc>
          <w:tcPr>
            <w:tcW w:w="0" w:type="auto"/>
            <w:hideMark/>
          </w:tcPr>
          <w:p w:rsidR="00DB667C" w:rsidRDefault="008A03DB">
            <w:pPr>
              <w:pStyle w:val="a3"/>
              <w:jc w:val="center"/>
            </w:pPr>
            <w:r>
              <w:rPr>
                <w:b/>
                <w:bCs/>
              </w:rPr>
              <w:t>ПОГОДЖЕНО:</w:t>
            </w:r>
          </w:p>
        </w:tc>
        <w:tc>
          <w:tcPr>
            <w:tcW w:w="0" w:type="auto"/>
            <w:hideMark/>
          </w:tcPr>
          <w:p w:rsidR="00DB667C" w:rsidRDefault="008A03DB">
            <w:pPr>
              <w:pStyle w:val="a3"/>
              <w:jc w:val="center"/>
            </w:pPr>
            <w:r>
              <w:t> </w:t>
            </w:r>
          </w:p>
        </w:tc>
      </w:tr>
      <w:tr w:rsidR="00DB667C">
        <w:trPr>
          <w:tblCellSpacing w:w="22" w:type="dxa"/>
        </w:trPr>
        <w:tc>
          <w:tcPr>
            <w:tcW w:w="0" w:type="auto"/>
            <w:hideMark/>
          </w:tcPr>
          <w:p w:rsidR="00DB667C" w:rsidRDefault="008A03DB">
            <w:pPr>
              <w:pStyle w:val="a3"/>
              <w:jc w:val="center"/>
            </w:pPr>
            <w:r>
              <w:rPr>
                <w:b/>
                <w:bCs/>
              </w:rPr>
              <w:t>Голова Державної служби України</w:t>
            </w:r>
            <w:r>
              <w:br/>
            </w:r>
            <w:r>
              <w:rPr>
                <w:b/>
                <w:bCs/>
              </w:rPr>
              <w:t>з питань регуляторної політики та</w:t>
            </w:r>
            <w:r>
              <w:br/>
            </w:r>
            <w:r>
              <w:rPr>
                <w:b/>
                <w:bCs/>
              </w:rPr>
              <w:t>розвитку підприємництва</w:t>
            </w:r>
          </w:p>
        </w:tc>
        <w:tc>
          <w:tcPr>
            <w:tcW w:w="0" w:type="auto"/>
            <w:vAlign w:val="bottom"/>
            <w:hideMark/>
          </w:tcPr>
          <w:p w:rsidR="00DB667C" w:rsidRDefault="008A03DB">
            <w:pPr>
              <w:pStyle w:val="a3"/>
              <w:jc w:val="center"/>
            </w:pPr>
            <w:r>
              <w:rPr>
                <w:b/>
                <w:bCs/>
              </w:rPr>
              <w:t>М. Ю. Бродський</w:t>
            </w:r>
          </w:p>
        </w:tc>
      </w:tr>
    </w:tbl>
    <w:p w:rsidR="00DB667C" w:rsidRDefault="008A03DB">
      <w:pPr>
        <w:pStyle w:val="a3"/>
        <w:jc w:val="both"/>
      </w:pPr>
      <w:r>
        <w:br w:type="textWrapping" w:clear="all"/>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lastRenderedPageBreak/>
              <w:t>Протокол засідання Комісії</w:t>
            </w:r>
            <w:r>
              <w:br/>
              <w:t>від 25 вересня 2012 р. N 42</w:t>
            </w:r>
          </w:p>
        </w:tc>
      </w:tr>
    </w:tbl>
    <w:p w:rsidR="00DB667C" w:rsidRDefault="008A03DB">
      <w:pPr>
        <w:pStyle w:val="a3"/>
        <w:jc w:val="both"/>
      </w:pPr>
      <w:r>
        <w:br w:type="textWrapping" w:clear="all"/>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ЗАТВЕРДЖЕНО</w:t>
            </w:r>
            <w:r>
              <w:br/>
              <w:t>Рішення Національної комісії з цінних паперів та фондового ринку</w:t>
            </w:r>
            <w:r>
              <w:br/>
              <w:t>25.09.2012 N 1284</w:t>
            </w:r>
          </w:p>
          <w:p w:rsidR="00DB667C" w:rsidRDefault="008A03DB">
            <w:pPr>
              <w:pStyle w:val="a3"/>
            </w:pPr>
            <w:r>
              <w:t>Зареєстровано</w:t>
            </w:r>
            <w:r>
              <w:br/>
              <w:t>в Міністерстві юстиції України</w:t>
            </w:r>
            <w:r>
              <w:br/>
              <w:t>16 жовтня 2012 р. за N 1738/22050</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t>Положення</w:t>
      </w:r>
      <w:r>
        <w:rPr>
          <w:rFonts w:eastAsia="Times New Roman"/>
        </w:rPr>
        <w:br/>
        <w:t>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bl>
      <w:tblPr>
        <w:tblW w:w="3000" w:type="pct"/>
        <w:jc w:val="center"/>
        <w:tblCellSpacing w:w="22" w:type="dxa"/>
        <w:tblLook w:val="04A0" w:firstRow="1" w:lastRow="0" w:firstColumn="1" w:lastColumn="0" w:noHBand="0" w:noVBand="1"/>
      </w:tblPr>
      <w:tblGrid>
        <w:gridCol w:w="5783"/>
      </w:tblGrid>
      <w:tr w:rsidR="00DB667C">
        <w:trPr>
          <w:tblCellSpacing w:w="22" w:type="dxa"/>
          <w:jc w:val="center"/>
        </w:trPr>
        <w:tc>
          <w:tcPr>
            <w:tcW w:w="0" w:type="auto"/>
            <w:tcMar>
              <w:top w:w="15" w:type="dxa"/>
              <w:left w:w="15" w:type="dxa"/>
              <w:bottom w:w="15" w:type="dxa"/>
              <w:right w:w="15" w:type="dxa"/>
            </w:tcMar>
            <w:hideMark/>
          </w:tcPr>
          <w:p w:rsidR="00DB667C" w:rsidRDefault="008A03DB">
            <w:pPr>
              <w:pStyle w:val="a3"/>
              <w:jc w:val="both"/>
            </w:pPr>
            <w:r>
              <w:t>(У тексті Положення посилання на додатки 5 - 9 замінено посиланнями на додатки 4 - 8 згідно з рішенням Національної комісії з цінних паперів та фондового ринку від 4 серпня 2015 року N 1178)</w:t>
            </w:r>
          </w:p>
        </w:tc>
      </w:tr>
      <w:tr w:rsidR="00DB667C">
        <w:trPr>
          <w:tblCellSpacing w:w="22" w:type="dxa"/>
          <w:jc w:val="center"/>
        </w:trPr>
        <w:tc>
          <w:tcPr>
            <w:tcW w:w="0" w:type="auto"/>
            <w:tcMar>
              <w:top w:w="15" w:type="dxa"/>
              <w:left w:w="15" w:type="dxa"/>
              <w:bottom w:w="15" w:type="dxa"/>
              <w:right w:w="15" w:type="dxa"/>
            </w:tcMar>
            <w:hideMark/>
          </w:tcPr>
          <w:p w:rsidR="00DB667C" w:rsidRDefault="008A03DB">
            <w:pPr>
              <w:pStyle w:val="a3"/>
              <w:jc w:val="both"/>
            </w:pPr>
            <w:r>
              <w:t>(У тексті Положення посилання на додатки 4 - 8 замінено посиланнями на додатки 10 - 14 згідно з рішенням Національної комісії з цінних паперів та фондового ринку від 1 грудня 2015 року N 2003)</w:t>
            </w:r>
          </w:p>
        </w:tc>
      </w:tr>
    </w:tbl>
    <w:p w:rsidR="00DB667C" w:rsidRDefault="008A03DB">
      <w:pPr>
        <w:rPr>
          <w:rFonts w:eastAsia="Times New Roman"/>
        </w:rPr>
      </w:pPr>
      <w:r>
        <w:rPr>
          <w:rFonts w:eastAsia="Times New Roman"/>
        </w:rPr>
        <w:br w:type="textWrapping" w:clear="all"/>
      </w:r>
    </w:p>
    <w:p w:rsidR="00DB667C" w:rsidRDefault="008A03DB">
      <w:pPr>
        <w:pStyle w:val="3"/>
        <w:jc w:val="center"/>
        <w:rPr>
          <w:rFonts w:eastAsia="Times New Roman"/>
        </w:rPr>
      </w:pPr>
      <w:r>
        <w:rPr>
          <w:rFonts w:eastAsia="Times New Roman"/>
        </w:rPr>
        <w:t>I. Загальні положення</w:t>
      </w:r>
    </w:p>
    <w:p w:rsidR="00DB667C" w:rsidRDefault="008A03DB">
      <w:pPr>
        <w:pStyle w:val="a3"/>
        <w:jc w:val="both"/>
      </w:pPr>
      <w:r>
        <w:t>1. Це Положення визначає порядок складання адміністративних даних (далі - Дані), оприлюднення інформації на фондовому ринку, строки оприлюднення інформації та подання Даних до Національної комісії з цінних паперів та фондового ринку (далі - Комісія).</w:t>
      </w:r>
    </w:p>
    <w:p w:rsidR="00DB667C" w:rsidRDefault="008A03DB">
      <w:pPr>
        <w:pStyle w:val="a3"/>
        <w:jc w:val="both"/>
      </w:pPr>
      <w:r>
        <w:t>2. Дія цього Положення поширюється на юридичних осіб, яким Комісією видано ліцензію на право провадження професійної діяльності на фондовому ринку - діяльності з організації торгівлі на фондовому ринку, у тому числі які мали право на провадження професійної діяльності протягом періоду, за який подаються Дані.</w:t>
      </w:r>
    </w:p>
    <w:p w:rsidR="00DB667C" w:rsidRDefault="008A03DB">
      <w:pPr>
        <w:pStyle w:val="a3"/>
        <w:jc w:val="both"/>
      </w:pPr>
      <w:r>
        <w:t>3. У цьому Положенні терміни вживаються в такому значенні:</w:t>
      </w:r>
    </w:p>
    <w:p w:rsidR="00DB667C" w:rsidRDefault="008A03DB">
      <w:pPr>
        <w:pStyle w:val="a3"/>
        <w:jc w:val="both"/>
      </w:pPr>
      <w:r>
        <w:t>дата виникнення змін в інформації, що підлягає оприлюдненню, - дата, яка виникає у випадках, визначених підпунктом 2.2 пункту 2 глави 1 розділу II цього Положення;</w:t>
      </w:r>
    </w:p>
    <w:p w:rsidR="00DB667C" w:rsidRDefault="008A03DB">
      <w:pPr>
        <w:pStyle w:val="a3"/>
        <w:jc w:val="both"/>
      </w:pPr>
      <w:r>
        <w:t>дата виникнення нерегулярних Даних - дата, яка виникає у випадках, визначених пунктом 2 глави 2 розділу III цього Положення;</w:t>
      </w:r>
    </w:p>
    <w:p w:rsidR="00DB667C" w:rsidRDefault="008A03DB">
      <w:pPr>
        <w:pStyle w:val="a3"/>
        <w:jc w:val="both"/>
      </w:pPr>
      <w:r>
        <w:lastRenderedPageBreak/>
        <w:t>інформація, що підлягає оприлюдненню, - інформація, визначена главою 1 розділу II цього Положення;</w:t>
      </w:r>
    </w:p>
    <w:p w:rsidR="00DB667C" w:rsidRDefault="008A03DB">
      <w:pPr>
        <w:pStyle w:val="a3"/>
        <w:jc w:val="both"/>
      </w:pPr>
      <w:r>
        <w:t>нерегулярні Дані - Дані організатора торгівлі, визначені пунктом 5 глави 1 розділу III цього Положення.</w:t>
      </w:r>
    </w:p>
    <w:p w:rsidR="00DB667C" w:rsidRDefault="008A03DB">
      <w:pPr>
        <w:pStyle w:val="a3"/>
        <w:jc w:val="both"/>
      </w:pPr>
      <w:r>
        <w:t>4. Дані організатора торгівлі формуються підзвітною особою консолідовано (з урахуванням відокремлених структурних підрозділів).</w:t>
      </w:r>
    </w:p>
    <w:p w:rsidR="00DB667C" w:rsidRDefault="008A03DB">
      <w:pPr>
        <w:pStyle w:val="a3"/>
        <w:jc w:val="both"/>
      </w:pPr>
      <w:r>
        <w:t>5. Дані організатора торгівлі подаються до центрального апарату Комісії відповідно до нормативно-правових актів Комісії, що регулюють подання Даних та інформацій професійними учасниками фондового ринку у вигляді електронних документів до Комісії, за винятком випадку, передбаченого пунктом 10 цього розділу.</w:t>
      </w:r>
    </w:p>
    <w:p w:rsidR="00DB667C" w:rsidRDefault="008A03DB">
      <w:pPr>
        <w:pStyle w:val="a3"/>
        <w:jc w:val="both"/>
      </w:pPr>
      <w:r>
        <w:t>6. Щоденні Дані за одну дату подаються один раз протягом робочого дня. Нерегулярні Дані, складені за окремою довідкою за одну дату, подаються один раз протягом робочого дня.</w:t>
      </w:r>
    </w:p>
    <w:p w:rsidR="00DB667C" w:rsidRDefault="008A03DB">
      <w:pPr>
        <w:pStyle w:val="a3"/>
        <w:jc w:val="both"/>
      </w:pPr>
      <w:r>
        <w:t>7. Дані подаються до Комісії в обсязі, встановленому цим Положенням, не пізніше строків, визначених у пункті 1 глави 2 розділу III цього Положення.</w:t>
      </w:r>
    </w:p>
    <w:p w:rsidR="00DB667C" w:rsidRDefault="008A03DB">
      <w:pPr>
        <w:pStyle w:val="a3"/>
        <w:jc w:val="both"/>
      </w:pPr>
      <w:r>
        <w:t>Дані повинні містити всі визначені цим Положенням довідки, які мають бути заповнені, містити достовірну та повну інформацію. Інформація в довідках повинна бути заповнена відповідно до цього Положення.</w:t>
      </w:r>
    </w:p>
    <w:p w:rsidR="00DB667C" w:rsidRDefault="008A03DB">
      <w:pPr>
        <w:pStyle w:val="a3"/>
        <w:jc w:val="both"/>
      </w:pPr>
      <w:r>
        <w:t xml:space="preserve">8. Дані організатора торгівлі складаються з використанням Системи довідників та класифікаторів Національної комісії з цінних паперів та фондового ринку, затвердженої </w:t>
      </w:r>
      <w:r>
        <w:rPr>
          <w:color w:val="0000FF"/>
        </w:rPr>
        <w:t>рішенням Національної комісії з цінних паперів та фондового ринку від 08 травня 2012 року N 646</w:t>
      </w:r>
      <w:r>
        <w:t>, зареєстрованої в Міністерстві юстиції України 25 травня 2012 року за N 831/21143 (далі - Система довідників та класифікаторів).</w:t>
      </w:r>
    </w:p>
    <w:p w:rsidR="00DB667C" w:rsidRDefault="008A03DB">
      <w:pPr>
        <w:pStyle w:val="a3"/>
        <w:jc w:val="both"/>
      </w:pPr>
      <w:r>
        <w:t>9. Фінансова звітність організатора торгівлі, утвореного у формі акціонерного товариства, розкривається відповідно до нормативно-правових актів, що регулюють питання розкриття інформації емітентами цінних паперів.</w:t>
      </w:r>
    </w:p>
    <w:p w:rsidR="00DB667C" w:rsidRDefault="008A03DB">
      <w:pPr>
        <w:pStyle w:val="a3"/>
        <w:jc w:val="both"/>
      </w:pPr>
      <w:r>
        <w:t>Абзац другий пункту 9 розділу I виключено</w:t>
      </w:r>
    </w:p>
    <w:p w:rsidR="00DB667C" w:rsidRDefault="008A03DB">
      <w:pPr>
        <w:pStyle w:val="a3"/>
        <w:jc w:val="right"/>
      </w:pPr>
      <w:r>
        <w:t>(згідно з рішенням Національної комісії з цінних</w:t>
      </w:r>
      <w:r>
        <w:br/>
        <w:t> паперів та фондового ринку від 09.07.2019 р. N 361)</w:t>
      </w:r>
    </w:p>
    <w:p w:rsidR="00DB667C" w:rsidRDefault="008A03DB">
      <w:pPr>
        <w:pStyle w:val="a3"/>
        <w:jc w:val="both"/>
      </w:pPr>
      <w:r>
        <w:t>10. На письмову вимогу уповноваженої особи Комісії організатор торгівлі зобов'язаний подати Дані відповідно до цього Положення в паперовій формі.</w:t>
      </w:r>
    </w:p>
    <w:p w:rsidR="00DB667C" w:rsidRDefault="008A03DB">
      <w:pPr>
        <w:pStyle w:val="a3"/>
        <w:jc w:val="both"/>
      </w:pPr>
      <w:r>
        <w:t>У разі якщо паперова форма Даних має більше одного аркуша, такі Дані мають бути прошнуровані, аркуші пронумеровані та засвідчені підписом керівника організатора торгівлі. На зворотному боці останнього аркуша робиться напис: "Прошнуровано, пронумеровано та засвідчено підписом керівника організатора торгівлі (кількість) аркушів".</w:t>
      </w:r>
    </w:p>
    <w:p w:rsidR="00DB667C" w:rsidRDefault="008A03DB">
      <w:pPr>
        <w:pStyle w:val="a3"/>
        <w:jc w:val="right"/>
      </w:pPr>
      <w:r>
        <w:t>(абзац другий пункту 10 розділу I у редакції рішень Національної</w:t>
      </w:r>
      <w:r>
        <w:br/>
        <w:t> комісії з цінних паперів та фондового ринку від 23.09.2014 р. N 1245,</w:t>
      </w:r>
      <w:r>
        <w:br/>
        <w:t>від 05.10.2017 р. N 741)</w:t>
      </w:r>
    </w:p>
    <w:p w:rsidR="00DB667C" w:rsidRDefault="008A03DB">
      <w:pPr>
        <w:pStyle w:val="a3"/>
        <w:jc w:val="both"/>
      </w:pPr>
      <w:r>
        <w:t>11. Дані складаються відповідно до опису розділів та схем XML файлів, визначених окремим документом нормативно-технічного характеру.</w:t>
      </w:r>
    </w:p>
    <w:p w:rsidR="00DB667C" w:rsidRDefault="008A03DB">
      <w:pPr>
        <w:pStyle w:val="a3"/>
        <w:jc w:val="both"/>
      </w:pPr>
      <w:r>
        <w:lastRenderedPageBreak/>
        <w:t>12. У разі наявності інформації, яка необхідна для повного і всебічного розуміння конкретних умов діяльності організатора торгівлі, організатор торгівлі наводить її у примітках до цієї довідки.</w:t>
      </w:r>
    </w:p>
    <w:p w:rsidR="00DB667C" w:rsidRDefault="008A03DB">
      <w:pPr>
        <w:pStyle w:val="3"/>
        <w:jc w:val="center"/>
        <w:rPr>
          <w:rFonts w:eastAsia="Times New Roman"/>
        </w:rPr>
      </w:pPr>
      <w:r>
        <w:rPr>
          <w:rFonts w:eastAsia="Times New Roman"/>
        </w:rPr>
        <w:t>II. Оприлюднення інформації організаторами торгівлі</w:t>
      </w:r>
    </w:p>
    <w:p w:rsidR="00DB667C" w:rsidRDefault="008A03DB">
      <w:pPr>
        <w:pStyle w:val="3"/>
        <w:jc w:val="center"/>
        <w:rPr>
          <w:rFonts w:eastAsia="Times New Roman"/>
        </w:rPr>
      </w:pPr>
      <w:r>
        <w:rPr>
          <w:rFonts w:eastAsia="Times New Roman"/>
        </w:rPr>
        <w:t>1. Інформація, що підлягає оприлюдненню</w:t>
      </w:r>
    </w:p>
    <w:p w:rsidR="00DB667C" w:rsidRDefault="008A03DB">
      <w:pPr>
        <w:pStyle w:val="a3"/>
        <w:jc w:val="both"/>
      </w:pPr>
      <w:r>
        <w:t>1. Організатор торгівлі оприлюднює відповідно до вимог цього розділу:</w:t>
      </w:r>
    </w:p>
    <w:p w:rsidR="00DB667C" w:rsidRDefault="008A03DB">
      <w:pPr>
        <w:pStyle w:val="a3"/>
        <w:jc w:val="both"/>
      </w:pPr>
      <w:r>
        <w:t>перелік торговців цінними паперами, допущених до біржових торгів;</w:t>
      </w:r>
    </w:p>
    <w:p w:rsidR="00DB667C" w:rsidRDefault="008A03DB">
      <w:pPr>
        <w:pStyle w:val="a3"/>
        <w:jc w:val="both"/>
      </w:pPr>
      <w:r>
        <w:t>перелік цінних паперів, які перебувають у лістингу;</w:t>
      </w:r>
    </w:p>
    <w:p w:rsidR="00DB667C" w:rsidRDefault="008A03DB">
      <w:pPr>
        <w:pStyle w:val="a3"/>
        <w:jc w:val="right"/>
      </w:pPr>
      <w:r>
        <w:t>(абзац третій пункту 1 глави 1 розділу II у редакції рішення</w:t>
      </w:r>
      <w:r>
        <w:br/>
        <w:t> Національної комісії з цінних паперів та фондового ринку</w:t>
      </w:r>
      <w:r>
        <w:br/>
        <w:t> від 22.06.2017 р. N 460)</w:t>
      </w:r>
    </w:p>
    <w:p w:rsidR="00DB667C" w:rsidRDefault="008A03DB">
      <w:pPr>
        <w:pStyle w:val="a3"/>
        <w:jc w:val="both"/>
      </w:pPr>
      <w:r>
        <w:t>обсяг торгівлі цінними паперами та іншими фінансовими інструментами</w:t>
      </w:r>
      <w:r>
        <w:rPr>
          <w:b/>
          <w:bCs/>
        </w:rPr>
        <w:t xml:space="preserve"> </w:t>
      </w:r>
      <w:r>
        <w:t>(кількість цінних паперів та інших фінансових інструментів, їх загальну вартість згідно з укладеними договорами, біржовий курс цінних паперів щодо кожного цінного папера, що перебуває в обігу на фондовій біржі);</w:t>
      </w:r>
    </w:p>
    <w:p w:rsidR="00DB667C" w:rsidRDefault="008A03DB">
      <w:pPr>
        <w:pStyle w:val="a3"/>
        <w:jc w:val="both"/>
      </w:pPr>
      <w:r>
        <w:t>біржовий список та біржовий список фінансових інструментів (у разі його наявності).</w:t>
      </w:r>
    </w:p>
    <w:p w:rsidR="00DB667C" w:rsidRDefault="008A03DB">
      <w:pPr>
        <w:pStyle w:val="a3"/>
        <w:jc w:val="right"/>
      </w:pPr>
      <w:r>
        <w:t>(пункт 1 глави 1 розділу II доповнено абзацом п'ятим згідно з</w:t>
      </w:r>
      <w:r>
        <w:br/>
        <w:t> рішенням Національної комісії з цінних паперів та фондового ринку</w:t>
      </w:r>
      <w:r>
        <w:br/>
        <w:t> від 22.06.2017 р. N 460)</w:t>
      </w:r>
    </w:p>
    <w:p w:rsidR="00DB667C" w:rsidRDefault="008A03DB">
      <w:pPr>
        <w:pStyle w:val="a3"/>
        <w:jc w:val="both"/>
      </w:pPr>
      <w:r>
        <w:t>2. Інформація оприлюднюється організаторами торгівлі з такою періодичністю:</w:t>
      </w:r>
    </w:p>
    <w:p w:rsidR="00DB667C" w:rsidRDefault="008A03DB">
      <w:pPr>
        <w:pStyle w:val="a3"/>
        <w:jc w:val="both"/>
      </w:pPr>
      <w:r>
        <w:t>2.1. Щодня оприлюднюється інформація відповідно до переліку, який визначено в пункті 1 цієї глави.</w:t>
      </w:r>
    </w:p>
    <w:p w:rsidR="00DB667C" w:rsidRDefault="008A03DB">
      <w:pPr>
        <w:pStyle w:val="a3"/>
        <w:jc w:val="both"/>
      </w:pPr>
      <w:r>
        <w:t>2.2. За фактом виникнення організатор торгівлі оприлюднює:</w:t>
      </w:r>
    </w:p>
    <w:p w:rsidR="00DB667C" w:rsidRDefault="008A03DB">
      <w:pPr>
        <w:pStyle w:val="a3"/>
        <w:jc w:val="both"/>
      </w:pPr>
      <w:r>
        <w:t>зміни, що відбулись у переліку торговців цінними паперами, допущених до укладення договорів купівлі-продажу цінних паперів на фондовій біржі;</w:t>
      </w:r>
    </w:p>
    <w:p w:rsidR="00DB667C" w:rsidRDefault="008A03DB">
      <w:pPr>
        <w:pStyle w:val="a3"/>
        <w:jc w:val="both"/>
      </w:pPr>
      <w:r>
        <w:t>зміни, що відбулись у біржовому списку;</w:t>
      </w:r>
    </w:p>
    <w:p w:rsidR="00DB667C" w:rsidRDefault="008A03DB">
      <w:pPr>
        <w:pStyle w:val="a3"/>
        <w:jc w:val="both"/>
      </w:pPr>
      <w:r>
        <w:t>зміни щодо біржових контрактів;</w:t>
      </w:r>
    </w:p>
    <w:p w:rsidR="00DB667C" w:rsidRDefault="008A03DB">
      <w:pPr>
        <w:pStyle w:val="a3"/>
        <w:jc w:val="both"/>
      </w:pPr>
      <w:r>
        <w:t>інформацію щодо цінової нестабільності;</w:t>
      </w:r>
    </w:p>
    <w:p w:rsidR="00DB667C" w:rsidRDefault="008A03DB">
      <w:pPr>
        <w:pStyle w:val="a3"/>
        <w:jc w:val="both"/>
      </w:pPr>
      <w:r>
        <w:t>перелік цінних паперів, які пройшли процедуру лістингу, виключені з лістингу (делістинг).</w:t>
      </w:r>
    </w:p>
    <w:p w:rsidR="00DB667C" w:rsidRDefault="008A03DB">
      <w:pPr>
        <w:pStyle w:val="a3"/>
        <w:jc w:val="right"/>
      </w:pPr>
      <w:r>
        <w:t>(підпункт 2.2 пункту 2 глави 1 розділу II доповнено абзацом шостим</w:t>
      </w:r>
      <w:r>
        <w:br/>
        <w:t> згідно з рішенням Національної комісії з цінних паперів та фондового ринку</w:t>
      </w:r>
      <w:r>
        <w:br/>
        <w:t> від 22.06.2017 р. N 460)</w:t>
      </w:r>
    </w:p>
    <w:p w:rsidR="00DB667C" w:rsidRDefault="008A03DB">
      <w:pPr>
        <w:pStyle w:val="a3"/>
        <w:jc w:val="both"/>
      </w:pPr>
      <w:r>
        <w:t>3. Організатор торгівлі може оприлюднювати додаткову інформацію, що стосується результатів торгів та показників, які характеризують кон'юнктуру ринку.</w:t>
      </w:r>
    </w:p>
    <w:p w:rsidR="00DB667C" w:rsidRDefault="008A03DB">
      <w:pPr>
        <w:pStyle w:val="3"/>
        <w:jc w:val="center"/>
        <w:rPr>
          <w:rFonts w:eastAsia="Times New Roman"/>
        </w:rPr>
      </w:pPr>
      <w:r>
        <w:rPr>
          <w:rFonts w:eastAsia="Times New Roman"/>
        </w:rPr>
        <w:lastRenderedPageBreak/>
        <w:t>2. Строки і порядок оприлюднення інформації</w:t>
      </w:r>
    </w:p>
    <w:p w:rsidR="00DB667C" w:rsidRDefault="008A03DB">
      <w:pPr>
        <w:pStyle w:val="a3"/>
        <w:jc w:val="both"/>
      </w:pPr>
      <w:r>
        <w:t>1. Організатор торгівлі оприлюднює інформацію відповідно до переліку, який визначено в главі 1 цього розділу, шляхом розміщення на власному веб-сайті у глобальній інформаційній мережі Інтернет.</w:t>
      </w:r>
    </w:p>
    <w:p w:rsidR="00DB667C" w:rsidRDefault="008A03DB">
      <w:pPr>
        <w:pStyle w:val="a3"/>
        <w:jc w:val="both"/>
      </w:pPr>
      <w:r>
        <w:t>2. Оприлюднення інформації здійснюється організатором торгівлі протягом торговельного дня, але не пізніше 09 години 30 хвилин наступного робочого дня.</w:t>
      </w:r>
    </w:p>
    <w:p w:rsidR="00DB667C" w:rsidRDefault="008A03DB">
      <w:pPr>
        <w:pStyle w:val="a3"/>
        <w:jc w:val="both"/>
      </w:pPr>
      <w:r>
        <w:t>3. Організатор торгівлі у разі виявлення невідповідностей інформації, яка оприлюднена, має усунути ці невідповідності, оприлюднити інформацію повторно, але не пізніше строків, зазначених у пункті 2 цієї глави.</w:t>
      </w:r>
    </w:p>
    <w:p w:rsidR="00DB667C" w:rsidRDefault="008A03DB">
      <w:pPr>
        <w:pStyle w:val="a3"/>
        <w:jc w:val="both"/>
      </w:pPr>
      <w:r>
        <w:t>4. У разі якщо останній день оприлюднення інформації є неробочим, останнім днем оприлюднення вважається наступний після нього робочий день.</w:t>
      </w:r>
    </w:p>
    <w:p w:rsidR="00DB667C" w:rsidRDefault="008A03DB">
      <w:pPr>
        <w:pStyle w:val="a3"/>
        <w:jc w:val="both"/>
      </w:pPr>
      <w:r>
        <w:t>5. Інформація відповідно до переліку, який визначено в главі 1 цього розділу, повинна бути оприлюднена у цілодобовому режимі на власному веб-сайті організатора торгівлі у глобальній інформаційній мережі Інтернет протягом трьох років з дати її оприлюднення.</w:t>
      </w:r>
    </w:p>
    <w:p w:rsidR="00DB667C" w:rsidRDefault="008A03DB">
      <w:pPr>
        <w:pStyle w:val="a3"/>
        <w:jc w:val="right"/>
      </w:pPr>
      <w:r>
        <w:t>(главу 2 розділу ІІ доповнено пунктом 5 згідно з рішенням</w:t>
      </w:r>
      <w:r>
        <w:br/>
        <w:t> Національної комісії з цінних паперів та фондового ринку</w:t>
      </w:r>
      <w:r>
        <w:br/>
        <w:t> від 04.08.2015 р. N 1178)</w:t>
      </w:r>
    </w:p>
    <w:p w:rsidR="00DB667C" w:rsidRDefault="008A03DB">
      <w:pPr>
        <w:pStyle w:val="3"/>
        <w:jc w:val="center"/>
        <w:rPr>
          <w:rFonts w:eastAsia="Times New Roman"/>
        </w:rPr>
      </w:pPr>
      <w:r>
        <w:rPr>
          <w:rFonts w:eastAsia="Times New Roman"/>
        </w:rPr>
        <w:t>III. Подання Даних організаторами торгівлі</w:t>
      </w:r>
    </w:p>
    <w:p w:rsidR="00DB667C" w:rsidRDefault="008A03DB">
      <w:pPr>
        <w:pStyle w:val="3"/>
        <w:jc w:val="center"/>
        <w:rPr>
          <w:rFonts w:eastAsia="Times New Roman"/>
        </w:rPr>
      </w:pPr>
      <w:r>
        <w:rPr>
          <w:rFonts w:eastAsia="Times New Roman"/>
        </w:rPr>
        <w:t>1. Склад Даних</w:t>
      </w:r>
    </w:p>
    <w:p w:rsidR="00DB667C" w:rsidRDefault="008A03DB">
      <w:pPr>
        <w:pStyle w:val="a3"/>
        <w:jc w:val="both"/>
      </w:pPr>
      <w:r>
        <w:t>1. Дані, які складаються та подаються до Комісії:</w:t>
      </w:r>
    </w:p>
    <w:p w:rsidR="00DB667C" w:rsidRDefault="008A03DB">
      <w:pPr>
        <w:pStyle w:val="a3"/>
        <w:jc w:val="both"/>
      </w:pPr>
      <w:r>
        <w:t>щоденні;</w:t>
      </w:r>
    </w:p>
    <w:p w:rsidR="00DB667C" w:rsidRDefault="008A03DB">
      <w:pPr>
        <w:pStyle w:val="a3"/>
        <w:jc w:val="both"/>
      </w:pPr>
      <w:r>
        <w:t>щомісячні;</w:t>
      </w:r>
    </w:p>
    <w:p w:rsidR="00DB667C" w:rsidRDefault="008A03DB">
      <w:pPr>
        <w:pStyle w:val="a3"/>
        <w:jc w:val="both"/>
      </w:pPr>
      <w:r>
        <w:t>абзац четвертий пункту 1 глави 1 розділу ІІІ виключено</w:t>
      </w:r>
    </w:p>
    <w:p w:rsidR="00DB667C" w:rsidRDefault="008A03DB">
      <w:pPr>
        <w:pStyle w:val="a3"/>
        <w:jc w:val="right"/>
      </w:pPr>
      <w:r>
        <w:t>(згідно з рішенням Національної комісії з цінних</w:t>
      </w:r>
      <w:r>
        <w:br/>
        <w:t> паперів та фондового ринку від 04.08.2015 р. N 1178,</w:t>
      </w:r>
      <w:r>
        <w:br/>
        <w:t> у зв'язку з цим абзац п'ятий вважати абзацом четвертим)</w:t>
      </w:r>
    </w:p>
    <w:p w:rsidR="00DB667C" w:rsidRDefault="008A03DB">
      <w:pPr>
        <w:pStyle w:val="a3"/>
        <w:jc w:val="both"/>
      </w:pPr>
      <w:r>
        <w:t>нерегулярні.</w:t>
      </w:r>
    </w:p>
    <w:p w:rsidR="00DB667C" w:rsidRDefault="008A03DB">
      <w:pPr>
        <w:pStyle w:val="a3"/>
        <w:jc w:val="both"/>
      </w:pPr>
      <w:r>
        <w:t>2. Щоденні Дані складаються з:</w:t>
      </w:r>
    </w:p>
    <w:p w:rsidR="00DB667C" w:rsidRDefault="008A03DB">
      <w:pPr>
        <w:pStyle w:val="a3"/>
        <w:jc w:val="both"/>
      </w:pPr>
      <w:r>
        <w:t>2.1. Довідки про цінні папери та інші фінансові інструменти, які знаходяться в біржовому списку організатора торгівлі (додаток 1 до цього Положення).</w:t>
      </w:r>
    </w:p>
    <w:p w:rsidR="00DB667C" w:rsidRDefault="008A03DB">
      <w:pPr>
        <w:pStyle w:val="a3"/>
        <w:jc w:val="both"/>
      </w:pPr>
      <w:r>
        <w:t>2.2. Довідки про укладені (виконані) біржові контракти (договори РЕПО) з цінними паперами та іншими фінансовими інструментами на організаторі торгівлі (додаток 2 до цього Положення).</w:t>
      </w:r>
    </w:p>
    <w:p w:rsidR="00DB667C" w:rsidRDefault="008A03DB">
      <w:pPr>
        <w:pStyle w:val="a3"/>
        <w:jc w:val="both"/>
      </w:pPr>
      <w:r>
        <w:t>3. Щомісячні Дані складаються з:</w:t>
      </w:r>
    </w:p>
    <w:p w:rsidR="00DB667C" w:rsidRDefault="008A03DB">
      <w:pPr>
        <w:pStyle w:val="a3"/>
        <w:jc w:val="both"/>
      </w:pPr>
      <w:r>
        <w:lastRenderedPageBreak/>
        <w:t>3.1. Довідки про перелік членів фондової біржі, торговців цінними паперами та їх уповноважених представників, допущених до укладання договорів купівлі-продажу цінних паперів та інших фінансових інструментів на організаторі торгівлі (додаток 3 до цього Положення).</w:t>
      </w:r>
    </w:p>
    <w:p w:rsidR="00DB667C" w:rsidRDefault="008A03DB">
      <w:pPr>
        <w:pStyle w:val="a3"/>
        <w:jc w:val="both"/>
      </w:pPr>
      <w:r>
        <w:t>3.2. Довідки про пруденційні нормативи організатора торгівлі (додаток 4 до цього Положення).</w:t>
      </w:r>
    </w:p>
    <w:p w:rsidR="00DB667C" w:rsidRDefault="008A03DB">
      <w:pPr>
        <w:pStyle w:val="a3"/>
        <w:jc w:val="both"/>
      </w:pPr>
      <w:r>
        <w:t>3.3. Довідки про розрахунок коефіцієнта покриття зобов'язань учасників клірингу (додаток 5 до цього Положення).</w:t>
      </w:r>
    </w:p>
    <w:p w:rsidR="00DB667C" w:rsidRDefault="008A03DB">
      <w:pPr>
        <w:pStyle w:val="a3"/>
        <w:jc w:val="both"/>
      </w:pPr>
      <w:r>
        <w:t>3.4. Довідки про вихідні дані для розрахунку розміру власних коштів (додаток 6 до цього Положення).</w:t>
      </w:r>
    </w:p>
    <w:p w:rsidR="00DB667C" w:rsidRDefault="008A03DB">
      <w:pPr>
        <w:pStyle w:val="a3"/>
        <w:jc w:val="both"/>
      </w:pPr>
      <w:r>
        <w:t>3.5. Довідки про вихідні дані для розрахунку фіксованих накладних витрат (додаток 7 до цього Положення).</w:t>
      </w:r>
    </w:p>
    <w:p w:rsidR="00DB667C" w:rsidRDefault="008A03DB">
      <w:pPr>
        <w:pStyle w:val="a3"/>
        <w:jc w:val="both"/>
      </w:pPr>
      <w:r>
        <w:t>3.6. Довідки про вихідні дані для розрахунку коефіцієнта абсолютної ліквідності (додаток 8 до цього Положення).</w:t>
      </w:r>
    </w:p>
    <w:p w:rsidR="00DB667C" w:rsidRDefault="008A03DB">
      <w:pPr>
        <w:pStyle w:val="a3"/>
        <w:jc w:val="right"/>
      </w:pPr>
      <w:r>
        <w:t>(підпункт 3.6 пункту 3 глави 1 розділу ІІІ із змінами, внесеними згідно з</w:t>
      </w:r>
      <w:r>
        <w:br/>
        <w:t> рішенням Національної комісії з цінних паперів та фондового ринку</w:t>
      </w:r>
      <w:r>
        <w:br/>
        <w:t> від 10.01.2017 р. N 1)</w:t>
      </w:r>
    </w:p>
    <w:p w:rsidR="00DB667C" w:rsidRDefault="008A03DB">
      <w:pPr>
        <w:pStyle w:val="a3"/>
        <w:jc w:val="both"/>
      </w:pPr>
      <w:r>
        <w:t>3.7. Довідки про вихідні дані для розрахунку нормативу достатності власних коштів та коефіцієнта покриття операційного ризику (додаток 9 до цього Положення).</w:t>
      </w:r>
    </w:p>
    <w:p w:rsidR="00DB667C" w:rsidRDefault="008A03DB">
      <w:pPr>
        <w:pStyle w:val="a3"/>
        <w:jc w:val="right"/>
      </w:pPr>
      <w:r>
        <w:t>(пункт 3 глави 1 розділу ІІІ у редакції рішень Національної</w:t>
      </w:r>
      <w:r>
        <w:br/>
        <w:t> комісії з цінних паперів та фондового ринку від 04.08.2015 р. N 1178,</w:t>
      </w:r>
      <w:r>
        <w:br/>
        <w:t> від 01.12.2015 р. N 2003)</w:t>
      </w:r>
    </w:p>
    <w:p w:rsidR="00DB667C" w:rsidRDefault="008A03DB">
      <w:pPr>
        <w:pStyle w:val="a3"/>
        <w:jc w:val="both"/>
      </w:pPr>
      <w:r>
        <w:t>4. Пункт 4 глави 1 розділу ІІІ виключено</w:t>
      </w:r>
    </w:p>
    <w:p w:rsidR="00DB667C" w:rsidRDefault="008A03DB">
      <w:pPr>
        <w:pStyle w:val="a3"/>
        <w:jc w:val="right"/>
      </w:pPr>
      <w:r>
        <w:t>(згідно з рішенням Національної комісії з цінних</w:t>
      </w:r>
      <w:r>
        <w:br/>
        <w:t> паперів та фондового ринку від 04.08.2015 р. N 1178,</w:t>
      </w:r>
      <w:r>
        <w:br/>
        <w:t> у зв'язку з цим пункт 5 вважати пунктом 4)</w:t>
      </w:r>
    </w:p>
    <w:p w:rsidR="00DB667C" w:rsidRDefault="008A03DB">
      <w:pPr>
        <w:pStyle w:val="a3"/>
        <w:jc w:val="both"/>
      </w:pPr>
      <w:r>
        <w:t>4. Нерегулярні Дані складаються з:</w:t>
      </w:r>
    </w:p>
    <w:p w:rsidR="00DB667C" w:rsidRDefault="008A03DB">
      <w:pPr>
        <w:pStyle w:val="a3"/>
        <w:jc w:val="both"/>
      </w:pPr>
      <w:r>
        <w:t>4.1. Довідки про зміни у біржовому списку (додаток 10 до цього Положення).</w:t>
      </w:r>
    </w:p>
    <w:p w:rsidR="00DB667C" w:rsidRDefault="008A03DB">
      <w:pPr>
        <w:pStyle w:val="a3"/>
        <w:jc w:val="both"/>
      </w:pPr>
      <w:r>
        <w:t>4.2. Довідки про зміни в переліку членів фондової біржі, торговців цінними паперами, допущених до біржових торгів на організаторі торгівлі (додаток 11 до цього Положення).</w:t>
      </w:r>
    </w:p>
    <w:p w:rsidR="00DB667C" w:rsidRDefault="008A03DB">
      <w:pPr>
        <w:pStyle w:val="a3"/>
        <w:jc w:val="right"/>
      </w:pPr>
      <w:r>
        <w:t>(підпункт 4.2 пункту 4 глави 1 розділу ІІІ у редакції рішення</w:t>
      </w:r>
      <w:r>
        <w:br/>
        <w:t> Національної комісії з цінних паперів та фондового ринку</w:t>
      </w:r>
      <w:r>
        <w:br/>
        <w:t> від 04.08.2015 р. N 1178)</w:t>
      </w:r>
    </w:p>
    <w:p w:rsidR="00DB667C" w:rsidRDefault="008A03DB">
      <w:pPr>
        <w:pStyle w:val="a3"/>
        <w:jc w:val="both"/>
      </w:pPr>
      <w:r>
        <w:t>4.3. Довідки про біржові контракти (договори РЕПО) з цінними паперами та іншими фінансовими інструментами на організаторі торгівлі, щодо яких відбулися зміни (додаток 12 до цього Положення).</w:t>
      </w:r>
    </w:p>
    <w:p w:rsidR="00DB667C" w:rsidRDefault="008A03DB">
      <w:pPr>
        <w:pStyle w:val="a3"/>
        <w:jc w:val="both"/>
      </w:pPr>
      <w:r>
        <w:t>4.4. Довідки про ситуації цінової нестабільності (додаток 13 до цього Положення).</w:t>
      </w:r>
    </w:p>
    <w:p w:rsidR="00DB667C" w:rsidRDefault="008A03DB">
      <w:pPr>
        <w:pStyle w:val="a3"/>
        <w:jc w:val="both"/>
      </w:pPr>
      <w:r>
        <w:lastRenderedPageBreak/>
        <w:t>4.5. Довідки про подані безадресні заявки на продаж цінних паперів,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торговцями цінними паперами, що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 (додаток 15 до цього Положення).</w:t>
      </w:r>
    </w:p>
    <w:p w:rsidR="00DB667C" w:rsidRDefault="008A03DB">
      <w:pPr>
        <w:pStyle w:val="a3"/>
        <w:jc w:val="right"/>
      </w:pPr>
      <w:r>
        <w:t>(пункт 4 у глави 1 розділу III доповнено підпунктом 4.5 згідно з</w:t>
      </w:r>
      <w:r>
        <w:br/>
        <w:t> рішенням Національної комісії з цінних паперів та фондового ринку</w:t>
      </w:r>
      <w:r>
        <w:br/>
        <w:t> від 09.07.2019 р. N 361)</w:t>
      </w:r>
    </w:p>
    <w:p w:rsidR="00DB667C" w:rsidRDefault="008A03DB">
      <w:pPr>
        <w:pStyle w:val="3"/>
        <w:jc w:val="center"/>
        <w:rPr>
          <w:rFonts w:eastAsia="Times New Roman"/>
        </w:rPr>
      </w:pPr>
      <w:r>
        <w:rPr>
          <w:rFonts w:eastAsia="Times New Roman"/>
        </w:rPr>
        <w:t>2. Строки подання Даних до Комісії</w:t>
      </w:r>
    </w:p>
    <w:p w:rsidR="00DB667C" w:rsidRDefault="008A03DB">
      <w:pPr>
        <w:pStyle w:val="a3"/>
        <w:jc w:val="both"/>
      </w:pPr>
      <w:r>
        <w:t>1. Організатор торгівлі подає (надсилає) Дані до центрального апарату Комісії у строки:</w:t>
      </w:r>
    </w:p>
    <w:p w:rsidR="00DB667C" w:rsidRDefault="008A03DB">
      <w:pPr>
        <w:pStyle w:val="a3"/>
        <w:jc w:val="both"/>
      </w:pPr>
      <w:r>
        <w:t>щоденні - до 10-ї години дня, наступного за звітним;</w:t>
      </w:r>
    </w:p>
    <w:p w:rsidR="00DB667C" w:rsidRDefault="008A03DB">
      <w:pPr>
        <w:pStyle w:val="a3"/>
        <w:jc w:val="both"/>
      </w:pPr>
      <w:r>
        <w:t>щомісячні - не пізніше останнього числа місяця, наступного за звітним;</w:t>
      </w:r>
    </w:p>
    <w:p w:rsidR="00DB667C" w:rsidRDefault="008A03DB">
      <w:pPr>
        <w:pStyle w:val="a3"/>
        <w:jc w:val="right"/>
      </w:pPr>
      <w:r>
        <w:t>(абзац третій пункту 1 глави 2 розділу ІІІ у редакції рішення</w:t>
      </w:r>
      <w:r>
        <w:br/>
        <w:t> Національної комісії з цінних паперів та фондового ринку</w:t>
      </w:r>
      <w:r>
        <w:br/>
        <w:t> від 01.12.2015 р. N 2003)</w:t>
      </w:r>
    </w:p>
    <w:p w:rsidR="00DB667C" w:rsidRDefault="008A03DB">
      <w:pPr>
        <w:pStyle w:val="a3"/>
        <w:jc w:val="both"/>
      </w:pPr>
      <w:r>
        <w:t>абзац четвертий пункту 1 глави 2 розділу ІІІ виключено</w:t>
      </w:r>
    </w:p>
    <w:p w:rsidR="00DB667C" w:rsidRDefault="008A03DB">
      <w:pPr>
        <w:pStyle w:val="a3"/>
        <w:jc w:val="right"/>
      </w:pPr>
      <w:r>
        <w:t>(згідно з рішенням Національної комісії з цінних</w:t>
      </w:r>
      <w:r>
        <w:br/>
        <w:t> паперів та фондового ринку від 01.12.2015 р. N 2003,</w:t>
      </w:r>
      <w:r>
        <w:br/>
        <w:t> у зв'язку з цим абзац п'ятий вважати абзацом четвертим)</w:t>
      </w:r>
    </w:p>
    <w:p w:rsidR="00DB667C" w:rsidRDefault="008A03DB">
      <w:pPr>
        <w:pStyle w:val="a3"/>
        <w:jc w:val="both"/>
      </w:pPr>
      <w:r>
        <w:t>нерегулярні - протягом трьох робочих днів з дати виникнення нерегулярних Даних, для нерегулярних Даних, які виникли у випадку ситуації цінової нестабільності, - протягом одного робочого дня.</w:t>
      </w:r>
    </w:p>
    <w:p w:rsidR="00DB667C" w:rsidRDefault="008A03DB">
      <w:pPr>
        <w:pStyle w:val="a3"/>
        <w:jc w:val="both"/>
      </w:pPr>
      <w:r>
        <w:t>2. Нерегулярні Дані організатора торгівлі подаються за фактом їх виникнення у разі:</w:t>
      </w:r>
    </w:p>
    <w:p w:rsidR="00DB667C" w:rsidRDefault="008A03DB">
      <w:pPr>
        <w:pStyle w:val="a3"/>
        <w:jc w:val="both"/>
      </w:pPr>
      <w:r>
        <w:t>змін, що відбулись у переліку членів фондової біржі, торговців цінними паперами, допущених до укладення договорів купівлі-продажу цінних паперів та інших фінансових інструментів на фондовій біржі;</w:t>
      </w:r>
    </w:p>
    <w:p w:rsidR="00DB667C" w:rsidRDefault="008A03DB">
      <w:pPr>
        <w:pStyle w:val="a3"/>
        <w:jc w:val="right"/>
      </w:pPr>
      <w:r>
        <w:t>(абзац другий пункту 2 глави 2 розділу ІІІ у редакції рішення</w:t>
      </w:r>
      <w:r>
        <w:br/>
        <w:t> Національної комісії з цінних паперів та фондового ринку</w:t>
      </w:r>
      <w:r>
        <w:br/>
        <w:t> від 04.08.2015 р. N 1178)</w:t>
      </w:r>
    </w:p>
    <w:p w:rsidR="00DB667C" w:rsidRDefault="008A03DB">
      <w:pPr>
        <w:pStyle w:val="a3"/>
        <w:jc w:val="both"/>
      </w:pPr>
      <w:r>
        <w:t>змін, що відбулись у біржовому списку;</w:t>
      </w:r>
    </w:p>
    <w:p w:rsidR="00DB667C" w:rsidRDefault="008A03DB">
      <w:pPr>
        <w:pStyle w:val="a3"/>
        <w:jc w:val="both"/>
      </w:pPr>
      <w:r>
        <w:t>змін щодо біржових контрактів;</w:t>
      </w:r>
    </w:p>
    <w:p w:rsidR="00DB667C" w:rsidRDefault="008A03DB">
      <w:pPr>
        <w:pStyle w:val="a3"/>
        <w:jc w:val="both"/>
      </w:pPr>
      <w:r>
        <w:t>виникнення ситуації цінової нестабільності;</w:t>
      </w:r>
    </w:p>
    <w:p w:rsidR="00DB667C" w:rsidRDefault="008A03DB">
      <w:pPr>
        <w:pStyle w:val="a3"/>
        <w:jc w:val="both"/>
      </w:pPr>
      <w:r>
        <w:t>подання безадресної заявки на продаж цінних паперів,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p>
    <w:p w:rsidR="00DB667C" w:rsidRDefault="008A03DB">
      <w:pPr>
        <w:pStyle w:val="a3"/>
        <w:jc w:val="right"/>
      </w:pPr>
      <w:r>
        <w:lastRenderedPageBreak/>
        <w:t>(пункт 2 глави 2 розділу III доповнено абзацом шостим згідно з</w:t>
      </w:r>
      <w:r>
        <w:br/>
        <w:t> рішенням Національної комісії з цінних паперів та фондового ринку</w:t>
      </w:r>
      <w:r>
        <w:br/>
        <w:t> від 09.07.2019 р. N 361)</w:t>
      </w:r>
    </w:p>
    <w:p w:rsidR="00DB667C" w:rsidRDefault="008A03DB">
      <w:pPr>
        <w:pStyle w:val="a3"/>
        <w:jc w:val="both"/>
      </w:pPr>
      <w:r>
        <w:t>3. Якщо останній день подання Даних припадає на неробочий день, строк подання Даних переноситься на перший після нього робочий день.</w:t>
      </w:r>
    </w:p>
    <w:p w:rsidR="00DB667C" w:rsidRDefault="008A03DB">
      <w:pPr>
        <w:pStyle w:val="a3"/>
        <w:jc w:val="both"/>
      </w:pPr>
      <w:r>
        <w:t>4. Організатор торгівлі у разі виявлення невідповідностей Даних, які подані до Комісії, має усунути ці невідповідності, подати Дані повторно, але не пізніше строків, зазначених у пункті 1 цієї глави. Виправлені Дані додатково повинні подаватися разом із супровідною довідкою для виправлених Даних організатора торгівлі (додаток 14 до цього Положення).</w:t>
      </w:r>
    </w:p>
    <w:p w:rsidR="00DB667C" w:rsidRDefault="008A03DB">
      <w:pPr>
        <w:pStyle w:val="a3"/>
        <w:jc w:val="both"/>
      </w:pPr>
      <w:r>
        <w:t>5. Дані в паперовій формі формуються як друкована копія електронної форми. Дані в паперовій формі, подання яких передбачено цим Положенням, засвідчуються підписом керівника організатора торгівлі.</w:t>
      </w:r>
    </w:p>
    <w:p w:rsidR="00DB667C" w:rsidRDefault="008A03DB">
      <w:pPr>
        <w:pStyle w:val="a3"/>
        <w:jc w:val="right"/>
      </w:pPr>
      <w:r>
        <w:t>(пункт 5 глави 2 розділу III із змінами, внесеними згідно з рішеннями</w:t>
      </w:r>
      <w:r>
        <w:br/>
        <w:t> Національної комісії з цінних паперів та фондового ринку від 23.09.2014 р. N 1245,</w:t>
      </w:r>
      <w:r>
        <w:br/>
        <w:t>від 05.10.2017 р. N 741)</w:t>
      </w:r>
    </w:p>
    <w:p w:rsidR="00DB667C" w:rsidRDefault="008A03DB">
      <w:pPr>
        <w:pStyle w:val="a3"/>
        <w:jc w:val="both"/>
      </w:pPr>
      <w:r>
        <w:t>6. Дані вважаються прийнятими, якщо вони подані (надіслані) до Комісії у формах, строки та в обсязі, що встановлені цим Положенням, та містять усі визначені цим Положенням реквізити.</w:t>
      </w:r>
    </w:p>
    <w:p w:rsidR="00DB667C" w:rsidRDefault="008A03DB">
      <w:pPr>
        <w:pStyle w:val="a3"/>
        <w:jc w:val="both"/>
      </w:pPr>
      <w:r>
        <w:t>7. Паперова форма Даних при поданні (надсиланні) до Комісії супроводжується листом на бланку організатора торгівлі, у якому зазначаються звітний період, перелік додатків паперової форми, що додаються, та перелік надісланих файлів електронної форми.</w:t>
      </w:r>
    </w:p>
    <w:p w:rsidR="00DB667C" w:rsidRDefault="008A03DB">
      <w:pPr>
        <w:pStyle w:val="a3"/>
        <w:jc w:val="both"/>
      </w:pPr>
      <w:r>
        <w:t>8. 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
    <w:p w:rsidR="00DB667C" w:rsidRDefault="008A03DB">
      <w:pPr>
        <w:pStyle w:val="a3"/>
        <w:jc w:val="both"/>
      </w:pPr>
      <w:r>
        <w:t>вилученням документів організатора торгівлі в паперовій та електронній формах правоохоронними органами (з наданням копій документів, які підтверджують вилучення зазначеної документації);</w:t>
      </w:r>
    </w:p>
    <w:p w:rsidR="00DB667C" w:rsidRDefault="008A03DB">
      <w:pPr>
        <w:pStyle w:val="a3"/>
        <w:jc w:val="both"/>
      </w:pPr>
      <w:r>
        <w:t>настанням форс-мажорних обставин (з наданням копій документів, які підтверджують зазначені обставини).</w:t>
      </w:r>
    </w:p>
    <w:p w:rsidR="00DB667C" w:rsidRDefault="008A03DB">
      <w:pPr>
        <w:pStyle w:val="a3"/>
        <w:jc w:val="both"/>
      </w:pPr>
      <w:r>
        <w:t>9. Організатор торгівлі зобов'язаний подати Дані до Комісії протягом 15 календарних днів з дати відновлення та/або повернення вилученого програмного забезпечення та/або документації.</w:t>
      </w:r>
    </w:p>
    <w:p w:rsidR="00DB667C" w:rsidRDefault="008A03DB">
      <w:pPr>
        <w:pStyle w:val="a3"/>
        <w:jc w:val="both"/>
      </w:pPr>
      <w:r>
        <w:t>10. Державний контроль за дотриманням вимог цього Положення здійснює Комісія.</w:t>
      </w:r>
    </w:p>
    <w:p w:rsidR="00DB667C" w:rsidRDefault="008A03DB">
      <w:pPr>
        <w:pStyle w:val="3"/>
        <w:jc w:val="center"/>
        <w:rPr>
          <w:rFonts w:eastAsia="Times New Roman"/>
        </w:rPr>
      </w:pPr>
      <w:r>
        <w:rPr>
          <w:rFonts w:eastAsia="Times New Roman"/>
        </w:rPr>
        <w:t>3. Порядок підготовки та подання інформації щодо пруденційних нормативів</w:t>
      </w:r>
    </w:p>
    <w:p w:rsidR="00DB667C" w:rsidRDefault="008A03DB">
      <w:pPr>
        <w:pStyle w:val="a3"/>
        <w:jc w:val="both"/>
      </w:pPr>
      <w:r>
        <w:t>1. Формування довідки про розрахунок коефіцієнта покриття зобов'язань учасників клірингу (додаток 5 до цього Положення) здійснюється на кожний робочий день.</w:t>
      </w:r>
    </w:p>
    <w:p w:rsidR="00DB667C" w:rsidRDefault="008A03DB">
      <w:pPr>
        <w:pStyle w:val="a3"/>
        <w:jc w:val="both"/>
      </w:pPr>
      <w:r>
        <w:t xml:space="preserve">2. Дані довідки про пруденційні нормативи організатора торгівлі (додаток 4 до цього Положення), довідки про розрахунок коефіцієнта покриття зобов'язань учасників клірингу (додаток 5 до цього Положення), довідки про вихідні дані для розрахунку розміру власних коштів (додаток 6 до цього Положення), довідки про вихідні дані для розрахунку фіксованих накладних витрат (додаток 7 до цього Положення), довідки про вихідні дані для розрахунку </w:t>
      </w:r>
      <w:r>
        <w:lastRenderedPageBreak/>
        <w:t>коефіцієнта абсолютної ліквідності (додаток 8 до цього Положення), довідки про вихідні дані для розрахунку нормативу достатності власних коштів та коефіцієнта покриття операційного ризику (додаток 9 до цього Положення) розраховуються організаторами торгівлі відповідно до вимог нормативно-правового акта Національної комісії з цінних паперів та фондового ринку, що встановлює вимоги до пруденційних нормативів професійної діяльності на фондовому ринку.</w:t>
      </w:r>
    </w:p>
    <w:p w:rsidR="00DB667C" w:rsidRDefault="008A03DB">
      <w:pPr>
        <w:pStyle w:val="a3"/>
        <w:jc w:val="right"/>
      </w:pPr>
      <w:r>
        <w:t>(пункт 2 глави 3 розділу ІІІ із змінами, внесеними згідно з рішенням</w:t>
      </w:r>
      <w:r>
        <w:br/>
        <w:t> Національної комісії з цінних паперів та фондового ринку від 10.01.2017 р. N 1)</w:t>
      </w:r>
    </w:p>
    <w:p w:rsidR="00DB667C" w:rsidRDefault="008A03DB">
      <w:pPr>
        <w:pStyle w:val="a3"/>
        <w:jc w:val="right"/>
      </w:pPr>
      <w:r>
        <w:t>(розділ ІІІ доповнено главою 3 згідно з рішенням Національної</w:t>
      </w:r>
      <w:r>
        <w:br/>
        <w:t> комісії з цінних паперів та фондового ринку від 01.12.2015 р. N 2003)</w:t>
      </w:r>
    </w:p>
    <w:p w:rsidR="00DB667C" w:rsidRDefault="008A03DB">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DB667C">
        <w:trPr>
          <w:tblCellSpacing w:w="22" w:type="dxa"/>
        </w:trPr>
        <w:tc>
          <w:tcPr>
            <w:tcW w:w="2500" w:type="pct"/>
            <w:hideMark/>
          </w:tcPr>
          <w:p w:rsidR="00DB667C" w:rsidRDefault="008A03DB">
            <w:pPr>
              <w:pStyle w:val="a3"/>
              <w:jc w:val="center"/>
            </w:pPr>
            <w:r>
              <w:rPr>
                <w:b/>
                <w:bCs/>
              </w:rPr>
              <w:t>Директор департаменту регулювання</w:t>
            </w:r>
            <w:r>
              <w:br/>
            </w:r>
            <w:r>
              <w:rPr>
                <w:b/>
                <w:bCs/>
              </w:rPr>
              <w:t>діяльності торговців цінними</w:t>
            </w:r>
            <w:r>
              <w:br/>
            </w:r>
            <w:r>
              <w:rPr>
                <w:b/>
                <w:bCs/>
              </w:rPr>
              <w:t>паперами та фондових бірж</w:t>
            </w:r>
          </w:p>
        </w:tc>
        <w:tc>
          <w:tcPr>
            <w:tcW w:w="2500" w:type="pct"/>
            <w:vAlign w:val="bottom"/>
            <w:hideMark/>
          </w:tcPr>
          <w:p w:rsidR="00DB667C" w:rsidRDefault="008A03DB">
            <w:pPr>
              <w:pStyle w:val="a3"/>
              <w:jc w:val="center"/>
            </w:pPr>
            <w:r>
              <w:rPr>
                <w:b/>
                <w:bCs/>
              </w:rPr>
              <w:t>О. Науменко</w:t>
            </w:r>
          </w:p>
        </w:tc>
      </w:tr>
    </w:tbl>
    <w:p w:rsidR="00DB667C" w:rsidRDefault="008A03DB">
      <w:pPr>
        <w:pStyle w:val="a3"/>
        <w:jc w:val="both"/>
      </w:pPr>
      <w:r>
        <w:br w:type="textWrapping" w:clear="all"/>
      </w:r>
    </w:p>
    <w:p w:rsidR="00DB667C" w:rsidRDefault="008A03DB">
      <w:pPr>
        <w:pStyle w:val="a3"/>
        <w:jc w:val="both"/>
      </w:pPr>
      <w:r>
        <w:t> </w:t>
      </w:r>
    </w:p>
    <w:tbl>
      <w:tblPr>
        <w:tblW w:w="3000" w:type="pct"/>
        <w:jc w:val="center"/>
        <w:tblCellSpacing w:w="22" w:type="dxa"/>
        <w:tblLook w:val="04A0" w:firstRow="1" w:lastRow="0" w:firstColumn="1" w:lastColumn="0" w:noHBand="0" w:noVBand="1"/>
      </w:tblPr>
      <w:tblGrid>
        <w:gridCol w:w="5783"/>
      </w:tblGrid>
      <w:tr w:rsidR="00DB667C">
        <w:trPr>
          <w:tblCellSpacing w:w="22" w:type="dxa"/>
          <w:jc w:val="center"/>
        </w:trPr>
        <w:tc>
          <w:tcPr>
            <w:tcW w:w="0" w:type="auto"/>
            <w:tcMar>
              <w:top w:w="15" w:type="dxa"/>
              <w:left w:w="15" w:type="dxa"/>
              <w:bottom w:w="15" w:type="dxa"/>
              <w:right w:w="15" w:type="dxa"/>
            </w:tcMar>
            <w:hideMark/>
          </w:tcPr>
          <w:p w:rsidR="00DB667C" w:rsidRDefault="008A03DB">
            <w:pPr>
              <w:pStyle w:val="a3"/>
              <w:jc w:val="both"/>
            </w:pPr>
            <w:r>
              <w:t>(У тексті додатків до Положення слова "за ЄДРПОУ" виключено; рядок "Міжнародний ідентифікаційний номер цінного папера або код іншого фінансового інструменту (для опціонів інформація заповнюється у вигляді "a, b, c", де "a" - реєстраційний номер випуску опціону, "b" - клас опціону, "c" - серія опціону)" замінено рядком "Міжнародний ідентифікаційний номер цінного папера або код іншого, ніж цінний папір, фінансового інструменту" згідно з рішенням Національної комісії з цінних паперів та фондового ринку від 9 липня 2019 року N 361)</w:t>
            </w:r>
          </w:p>
        </w:tc>
      </w:tr>
    </w:tbl>
    <w:p w:rsidR="00DB667C" w:rsidRDefault="008A03DB">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2.1 пункту 2 глави 1 розділу III)</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lastRenderedPageBreak/>
        <w:t xml:space="preserve">ДОВІДКА </w:t>
      </w:r>
      <w:r>
        <w:rPr>
          <w:rFonts w:eastAsia="Times New Roman"/>
        </w:rPr>
        <w:br/>
        <w:t>про цінні папери та інші фінансові інструменти, які знаходяться в біржовому списку організатора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цінних паперів - нерезидент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емітента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Реєстраційний код за ЄДРІСІ (у разі укладання біржового контракту з цінними паперами інститутів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Класифікація фінансового інструменту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Код класифікації фінансового інструменту (код CFI)</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Номінальна вартість цінного папера</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Номінальна вартість цінного папера (код валюти)</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Щодо цінного папера здійснено публічну пропозицію, або емітент цінних паперів вважається таким, що здійснив публічну пропозицію відповідно до закону: "1" - так, "0" - 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Країна реєстрації емітента фінансового інструменту</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"1" - лістингові, "0" - позалістингові"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Біржовий курс цінного папера</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Кількість заявок, поданих учасниками біржових торгів на купівлю цінних паперів або інших фінансових інструментів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Кількість заявок, поданих учасниками біржових торгів, на продаж цінних паперів або інших фінансових інструментів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Цінний папір міститься в переліку таких, що беруть участь у розрахунку біржового фондового індексу: "1" - так, "0" - 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Останнє розраховане протягом торговельного дня значення поточної ціни цінного папера</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rPr>
      </w:pPr>
      <w:r>
        <w:rPr>
          <w:rFonts w:eastAsia="Times New Roman"/>
        </w:rPr>
        <w:br w:type="textWrapping" w:clear="all"/>
      </w:r>
    </w:p>
    <w:p w:rsidR="00DB667C" w:rsidRDefault="008A03DB">
      <w:pPr>
        <w:pStyle w:val="a3"/>
        <w:jc w:val="both"/>
        <w:rPr>
          <w:sz w:val="20"/>
          <w:szCs w:val="20"/>
        </w:rPr>
      </w:pPr>
      <w:r>
        <w:rPr>
          <w:b/>
          <w:bCs/>
        </w:rPr>
        <w:t>____________</w:t>
      </w:r>
      <w:r>
        <w:br/>
      </w:r>
      <w:r>
        <w:rPr>
          <w:vertAlign w:val="superscript"/>
        </w:rPr>
        <w:t>1</w:t>
      </w:r>
      <w:r>
        <w:t xml:space="preserve"> </w:t>
      </w:r>
      <w:r>
        <w:rPr>
          <w:sz w:val="20"/>
          <w:szCs w:val="20"/>
        </w:rPr>
        <w:t xml:space="preserve">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DB667C" w:rsidRDefault="008A03DB">
      <w:pPr>
        <w:pStyle w:val="a3"/>
        <w:jc w:val="both"/>
        <w:rPr>
          <w:sz w:val="20"/>
          <w:szCs w:val="20"/>
        </w:rPr>
      </w:pPr>
      <w:r>
        <w:rPr>
          <w:vertAlign w:val="superscript"/>
        </w:rPr>
        <w:lastRenderedPageBreak/>
        <w:t xml:space="preserve">2 </w:t>
      </w:r>
      <w:r>
        <w:rPr>
          <w:sz w:val="20"/>
          <w:szCs w:val="20"/>
        </w:rPr>
        <w:t>Заповнюється щодо облігації.</w:t>
      </w:r>
    </w:p>
    <w:p w:rsidR="00DB667C" w:rsidRDefault="008A03DB">
      <w:pPr>
        <w:pStyle w:val="a3"/>
        <w:jc w:val="both"/>
        <w:rPr>
          <w:sz w:val="20"/>
          <w:szCs w:val="20"/>
        </w:rPr>
      </w:pPr>
      <w:r>
        <w:rPr>
          <w:vertAlign w:val="superscript"/>
        </w:rPr>
        <w:t>3</w:t>
      </w:r>
      <w:r>
        <w:t xml:space="preserve"> </w:t>
      </w:r>
      <w:r>
        <w:rPr>
          <w:sz w:val="20"/>
          <w:szCs w:val="20"/>
        </w:rPr>
        <w:t xml:space="preserve">Заповнюється щодо облігації відповідно до </w:t>
      </w:r>
      <w:r>
        <w:rPr>
          <w:color w:val="0000FF"/>
          <w:sz w:val="20"/>
          <w:szCs w:val="20"/>
        </w:rPr>
        <w:t>Довідника 46 "Перелік та коди валют" Системи довідників та класифікаторів</w:t>
      </w:r>
      <w:r>
        <w:rPr>
          <w:sz w:val="20"/>
          <w:szCs w:val="20"/>
        </w:rPr>
        <w:t>.</w:t>
      </w:r>
    </w:p>
    <w:p w:rsidR="00DB667C" w:rsidRDefault="008A03DB">
      <w:pPr>
        <w:pStyle w:val="a3"/>
        <w:jc w:val="both"/>
        <w:rPr>
          <w:sz w:val="20"/>
          <w:szCs w:val="20"/>
        </w:rPr>
      </w:pPr>
      <w:r>
        <w:rPr>
          <w:vertAlign w:val="superscript"/>
        </w:rPr>
        <w:t>4</w:t>
      </w:r>
      <w:r>
        <w:t xml:space="preserve"> </w:t>
      </w:r>
      <w:r>
        <w:rPr>
          <w:sz w:val="20"/>
          <w:szCs w:val="20"/>
        </w:rPr>
        <w:t xml:space="preserve">Заповнюється відповідно до </w:t>
      </w:r>
      <w:r>
        <w:rPr>
          <w:color w:val="0000FF"/>
          <w:sz w:val="20"/>
          <w:szCs w:val="20"/>
        </w:rPr>
        <w:t>Довідника 45 "Класифікація країн світу" Системи довідників та класифікаторів</w:t>
      </w:r>
      <w:r>
        <w:rPr>
          <w:sz w:val="20"/>
          <w:szCs w:val="20"/>
        </w:rPr>
        <w:t>.</w:t>
      </w:r>
    </w:p>
    <w:p w:rsidR="00DB667C" w:rsidRDefault="008A03DB">
      <w:pPr>
        <w:pStyle w:val="a3"/>
        <w:jc w:val="right"/>
      </w:pPr>
      <w:r>
        <w:t>(додаток 1 у редакції рішення Національної комісії з цінних</w:t>
      </w:r>
      <w:r>
        <w:br/>
        <w:t>паперів та фондового ринку від 13.08.2013 р. N 1467,</w:t>
      </w:r>
      <w:r>
        <w:br/>
        <w:t>із змінами, внесеними згідно з рішенням Національної</w:t>
      </w:r>
      <w:r>
        <w:br/>
        <w:t> комісії з цінних паперів та фондового ринку від 22.06.2017 р. N 460,</w:t>
      </w:r>
      <w:r>
        <w:br/>
        <w:t>у редакції рішення Національної комісії з цінних</w:t>
      </w:r>
      <w:r>
        <w:br/>
        <w:t> паперів та фондового ринку від 09.07.2019 р. N 361)</w:t>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2</w:t>
            </w:r>
            <w:r>
              <w:br/>
              <w:t>до Положення про порядок складання та подання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2.2 пункту 2 глави 1 розділу III)</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t>Довідка про укладені (виконані) біржові контракти (договори РЕПО) із цінними паперами та іншими фінансовими інструментами на організаторі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укладання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виконання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Час фіксації укладання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Реквізити біржового контракту (договору РЕПО, строкового контракту) (реєстраційний номер у системі)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Частина операції за договором РЕПО: "1" - перша частина операції за договором РЕПО, "2" - друга частина операції за договором РЕПО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Реквізити пов'язаної частини договору РЕПО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емітента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Реєстраційний код за ЄДРІСІ (у разі укладання біржового контракту з цінними паперами інститутів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lastRenderedPageBreak/>
              <w:t>Класифікація фінансового інструменту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Кількість цінних паперів або інших фінансових інструментів за біржовим контрактом (договором РЕПО, кількість строкових контрактів) (шт.)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Вартість біржового контракту (договору РЕПО, строкового контракту)</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Загальна сума накопиченого купонного (процентного) доходу за облігаціями, що є предметом біржового контракту,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Вид ринку</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Технологія проведення торгів</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Види ринку за характером проведення операцій</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Вид заявок, на підставі яких укладено біржовий контракт (договір РЕПО, строковий контракт): адресні - "1", безадресні (анонімні) - "2", інші безадресні -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анулювання (заповнюється у разі анулювання біржового контракту (договору РЕПО, строкового контракту) у день його укладання)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Сторони біржового контракту. Торговець - продавець. Ідентифікаційний код торговця цінними паперами. У разі первинного розміщення емітентом його цінних паперів вказується ідентифікаційний код емітента цінних паперів. Якщо стороною біржового контракту відповідно до законодавства виступає державний орган, вказується його ідентифікаційний код</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У разі первинного розміщення емітентом його цінних паперів вказується найменування емітента фінансового інструменту. Якщо стороною біржового контракту відповідно до законодавства виступає державний орган, вказується найменування органу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продавець: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продавець: ідентифікаційний код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продавець: П. І. Б. фізичної особи, найменування юридичної особи, найменування інституту спільного інвестування</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продавець: країна реєстрації</w:t>
            </w:r>
            <w:r>
              <w:rPr>
                <w:vertAlign w:val="superscript"/>
              </w:rPr>
              <w:t xml:space="preserve"> 6</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продавець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депозитарної установи торговця - продавця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 xml:space="preserve">Сторони біржового контракту. Торговець - покупець. Ідентифікаційний код торговця цінними паперами. У випадках, коли стороною біржового контракту відповідно до законодавства виступає фізична особа, вказується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w:t>
            </w:r>
            <w:r>
              <w:lastRenderedPageBreak/>
              <w:t>картки платника податків та повідомили про це відповідний орган державної податкової служби і мають відмітку в паспорті).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ідентифікаційний код юридичної особи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lastRenderedPageBreak/>
              <w:t>У випадках, коли стороною біржового контракту відповідно до законодавства виступає фізична особа, вказується П. І. Б. фізичної особи.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найменування юридичної особи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покупець: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покупець: ідентифікаційний код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покупець: П. І. Б. фізичної особи, найменування юридичної особи, найменування інституту спільного інвестування</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покупець: країна реєстрації</w:t>
            </w:r>
            <w:r>
              <w:rPr>
                <w:vertAlign w:val="superscript"/>
              </w:rPr>
              <w:t xml:space="preserve"> 6</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 покупець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депозитарної установи торговця - покупця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Наявність у організатора торгівлі підозри у маніпулюванні цінами за біржовим контрактом (договором): "1" - так, "2" - 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"Підозрілий" біржовий контракт (договір): "1" - так, "2" - 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Відсоток різниці ціни цінного папера за біржовим контрактом (договором) від останнього розрахованого за останні 12 місяців</w:t>
            </w:r>
            <w:r>
              <w:rPr>
                <w:b/>
                <w:bCs/>
              </w:rPr>
              <w:t xml:space="preserve"> </w:t>
            </w:r>
            <w:r>
              <w:t>біржового курсу на фондовій біржі</w:t>
            </w:r>
            <w:r>
              <w:rPr>
                <w:vertAlign w:val="superscript"/>
              </w:rPr>
              <w:t xml:space="preserve"> 7</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Відсоток різниці ціни цінного папера за біржовим контрактом (договором) від останньої розрахованої за останні 12 місяців ціни закриття торговельного дня на фондовій біржі</w:t>
            </w:r>
            <w:r>
              <w:rPr>
                <w:vertAlign w:val="superscript"/>
              </w:rPr>
              <w:t xml:space="preserve"> 8</w:t>
            </w:r>
          </w:p>
        </w:tc>
      </w:tr>
    </w:tbl>
    <w:p w:rsidR="00DB667C" w:rsidRDefault="008A03DB">
      <w:pPr>
        <w:rPr>
          <w:rFonts w:eastAsia="Times New Roman"/>
        </w:rPr>
      </w:pPr>
      <w:r>
        <w:rPr>
          <w:rFonts w:eastAsia="Times New Roman"/>
        </w:rPr>
        <w:br w:type="textWrapping" w:clear="all"/>
      </w:r>
    </w:p>
    <w:p w:rsidR="00DB667C" w:rsidRDefault="008A03DB">
      <w:pPr>
        <w:pStyle w:val="a3"/>
        <w:jc w:val="both"/>
        <w:rPr>
          <w:sz w:val="20"/>
          <w:szCs w:val="20"/>
        </w:rPr>
      </w:pPr>
      <w:r>
        <w:t>____________</w:t>
      </w:r>
      <w:r>
        <w:br/>
      </w:r>
      <w:r>
        <w:rPr>
          <w:vertAlign w:val="superscript"/>
        </w:rPr>
        <w:t>1</w:t>
      </w:r>
      <w:r>
        <w:rPr>
          <w:sz w:val="20"/>
          <w:szCs w:val="20"/>
        </w:rPr>
        <w:t xml:space="preserve"> 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DB667C" w:rsidRDefault="008A03DB">
      <w:pPr>
        <w:pStyle w:val="a3"/>
        <w:jc w:val="both"/>
      </w:pPr>
      <w:r>
        <w:rPr>
          <w:vertAlign w:val="superscript"/>
        </w:rPr>
        <w:t>2</w:t>
      </w:r>
      <w:r>
        <w:rPr>
          <w:sz w:val="20"/>
          <w:szCs w:val="20"/>
        </w:rPr>
        <w:t xml:space="preserve"> Заповнюється відповідно до </w:t>
      </w:r>
      <w:r>
        <w:rPr>
          <w:color w:val="0000FF"/>
          <w:sz w:val="20"/>
          <w:szCs w:val="20"/>
        </w:rPr>
        <w:t>Довідника 8 "Види ринку" Системи довідників та класифікаторів</w:t>
      </w:r>
      <w:r>
        <w:t>.</w:t>
      </w:r>
    </w:p>
    <w:p w:rsidR="00DB667C" w:rsidRDefault="008A03DB">
      <w:pPr>
        <w:pStyle w:val="a3"/>
        <w:jc w:val="both"/>
        <w:rPr>
          <w:sz w:val="20"/>
          <w:szCs w:val="20"/>
        </w:rPr>
      </w:pPr>
      <w:r>
        <w:rPr>
          <w:vertAlign w:val="superscript"/>
        </w:rPr>
        <w:t>3</w:t>
      </w:r>
      <w:r>
        <w:rPr>
          <w:sz w:val="20"/>
          <w:szCs w:val="20"/>
        </w:rPr>
        <w:t xml:space="preserve"> Заповнюється відповідно до </w:t>
      </w:r>
      <w:r>
        <w:rPr>
          <w:color w:val="0000FF"/>
          <w:sz w:val="20"/>
          <w:szCs w:val="20"/>
        </w:rPr>
        <w:t>Довідника 25 "Технології проведення торгів" Системи довідників та класифікаторів</w:t>
      </w:r>
      <w:r>
        <w:rPr>
          <w:sz w:val="20"/>
          <w:szCs w:val="20"/>
        </w:rPr>
        <w:t>.</w:t>
      </w:r>
    </w:p>
    <w:p w:rsidR="00DB667C" w:rsidRDefault="008A03DB">
      <w:pPr>
        <w:pStyle w:val="a3"/>
        <w:jc w:val="both"/>
        <w:rPr>
          <w:sz w:val="20"/>
          <w:szCs w:val="20"/>
        </w:rPr>
      </w:pPr>
      <w:r>
        <w:rPr>
          <w:vertAlign w:val="superscript"/>
        </w:rPr>
        <w:t>4</w:t>
      </w:r>
      <w:r>
        <w:rPr>
          <w:sz w:val="20"/>
          <w:szCs w:val="20"/>
        </w:rPr>
        <w:t xml:space="preserve"> Заповнюється відповідно до </w:t>
      </w:r>
      <w:r>
        <w:rPr>
          <w:color w:val="0000FF"/>
          <w:sz w:val="20"/>
          <w:szCs w:val="20"/>
        </w:rPr>
        <w:t>Довідника 9 "Види ринку за характером проведення операцій" Системи довідників та класифікаторів</w:t>
      </w:r>
      <w:r>
        <w:rPr>
          <w:sz w:val="20"/>
          <w:szCs w:val="20"/>
        </w:rPr>
        <w:t>.</w:t>
      </w:r>
    </w:p>
    <w:p w:rsidR="00DB667C" w:rsidRDefault="008A03DB">
      <w:pPr>
        <w:pStyle w:val="a3"/>
        <w:jc w:val="both"/>
        <w:rPr>
          <w:sz w:val="20"/>
          <w:szCs w:val="20"/>
        </w:rPr>
      </w:pPr>
      <w:r>
        <w:rPr>
          <w:vertAlign w:val="superscript"/>
        </w:rPr>
        <w:lastRenderedPageBreak/>
        <w:t>5</w:t>
      </w:r>
      <w:r>
        <w:rPr>
          <w:sz w:val="20"/>
          <w:szCs w:val="20"/>
        </w:rPr>
        <w:t xml:space="preserve"> При здійсненні дилерської діяльності торговцем цінними паперами поля не заповнюються.</w:t>
      </w:r>
    </w:p>
    <w:p w:rsidR="00DB667C" w:rsidRDefault="008A03DB">
      <w:pPr>
        <w:pStyle w:val="a3"/>
        <w:jc w:val="both"/>
        <w:rPr>
          <w:sz w:val="20"/>
          <w:szCs w:val="20"/>
        </w:rPr>
      </w:pPr>
      <w:r>
        <w:rPr>
          <w:vertAlign w:val="superscript"/>
        </w:rPr>
        <w:t>6</w:t>
      </w:r>
      <w:r>
        <w:rPr>
          <w:sz w:val="20"/>
          <w:szCs w:val="20"/>
        </w:rPr>
        <w:t xml:space="preserve"> Заповнюється відповідно до </w:t>
      </w:r>
      <w:r>
        <w:rPr>
          <w:color w:val="0000FF"/>
          <w:sz w:val="20"/>
          <w:szCs w:val="20"/>
        </w:rPr>
        <w:t>Довідника 45 "Класифікація країн світу" Системи довідників та класифікаторів</w:t>
      </w:r>
      <w:r>
        <w:rPr>
          <w:sz w:val="20"/>
          <w:szCs w:val="20"/>
        </w:rPr>
        <w:t>.</w:t>
      </w:r>
    </w:p>
    <w:p w:rsidR="00DB667C" w:rsidRDefault="008A03DB">
      <w:pPr>
        <w:pStyle w:val="a3"/>
        <w:jc w:val="both"/>
        <w:rPr>
          <w:sz w:val="20"/>
          <w:szCs w:val="20"/>
        </w:rPr>
      </w:pPr>
      <w:r>
        <w:rPr>
          <w:vertAlign w:val="superscript"/>
        </w:rPr>
        <w:t>7</w:t>
      </w:r>
      <w:r>
        <w:rPr>
          <w:sz w:val="20"/>
          <w:szCs w:val="20"/>
        </w:rPr>
        <w:t xml:space="preserve"> Заповнюється щодо лістингових цінних паперів та цінних паперів, які використовуються для розрахунку біржового фондового індексу.</w:t>
      </w:r>
    </w:p>
    <w:p w:rsidR="00DB667C" w:rsidRDefault="008A03DB">
      <w:pPr>
        <w:pStyle w:val="a3"/>
        <w:jc w:val="both"/>
        <w:rPr>
          <w:sz w:val="20"/>
          <w:szCs w:val="20"/>
        </w:rPr>
      </w:pPr>
      <w:r>
        <w:rPr>
          <w:vertAlign w:val="superscript"/>
        </w:rPr>
        <w:t>8</w:t>
      </w:r>
      <w:r>
        <w:rPr>
          <w:sz w:val="20"/>
          <w:szCs w:val="20"/>
        </w:rPr>
        <w:t xml:space="preserve"> Заповнюється щодо позалістингових цінних паперів.</w:t>
      </w:r>
    </w:p>
    <w:p w:rsidR="00DB667C" w:rsidRDefault="008A03DB">
      <w:pPr>
        <w:pStyle w:val="a3"/>
        <w:jc w:val="right"/>
      </w:pPr>
      <w:r>
        <w:t>(додаток 2 у редакції рішень Національної комісії з цінних</w:t>
      </w:r>
      <w:r>
        <w:br/>
        <w:t>паперів та фондового ринку від 13.08.2013 р. N 1467,</w:t>
      </w:r>
      <w:r>
        <w:br/>
        <w:t>від 22.06.2017 р. N 460,</w:t>
      </w:r>
      <w:r>
        <w:br/>
        <w:t>із змінами, внесеними згідно з рішенням Національної комісії</w:t>
      </w:r>
      <w:r>
        <w:br/>
        <w:t> з цінних паперів та фондового ринку від 09.07.2019 р. N 361)</w:t>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 xml:space="preserve">Додаток 3 </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(пункт 3 глави 1 розділу III)</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t>Довідка про перелік членів фондової біржі, торговців цінними паперами та їх уповноважених представників, допущених до укладання договорів купівлі-продажу цінних паперів та інших фінансових інструментів на організаторі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торговця цінними паперами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торговця цінними паперами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допущення торговця цінними паперами до біржових торгів на організаторі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Наявність у члена фондової біржі статусу учасника біржових торгів (так - "1", ні -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Представник (прізвище)</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Представник (ім'я)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Представник (по батькові)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Найменування документа, на підставі якого представнику надано право укладати та/або виконувати біржові контракти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видачі документа, на підставі якого представнику надано право укладати та/або виконувати біржові контракти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Строк повноважень представника (вказується дата, з якої припиняються повноваження)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Наявність у учасника біржових торгів статусу маркет-мейкера (так - "1", ні -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lastRenderedPageBreak/>
              <w:t>Номер договору, на підставі якого учасник біржових торгів отримав статус маркет-мейкера</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Дата укладання договору, на підставі якого учасник біржових торгів отримав статус маркет-мейкера</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Найменування емітента, ліквідність цінних паперів та інших фінансових інструментів якого підтримує маркет-мейкер</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або реєстраційний код за ЄДРІСІ емітента, ліквідність цінних паперів та інших фінансових інструментів якого підтримує маркет-мейкер</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Класифікація фінансового інструменту, ліквідність якого підтримує маркет-мейкер</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Міжнародний ідентифікаційний номер цінного папера або код іншого, ніж цінний папір, фінансового інструменту, ліквідність якого підтримує маркет-мейкер</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rPr>
      </w:pPr>
      <w:r>
        <w:rPr>
          <w:rFonts w:eastAsia="Times New Roman"/>
        </w:rPr>
        <w:br w:type="textWrapping" w:clear="all"/>
      </w:r>
    </w:p>
    <w:p w:rsidR="00DB667C" w:rsidRDefault="008A03DB">
      <w:pPr>
        <w:pStyle w:val="a3"/>
        <w:jc w:val="both"/>
        <w:rPr>
          <w:sz w:val="20"/>
          <w:szCs w:val="20"/>
        </w:rPr>
      </w:pPr>
      <w:r>
        <w:t>____________</w:t>
      </w:r>
      <w:r>
        <w:br/>
      </w:r>
      <w:r>
        <w:rPr>
          <w:vertAlign w:val="superscript"/>
        </w:rPr>
        <w:t>1</w:t>
      </w:r>
      <w:r>
        <w:rPr>
          <w:sz w:val="20"/>
          <w:szCs w:val="20"/>
        </w:rPr>
        <w:t xml:space="preserve"> 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DB667C" w:rsidRDefault="008A03DB">
      <w:pPr>
        <w:pStyle w:val="a3"/>
        <w:jc w:val="right"/>
      </w:pPr>
      <w:r>
        <w:t>(додаток 3 у редакції рішень Національної комісії з цінних</w:t>
      </w:r>
      <w:r>
        <w:br/>
        <w:t> паперів та фондового ринку від 13.08.2013 р. N 1467,</w:t>
      </w:r>
      <w:r>
        <w:br/>
        <w:t> від 04.08.2015 р. N 1178)</w:t>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4</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t>Довідка про вартість виконаних біржових контрактів за фінансовими інструментами за рік</w:t>
      </w:r>
    </w:p>
    <w:p w:rsidR="00DB667C" w:rsidRDefault="008A03DB">
      <w:pPr>
        <w:pStyle w:val="a3"/>
        <w:jc w:val="center"/>
      </w:pPr>
      <w:r>
        <w:t>Додаток 4 виключено</w:t>
      </w:r>
      <w:r>
        <w:br/>
        <w:t>(згідно з рішенням Національної комісії з цінних паперів та фондового ринку</w:t>
      </w:r>
      <w:r>
        <w:br/>
        <w:t> від 4 серпня 2015 року N 1178,</w:t>
      </w:r>
      <w:r>
        <w:br/>
        <w:t> у зв'язку з цим додатки 5 - 9 вважати відповідно додатками 4 - 8)</w:t>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lastRenderedPageBreak/>
              <w:t>Додаток 4</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3.2 пункту 3 глави 1 розділу III)</w:t>
            </w:r>
          </w:p>
        </w:tc>
      </w:tr>
    </w:tbl>
    <w:p w:rsidR="00DB667C" w:rsidRDefault="008A03DB">
      <w:pPr>
        <w:pStyle w:val="a3"/>
        <w:jc w:val="both"/>
      </w:pPr>
      <w:r>
        <w:br w:type="textWrapping" w:clear="all"/>
      </w:r>
    </w:p>
    <w:p w:rsidR="00DB667C" w:rsidRDefault="008A03DB">
      <w:pPr>
        <w:pStyle w:val="3"/>
        <w:jc w:val="center"/>
        <w:rPr>
          <w:rFonts w:eastAsia="Times New Roman"/>
        </w:rPr>
      </w:pPr>
      <w:r>
        <w:rPr>
          <w:rFonts w:eastAsia="Times New Roman"/>
        </w:rPr>
        <w:t>ДОВІДКА</w:t>
      </w:r>
      <w:r>
        <w:rPr>
          <w:rFonts w:eastAsia="Times New Roman"/>
        </w:rPr>
        <w:br/>
        <w:t>про пруденційні нормативи організатора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на яку здійснено розрахунок пруденційних нормативів</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Мінімальний розмір власних коштів</w:t>
            </w:r>
            <w:r>
              <w:rPr>
                <w:vertAlign w:val="superscript"/>
              </w:rPr>
              <w:t xml:space="preserve"> 4</w:t>
            </w:r>
            <w:r>
              <w:t>,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власних коштів</w:t>
            </w:r>
            <w:r>
              <w:rPr>
                <w:vertAlign w:val="superscript"/>
              </w:rPr>
              <w:t xml:space="preserve"> 4</w:t>
            </w:r>
            <w:r>
              <w:t>,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Норматив достатності власних коштів</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Коефіцієнт покриття операційного ризику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 xml:space="preserve">Коефіцієнт абсолютної ліквідності </w:t>
            </w:r>
            <w:r>
              <w:rPr>
                <w:vertAlign w:val="superscript"/>
              </w:rPr>
              <w:t>1, 2, 3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rPr>
      </w:pPr>
      <w:r>
        <w:rPr>
          <w:rFonts w:eastAsia="Times New Roman"/>
        </w:rPr>
        <w:br w:type="textWrapping" w:clear="all"/>
      </w:r>
    </w:p>
    <w:p w:rsidR="00DB667C" w:rsidRDefault="008A03DB">
      <w:pPr>
        <w:pStyle w:val="a3"/>
        <w:jc w:val="both"/>
        <w:rPr>
          <w:sz w:val="20"/>
          <w:szCs w:val="20"/>
        </w:rPr>
      </w:pPr>
      <w:r>
        <w:t>____________</w:t>
      </w:r>
      <w:r>
        <w:br/>
      </w:r>
      <w:r>
        <w:rPr>
          <w:vertAlign w:val="superscript"/>
        </w:rPr>
        <w:t xml:space="preserve">1 </w:t>
      </w:r>
      <w:r>
        <w:rPr>
          <w:sz w:val="20"/>
          <w:szCs w:val="20"/>
        </w:rPr>
        <w:t>Зазначається з округленням до чотирьох знаків після коми.</w:t>
      </w:r>
    </w:p>
    <w:p w:rsidR="00DB667C" w:rsidRDefault="008A03DB">
      <w:pPr>
        <w:pStyle w:val="a3"/>
        <w:jc w:val="both"/>
        <w:rPr>
          <w:sz w:val="20"/>
          <w:szCs w:val="20"/>
        </w:rPr>
      </w:pPr>
      <w:r>
        <w:rPr>
          <w:vertAlign w:val="superscript"/>
        </w:rPr>
        <w:t>2</w:t>
      </w:r>
      <w:r>
        <w:t xml:space="preserve"> </w:t>
      </w:r>
      <w:r>
        <w:rPr>
          <w:sz w:val="20"/>
          <w:szCs w:val="20"/>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p>
    <w:p w:rsidR="00DB667C" w:rsidRDefault="008A03DB">
      <w:pPr>
        <w:pStyle w:val="a3"/>
        <w:jc w:val="both"/>
      </w:pPr>
      <w:r>
        <w:rPr>
          <w:vertAlign w:val="superscript"/>
        </w:rPr>
        <w:t>3</w:t>
      </w:r>
      <w:r>
        <w:rPr>
          <w:sz w:val="20"/>
          <w:szCs w:val="20"/>
        </w:rPr>
        <w:t xml:space="preserve"> Не заповнюється у разі, якщо поточні зобов'язання (грн) дорівнюють нулю</w:t>
      </w:r>
      <w:r>
        <w:t>.</w:t>
      </w:r>
    </w:p>
    <w:p w:rsidR="00DB667C" w:rsidRDefault="008A03DB">
      <w:pPr>
        <w:pStyle w:val="a3"/>
        <w:jc w:val="both"/>
        <w:rPr>
          <w:sz w:val="20"/>
          <w:szCs w:val="20"/>
        </w:rPr>
      </w:pPr>
      <w:r>
        <w:rPr>
          <w:vertAlign w:val="superscript"/>
        </w:rPr>
        <w:t>4</w:t>
      </w:r>
      <w:r>
        <w:t xml:space="preserve"> </w:t>
      </w:r>
      <w:r>
        <w:rPr>
          <w:sz w:val="20"/>
          <w:szCs w:val="20"/>
        </w:rPr>
        <w:t>Зазначається з округленням до двох знаків після коми.</w:t>
      </w:r>
    </w:p>
    <w:p w:rsidR="00DB667C" w:rsidRDefault="008A03DB">
      <w:pPr>
        <w:pStyle w:val="a3"/>
        <w:jc w:val="right"/>
      </w:pPr>
      <w:r>
        <w:t>(Положення доповнено новим додатком 4 згідно з рішенням</w:t>
      </w:r>
      <w:r>
        <w:br/>
        <w:t> Національної комісії з цінних паперів та фондового ринку</w:t>
      </w:r>
      <w:r>
        <w:br/>
        <w:t> від 01.12.2015 р. N 2003,</w:t>
      </w:r>
      <w:r>
        <w:br/>
        <w:t> додаток 4 із змінами, внесеними згідно з рішеннями Національної</w:t>
      </w:r>
      <w:r>
        <w:br/>
        <w:t> комісії з цінних паперів та фондового ринку від 10.01.2017 р. N 1,</w:t>
      </w:r>
      <w:r>
        <w:br/>
        <w:t>від 15.03.2018 р. N 145)</w:t>
      </w:r>
    </w:p>
    <w:p w:rsidR="00DB667C" w:rsidRDefault="008A03D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lastRenderedPageBreak/>
              <w:t>Додаток 5</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3.3 пункту 3 глави 1 розділу III)</w:t>
            </w:r>
          </w:p>
        </w:tc>
      </w:tr>
    </w:tbl>
    <w:p w:rsidR="00DB667C" w:rsidRDefault="008A03DB">
      <w:pPr>
        <w:pStyle w:val="a3"/>
        <w:jc w:val="both"/>
      </w:pPr>
      <w:r>
        <w:br w:type="textWrapping" w:clear="all"/>
      </w:r>
    </w:p>
    <w:p w:rsidR="00DB667C" w:rsidRDefault="008A03DB">
      <w:pPr>
        <w:pStyle w:val="3"/>
        <w:jc w:val="center"/>
        <w:rPr>
          <w:rFonts w:eastAsia="Times New Roman"/>
          <w:vertAlign w:val="superscript"/>
        </w:rPr>
      </w:pPr>
      <w:r>
        <w:rPr>
          <w:rFonts w:eastAsia="Times New Roman"/>
        </w:rPr>
        <w:t>ДОВІДКА</w:t>
      </w:r>
      <w:r>
        <w:rPr>
          <w:rFonts w:eastAsia="Times New Roman"/>
        </w:rPr>
        <w:br/>
        <w:t>про розрахунок коефіцієнта покриття зобов'язань учасників клірингу</w:t>
      </w:r>
      <w:r>
        <w:rPr>
          <w:rFonts w:eastAsia="Times New Roman"/>
          <w:vertAlign w:val="superscript"/>
        </w:rPr>
        <w:t xml:space="preserve">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на яку здійснено розрахунок пруденційних нормативів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Сума зобов'язань за підсумками клірингу щодо договорів купівлі-продажу фінансових інструментів (крім цінних паперів), термін виконання зобов'язань за якими настав,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Вартість зарезервованих грошових коштів,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гарантійного фонду,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Коефіцієнт покриття зобов'язань учасників клірингу</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b/>
          <w:bCs/>
          <w:vertAlign w:val="superscript"/>
        </w:rPr>
        <w:t>Примітка.</w:t>
      </w:r>
      <w:r>
        <w:rPr>
          <w:vertAlign w:val="superscript"/>
        </w:rPr>
        <w:t xml:space="preserve"> Усі дані, зазначені в додатку у гривнях, заповнюються з округленням до двох знаків після коми.</w:t>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p>
    <w:p w:rsidR="00DB667C" w:rsidRDefault="008A03DB">
      <w:pPr>
        <w:pStyle w:val="a3"/>
        <w:jc w:val="both"/>
        <w:rPr>
          <w:sz w:val="20"/>
          <w:szCs w:val="20"/>
          <w:vertAlign w:val="superscript"/>
        </w:rPr>
      </w:pPr>
      <w:r>
        <w:rPr>
          <w:vertAlign w:val="superscript"/>
        </w:rPr>
        <w:t xml:space="preserve">2 </w:t>
      </w:r>
      <w:r>
        <w:rPr>
          <w:sz w:val="20"/>
          <w:szCs w:val="20"/>
          <w:vertAlign w:val="superscript"/>
        </w:rPr>
        <w:t>Зазначається з округленням до чотирьох знаків після коми.</w:t>
      </w:r>
    </w:p>
    <w:p w:rsidR="00DB667C" w:rsidRDefault="008A03DB">
      <w:pPr>
        <w:pStyle w:val="a3"/>
        <w:jc w:val="right"/>
        <w:rPr>
          <w:vertAlign w:val="superscript"/>
        </w:rPr>
      </w:pPr>
      <w:r>
        <w:rPr>
          <w:vertAlign w:val="superscript"/>
        </w:rPr>
        <w:t>(Положення доповнено новим додатком 5 згідно з рішенням</w:t>
      </w:r>
      <w:r>
        <w:rPr>
          <w:vertAlign w:val="superscript"/>
        </w:rPr>
        <w:br/>
        <w:t> Національної комісії з цінних паперів та фондового ринку</w:t>
      </w:r>
      <w:r>
        <w:rPr>
          <w:vertAlign w:val="superscript"/>
        </w:rPr>
        <w:br/>
        <w:t> від 01.12.2015 р. N 2003)</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lastRenderedPageBreak/>
              <w:t>Додаток 6</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3.4 пункту 3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вихідні дані для розрахунку розміру власних коштів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на яку здійснено розрахунок пруденційних нормативів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власних коштів,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капіталу першого рівня,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капіталу другого рівня,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Зареєстрований статутний капітал,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Резервний капітал,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Додатковий капітал,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Нерозподілений прибуток на початок звітного року,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Неоплачений статутний капітал,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Вилучений статутний капітал,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Прострочена понад 30 днів дебіторська заборгованість,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Довгострокова дебіторська заборгованість, в тому числі пролонгована, термін сплати якої не настав,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Рядок виключено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Короткострокова дебіторська заборгованість, сумарний строк пролонгації якої перевищує 30 днів та термін сплати якої не настав,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Нематеріальні активи за залишковою вартістю,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Капітальні вкладення у нематеріальні активи,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Прибуток на початок звітного року, що був розподілений у звітному році,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Непокритий збиток на початок звітного року,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Збитки поточного року (якщо фінансовим результатом є збиток),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 xml:space="preserve">Фінансові інвестиції у статутний капітал підприємств (крім приватних акціонерних товариств, акції яких перебувають у біржовому списку фондової біржі, публічних </w:t>
            </w:r>
            <w:r>
              <w:lastRenderedPageBreak/>
              <w:t>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lastRenderedPageBreak/>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Балансова вартість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Гудвіл,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Відстрочені податкові активи,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Витрати майбутніх періодів,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Внески до незареєстрованого статутного капіталу,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Капітал у дооцінках,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b/>
          <w:bCs/>
          <w:vertAlign w:val="superscript"/>
        </w:rPr>
        <w:t>Примітка.</w:t>
      </w:r>
      <w:r>
        <w:rPr>
          <w:vertAlign w:val="superscript"/>
        </w:rPr>
        <w:t xml:space="preserve"> Усі дані, зазначені в додатку у гривнях, заповнюються з округленням до двох знаків після коми.</w:t>
      </w:r>
    </w:p>
    <w:p w:rsidR="00DB667C" w:rsidRDefault="008A03DB">
      <w:pPr>
        <w:pStyle w:val="a3"/>
        <w:jc w:val="right"/>
        <w:rPr>
          <w:vertAlign w:val="superscript"/>
        </w:rPr>
      </w:pPr>
      <w:r>
        <w:rPr>
          <w:vertAlign w:val="superscript"/>
        </w:rPr>
        <w:t>(Положення доповнено новим додатком 6 згідно з рішенням</w:t>
      </w:r>
      <w:r>
        <w:rPr>
          <w:vertAlign w:val="superscript"/>
        </w:rPr>
        <w:br/>
        <w:t> Національної комісії з цінних паперів та фондового ринку</w:t>
      </w:r>
      <w:r>
        <w:rPr>
          <w:vertAlign w:val="superscript"/>
        </w:rPr>
        <w:br/>
        <w:t> від 01.12.2015 р. N 2003,</w:t>
      </w:r>
      <w:r>
        <w:rPr>
          <w:vertAlign w:val="superscript"/>
        </w:rPr>
        <w:br/>
        <w:t> додаток 6 із змінами, внесеними згідно з рішеннями Національної</w:t>
      </w:r>
      <w:r>
        <w:rPr>
          <w:vertAlign w:val="superscript"/>
        </w:rPr>
        <w:br/>
        <w:t> комісії з цінних паперів та фондового ринку від 10.01.2017 р. N 1,</w:t>
      </w:r>
      <w:r>
        <w:rPr>
          <w:vertAlign w:val="superscript"/>
        </w:rPr>
        <w:br/>
        <w:t>від 01.02.2018 р. N 58,</w:t>
      </w:r>
      <w:r>
        <w:rPr>
          <w:vertAlign w:val="superscript"/>
        </w:rPr>
        <w:br/>
        <w:t>від 28.12.2018 р. N 940)</w:t>
      </w:r>
    </w:p>
    <w:p w:rsidR="00DB667C" w:rsidRDefault="008A03DB">
      <w:pPr>
        <w:pStyle w:val="a3"/>
        <w:jc w:val="both"/>
        <w:rPr>
          <w:vertAlign w:val="superscript"/>
        </w:rPr>
      </w:pPr>
      <w:r>
        <w:rPr>
          <w:vertAlign w:val="superscript"/>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7</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3.5 пункту 3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вихідні дані для розрахунку фіксованих накладних витрат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на яку здійснено розрахунок пруденційних нормативів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Витрати на утримання адміністративно-управлінського персоналу,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Витрати на службові відрядження,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Витрати на оплату послуг зв'язку,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Винагороди за консультаційні послуги,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Винагороди за інформаційні послуги,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Винагороди за аудиторські послуги,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Винагороди за інші послуги,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Плата за розрахунково-касове обслуговування та інші послуги банків,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Витрати на охорону приміщень,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Розмір фіксованих накладних витрат,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b/>
          <w:bCs/>
          <w:vertAlign w:val="superscript"/>
        </w:rPr>
        <w:t>Примітка.</w:t>
      </w:r>
      <w:r>
        <w:rPr>
          <w:vertAlign w:val="superscript"/>
        </w:rPr>
        <w:t xml:space="preserve"> Усі дані, зазначені в додатку у гривнях, заповнюються з округленням до двох знаків після коми.</w:t>
      </w:r>
    </w:p>
    <w:p w:rsidR="00DB667C" w:rsidRDefault="008A03DB">
      <w:pPr>
        <w:pStyle w:val="a3"/>
        <w:jc w:val="right"/>
        <w:rPr>
          <w:vertAlign w:val="superscript"/>
        </w:rPr>
      </w:pPr>
      <w:r>
        <w:rPr>
          <w:vertAlign w:val="superscript"/>
        </w:rPr>
        <w:t>(Положення доповнено новим додатком 7 згідно з рішенням</w:t>
      </w:r>
      <w:r>
        <w:rPr>
          <w:vertAlign w:val="superscript"/>
        </w:rPr>
        <w:br/>
        <w:t> Національної комісії з цінних паперів та фондового ринку</w:t>
      </w:r>
      <w:r>
        <w:rPr>
          <w:vertAlign w:val="superscript"/>
        </w:rPr>
        <w:br/>
        <w:t> від 01.12.2015 р. N 2003)</w:t>
      </w:r>
    </w:p>
    <w:p w:rsidR="00DB667C" w:rsidRDefault="008A03DB">
      <w:pPr>
        <w:pStyle w:val="a3"/>
        <w:jc w:val="both"/>
        <w:rPr>
          <w:vertAlign w:val="superscript"/>
        </w:rPr>
      </w:pPr>
      <w:r>
        <w:rPr>
          <w:vertAlign w:val="superscript"/>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8</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3.6 пункту 3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вихідні дані для розрахунку коефіцієнта абсолютної ліквідності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Дата, на яку здійснено розрахунок пруденційних нормативів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Готівкові кошти,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Кошти на поточних рахунках, а також депозити до запитання та строкові депозити, за умовами яких кошти можуть бути повернуті на вимогу в будь-який час у повному обсязі, в банках, крім банків, у яких запроваджено тимчасову адміністрацію або проводиться процедура ліквідації,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зупинено внесення змін до системи депозитарного обліку на підставі рішення суду, рішення Комісії або на інших підставах, установлених законом, або обіг яких чи торгівлю якими на будь-якій фондовій біржі зупинено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Вартість високоліквідних активів, грн</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Поточні зобов'язання,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b/>
          <w:bCs/>
          <w:vertAlign w:val="superscript"/>
        </w:rPr>
        <w:t>Примітка.</w:t>
      </w:r>
      <w:r>
        <w:rPr>
          <w:vertAlign w:val="superscript"/>
        </w:rPr>
        <w:t xml:space="preserve"> Усі дані, зазначені в додатку у гривнях, заповнюються з округленням до двох знаків після коми.</w:t>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p>
    <w:p w:rsidR="00DB667C" w:rsidRDefault="008A03DB">
      <w:pPr>
        <w:pStyle w:val="a3"/>
        <w:jc w:val="right"/>
        <w:rPr>
          <w:vertAlign w:val="superscript"/>
        </w:rPr>
      </w:pPr>
      <w:r>
        <w:rPr>
          <w:vertAlign w:val="superscript"/>
        </w:rPr>
        <w:t>(Положення доповнено новим додатком 8 згідно з рішенням</w:t>
      </w:r>
      <w:r>
        <w:rPr>
          <w:vertAlign w:val="superscript"/>
        </w:rPr>
        <w:br/>
        <w:t> Національної комісії з цінних паперів та фондового ринку</w:t>
      </w:r>
      <w:r>
        <w:rPr>
          <w:vertAlign w:val="superscript"/>
        </w:rPr>
        <w:br/>
      </w:r>
      <w:r>
        <w:rPr>
          <w:vertAlign w:val="superscript"/>
        </w:rPr>
        <w:lastRenderedPageBreak/>
        <w:t> від 01.12.2015 р. N 2003,</w:t>
      </w:r>
      <w:r>
        <w:rPr>
          <w:vertAlign w:val="superscript"/>
        </w:rPr>
        <w:br/>
        <w:t> додаток 8 із змінами, внесеними згідно з рішеннями Національної</w:t>
      </w:r>
      <w:r>
        <w:rPr>
          <w:vertAlign w:val="superscript"/>
        </w:rPr>
        <w:br/>
        <w:t> комісії з цінних паперів та фондового ринку від 10.01.2017 р. N 1,</w:t>
      </w:r>
      <w:r>
        <w:rPr>
          <w:vertAlign w:val="superscript"/>
        </w:rPr>
        <w:br/>
        <w:t>від 01.02.2018 р. N 58,</w:t>
      </w:r>
      <w:r>
        <w:rPr>
          <w:vertAlign w:val="superscript"/>
        </w:rPr>
        <w:br/>
        <w:t>від 28.12.2018 р. N 940)</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9</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3.7 пункту 3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вихідні дані для розрахунку нормативу достатності власних коштів та коефіцієнта покриття операційного ризику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Дата, на яку здійснено розрахунок пруденційних нормативів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Розмір власних коштів,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Розмір фіксованих накладних витрат,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Величина нетто-доходу за 1-й рік,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Величина нетто-доходу за 2-й рік,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Величина нетто-доходу за 3-й рік,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Середнє значення позитивного нетто-доходу,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Величина операційного ризику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початку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закінчення звітного періоду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jc w:val="both"/>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b/>
          <w:bCs/>
          <w:vertAlign w:val="superscript"/>
        </w:rPr>
        <w:t>Примітка.</w:t>
      </w:r>
      <w:r>
        <w:rPr>
          <w:vertAlign w:val="superscript"/>
        </w:rPr>
        <w:t xml:space="preserve"> Усі дані, зазначені в додатку у гривнях, заповнюються з округленням до двох знаків після коми.</w:t>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Зазначається з округленням до чотирьох знаків після коми.</w:t>
      </w:r>
    </w:p>
    <w:p w:rsidR="00DB667C" w:rsidRDefault="008A03DB">
      <w:pPr>
        <w:pStyle w:val="a3"/>
        <w:jc w:val="right"/>
        <w:rPr>
          <w:vertAlign w:val="superscript"/>
        </w:rPr>
      </w:pPr>
      <w:r>
        <w:rPr>
          <w:vertAlign w:val="superscript"/>
        </w:rPr>
        <w:t>(Положення доповнено новим додатком 9 згідно з рішенням</w:t>
      </w:r>
      <w:r>
        <w:rPr>
          <w:vertAlign w:val="superscript"/>
        </w:rPr>
        <w:br/>
        <w:t> Національної комісії з цінних паперів та фондового ринку</w:t>
      </w:r>
      <w:r>
        <w:rPr>
          <w:vertAlign w:val="superscript"/>
        </w:rPr>
        <w:br/>
        <w:t> від 01.12.2015 р. N 2003,</w:t>
      </w:r>
      <w:r>
        <w:rPr>
          <w:vertAlign w:val="superscript"/>
        </w:rPr>
        <w:br/>
      </w:r>
      <w:r>
        <w:rPr>
          <w:vertAlign w:val="superscript"/>
        </w:rPr>
        <w:lastRenderedPageBreak/>
        <w:t> у зв'язку з цим додатки 4 - 8</w:t>
      </w:r>
      <w:r>
        <w:rPr>
          <w:vertAlign w:val="superscript"/>
        </w:rPr>
        <w:br/>
        <w:t> вважати відповідно додатками 10 - 14)</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10</w:t>
            </w:r>
            <w:r>
              <w:br/>
              <w:t xml:space="preserve">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w:t>
            </w:r>
            <w:r>
              <w:br/>
              <w:t>(підпункт 5.1 пункту 5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 про зміни у біржовому списку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емітента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Реєстраційний код за ЄДРІСІ (у разі укладання біржового контракту з цінними паперами інститутів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Класифікація фінансового інструменту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 xml:space="preserve">Країна реєстрації емітента фінансового інструменту </w:t>
            </w:r>
            <w:r>
              <w:rPr>
                <w:vertAlign w:val="superscript"/>
              </w:rPr>
              <w:t>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Номінальна вартість цінного папера</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Номінальна вартість цінного папера: код валюти</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включення до біржового списку (має бути заповнена завжди)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виключення з біржового списку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включення до біржового реєстру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виключення з біржового реєстру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Рядок виключено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Підстави виключення з біржового списку/реєстру, назва та дата документа, на підставі якого відбулося виключення з біржового списку/реєстру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"1" - лістингові, "0" - позалістингові", "9" - фінансові інструменти, відносно яких припинено торгівлю</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lastRenderedPageBreak/>
        <w:br w:type="textWrapping" w:clear="all"/>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Заповнюється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2 </w:t>
      </w:r>
      <w:r>
        <w:rPr>
          <w:sz w:val="20"/>
          <w:szCs w:val="20"/>
          <w:vertAlign w:val="superscript"/>
        </w:rPr>
        <w:t xml:space="preserve">Заповнюється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DB667C" w:rsidRDefault="008A03DB">
      <w:pPr>
        <w:pStyle w:val="a3"/>
        <w:jc w:val="both"/>
        <w:rPr>
          <w:vertAlign w:val="superscript"/>
        </w:rPr>
      </w:pPr>
      <w:r>
        <w:rPr>
          <w:vertAlign w:val="superscript"/>
        </w:rPr>
        <w:t>3 Заповнюється щодо облігації.</w:t>
      </w:r>
    </w:p>
    <w:p w:rsidR="00DB667C" w:rsidRDefault="008A03DB">
      <w:pPr>
        <w:pStyle w:val="a3"/>
        <w:jc w:val="both"/>
        <w:rPr>
          <w:vertAlign w:val="superscript"/>
        </w:rPr>
      </w:pPr>
      <w:r>
        <w:rPr>
          <w:vertAlign w:val="superscript"/>
        </w:rPr>
        <w:t xml:space="preserve">4 Заповнюється щодо облігації відповідно до </w:t>
      </w:r>
      <w:r>
        <w:rPr>
          <w:color w:val="0000FF"/>
          <w:vertAlign w:val="superscript"/>
        </w:rPr>
        <w:t>Довідника 46 "Перелік та коди валют" Системи довідників та класифікаторів</w:t>
      </w:r>
      <w:r>
        <w:rPr>
          <w:vertAlign w:val="superscript"/>
        </w:rPr>
        <w:t>.</w:t>
      </w:r>
    </w:p>
    <w:p w:rsidR="00DB667C" w:rsidRDefault="008A03DB">
      <w:pPr>
        <w:pStyle w:val="a3"/>
        <w:jc w:val="right"/>
        <w:rPr>
          <w:vertAlign w:val="superscript"/>
        </w:rPr>
      </w:pPr>
      <w:r>
        <w:rPr>
          <w:vertAlign w:val="superscript"/>
        </w:rPr>
        <w:t>(додаток 10 у редакції рішення Національної комісії з цінних</w:t>
      </w:r>
      <w:r>
        <w:rPr>
          <w:vertAlign w:val="superscript"/>
        </w:rPr>
        <w:br/>
        <w:t> паперів та фондового ринку від 13.08.2013 р. N 1467,</w:t>
      </w:r>
      <w:r>
        <w:rPr>
          <w:vertAlign w:val="superscript"/>
        </w:rPr>
        <w:br/>
        <w:t>із змінами, внесеними згідно з рішенням Національної комісії</w:t>
      </w:r>
      <w:r>
        <w:rPr>
          <w:vertAlign w:val="superscript"/>
        </w:rPr>
        <w:br/>
        <w:t> з цінних паперів та фондового ринку від 09.07.2019 р. N 361)</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11</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 про зміни в переліку торговців цінними паперами, допущених до біржових торгів на організаторі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торговця цінними паперами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торговця цінними паперами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допущення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виключення (у разі допущення торговця цінними паперами до біржових торгів не заповнюється)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Довідка про зміни в переліку торговців цінними паперами, допущених до біржових торгів, станом на (дата)</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lastRenderedPageBreak/>
              <w:t>Додаток 12</w:t>
            </w:r>
            <w:r>
              <w:br/>
              <w:t xml:space="preserve">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w:t>
            </w:r>
            <w:r>
              <w:br/>
              <w:t>(підпункт 5.3 пункту 5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 про біржові контракти (договори РЕПО) з цінними паперами та іншими фінансовими інструментами на організаторі торгівлі, щодо яких відбулися зміни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укладання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виконання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 фіксації укладання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Реквізити біржового контракту (договору РЕПО, строкового контракту) (реєстраційний номер у системі)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Частина договору РЕПО: "1" - перша частина договору РЕПО, "2" - друга частина договору РЕПО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Реквізити пов'язаної частини договору РЕПО</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емітента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Реєстраційний код за ЄДРІСІ (у разі укладання біржового контракту з цінними паперами інститутів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Класифікація фінансового інструменту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Кількість цінних паперів або інших фінансових інструментів за біржовим контрактом (договором РЕПО/кількість строкових контрактів) (шт.)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Вартість біржового контракту (договору РЕПО, строкового контракту)</w:t>
            </w:r>
          </w:p>
        </w:tc>
      </w:tr>
      <w:tr w:rsidR="00DB667C">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DB667C" w:rsidRDefault="008A03DB">
            <w:pPr>
              <w:pStyle w:val="a3"/>
            </w:pPr>
            <w:r>
              <w:t>Загальна сума накопиченого купонного (процентного) доходу за облігаціями, що є предметом біржового контракту, грн</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Вид ринку</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Технологія проведення торгів</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Види ринку за характером проведення операцій</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анулювання (заповнюється в разі анулювання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lastRenderedPageBreak/>
              <w:t>Сторони біржового контракту. Торговець-продавець. Ідентифікаційний код торговця цінними паперами. У разі первинного розміщення емітентом його цінних паперів вказується ідентифікаційний код емітента цінних паперів. Якщо стороною біржового контракту відповідно до законодавства виступає державний орган, вказується його ідентифікаційний код</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У разі первинного розміщення емітентом його цінних паперів вказується найменування емітента фінансового інструменту. Якщо стороною біржового контракту відповідно до законодавства виступає державний орган, вказується найменування органу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продавець: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продавець: ідентифікаційний код юридичної особи, реєстраційний код за ЄДРІСІ інституту спільного інвестування,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продавець: П. І. Б. фізичної особи, найменування юридичної особи, найменування інституту спільного інвестування</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продавець: країна реєстрації</w:t>
            </w:r>
            <w:r>
              <w:rPr>
                <w:vertAlign w:val="superscript"/>
              </w:rPr>
              <w:t xml:space="preserve"> 6</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продавець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депозитарної установи торговця - продавця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Сторони біржового контракту. Торговець - покупець. Ідентифікаційний код торговця цінними паперами. У випадках, коли стороною біржового контракту відповідно до законодавства виступає фізична особа, вказується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ідентифікаційний код юридичної особи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У випадках, коли стороною біржового контракту відповідно до законодавства виступає фізична особа, вказується П. І. Б. фізичної особи.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найменування юридичної особи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покупець: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 xml:space="preserve">Клієнт, в інтересах якого виступає торговець - покупець: ідентифікаційний код юридичної особи, реєстраційний код за ЄДРІСІ інституту спільного інвестування,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w:t>
            </w:r>
            <w:r>
              <w:lastRenderedPageBreak/>
              <w:t>облікової картки платника податків та повідомили про це відповідний орган державної податкової служби і мають відмітку в паспорті)</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lastRenderedPageBreak/>
              <w:t>Клієнт, в інтересах якого виступає торговець - покупець: П. І. Б. фізичної особи, найменування юридичної особи, найменування інституту спільного інвестування</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покупець: країна реєстрації</w:t>
            </w:r>
            <w:r>
              <w:rPr>
                <w:vertAlign w:val="superscript"/>
              </w:rPr>
              <w:t xml:space="preserve"> 6</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Клієнт, в інтересах якого виступає торговець - покупець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депозитарної установи торговця - покупця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Інформація про санкції, які застосовано організатором торгівлі у зв'язку з порушенням правил фондової біржі щодо виконання біржового контракту (договору РЕПО, строкового контракту)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Заповнюється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2 </w:t>
      </w:r>
      <w:r>
        <w:rPr>
          <w:sz w:val="20"/>
          <w:szCs w:val="20"/>
          <w:vertAlign w:val="superscript"/>
        </w:rPr>
        <w:t xml:space="preserve">Заповнюється відповідно до </w:t>
      </w:r>
      <w:r>
        <w:rPr>
          <w:color w:val="0000FF"/>
          <w:sz w:val="20"/>
          <w:szCs w:val="20"/>
          <w:vertAlign w:val="superscript"/>
        </w:rPr>
        <w:t>Довідника 8 "Види ринку"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3 </w:t>
      </w:r>
      <w:r>
        <w:rPr>
          <w:sz w:val="20"/>
          <w:szCs w:val="20"/>
          <w:vertAlign w:val="superscript"/>
        </w:rPr>
        <w:t xml:space="preserve">Заповнюється відповідно до </w:t>
      </w:r>
      <w:r>
        <w:rPr>
          <w:color w:val="0000FF"/>
          <w:sz w:val="20"/>
          <w:szCs w:val="20"/>
          <w:vertAlign w:val="superscript"/>
        </w:rPr>
        <w:t>Довідника 25 "Технології проведення торгів"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4 </w:t>
      </w:r>
      <w:r>
        <w:rPr>
          <w:sz w:val="20"/>
          <w:szCs w:val="20"/>
          <w:vertAlign w:val="superscript"/>
        </w:rPr>
        <w:t xml:space="preserve">Заповнюється відповідно до </w:t>
      </w:r>
      <w:r>
        <w:rPr>
          <w:color w:val="0000FF"/>
          <w:sz w:val="20"/>
          <w:szCs w:val="20"/>
          <w:vertAlign w:val="superscript"/>
        </w:rPr>
        <w:t>Довідника 9 "Види ринку за характером проведення операцій"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5 </w:t>
      </w:r>
      <w:r>
        <w:rPr>
          <w:sz w:val="20"/>
          <w:szCs w:val="20"/>
          <w:vertAlign w:val="superscript"/>
        </w:rPr>
        <w:t>При здійсненні дилерської діяльності торговцем цінними паперами поля не заповнюються.</w:t>
      </w:r>
    </w:p>
    <w:p w:rsidR="00DB667C" w:rsidRDefault="008A03DB">
      <w:pPr>
        <w:pStyle w:val="a3"/>
        <w:jc w:val="both"/>
        <w:rPr>
          <w:sz w:val="20"/>
          <w:szCs w:val="20"/>
          <w:vertAlign w:val="superscript"/>
        </w:rPr>
      </w:pPr>
      <w:r>
        <w:rPr>
          <w:vertAlign w:val="superscript"/>
        </w:rPr>
        <w:t xml:space="preserve">6 </w:t>
      </w:r>
      <w:r>
        <w:rPr>
          <w:sz w:val="20"/>
          <w:szCs w:val="20"/>
          <w:vertAlign w:val="superscript"/>
        </w:rPr>
        <w:t xml:space="preserve">Заповнюється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DB667C" w:rsidRDefault="008A03DB">
      <w:pPr>
        <w:pStyle w:val="a3"/>
        <w:jc w:val="right"/>
        <w:rPr>
          <w:vertAlign w:val="superscript"/>
        </w:rPr>
      </w:pPr>
      <w:r>
        <w:rPr>
          <w:vertAlign w:val="superscript"/>
        </w:rPr>
        <w:t>(додаток 12 у редакції рішення Національної комісії з цінних</w:t>
      </w:r>
      <w:r>
        <w:rPr>
          <w:vertAlign w:val="superscript"/>
        </w:rPr>
        <w:br/>
        <w:t> паперів та фондового ринку від 13.08.2013 р. N 1467,</w:t>
      </w:r>
      <w:r>
        <w:rPr>
          <w:vertAlign w:val="superscript"/>
        </w:rPr>
        <w:br/>
        <w:t>із змінами, внесеними згідно з рішенням Національної комісії</w:t>
      </w:r>
      <w:r>
        <w:rPr>
          <w:vertAlign w:val="superscript"/>
        </w:rPr>
        <w:br/>
        <w:t> з цінних паперів та фондового ринку від 09.07.2019 р. N 361)</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13</w:t>
            </w:r>
            <w:r>
              <w:br/>
              <w:t xml:space="preserve">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w:t>
            </w:r>
            <w:r>
              <w:br/>
              <w:t>(підпункт 5.4 пункту 5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 про ситуації цінової нестабільності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lastRenderedPageBreak/>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Найменування емітента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Реєстраційний код за ЄДРІСІ (у разі укладання біржового контракту з цінними паперами інститутів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Класифікація фінансового інструменту</w:t>
            </w:r>
            <w:r>
              <w:rPr>
                <w:vertAlign w:val="superscript"/>
              </w:rPr>
              <w:t xml:space="preserve"> 1</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 попереднього розрахунку поточної ціни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 фіксації ситуації цінової нестабільності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Поточна ціна фінансового інструменту при попередньому розрахунку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Поточна ціна фінансового інструменту при фіксації цінової нестабільності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Зафіксоване значення зміни, %</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"1" - лістингові, "0" - позалістингові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Вид ринку</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Технологія проведення торгів</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Види ринку за характером проведення операцій</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 призупинення торгівлі фінансовим інструментом</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Час відновлення торгівлі фінансовим інструментом</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Інформація про підстави зупинення торгів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Заходи, які здійснюються фондовою біржею у цій ситуації</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Результати перевірки причин цінової нестабільності та значного коливання ціни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Заповнюється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2 </w:t>
      </w:r>
      <w:r>
        <w:rPr>
          <w:sz w:val="20"/>
          <w:szCs w:val="20"/>
          <w:vertAlign w:val="superscript"/>
        </w:rPr>
        <w:t xml:space="preserve">Заповнюється відповідно до </w:t>
      </w:r>
      <w:r>
        <w:rPr>
          <w:color w:val="0000FF"/>
          <w:sz w:val="20"/>
          <w:szCs w:val="20"/>
          <w:vertAlign w:val="superscript"/>
        </w:rPr>
        <w:t>Довідника 8 "Види ринку"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3 </w:t>
      </w:r>
      <w:r>
        <w:rPr>
          <w:sz w:val="20"/>
          <w:szCs w:val="20"/>
          <w:vertAlign w:val="superscript"/>
        </w:rPr>
        <w:t xml:space="preserve">Заповнюється відповідно до </w:t>
      </w:r>
      <w:r>
        <w:rPr>
          <w:color w:val="0000FF"/>
          <w:sz w:val="20"/>
          <w:szCs w:val="20"/>
          <w:vertAlign w:val="superscript"/>
        </w:rPr>
        <w:t>Довідника 25 "Технології проведення торгів"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9 "Види ринку за характером проведення операцій" Системи довідників та класифікаторів</w:t>
      </w:r>
      <w:r>
        <w:rPr>
          <w:sz w:val="20"/>
          <w:szCs w:val="20"/>
          <w:vertAlign w:val="superscript"/>
        </w:rPr>
        <w:t>.</w:t>
      </w:r>
    </w:p>
    <w:p w:rsidR="00DB667C" w:rsidRDefault="008A03DB">
      <w:pPr>
        <w:pStyle w:val="a3"/>
        <w:jc w:val="right"/>
        <w:rPr>
          <w:vertAlign w:val="superscript"/>
        </w:rPr>
      </w:pPr>
      <w:r>
        <w:rPr>
          <w:vertAlign w:val="superscript"/>
        </w:rPr>
        <w:t>(додаток 13 у редакції рішення Національної комісії з цінних</w:t>
      </w:r>
      <w:r>
        <w:rPr>
          <w:vertAlign w:val="superscript"/>
        </w:rPr>
        <w:br/>
        <w:t> паперів та фондового ринку від 13.08.2013 р. N 1467,</w:t>
      </w:r>
      <w:r>
        <w:rPr>
          <w:vertAlign w:val="superscript"/>
        </w:rPr>
        <w:br/>
      </w:r>
      <w:r>
        <w:rPr>
          <w:vertAlign w:val="superscript"/>
        </w:rPr>
        <w:lastRenderedPageBreak/>
        <w:t>із змінами, внесеними згідно з рішенням Національної комісії</w:t>
      </w:r>
      <w:r>
        <w:rPr>
          <w:vertAlign w:val="superscript"/>
        </w:rPr>
        <w:br/>
        <w:t> з цінних паперів та фондового ринку від 09.07.2019 р. N 361)</w:t>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14</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Супровідна довідка для виправлених Даних організатора торгівлі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за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заповнення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Перелік виправлень та обґрунтування виправлених Даних</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Примітки</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B667C">
        <w:trPr>
          <w:tblCellSpacing w:w="22" w:type="dxa"/>
        </w:trPr>
        <w:tc>
          <w:tcPr>
            <w:tcW w:w="5000" w:type="pct"/>
            <w:hideMark/>
          </w:tcPr>
          <w:p w:rsidR="00DB667C" w:rsidRDefault="008A03DB">
            <w:pPr>
              <w:pStyle w:val="a3"/>
            </w:pPr>
            <w:r>
              <w:t>Додаток 15</w:t>
            </w:r>
            <w:r>
              <w:b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br/>
              <w:t>(підпункт 4.5 пункту 4 глави 1 розділу III)</w:t>
            </w:r>
          </w:p>
        </w:tc>
      </w:tr>
    </w:tbl>
    <w:p w:rsidR="00DB667C" w:rsidRDefault="008A03DB">
      <w:pPr>
        <w:pStyle w:val="a3"/>
        <w:jc w:val="both"/>
        <w:rPr>
          <w:vertAlign w:val="superscript"/>
        </w:rPr>
      </w:pPr>
      <w:r>
        <w:rPr>
          <w:vertAlign w:val="superscript"/>
        </w:rPr>
        <w:br w:type="textWrapping" w:clear="all"/>
      </w:r>
    </w:p>
    <w:p w:rsidR="00DB667C" w:rsidRDefault="008A03DB">
      <w:pPr>
        <w:pStyle w:val="3"/>
        <w:jc w:val="center"/>
        <w:rPr>
          <w:rFonts w:eastAsia="Times New Roman"/>
          <w:vertAlign w:val="superscript"/>
        </w:rPr>
      </w:pPr>
      <w:r>
        <w:rPr>
          <w:rFonts w:eastAsia="Times New Roman"/>
          <w:vertAlign w:val="superscript"/>
        </w:rPr>
        <w:t>Довідка про подані безадресні заявки на продаж цінних паперів,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торговцями цінними паперами, що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623"/>
      </w:tblGrid>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організатора торгівлі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станом на яку складено Дані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Дата подання заявки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lastRenderedPageBreak/>
              <w:t>Час подання заявки</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Найменування емітента цінних паперів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Ідентифікаційний код емітента цінних паперів</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Класифікація цінного папера</w:t>
            </w:r>
            <w:r>
              <w:rPr>
                <w:vertAlign w:val="superscript"/>
              </w:rPr>
              <w:t xml:space="preserve"> 2</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Код класифікації фінансового інструменту (код CFI)</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Міжнародний ідентифікаційний номер цінного папера або код іншого, ніж цінний папір, фінансового інструменту</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Вид ринку</w:t>
            </w:r>
            <w:r>
              <w:rPr>
                <w:vertAlign w:val="superscript"/>
              </w:rPr>
              <w:t xml:space="preserve"> 3</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Технологія проведення торгів</w:t>
            </w:r>
            <w:r>
              <w:rPr>
                <w:vertAlign w:val="superscript"/>
              </w:rPr>
              <w:t xml:space="preserve"> 4</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Види ринку за характером проведення операцій</w:t>
            </w:r>
            <w:r>
              <w:rPr>
                <w:vertAlign w:val="superscript"/>
              </w:rPr>
              <w:t xml:space="preserve">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Торговець. Ідентифікаційний код торговця цінними паперами. У разі первинного розміщення емітентом його цінних паперів вказується ідентифікаційний код емітента цінних паперів. Якщо стороною біржового контракту відповідно до законодавства виступає державний орган, вказується його ідентифікаційний код</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ідентифікаційний код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П. І. Б. фізичної особи, найменування юридичної особи, найменування інституту спільного інвестування</w:t>
            </w:r>
          </w:p>
        </w:tc>
      </w:tr>
      <w:tr w:rsidR="00DB667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DB667C" w:rsidRDefault="008A03DB">
            <w:pPr>
              <w:pStyle w:val="a3"/>
            </w:pPr>
            <w:r>
              <w:t>Клієнт, в інтересах якого виступає торговець: країна реєстрації</w:t>
            </w:r>
            <w:r>
              <w:rPr>
                <w:vertAlign w:val="superscript"/>
              </w:rPr>
              <w:t xml:space="preserve"> 6</w:t>
            </w:r>
          </w:p>
        </w:tc>
      </w:tr>
    </w:tbl>
    <w:p w:rsidR="00DB667C" w:rsidRDefault="008A03DB">
      <w:pPr>
        <w:rPr>
          <w:rFonts w:eastAsia="Times New Roman"/>
          <w:vertAlign w:val="superscript"/>
        </w:rPr>
      </w:pPr>
      <w:r>
        <w:rPr>
          <w:rFonts w:eastAsia="Times New Roman"/>
          <w:vertAlign w:val="superscript"/>
        </w:rPr>
        <w:br w:type="textWrapping" w:clear="all"/>
      </w:r>
    </w:p>
    <w:p w:rsidR="00DB667C" w:rsidRDefault="008A03DB">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Вимоги до обсягу інформації про клієнтів торговців цінними паперами, яким надано прямий електронний доступ до біржових торгів, встановлено у Положенні про функціонування фондових бірж, затвердженому </w:t>
      </w:r>
      <w:r>
        <w:rPr>
          <w:color w:val="0000FF"/>
          <w:sz w:val="20"/>
          <w:szCs w:val="20"/>
          <w:vertAlign w:val="superscript"/>
        </w:rPr>
        <w:t>рішенням Національної комісії з цінних паперів та фондового ринку від 22 листопада 2012 року N 1688</w:t>
      </w:r>
      <w:r>
        <w:rPr>
          <w:sz w:val="20"/>
          <w:szCs w:val="20"/>
          <w:vertAlign w:val="superscript"/>
        </w:rPr>
        <w:t>, зареєстрованому в Міністерстві юстиції України 14 грудня 2012 року за N 2082/22394 (зі змінами).</w:t>
      </w:r>
    </w:p>
    <w:p w:rsidR="00DB667C" w:rsidRDefault="008A03DB">
      <w:pPr>
        <w:pStyle w:val="a3"/>
        <w:jc w:val="both"/>
        <w:rPr>
          <w:sz w:val="20"/>
          <w:szCs w:val="20"/>
          <w:vertAlign w:val="superscript"/>
        </w:rPr>
      </w:pPr>
      <w:r>
        <w:rPr>
          <w:vertAlign w:val="superscript"/>
        </w:rPr>
        <w:t xml:space="preserve">2 </w:t>
      </w:r>
      <w:r>
        <w:rPr>
          <w:sz w:val="20"/>
          <w:szCs w:val="20"/>
          <w:vertAlign w:val="superscript"/>
        </w:rPr>
        <w:t xml:space="preserve">Заповнюється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3 </w:t>
      </w:r>
      <w:r>
        <w:rPr>
          <w:sz w:val="20"/>
          <w:szCs w:val="20"/>
          <w:vertAlign w:val="superscript"/>
        </w:rPr>
        <w:t xml:space="preserve">Заповнюється відповідно до </w:t>
      </w:r>
      <w:r>
        <w:rPr>
          <w:color w:val="0000FF"/>
          <w:sz w:val="20"/>
          <w:szCs w:val="20"/>
          <w:vertAlign w:val="superscript"/>
        </w:rPr>
        <w:t>Довідника 8 "Види ринку"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4 </w:t>
      </w:r>
      <w:r>
        <w:rPr>
          <w:sz w:val="20"/>
          <w:szCs w:val="20"/>
          <w:vertAlign w:val="superscript"/>
        </w:rPr>
        <w:t xml:space="preserve">Заповнюється відповідно до </w:t>
      </w:r>
      <w:r>
        <w:rPr>
          <w:color w:val="0000FF"/>
          <w:sz w:val="20"/>
          <w:szCs w:val="20"/>
          <w:vertAlign w:val="superscript"/>
        </w:rPr>
        <w:t>Довідника 25 "Технології проведення торгів"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5 </w:t>
      </w:r>
      <w:r>
        <w:rPr>
          <w:sz w:val="20"/>
          <w:szCs w:val="20"/>
          <w:vertAlign w:val="superscript"/>
        </w:rPr>
        <w:t xml:space="preserve">Заповнюється відповідно до </w:t>
      </w:r>
      <w:r>
        <w:rPr>
          <w:color w:val="0000FF"/>
          <w:sz w:val="20"/>
          <w:szCs w:val="20"/>
          <w:vertAlign w:val="superscript"/>
        </w:rPr>
        <w:t>Довідника 9 "Види ринку за характером проведення операцій" Системи довідників та класифікаторів</w:t>
      </w:r>
      <w:r>
        <w:rPr>
          <w:sz w:val="20"/>
          <w:szCs w:val="20"/>
          <w:vertAlign w:val="superscript"/>
        </w:rPr>
        <w:t>.</w:t>
      </w:r>
    </w:p>
    <w:p w:rsidR="00DB667C" w:rsidRDefault="008A03DB">
      <w:pPr>
        <w:pStyle w:val="a3"/>
        <w:jc w:val="both"/>
        <w:rPr>
          <w:sz w:val="20"/>
          <w:szCs w:val="20"/>
          <w:vertAlign w:val="superscript"/>
        </w:rPr>
      </w:pPr>
      <w:r>
        <w:rPr>
          <w:vertAlign w:val="superscript"/>
        </w:rPr>
        <w:t xml:space="preserve">6 </w:t>
      </w:r>
      <w:r>
        <w:rPr>
          <w:sz w:val="20"/>
          <w:szCs w:val="20"/>
          <w:vertAlign w:val="superscript"/>
        </w:rPr>
        <w:t xml:space="preserve">Заповнюється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DB667C" w:rsidRDefault="008A03DB">
      <w:pPr>
        <w:pStyle w:val="a3"/>
        <w:jc w:val="right"/>
        <w:rPr>
          <w:vertAlign w:val="superscript"/>
        </w:rPr>
      </w:pPr>
      <w:r>
        <w:rPr>
          <w:vertAlign w:val="superscript"/>
        </w:rPr>
        <w:lastRenderedPageBreak/>
        <w:t>(Положення доповнено додатком 15 згідно з рішенням</w:t>
      </w:r>
      <w:r>
        <w:rPr>
          <w:vertAlign w:val="superscript"/>
        </w:rPr>
        <w:br/>
        <w:t> Національної комісії з цінних паперів та фондового ринку</w:t>
      </w:r>
      <w:r>
        <w:rPr>
          <w:vertAlign w:val="superscript"/>
        </w:rPr>
        <w:br/>
        <w:t> від 09.07.2019 р. N 361)</w:t>
      </w:r>
    </w:p>
    <w:p w:rsidR="00DB667C" w:rsidRDefault="008A03DB">
      <w:pPr>
        <w:pStyle w:val="a3"/>
        <w:jc w:val="center"/>
        <w:rPr>
          <w:vertAlign w:val="superscript"/>
        </w:rPr>
      </w:pPr>
      <w:r>
        <w:rPr>
          <w:vertAlign w:val="superscript"/>
        </w:rPr>
        <w:t>____________</w:t>
      </w:r>
    </w:p>
    <w:p w:rsidR="00DB667C" w:rsidRDefault="008A03DB">
      <w:pPr>
        <w:pStyle w:val="a3"/>
        <w:jc w:val="center"/>
        <w:rPr>
          <w:vertAlign w:val="superscript"/>
        </w:rPr>
      </w:pPr>
      <w:r>
        <w:rPr>
          <w:vertAlign w:val="superscript"/>
        </w:rPr>
        <w:t> </w:t>
      </w:r>
    </w:p>
    <w:tbl>
      <w:tblPr>
        <w:tblW w:w="5000" w:type="pct"/>
        <w:jc w:val="center"/>
        <w:tblCellSpacing w:w="15" w:type="dxa"/>
        <w:tblLook w:val="04A0" w:firstRow="1" w:lastRow="0" w:firstColumn="1" w:lastColumn="0" w:noHBand="0" w:noVBand="1"/>
      </w:tblPr>
      <w:tblGrid>
        <w:gridCol w:w="8454"/>
        <w:gridCol w:w="1185"/>
      </w:tblGrid>
      <w:tr w:rsidR="00DB667C">
        <w:trPr>
          <w:tblCellSpacing w:w="15" w:type="dxa"/>
          <w:jc w:val="center"/>
        </w:trPr>
        <w:tc>
          <w:tcPr>
            <w:tcW w:w="4500" w:type="pct"/>
            <w:tcMar>
              <w:top w:w="15" w:type="dxa"/>
              <w:left w:w="15" w:type="dxa"/>
              <w:bottom w:w="15" w:type="dxa"/>
              <w:right w:w="15" w:type="dxa"/>
            </w:tcMar>
            <w:vAlign w:val="center"/>
            <w:hideMark/>
          </w:tcPr>
          <w:p w:rsidR="00DB667C" w:rsidRDefault="008A03DB">
            <w:pPr>
              <w:rPr>
                <w:rFonts w:eastAsia="Times New Roman"/>
              </w:rPr>
            </w:pPr>
            <w:r>
              <w:rPr>
                <w:rFonts w:eastAsia="Times New Roman"/>
              </w:rPr>
              <w:t>© ТОВ "Інформаційно-аналітичний центр "ЛІГА", 2019</w:t>
            </w:r>
            <w:r>
              <w:rPr>
                <w:rFonts w:eastAsia="Times New Roman"/>
              </w:rPr>
              <w:br/>
              <w:t>© ТОВ "ЛІГА ЗАКОН", 2019</w:t>
            </w:r>
          </w:p>
        </w:tc>
        <w:tc>
          <w:tcPr>
            <w:tcW w:w="500" w:type="pct"/>
            <w:tcMar>
              <w:top w:w="15" w:type="dxa"/>
              <w:left w:w="15" w:type="dxa"/>
              <w:bottom w:w="15" w:type="dxa"/>
              <w:right w:w="15" w:type="dxa"/>
            </w:tcMar>
            <w:vAlign w:val="center"/>
            <w:hideMark/>
          </w:tcPr>
          <w:p w:rsidR="00DB667C" w:rsidRDefault="008A03DB">
            <w:pPr>
              <w:rPr>
                <w:rFonts w:eastAsia="Times New Roman"/>
              </w:rPr>
            </w:pPr>
            <w:r>
              <w:rPr>
                <w:rFonts w:eastAsia="Times New Roman"/>
                <w:noProof/>
              </w:rPr>
              <w:drawing>
                <wp:inline distT="0" distB="0" distL="0" distR="0">
                  <wp:extent cx="695325" cy="314325"/>
                  <wp:effectExtent l="0" t="0" r="9525" b="9525"/>
                  <wp:docPr id="1" name="Рисунок 1" descr="C:\Users\iryna.shapoval\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yna.shapoval\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8A03DB" w:rsidRDefault="008A03DB">
      <w:pPr>
        <w:rPr>
          <w:rFonts w:eastAsia="Times New Roman"/>
          <w:vertAlign w:val="superscript"/>
        </w:rPr>
      </w:pPr>
    </w:p>
    <w:sectPr w:rsidR="008A03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D7"/>
    <w:rsid w:val="000D3ED7"/>
    <w:rsid w:val="008A03DB"/>
    <w:rsid w:val="00CE3999"/>
    <w:rsid w:val="00DB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F2A0B-AEBC-4F2E-AFC3-DA98849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iryna.shapoval\AppData\Roaming\Liga70\Client\Session\LOGOTYPE.BMP" TargetMode="External"/><Relationship Id="rId4" Type="http://schemas.openxmlformats.org/officeDocument/2006/relationships/image" Target="file:///C:\Users\iryna.shapoval\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40709</Words>
  <Characters>23205</Characters>
  <Application>Microsoft Office Word</Application>
  <DocSecurity>0</DocSecurity>
  <Lines>193</Lines>
  <Paragraphs>127</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Шаповал</dc:creator>
  <cp:keywords/>
  <dc:description/>
  <cp:lastModifiedBy>Артем Юхно</cp:lastModifiedBy>
  <cp:revision>2</cp:revision>
  <dcterms:created xsi:type="dcterms:W3CDTF">2019-08-27T07:21:00Z</dcterms:created>
  <dcterms:modified xsi:type="dcterms:W3CDTF">2019-08-27T07:21:00Z</dcterms:modified>
</cp:coreProperties>
</file>