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BF" w:rsidRPr="00317FBF" w:rsidRDefault="00317FBF" w:rsidP="00317FBF">
      <w:pPr>
        <w:spacing w:before="100" w:beforeAutospacing="1" w:after="100" w:afterAutospacing="1" w:line="240" w:lineRule="auto"/>
        <w:jc w:val="center"/>
        <w:outlineLvl w:val="3"/>
        <w:rPr>
          <w:rFonts w:ascii="Times New Roman" w:eastAsia="Times New Roman" w:hAnsi="Times New Roman" w:cs="Times New Roman"/>
          <w:b/>
          <w:bCs/>
          <w:sz w:val="28"/>
          <w:szCs w:val="28"/>
          <w:lang w:val="ru-RU"/>
        </w:rPr>
      </w:pPr>
      <w:r w:rsidRPr="00317FBF">
        <w:rPr>
          <w:rFonts w:ascii="Times New Roman" w:eastAsia="Times New Roman" w:hAnsi="Times New Roman" w:cs="Times New Roman"/>
          <w:b/>
          <w:bCs/>
          <w:sz w:val="28"/>
          <w:szCs w:val="28"/>
          <w:lang w:val="ru-RU"/>
        </w:rPr>
        <w:t>ПОЛОЖЕННЯ</w:t>
      </w:r>
      <w:r w:rsidRPr="00317FBF">
        <w:rPr>
          <w:rFonts w:ascii="Times New Roman" w:eastAsia="Times New Roman" w:hAnsi="Times New Roman" w:cs="Times New Roman"/>
          <w:b/>
          <w:bCs/>
          <w:sz w:val="28"/>
          <w:szCs w:val="28"/>
        </w:rPr>
        <w:t> </w:t>
      </w:r>
      <w:r w:rsidRPr="00317FBF">
        <w:rPr>
          <w:rFonts w:ascii="Times New Roman" w:eastAsia="Times New Roman" w:hAnsi="Times New Roman" w:cs="Times New Roman"/>
          <w:b/>
          <w:bCs/>
          <w:sz w:val="28"/>
          <w:szCs w:val="28"/>
          <w:lang w:val="ru-RU"/>
        </w:rPr>
        <w:br/>
        <w:t>про нагляд за дотриманням пруденційних нормативів професійними учасниками фондового ринку</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r w:rsidRPr="00317FBF">
        <w:rPr>
          <w:rFonts w:ascii="Times New Roman" w:eastAsia="Times New Roman" w:hAnsi="Times New Roman" w:cs="Times New Roman"/>
          <w:sz w:val="24"/>
          <w:szCs w:val="24"/>
          <w:lang w:val="ru-RU"/>
        </w:rPr>
        <w:t>{Із змінами, внесеними згідно з Рішенням Національної комісії</w:t>
      </w:r>
      <w:r w:rsidRPr="00317FBF">
        <w:rPr>
          <w:rFonts w:ascii="Times New Roman" w:eastAsia="Times New Roman" w:hAnsi="Times New Roman" w:cs="Times New Roman"/>
          <w:sz w:val="24"/>
          <w:szCs w:val="24"/>
        </w:rPr>
        <w:t> </w:t>
      </w:r>
      <w:r w:rsidRPr="00317FBF">
        <w:rPr>
          <w:rFonts w:ascii="Times New Roman" w:eastAsia="Times New Roman" w:hAnsi="Times New Roman" w:cs="Times New Roman"/>
          <w:sz w:val="24"/>
          <w:szCs w:val="24"/>
          <w:lang w:val="ru-RU"/>
        </w:rPr>
        <w:br/>
        <w:t>з цінних паперів та фондового ринку</w:t>
      </w:r>
      <w:r w:rsidRPr="00317FBF">
        <w:rPr>
          <w:rFonts w:ascii="Times New Roman" w:eastAsia="Times New Roman" w:hAnsi="Times New Roman" w:cs="Times New Roman"/>
          <w:sz w:val="24"/>
          <w:szCs w:val="24"/>
        </w:rPr>
        <w:t> </w:t>
      </w:r>
      <w:r w:rsidRPr="00317FBF">
        <w:rPr>
          <w:rFonts w:ascii="Times New Roman" w:eastAsia="Times New Roman" w:hAnsi="Times New Roman" w:cs="Times New Roman"/>
          <w:sz w:val="24"/>
          <w:szCs w:val="24"/>
          <w:lang w:val="ru-RU"/>
        </w:rPr>
        <w:br/>
      </w:r>
      <w:hyperlink r:id="rId4" w:anchor="n17" w:tgtFrame="_blank" w:history="1">
        <w:r w:rsidRPr="00317FBF">
          <w:rPr>
            <w:rFonts w:ascii="Times New Roman" w:eastAsia="Times New Roman" w:hAnsi="Times New Roman" w:cs="Times New Roman"/>
            <w:color w:val="0000FF"/>
            <w:sz w:val="24"/>
            <w:szCs w:val="24"/>
            <w:u w:val="single"/>
            <w:lang w:val="ru-RU"/>
          </w:rPr>
          <w:t>№ 596 від 10.08.2017</w:t>
        </w:r>
      </w:hyperlink>
      <w:r w:rsidRPr="00317FBF">
        <w:rPr>
          <w:rFonts w:ascii="Times New Roman" w:eastAsia="Times New Roman" w:hAnsi="Times New Roman" w:cs="Times New Roman"/>
          <w:sz w:val="24"/>
          <w:szCs w:val="24"/>
          <w:lang w:val="ru-RU"/>
        </w:rPr>
        <w:t>}</w:t>
      </w:r>
      <w:bookmarkStart w:id="0" w:name="_GoBack"/>
      <w:bookmarkEnd w:id="0"/>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1" w:name="n16"/>
      <w:bookmarkEnd w:id="1"/>
      <w:r w:rsidRPr="00317FBF">
        <w:rPr>
          <w:rFonts w:ascii="Times New Roman" w:eastAsia="Times New Roman" w:hAnsi="Times New Roman" w:cs="Times New Roman"/>
          <w:sz w:val="24"/>
          <w:szCs w:val="24"/>
          <w:lang w:val="ru-RU"/>
        </w:rPr>
        <w:t>І. Загальні положення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2" w:name="n17"/>
      <w:bookmarkEnd w:id="2"/>
      <w:r w:rsidRPr="00317FBF">
        <w:rPr>
          <w:rFonts w:ascii="Times New Roman" w:eastAsia="Times New Roman" w:hAnsi="Times New Roman" w:cs="Times New Roman"/>
          <w:sz w:val="24"/>
          <w:szCs w:val="24"/>
          <w:lang w:val="ru-RU"/>
        </w:rPr>
        <w:t>1. Це Положення визначає порядок здійснення Національною комісією з цінних паперів та фондового ринку (далі – Комісія) нагляду за дотриманням професійними учасниками фондового ринку (далі – професійний учасник) у своїй діяльності вимог щодо пруденційних нормативів, установлених нормативно-правовим актом Комісії, який встановлює перелік, порядок розрахунку та нормативні значення пруденційних показників, що застосовуються для вимірювання та оцінки ризиків професійної діяльності на фондовому ринку.</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3" w:name="n18"/>
      <w:bookmarkEnd w:id="3"/>
      <w:r w:rsidRPr="00317FBF">
        <w:rPr>
          <w:rFonts w:ascii="Times New Roman" w:eastAsia="Times New Roman" w:hAnsi="Times New Roman" w:cs="Times New Roman"/>
          <w:sz w:val="24"/>
          <w:szCs w:val="24"/>
          <w:lang w:val="ru-RU"/>
        </w:rPr>
        <w:t>2. Дія цього Положення поширюється на професійних учасників, щодо яких нормативно-правовим актом Комісії встановлені обов’язкові для дотримання пруденційні нормативи.</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4" w:name="n19"/>
      <w:bookmarkEnd w:id="4"/>
      <w:r w:rsidRPr="00317FBF">
        <w:rPr>
          <w:rFonts w:ascii="Times New Roman" w:eastAsia="Times New Roman" w:hAnsi="Times New Roman" w:cs="Times New Roman"/>
          <w:sz w:val="24"/>
          <w:szCs w:val="24"/>
          <w:lang w:val="ru-RU"/>
        </w:rPr>
        <w:t>3. Поняття «пруденційний норматив» та інші терміни у цьому Положенні вживаються у значеннях, визначених Законами України</w:t>
      </w:r>
      <w:r w:rsidRPr="00317FBF">
        <w:rPr>
          <w:rFonts w:ascii="Times New Roman" w:eastAsia="Times New Roman" w:hAnsi="Times New Roman" w:cs="Times New Roman"/>
          <w:sz w:val="24"/>
          <w:szCs w:val="24"/>
        </w:rPr>
        <w:t> </w:t>
      </w:r>
      <w:hyperlink r:id="rId5" w:tgtFrame="_blank" w:history="1">
        <w:r w:rsidRPr="00317FBF">
          <w:rPr>
            <w:rFonts w:ascii="Times New Roman" w:eastAsia="Times New Roman" w:hAnsi="Times New Roman" w:cs="Times New Roman"/>
            <w:color w:val="0000FF"/>
            <w:sz w:val="24"/>
            <w:szCs w:val="24"/>
            <w:u w:val="single"/>
            <w:lang w:val="ru-RU"/>
          </w:rPr>
          <w:t>«Про цінні папери та фондовий ринок»</w:t>
        </w:r>
      </w:hyperlink>
      <w:r w:rsidRPr="00317FBF">
        <w:rPr>
          <w:rFonts w:ascii="Times New Roman" w:eastAsia="Times New Roman" w:hAnsi="Times New Roman" w:cs="Times New Roman"/>
          <w:sz w:val="24"/>
          <w:szCs w:val="24"/>
          <w:lang w:val="ru-RU"/>
        </w:rPr>
        <w:t>,</w:t>
      </w:r>
      <w:r w:rsidRPr="00317FBF">
        <w:rPr>
          <w:rFonts w:ascii="Times New Roman" w:eastAsia="Times New Roman" w:hAnsi="Times New Roman" w:cs="Times New Roman"/>
          <w:sz w:val="24"/>
          <w:szCs w:val="24"/>
        </w:rPr>
        <w:t> </w:t>
      </w:r>
      <w:hyperlink r:id="rId6" w:tgtFrame="_blank" w:history="1">
        <w:r w:rsidRPr="00317FBF">
          <w:rPr>
            <w:rFonts w:ascii="Times New Roman" w:eastAsia="Times New Roman" w:hAnsi="Times New Roman" w:cs="Times New Roman"/>
            <w:color w:val="0000FF"/>
            <w:sz w:val="24"/>
            <w:szCs w:val="24"/>
            <w:u w:val="single"/>
            <w:lang w:val="ru-RU"/>
          </w:rPr>
          <w:t>«Про державне регулювання ринку цінних паперів в Україні»</w:t>
        </w:r>
      </w:hyperlink>
      <w:r w:rsidRPr="00317FBF">
        <w:rPr>
          <w:rFonts w:ascii="Times New Roman" w:eastAsia="Times New Roman" w:hAnsi="Times New Roman" w:cs="Times New Roman"/>
          <w:sz w:val="24"/>
          <w:szCs w:val="24"/>
        </w:rPr>
        <w:t> </w:t>
      </w:r>
      <w:r w:rsidRPr="00317FBF">
        <w:rPr>
          <w:rFonts w:ascii="Times New Roman" w:eastAsia="Times New Roman" w:hAnsi="Times New Roman" w:cs="Times New Roman"/>
          <w:sz w:val="24"/>
          <w:szCs w:val="24"/>
          <w:lang w:val="ru-RU"/>
        </w:rPr>
        <w:t>та</w:t>
      </w:r>
      <w:r w:rsidRPr="00317FBF">
        <w:rPr>
          <w:rFonts w:ascii="Times New Roman" w:eastAsia="Times New Roman" w:hAnsi="Times New Roman" w:cs="Times New Roman"/>
          <w:sz w:val="24"/>
          <w:szCs w:val="24"/>
        </w:rPr>
        <w:t> </w:t>
      </w:r>
      <w:hyperlink r:id="rId7" w:tgtFrame="_blank" w:history="1">
        <w:r w:rsidRPr="00317FBF">
          <w:rPr>
            <w:rFonts w:ascii="Times New Roman" w:eastAsia="Times New Roman" w:hAnsi="Times New Roman" w:cs="Times New Roman"/>
            <w:color w:val="0000FF"/>
            <w:sz w:val="24"/>
            <w:szCs w:val="24"/>
            <w:u w:val="single"/>
            <w:lang w:val="ru-RU"/>
          </w:rPr>
          <w:t>«Про фінансові послуги та державне регулювання ринків фінансових послуг»</w:t>
        </w:r>
      </w:hyperlink>
      <w:r w:rsidRPr="00317FBF">
        <w:rPr>
          <w:rFonts w:ascii="Times New Roman" w:eastAsia="Times New Roman" w:hAnsi="Times New Roman" w:cs="Times New Roman"/>
          <w:sz w:val="24"/>
          <w:szCs w:val="24"/>
          <w:lang w:val="ru-RU"/>
        </w:rPr>
        <w:t>.</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5" w:name="n20"/>
      <w:bookmarkEnd w:id="5"/>
      <w:r w:rsidRPr="00317FBF">
        <w:rPr>
          <w:rFonts w:ascii="Times New Roman" w:eastAsia="Times New Roman" w:hAnsi="Times New Roman" w:cs="Times New Roman"/>
          <w:sz w:val="24"/>
          <w:szCs w:val="24"/>
          <w:lang w:val="ru-RU"/>
        </w:rPr>
        <w:t xml:space="preserve">4. Професійні учасники, що провадять окремі види професійної діяльності </w:t>
      </w:r>
      <w:proofErr w:type="gramStart"/>
      <w:r w:rsidRPr="00317FBF">
        <w:rPr>
          <w:rFonts w:ascii="Times New Roman" w:eastAsia="Times New Roman" w:hAnsi="Times New Roman" w:cs="Times New Roman"/>
          <w:sz w:val="24"/>
          <w:szCs w:val="24"/>
          <w:lang w:val="ru-RU"/>
        </w:rPr>
        <w:t>на фондовому ринку</w:t>
      </w:r>
      <w:proofErr w:type="gramEnd"/>
      <w:r w:rsidRPr="00317FBF">
        <w:rPr>
          <w:rFonts w:ascii="Times New Roman" w:eastAsia="Times New Roman" w:hAnsi="Times New Roman" w:cs="Times New Roman"/>
          <w:sz w:val="24"/>
          <w:szCs w:val="24"/>
          <w:lang w:val="ru-RU"/>
        </w:rPr>
        <w:t>, здійснюють розрахунок пруденційних нормативів відповідно до переліку та з періодичністю, що визначені нормативно-правовим актом Комісії, який встановлює перелік, порядок розрахунку та нормативні значення пруденційних показників, що застосовуються для вимірювання та оцінки ризиків професійної діяльності на фондовому ринку.</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6" w:name="n21"/>
      <w:bookmarkEnd w:id="6"/>
      <w:r w:rsidRPr="00317FBF">
        <w:rPr>
          <w:rFonts w:ascii="Times New Roman" w:eastAsia="Times New Roman" w:hAnsi="Times New Roman" w:cs="Times New Roman"/>
          <w:sz w:val="24"/>
          <w:szCs w:val="24"/>
          <w:lang w:val="ru-RU"/>
        </w:rPr>
        <w:t xml:space="preserve">5. Професійні учасники подають до Комісії інформацію про результати розрахунку пруденційних нормативів та дані, на основі яких здійснюється їх розрахунок, </w:t>
      </w:r>
      <w:proofErr w:type="gramStart"/>
      <w:r w:rsidRPr="00317FBF">
        <w:rPr>
          <w:rFonts w:ascii="Times New Roman" w:eastAsia="Times New Roman" w:hAnsi="Times New Roman" w:cs="Times New Roman"/>
          <w:sz w:val="24"/>
          <w:szCs w:val="24"/>
          <w:lang w:val="ru-RU"/>
        </w:rPr>
        <w:t>у порядку</w:t>
      </w:r>
      <w:proofErr w:type="gramEnd"/>
      <w:r w:rsidRPr="00317FBF">
        <w:rPr>
          <w:rFonts w:ascii="Times New Roman" w:eastAsia="Times New Roman" w:hAnsi="Times New Roman" w:cs="Times New Roman"/>
          <w:sz w:val="24"/>
          <w:szCs w:val="24"/>
          <w:lang w:val="ru-RU"/>
        </w:rPr>
        <w:t xml:space="preserve"> та у строки, визначені нормативно-правовими актами Комісії, що регламентують подання професійними учасниками адміністративних даних та інформації до Комісії.</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7" w:name="n22"/>
      <w:bookmarkEnd w:id="7"/>
      <w:r w:rsidRPr="00317FBF">
        <w:rPr>
          <w:rFonts w:ascii="Times New Roman" w:eastAsia="Times New Roman" w:hAnsi="Times New Roman" w:cs="Times New Roman"/>
          <w:sz w:val="24"/>
          <w:szCs w:val="24"/>
          <w:lang w:val="ru-RU"/>
        </w:rPr>
        <w:t>6. Інформація стосовно результатів розрахунку пруденційних нормативів та даних, на основі яких здійснюється такий розрахунок, надходить до структурного підрозділу Комісії, до повноважень якого належить здійснення пруденційного нагляду за діяльністю професійних учасників (далі – уповноважений структурний підрозділ).</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8" w:name="n23"/>
      <w:bookmarkEnd w:id="8"/>
      <w:r w:rsidRPr="00317FBF">
        <w:rPr>
          <w:rFonts w:ascii="Times New Roman" w:eastAsia="Times New Roman" w:hAnsi="Times New Roman" w:cs="Times New Roman"/>
          <w:sz w:val="24"/>
          <w:szCs w:val="24"/>
          <w:lang w:val="ru-RU"/>
        </w:rPr>
        <w:t xml:space="preserve">7. Комісія здійснює нагляд за дотриманням професійними учасниками вимог нормативно-правового акта, який встановлює перелік, порядок розрахунку та нормативні значення пруденційних показників, що застосовуються для вимірювання та оцінки ризиків професійної діяльності на фондовому ринку, щодо відповідності розрахованих значень пруденційних показників встановленим нормативним значенням, а також вимог нормативно-правових актів, що регламентують подання професійними учасниками адміністративних даних до Комісії, у частині подання у встановлені строки та у повному обсязі інформації про </w:t>
      </w:r>
      <w:r w:rsidRPr="00317FBF">
        <w:rPr>
          <w:rFonts w:ascii="Times New Roman" w:eastAsia="Times New Roman" w:hAnsi="Times New Roman" w:cs="Times New Roman"/>
          <w:sz w:val="24"/>
          <w:szCs w:val="24"/>
          <w:lang w:val="ru-RU"/>
        </w:rPr>
        <w:lastRenderedPageBreak/>
        <w:t>результати розрахунку пруденційних нормативів та даних, на основі яких здійснювався їх розрахунок.</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9" w:name="n24"/>
      <w:bookmarkEnd w:id="9"/>
      <w:r w:rsidRPr="00317FBF">
        <w:rPr>
          <w:rFonts w:ascii="Times New Roman" w:eastAsia="Times New Roman" w:hAnsi="Times New Roman" w:cs="Times New Roman"/>
          <w:sz w:val="24"/>
          <w:szCs w:val="24"/>
          <w:lang w:val="ru-RU"/>
        </w:rPr>
        <w:t>ІІ. Порядок нагляду Комісією за дотриманням пруденційних нормативів, розрахунок яких здійснюється професійним учасником станом на кінець кожного робочого дня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10" w:name="n25"/>
      <w:bookmarkEnd w:id="10"/>
      <w:r w:rsidRPr="00317FBF">
        <w:rPr>
          <w:rFonts w:ascii="Times New Roman" w:eastAsia="Times New Roman" w:hAnsi="Times New Roman" w:cs="Times New Roman"/>
          <w:sz w:val="24"/>
          <w:szCs w:val="24"/>
          <w:lang w:val="ru-RU"/>
        </w:rPr>
        <w:t>1. При розрахунку пруденційного нормативу станом на кінець кожного робочого дня у разі виникнення у професійного учасника суттєвого відхилення розрахункового значення пруденційного показника, яке становить 20 і більше відсотків від його нормативного значення (далі – суттєве відхилення), професійний учасник повинен протягом 5 робочих днів від дня виникнення такого відхилення надати в Комісію інформацію щодо такого відхилення із зазначенням розрахункового значення пруденційного показника та дати, на яку мало місце відхилення, а також підготувати та надати до Комісії план заходів щодо поліпшення свого фінансового стану, складений відповідно до вимог</w:t>
      </w:r>
      <w:r w:rsidRPr="00317FBF">
        <w:rPr>
          <w:rFonts w:ascii="Times New Roman" w:eastAsia="Times New Roman" w:hAnsi="Times New Roman" w:cs="Times New Roman"/>
          <w:sz w:val="24"/>
          <w:szCs w:val="24"/>
        </w:rPr>
        <w:t> </w:t>
      </w:r>
      <w:hyperlink r:id="rId8" w:anchor="n32" w:history="1">
        <w:r w:rsidRPr="00317FBF">
          <w:rPr>
            <w:rFonts w:ascii="Times New Roman" w:eastAsia="Times New Roman" w:hAnsi="Times New Roman" w:cs="Times New Roman"/>
            <w:color w:val="0000FF"/>
            <w:sz w:val="24"/>
            <w:szCs w:val="24"/>
            <w:u w:val="single"/>
            <w:lang w:val="ru-RU"/>
          </w:rPr>
          <w:t xml:space="preserve">розділу </w:t>
        </w:r>
        <w:r w:rsidRPr="00317FBF">
          <w:rPr>
            <w:rFonts w:ascii="Times New Roman" w:eastAsia="Times New Roman" w:hAnsi="Times New Roman" w:cs="Times New Roman"/>
            <w:color w:val="0000FF"/>
            <w:sz w:val="24"/>
            <w:szCs w:val="24"/>
            <w:u w:val="single"/>
          </w:rPr>
          <w:t>IV</w:t>
        </w:r>
      </w:hyperlink>
      <w:r w:rsidRPr="00317FBF">
        <w:rPr>
          <w:rFonts w:ascii="Times New Roman" w:eastAsia="Times New Roman" w:hAnsi="Times New Roman" w:cs="Times New Roman"/>
          <w:sz w:val="24"/>
          <w:szCs w:val="24"/>
        </w:rPr>
        <w:t> </w:t>
      </w:r>
      <w:r w:rsidRPr="00317FBF">
        <w:rPr>
          <w:rFonts w:ascii="Times New Roman" w:eastAsia="Times New Roman" w:hAnsi="Times New Roman" w:cs="Times New Roman"/>
          <w:sz w:val="24"/>
          <w:szCs w:val="24"/>
          <w:lang w:val="ru-RU"/>
        </w:rPr>
        <w:t>цього Положення. У такому випадку професійний учасник виокремлюється для здійснення Комісією індивідуального нагляду.</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11" w:name="n26"/>
      <w:bookmarkEnd w:id="11"/>
      <w:r w:rsidRPr="00317FBF">
        <w:rPr>
          <w:rFonts w:ascii="Times New Roman" w:eastAsia="Times New Roman" w:hAnsi="Times New Roman" w:cs="Times New Roman"/>
          <w:sz w:val="24"/>
          <w:szCs w:val="24"/>
          <w:lang w:val="ru-RU"/>
        </w:rPr>
        <w:t>2. У разі якщо значення пруденційного показника приведено у відповідність до встановленого нормативного значення до закінчення строку, передбаченого пунктом 1 цього розділу, професійний учасник подає до Комісії інформацію про факт суттєвого відхилення із зазначенням розрахункового значення пруденційного показника та дати, на яку мало місце відхилення, а також розрахункового значення пруденційного показника та дати, на яку показник було приведено у відповідність до нормативного значення, у строк, визначений пунктом 1 цього розділу.</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12" w:name="n27"/>
      <w:bookmarkEnd w:id="12"/>
      <w:r w:rsidRPr="00317FBF">
        <w:rPr>
          <w:rFonts w:ascii="Times New Roman" w:eastAsia="Times New Roman" w:hAnsi="Times New Roman" w:cs="Times New Roman"/>
          <w:sz w:val="24"/>
          <w:szCs w:val="24"/>
          <w:lang w:val="ru-RU"/>
        </w:rPr>
        <w:t>3. У разі недотримання професійним учасником нормативного значення пруденційного показника, крім випадків виникнення суттєвого відхилення, такий професійний учасник повинен протягом 30 календарних днів від дня виникнення відхилення розрахункового значення пруденційного показника від його нормативного значення здійснити заходи щодо приведення значення пруденційного показника у відповідність до нормативного значення.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13" w:name="n28"/>
      <w:bookmarkEnd w:id="13"/>
      <w:r w:rsidRPr="00317FBF">
        <w:rPr>
          <w:rFonts w:ascii="Times New Roman" w:eastAsia="Times New Roman" w:hAnsi="Times New Roman" w:cs="Times New Roman"/>
          <w:sz w:val="24"/>
          <w:szCs w:val="24"/>
          <w:lang w:val="ru-RU"/>
        </w:rPr>
        <w:t>4. У разі якщо після закінчення строку, передбаченого пунктом 3 цього розділу, розрахункове значення пруденційного показника не буде відповідати встановленому нормативному значенню, професійний учасник протягом 5 робочих днів після закінчення строку, передбаченого пунктом 3 цього розділу, повинен підготувати та надати до Комісії план заходів щодо поліпшення свого фінансового стану, складений відповідно до вимог</w:t>
      </w:r>
      <w:r w:rsidRPr="00317FBF">
        <w:rPr>
          <w:rFonts w:ascii="Times New Roman" w:eastAsia="Times New Roman" w:hAnsi="Times New Roman" w:cs="Times New Roman"/>
          <w:sz w:val="24"/>
          <w:szCs w:val="24"/>
        </w:rPr>
        <w:t> </w:t>
      </w:r>
      <w:hyperlink r:id="rId9" w:anchor="n32" w:history="1">
        <w:r w:rsidRPr="00317FBF">
          <w:rPr>
            <w:rFonts w:ascii="Times New Roman" w:eastAsia="Times New Roman" w:hAnsi="Times New Roman" w:cs="Times New Roman"/>
            <w:color w:val="0000FF"/>
            <w:sz w:val="24"/>
            <w:szCs w:val="24"/>
            <w:u w:val="single"/>
            <w:lang w:val="ru-RU"/>
          </w:rPr>
          <w:t xml:space="preserve">розділу </w:t>
        </w:r>
        <w:r w:rsidRPr="00317FBF">
          <w:rPr>
            <w:rFonts w:ascii="Times New Roman" w:eastAsia="Times New Roman" w:hAnsi="Times New Roman" w:cs="Times New Roman"/>
            <w:color w:val="0000FF"/>
            <w:sz w:val="24"/>
            <w:szCs w:val="24"/>
            <w:u w:val="single"/>
          </w:rPr>
          <w:t>IV</w:t>
        </w:r>
      </w:hyperlink>
      <w:r w:rsidRPr="00317FBF">
        <w:rPr>
          <w:rFonts w:ascii="Times New Roman" w:eastAsia="Times New Roman" w:hAnsi="Times New Roman" w:cs="Times New Roman"/>
          <w:sz w:val="24"/>
          <w:szCs w:val="24"/>
          <w:lang w:val="ru-RU"/>
        </w:rPr>
        <w:t>цього Положення, або повідомити Комісію про приведення показника у відповідність до нормативного значення (із зазначенням розрахункового значення пруденційного показника та дати, на яку показник було приведено у відповідність), якщо таке приведення відбулось після закінчення строку, передбаченого пунктом 3 цього розділу, але до закінчення строку, встановленого для подання до Комісії плану заходів.</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14" w:name="n29"/>
      <w:bookmarkEnd w:id="14"/>
      <w:r w:rsidRPr="00317FBF">
        <w:rPr>
          <w:rFonts w:ascii="Times New Roman" w:eastAsia="Times New Roman" w:hAnsi="Times New Roman" w:cs="Times New Roman"/>
          <w:sz w:val="24"/>
          <w:szCs w:val="24"/>
          <w:lang w:val="ru-RU"/>
        </w:rPr>
        <w:t>ІІІ. Порядок нагляду Комісією за дотриманням пруденційних нормативів, розрахунок яких здійснюється професійним учасником станом на кінець останнього дня кожного місяця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15" w:name="n30"/>
      <w:bookmarkEnd w:id="15"/>
      <w:r w:rsidRPr="00317FBF">
        <w:rPr>
          <w:rFonts w:ascii="Times New Roman" w:eastAsia="Times New Roman" w:hAnsi="Times New Roman" w:cs="Times New Roman"/>
          <w:sz w:val="24"/>
          <w:szCs w:val="24"/>
          <w:lang w:val="ru-RU"/>
        </w:rPr>
        <w:t xml:space="preserve">1. При розрахунку пруденційного нормативу станом на кінець останнього дня кожного місяця у разі недотримання професійним учасником нормативного значення пруденційного показника такий професійний учасник повинен протягом 30 календарних днів від дня виникнення відхилення розрахункового значення пруденційного показника від його </w:t>
      </w:r>
      <w:r w:rsidRPr="00317FBF">
        <w:rPr>
          <w:rFonts w:ascii="Times New Roman" w:eastAsia="Times New Roman" w:hAnsi="Times New Roman" w:cs="Times New Roman"/>
          <w:sz w:val="24"/>
          <w:szCs w:val="24"/>
          <w:lang w:val="ru-RU"/>
        </w:rPr>
        <w:lastRenderedPageBreak/>
        <w:t>нормативного значення здійснити заходи щодо приведення значення пруденційного показника у відповідність до нормативного значення.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16" w:name="n31"/>
      <w:bookmarkEnd w:id="16"/>
      <w:r w:rsidRPr="00317FBF">
        <w:rPr>
          <w:rFonts w:ascii="Times New Roman" w:eastAsia="Times New Roman" w:hAnsi="Times New Roman" w:cs="Times New Roman"/>
          <w:sz w:val="24"/>
          <w:szCs w:val="24"/>
          <w:lang w:val="ru-RU"/>
        </w:rPr>
        <w:t xml:space="preserve">2. У разі якщо після закінчення строку, передбаченого пунктом 1 цього розділу, розрахункове значення пруденційного показника не буде відповідати встановленому нормативному значенню, професійний учасник протягом 5 робочих днів після закінчення строку, передбаченого пунктом 1 цього розділу, повинен підготувати та надати до Комісії план заходів щодо поліпшення свого фінансового стану, складений відповідно до вимог розділу </w:t>
      </w:r>
      <w:r w:rsidRPr="00317FBF">
        <w:rPr>
          <w:rFonts w:ascii="Times New Roman" w:eastAsia="Times New Roman" w:hAnsi="Times New Roman" w:cs="Times New Roman"/>
          <w:sz w:val="24"/>
          <w:szCs w:val="24"/>
        </w:rPr>
        <w:t>IV</w:t>
      </w:r>
      <w:r w:rsidRPr="00317FBF">
        <w:rPr>
          <w:rFonts w:ascii="Times New Roman" w:eastAsia="Times New Roman" w:hAnsi="Times New Roman" w:cs="Times New Roman"/>
          <w:sz w:val="24"/>
          <w:szCs w:val="24"/>
          <w:lang w:val="ru-RU"/>
        </w:rPr>
        <w:t xml:space="preserve"> цього Положення, або повідомити Комісію про приведення показника у відповідність до нормативного значення (із зазначенням розрахункового значення пруденційного показника та дати, на яку показник було приведено у відповідність), якщо таке приведення відбулось після закінчення строку, передбаченого пунктом 1 цього розділу, але до закінчення строку, встановленого для подання до Комісії плану заходів.</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17" w:name="n32"/>
      <w:bookmarkEnd w:id="17"/>
      <w:r w:rsidRPr="00317FBF">
        <w:rPr>
          <w:rFonts w:ascii="Times New Roman" w:eastAsia="Times New Roman" w:hAnsi="Times New Roman" w:cs="Times New Roman"/>
          <w:sz w:val="24"/>
          <w:szCs w:val="24"/>
        </w:rPr>
        <w:t>IV</w:t>
      </w:r>
      <w:r w:rsidRPr="00317FBF">
        <w:rPr>
          <w:rFonts w:ascii="Times New Roman" w:eastAsia="Times New Roman" w:hAnsi="Times New Roman" w:cs="Times New Roman"/>
          <w:sz w:val="24"/>
          <w:szCs w:val="24"/>
          <w:lang w:val="ru-RU"/>
        </w:rPr>
        <w:t>. План заходів щодо поліпшення фінансового стану професійного учасника</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18" w:name="n33"/>
      <w:bookmarkEnd w:id="18"/>
      <w:r w:rsidRPr="00317FBF">
        <w:rPr>
          <w:rFonts w:ascii="Times New Roman" w:eastAsia="Times New Roman" w:hAnsi="Times New Roman" w:cs="Times New Roman"/>
          <w:sz w:val="24"/>
          <w:szCs w:val="24"/>
          <w:lang w:val="ru-RU"/>
        </w:rPr>
        <w:t>1. План заходів щодо поліпшення фінансового стану професійного учасника (далі – план заходів) обов’язково повинен містити:</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19" w:name="n34"/>
      <w:bookmarkEnd w:id="19"/>
      <w:r w:rsidRPr="00317FBF">
        <w:rPr>
          <w:rFonts w:ascii="Times New Roman" w:eastAsia="Times New Roman" w:hAnsi="Times New Roman" w:cs="Times New Roman"/>
          <w:sz w:val="24"/>
          <w:szCs w:val="24"/>
          <w:lang w:val="ru-RU"/>
        </w:rPr>
        <w:t xml:space="preserve">дату, </w:t>
      </w:r>
      <w:proofErr w:type="gramStart"/>
      <w:r w:rsidRPr="00317FBF">
        <w:rPr>
          <w:rFonts w:ascii="Times New Roman" w:eastAsia="Times New Roman" w:hAnsi="Times New Roman" w:cs="Times New Roman"/>
          <w:sz w:val="24"/>
          <w:szCs w:val="24"/>
          <w:lang w:val="ru-RU"/>
        </w:rPr>
        <w:t>на яку</w:t>
      </w:r>
      <w:proofErr w:type="gramEnd"/>
      <w:r w:rsidRPr="00317FBF">
        <w:rPr>
          <w:rFonts w:ascii="Times New Roman" w:eastAsia="Times New Roman" w:hAnsi="Times New Roman" w:cs="Times New Roman"/>
          <w:sz w:val="24"/>
          <w:szCs w:val="24"/>
          <w:lang w:val="ru-RU"/>
        </w:rPr>
        <w:t xml:space="preserve"> мало місце відхилення;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20" w:name="n35"/>
      <w:bookmarkEnd w:id="20"/>
      <w:r w:rsidRPr="00317FBF">
        <w:rPr>
          <w:rFonts w:ascii="Times New Roman" w:eastAsia="Times New Roman" w:hAnsi="Times New Roman" w:cs="Times New Roman"/>
          <w:sz w:val="24"/>
          <w:szCs w:val="24"/>
          <w:lang w:val="ru-RU"/>
        </w:rPr>
        <w:t>розрахунок показника із зазначенням вихідних даних, на основі яких здійснювався розрахунок;</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21" w:name="n36"/>
      <w:bookmarkEnd w:id="21"/>
      <w:r w:rsidRPr="00317FBF">
        <w:rPr>
          <w:rFonts w:ascii="Times New Roman" w:eastAsia="Times New Roman" w:hAnsi="Times New Roman" w:cs="Times New Roman"/>
          <w:sz w:val="24"/>
          <w:szCs w:val="24"/>
          <w:lang w:val="ru-RU"/>
        </w:rPr>
        <w:t>опис причин, перелік факторів, що призвели до відхилення розрахованого значення пруденційного показника від його нормативного значення;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22" w:name="n37"/>
      <w:bookmarkEnd w:id="22"/>
      <w:r w:rsidRPr="00317FBF">
        <w:rPr>
          <w:rFonts w:ascii="Times New Roman" w:eastAsia="Times New Roman" w:hAnsi="Times New Roman" w:cs="Times New Roman"/>
          <w:sz w:val="24"/>
          <w:szCs w:val="24"/>
          <w:lang w:val="ru-RU"/>
        </w:rPr>
        <w:t>перелік заходів із зазначенням строків їх реалізації, які професійний учасник має здійснити для приведення значення пруденційного показника у відповідність до встановленого нормативного значення;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23" w:name="n38"/>
      <w:bookmarkEnd w:id="23"/>
      <w:r w:rsidRPr="00317FBF">
        <w:rPr>
          <w:rFonts w:ascii="Times New Roman" w:eastAsia="Times New Roman" w:hAnsi="Times New Roman" w:cs="Times New Roman"/>
          <w:sz w:val="24"/>
          <w:szCs w:val="24"/>
          <w:lang w:val="ru-RU"/>
        </w:rPr>
        <w:t>прізвище, ім’я, по батькові, посаду та контактну інформацію особи, відповідальної за розробку та реалізацію плану.</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24" w:name="n39"/>
      <w:bookmarkEnd w:id="24"/>
      <w:r w:rsidRPr="00317FBF">
        <w:rPr>
          <w:rFonts w:ascii="Times New Roman" w:eastAsia="Times New Roman" w:hAnsi="Times New Roman" w:cs="Times New Roman"/>
          <w:sz w:val="24"/>
          <w:szCs w:val="24"/>
          <w:lang w:val="ru-RU"/>
        </w:rPr>
        <w:t>План заходів складається у паперовій формі та засвідчується підписом керівника професійного учасника.</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25" w:name="n57"/>
      <w:bookmarkEnd w:id="25"/>
      <w:r w:rsidRPr="00317FBF">
        <w:rPr>
          <w:rFonts w:ascii="Times New Roman" w:eastAsia="Times New Roman" w:hAnsi="Times New Roman" w:cs="Times New Roman"/>
          <w:sz w:val="24"/>
          <w:szCs w:val="24"/>
          <w:lang w:val="ru-RU"/>
        </w:rPr>
        <w:t xml:space="preserve">{Абзац пункту 1 розділу </w:t>
      </w:r>
      <w:r w:rsidRPr="00317FBF">
        <w:rPr>
          <w:rFonts w:ascii="Times New Roman" w:eastAsia="Times New Roman" w:hAnsi="Times New Roman" w:cs="Times New Roman"/>
          <w:sz w:val="24"/>
          <w:szCs w:val="24"/>
        </w:rPr>
        <w:t>IV</w:t>
      </w:r>
      <w:r w:rsidRPr="00317FBF">
        <w:rPr>
          <w:rFonts w:ascii="Times New Roman" w:eastAsia="Times New Roman" w:hAnsi="Times New Roman" w:cs="Times New Roman"/>
          <w:sz w:val="24"/>
          <w:szCs w:val="24"/>
          <w:lang w:val="ru-RU"/>
        </w:rPr>
        <w:t xml:space="preserve"> із змінами, внесеними згідно з</w:t>
      </w:r>
      <w:r w:rsidRPr="00317FBF">
        <w:rPr>
          <w:rFonts w:ascii="Times New Roman" w:eastAsia="Times New Roman" w:hAnsi="Times New Roman" w:cs="Times New Roman"/>
          <w:sz w:val="24"/>
          <w:szCs w:val="24"/>
        </w:rPr>
        <w:t> </w:t>
      </w:r>
      <w:r w:rsidRPr="00317FBF">
        <w:rPr>
          <w:rFonts w:ascii="Times New Roman" w:eastAsia="Times New Roman" w:hAnsi="Times New Roman" w:cs="Times New Roman"/>
          <w:sz w:val="24"/>
          <w:szCs w:val="24"/>
          <w:lang w:val="ru-RU"/>
        </w:rPr>
        <w:t>Рішенням Національної комісії з цінних паперів та фондового ринку</w:t>
      </w:r>
      <w:r w:rsidRPr="00317FBF">
        <w:rPr>
          <w:rFonts w:ascii="Times New Roman" w:eastAsia="Times New Roman" w:hAnsi="Times New Roman" w:cs="Times New Roman"/>
          <w:sz w:val="24"/>
          <w:szCs w:val="24"/>
        </w:rPr>
        <w:t> </w:t>
      </w:r>
      <w:hyperlink r:id="rId10" w:anchor="n22" w:tgtFrame="_blank" w:history="1">
        <w:r w:rsidRPr="00317FBF">
          <w:rPr>
            <w:rFonts w:ascii="Times New Roman" w:eastAsia="Times New Roman" w:hAnsi="Times New Roman" w:cs="Times New Roman"/>
            <w:color w:val="0000FF"/>
            <w:sz w:val="24"/>
            <w:szCs w:val="24"/>
            <w:u w:val="single"/>
            <w:lang w:val="ru-RU"/>
          </w:rPr>
          <w:t>№ 596 від 10.08.2017</w:t>
        </w:r>
      </w:hyperlink>
      <w:r w:rsidRPr="00317FBF">
        <w:rPr>
          <w:rFonts w:ascii="Times New Roman" w:eastAsia="Times New Roman" w:hAnsi="Times New Roman" w:cs="Times New Roman"/>
          <w:sz w:val="24"/>
          <w:szCs w:val="24"/>
          <w:lang w:val="ru-RU"/>
        </w:rPr>
        <w:t>}</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26" w:name="n40"/>
      <w:bookmarkEnd w:id="26"/>
      <w:r w:rsidRPr="00317FBF">
        <w:rPr>
          <w:rFonts w:ascii="Times New Roman" w:eastAsia="Times New Roman" w:hAnsi="Times New Roman" w:cs="Times New Roman"/>
          <w:sz w:val="24"/>
          <w:szCs w:val="24"/>
          <w:lang w:val="ru-RU"/>
        </w:rPr>
        <w:t>2. Загальний строк реалізації плану заходів не повинен перевищувати 3 місяців (для компаній з управління активами та осіб, які провадять діяльність з управління пенсійними активами, – 6 місяців) після закінчення строку, передбаченого</w:t>
      </w:r>
      <w:r w:rsidRPr="00317FBF">
        <w:rPr>
          <w:rFonts w:ascii="Times New Roman" w:eastAsia="Times New Roman" w:hAnsi="Times New Roman" w:cs="Times New Roman"/>
          <w:sz w:val="24"/>
          <w:szCs w:val="24"/>
        </w:rPr>
        <w:t> </w:t>
      </w:r>
      <w:hyperlink r:id="rId11" w:anchor="n27" w:history="1">
        <w:r w:rsidRPr="00317FBF">
          <w:rPr>
            <w:rFonts w:ascii="Times New Roman" w:eastAsia="Times New Roman" w:hAnsi="Times New Roman" w:cs="Times New Roman"/>
            <w:color w:val="0000FF"/>
            <w:sz w:val="24"/>
            <w:szCs w:val="24"/>
            <w:u w:val="single"/>
            <w:lang w:val="ru-RU"/>
          </w:rPr>
          <w:t>пунктом 3</w:t>
        </w:r>
      </w:hyperlink>
      <w:r w:rsidRPr="00317FBF">
        <w:rPr>
          <w:rFonts w:ascii="Times New Roman" w:eastAsia="Times New Roman" w:hAnsi="Times New Roman" w:cs="Times New Roman"/>
          <w:sz w:val="24"/>
          <w:szCs w:val="24"/>
        </w:rPr>
        <w:t> </w:t>
      </w:r>
      <w:r w:rsidRPr="00317FBF">
        <w:rPr>
          <w:rFonts w:ascii="Times New Roman" w:eastAsia="Times New Roman" w:hAnsi="Times New Roman" w:cs="Times New Roman"/>
          <w:sz w:val="24"/>
          <w:szCs w:val="24"/>
          <w:lang w:val="ru-RU"/>
        </w:rPr>
        <w:t>розділу ІІ або</w:t>
      </w:r>
      <w:r w:rsidRPr="00317FBF">
        <w:rPr>
          <w:rFonts w:ascii="Times New Roman" w:eastAsia="Times New Roman" w:hAnsi="Times New Roman" w:cs="Times New Roman"/>
          <w:sz w:val="24"/>
          <w:szCs w:val="24"/>
        </w:rPr>
        <w:t> </w:t>
      </w:r>
      <w:hyperlink r:id="rId12" w:anchor="n30" w:history="1">
        <w:r w:rsidRPr="00317FBF">
          <w:rPr>
            <w:rFonts w:ascii="Times New Roman" w:eastAsia="Times New Roman" w:hAnsi="Times New Roman" w:cs="Times New Roman"/>
            <w:color w:val="0000FF"/>
            <w:sz w:val="24"/>
            <w:szCs w:val="24"/>
            <w:u w:val="single"/>
            <w:lang w:val="ru-RU"/>
          </w:rPr>
          <w:t>пунктом 1</w:t>
        </w:r>
      </w:hyperlink>
      <w:r w:rsidRPr="00317FBF">
        <w:rPr>
          <w:rFonts w:ascii="Times New Roman" w:eastAsia="Times New Roman" w:hAnsi="Times New Roman" w:cs="Times New Roman"/>
          <w:sz w:val="24"/>
          <w:szCs w:val="24"/>
        </w:rPr>
        <w:t> </w:t>
      </w:r>
      <w:r w:rsidRPr="00317FBF">
        <w:rPr>
          <w:rFonts w:ascii="Times New Roman" w:eastAsia="Times New Roman" w:hAnsi="Times New Roman" w:cs="Times New Roman"/>
          <w:sz w:val="24"/>
          <w:szCs w:val="24"/>
          <w:lang w:val="ru-RU"/>
        </w:rPr>
        <w:t>розділу ІІІ цього Положення, а у випадку виникнення суттєвого відхилення – з дати виникнення такого відхилення.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27" w:name="n41"/>
      <w:bookmarkEnd w:id="27"/>
      <w:r w:rsidRPr="00317FBF">
        <w:rPr>
          <w:rFonts w:ascii="Times New Roman" w:eastAsia="Times New Roman" w:hAnsi="Times New Roman" w:cs="Times New Roman"/>
          <w:sz w:val="24"/>
          <w:szCs w:val="24"/>
          <w:lang w:val="ru-RU"/>
        </w:rPr>
        <w:t xml:space="preserve">3. Професійний учасник надає до Комісії інформацію щодо реалізації окремих заходів плану в письмовій формі з описом заходів, які були реалізовані, протягом 3 робочих днів з визначеної планом заходів дати їх виконання. У разі якщо окремі заходи, передбачені </w:t>
      </w:r>
      <w:r w:rsidRPr="00317FBF">
        <w:rPr>
          <w:rFonts w:ascii="Times New Roman" w:eastAsia="Times New Roman" w:hAnsi="Times New Roman" w:cs="Times New Roman"/>
          <w:sz w:val="24"/>
          <w:szCs w:val="24"/>
          <w:lang w:val="ru-RU"/>
        </w:rPr>
        <w:lastRenderedPageBreak/>
        <w:t>планом, своєчасно не виконані професійним учасником, він письмово повідомляє про це Комісію з описом причин такого невиконання протягом 3 робочих днів з визначеної планом заходів дати закінчення строку їх реалізації.</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28" w:name="n42"/>
      <w:bookmarkEnd w:id="28"/>
      <w:r w:rsidRPr="00317FBF">
        <w:rPr>
          <w:rFonts w:ascii="Times New Roman" w:eastAsia="Times New Roman" w:hAnsi="Times New Roman" w:cs="Times New Roman"/>
          <w:sz w:val="24"/>
          <w:szCs w:val="24"/>
          <w:lang w:val="ru-RU"/>
        </w:rPr>
        <w:t>У разі приведення значення пруденційного показника у відповідність до нормативного значення до закінчення строку реалізації плану заходів професійний учасник протягом 3 робочих днів з дати такого приведення письмово повідомляє про це Комісію із наданням розрахунку такого показника та вихідних даних, на основі яких він здійснювався.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29" w:name="n43"/>
      <w:bookmarkEnd w:id="29"/>
      <w:r w:rsidRPr="00317FBF">
        <w:rPr>
          <w:rFonts w:ascii="Times New Roman" w:eastAsia="Times New Roman" w:hAnsi="Times New Roman" w:cs="Times New Roman"/>
          <w:sz w:val="24"/>
          <w:szCs w:val="24"/>
          <w:lang w:val="ru-RU"/>
        </w:rPr>
        <w:t>4. Після закінчення строку реалізації плану заходів професійний учасник протягом 3 робочих днів надає до Комісії звіт про результати його реалізації у паперовій формі із наданням розрахунку пруденційного показника на дату закінчення строку реалізації плану заходів та вихідних даних, на основі яких здійснювався розрахунок. У разі неприведення значення пруденційного показника у відповідність до нормативного значення у звіті зазначається також причина цього.</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30" w:name="n44"/>
      <w:bookmarkEnd w:id="30"/>
      <w:r w:rsidRPr="00317FBF">
        <w:rPr>
          <w:rFonts w:ascii="Times New Roman" w:eastAsia="Times New Roman" w:hAnsi="Times New Roman" w:cs="Times New Roman"/>
          <w:sz w:val="24"/>
          <w:szCs w:val="24"/>
        </w:rPr>
        <w:t>V</w:t>
      </w:r>
      <w:r w:rsidRPr="00317FBF">
        <w:rPr>
          <w:rFonts w:ascii="Times New Roman" w:eastAsia="Times New Roman" w:hAnsi="Times New Roman" w:cs="Times New Roman"/>
          <w:sz w:val="24"/>
          <w:szCs w:val="24"/>
          <w:lang w:val="ru-RU"/>
        </w:rPr>
        <w:t>. Індивідуальний нагляд за професійним учасником, що здійснюється Комісією</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31" w:name="n45"/>
      <w:bookmarkEnd w:id="31"/>
      <w:r w:rsidRPr="00317FBF">
        <w:rPr>
          <w:rFonts w:ascii="Times New Roman" w:eastAsia="Times New Roman" w:hAnsi="Times New Roman" w:cs="Times New Roman"/>
          <w:sz w:val="24"/>
          <w:szCs w:val="24"/>
          <w:lang w:val="ru-RU"/>
        </w:rPr>
        <w:t>1. Виокремлення професійного учасника для індивідуального нагляду здійснюється Комісією з дати подання ним плану заходів до Комісії.</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32" w:name="n46"/>
      <w:bookmarkEnd w:id="32"/>
      <w:r w:rsidRPr="00317FBF">
        <w:rPr>
          <w:rFonts w:ascii="Times New Roman" w:eastAsia="Times New Roman" w:hAnsi="Times New Roman" w:cs="Times New Roman"/>
          <w:sz w:val="24"/>
          <w:szCs w:val="24"/>
          <w:lang w:val="ru-RU"/>
        </w:rPr>
        <w:t>2. Індивідуальний нагляд за професійним учасником передбачає здійснення спеціалістами уповноваженого структурного підрозділу таких заходів:</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33" w:name="n47"/>
      <w:bookmarkEnd w:id="33"/>
      <w:r w:rsidRPr="00317FBF">
        <w:rPr>
          <w:rFonts w:ascii="Times New Roman" w:eastAsia="Times New Roman" w:hAnsi="Times New Roman" w:cs="Times New Roman"/>
          <w:sz w:val="24"/>
          <w:szCs w:val="24"/>
          <w:lang w:val="ru-RU"/>
        </w:rPr>
        <w:t>перевірка правильності здійснення розрахунку значення відповідного показника на підставі поданих професійним учасником до Комісії адміністративних даних;</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34" w:name="n48"/>
      <w:bookmarkEnd w:id="34"/>
      <w:r w:rsidRPr="00317FBF">
        <w:rPr>
          <w:rFonts w:ascii="Times New Roman" w:eastAsia="Times New Roman" w:hAnsi="Times New Roman" w:cs="Times New Roman"/>
          <w:sz w:val="24"/>
          <w:szCs w:val="24"/>
          <w:lang w:val="ru-RU"/>
        </w:rPr>
        <w:t>визначення динаміки у зміні значень пруденційних показників;</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35" w:name="n49"/>
      <w:bookmarkEnd w:id="35"/>
      <w:r w:rsidRPr="00317FBF">
        <w:rPr>
          <w:rFonts w:ascii="Times New Roman" w:eastAsia="Times New Roman" w:hAnsi="Times New Roman" w:cs="Times New Roman"/>
          <w:sz w:val="24"/>
          <w:szCs w:val="24"/>
          <w:lang w:val="ru-RU"/>
        </w:rPr>
        <w:t>аналіз факторів, що спричинили відхилення значення пруденційного показника від нормативного значення, шляхом вивчення впливу на його значення складових розрахунку.</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36" w:name="n50"/>
      <w:bookmarkEnd w:id="36"/>
      <w:r w:rsidRPr="00317FBF">
        <w:rPr>
          <w:rFonts w:ascii="Times New Roman" w:eastAsia="Times New Roman" w:hAnsi="Times New Roman" w:cs="Times New Roman"/>
          <w:sz w:val="24"/>
          <w:szCs w:val="24"/>
          <w:lang w:val="ru-RU"/>
        </w:rPr>
        <w:t>3. Уповноважений структурний підрозділ здійснює моніторинг виконання професійним учасником плану заходів на підставі інформації щодо реалізації його окремих заходів, яка надається професійним учасником до Комісії в порядку, передбаченому</w:t>
      </w:r>
      <w:r w:rsidRPr="00317FBF">
        <w:rPr>
          <w:rFonts w:ascii="Times New Roman" w:eastAsia="Times New Roman" w:hAnsi="Times New Roman" w:cs="Times New Roman"/>
          <w:sz w:val="24"/>
          <w:szCs w:val="24"/>
        </w:rPr>
        <w:t> </w:t>
      </w:r>
      <w:hyperlink r:id="rId13" w:anchor="n41" w:history="1">
        <w:r w:rsidRPr="00317FBF">
          <w:rPr>
            <w:rFonts w:ascii="Times New Roman" w:eastAsia="Times New Roman" w:hAnsi="Times New Roman" w:cs="Times New Roman"/>
            <w:color w:val="0000FF"/>
            <w:sz w:val="24"/>
            <w:szCs w:val="24"/>
            <w:u w:val="single"/>
            <w:lang w:val="ru-RU"/>
          </w:rPr>
          <w:t>пунктом 3</w:t>
        </w:r>
      </w:hyperlink>
      <w:r w:rsidRPr="00317FBF">
        <w:rPr>
          <w:rFonts w:ascii="Times New Roman" w:eastAsia="Times New Roman" w:hAnsi="Times New Roman" w:cs="Times New Roman"/>
          <w:sz w:val="24"/>
          <w:szCs w:val="24"/>
        </w:rPr>
        <w:t> </w:t>
      </w:r>
      <w:r w:rsidRPr="00317FBF">
        <w:rPr>
          <w:rFonts w:ascii="Times New Roman" w:eastAsia="Times New Roman" w:hAnsi="Times New Roman" w:cs="Times New Roman"/>
          <w:sz w:val="24"/>
          <w:szCs w:val="24"/>
          <w:lang w:val="ru-RU"/>
        </w:rPr>
        <w:t xml:space="preserve">розділу </w:t>
      </w:r>
      <w:r w:rsidRPr="00317FBF">
        <w:rPr>
          <w:rFonts w:ascii="Times New Roman" w:eastAsia="Times New Roman" w:hAnsi="Times New Roman" w:cs="Times New Roman"/>
          <w:sz w:val="24"/>
          <w:szCs w:val="24"/>
        </w:rPr>
        <w:t>IV</w:t>
      </w:r>
      <w:r w:rsidRPr="00317FBF">
        <w:rPr>
          <w:rFonts w:ascii="Times New Roman" w:eastAsia="Times New Roman" w:hAnsi="Times New Roman" w:cs="Times New Roman"/>
          <w:sz w:val="24"/>
          <w:szCs w:val="24"/>
          <w:lang w:val="ru-RU"/>
        </w:rPr>
        <w:t xml:space="preserve"> цього Положення.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37" w:name="n51"/>
      <w:bookmarkEnd w:id="37"/>
      <w:r w:rsidRPr="00317FBF">
        <w:rPr>
          <w:rFonts w:ascii="Times New Roman" w:eastAsia="Times New Roman" w:hAnsi="Times New Roman" w:cs="Times New Roman"/>
          <w:sz w:val="24"/>
          <w:szCs w:val="24"/>
          <w:lang w:val="ru-RU"/>
        </w:rPr>
        <w:t>4. У разі недостатності наявної в Комісії інформації для здійснення заходів індивідуального нагляду та поглибленого аналізу ситуації у професійного учасника можуть бути витребувані пояснення та інша додаткова інформація щодо відхилення значення пруденційного показника від його нормативного значення.</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38" w:name="n52"/>
      <w:bookmarkEnd w:id="38"/>
      <w:r w:rsidRPr="00317FBF">
        <w:rPr>
          <w:rFonts w:ascii="Times New Roman" w:eastAsia="Times New Roman" w:hAnsi="Times New Roman" w:cs="Times New Roman"/>
          <w:sz w:val="24"/>
          <w:szCs w:val="24"/>
          <w:lang w:val="ru-RU"/>
        </w:rPr>
        <w:t>Для з’ясування причин недотримання професійним учасником пруденційних нормативів Комісія також може витребувати у професійного учасника інформацію щодо організації та функціонування його внутрішньої системи управління ризиками, служби внутрішнього аудиту (контролю), а також корпоративного управління. Така інформація має бути надана професійним учасником до Комісії у паперовій формі із супровідним листом протягом 10 робочих днів з дати отримання письмового запиту на інформацію.</w:t>
      </w:r>
    </w:p>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39" w:name="n53"/>
      <w:bookmarkEnd w:id="39"/>
      <w:r w:rsidRPr="00317FBF">
        <w:rPr>
          <w:rFonts w:ascii="Times New Roman" w:eastAsia="Times New Roman" w:hAnsi="Times New Roman" w:cs="Times New Roman"/>
          <w:sz w:val="24"/>
          <w:szCs w:val="24"/>
          <w:lang w:val="ru-RU"/>
        </w:rPr>
        <w:lastRenderedPageBreak/>
        <w:t>5. Інформація про професійного учасника, щодо якого здійснюється індивідуальний нагляд, повідомляється Комісією саморегулівній організації професійних учасників фондового ринку за відповідним видом професійної діяльності, членом якої він є.</w:t>
      </w:r>
    </w:p>
    <w:tbl>
      <w:tblPr>
        <w:tblW w:w="5000" w:type="pct"/>
        <w:tblCellSpacing w:w="0" w:type="dxa"/>
        <w:tblCellMar>
          <w:left w:w="0" w:type="dxa"/>
          <w:right w:w="0" w:type="dxa"/>
        </w:tblCellMar>
        <w:tblLook w:val="04A0" w:firstRow="1" w:lastRow="0" w:firstColumn="1" w:lastColumn="0" w:noHBand="0" w:noVBand="1"/>
      </w:tblPr>
      <w:tblGrid>
        <w:gridCol w:w="4069"/>
        <w:gridCol w:w="5620"/>
      </w:tblGrid>
      <w:tr w:rsidR="00317FBF" w:rsidRPr="00317FBF" w:rsidTr="00317FBF">
        <w:trPr>
          <w:tblCellSpacing w:w="0" w:type="dxa"/>
        </w:trPr>
        <w:tc>
          <w:tcPr>
            <w:tcW w:w="2100" w:type="pct"/>
            <w:hideMark/>
          </w:tcPr>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lang w:val="ru-RU"/>
              </w:rPr>
            </w:pPr>
            <w:bookmarkStart w:id="40" w:name="n54"/>
            <w:bookmarkEnd w:id="40"/>
            <w:r w:rsidRPr="00317FBF">
              <w:rPr>
                <w:rFonts w:ascii="Times New Roman" w:eastAsia="Times New Roman" w:hAnsi="Times New Roman" w:cs="Times New Roman"/>
                <w:b/>
                <w:bCs/>
                <w:sz w:val="24"/>
                <w:szCs w:val="24"/>
                <w:lang w:val="ru-RU"/>
              </w:rPr>
              <w:t>Директор</w:t>
            </w:r>
            <w:r w:rsidRPr="00317FBF">
              <w:rPr>
                <w:rFonts w:ascii="Times New Roman" w:eastAsia="Times New Roman" w:hAnsi="Times New Roman" w:cs="Times New Roman"/>
                <w:b/>
                <w:bCs/>
                <w:sz w:val="24"/>
                <w:szCs w:val="24"/>
              </w:rPr>
              <w:t> </w:t>
            </w:r>
            <w:r w:rsidRPr="00317FBF">
              <w:rPr>
                <w:rFonts w:ascii="Times New Roman" w:eastAsia="Times New Roman" w:hAnsi="Times New Roman" w:cs="Times New Roman"/>
                <w:sz w:val="24"/>
                <w:szCs w:val="24"/>
                <w:lang w:val="ru-RU"/>
              </w:rPr>
              <w:br/>
            </w:r>
            <w:r w:rsidRPr="00317FBF">
              <w:rPr>
                <w:rFonts w:ascii="Times New Roman" w:eastAsia="Times New Roman" w:hAnsi="Times New Roman" w:cs="Times New Roman"/>
                <w:b/>
                <w:bCs/>
                <w:sz w:val="24"/>
                <w:szCs w:val="24"/>
                <w:lang w:val="ru-RU"/>
              </w:rPr>
              <w:t>департаменту систематизації</w:t>
            </w:r>
            <w:r w:rsidRPr="00317FBF">
              <w:rPr>
                <w:rFonts w:ascii="Times New Roman" w:eastAsia="Times New Roman" w:hAnsi="Times New Roman" w:cs="Times New Roman"/>
                <w:b/>
                <w:bCs/>
                <w:sz w:val="24"/>
                <w:szCs w:val="24"/>
              </w:rPr>
              <w:t> </w:t>
            </w:r>
            <w:r w:rsidRPr="00317FBF">
              <w:rPr>
                <w:rFonts w:ascii="Times New Roman" w:eastAsia="Times New Roman" w:hAnsi="Times New Roman" w:cs="Times New Roman"/>
                <w:sz w:val="24"/>
                <w:szCs w:val="24"/>
                <w:lang w:val="ru-RU"/>
              </w:rPr>
              <w:br/>
            </w:r>
            <w:r w:rsidRPr="00317FBF">
              <w:rPr>
                <w:rFonts w:ascii="Times New Roman" w:eastAsia="Times New Roman" w:hAnsi="Times New Roman" w:cs="Times New Roman"/>
                <w:b/>
                <w:bCs/>
                <w:sz w:val="24"/>
                <w:szCs w:val="24"/>
                <w:lang w:val="ru-RU"/>
              </w:rPr>
              <w:t>та аналізу фінансової звітності</w:t>
            </w:r>
            <w:r w:rsidRPr="00317FBF">
              <w:rPr>
                <w:rFonts w:ascii="Times New Roman" w:eastAsia="Times New Roman" w:hAnsi="Times New Roman" w:cs="Times New Roman"/>
                <w:b/>
                <w:bCs/>
                <w:sz w:val="24"/>
                <w:szCs w:val="24"/>
              </w:rPr>
              <w:t> </w:t>
            </w:r>
            <w:r w:rsidRPr="00317FBF">
              <w:rPr>
                <w:rFonts w:ascii="Times New Roman" w:eastAsia="Times New Roman" w:hAnsi="Times New Roman" w:cs="Times New Roman"/>
                <w:sz w:val="24"/>
                <w:szCs w:val="24"/>
                <w:lang w:val="ru-RU"/>
              </w:rPr>
              <w:br/>
            </w:r>
            <w:r w:rsidRPr="00317FBF">
              <w:rPr>
                <w:rFonts w:ascii="Times New Roman" w:eastAsia="Times New Roman" w:hAnsi="Times New Roman" w:cs="Times New Roman"/>
                <w:b/>
                <w:bCs/>
                <w:sz w:val="24"/>
                <w:szCs w:val="24"/>
                <w:lang w:val="ru-RU"/>
              </w:rPr>
              <w:t>учасників ринку цінних паперів</w:t>
            </w:r>
            <w:r w:rsidRPr="00317FBF">
              <w:rPr>
                <w:rFonts w:ascii="Times New Roman" w:eastAsia="Times New Roman" w:hAnsi="Times New Roman" w:cs="Times New Roman"/>
                <w:b/>
                <w:bCs/>
                <w:sz w:val="24"/>
                <w:szCs w:val="24"/>
              </w:rPr>
              <w:t> </w:t>
            </w:r>
            <w:r w:rsidRPr="00317FBF">
              <w:rPr>
                <w:rFonts w:ascii="Times New Roman" w:eastAsia="Times New Roman" w:hAnsi="Times New Roman" w:cs="Times New Roman"/>
                <w:sz w:val="24"/>
                <w:szCs w:val="24"/>
                <w:lang w:val="ru-RU"/>
              </w:rPr>
              <w:br/>
            </w:r>
            <w:r w:rsidRPr="00317FBF">
              <w:rPr>
                <w:rFonts w:ascii="Times New Roman" w:eastAsia="Times New Roman" w:hAnsi="Times New Roman" w:cs="Times New Roman"/>
                <w:b/>
                <w:bCs/>
                <w:sz w:val="24"/>
                <w:szCs w:val="24"/>
                <w:lang w:val="ru-RU"/>
              </w:rPr>
              <w:t>та емітентів,</w:t>
            </w:r>
            <w:r w:rsidRPr="00317FBF">
              <w:rPr>
                <w:rFonts w:ascii="Times New Roman" w:eastAsia="Times New Roman" w:hAnsi="Times New Roman" w:cs="Times New Roman"/>
                <w:b/>
                <w:bCs/>
                <w:sz w:val="24"/>
                <w:szCs w:val="24"/>
              </w:rPr>
              <w:t> </w:t>
            </w:r>
            <w:r w:rsidRPr="00317FBF">
              <w:rPr>
                <w:rFonts w:ascii="Times New Roman" w:eastAsia="Times New Roman" w:hAnsi="Times New Roman" w:cs="Times New Roman"/>
                <w:sz w:val="24"/>
                <w:szCs w:val="24"/>
                <w:lang w:val="ru-RU"/>
              </w:rPr>
              <w:br/>
            </w:r>
            <w:r w:rsidRPr="00317FBF">
              <w:rPr>
                <w:rFonts w:ascii="Times New Roman" w:eastAsia="Times New Roman" w:hAnsi="Times New Roman" w:cs="Times New Roman"/>
                <w:b/>
                <w:bCs/>
                <w:sz w:val="24"/>
                <w:szCs w:val="24"/>
                <w:lang w:val="ru-RU"/>
              </w:rPr>
              <w:t>та пруденційного нагляд</w:t>
            </w:r>
            <w:r w:rsidRPr="00317FBF">
              <w:rPr>
                <w:rFonts w:ascii="Times New Roman" w:eastAsia="Times New Roman" w:hAnsi="Times New Roman" w:cs="Times New Roman"/>
                <w:sz w:val="24"/>
                <w:szCs w:val="24"/>
                <w:lang w:val="ru-RU"/>
              </w:rPr>
              <w:t>у</w:t>
            </w:r>
          </w:p>
        </w:tc>
        <w:tc>
          <w:tcPr>
            <w:tcW w:w="3500" w:type="pct"/>
            <w:hideMark/>
          </w:tcPr>
          <w:p w:rsidR="00317FBF" w:rsidRPr="00317FBF" w:rsidRDefault="00317FBF" w:rsidP="00317FBF">
            <w:pPr>
              <w:spacing w:before="100" w:beforeAutospacing="1" w:after="100" w:afterAutospacing="1" w:line="240" w:lineRule="auto"/>
              <w:rPr>
                <w:rFonts w:ascii="Times New Roman" w:eastAsia="Times New Roman" w:hAnsi="Times New Roman" w:cs="Times New Roman"/>
                <w:sz w:val="24"/>
                <w:szCs w:val="24"/>
              </w:rPr>
            </w:pPr>
            <w:r w:rsidRPr="00317FBF">
              <w:rPr>
                <w:rFonts w:ascii="Times New Roman" w:eastAsia="Times New Roman" w:hAnsi="Times New Roman" w:cs="Times New Roman"/>
                <w:sz w:val="24"/>
                <w:szCs w:val="24"/>
                <w:lang w:val="ru-RU"/>
              </w:rPr>
              <w:br/>
            </w:r>
            <w:r w:rsidRPr="00317FBF">
              <w:rPr>
                <w:rFonts w:ascii="Times New Roman" w:eastAsia="Times New Roman" w:hAnsi="Times New Roman" w:cs="Times New Roman"/>
                <w:sz w:val="24"/>
                <w:szCs w:val="24"/>
                <w:lang w:val="ru-RU"/>
              </w:rPr>
              <w:br/>
            </w:r>
            <w:r w:rsidRPr="00317FBF">
              <w:rPr>
                <w:rFonts w:ascii="Times New Roman" w:eastAsia="Times New Roman" w:hAnsi="Times New Roman" w:cs="Times New Roman"/>
                <w:sz w:val="24"/>
                <w:szCs w:val="24"/>
                <w:lang w:val="ru-RU"/>
              </w:rPr>
              <w:br/>
            </w:r>
            <w:r w:rsidRPr="00317FBF">
              <w:rPr>
                <w:rFonts w:ascii="Times New Roman" w:eastAsia="Times New Roman" w:hAnsi="Times New Roman" w:cs="Times New Roman"/>
                <w:sz w:val="24"/>
                <w:szCs w:val="24"/>
                <w:lang w:val="ru-RU"/>
              </w:rPr>
              <w:br/>
            </w:r>
            <w:r w:rsidRPr="00317FBF">
              <w:rPr>
                <w:rFonts w:ascii="Times New Roman" w:eastAsia="Times New Roman" w:hAnsi="Times New Roman" w:cs="Times New Roman"/>
                <w:sz w:val="24"/>
                <w:szCs w:val="24"/>
                <w:lang w:val="ru-RU"/>
              </w:rPr>
              <w:br/>
            </w:r>
            <w:r w:rsidRPr="00317FBF">
              <w:rPr>
                <w:rFonts w:ascii="Times New Roman" w:eastAsia="Times New Roman" w:hAnsi="Times New Roman" w:cs="Times New Roman"/>
                <w:b/>
                <w:bCs/>
                <w:sz w:val="24"/>
                <w:szCs w:val="24"/>
              </w:rPr>
              <w:t>К. Рафальська</w:t>
            </w:r>
          </w:p>
        </w:tc>
      </w:tr>
    </w:tbl>
    <w:p w:rsidR="004C5F7F" w:rsidRPr="00317FBF" w:rsidRDefault="004C5F7F" w:rsidP="00317FBF"/>
    <w:sectPr w:rsidR="004C5F7F" w:rsidRPr="00317FB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B2"/>
    <w:rsid w:val="00317FBF"/>
    <w:rsid w:val="004A3167"/>
    <w:rsid w:val="004C5F7F"/>
    <w:rsid w:val="009710CC"/>
    <w:rsid w:val="00A72B97"/>
    <w:rsid w:val="00A91532"/>
    <w:rsid w:val="00B610B2"/>
    <w:rsid w:val="00FD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FD02"/>
  <w15:chartTrackingRefBased/>
  <w15:docId w15:val="{4F204A5A-0D1B-488A-9BCE-393DA4B3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D08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D085E"/>
    <w:rPr>
      <w:rFonts w:ascii="Times New Roman" w:eastAsia="Times New Roman" w:hAnsi="Times New Roman" w:cs="Times New Roman"/>
      <w:b/>
      <w:bCs/>
      <w:sz w:val="24"/>
      <w:szCs w:val="24"/>
    </w:rPr>
  </w:style>
  <w:style w:type="character" w:customStyle="1" w:styleId="rvts23">
    <w:name w:val="rvts23"/>
    <w:basedOn w:val="a0"/>
    <w:rsid w:val="00FD085E"/>
  </w:style>
  <w:style w:type="paragraph" w:customStyle="1" w:styleId="rvps2">
    <w:name w:val="rvps2"/>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D085E"/>
    <w:rPr>
      <w:color w:val="0000FF"/>
      <w:u w:val="single"/>
    </w:rPr>
  </w:style>
  <w:style w:type="paragraph" w:customStyle="1" w:styleId="rvps4">
    <w:name w:val="rvps4"/>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FD085E"/>
  </w:style>
  <w:style w:type="paragraph" w:customStyle="1" w:styleId="rvps15">
    <w:name w:val="rvps15"/>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FD085E"/>
  </w:style>
  <w:style w:type="paragraph" w:customStyle="1" w:styleId="rvps12">
    <w:name w:val="rvps12"/>
    <w:basedOn w:val="a"/>
    <w:rsid w:val="00FD0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8">
    <w:name w:val="rvts58"/>
    <w:basedOn w:val="a0"/>
    <w:rsid w:val="00FD085E"/>
  </w:style>
  <w:style w:type="character" w:customStyle="1" w:styleId="rvts82">
    <w:name w:val="rvts82"/>
    <w:basedOn w:val="a0"/>
    <w:rsid w:val="00FD085E"/>
  </w:style>
  <w:style w:type="paragraph" w:customStyle="1" w:styleId="rvps1">
    <w:name w:val="rvps1"/>
    <w:basedOn w:val="a"/>
    <w:rsid w:val="004A3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4A3167"/>
  </w:style>
  <w:style w:type="character" w:customStyle="1" w:styleId="rvts46">
    <w:name w:val="rvts46"/>
    <w:basedOn w:val="a0"/>
    <w:rsid w:val="009710CC"/>
  </w:style>
  <w:style w:type="character" w:customStyle="1" w:styleId="rvts11">
    <w:name w:val="rvts11"/>
    <w:basedOn w:val="a0"/>
    <w:rsid w:val="009710CC"/>
  </w:style>
  <w:style w:type="character" w:styleId="a4">
    <w:name w:val="Strong"/>
    <w:basedOn w:val="a0"/>
    <w:uiPriority w:val="22"/>
    <w:qFormat/>
    <w:rsid w:val="00317FBF"/>
    <w:rPr>
      <w:b/>
      <w:bCs/>
    </w:rPr>
  </w:style>
  <w:style w:type="paragraph" w:styleId="a5">
    <w:name w:val="Normal (Web)"/>
    <w:basedOn w:val="a"/>
    <w:uiPriority w:val="99"/>
    <w:semiHidden/>
    <w:unhideWhenUsed/>
    <w:rsid w:val="00317F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8703">
      <w:bodyDiv w:val="1"/>
      <w:marLeft w:val="0"/>
      <w:marRight w:val="0"/>
      <w:marTop w:val="0"/>
      <w:marBottom w:val="0"/>
      <w:divBdr>
        <w:top w:val="none" w:sz="0" w:space="0" w:color="auto"/>
        <w:left w:val="none" w:sz="0" w:space="0" w:color="auto"/>
        <w:bottom w:val="none" w:sz="0" w:space="0" w:color="auto"/>
        <w:right w:val="none" w:sz="0" w:space="0" w:color="auto"/>
      </w:divBdr>
      <w:divsChild>
        <w:div w:id="1008946645">
          <w:marLeft w:val="0"/>
          <w:marRight w:val="0"/>
          <w:marTop w:val="0"/>
          <w:marBottom w:val="0"/>
          <w:divBdr>
            <w:top w:val="none" w:sz="0" w:space="0" w:color="auto"/>
            <w:left w:val="none" w:sz="0" w:space="0" w:color="auto"/>
            <w:bottom w:val="none" w:sz="0" w:space="0" w:color="auto"/>
            <w:right w:val="none" w:sz="0" w:space="0" w:color="auto"/>
          </w:divBdr>
        </w:div>
      </w:divsChild>
    </w:div>
    <w:div w:id="559942164">
      <w:bodyDiv w:val="1"/>
      <w:marLeft w:val="0"/>
      <w:marRight w:val="0"/>
      <w:marTop w:val="0"/>
      <w:marBottom w:val="0"/>
      <w:divBdr>
        <w:top w:val="none" w:sz="0" w:space="0" w:color="auto"/>
        <w:left w:val="none" w:sz="0" w:space="0" w:color="auto"/>
        <w:bottom w:val="none" w:sz="0" w:space="0" w:color="auto"/>
        <w:right w:val="none" w:sz="0" w:space="0" w:color="auto"/>
      </w:divBdr>
      <w:divsChild>
        <w:div w:id="154153945">
          <w:marLeft w:val="0"/>
          <w:marRight w:val="0"/>
          <w:marTop w:val="0"/>
          <w:marBottom w:val="150"/>
          <w:divBdr>
            <w:top w:val="none" w:sz="0" w:space="0" w:color="auto"/>
            <w:left w:val="none" w:sz="0" w:space="0" w:color="auto"/>
            <w:bottom w:val="none" w:sz="0" w:space="0" w:color="auto"/>
            <w:right w:val="none" w:sz="0" w:space="0" w:color="auto"/>
          </w:divBdr>
        </w:div>
      </w:divsChild>
    </w:div>
    <w:div w:id="997150116">
      <w:bodyDiv w:val="1"/>
      <w:marLeft w:val="0"/>
      <w:marRight w:val="0"/>
      <w:marTop w:val="0"/>
      <w:marBottom w:val="0"/>
      <w:divBdr>
        <w:top w:val="none" w:sz="0" w:space="0" w:color="auto"/>
        <w:left w:val="none" w:sz="0" w:space="0" w:color="auto"/>
        <w:bottom w:val="none" w:sz="0" w:space="0" w:color="auto"/>
        <w:right w:val="none" w:sz="0" w:space="0" w:color="auto"/>
      </w:divBdr>
      <w:divsChild>
        <w:div w:id="531769942">
          <w:marLeft w:val="0"/>
          <w:marRight w:val="0"/>
          <w:marTop w:val="150"/>
          <w:marBottom w:val="150"/>
          <w:divBdr>
            <w:top w:val="none" w:sz="0" w:space="0" w:color="auto"/>
            <w:left w:val="none" w:sz="0" w:space="0" w:color="auto"/>
            <w:bottom w:val="none" w:sz="0" w:space="0" w:color="auto"/>
            <w:right w:val="none" w:sz="0" w:space="0" w:color="auto"/>
          </w:divBdr>
        </w:div>
      </w:divsChild>
    </w:div>
    <w:div w:id="1400707499">
      <w:bodyDiv w:val="1"/>
      <w:marLeft w:val="0"/>
      <w:marRight w:val="0"/>
      <w:marTop w:val="0"/>
      <w:marBottom w:val="0"/>
      <w:divBdr>
        <w:top w:val="none" w:sz="0" w:space="0" w:color="auto"/>
        <w:left w:val="none" w:sz="0" w:space="0" w:color="auto"/>
        <w:bottom w:val="none" w:sz="0" w:space="0" w:color="auto"/>
        <w:right w:val="none" w:sz="0" w:space="0" w:color="auto"/>
      </w:divBdr>
      <w:divsChild>
        <w:div w:id="598174493">
          <w:marLeft w:val="0"/>
          <w:marRight w:val="0"/>
          <w:marTop w:val="0"/>
          <w:marBottom w:val="0"/>
          <w:divBdr>
            <w:top w:val="none" w:sz="0" w:space="0" w:color="auto"/>
            <w:left w:val="none" w:sz="0" w:space="0" w:color="auto"/>
            <w:bottom w:val="none" w:sz="0" w:space="0" w:color="auto"/>
            <w:right w:val="none" w:sz="0" w:space="0" w:color="auto"/>
          </w:divBdr>
        </w:div>
      </w:divsChild>
    </w:div>
    <w:div w:id="1717000206">
      <w:bodyDiv w:val="1"/>
      <w:marLeft w:val="0"/>
      <w:marRight w:val="0"/>
      <w:marTop w:val="0"/>
      <w:marBottom w:val="0"/>
      <w:divBdr>
        <w:top w:val="none" w:sz="0" w:space="0" w:color="auto"/>
        <w:left w:val="none" w:sz="0" w:space="0" w:color="auto"/>
        <w:bottom w:val="none" w:sz="0" w:space="0" w:color="auto"/>
        <w:right w:val="none" w:sz="0" w:space="0" w:color="auto"/>
      </w:divBdr>
      <w:divsChild>
        <w:div w:id="1328368183">
          <w:marLeft w:val="0"/>
          <w:marRight w:val="0"/>
          <w:marTop w:val="0"/>
          <w:marBottom w:val="0"/>
          <w:divBdr>
            <w:top w:val="none" w:sz="0" w:space="0" w:color="auto"/>
            <w:left w:val="none" w:sz="0" w:space="0" w:color="auto"/>
            <w:bottom w:val="none" w:sz="0" w:space="0" w:color="auto"/>
            <w:right w:val="none" w:sz="0" w:space="0" w:color="auto"/>
          </w:divBdr>
        </w:div>
        <w:div w:id="647637184">
          <w:marLeft w:val="0"/>
          <w:marRight w:val="0"/>
          <w:marTop w:val="0"/>
          <w:marBottom w:val="0"/>
          <w:divBdr>
            <w:top w:val="none" w:sz="0" w:space="0" w:color="auto"/>
            <w:left w:val="none" w:sz="0" w:space="0" w:color="auto"/>
            <w:bottom w:val="none" w:sz="0" w:space="0" w:color="auto"/>
            <w:right w:val="none" w:sz="0" w:space="0" w:color="auto"/>
          </w:divBdr>
        </w:div>
      </w:divsChild>
    </w:div>
    <w:div w:id="1775663547">
      <w:bodyDiv w:val="1"/>
      <w:marLeft w:val="0"/>
      <w:marRight w:val="0"/>
      <w:marTop w:val="0"/>
      <w:marBottom w:val="0"/>
      <w:divBdr>
        <w:top w:val="none" w:sz="0" w:space="0" w:color="auto"/>
        <w:left w:val="none" w:sz="0" w:space="0" w:color="auto"/>
        <w:bottom w:val="none" w:sz="0" w:space="0" w:color="auto"/>
        <w:right w:val="none" w:sz="0" w:space="0" w:color="auto"/>
      </w:divBdr>
      <w:divsChild>
        <w:div w:id="153939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1599-15" TargetMode="External"/><Relationship Id="rId13" Type="http://schemas.openxmlformats.org/officeDocument/2006/relationships/hyperlink" Target="http://zakon3.rada.gov.ua/laws/show/z1599-15" TargetMode="External"/><Relationship Id="rId3" Type="http://schemas.openxmlformats.org/officeDocument/2006/relationships/webSettings" Target="webSettings.xml"/><Relationship Id="rId7" Type="http://schemas.openxmlformats.org/officeDocument/2006/relationships/hyperlink" Target="http://zakon3.rada.gov.ua/laws/show/2664-14" TargetMode="External"/><Relationship Id="rId12" Type="http://schemas.openxmlformats.org/officeDocument/2006/relationships/hyperlink" Target="http://zakon3.rada.gov.ua/laws/show/z1599-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448/96-%D0%B2%D1%80" TargetMode="External"/><Relationship Id="rId11" Type="http://schemas.openxmlformats.org/officeDocument/2006/relationships/hyperlink" Target="http://zakon3.rada.gov.ua/laws/show/z1599-15" TargetMode="External"/><Relationship Id="rId5" Type="http://schemas.openxmlformats.org/officeDocument/2006/relationships/hyperlink" Target="http://zakon3.rada.gov.ua/laws/show/3480-15" TargetMode="External"/><Relationship Id="rId15" Type="http://schemas.openxmlformats.org/officeDocument/2006/relationships/theme" Target="theme/theme1.xml"/><Relationship Id="rId10" Type="http://schemas.openxmlformats.org/officeDocument/2006/relationships/hyperlink" Target="http://zakon3.rada.gov.ua/laws/show/z1103-17/paran22" TargetMode="External"/><Relationship Id="rId4" Type="http://schemas.openxmlformats.org/officeDocument/2006/relationships/hyperlink" Target="http://zakon3.rada.gov.ua/laws/show/z1103-17/paran17" TargetMode="External"/><Relationship Id="rId9" Type="http://schemas.openxmlformats.org/officeDocument/2006/relationships/hyperlink" Target="http://zakon3.rada.gov.ua/laws/show/z1599-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 User</dc:creator>
  <cp:keywords/>
  <dc:description/>
  <cp:lastModifiedBy>Some User</cp:lastModifiedBy>
  <cp:revision>2</cp:revision>
  <dcterms:created xsi:type="dcterms:W3CDTF">2017-12-12T13:05:00Z</dcterms:created>
  <dcterms:modified xsi:type="dcterms:W3CDTF">2017-12-12T13:05:00Z</dcterms:modified>
</cp:coreProperties>
</file>