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68" w:rsidRPr="00810668" w:rsidRDefault="00810668" w:rsidP="00810668">
      <w:pPr>
        <w:shd w:val="clear" w:color="auto" w:fill="FFFFFF"/>
        <w:spacing w:before="400" w:after="600" w:line="240" w:lineRule="auto"/>
        <w:ind w:left="600" w:right="600"/>
        <w:jc w:val="center"/>
        <w:rPr>
          <w:rFonts w:ascii="Times New Roman" w:eastAsia="Times New Roman" w:hAnsi="Times New Roman" w:cs="Times New Roman"/>
          <w:color w:val="000000"/>
          <w:sz w:val="32"/>
          <w:szCs w:val="32"/>
          <w:lang w:eastAsia="ru-RU"/>
        </w:rPr>
      </w:pPr>
      <w:r w:rsidRPr="00810668">
        <w:rPr>
          <w:rFonts w:ascii="Times New Roman" w:eastAsia="Times New Roman" w:hAnsi="Times New Roman" w:cs="Times New Roman"/>
          <w:b/>
          <w:bCs/>
          <w:color w:val="000000"/>
          <w:sz w:val="32"/>
          <w:lang w:eastAsia="ru-RU"/>
        </w:rPr>
        <w:t>ПОЛОЖЕННЯ </w:t>
      </w:r>
      <w:r w:rsidRPr="00810668">
        <w:rPr>
          <w:rFonts w:ascii="Times New Roman" w:eastAsia="Times New Roman" w:hAnsi="Times New Roman" w:cs="Times New Roman"/>
          <w:color w:val="000000"/>
          <w:sz w:val="32"/>
          <w:szCs w:val="32"/>
          <w:lang w:eastAsia="ru-RU"/>
        </w:rPr>
        <w:br/>
      </w:r>
      <w:r w:rsidRPr="00810668">
        <w:rPr>
          <w:rFonts w:ascii="Times New Roman" w:eastAsia="Times New Roman" w:hAnsi="Times New Roman" w:cs="Times New Roman"/>
          <w:b/>
          <w:bCs/>
          <w:color w:val="000000"/>
          <w:sz w:val="32"/>
          <w:lang w:eastAsia="ru-RU"/>
        </w:rPr>
        <w:t>про встановлення ознак фіктивності емітентів цінних паперів та включення таких емітентів до списку емітентів, що мають ознаки фіктивності</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0" w:name="n16"/>
      <w:bookmarkEnd w:id="0"/>
      <w:r w:rsidRPr="00810668">
        <w:rPr>
          <w:rFonts w:ascii="Times New Roman" w:eastAsia="Times New Roman" w:hAnsi="Times New Roman" w:cs="Times New Roman"/>
          <w:color w:val="000000"/>
          <w:sz w:val="32"/>
          <w:szCs w:val="32"/>
          <w:lang w:eastAsia="ru-RU"/>
        </w:rPr>
        <w:t>1. Це Положення визначає:</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 w:name="n17"/>
      <w:bookmarkEnd w:id="1"/>
      <w:r w:rsidRPr="00810668">
        <w:rPr>
          <w:rFonts w:ascii="Times New Roman" w:eastAsia="Times New Roman" w:hAnsi="Times New Roman" w:cs="Times New Roman"/>
          <w:color w:val="000000"/>
          <w:sz w:val="32"/>
          <w:szCs w:val="32"/>
          <w:lang w:eastAsia="ru-RU"/>
        </w:rPr>
        <w:t>1) ознаки фіктивності емітента цінних паперів;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 w:name="n18"/>
      <w:bookmarkEnd w:id="2"/>
      <w:r w:rsidRPr="00810668">
        <w:rPr>
          <w:rFonts w:ascii="Times New Roman" w:eastAsia="Times New Roman" w:hAnsi="Times New Roman" w:cs="Times New Roman"/>
          <w:color w:val="000000"/>
          <w:sz w:val="32"/>
          <w:szCs w:val="32"/>
          <w:lang w:eastAsia="ru-RU"/>
        </w:rPr>
        <w:t>2) порядок прийняття рішення про включення емітента до списку емітентів, що мають ознаки фіктивності (далі - список) та виключення з цього списку.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 w:name="n19"/>
      <w:bookmarkEnd w:id="3"/>
      <w:r w:rsidRPr="00810668">
        <w:rPr>
          <w:rFonts w:ascii="Times New Roman" w:eastAsia="Times New Roman" w:hAnsi="Times New Roman" w:cs="Times New Roman"/>
          <w:color w:val="000000"/>
          <w:sz w:val="32"/>
          <w:szCs w:val="32"/>
          <w:lang w:eastAsia="ru-RU"/>
        </w:rPr>
        <w:t>2. У цьому Положенні термін «капіталізація» вживається в такому значенні - ринкова вартість акцій емітента, яка визначається фондовою біржею відповідно до вимог, встановлених Національною комісією з цінних паперів та фондового ринку, та оприлюднюється на власному веб-сайті фондової біржі.</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 w:name="n20"/>
      <w:bookmarkEnd w:id="4"/>
      <w:r w:rsidRPr="00810668">
        <w:rPr>
          <w:rFonts w:ascii="Times New Roman" w:eastAsia="Times New Roman" w:hAnsi="Times New Roman" w:cs="Times New Roman"/>
          <w:color w:val="000000"/>
          <w:sz w:val="32"/>
          <w:szCs w:val="32"/>
          <w:lang w:eastAsia="ru-RU"/>
        </w:rPr>
        <w:t>3. Дія цього Положення не поширюється на таких емітентів: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 w:name="n21"/>
      <w:bookmarkEnd w:id="5"/>
      <w:r w:rsidRPr="00810668">
        <w:rPr>
          <w:rFonts w:ascii="Times New Roman" w:eastAsia="Times New Roman" w:hAnsi="Times New Roman" w:cs="Times New Roman"/>
          <w:color w:val="000000"/>
          <w:sz w:val="32"/>
          <w:szCs w:val="32"/>
          <w:lang w:eastAsia="ru-RU"/>
        </w:rPr>
        <w:t>1) центральний орган виконавчої влади, що реалізує державну фінансову політику;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6" w:name="n22"/>
      <w:bookmarkEnd w:id="6"/>
      <w:r w:rsidRPr="00810668">
        <w:rPr>
          <w:rFonts w:ascii="Times New Roman" w:eastAsia="Times New Roman" w:hAnsi="Times New Roman" w:cs="Times New Roman"/>
          <w:color w:val="000000"/>
          <w:sz w:val="32"/>
          <w:szCs w:val="32"/>
          <w:lang w:eastAsia="ru-RU"/>
        </w:rPr>
        <w:t>2) Державну іпотечну установу;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7" w:name="n23"/>
      <w:bookmarkEnd w:id="7"/>
      <w:r w:rsidRPr="00810668">
        <w:rPr>
          <w:rFonts w:ascii="Times New Roman" w:eastAsia="Times New Roman" w:hAnsi="Times New Roman" w:cs="Times New Roman"/>
          <w:color w:val="000000"/>
          <w:sz w:val="32"/>
          <w:szCs w:val="32"/>
          <w:lang w:eastAsia="ru-RU"/>
        </w:rPr>
        <w:t>3) професійних учасників фондового ринку та Центральний депозитарій цінних паперів;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8" w:name="n24"/>
      <w:bookmarkEnd w:id="8"/>
      <w:r w:rsidRPr="00810668">
        <w:rPr>
          <w:rFonts w:ascii="Times New Roman" w:eastAsia="Times New Roman" w:hAnsi="Times New Roman" w:cs="Times New Roman"/>
          <w:color w:val="000000"/>
          <w:sz w:val="32"/>
          <w:szCs w:val="32"/>
          <w:lang w:eastAsia="ru-RU"/>
        </w:rPr>
        <w:t>4) банки;</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9" w:name="n25"/>
      <w:bookmarkEnd w:id="9"/>
      <w:r w:rsidRPr="00810668">
        <w:rPr>
          <w:rFonts w:ascii="Times New Roman" w:eastAsia="Times New Roman" w:hAnsi="Times New Roman" w:cs="Times New Roman"/>
          <w:color w:val="000000"/>
          <w:sz w:val="32"/>
          <w:szCs w:val="32"/>
          <w:lang w:eastAsia="ru-RU"/>
        </w:rPr>
        <w:t>5) державні керуючі холдингові компанії, державні холдингові компанії та акціонерні товариства, єдиним акціонером яких є держава;</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0" w:name="n26"/>
      <w:bookmarkEnd w:id="10"/>
      <w:r w:rsidRPr="00810668">
        <w:rPr>
          <w:rFonts w:ascii="Times New Roman" w:eastAsia="Times New Roman" w:hAnsi="Times New Roman" w:cs="Times New Roman"/>
          <w:color w:val="000000"/>
          <w:sz w:val="32"/>
          <w:szCs w:val="32"/>
          <w:lang w:eastAsia="ru-RU"/>
        </w:rPr>
        <w:t>6) міжнародні фінансові організації;</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1" w:name="n27"/>
      <w:bookmarkEnd w:id="11"/>
      <w:r w:rsidRPr="00810668">
        <w:rPr>
          <w:rFonts w:ascii="Times New Roman" w:eastAsia="Times New Roman" w:hAnsi="Times New Roman" w:cs="Times New Roman"/>
          <w:color w:val="000000"/>
          <w:sz w:val="32"/>
          <w:szCs w:val="32"/>
          <w:lang w:eastAsia="ru-RU"/>
        </w:rPr>
        <w:t>7) Фонд гарантування вкладів фізичних осіб;</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2" w:name="n28"/>
      <w:bookmarkEnd w:id="12"/>
      <w:r w:rsidRPr="00810668">
        <w:rPr>
          <w:rFonts w:ascii="Times New Roman" w:eastAsia="Times New Roman" w:hAnsi="Times New Roman" w:cs="Times New Roman"/>
          <w:color w:val="000000"/>
          <w:sz w:val="32"/>
          <w:szCs w:val="32"/>
          <w:lang w:eastAsia="ru-RU"/>
        </w:rPr>
        <w:t>8) міські ради;</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3" w:name="n29"/>
      <w:bookmarkEnd w:id="13"/>
      <w:r w:rsidRPr="00810668">
        <w:rPr>
          <w:rFonts w:ascii="Times New Roman" w:eastAsia="Times New Roman" w:hAnsi="Times New Roman" w:cs="Times New Roman"/>
          <w:color w:val="000000"/>
          <w:sz w:val="32"/>
          <w:szCs w:val="32"/>
          <w:lang w:eastAsia="ru-RU"/>
        </w:rPr>
        <w:t>9) Автономну Республіку Крим;</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4" w:name="n30"/>
      <w:bookmarkEnd w:id="14"/>
      <w:r w:rsidRPr="00810668">
        <w:rPr>
          <w:rFonts w:ascii="Times New Roman" w:eastAsia="Times New Roman" w:hAnsi="Times New Roman" w:cs="Times New Roman"/>
          <w:color w:val="000000"/>
          <w:sz w:val="32"/>
          <w:szCs w:val="32"/>
          <w:lang w:eastAsia="ru-RU"/>
        </w:rPr>
        <w:t>10) емітентів, що перебувають в стані припинення та обіг цінних паперів яких зупинено у порядку, встановленому законодавством.</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5" w:name="n31"/>
      <w:bookmarkEnd w:id="15"/>
      <w:r w:rsidRPr="00810668">
        <w:rPr>
          <w:rFonts w:ascii="Times New Roman" w:eastAsia="Times New Roman" w:hAnsi="Times New Roman" w:cs="Times New Roman"/>
          <w:color w:val="000000"/>
          <w:sz w:val="32"/>
          <w:szCs w:val="32"/>
          <w:lang w:eastAsia="ru-RU"/>
        </w:rPr>
        <w:lastRenderedPageBreak/>
        <w:t>4. Ознаки фіктивності емітента цінних паперів (крім корпоративних інвестиційних фондів):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6" w:name="n32"/>
      <w:bookmarkEnd w:id="16"/>
      <w:r w:rsidRPr="00810668">
        <w:rPr>
          <w:rFonts w:ascii="Times New Roman" w:eastAsia="Times New Roman" w:hAnsi="Times New Roman" w:cs="Times New Roman"/>
          <w:color w:val="000000"/>
          <w:sz w:val="32"/>
          <w:szCs w:val="32"/>
          <w:lang w:eastAsia="ru-RU"/>
        </w:rPr>
        <w:t>1) неподання емітентом до Національної комісії з цінних паперів та фондового ринку (далі - Комісія) регулярної річної інформації або регулярної квартальної інформації протягом двох кварталів поспіль;</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7" w:name="n33"/>
      <w:bookmarkEnd w:id="17"/>
      <w:r w:rsidRPr="00810668">
        <w:rPr>
          <w:rFonts w:ascii="Times New Roman" w:eastAsia="Times New Roman" w:hAnsi="Times New Roman" w:cs="Times New Roman"/>
          <w:color w:val="000000"/>
          <w:sz w:val="32"/>
          <w:szCs w:val="32"/>
          <w:lang w:eastAsia="ru-RU"/>
        </w:rPr>
        <w:t>2) непроведення акціонерним товариством загальних зборів акціонерів протягом двох років поспіль та/або неутворення органів управління акціонерного товариства, визначених законодавством, протягом року з дня реєстрації Комісією звіту про результати приватного розміщення акцій серед засновників акціонерного товариства;</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8" w:name="n34"/>
      <w:bookmarkEnd w:id="18"/>
      <w:r w:rsidRPr="00810668">
        <w:rPr>
          <w:rFonts w:ascii="Times New Roman" w:eastAsia="Times New Roman" w:hAnsi="Times New Roman" w:cs="Times New Roman"/>
          <w:color w:val="000000"/>
          <w:sz w:val="32"/>
          <w:szCs w:val="32"/>
          <w:lang w:eastAsia="ru-RU"/>
        </w:rPr>
        <w:t>3) реєстрація місцезнаходження емітента у приміщенні житлового фонду;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19" w:name="n35"/>
      <w:bookmarkEnd w:id="19"/>
      <w:r w:rsidRPr="00810668">
        <w:rPr>
          <w:rFonts w:ascii="Times New Roman" w:eastAsia="Times New Roman" w:hAnsi="Times New Roman" w:cs="Times New Roman"/>
          <w:color w:val="000000"/>
          <w:sz w:val="32"/>
          <w:szCs w:val="32"/>
          <w:lang w:eastAsia="ru-RU"/>
        </w:rPr>
        <w:t>4) середньомісячна величина заробітної плати за звітний період, є меншою від мінімального розміру заробітної плати, встановленого законодавством;</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0" w:name="n36"/>
      <w:bookmarkEnd w:id="20"/>
      <w:r w:rsidRPr="00810668">
        <w:rPr>
          <w:rFonts w:ascii="Times New Roman" w:eastAsia="Times New Roman" w:hAnsi="Times New Roman" w:cs="Times New Roman"/>
          <w:color w:val="000000"/>
          <w:sz w:val="32"/>
          <w:szCs w:val="32"/>
          <w:lang w:eastAsia="ru-RU"/>
        </w:rPr>
        <w:t>5) відсутність чистого доходу від реалізації продукції (товарів, робіт, послуг) (для страховиків - розміру чистих зароблених страхових премій) станом на кінець фінансового року (крім страховиків зі страхування життя);</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1" w:name="n37"/>
      <w:bookmarkEnd w:id="21"/>
      <w:r w:rsidRPr="00810668">
        <w:rPr>
          <w:rFonts w:ascii="Times New Roman" w:eastAsia="Times New Roman" w:hAnsi="Times New Roman" w:cs="Times New Roman"/>
          <w:color w:val="000000"/>
          <w:sz w:val="32"/>
          <w:szCs w:val="32"/>
          <w:lang w:eastAsia="ru-RU"/>
        </w:rPr>
        <w:t>6) основні засоби, та/або незавершені капітальні інвестиції, та/або інвестиційна нерухомість, та/або довгострокові біологічні активи, та/або запаси, та/або поточні біологічні активи, та/або права користування природними ресурсами, та/або відстрочені податкові активи, та/або гроші та їх еквіваленти, та/або інші оборотні активи складають менш ніж 25 відсотків активів емітента станом на кінець звітного періоду;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2" w:name="n38"/>
      <w:bookmarkEnd w:id="22"/>
      <w:r w:rsidRPr="00810668">
        <w:rPr>
          <w:rFonts w:ascii="Times New Roman" w:eastAsia="Times New Roman" w:hAnsi="Times New Roman" w:cs="Times New Roman"/>
          <w:color w:val="000000"/>
          <w:sz w:val="32"/>
          <w:szCs w:val="32"/>
          <w:lang w:eastAsia="ru-RU"/>
        </w:rPr>
        <w:t>7) для публічних акціонерних товариств, страховиків, а також інших емітентів, які провадять господарську діяльність за видами, перелік яких визначається Кабінетом Міністрів України, - нескладання фінансової звітності та консолідованої фінансової звітності за міжнародними стандартами фінансової звітності;</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3" w:name="n39"/>
      <w:bookmarkEnd w:id="23"/>
      <w:r w:rsidRPr="00810668">
        <w:rPr>
          <w:rFonts w:ascii="Times New Roman" w:eastAsia="Times New Roman" w:hAnsi="Times New Roman" w:cs="Times New Roman"/>
          <w:color w:val="000000"/>
          <w:sz w:val="32"/>
          <w:szCs w:val="32"/>
          <w:lang w:eastAsia="ru-RU"/>
        </w:rPr>
        <w:t xml:space="preserve">8) для публічних акціонерних товариств - більше ніж трикратне перевищення капіталізації емітента над розміром чистого доходу від реалізації продукції (товарів, робіт, послуг) (для страховиків - розміру </w:t>
      </w:r>
      <w:r w:rsidRPr="00810668">
        <w:rPr>
          <w:rFonts w:ascii="Times New Roman" w:eastAsia="Times New Roman" w:hAnsi="Times New Roman" w:cs="Times New Roman"/>
          <w:color w:val="000000"/>
          <w:sz w:val="32"/>
          <w:szCs w:val="32"/>
          <w:lang w:eastAsia="ru-RU"/>
        </w:rPr>
        <w:lastRenderedPageBreak/>
        <w:t>чистих зароблених страхових премій) станом на кінець фінансового року (крім страховиків зі страхування життя, холдингових компаній);</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4" w:name="n40"/>
      <w:bookmarkEnd w:id="24"/>
      <w:r w:rsidRPr="00810668">
        <w:rPr>
          <w:rFonts w:ascii="Times New Roman" w:eastAsia="Times New Roman" w:hAnsi="Times New Roman" w:cs="Times New Roman"/>
          <w:color w:val="000000"/>
          <w:sz w:val="32"/>
          <w:szCs w:val="32"/>
          <w:lang w:eastAsia="ru-RU"/>
        </w:rPr>
        <w:t>9) для публічних акціонерних товариств - більше ніж трикратне перевищення капіталізації емітента над вартістю чистих активів такого емітента станом на кінець звітного періоду;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5" w:name="n41"/>
      <w:bookmarkEnd w:id="25"/>
      <w:r w:rsidRPr="00810668">
        <w:rPr>
          <w:rFonts w:ascii="Times New Roman" w:eastAsia="Times New Roman" w:hAnsi="Times New Roman" w:cs="Times New Roman"/>
          <w:color w:val="000000"/>
          <w:sz w:val="32"/>
          <w:szCs w:val="32"/>
          <w:lang w:eastAsia="ru-RU"/>
        </w:rPr>
        <w:t>10) для страховиків зі страхування іншого, ніж страхування життя, - частку активів емітента станом на кінець звітного періоду становить дебіторська заборгованість (крім дебіторської заборгованості за товари, роботи та послуги) у розмірі 25 і більше відсотків;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6" w:name="n42"/>
      <w:bookmarkEnd w:id="26"/>
      <w:r w:rsidRPr="00810668">
        <w:rPr>
          <w:rFonts w:ascii="Times New Roman" w:eastAsia="Times New Roman" w:hAnsi="Times New Roman" w:cs="Times New Roman"/>
          <w:color w:val="000000"/>
          <w:sz w:val="32"/>
          <w:szCs w:val="32"/>
          <w:lang w:eastAsia="ru-RU"/>
        </w:rPr>
        <w:t>11) для страховиків зі страхування іншого, ніж страхування життя, - частку активів емітента станом на кінець звітного періоду становлять одержані векселі у розмірі 20 і більше відсотків;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7" w:name="n43"/>
      <w:bookmarkEnd w:id="27"/>
      <w:r w:rsidRPr="00810668">
        <w:rPr>
          <w:rFonts w:ascii="Times New Roman" w:eastAsia="Times New Roman" w:hAnsi="Times New Roman" w:cs="Times New Roman"/>
          <w:color w:val="000000"/>
          <w:sz w:val="32"/>
          <w:szCs w:val="32"/>
          <w:lang w:eastAsia="ru-RU"/>
        </w:rPr>
        <w:t>12) для страховиків зі страхування іншого, ніж страхування життя, - частку активів емітента станом на кінець звітного періоду становлять довгострокові фінансові інвестиції (які обліковуються за методом участі в капіталі інших підприємств та інші фінансові інвестиції) у розмірі 40 і більше відсотків;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8" w:name="n44"/>
      <w:bookmarkEnd w:id="28"/>
      <w:r w:rsidRPr="00810668">
        <w:rPr>
          <w:rFonts w:ascii="Times New Roman" w:eastAsia="Times New Roman" w:hAnsi="Times New Roman" w:cs="Times New Roman"/>
          <w:color w:val="000000"/>
          <w:sz w:val="32"/>
          <w:szCs w:val="32"/>
          <w:lang w:eastAsia="ru-RU"/>
        </w:rPr>
        <w:t>13) для емітентів забезпечених облігацій - відсутність договору поруки чи страхування ризиків непогашення основної суми боргу (непогашення основної суми боргу та невиплати доходу за облігаціями), або договору перестрахування (у випадках, передбачених законодавством), або відкликання гарантії виконання емітентом зобов'язання щодо погашення основної суми боргу (погашення основної суми боргу та виплати доходу за облігаціями) у період після дати реєстрації Комісією випуску облігацій та проспекту їх емісії (у разі якщо не укладений новий відповідний договір, не отримано нову гарантію) відповідно до наявної в Комісії інформації.</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29" w:name="n45"/>
      <w:bookmarkEnd w:id="29"/>
      <w:r w:rsidRPr="00810668">
        <w:rPr>
          <w:rFonts w:ascii="Times New Roman" w:eastAsia="Times New Roman" w:hAnsi="Times New Roman" w:cs="Times New Roman"/>
          <w:color w:val="000000"/>
          <w:sz w:val="32"/>
          <w:szCs w:val="32"/>
          <w:lang w:eastAsia="ru-RU"/>
        </w:rPr>
        <w:t>5. Ознаки фіктивності емітента цінних паперів - корпоративного інвестиційного фонду: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0" w:name="n46"/>
      <w:bookmarkEnd w:id="30"/>
      <w:r w:rsidRPr="00810668">
        <w:rPr>
          <w:rFonts w:ascii="Times New Roman" w:eastAsia="Times New Roman" w:hAnsi="Times New Roman" w:cs="Times New Roman"/>
          <w:color w:val="000000"/>
          <w:sz w:val="32"/>
          <w:szCs w:val="32"/>
          <w:lang w:eastAsia="ru-RU"/>
        </w:rPr>
        <w:t>1) неподання корпоративним інвестиційним фондом до Комісії регулярної інформації за станом на кінець наступного звітного періоду після спливу строку заміни компанії з управління активами;</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1" w:name="n47"/>
      <w:bookmarkEnd w:id="31"/>
      <w:r w:rsidRPr="00810668">
        <w:rPr>
          <w:rFonts w:ascii="Times New Roman" w:eastAsia="Times New Roman" w:hAnsi="Times New Roman" w:cs="Times New Roman"/>
          <w:color w:val="000000"/>
          <w:sz w:val="32"/>
          <w:szCs w:val="32"/>
          <w:lang w:eastAsia="ru-RU"/>
        </w:rPr>
        <w:t>2) непроведення корпоративним інвестиційним фондом загальних зборів акціонерів протягом одного року;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2" w:name="n48"/>
      <w:bookmarkEnd w:id="32"/>
      <w:r w:rsidRPr="00810668">
        <w:rPr>
          <w:rFonts w:ascii="Times New Roman" w:eastAsia="Times New Roman" w:hAnsi="Times New Roman" w:cs="Times New Roman"/>
          <w:color w:val="000000"/>
          <w:sz w:val="32"/>
          <w:szCs w:val="32"/>
          <w:lang w:eastAsia="ru-RU"/>
        </w:rPr>
        <w:lastRenderedPageBreak/>
        <w:t>3) реєстрація місцезнаходження корпоративного інвестиційного фонду в приміщенні житлового фонду;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3" w:name="n49"/>
      <w:bookmarkEnd w:id="33"/>
      <w:r w:rsidRPr="00810668">
        <w:rPr>
          <w:rFonts w:ascii="Times New Roman" w:eastAsia="Times New Roman" w:hAnsi="Times New Roman" w:cs="Times New Roman"/>
          <w:color w:val="000000"/>
          <w:sz w:val="32"/>
          <w:szCs w:val="32"/>
          <w:lang w:eastAsia="ru-RU"/>
        </w:rPr>
        <w:t>4) перевищення капіталізації корпоративного інвестиційного фонду до вартості чистих активів такого емітента більше ніж у 2 рази відповідно до фінансової звітності емітента, поданої до Комісії станом на кінець звітного періоду;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4" w:name="n50"/>
      <w:bookmarkEnd w:id="34"/>
      <w:r w:rsidRPr="00810668">
        <w:rPr>
          <w:rFonts w:ascii="Times New Roman" w:eastAsia="Times New Roman" w:hAnsi="Times New Roman" w:cs="Times New Roman"/>
          <w:color w:val="000000"/>
          <w:sz w:val="32"/>
          <w:szCs w:val="32"/>
          <w:lang w:eastAsia="ru-RU"/>
        </w:rPr>
        <w:t>5) вартість цінних паперів, обіг яких зупинено (крім цінних паперів, обіг яких зупинено в процесі здійснення корпоративних операцій емітента), та/або щодо яких прийнято рішення про зупинення внесення змін до системи депозитарного обліку, та/або векселів, та/або простроченої понад 90 днів дебіторської заборгованості, становить більше ніж 50 відсотків загальної вартості активів корпоративного інвестиційного фонду;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5" w:name="n51"/>
      <w:bookmarkEnd w:id="35"/>
      <w:r w:rsidRPr="00810668">
        <w:rPr>
          <w:rFonts w:ascii="Times New Roman" w:eastAsia="Times New Roman" w:hAnsi="Times New Roman" w:cs="Times New Roman"/>
          <w:color w:val="000000"/>
          <w:sz w:val="32"/>
          <w:szCs w:val="32"/>
          <w:lang w:eastAsia="ru-RU"/>
        </w:rPr>
        <w:t>6) включення до складу активів корпоративного інвестиційного фонду, який не є венчурним фондом, прав вимоги за кредитними договорами.</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6" w:name="n52"/>
      <w:bookmarkEnd w:id="36"/>
      <w:r w:rsidRPr="00810668">
        <w:rPr>
          <w:rFonts w:ascii="Times New Roman" w:eastAsia="Times New Roman" w:hAnsi="Times New Roman" w:cs="Times New Roman"/>
          <w:color w:val="000000"/>
          <w:sz w:val="32"/>
          <w:szCs w:val="32"/>
          <w:lang w:eastAsia="ru-RU"/>
        </w:rPr>
        <w:t>6. Комісія на підставі наявної інформації, в тому числі отриманої відповідно до </w:t>
      </w:r>
      <w:hyperlink r:id="rId4" w:anchor="n17" w:tgtFrame="_blank" w:history="1">
        <w:r w:rsidRPr="00810668">
          <w:rPr>
            <w:rFonts w:ascii="Times New Roman" w:eastAsia="Times New Roman" w:hAnsi="Times New Roman" w:cs="Times New Roman"/>
            <w:color w:val="0000FF"/>
            <w:sz w:val="24"/>
            <w:szCs w:val="24"/>
            <w:u w:val="single"/>
            <w:lang w:eastAsia="ru-RU"/>
          </w:rPr>
          <w:t>Положення про розкриття інформації емітентами цінних паперів</w:t>
        </w:r>
      </w:hyperlink>
      <w:r w:rsidRPr="00810668">
        <w:rPr>
          <w:rFonts w:ascii="Times New Roman" w:eastAsia="Times New Roman" w:hAnsi="Times New Roman" w:cs="Times New Roman"/>
          <w:color w:val="000000"/>
          <w:sz w:val="32"/>
          <w:szCs w:val="32"/>
          <w:lang w:eastAsia="ru-RU"/>
        </w:rPr>
        <w:t>, затвердженого рішенням Комісії від 03 грудня 2013 року № 2826, зареєстрованого в Міністерстві юстиції України 24 грудня 2013 року за № 2180/24712 (зі змінами), рішення Комісії від 05 лютого 2013 року </w:t>
      </w:r>
      <w:hyperlink r:id="rId5" w:tgtFrame="_blank" w:history="1">
        <w:r w:rsidRPr="00810668">
          <w:rPr>
            <w:rFonts w:ascii="Times New Roman" w:eastAsia="Times New Roman" w:hAnsi="Times New Roman" w:cs="Times New Roman"/>
            <w:color w:val="0000FF"/>
            <w:sz w:val="24"/>
            <w:szCs w:val="24"/>
            <w:u w:val="single"/>
            <w:lang w:eastAsia="ru-RU"/>
          </w:rPr>
          <w:t>№ 131</w:t>
        </w:r>
      </w:hyperlink>
      <w:r w:rsidRPr="00810668">
        <w:rPr>
          <w:rFonts w:ascii="Times New Roman" w:eastAsia="Times New Roman" w:hAnsi="Times New Roman" w:cs="Times New Roman"/>
          <w:color w:val="000000"/>
          <w:sz w:val="32"/>
          <w:szCs w:val="32"/>
          <w:lang w:eastAsia="ru-RU"/>
        </w:rPr>
        <w:t> «Про порядок подання та розміщення інформації в загальнодоступній інформаційній базі даних Національної комісії з цінних паперів та фондового ринку про ринок цінних паперів торговцями цінними паперами та фондовими біржами», зареєстрованого в Міністерстві юстиції України 26 лютого 2013 року за № 320/22852 (зі змінами), </w:t>
      </w:r>
      <w:hyperlink r:id="rId6" w:anchor="n22" w:tgtFrame="_blank" w:history="1">
        <w:r w:rsidRPr="00810668">
          <w:rPr>
            <w:rFonts w:ascii="Times New Roman" w:eastAsia="Times New Roman" w:hAnsi="Times New Roman" w:cs="Times New Roman"/>
            <w:color w:val="0000FF"/>
            <w:sz w:val="24"/>
            <w:szCs w:val="24"/>
            <w:u w:val="single"/>
            <w:lang w:eastAsia="ru-RU"/>
          </w:rPr>
          <w:t>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w:t>
        </w:r>
      </w:hyperlink>
      <w:hyperlink r:id="rId7" w:anchor="n22" w:tgtFrame="_blank" w:history="1">
        <w:r w:rsidRPr="00810668">
          <w:rPr>
            <w:rFonts w:ascii="Times New Roman" w:eastAsia="Times New Roman" w:hAnsi="Times New Roman" w:cs="Times New Roman"/>
            <w:color w:val="0000FF"/>
            <w:sz w:val="24"/>
            <w:szCs w:val="24"/>
            <w:u w:val="single"/>
            <w:lang w:eastAsia="ru-RU"/>
          </w:rPr>
          <w:t>ку</w:t>
        </w:r>
      </w:hyperlink>
      <w:r w:rsidRPr="00810668">
        <w:rPr>
          <w:rFonts w:ascii="Times New Roman" w:eastAsia="Times New Roman" w:hAnsi="Times New Roman" w:cs="Times New Roman"/>
          <w:color w:val="000000"/>
          <w:sz w:val="32"/>
          <w:szCs w:val="32"/>
          <w:lang w:eastAsia="ru-RU"/>
        </w:rPr>
        <w:t>, затвердженого рішенням Комісії від 02 жовтня 2012 року № 1343, зареєстрованого в Міністерстві юстиції України 19 жовтня 2012 року за № 1764/22076 (зі змінами), </w:t>
      </w:r>
      <w:hyperlink r:id="rId8" w:anchor="n18" w:tgtFrame="_blank" w:history="1">
        <w:r w:rsidRPr="00810668">
          <w:rPr>
            <w:rFonts w:ascii="Times New Roman" w:eastAsia="Times New Roman" w:hAnsi="Times New Roman" w:cs="Times New Roman"/>
            <w:color w:val="0000FF"/>
            <w:sz w:val="24"/>
            <w:szCs w:val="24"/>
            <w:u w:val="single"/>
            <w:lang w:eastAsia="ru-RU"/>
          </w:rPr>
          <w:t>Порядку проведення перевірок діяльності емітентів цінних паперів</w:t>
        </w:r>
      </w:hyperlink>
      <w:r w:rsidRPr="00810668">
        <w:rPr>
          <w:rFonts w:ascii="Times New Roman" w:eastAsia="Times New Roman" w:hAnsi="Times New Roman" w:cs="Times New Roman"/>
          <w:color w:val="000000"/>
          <w:sz w:val="32"/>
          <w:szCs w:val="32"/>
          <w:lang w:eastAsia="ru-RU"/>
        </w:rPr>
        <w:t>, затвердженого рішенням Комісії від 04 вересня 2012 року № 1178, зареєстрованого в Міністерстві юстиції України 24 вересня 2012 року за № 1643/21955 (зі змінами), проводить аналіз відповідності емітента ознакам фіктивності згідно з ознаками, визначеними у пункті 4 або 5 цього Положення.</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7" w:name="n53"/>
      <w:bookmarkEnd w:id="37"/>
      <w:r w:rsidRPr="00810668">
        <w:rPr>
          <w:rFonts w:ascii="Times New Roman" w:eastAsia="Times New Roman" w:hAnsi="Times New Roman" w:cs="Times New Roman"/>
          <w:color w:val="000000"/>
          <w:sz w:val="32"/>
          <w:szCs w:val="32"/>
          <w:lang w:eastAsia="ru-RU"/>
        </w:rPr>
        <w:lastRenderedPageBreak/>
        <w:t>7. Підставою для прийняття рішення про включення емітента до списку (далі - Рішення) є:</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8" w:name="n54"/>
      <w:bookmarkEnd w:id="38"/>
      <w:r w:rsidRPr="00810668">
        <w:rPr>
          <w:rFonts w:ascii="Times New Roman" w:eastAsia="Times New Roman" w:hAnsi="Times New Roman" w:cs="Times New Roman"/>
          <w:color w:val="000000"/>
          <w:sz w:val="32"/>
          <w:szCs w:val="32"/>
          <w:lang w:eastAsia="ru-RU"/>
        </w:rPr>
        <w:t>відповідність емітента (крім страховиків зі страхування іншого, ніж страхування життя) щонайменше трьом ознакам, визначеним у пункті 4 цього Положення;</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39" w:name="n55"/>
      <w:bookmarkEnd w:id="39"/>
      <w:r w:rsidRPr="00810668">
        <w:rPr>
          <w:rFonts w:ascii="Times New Roman" w:eastAsia="Times New Roman" w:hAnsi="Times New Roman" w:cs="Times New Roman"/>
          <w:color w:val="000000"/>
          <w:sz w:val="32"/>
          <w:szCs w:val="32"/>
          <w:lang w:eastAsia="ru-RU"/>
        </w:rPr>
        <w:t>відповідність емітента - корпоративного інвестиційного фонду щонайменше трьом ознакам, визначеним у пункті 5 цього Положення та/або одночасно двом ознакам фіктивності, встановлених підпунктами 1, 2 пункту 5 цього Положення, що підтверджується відповідними документами;</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0" w:name="n56"/>
      <w:bookmarkEnd w:id="40"/>
      <w:r w:rsidRPr="00810668">
        <w:rPr>
          <w:rFonts w:ascii="Times New Roman" w:eastAsia="Times New Roman" w:hAnsi="Times New Roman" w:cs="Times New Roman"/>
          <w:color w:val="000000"/>
          <w:sz w:val="32"/>
          <w:szCs w:val="32"/>
          <w:lang w:eastAsia="ru-RU"/>
        </w:rPr>
        <w:t>відповідність емітента - страховика зі страхування іншого, ніж страхування життя, одночасно двом ознакам фіктивності, визначеним у </w:t>
      </w:r>
      <w:hyperlink r:id="rId9" w:anchor="n32" w:history="1">
        <w:r w:rsidRPr="00810668">
          <w:rPr>
            <w:rFonts w:ascii="Times New Roman" w:eastAsia="Times New Roman" w:hAnsi="Times New Roman" w:cs="Times New Roman"/>
            <w:color w:val="0000FF"/>
            <w:sz w:val="24"/>
            <w:szCs w:val="24"/>
            <w:u w:val="single"/>
            <w:lang w:eastAsia="ru-RU"/>
          </w:rPr>
          <w:t>підпунктах 1-7</w:t>
        </w:r>
      </w:hyperlink>
      <w:r w:rsidRPr="00810668">
        <w:rPr>
          <w:rFonts w:ascii="Times New Roman" w:eastAsia="Times New Roman" w:hAnsi="Times New Roman" w:cs="Times New Roman"/>
          <w:color w:val="000000"/>
          <w:sz w:val="32"/>
          <w:szCs w:val="32"/>
          <w:lang w:eastAsia="ru-RU"/>
        </w:rPr>
        <w:t> пункту 4 цього Положення, та/або одній з ознак фіктивності, встановлених </w:t>
      </w:r>
      <w:hyperlink r:id="rId10" w:anchor="n39" w:history="1">
        <w:r w:rsidRPr="00810668">
          <w:rPr>
            <w:rFonts w:ascii="Times New Roman" w:eastAsia="Times New Roman" w:hAnsi="Times New Roman" w:cs="Times New Roman"/>
            <w:color w:val="0000FF"/>
            <w:sz w:val="24"/>
            <w:szCs w:val="24"/>
            <w:u w:val="single"/>
            <w:lang w:eastAsia="ru-RU"/>
          </w:rPr>
          <w:t>підпунктами 8-10</w:t>
        </w:r>
      </w:hyperlink>
      <w:r w:rsidRPr="00810668">
        <w:rPr>
          <w:rFonts w:ascii="Times New Roman" w:eastAsia="Times New Roman" w:hAnsi="Times New Roman" w:cs="Times New Roman"/>
          <w:color w:val="000000"/>
          <w:sz w:val="32"/>
          <w:szCs w:val="32"/>
          <w:lang w:eastAsia="ru-RU"/>
        </w:rPr>
        <w:t> пункту 4, що підтверджується відповідними документами.</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1" w:name="n57"/>
      <w:bookmarkEnd w:id="41"/>
      <w:r w:rsidRPr="00810668">
        <w:rPr>
          <w:rFonts w:ascii="Times New Roman" w:eastAsia="Times New Roman" w:hAnsi="Times New Roman" w:cs="Times New Roman"/>
          <w:color w:val="000000"/>
          <w:sz w:val="32"/>
          <w:szCs w:val="32"/>
          <w:lang w:eastAsia="ru-RU"/>
        </w:rPr>
        <w:t>8. На підставі Рішення шляхом прийняття Комісією окремого рішення здійснюється зупинення обігу цінних паперів емітента, крім операцій, пов’язаних із викупом цінних паперів, спадкуванням та правонаступництвом, правочинами, які вчиняються на виконання рішення суду, яке набрало законної сили.</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2" w:name="n58"/>
      <w:bookmarkEnd w:id="42"/>
      <w:r w:rsidRPr="00810668">
        <w:rPr>
          <w:rFonts w:ascii="Times New Roman" w:eastAsia="Times New Roman" w:hAnsi="Times New Roman" w:cs="Times New Roman"/>
          <w:color w:val="000000"/>
          <w:sz w:val="32"/>
          <w:szCs w:val="32"/>
          <w:lang w:eastAsia="ru-RU"/>
        </w:rPr>
        <w:t>Рішення про зупинення обігу цінних паперів містить інформацію про дату, з якої забороняється вчинення правочинів, пов’язаних з переходом прав власності на цінні папери, та обмежується здійснення операцій у системі депозитарного обліку з цінними паперами цього випуску.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3" w:name="n59"/>
      <w:bookmarkEnd w:id="43"/>
      <w:r w:rsidRPr="00810668">
        <w:rPr>
          <w:rFonts w:ascii="Times New Roman" w:eastAsia="Times New Roman" w:hAnsi="Times New Roman" w:cs="Times New Roman"/>
          <w:color w:val="000000"/>
          <w:sz w:val="32"/>
          <w:szCs w:val="32"/>
          <w:lang w:eastAsia="ru-RU"/>
        </w:rPr>
        <w:t>Датою, з якої забороняється вчинення правочинів, пов’язаних з переходом прав власності на цінні папери, та обмежується здійснення операцій у системі депозитарного обліку з цінними паперами цього випуску, є дата, що настає на четвертий робочий день з дати прийняття рішення про зупинення обігу цінних паперів.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4" w:name="n60"/>
      <w:bookmarkEnd w:id="44"/>
      <w:r w:rsidRPr="00810668">
        <w:rPr>
          <w:rFonts w:ascii="Times New Roman" w:eastAsia="Times New Roman" w:hAnsi="Times New Roman" w:cs="Times New Roman"/>
          <w:color w:val="000000"/>
          <w:sz w:val="32"/>
          <w:szCs w:val="32"/>
          <w:lang w:eastAsia="ru-RU"/>
        </w:rPr>
        <w:t>9. Комісія не пізніше наступного робочого дня після прийняття Рішення забезпечує:</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5" w:name="n61"/>
      <w:bookmarkEnd w:id="45"/>
      <w:r w:rsidRPr="00810668">
        <w:rPr>
          <w:rFonts w:ascii="Times New Roman" w:eastAsia="Times New Roman" w:hAnsi="Times New Roman" w:cs="Times New Roman"/>
          <w:color w:val="000000"/>
          <w:sz w:val="32"/>
          <w:szCs w:val="32"/>
          <w:lang w:eastAsia="ru-RU"/>
        </w:rPr>
        <w:t>оприлюднення Рішення та рішення про зупинення обігу цінних паперів на офіційному веб-сайті Комісії;</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6" w:name="n62"/>
      <w:bookmarkEnd w:id="46"/>
      <w:r w:rsidRPr="00810668">
        <w:rPr>
          <w:rFonts w:ascii="Times New Roman" w:eastAsia="Times New Roman" w:hAnsi="Times New Roman" w:cs="Times New Roman"/>
          <w:color w:val="000000"/>
          <w:sz w:val="32"/>
          <w:szCs w:val="32"/>
          <w:lang w:eastAsia="ru-RU"/>
        </w:rPr>
        <w:lastRenderedPageBreak/>
        <w:t>направлення копій Рішення та рішення про зупинення обігу цінних паперів емітенту (крім випадку відсутності емітента за місцезнаходженням);</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7" w:name="n63"/>
      <w:bookmarkEnd w:id="47"/>
      <w:r w:rsidRPr="00810668">
        <w:rPr>
          <w:rFonts w:ascii="Times New Roman" w:eastAsia="Times New Roman" w:hAnsi="Times New Roman" w:cs="Times New Roman"/>
          <w:color w:val="000000"/>
          <w:sz w:val="32"/>
          <w:szCs w:val="32"/>
          <w:lang w:eastAsia="ru-RU"/>
        </w:rPr>
        <w:t>направлення копій Рішення та рішення про зупинення обігу цінних паперів фондовим біржам у паперовому або електронному вигляді;</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8" w:name="n64"/>
      <w:bookmarkEnd w:id="48"/>
      <w:r w:rsidRPr="00810668">
        <w:rPr>
          <w:rFonts w:ascii="Times New Roman" w:eastAsia="Times New Roman" w:hAnsi="Times New Roman" w:cs="Times New Roman"/>
          <w:color w:val="000000"/>
          <w:sz w:val="32"/>
          <w:szCs w:val="32"/>
          <w:lang w:eastAsia="ru-RU"/>
        </w:rPr>
        <w:t>направлення Рішення та рішення про зупинення обігу цінних паперів до Центрального депозитарію цінних паперів відповідно до нормативно-правового акта Комісії, що встановлює порядок обміну електронними документами Комісії та Центрального депозитарію цінних паперів.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49" w:name="n65"/>
      <w:bookmarkEnd w:id="49"/>
      <w:r w:rsidRPr="00810668">
        <w:rPr>
          <w:rFonts w:ascii="Times New Roman" w:eastAsia="Times New Roman" w:hAnsi="Times New Roman" w:cs="Times New Roman"/>
          <w:color w:val="000000"/>
          <w:sz w:val="32"/>
          <w:szCs w:val="32"/>
          <w:lang w:eastAsia="ru-RU"/>
        </w:rPr>
        <w:t>Комісія на четвертий робочий день з дати прийняття Рішення та рішення про зупинення обігу цінних паперів вносить відповідну інформацію до списку, який оприлюднюється на офіційному веб-сайті Комісії.</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0" w:name="n66"/>
      <w:bookmarkEnd w:id="50"/>
      <w:r w:rsidRPr="00810668">
        <w:rPr>
          <w:rFonts w:ascii="Times New Roman" w:eastAsia="Times New Roman" w:hAnsi="Times New Roman" w:cs="Times New Roman"/>
          <w:color w:val="000000"/>
          <w:sz w:val="32"/>
          <w:szCs w:val="32"/>
          <w:lang w:eastAsia="ru-RU"/>
        </w:rPr>
        <w:t>Комісія додатково забезпечує опублікування Рішення та рішення про зупинення обігу цінних паперів в одному з офіційних друкованих видань Комісії протягом 5 робочих днів з дати прийняття Рішення.</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1" w:name="n67"/>
      <w:bookmarkEnd w:id="51"/>
      <w:r w:rsidRPr="00810668">
        <w:rPr>
          <w:rFonts w:ascii="Times New Roman" w:eastAsia="Times New Roman" w:hAnsi="Times New Roman" w:cs="Times New Roman"/>
          <w:color w:val="000000"/>
          <w:sz w:val="32"/>
          <w:szCs w:val="32"/>
          <w:lang w:eastAsia="ru-RU"/>
        </w:rPr>
        <w:t>10. Емітент та його цінні папери вважаються такими, що мають ознаки фіктивності, з дати внесення відповідної інформації до списку.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2" w:name="n68"/>
      <w:bookmarkEnd w:id="52"/>
      <w:r w:rsidRPr="00810668">
        <w:rPr>
          <w:rFonts w:ascii="Times New Roman" w:eastAsia="Times New Roman" w:hAnsi="Times New Roman" w:cs="Times New Roman"/>
          <w:color w:val="000000"/>
          <w:sz w:val="32"/>
          <w:szCs w:val="32"/>
          <w:lang w:eastAsia="ru-RU"/>
        </w:rPr>
        <w:t>11. Рішення та рішення про зупинення обігу цінних паперів можуть бути оскаржені до суду в установленому чинним законодавством порядку.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3" w:name="n69"/>
      <w:bookmarkEnd w:id="53"/>
      <w:r w:rsidRPr="00810668">
        <w:rPr>
          <w:rFonts w:ascii="Times New Roman" w:eastAsia="Times New Roman" w:hAnsi="Times New Roman" w:cs="Times New Roman"/>
          <w:color w:val="000000"/>
          <w:sz w:val="32"/>
          <w:szCs w:val="32"/>
          <w:lang w:eastAsia="ru-RU"/>
        </w:rPr>
        <w:t>12. Усунення емітентом ознак, які стали підставою для прийняття Рішення, (крім ознак, для визначення яких використовується показник капіталізації), є підставою для виключення емітента зі списку.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4" w:name="n70"/>
      <w:bookmarkEnd w:id="54"/>
      <w:r w:rsidRPr="00810668">
        <w:rPr>
          <w:rFonts w:ascii="Times New Roman" w:eastAsia="Times New Roman" w:hAnsi="Times New Roman" w:cs="Times New Roman"/>
          <w:color w:val="000000"/>
          <w:sz w:val="32"/>
          <w:szCs w:val="32"/>
          <w:lang w:eastAsia="ru-RU"/>
        </w:rPr>
        <w:t>У разі отримання Комісією документів, що підтверджують усунення ознак, які стали підставою для прийняття Рішення, Комісія здійснює згідно з законодавством відповідну перевірку, та за її результатами у разі підтвердження усунення таких ознак емітент виключається зі списку на підставі відповідного рішення Комісії.</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5" w:name="n71"/>
      <w:bookmarkEnd w:id="55"/>
      <w:r w:rsidRPr="00810668">
        <w:rPr>
          <w:rFonts w:ascii="Times New Roman" w:eastAsia="Times New Roman" w:hAnsi="Times New Roman" w:cs="Times New Roman"/>
          <w:color w:val="000000"/>
          <w:sz w:val="32"/>
          <w:szCs w:val="32"/>
          <w:lang w:eastAsia="ru-RU"/>
        </w:rPr>
        <w:t>На підставі рішення про виключення емітента зі списку здійснюється відновлення обігу цінних паперів емітента шляхом прийняття Комісією окремого рішення про відновлення обігу цінних паперів.</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6" w:name="n72"/>
      <w:bookmarkEnd w:id="56"/>
      <w:r w:rsidRPr="00810668">
        <w:rPr>
          <w:rFonts w:ascii="Times New Roman" w:eastAsia="Times New Roman" w:hAnsi="Times New Roman" w:cs="Times New Roman"/>
          <w:color w:val="000000"/>
          <w:sz w:val="32"/>
          <w:szCs w:val="32"/>
          <w:lang w:eastAsia="ru-RU"/>
        </w:rPr>
        <w:lastRenderedPageBreak/>
        <w:t>У разі отримання Комісією інформації про внесення до Єдиного державного реєстру юридичних осіб, фізичних осіб - підприємців та громадських формувань запису про державну реєстрацію припинення юридичної особи - емітента емітент виключається зі списку на підставі відповідного рішення Комісії.</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7" w:name="n73"/>
      <w:bookmarkEnd w:id="57"/>
      <w:r w:rsidRPr="00810668">
        <w:rPr>
          <w:rFonts w:ascii="Times New Roman" w:eastAsia="Times New Roman" w:hAnsi="Times New Roman" w:cs="Times New Roman"/>
          <w:color w:val="000000"/>
          <w:sz w:val="32"/>
          <w:szCs w:val="32"/>
          <w:lang w:eastAsia="ru-RU"/>
        </w:rPr>
        <w:t>13. Оприлюднення рішень, зазначених у пункті 12 цього Положення, внесення відповідної інформації до списку, їх оприлюднення та направлення емітенту, фондовим біржам та Центральному депозитарію цінних паперів здійснюються у спосіб та строк, що визначені в пункті 9 цього Положення.</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8" w:name="n74"/>
      <w:bookmarkEnd w:id="58"/>
      <w:r w:rsidRPr="00810668">
        <w:rPr>
          <w:rFonts w:ascii="Times New Roman" w:eastAsia="Times New Roman" w:hAnsi="Times New Roman" w:cs="Times New Roman"/>
          <w:color w:val="000000"/>
          <w:sz w:val="32"/>
          <w:szCs w:val="32"/>
          <w:lang w:eastAsia="ru-RU"/>
        </w:rPr>
        <w:t>Емітент та його цінні папери вважаються такими, що не мають ознак фіктивності, з дати внесення відповідної інформації до списку.</w:t>
      </w:r>
    </w:p>
    <w:p w:rsidR="00810668" w:rsidRPr="00810668" w:rsidRDefault="00810668" w:rsidP="00810668">
      <w:pPr>
        <w:shd w:val="clear" w:color="auto" w:fill="FFFFFF"/>
        <w:spacing w:line="240" w:lineRule="auto"/>
        <w:ind w:firstLine="600"/>
        <w:jc w:val="both"/>
        <w:rPr>
          <w:rFonts w:ascii="Times New Roman" w:eastAsia="Times New Roman" w:hAnsi="Times New Roman" w:cs="Times New Roman"/>
          <w:color w:val="000000"/>
          <w:sz w:val="32"/>
          <w:szCs w:val="32"/>
          <w:lang w:eastAsia="ru-RU"/>
        </w:rPr>
      </w:pPr>
      <w:bookmarkStart w:id="59" w:name="n75"/>
      <w:bookmarkEnd w:id="59"/>
      <w:r w:rsidRPr="00810668">
        <w:rPr>
          <w:rFonts w:ascii="Times New Roman" w:eastAsia="Times New Roman" w:hAnsi="Times New Roman" w:cs="Times New Roman"/>
          <w:color w:val="000000"/>
          <w:sz w:val="32"/>
          <w:szCs w:val="32"/>
          <w:lang w:eastAsia="ru-RU"/>
        </w:rPr>
        <w:t>14. Формування та ведення списку здійснюються Комісією в електронному вигляді за формою, наведеною у </w:t>
      </w:r>
      <w:hyperlink r:id="rId11" w:anchor="n78" w:history="1">
        <w:r w:rsidRPr="00810668">
          <w:rPr>
            <w:rFonts w:ascii="Times New Roman" w:eastAsia="Times New Roman" w:hAnsi="Times New Roman" w:cs="Times New Roman"/>
            <w:color w:val="0000FF"/>
            <w:sz w:val="24"/>
            <w:szCs w:val="24"/>
            <w:u w:val="single"/>
            <w:lang w:eastAsia="ru-RU"/>
          </w:rPr>
          <w:t>додатку</w:t>
        </w:r>
      </w:hyperlink>
      <w:r w:rsidRPr="00810668">
        <w:rPr>
          <w:rFonts w:ascii="Times New Roman" w:eastAsia="Times New Roman" w:hAnsi="Times New Roman" w:cs="Times New Roman"/>
          <w:color w:val="000000"/>
          <w:sz w:val="32"/>
          <w:szCs w:val="32"/>
          <w:lang w:eastAsia="ru-RU"/>
        </w:rPr>
        <w:t> до цього Положення.</w:t>
      </w:r>
    </w:p>
    <w:tbl>
      <w:tblPr>
        <w:tblW w:w="5000" w:type="pct"/>
        <w:tblCellMar>
          <w:left w:w="0" w:type="dxa"/>
          <w:right w:w="0" w:type="dxa"/>
        </w:tblCellMar>
        <w:tblLook w:val="04A0"/>
      </w:tblPr>
      <w:tblGrid>
        <w:gridCol w:w="4051"/>
        <w:gridCol w:w="5594"/>
      </w:tblGrid>
      <w:tr w:rsidR="00810668" w:rsidRPr="00810668" w:rsidTr="00810668">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810668" w:rsidRPr="00810668" w:rsidRDefault="00810668" w:rsidP="00810668">
            <w:pPr>
              <w:spacing w:before="400" w:line="240" w:lineRule="auto"/>
              <w:jc w:val="center"/>
              <w:rPr>
                <w:rFonts w:ascii="Times New Roman" w:eastAsia="Times New Roman" w:hAnsi="Times New Roman" w:cs="Times New Roman"/>
                <w:sz w:val="24"/>
                <w:szCs w:val="24"/>
                <w:lang w:eastAsia="ru-RU"/>
              </w:rPr>
            </w:pPr>
            <w:bookmarkStart w:id="60" w:name="n76"/>
            <w:bookmarkEnd w:id="60"/>
            <w:r w:rsidRPr="00810668">
              <w:rPr>
                <w:rFonts w:ascii="Times New Roman" w:eastAsia="Times New Roman" w:hAnsi="Times New Roman" w:cs="Times New Roman"/>
                <w:b/>
                <w:bCs/>
                <w:color w:val="000000"/>
                <w:sz w:val="24"/>
                <w:szCs w:val="24"/>
                <w:lang w:eastAsia="ru-RU"/>
              </w:rPr>
              <w:t>Директор департаменту</w:t>
            </w:r>
            <w:r w:rsidRPr="00810668">
              <w:rPr>
                <w:rFonts w:ascii="Times New Roman" w:eastAsia="Times New Roman" w:hAnsi="Times New Roman" w:cs="Times New Roman"/>
                <w:sz w:val="24"/>
                <w:szCs w:val="24"/>
                <w:lang w:eastAsia="ru-RU"/>
              </w:rPr>
              <w:t> </w:t>
            </w:r>
            <w:r w:rsidRPr="00810668">
              <w:rPr>
                <w:rFonts w:ascii="Times New Roman" w:eastAsia="Times New Roman" w:hAnsi="Times New Roman" w:cs="Times New Roman"/>
                <w:sz w:val="24"/>
                <w:szCs w:val="24"/>
                <w:lang w:eastAsia="ru-RU"/>
              </w:rPr>
              <w:br/>
            </w:r>
            <w:r w:rsidRPr="00810668">
              <w:rPr>
                <w:rFonts w:ascii="Times New Roman" w:eastAsia="Times New Roman" w:hAnsi="Times New Roman" w:cs="Times New Roman"/>
                <w:b/>
                <w:bCs/>
                <w:color w:val="000000"/>
                <w:sz w:val="24"/>
                <w:szCs w:val="24"/>
                <w:lang w:eastAsia="ru-RU"/>
              </w:rPr>
              <w:t>корпоративного управління</w:t>
            </w:r>
            <w:r w:rsidRPr="00810668">
              <w:rPr>
                <w:rFonts w:ascii="Times New Roman" w:eastAsia="Times New Roman" w:hAnsi="Times New Roman" w:cs="Times New Roman"/>
                <w:sz w:val="24"/>
                <w:szCs w:val="24"/>
                <w:lang w:eastAsia="ru-RU"/>
              </w:rPr>
              <w:t> </w:t>
            </w:r>
            <w:r w:rsidRPr="00810668">
              <w:rPr>
                <w:rFonts w:ascii="Times New Roman" w:eastAsia="Times New Roman" w:hAnsi="Times New Roman" w:cs="Times New Roman"/>
                <w:sz w:val="24"/>
                <w:szCs w:val="24"/>
                <w:lang w:eastAsia="ru-RU"/>
              </w:rPr>
              <w:br/>
            </w:r>
            <w:r w:rsidRPr="00810668">
              <w:rPr>
                <w:rFonts w:ascii="Times New Roman" w:eastAsia="Times New Roman" w:hAnsi="Times New Roman" w:cs="Times New Roman"/>
                <w:b/>
                <w:bCs/>
                <w:color w:val="000000"/>
                <w:sz w:val="24"/>
                <w:szCs w:val="24"/>
                <w:lang w:eastAsia="ru-RU"/>
              </w:rPr>
              <w:t>та корпоративних фінансів</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810668" w:rsidRPr="00810668" w:rsidRDefault="00810668" w:rsidP="00810668">
            <w:pPr>
              <w:spacing w:before="400" w:after="0" w:line="240" w:lineRule="auto"/>
              <w:jc w:val="right"/>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br/>
            </w:r>
            <w:r w:rsidRPr="00810668">
              <w:rPr>
                <w:rFonts w:ascii="Times New Roman" w:eastAsia="Times New Roman" w:hAnsi="Times New Roman" w:cs="Times New Roman"/>
                <w:sz w:val="24"/>
                <w:szCs w:val="24"/>
                <w:lang w:eastAsia="ru-RU"/>
              </w:rPr>
              <w:br/>
            </w:r>
            <w:r w:rsidRPr="00810668">
              <w:rPr>
                <w:rFonts w:ascii="Times New Roman" w:eastAsia="Times New Roman" w:hAnsi="Times New Roman" w:cs="Times New Roman"/>
                <w:b/>
                <w:bCs/>
                <w:color w:val="000000"/>
                <w:sz w:val="24"/>
                <w:szCs w:val="24"/>
                <w:lang w:eastAsia="ru-RU"/>
              </w:rPr>
              <w:t>А. Папаіка</w:t>
            </w:r>
          </w:p>
        </w:tc>
      </w:tr>
    </w:tbl>
    <w:p w:rsidR="00810668" w:rsidRPr="00810668" w:rsidRDefault="00810668" w:rsidP="00810668">
      <w:pPr>
        <w:spacing w:after="0" w:line="240" w:lineRule="auto"/>
        <w:rPr>
          <w:rFonts w:ascii="Times New Roman" w:eastAsia="Times New Roman" w:hAnsi="Times New Roman" w:cs="Times New Roman"/>
          <w:sz w:val="24"/>
          <w:szCs w:val="24"/>
          <w:lang w:eastAsia="ru-RU"/>
        </w:rPr>
      </w:pPr>
      <w:bookmarkStart w:id="61" w:name="n81"/>
      <w:bookmarkEnd w:id="61"/>
      <w:r w:rsidRPr="00810668">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5106"/>
        <w:gridCol w:w="4539"/>
      </w:tblGrid>
      <w:tr w:rsidR="00810668" w:rsidRPr="00810668" w:rsidTr="00810668">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810668" w:rsidRPr="00810668" w:rsidRDefault="00810668" w:rsidP="00810668">
            <w:pPr>
              <w:spacing w:before="200" w:line="240" w:lineRule="auto"/>
              <w:rPr>
                <w:rFonts w:ascii="Times New Roman" w:eastAsia="Times New Roman" w:hAnsi="Times New Roman" w:cs="Times New Roman"/>
                <w:sz w:val="24"/>
                <w:szCs w:val="24"/>
                <w:lang w:eastAsia="ru-RU"/>
              </w:rPr>
            </w:pPr>
            <w:bookmarkStart w:id="62" w:name="n77"/>
            <w:bookmarkEnd w:id="6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810668" w:rsidRPr="00810668" w:rsidRDefault="00810668" w:rsidP="00810668">
            <w:pPr>
              <w:spacing w:before="200" w:line="240" w:lineRule="auto"/>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Додаток </w:t>
            </w:r>
            <w:r w:rsidRPr="00810668">
              <w:rPr>
                <w:rFonts w:ascii="Times New Roman" w:eastAsia="Times New Roman" w:hAnsi="Times New Roman" w:cs="Times New Roman"/>
                <w:sz w:val="24"/>
                <w:szCs w:val="24"/>
                <w:lang w:eastAsia="ru-RU"/>
              </w:rPr>
              <w:br/>
              <w:t>до Положення про встановлення </w:t>
            </w:r>
            <w:r w:rsidRPr="00810668">
              <w:rPr>
                <w:rFonts w:ascii="Times New Roman" w:eastAsia="Times New Roman" w:hAnsi="Times New Roman" w:cs="Times New Roman"/>
                <w:sz w:val="24"/>
                <w:szCs w:val="24"/>
                <w:lang w:eastAsia="ru-RU"/>
              </w:rPr>
              <w:br/>
              <w:t>ознак фіктивності емітентів </w:t>
            </w:r>
            <w:r w:rsidRPr="00810668">
              <w:rPr>
                <w:rFonts w:ascii="Times New Roman" w:eastAsia="Times New Roman" w:hAnsi="Times New Roman" w:cs="Times New Roman"/>
                <w:sz w:val="24"/>
                <w:szCs w:val="24"/>
                <w:lang w:eastAsia="ru-RU"/>
              </w:rPr>
              <w:br/>
              <w:t>цінних паперів </w:t>
            </w:r>
            <w:r w:rsidRPr="00810668">
              <w:rPr>
                <w:rFonts w:ascii="Times New Roman" w:eastAsia="Times New Roman" w:hAnsi="Times New Roman" w:cs="Times New Roman"/>
                <w:sz w:val="24"/>
                <w:szCs w:val="24"/>
                <w:lang w:eastAsia="ru-RU"/>
              </w:rPr>
              <w:br/>
              <w:t>та включення таких емітентів </w:t>
            </w:r>
            <w:r w:rsidRPr="00810668">
              <w:rPr>
                <w:rFonts w:ascii="Times New Roman" w:eastAsia="Times New Roman" w:hAnsi="Times New Roman" w:cs="Times New Roman"/>
                <w:sz w:val="24"/>
                <w:szCs w:val="24"/>
                <w:lang w:eastAsia="ru-RU"/>
              </w:rPr>
              <w:br/>
              <w:t>до списку емітентів, </w:t>
            </w:r>
            <w:r w:rsidRPr="00810668">
              <w:rPr>
                <w:rFonts w:ascii="Times New Roman" w:eastAsia="Times New Roman" w:hAnsi="Times New Roman" w:cs="Times New Roman"/>
                <w:sz w:val="24"/>
                <w:szCs w:val="24"/>
                <w:lang w:eastAsia="ru-RU"/>
              </w:rPr>
              <w:br/>
              <w:t>що мають ознаки фіктивності </w:t>
            </w:r>
            <w:r w:rsidRPr="00810668">
              <w:rPr>
                <w:rFonts w:ascii="Times New Roman" w:eastAsia="Times New Roman" w:hAnsi="Times New Roman" w:cs="Times New Roman"/>
                <w:sz w:val="24"/>
                <w:szCs w:val="24"/>
                <w:lang w:eastAsia="ru-RU"/>
              </w:rPr>
              <w:br/>
              <w:t>(пункт 14)</w:t>
            </w:r>
          </w:p>
        </w:tc>
      </w:tr>
    </w:tbl>
    <w:p w:rsidR="00810668" w:rsidRPr="00810668" w:rsidRDefault="00810668" w:rsidP="00810668">
      <w:pPr>
        <w:shd w:val="clear" w:color="auto" w:fill="FFFFFF"/>
        <w:spacing w:before="200" w:line="240" w:lineRule="auto"/>
        <w:ind w:left="600" w:right="600"/>
        <w:jc w:val="center"/>
        <w:rPr>
          <w:rFonts w:ascii="Times New Roman" w:eastAsia="Times New Roman" w:hAnsi="Times New Roman" w:cs="Times New Roman"/>
          <w:color w:val="000000"/>
          <w:sz w:val="32"/>
          <w:szCs w:val="32"/>
          <w:lang w:eastAsia="ru-RU"/>
        </w:rPr>
      </w:pPr>
      <w:bookmarkStart w:id="63" w:name="n78"/>
      <w:bookmarkEnd w:id="63"/>
      <w:r w:rsidRPr="00810668">
        <w:rPr>
          <w:rFonts w:ascii="Times New Roman" w:eastAsia="Times New Roman" w:hAnsi="Times New Roman" w:cs="Times New Roman"/>
          <w:b/>
          <w:bCs/>
          <w:color w:val="000000"/>
          <w:sz w:val="28"/>
          <w:lang w:eastAsia="ru-RU"/>
        </w:rPr>
        <w:t>СПИСОК </w:t>
      </w:r>
      <w:r w:rsidRPr="00810668">
        <w:rPr>
          <w:rFonts w:ascii="Times New Roman" w:eastAsia="Times New Roman" w:hAnsi="Times New Roman" w:cs="Times New Roman"/>
          <w:color w:val="000000"/>
          <w:sz w:val="32"/>
          <w:szCs w:val="32"/>
          <w:lang w:eastAsia="ru-RU"/>
        </w:rPr>
        <w:br/>
      </w:r>
      <w:r w:rsidRPr="00810668">
        <w:rPr>
          <w:rFonts w:ascii="Times New Roman" w:eastAsia="Times New Roman" w:hAnsi="Times New Roman" w:cs="Times New Roman"/>
          <w:b/>
          <w:bCs/>
          <w:color w:val="000000"/>
          <w:sz w:val="28"/>
          <w:lang w:eastAsia="ru-RU"/>
        </w:rPr>
        <w:t>емітентів, що мають ознаки фіктивності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31"/>
        <w:gridCol w:w="1724"/>
        <w:gridCol w:w="1540"/>
        <w:gridCol w:w="1355"/>
        <w:gridCol w:w="1724"/>
        <w:gridCol w:w="1540"/>
        <w:gridCol w:w="1355"/>
      </w:tblGrid>
      <w:tr w:rsidR="00810668" w:rsidRPr="00810668" w:rsidTr="00810668">
        <w:tc>
          <w:tcPr>
            <w:tcW w:w="4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bookmarkStart w:id="64" w:name="n79"/>
            <w:bookmarkEnd w:id="64"/>
            <w:r w:rsidRPr="00810668">
              <w:rPr>
                <w:rFonts w:ascii="Times New Roman" w:eastAsia="Times New Roman" w:hAnsi="Times New Roman" w:cs="Times New Roman"/>
                <w:sz w:val="24"/>
                <w:szCs w:val="24"/>
                <w:lang w:eastAsia="ru-RU"/>
              </w:rPr>
              <w:t>№ з/п</w:t>
            </w: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 xml:space="preserve">Дата внесення інформації про емітента, щодо якого прийнято рішення про включення емітента до списку емітентів, що мають ознаки фіктивності, або </w:t>
            </w:r>
            <w:r w:rsidRPr="00810668">
              <w:rPr>
                <w:rFonts w:ascii="Times New Roman" w:eastAsia="Times New Roman" w:hAnsi="Times New Roman" w:cs="Times New Roman"/>
                <w:sz w:val="24"/>
                <w:szCs w:val="24"/>
                <w:lang w:eastAsia="ru-RU"/>
              </w:rPr>
              <w:lastRenderedPageBreak/>
              <w:t>рішення про виключення емітента зі списку емітентів, що мають ознаки фіктивності</w:t>
            </w:r>
          </w:p>
        </w:tc>
        <w:tc>
          <w:tcPr>
            <w:tcW w:w="150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lastRenderedPageBreak/>
              <w:t>Повне найменування емітента</w:t>
            </w:r>
          </w:p>
        </w:tc>
        <w:tc>
          <w:tcPr>
            <w:tcW w:w="13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Код за ЄДРПОУ</w:t>
            </w: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Номер і дата рішення про включення емітента до списку емітентів, що мають ознаки фіктивності</w:t>
            </w:r>
          </w:p>
        </w:tc>
        <w:tc>
          <w:tcPr>
            <w:tcW w:w="150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Номер і дата рішення про виключення емітента зі списку емітентів, що мають ознаки фіктивності</w:t>
            </w:r>
          </w:p>
        </w:tc>
        <w:tc>
          <w:tcPr>
            <w:tcW w:w="13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Примітки</w:t>
            </w:r>
          </w:p>
        </w:tc>
      </w:tr>
      <w:tr w:rsidR="00810668" w:rsidRPr="00810668" w:rsidTr="00810668">
        <w:tc>
          <w:tcPr>
            <w:tcW w:w="4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lastRenderedPageBreak/>
              <w:t>1</w:t>
            </w: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3</w:t>
            </w:r>
          </w:p>
        </w:tc>
        <w:tc>
          <w:tcPr>
            <w:tcW w:w="13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4</w:t>
            </w: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5</w:t>
            </w:r>
          </w:p>
        </w:tc>
        <w:tc>
          <w:tcPr>
            <w:tcW w:w="150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6</w:t>
            </w:r>
          </w:p>
        </w:tc>
        <w:tc>
          <w:tcPr>
            <w:tcW w:w="13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r w:rsidRPr="00810668">
              <w:rPr>
                <w:rFonts w:ascii="Times New Roman" w:eastAsia="Times New Roman" w:hAnsi="Times New Roman" w:cs="Times New Roman"/>
                <w:sz w:val="24"/>
                <w:szCs w:val="24"/>
                <w:lang w:eastAsia="ru-RU"/>
              </w:rPr>
              <w:t>7</w:t>
            </w:r>
          </w:p>
        </w:tc>
      </w:tr>
      <w:tr w:rsidR="00810668" w:rsidRPr="00810668" w:rsidTr="00810668">
        <w:tc>
          <w:tcPr>
            <w:tcW w:w="4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p>
        </w:tc>
        <w:tc>
          <w:tcPr>
            <w:tcW w:w="150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hideMark/>
          </w:tcPr>
          <w:p w:rsidR="00810668" w:rsidRPr="00810668" w:rsidRDefault="00810668" w:rsidP="00810668">
            <w:pPr>
              <w:spacing w:before="200" w:line="240" w:lineRule="auto"/>
              <w:jc w:val="center"/>
              <w:rPr>
                <w:rFonts w:ascii="Times New Roman" w:eastAsia="Times New Roman" w:hAnsi="Times New Roman" w:cs="Times New Roman"/>
                <w:sz w:val="24"/>
                <w:szCs w:val="24"/>
                <w:lang w:eastAsia="ru-RU"/>
              </w:rPr>
            </w:pPr>
          </w:p>
        </w:tc>
      </w:tr>
    </w:tbl>
    <w:p w:rsidR="002259A9" w:rsidRDefault="002259A9"/>
    <w:sectPr w:rsidR="002259A9" w:rsidSect="002259A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compat/>
  <w:rsids>
    <w:rsidRoot w:val="00810668"/>
    <w:rsid w:val="002259A9"/>
    <w:rsid w:val="00810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810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10668"/>
  </w:style>
  <w:style w:type="paragraph" w:customStyle="1" w:styleId="rvps2">
    <w:name w:val="rvps2"/>
    <w:basedOn w:val="a"/>
    <w:rsid w:val="00810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0668"/>
    <w:rPr>
      <w:color w:val="0000FF"/>
      <w:u w:val="single"/>
    </w:rPr>
  </w:style>
  <w:style w:type="paragraph" w:customStyle="1" w:styleId="rvps4">
    <w:name w:val="rvps4"/>
    <w:basedOn w:val="a"/>
    <w:rsid w:val="00810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10668"/>
  </w:style>
  <w:style w:type="paragraph" w:customStyle="1" w:styleId="rvps15">
    <w:name w:val="rvps15"/>
    <w:basedOn w:val="a"/>
    <w:rsid w:val="00810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106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8106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10668"/>
  </w:style>
  <w:style w:type="paragraph" w:customStyle="1" w:styleId="rvps12">
    <w:name w:val="rvps12"/>
    <w:basedOn w:val="a"/>
    <w:rsid w:val="008106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920938">
      <w:bodyDiv w:val="1"/>
      <w:marLeft w:val="0"/>
      <w:marRight w:val="0"/>
      <w:marTop w:val="0"/>
      <w:marBottom w:val="0"/>
      <w:divBdr>
        <w:top w:val="none" w:sz="0" w:space="0" w:color="auto"/>
        <w:left w:val="none" w:sz="0" w:space="0" w:color="auto"/>
        <w:bottom w:val="none" w:sz="0" w:space="0" w:color="auto"/>
        <w:right w:val="none" w:sz="0" w:space="0" w:color="auto"/>
      </w:divBdr>
      <w:divsChild>
        <w:div w:id="346909842">
          <w:marLeft w:val="0"/>
          <w:marRight w:val="0"/>
          <w:marTop w:val="0"/>
          <w:marBottom w:val="200"/>
          <w:divBdr>
            <w:top w:val="none" w:sz="0" w:space="0" w:color="auto"/>
            <w:left w:val="none" w:sz="0" w:space="0" w:color="auto"/>
            <w:bottom w:val="none" w:sz="0" w:space="0" w:color="auto"/>
            <w:right w:val="none" w:sz="0" w:space="0" w:color="auto"/>
          </w:divBdr>
        </w:div>
        <w:div w:id="1136921170">
          <w:marLeft w:val="0"/>
          <w:marRight w:val="0"/>
          <w:marTop w:val="0"/>
          <w:marBottom w:val="200"/>
          <w:divBdr>
            <w:top w:val="none" w:sz="0" w:space="0" w:color="auto"/>
            <w:left w:val="none" w:sz="0" w:space="0" w:color="auto"/>
            <w:bottom w:val="none" w:sz="0" w:space="0" w:color="auto"/>
            <w:right w:val="none" w:sz="0" w:space="0" w:color="auto"/>
          </w:divBdr>
        </w:div>
        <w:div w:id="2130733609">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643-12/paran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0.rada.gov.ua/laws/show/z1764-12/paran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z1764-12/paran22" TargetMode="External"/><Relationship Id="rId11" Type="http://schemas.openxmlformats.org/officeDocument/2006/relationships/hyperlink" Target="http://zakon0.rada.gov.ua/laws/show/z1260-17/print" TargetMode="External"/><Relationship Id="rId5" Type="http://schemas.openxmlformats.org/officeDocument/2006/relationships/hyperlink" Target="http://zakon0.rada.gov.ua/laws/show/z0320-13" TargetMode="External"/><Relationship Id="rId10" Type="http://schemas.openxmlformats.org/officeDocument/2006/relationships/hyperlink" Target="http://zakon0.rada.gov.ua/laws/show/z1260-17/print" TargetMode="External"/><Relationship Id="rId4" Type="http://schemas.openxmlformats.org/officeDocument/2006/relationships/hyperlink" Target="http://zakon0.rada.gov.ua/laws/show/z2180-13/paran17" TargetMode="External"/><Relationship Id="rId9" Type="http://schemas.openxmlformats.org/officeDocument/2006/relationships/hyperlink" Target="http://zakon0.rada.gov.ua/laws/show/z1260-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11644</Characters>
  <Application>Microsoft Office Word</Application>
  <DocSecurity>0</DocSecurity>
  <Lines>97</Lines>
  <Paragraphs>27</Paragraphs>
  <ScaleCrop>false</ScaleCrop>
  <Company>Національна комісія</Company>
  <LinksUpToDate>false</LinksUpToDate>
  <CharactersWithSpaces>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oleg.sorochan</dc:creator>
  <cp:lastModifiedBy>oleg.sorochan</cp:lastModifiedBy>
  <cp:revision>2</cp:revision>
  <dcterms:created xsi:type="dcterms:W3CDTF">2017-12-11T09:42:00Z</dcterms:created>
  <dcterms:modified xsi:type="dcterms:W3CDTF">2017-12-11T09:42:00Z</dcterms:modified>
</cp:coreProperties>
</file>