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528EB" w14:textId="77777777" w:rsidR="00EC6B00" w:rsidRPr="000322E5" w:rsidRDefault="00EC6B00" w:rsidP="00AA5267">
      <w:pPr>
        <w:jc w:val="center"/>
        <w:rPr>
          <w:rFonts w:ascii="Arial" w:hAnsi="Arial" w:cs="Arial"/>
          <w:b/>
          <w:sz w:val="20"/>
          <w:szCs w:val="20"/>
          <w:lang w:val="de-DE"/>
        </w:rPr>
      </w:pPr>
      <w:bookmarkStart w:id="0" w:name="_GoBack"/>
      <w:bookmarkEnd w:id="0"/>
    </w:p>
    <w:p w14:paraId="022F90D3" w14:textId="77777777" w:rsidR="00AA5267" w:rsidRPr="007E5633" w:rsidRDefault="00AA5267" w:rsidP="00AA5267">
      <w:pPr>
        <w:jc w:val="center"/>
        <w:rPr>
          <w:rFonts w:ascii="Arial" w:hAnsi="Arial" w:cs="Arial"/>
          <w:b/>
          <w:sz w:val="40"/>
          <w:szCs w:val="24"/>
          <w:lang w:val="uk-UA"/>
        </w:rPr>
      </w:pPr>
      <w:r w:rsidRPr="007E5633">
        <w:rPr>
          <w:rFonts w:ascii="Arial" w:hAnsi="Arial" w:cs="Arial"/>
          <w:b/>
          <w:sz w:val="40"/>
          <w:szCs w:val="24"/>
          <w:lang w:val="uk-UA"/>
        </w:rPr>
        <w:t xml:space="preserve">Технічна допомога </w:t>
      </w:r>
      <w:r w:rsidR="00E45FA6" w:rsidRPr="00E45FA6">
        <w:rPr>
          <w:rFonts w:ascii="Arial" w:hAnsi="Arial" w:cs="Arial"/>
          <w:b/>
          <w:sz w:val="40"/>
          <w:szCs w:val="24"/>
          <w:lang w:val="uk-UA"/>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sidR="00063640" w:rsidRPr="007E5633">
        <w:rPr>
          <w:rFonts w:ascii="Arial" w:hAnsi="Arial" w:cs="Arial"/>
          <w:b/>
          <w:sz w:val="40"/>
          <w:szCs w:val="24"/>
          <w:lang w:val="uk-UA"/>
        </w:rPr>
        <w:t xml:space="preserve"> (2018/399144)</w:t>
      </w:r>
    </w:p>
    <w:p w14:paraId="75D39846" w14:textId="77777777" w:rsidR="00AA5267" w:rsidRPr="007E5633" w:rsidRDefault="00AA5267" w:rsidP="00AA5267">
      <w:pPr>
        <w:jc w:val="center"/>
        <w:rPr>
          <w:rFonts w:ascii="Arial" w:hAnsi="Arial" w:cs="Arial"/>
          <w:b/>
          <w:sz w:val="24"/>
          <w:szCs w:val="24"/>
          <w:lang w:val="uk-UA"/>
        </w:rPr>
      </w:pPr>
    </w:p>
    <w:p w14:paraId="51859EAB" w14:textId="77777777" w:rsidR="00AA5267" w:rsidRPr="007E5633" w:rsidRDefault="00AA5267" w:rsidP="00063640">
      <w:pPr>
        <w:spacing w:after="0" w:line="250" w:lineRule="auto"/>
        <w:jc w:val="center"/>
        <w:rPr>
          <w:rFonts w:ascii="Arial" w:hAnsi="Arial" w:cs="Arial"/>
          <w:b/>
          <w:sz w:val="28"/>
          <w:szCs w:val="28"/>
          <w:lang w:val="uk-UA"/>
        </w:rPr>
      </w:pPr>
      <w:r w:rsidRPr="007E5633">
        <w:rPr>
          <w:rFonts w:ascii="Arial" w:hAnsi="Arial" w:cs="Arial"/>
          <w:b/>
          <w:sz w:val="28"/>
          <w:szCs w:val="28"/>
          <w:lang w:val="uk-UA"/>
        </w:rPr>
        <w:t xml:space="preserve">FWC SIEA 2018 - ЛОТ 6: Інноваційне фінансування для розвитку </w:t>
      </w:r>
    </w:p>
    <w:p w14:paraId="0E24E835" w14:textId="77777777" w:rsidR="00AA5267" w:rsidRPr="007E5633" w:rsidRDefault="00AA5267" w:rsidP="00063640">
      <w:pPr>
        <w:spacing w:after="0" w:line="250" w:lineRule="auto"/>
        <w:jc w:val="center"/>
        <w:rPr>
          <w:rFonts w:ascii="Arial" w:hAnsi="Arial" w:cs="Arial"/>
          <w:b/>
          <w:sz w:val="28"/>
          <w:szCs w:val="28"/>
          <w:lang w:val="uk-UA"/>
        </w:rPr>
      </w:pPr>
      <w:r w:rsidRPr="007E5633">
        <w:rPr>
          <w:rFonts w:ascii="Arial" w:hAnsi="Arial" w:cs="Arial"/>
          <w:b/>
          <w:sz w:val="28"/>
          <w:szCs w:val="28"/>
          <w:lang w:val="uk-UA"/>
        </w:rPr>
        <w:t>EuropeAid/138778/DH/SER/multi</w:t>
      </w:r>
    </w:p>
    <w:p w14:paraId="38ECE3D0" w14:textId="77777777" w:rsidR="002B2747" w:rsidRPr="007E5633" w:rsidRDefault="002B2747" w:rsidP="002B2747">
      <w:pPr>
        <w:jc w:val="center"/>
        <w:rPr>
          <w:rFonts w:ascii="Arial" w:hAnsi="Arial" w:cs="Arial"/>
          <w:highlight w:val="yellow"/>
          <w:lang w:val="uk-UA"/>
        </w:rPr>
      </w:pPr>
    </w:p>
    <w:p w14:paraId="72EC82FE" w14:textId="77777777" w:rsidR="00AA5267" w:rsidRPr="007E5633" w:rsidRDefault="003D1452" w:rsidP="00AA5267">
      <w:pPr>
        <w:jc w:val="center"/>
        <w:rPr>
          <w:rFonts w:ascii="Arial" w:hAnsi="Arial" w:cs="Arial"/>
          <w:sz w:val="40"/>
          <w:szCs w:val="40"/>
          <w:lang w:val="uk-UA"/>
        </w:rPr>
      </w:pPr>
      <w:r w:rsidRPr="007E5633">
        <w:rPr>
          <w:rFonts w:ascii="Arial" w:hAnsi="Arial" w:cs="Arial"/>
          <w:sz w:val="40"/>
          <w:szCs w:val="40"/>
          <w:lang w:val="uk-UA"/>
        </w:rPr>
        <w:t>Стадія</w:t>
      </w:r>
      <w:r w:rsidR="00AA5267" w:rsidRPr="007E5633">
        <w:rPr>
          <w:rFonts w:ascii="Arial" w:hAnsi="Arial" w:cs="Arial"/>
          <w:sz w:val="40"/>
          <w:szCs w:val="40"/>
          <w:lang w:val="uk-UA"/>
        </w:rPr>
        <w:t xml:space="preserve"> 1: Оцінка існуючої законодавчої бази спотової оптової торгівлі природним газом та електроенергією в ЄС та в Україні</w:t>
      </w:r>
    </w:p>
    <w:p w14:paraId="766A41B5" w14:textId="77777777" w:rsidR="00AA5267" w:rsidRPr="007E5633" w:rsidRDefault="00AA5267" w:rsidP="00AA5267">
      <w:pPr>
        <w:jc w:val="center"/>
        <w:rPr>
          <w:rFonts w:ascii="Arial" w:hAnsi="Arial" w:cs="Arial"/>
          <w:sz w:val="24"/>
          <w:szCs w:val="24"/>
          <w:lang w:val="uk-UA"/>
        </w:rPr>
      </w:pPr>
    </w:p>
    <w:p w14:paraId="6567AB45" w14:textId="77777777" w:rsidR="00083249" w:rsidRPr="007E5633" w:rsidRDefault="00083249" w:rsidP="00083249">
      <w:pPr>
        <w:jc w:val="center"/>
        <w:rPr>
          <w:rFonts w:ascii="Arial" w:hAnsi="Arial" w:cs="Arial"/>
          <w:lang w:val="uk-UA"/>
        </w:rPr>
      </w:pPr>
      <w:r w:rsidRPr="007E5633">
        <w:rPr>
          <w:rFonts w:ascii="Arial" w:hAnsi="Arial" w:cs="Arial"/>
          <w:lang w:val="uk-UA"/>
        </w:rPr>
        <w:t xml:space="preserve">У цьому документі наданий переклад Звіту по Першій стадії виконання проекту, що фінансується ЄС, з надання технічної допомоги </w:t>
      </w:r>
      <w:r w:rsidR="00E45FA6" w:rsidRPr="00E45FA6">
        <w:rPr>
          <w:rFonts w:ascii="Arial" w:hAnsi="Arial" w:cs="Arial"/>
          <w:lang w:val="uk-UA"/>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sidRPr="007E5633">
        <w:rPr>
          <w:rFonts w:ascii="Arial" w:hAnsi="Arial" w:cs="Arial"/>
          <w:lang w:val="uk-UA"/>
        </w:rPr>
        <w:t>. Перша стадія проекту полягає у проведенні оцінки існуючої законодавчої бази в ЄС та Україні щодо спотової оптової торгівлі природним газом та електроенергією.</w:t>
      </w:r>
    </w:p>
    <w:p w14:paraId="55227345" w14:textId="77777777" w:rsidR="002B2747" w:rsidRPr="007E5633" w:rsidRDefault="00083249" w:rsidP="00083249">
      <w:pPr>
        <w:jc w:val="center"/>
        <w:rPr>
          <w:rFonts w:ascii="Arial" w:hAnsi="Arial" w:cs="Arial"/>
          <w:highlight w:val="yellow"/>
          <w:lang w:val="uk-UA"/>
        </w:rPr>
      </w:pPr>
      <w:r w:rsidRPr="007E5633">
        <w:rPr>
          <w:rFonts w:ascii="Arial" w:hAnsi="Arial" w:cs="Arial"/>
          <w:lang w:val="uk-UA"/>
        </w:rPr>
        <w:t>Українська версія є перекладом українською мовою з оригіналу. Вона надається лише для інформаційних цілей. У випадку невідповідності перевагу матиме оригінал англійською мовою.</w:t>
      </w:r>
    </w:p>
    <w:p w14:paraId="25AD0BEA" w14:textId="77777777" w:rsidR="00AA5267" w:rsidRPr="007E5633" w:rsidRDefault="00AA5267" w:rsidP="00AA5267">
      <w:pPr>
        <w:jc w:val="center"/>
        <w:rPr>
          <w:rFonts w:ascii="Arial" w:hAnsi="Arial" w:cs="Arial"/>
          <w:sz w:val="24"/>
          <w:szCs w:val="24"/>
          <w:lang w:val="uk-UA"/>
        </w:rPr>
      </w:pPr>
      <w:r w:rsidRPr="007E5633">
        <w:rPr>
          <w:rFonts w:ascii="Arial" w:hAnsi="Arial" w:cs="Arial"/>
          <w:sz w:val="24"/>
          <w:szCs w:val="24"/>
          <w:lang w:val="uk-UA"/>
        </w:rPr>
        <w:t>Ян Хайзманн</w:t>
      </w:r>
    </w:p>
    <w:p w14:paraId="7AAECE6B" w14:textId="77777777" w:rsidR="00AA5267" w:rsidRPr="007E5633" w:rsidRDefault="00AA5267" w:rsidP="00AA5267">
      <w:pPr>
        <w:jc w:val="center"/>
        <w:rPr>
          <w:rFonts w:ascii="Arial" w:hAnsi="Arial" w:cs="Arial"/>
          <w:sz w:val="24"/>
          <w:szCs w:val="24"/>
          <w:lang w:val="uk-UA"/>
        </w:rPr>
      </w:pPr>
      <w:r w:rsidRPr="007E5633">
        <w:rPr>
          <w:rFonts w:ascii="Arial" w:hAnsi="Arial" w:cs="Arial"/>
          <w:sz w:val="24"/>
          <w:szCs w:val="24"/>
          <w:lang w:val="uk-UA"/>
        </w:rPr>
        <w:t>Мачей Малаховський</w:t>
      </w:r>
    </w:p>
    <w:p w14:paraId="1F31EAD7" w14:textId="77777777" w:rsidR="00AA5267" w:rsidRPr="007E5633" w:rsidRDefault="00AA5267" w:rsidP="00AA5267">
      <w:pPr>
        <w:jc w:val="center"/>
        <w:rPr>
          <w:rFonts w:ascii="Arial" w:hAnsi="Arial" w:cs="Arial"/>
          <w:sz w:val="24"/>
          <w:szCs w:val="24"/>
          <w:lang w:val="uk-UA"/>
        </w:rPr>
      </w:pPr>
      <w:r w:rsidRPr="007E5633">
        <w:rPr>
          <w:rFonts w:ascii="Arial" w:hAnsi="Arial" w:cs="Arial"/>
          <w:sz w:val="24"/>
          <w:szCs w:val="24"/>
          <w:lang w:val="uk-UA"/>
        </w:rPr>
        <w:t>Олег Загнітко</w:t>
      </w:r>
    </w:p>
    <w:p w14:paraId="590AF945" w14:textId="77777777" w:rsidR="002B2747" w:rsidRPr="007E5633" w:rsidRDefault="002B2747" w:rsidP="002B2747">
      <w:pPr>
        <w:jc w:val="center"/>
        <w:rPr>
          <w:rFonts w:ascii="Arial" w:hAnsi="Arial" w:cs="Arial"/>
          <w:lang w:val="uk-UA"/>
        </w:rPr>
      </w:pPr>
    </w:p>
    <w:p w14:paraId="1509AAA1" w14:textId="77777777" w:rsidR="002B2747" w:rsidRPr="007E5633" w:rsidRDefault="002B2747" w:rsidP="002B2747">
      <w:pPr>
        <w:spacing w:after="0"/>
        <w:jc w:val="center"/>
        <w:rPr>
          <w:rFonts w:ascii="Arial" w:hAnsi="Arial" w:cs="Arial"/>
          <w:lang w:val="uk-UA"/>
        </w:rPr>
      </w:pPr>
      <w:r w:rsidRPr="007E5633">
        <w:rPr>
          <w:rFonts w:ascii="Arial" w:hAnsi="Arial" w:cs="Arial"/>
          <w:lang w:val="uk-UA"/>
        </w:rPr>
        <w:t>Frankfurt School of</w:t>
      </w:r>
    </w:p>
    <w:p w14:paraId="2EE39ECF" w14:textId="77777777" w:rsidR="002B2747" w:rsidRPr="007E5633" w:rsidRDefault="002B2747" w:rsidP="002B2747">
      <w:pPr>
        <w:spacing w:after="0"/>
        <w:jc w:val="center"/>
        <w:rPr>
          <w:rFonts w:ascii="Arial" w:hAnsi="Arial" w:cs="Arial"/>
          <w:lang w:val="uk-UA"/>
        </w:rPr>
      </w:pPr>
      <w:r w:rsidRPr="007E5633">
        <w:rPr>
          <w:rFonts w:ascii="Arial" w:hAnsi="Arial" w:cs="Arial"/>
          <w:lang w:val="uk-UA"/>
        </w:rPr>
        <w:t>Finance &amp; Management gGmbH</w:t>
      </w:r>
    </w:p>
    <w:p w14:paraId="6D502724" w14:textId="77777777" w:rsidR="002B2747" w:rsidRPr="007E5633" w:rsidRDefault="002B2747" w:rsidP="002B2747">
      <w:pPr>
        <w:spacing w:after="0"/>
        <w:jc w:val="center"/>
        <w:rPr>
          <w:rFonts w:ascii="Arial" w:hAnsi="Arial" w:cs="Arial"/>
          <w:lang w:val="uk-UA"/>
        </w:rPr>
      </w:pPr>
      <w:r w:rsidRPr="007E5633">
        <w:rPr>
          <w:rFonts w:ascii="Arial" w:hAnsi="Arial" w:cs="Arial"/>
          <w:lang w:val="uk-UA"/>
        </w:rPr>
        <w:t>Adickesallee 32-34</w:t>
      </w:r>
    </w:p>
    <w:p w14:paraId="36FA75E8" w14:textId="77777777" w:rsidR="002B2747" w:rsidRPr="007E5633" w:rsidRDefault="002B2747" w:rsidP="002B2747">
      <w:pPr>
        <w:spacing w:after="0"/>
        <w:jc w:val="center"/>
        <w:rPr>
          <w:rFonts w:ascii="Arial" w:hAnsi="Arial" w:cs="Arial"/>
          <w:lang w:val="uk-UA"/>
        </w:rPr>
      </w:pPr>
      <w:r w:rsidRPr="007E5633">
        <w:rPr>
          <w:rFonts w:ascii="Arial" w:hAnsi="Arial" w:cs="Arial"/>
          <w:lang w:val="uk-UA"/>
        </w:rPr>
        <w:t>60322 Frankfurt a.M.</w:t>
      </w:r>
    </w:p>
    <w:p w14:paraId="418A196D" w14:textId="77777777" w:rsidR="002B2747" w:rsidRPr="007E5633" w:rsidRDefault="002B2747" w:rsidP="002B2747">
      <w:pPr>
        <w:spacing w:after="0"/>
        <w:jc w:val="center"/>
        <w:rPr>
          <w:rFonts w:ascii="Arial" w:hAnsi="Arial" w:cs="Arial"/>
          <w:lang w:val="uk-UA"/>
        </w:rPr>
      </w:pPr>
      <w:r w:rsidRPr="007E5633">
        <w:rPr>
          <w:rFonts w:ascii="Arial" w:hAnsi="Arial" w:cs="Arial"/>
          <w:lang w:val="uk-UA"/>
        </w:rPr>
        <w:t>Tel. +49-69-154008-</w:t>
      </w:r>
      <w:r w:rsidR="00254FF0" w:rsidRPr="007E5633">
        <w:rPr>
          <w:rFonts w:ascii="Arial" w:hAnsi="Arial" w:cs="Arial"/>
          <w:lang w:val="uk-UA"/>
        </w:rPr>
        <w:t>0</w:t>
      </w:r>
    </w:p>
    <w:p w14:paraId="69FE43C3" w14:textId="77777777" w:rsidR="002B2747" w:rsidRPr="007E5633" w:rsidRDefault="00254FF0" w:rsidP="002B2747">
      <w:pPr>
        <w:spacing w:after="0"/>
        <w:jc w:val="center"/>
        <w:rPr>
          <w:rFonts w:ascii="Arial" w:hAnsi="Arial" w:cs="Arial"/>
          <w:lang w:val="uk-UA"/>
        </w:rPr>
      </w:pPr>
      <w:r w:rsidRPr="007E5633">
        <w:rPr>
          <w:rFonts w:ascii="Arial" w:hAnsi="Arial" w:cs="Arial"/>
          <w:lang w:val="uk-UA"/>
        </w:rPr>
        <w:t>Dirkes-SIEA@fs.de</w:t>
      </w:r>
    </w:p>
    <w:p w14:paraId="5A7A6F86" w14:textId="77777777" w:rsidR="002B2747" w:rsidRPr="007E5633" w:rsidRDefault="00690478" w:rsidP="00AA5267">
      <w:pPr>
        <w:spacing w:after="0"/>
        <w:jc w:val="center"/>
        <w:rPr>
          <w:rFonts w:ascii="Arial" w:eastAsia="Arial" w:hAnsi="Arial" w:cs="Arial"/>
          <w:b/>
          <w:bCs/>
          <w:color w:val="231F20"/>
          <w:sz w:val="24"/>
          <w:szCs w:val="24"/>
          <w:highlight w:val="yellow"/>
          <w:lang w:val="uk-UA" w:bidi="en-US"/>
        </w:rPr>
      </w:pPr>
      <w:hyperlink r:id="rId8" w:history="1">
        <w:r w:rsidR="002B2747" w:rsidRPr="007E5633">
          <w:rPr>
            <w:rStyle w:val="ab"/>
            <w:rFonts w:ascii="Arial" w:hAnsi="Arial" w:cs="Arial"/>
            <w:sz w:val="20"/>
            <w:szCs w:val="20"/>
            <w:lang w:val="uk-UA"/>
          </w:rPr>
          <w:t>http://www.frankfurt-school.de</w:t>
        </w:r>
      </w:hyperlink>
      <w:r w:rsidR="002B2747" w:rsidRPr="007E5633">
        <w:rPr>
          <w:rFonts w:ascii="Arial" w:hAnsi="Arial" w:cs="Arial"/>
          <w:color w:val="231F20"/>
          <w:sz w:val="24"/>
          <w:szCs w:val="24"/>
          <w:highlight w:val="yellow"/>
          <w:lang w:val="uk-UA"/>
        </w:rPr>
        <w:br w:type="page"/>
      </w:r>
    </w:p>
    <w:p w14:paraId="26153FCC" w14:textId="77777777" w:rsidR="00743C2A" w:rsidRPr="007E5633" w:rsidRDefault="003D1452" w:rsidP="006B552C">
      <w:pPr>
        <w:pStyle w:val="Subheader1"/>
        <w:rPr>
          <w:rFonts w:ascii="Arial" w:hAnsi="Arial" w:cs="Arial"/>
          <w:color w:val="002060"/>
          <w:sz w:val="28"/>
          <w:szCs w:val="28"/>
          <w:lang w:val="uk-UA"/>
        </w:rPr>
      </w:pPr>
      <w:r w:rsidRPr="007E5633">
        <w:rPr>
          <w:rFonts w:ascii="Arial" w:hAnsi="Arial" w:cs="Arial"/>
          <w:color w:val="002060"/>
          <w:sz w:val="28"/>
          <w:szCs w:val="28"/>
          <w:lang w:val="uk-UA"/>
        </w:rPr>
        <w:lastRenderedPageBreak/>
        <w:t>ЗМІСТ</w:t>
      </w:r>
    </w:p>
    <w:sdt>
      <w:sdtPr>
        <w:rPr>
          <w:rFonts w:ascii="Arial" w:hAnsi="Arial" w:cs="Arial"/>
          <w:b w:val="0"/>
          <w:bCs w:val="0"/>
          <w:i w:val="0"/>
          <w:iCs w:val="0"/>
          <w:sz w:val="22"/>
          <w:szCs w:val="22"/>
          <w:highlight w:val="yellow"/>
          <w:lang w:val="uk-UA"/>
        </w:rPr>
        <w:id w:val="-2028466859"/>
        <w:docPartObj>
          <w:docPartGallery w:val="Table of Contents"/>
          <w:docPartUnique/>
        </w:docPartObj>
      </w:sdtPr>
      <w:sdtEndPr/>
      <w:sdtContent>
        <w:p w14:paraId="183D3FF7" w14:textId="7045DE95" w:rsidR="009F5D34" w:rsidRPr="007E5633" w:rsidRDefault="00622EE2" w:rsidP="009F5D34">
          <w:pPr>
            <w:pStyle w:val="11"/>
            <w:tabs>
              <w:tab w:val="left" w:pos="440"/>
              <w:tab w:val="right" w:leader="dot" w:pos="9016"/>
            </w:tabs>
            <w:spacing w:before="0" w:line="250" w:lineRule="auto"/>
            <w:ind w:left="221"/>
            <w:rPr>
              <w:rFonts w:ascii="Arial" w:eastAsiaTheme="minorEastAsia" w:hAnsi="Arial" w:cs="Arial"/>
              <w:bCs w:val="0"/>
              <w:i w:val="0"/>
              <w:iCs w:val="0"/>
              <w:noProof/>
              <w:sz w:val="22"/>
              <w:szCs w:val="22"/>
              <w:lang w:val="uk-UA" w:eastAsia="en-GB"/>
            </w:rPr>
          </w:pPr>
          <w:r w:rsidRPr="007E5633">
            <w:rPr>
              <w:rFonts w:ascii="Arial" w:eastAsiaTheme="majorEastAsia" w:hAnsi="Arial" w:cs="Arial"/>
              <w:b w:val="0"/>
              <w:i w:val="0"/>
              <w:color w:val="365F91" w:themeColor="accent1" w:themeShade="BF"/>
              <w:highlight w:val="yellow"/>
              <w:lang w:val="uk-UA" w:eastAsia="ja-JP"/>
            </w:rPr>
            <w:fldChar w:fldCharType="begin"/>
          </w:r>
          <w:r w:rsidR="00743C2A" w:rsidRPr="007E5633">
            <w:rPr>
              <w:rFonts w:ascii="Arial" w:hAnsi="Arial" w:cs="Arial"/>
              <w:b w:val="0"/>
              <w:i w:val="0"/>
              <w:highlight w:val="yellow"/>
              <w:lang w:val="uk-UA"/>
            </w:rPr>
            <w:instrText xml:space="preserve"> TOC \o "1-3" \h \z \u </w:instrText>
          </w:r>
          <w:r w:rsidRPr="007E5633">
            <w:rPr>
              <w:rFonts w:ascii="Arial" w:eastAsiaTheme="majorEastAsia" w:hAnsi="Arial" w:cs="Arial"/>
              <w:b w:val="0"/>
              <w:i w:val="0"/>
              <w:color w:val="365F91" w:themeColor="accent1" w:themeShade="BF"/>
              <w:highlight w:val="yellow"/>
              <w:lang w:val="uk-UA" w:eastAsia="ja-JP"/>
            </w:rPr>
            <w:fldChar w:fldCharType="separate"/>
          </w:r>
          <w:hyperlink w:anchor="_Toc533093887" w:history="1">
            <w:r w:rsidR="009F5D34" w:rsidRPr="007E5633">
              <w:rPr>
                <w:rStyle w:val="ab"/>
                <w:rFonts w:ascii="Arial" w:hAnsi="Arial" w:cs="Arial"/>
                <w:i w:val="0"/>
                <w:noProof/>
                <w:lang w:val="uk-UA"/>
              </w:rPr>
              <w:t>1</w:t>
            </w:r>
            <w:r w:rsidR="009F5D34" w:rsidRPr="007E5633">
              <w:rPr>
                <w:rFonts w:ascii="Arial" w:eastAsiaTheme="minorEastAsia" w:hAnsi="Arial" w:cs="Arial"/>
                <w:bCs w:val="0"/>
                <w:i w:val="0"/>
                <w:iCs w:val="0"/>
                <w:noProof/>
                <w:sz w:val="22"/>
                <w:szCs w:val="22"/>
                <w:lang w:val="uk-UA" w:eastAsia="en-GB"/>
              </w:rPr>
              <w:tab/>
            </w:r>
            <w:r w:rsidR="009F5D34" w:rsidRPr="007E5633">
              <w:rPr>
                <w:rStyle w:val="ab"/>
                <w:rFonts w:ascii="Arial" w:hAnsi="Arial" w:cs="Arial"/>
                <w:i w:val="0"/>
                <w:noProof/>
                <w:lang w:val="uk-UA"/>
              </w:rPr>
              <w:t>Резюме</w:t>
            </w:r>
            <w:r w:rsidR="009F5D34" w:rsidRPr="007E5633">
              <w:rPr>
                <w:rFonts w:ascii="Arial" w:hAnsi="Arial" w:cs="Arial"/>
                <w:i w:val="0"/>
                <w:noProof/>
                <w:webHidden/>
                <w:lang w:val="uk-UA"/>
              </w:rPr>
              <w:tab/>
            </w:r>
            <w:r w:rsidRPr="007E5633">
              <w:rPr>
                <w:rFonts w:ascii="Arial" w:hAnsi="Arial" w:cs="Arial"/>
                <w:i w:val="0"/>
                <w:noProof/>
                <w:webHidden/>
                <w:lang w:val="uk-UA"/>
              </w:rPr>
              <w:fldChar w:fldCharType="begin"/>
            </w:r>
            <w:r w:rsidR="009F5D34" w:rsidRPr="007E5633">
              <w:rPr>
                <w:rFonts w:ascii="Arial" w:hAnsi="Arial" w:cs="Arial"/>
                <w:i w:val="0"/>
                <w:noProof/>
                <w:webHidden/>
                <w:lang w:val="uk-UA"/>
              </w:rPr>
              <w:instrText xml:space="preserve"> PAGEREF _Toc533093887 \h </w:instrText>
            </w:r>
            <w:r w:rsidRPr="007E5633">
              <w:rPr>
                <w:rFonts w:ascii="Arial" w:hAnsi="Arial" w:cs="Arial"/>
                <w:i w:val="0"/>
                <w:noProof/>
                <w:webHidden/>
                <w:lang w:val="uk-UA"/>
              </w:rPr>
            </w:r>
            <w:r w:rsidRPr="007E5633">
              <w:rPr>
                <w:rFonts w:ascii="Arial" w:hAnsi="Arial" w:cs="Arial"/>
                <w:i w:val="0"/>
                <w:noProof/>
                <w:webHidden/>
                <w:lang w:val="uk-UA"/>
              </w:rPr>
              <w:fldChar w:fldCharType="separate"/>
            </w:r>
            <w:r w:rsidR="00221E0D">
              <w:rPr>
                <w:rFonts w:ascii="Arial" w:hAnsi="Arial" w:cs="Arial"/>
                <w:i w:val="0"/>
                <w:noProof/>
                <w:webHidden/>
                <w:lang w:val="uk-UA"/>
              </w:rPr>
              <w:t>13</w:t>
            </w:r>
            <w:r w:rsidRPr="007E5633">
              <w:rPr>
                <w:rFonts w:ascii="Arial" w:hAnsi="Arial" w:cs="Arial"/>
                <w:i w:val="0"/>
                <w:noProof/>
                <w:webHidden/>
                <w:lang w:val="uk-UA"/>
              </w:rPr>
              <w:fldChar w:fldCharType="end"/>
            </w:r>
          </w:hyperlink>
        </w:p>
        <w:p w14:paraId="00CBABD2" w14:textId="58BD30FD" w:rsidR="009F5D34" w:rsidRPr="007E5633" w:rsidRDefault="00690478" w:rsidP="009F5D34">
          <w:pPr>
            <w:pStyle w:val="11"/>
            <w:tabs>
              <w:tab w:val="left" w:pos="440"/>
              <w:tab w:val="right" w:leader="dot" w:pos="9016"/>
            </w:tabs>
            <w:spacing w:before="0" w:line="250" w:lineRule="auto"/>
            <w:ind w:left="221"/>
            <w:rPr>
              <w:rFonts w:ascii="Arial" w:eastAsiaTheme="minorEastAsia" w:hAnsi="Arial" w:cs="Arial"/>
              <w:bCs w:val="0"/>
              <w:i w:val="0"/>
              <w:iCs w:val="0"/>
              <w:noProof/>
              <w:sz w:val="22"/>
              <w:szCs w:val="22"/>
              <w:lang w:val="uk-UA" w:eastAsia="en-GB"/>
            </w:rPr>
          </w:pPr>
          <w:hyperlink w:anchor="_Toc533093888" w:history="1">
            <w:r w:rsidR="009F5D34" w:rsidRPr="007E5633">
              <w:rPr>
                <w:rStyle w:val="ab"/>
                <w:rFonts w:ascii="Arial" w:hAnsi="Arial" w:cs="Arial"/>
                <w:i w:val="0"/>
                <w:noProof/>
                <w:lang w:val="uk-UA"/>
              </w:rPr>
              <w:t>2</w:t>
            </w:r>
            <w:r w:rsidR="009F5D34" w:rsidRPr="007E5633">
              <w:rPr>
                <w:rFonts w:ascii="Arial" w:eastAsiaTheme="minorEastAsia" w:hAnsi="Arial" w:cs="Arial"/>
                <w:bCs w:val="0"/>
                <w:i w:val="0"/>
                <w:iCs w:val="0"/>
                <w:noProof/>
                <w:sz w:val="22"/>
                <w:szCs w:val="22"/>
                <w:lang w:val="uk-UA" w:eastAsia="en-GB"/>
              </w:rPr>
              <w:tab/>
            </w:r>
            <w:r w:rsidR="009F5D34" w:rsidRPr="007E5633">
              <w:rPr>
                <w:rStyle w:val="ab"/>
                <w:rFonts w:ascii="Arial" w:hAnsi="Arial" w:cs="Arial"/>
                <w:i w:val="0"/>
                <w:noProof/>
                <w:lang w:val="uk-UA"/>
              </w:rPr>
              <w:t>Частина I: Визначення меж проекту</w:t>
            </w:r>
            <w:r w:rsidR="009F5D34" w:rsidRPr="007E5633">
              <w:rPr>
                <w:rFonts w:ascii="Arial" w:hAnsi="Arial" w:cs="Arial"/>
                <w:i w:val="0"/>
                <w:noProof/>
                <w:webHidden/>
                <w:lang w:val="uk-UA"/>
              </w:rPr>
              <w:tab/>
            </w:r>
            <w:r w:rsidR="00622EE2" w:rsidRPr="007E5633">
              <w:rPr>
                <w:rFonts w:ascii="Arial" w:hAnsi="Arial" w:cs="Arial"/>
                <w:i w:val="0"/>
                <w:noProof/>
                <w:webHidden/>
                <w:lang w:val="uk-UA"/>
              </w:rPr>
              <w:fldChar w:fldCharType="begin"/>
            </w:r>
            <w:r w:rsidR="009F5D34" w:rsidRPr="007E5633">
              <w:rPr>
                <w:rFonts w:ascii="Arial" w:hAnsi="Arial" w:cs="Arial"/>
                <w:i w:val="0"/>
                <w:noProof/>
                <w:webHidden/>
                <w:lang w:val="uk-UA"/>
              </w:rPr>
              <w:instrText xml:space="preserve"> PAGEREF _Toc533093888 \h </w:instrText>
            </w:r>
            <w:r w:rsidR="00622EE2" w:rsidRPr="007E5633">
              <w:rPr>
                <w:rFonts w:ascii="Arial" w:hAnsi="Arial" w:cs="Arial"/>
                <w:i w:val="0"/>
                <w:noProof/>
                <w:webHidden/>
                <w:lang w:val="uk-UA"/>
              </w:rPr>
            </w:r>
            <w:r w:rsidR="00622EE2" w:rsidRPr="007E5633">
              <w:rPr>
                <w:rFonts w:ascii="Arial" w:hAnsi="Arial" w:cs="Arial"/>
                <w:i w:val="0"/>
                <w:noProof/>
                <w:webHidden/>
                <w:lang w:val="uk-UA"/>
              </w:rPr>
              <w:fldChar w:fldCharType="separate"/>
            </w:r>
            <w:r w:rsidR="00221E0D">
              <w:rPr>
                <w:rFonts w:ascii="Arial" w:hAnsi="Arial" w:cs="Arial"/>
                <w:i w:val="0"/>
                <w:noProof/>
                <w:webHidden/>
                <w:lang w:val="uk-UA"/>
              </w:rPr>
              <w:t>16</w:t>
            </w:r>
            <w:r w:rsidR="00622EE2" w:rsidRPr="007E5633">
              <w:rPr>
                <w:rFonts w:ascii="Arial" w:hAnsi="Arial" w:cs="Arial"/>
                <w:i w:val="0"/>
                <w:noProof/>
                <w:webHidden/>
                <w:lang w:val="uk-UA"/>
              </w:rPr>
              <w:fldChar w:fldCharType="end"/>
            </w:r>
          </w:hyperlink>
        </w:p>
        <w:p w14:paraId="208B3689" w14:textId="2DFD24A2"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89" w:history="1">
            <w:r w:rsidR="009F5D34" w:rsidRPr="007E5633">
              <w:rPr>
                <w:rStyle w:val="ab"/>
                <w:rFonts w:ascii="Arial" w:hAnsi="Arial" w:cs="Arial"/>
                <w:b w:val="0"/>
                <w:i w:val="0"/>
                <w:noProof/>
                <w:lang w:val="uk-UA"/>
              </w:rPr>
              <w:t>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Вступ</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_Toc533093889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16</w:t>
            </w:r>
            <w:r w:rsidR="00622EE2" w:rsidRPr="007E5633">
              <w:rPr>
                <w:rFonts w:ascii="Arial" w:hAnsi="Arial" w:cs="Arial"/>
                <w:b w:val="0"/>
                <w:i w:val="0"/>
                <w:noProof/>
                <w:webHidden/>
                <w:lang w:val="uk-UA"/>
              </w:rPr>
              <w:fldChar w:fldCharType="end"/>
            </w:r>
          </w:hyperlink>
        </w:p>
        <w:p w14:paraId="17B7F5CC" w14:textId="50D3F45C"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0" w:history="1">
            <w:r w:rsidR="009F5D34" w:rsidRPr="007E5633">
              <w:rPr>
                <w:rStyle w:val="ab"/>
                <w:rFonts w:ascii="Arial" w:hAnsi="Arial" w:cs="Arial"/>
                <w:b w:val="0"/>
                <w:i w:val="0"/>
                <w:noProof/>
                <w:lang w:val="uk-UA"/>
              </w:rPr>
              <w:t>2.1.1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Роль енергетичної галузі як ключового фактора для всієї економіки України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17</w:t>
            </w:r>
            <w:r w:rsidR="00622EE2" w:rsidRPr="007E5633">
              <w:rPr>
                <w:rFonts w:ascii="Arial" w:hAnsi="Arial" w:cs="Arial"/>
                <w:b w:val="0"/>
                <w:i w:val="0"/>
                <w:noProof/>
                <w:webHidden/>
                <w:lang w:val="uk-UA"/>
              </w:rPr>
              <w:fldChar w:fldCharType="end"/>
            </w:r>
          </w:hyperlink>
        </w:p>
        <w:p w14:paraId="075D51CA" w14:textId="6481F2A6"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1" w:history="1">
            <w:r w:rsidR="009F5D34" w:rsidRPr="007E5633">
              <w:rPr>
                <w:rStyle w:val="ab"/>
                <w:rFonts w:ascii="Arial" w:hAnsi="Arial" w:cs="Arial"/>
                <w:b w:val="0"/>
                <w:i w:val="0"/>
                <w:noProof/>
                <w:lang w:val="uk-UA"/>
              </w:rPr>
              <w:t>2.1.2</w:t>
            </w:r>
            <w:r w:rsidR="009F5D34" w:rsidRPr="007E5633">
              <w:rPr>
                <w:rFonts w:ascii="Arial" w:eastAsiaTheme="minorEastAsia" w:hAnsi="Arial" w:cs="Arial"/>
                <w:b w:val="0"/>
                <w:bCs w:val="0"/>
                <w:i w:val="0"/>
                <w:iCs w:val="0"/>
                <w:noProof/>
                <w:sz w:val="22"/>
                <w:szCs w:val="22"/>
                <w:lang w:val="uk-UA" w:eastAsia="en-GB"/>
              </w:rPr>
              <w:tab/>
            </w:r>
            <w:r w:rsidR="00E45FA6">
              <w:rPr>
                <w:rStyle w:val="ab"/>
                <w:rFonts w:ascii="Arial" w:hAnsi="Arial" w:cs="Arial"/>
                <w:b w:val="0"/>
                <w:i w:val="0"/>
                <w:noProof/>
                <w:lang w:val="uk-UA"/>
              </w:rPr>
              <w:t>Р</w:t>
            </w:r>
            <w:r w:rsidR="009F5D34" w:rsidRPr="007E5633">
              <w:rPr>
                <w:rStyle w:val="ab"/>
                <w:rFonts w:ascii="Arial" w:hAnsi="Arial" w:cs="Arial"/>
                <w:b w:val="0"/>
                <w:i w:val="0"/>
                <w:noProof/>
                <w:lang w:val="uk-UA"/>
              </w:rPr>
              <w:t xml:space="preserve">инок </w:t>
            </w:r>
            <w:r w:rsidR="00E45FA6">
              <w:rPr>
                <w:rStyle w:val="ab"/>
                <w:rFonts w:ascii="Arial" w:hAnsi="Arial" w:cs="Arial"/>
                <w:b w:val="0"/>
                <w:i w:val="0"/>
                <w:noProof/>
                <w:lang w:val="uk-UA"/>
              </w:rPr>
              <w:t xml:space="preserve">товарних контрактів </w:t>
            </w:r>
            <w:r w:rsidR="009F5D34" w:rsidRPr="007E5633">
              <w:rPr>
                <w:rStyle w:val="ab"/>
                <w:rFonts w:ascii="Arial" w:hAnsi="Arial" w:cs="Arial"/>
                <w:b w:val="0"/>
                <w:i w:val="0"/>
                <w:noProof/>
                <w:lang w:val="uk-UA"/>
              </w:rPr>
              <w:t>та роль НКЦПФР</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17</w:t>
            </w:r>
            <w:r w:rsidR="00622EE2" w:rsidRPr="007E5633">
              <w:rPr>
                <w:rFonts w:ascii="Arial" w:hAnsi="Arial" w:cs="Arial"/>
                <w:b w:val="0"/>
                <w:i w:val="0"/>
                <w:noProof/>
                <w:webHidden/>
                <w:lang w:val="uk-UA"/>
              </w:rPr>
              <w:fldChar w:fldCharType="end"/>
            </w:r>
          </w:hyperlink>
        </w:p>
        <w:p w14:paraId="221776D5" w14:textId="7CD9C5A8"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2" w:history="1">
            <w:r w:rsidR="009F5D34" w:rsidRPr="007E5633">
              <w:rPr>
                <w:rStyle w:val="ab"/>
                <w:rFonts w:ascii="Arial" w:hAnsi="Arial" w:cs="Arial"/>
                <w:b w:val="0"/>
                <w:i w:val="0"/>
                <w:noProof/>
                <w:lang w:val="uk-UA"/>
              </w:rPr>
              <w:t>2.1.3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Оцінка розбіжностей (відставань) як перший проектний результат</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18</w:t>
            </w:r>
            <w:r w:rsidR="00622EE2" w:rsidRPr="007E5633">
              <w:rPr>
                <w:rFonts w:ascii="Arial" w:hAnsi="Arial" w:cs="Arial"/>
                <w:b w:val="0"/>
                <w:i w:val="0"/>
                <w:noProof/>
                <w:webHidden/>
                <w:lang w:val="uk-UA"/>
              </w:rPr>
              <w:fldChar w:fldCharType="end"/>
            </w:r>
          </w:hyperlink>
        </w:p>
        <w:p w14:paraId="79368D4C" w14:textId="6A739C86" w:rsidR="009F5D34" w:rsidRPr="007E5633" w:rsidRDefault="00690478" w:rsidP="009F5D34">
          <w:pPr>
            <w:pStyle w:val="11"/>
            <w:tabs>
              <w:tab w:val="left" w:pos="44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3" w:history="1">
            <w:r w:rsidR="009F5D34" w:rsidRPr="007E5633">
              <w:rPr>
                <w:rStyle w:val="ab"/>
                <w:rFonts w:ascii="Arial" w:hAnsi="Arial" w:cs="Arial"/>
                <w:i w:val="0"/>
                <w:noProof/>
                <w:lang w:val="uk-UA"/>
              </w:rPr>
              <w:t>3</w:t>
            </w:r>
            <w:r w:rsidR="009F5D34" w:rsidRPr="007E5633">
              <w:rPr>
                <w:rFonts w:ascii="Arial" w:eastAsiaTheme="minorEastAsia" w:hAnsi="Arial" w:cs="Arial"/>
                <w:bCs w:val="0"/>
                <w:i w:val="0"/>
                <w:iCs w:val="0"/>
                <w:noProof/>
                <w:sz w:val="22"/>
                <w:szCs w:val="22"/>
                <w:lang w:val="uk-UA" w:eastAsia="en-GB"/>
              </w:rPr>
              <w:tab/>
            </w:r>
            <w:r w:rsidR="009F5D34" w:rsidRPr="007E5633">
              <w:rPr>
                <w:rStyle w:val="ab"/>
                <w:rFonts w:ascii="Arial" w:hAnsi="Arial" w:cs="Arial"/>
                <w:i w:val="0"/>
                <w:noProof/>
                <w:lang w:val="uk-UA"/>
              </w:rPr>
              <w:t>Частина II : Аналіз існуючої законодавчої бази ЄС щодо спотової та ф'ючерсної торгівлі природним газом та електроенергією</w:t>
            </w:r>
            <w:r w:rsidR="009F5D34" w:rsidRPr="007E5633">
              <w:rPr>
                <w:rFonts w:ascii="Arial" w:hAnsi="Arial" w:cs="Arial"/>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19</w:t>
            </w:r>
            <w:r w:rsidR="00622EE2" w:rsidRPr="007E5633">
              <w:rPr>
                <w:rFonts w:ascii="Arial" w:hAnsi="Arial" w:cs="Arial"/>
                <w:b w:val="0"/>
                <w:i w:val="0"/>
                <w:noProof/>
                <w:webHidden/>
                <w:lang w:val="uk-UA"/>
              </w:rPr>
              <w:fldChar w:fldCharType="end"/>
            </w:r>
          </w:hyperlink>
        </w:p>
        <w:p w14:paraId="3CD7A2D8" w14:textId="31F151B7"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4" w:history="1">
            <w:r w:rsidR="009F5D34" w:rsidRPr="007E5633">
              <w:rPr>
                <w:rStyle w:val="ab"/>
                <w:rFonts w:ascii="Arial" w:hAnsi="Arial" w:cs="Arial"/>
                <w:b w:val="0"/>
                <w:i w:val="0"/>
                <w:noProof/>
                <w:lang w:val="uk-UA"/>
              </w:rPr>
              <w:t>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Поточна спотова та форвардна торгівля та торговельні майданчики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19</w:t>
            </w:r>
            <w:r w:rsidR="00622EE2" w:rsidRPr="007E5633">
              <w:rPr>
                <w:rFonts w:ascii="Arial" w:hAnsi="Arial" w:cs="Arial"/>
                <w:b w:val="0"/>
                <w:i w:val="0"/>
                <w:noProof/>
                <w:webHidden/>
                <w:lang w:val="uk-UA"/>
              </w:rPr>
              <w:fldChar w:fldCharType="end"/>
            </w:r>
          </w:hyperlink>
        </w:p>
        <w:p w14:paraId="378F0EDD" w14:textId="3F19BCD8"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5" w:history="1">
            <w:r w:rsidR="009F5D34" w:rsidRPr="007E5633">
              <w:rPr>
                <w:rStyle w:val="ab"/>
                <w:rFonts w:ascii="Arial" w:hAnsi="Arial" w:cs="Arial"/>
                <w:b w:val="0"/>
                <w:i w:val="0"/>
                <w:noProof/>
                <w:lang w:val="uk-UA"/>
              </w:rPr>
              <w:t>3.1.1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Біржі в ЄС</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24</w:t>
            </w:r>
            <w:r w:rsidR="00622EE2" w:rsidRPr="007E5633">
              <w:rPr>
                <w:rFonts w:ascii="Arial" w:hAnsi="Arial" w:cs="Arial"/>
                <w:b w:val="0"/>
                <w:i w:val="0"/>
                <w:noProof/>
                <w:webHidden/>
                <w:lang w:val="uk-UA"/>
              </w:rPr>
              <w:fldChar w:fldCharType="end"/>
            </w:r>
          </w:hyperlink>
        </w:p>
        <w:p w14:paraId="0639F853" w14:textId="7F46E2D5"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6" w:history="1">
            <w:r w:rsidR="009F5D34" w:rsidRPr="007E5633">
              <w:rPr>
                <w:rStyle w:val="ab"/>
                <w:rFonts w:ascii="Arial" w:hAnsi="Arial" w:cs="Arial"/>
                <w:b w:val="0"/>
                <w:i w:val="0"/>
                <w:noProof/>
                <w:lang w:val="uk-UA"/>
              </w:rPr>
              <w:t>3.1.2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Ролі учасників ринку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27</w:t>
            </w:r>
            <w:r w:rsidR="00622EE2" w:rsidRPr="007E5633">
              <w:rPr>
                <w:rFonts w:ascii="Arial" w:hAnsi="Arial" w:cs="Arial"/>
                <w:b w:val="0"/>
                <w:i w:val="0"/>
                <w:noProof/>
                <w:webHidden/>
                <w:lang w:val="uk-UA"/>
              </w:rPr>
              <w:fldChar w:fldCharType="end"/>
            </w:r>
          </w:hyperlink>
        </w:p>
        <w:p w14:paraId="78F838ED" w14:textId="08E8DF15"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7" w:history="1">
            <w:r w:rsidR="009F5D34" w:rsidRPr="007E5633">
              <w:rPr>
                <w:rStyle w:val="ab"/>
                <w:rFonts w:ascii="Arial" w:hAnsi="Arial" w:cs="Arial"/>
                <w:b w:val="0"/>
                <w:i w:val="0"/>
                <w:noProof/>
                <w:lang w:val="uk-UA"/>
              </w:rPr>
              <w:t>3.1.2.1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Газові ринки ЄС</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27</w:t>
            </w:r>
            <w:r w:rsidR="00622EE2" w:rsidRPr="007E5633">
              <w:rPr>
                <w:rFonts w:ascii="Arial" w:hAnsi="Arial" w:cs="Arial"/>
                <w:b w:val="0"/>
                <w:i w:val="0"/>
                <w:noProof/>
                <w:webHidden/>
                <w:lang w:val="uk-UA"/>
              </w:rPr>
              <w:fldChar w:fldCharType="end"/>
            </w:r>
          </w:hyperlink>
        </w:p>
        <w:p w14:paraId="65ACE5D0" w14:textId="18D5CEB6"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8" w:history="1">
            <w:r w:rsidR="009F5D34" w:rsidRPr="007E5633">
              <w:rPr>
                <w:rStyle w:val="ab"/>
                <w:rFonts w:ascii="Arial" w:hAnsi="Arial" w:cs="Arial"/>
                <w:b w:val="0"/>
                <w:i w:val="0"/>
                <w:noProof/>
                <w:lang w:val="uk-UA"/>
              </w:rPr>
              <w:t>3.1.2.2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Ринки електроенергії ЄС</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28</w:t>
            </w:r>
            <w:r w:rsidR="00622EE2" w:rsidRPr="007E5633">
              <w:rPr>
                <w:rFonts w:ascii="Arial" w:hAnsi="Arial" w:cs="Arial"/>
                <w:b w:val="0"/>
                <w:i w:val="0"/>
                <w:noProof/>
                <w:webHidden/>
                <w:lang w:val="uk-UA"/>
              </w:rPr>
              <w:fldChar w:fldCharType="end"/>
            </w:r>
          </w:hyperlink>
        </w:p>
        <w:p w14:paraId="34F9575F" w14:textId="76E67A19"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899" w:history="1">
            <w:r w:rsidR="009F5D34" w:rsidRPr="007E5633">
              <w:rPr>
                <w:rStyle w:val="ab"/>
                <w:rFonts w:ascii="Arial" w:hAnsi="Arial" w:cs="Arial"/>
                <w:b w:val="0"/>
                <w:i w:val="0"/>
                <w:noProof/>
                <w:lang w:val="uk-UA"/>
              </w:rPr>
              <w:t>3.1.3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Продукти, що продаються на ринках</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_Toc533093899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29</w:t>
            </w:r>
            <w:r w:rsidR="00622EE2" w:rsidRPr="007E5633">
              <w:rPr>
                <w:rFonts w:ascii="Arial" w:hAnsi="Arial" w:cs="Arial"/>
                <w:b w:val="0"/>
                <w:i w:val="0"/>
                <w:noProof/>
                <w:webHidden/>
                <w:lang w:val="uk-UA"/>
              </w:rPr>
              <w:fldChar w:fldCharType="end"/>
            </w:r>
          </w:hyperlink>
        </w:p>
        <w:p w14:paraId="5C99A62F" w14:textId="736FA7C8"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0" w:history="1">
            <w:r w:rsidR="009F5D34" w:rsidRPr="007E5633">
              <w:rPr>
                <w:rStyle w:val="ab"/>
                <w:rFonts w:ascii="Arial" w:hAnsi="Arial" w:cs="Arial"/>
                <w:b w:val="0"/>
                <w:i w:val="0"/>
                <w:noProof/>
                <w:lang w:val="uk-UA"/>
              </w:rPr>
              <w:t>3.1.3.1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Визначення оптового продукту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29</w:t>
            </w:r>
            <w:r w:rsidR="00622EE2" w:rsidRPr="007E5633">
              <w:rPr>
                <w:rFonts w:ascii="Arial" w:hAnsi="Arial" w:cs="Arial"/>
                <w:b w:val="0"/>
                <w:i w:val="0"/>
                <w:noProof/>
                <w:webHidden/>
                <w:lang w:val="uk-UA"/>
              </w:rPr>
              <w:fldChar w:fldCharType="end"/>
            </w:r>
          </w:hyperlink>
        </w:p>
        <w:p w14:paraId="0D894EA4" w14:textId="02924E91"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1" w:history="1">
            <w:r w:rsidR="009F5D34" w:rsidRPr="007E5633">
              <w:rPr>
                <w:rStyle w:val="ab"/>
                <w:rFonts w:ascii="Arial" w:hAnsi="Arial" w:cs="Arial"/>
                <w:b w:val="0"/>
                <w:i w:val="0"/>
                <w:noProof/>
                <w:lang w:val="uk-UA"/>
              </w:rPr>
              <w:t>3.1.3.2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Торгівля газом</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29</w:t>
            </w:r>
            <w:r w:rsidR="00622EE2" w:rsidRPr="007E5633">
              <w:rPr>
                <w:rFonts w:ascii="Arial" w:hAnsi="Arial" w:cs="Arial"/>
                <w:b w:val="0"/>
                <w:i w:val="0"/>
                <w:noProof/>
                <w:webHidden/>
                <w:lang w:val="uk-UA"/>
              </w:rPr>
              <w:fldChar w:fldCharType="end"/>
            </w:r>
          </w:hyperlink>
        </w:p>
        <w:p w14:paraId="679A9CD4" w14:textId="4D104155"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2" w:history="1">
            <w:r w:rsidR="009F5D34" w:rsidRPr="007E5633">
              <w:rPr>
                <w:rStyle w:val="ab"/>
                <w:rFonts w:ascii="Arial" w:hAnsi="Arial" w:cs="Arial"/>
                <w:b w:val="0"/>
                <w:i w:val="0"/>
                <w:noProof/>
                <w:lang w:val="uk-UA"/>
              </w:rPr>
              <w:t>3.1.3.3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Торгівля електроенергією</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32</w:t>
            </w:r>
            <w:r w:rsidR="00622EE2" w:rsidRPr="007E5633">
              <w:rPr>
                <w:rFonts w:ascii="Arial" w:hAnsi="Arial" w:cs="Arial"/>
                <w:b w:val="0"/>
                <w:i w:val="0"/>
                <w:noProof/>
                <w:webHidden/>
                <w:lang w:val="uk-UA"/>
              </w:rPr>
              <w:fldChar w:fldCharType="end"/>
            </w:r>
          </w:hyperlink>
        </w:p>
        <w:p w14:paraId="317F5426" w14:textId="43468B2F"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3" w:history="1">
            <w:r w:rsidR="009F5D34" w:rsidRPr="007E5633">
              <w:rPr>
                <w:rStyle w:val="ab"/>
                <w:rFonts w:ascii="Arial" w:hAnsi="Arial" w:cs="Arial"/>
                <w:b w:val="0"/>
                <w:i w:val="0"/>
                <w:noProof/>
                <w:lang w:val="uk-UA"/>
              </w:rPr>
              <w:t>3.1.3.4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Дозволи на викиди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33</w:t>
            </w:r>
            <w:r w:rsidR="00622EE2" w:rsidRPr="007E5633">
              <w:rPr>
                <w:rFonts w:ascii="Arial" w:hAnsi="Arial" w:cs="Arial"/>
                <w:b w:val="0"/>
                <w:i w:val="0"/>
                <w:noProof/>
                <w:webHidden/>
                <w:lang w:val="uk-UA"/>
              </w:rPr>
              <w:fldChar w:fldCharType="end"/>
            </w:r>
          </w:hyperlink>
        </w:p>
        <w:p w14:paraId="7CCBF531" w14:textId="020750E4"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4" w:history="1">
            <w:r w:rsidR="009F5D34" w:rsidRPr="007E5633">
              <w:rPr>
                <w:rStyle w:val="ab"/>
                <w:rFonts w:ascii="Arial" w:hAnsi="Arial" w:cs="Arial"/>
                <w:b w:val="0"/>
                <w:i w:val="0"/>
                <w:noProof/>
                <w:lang w:val="uk-UA"/>
              </w:rPr>
              <w:t>3.1.4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Кваліфікація продуктів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36</w:t>
            </w:r>
            <w:r w:rsidR="00622EE2" w:rsidRPr="007E5633">
              <w:rPr>
                <w:rFonts w:ascii="Arial" w:hAnsi="Arial" w:cs="Arial"/>
                <w:b w:val="0"/>
                <w:i w:val="0"/>
                <w:noProof/>
                <w:webHidden/>
                <w:lang w:val="uk-UA"/>
              </w:rPr>
              <w:fldChar w:fldCharType="end"/>
            </w:r>
          </w:hyperlink>
        </w:p>
        <w:p w14:paraId="378A4C44" w14:textId="1C0F4CF7"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5" w:history="1">
            <w:r w:rsidR="009F5D34" w:rsidRPr="007E5633">
              <w:rPr>
                <w:rStyle w:val="ab"/>
                <w:rFonts w:ascii="Arial" w:hAnsi="Arial" w:cs="Arial"/>
                <w:b w:val="0"/>
                <w:i w:val="0"/>
                <w:noProof/>
                <w:lang w:val="uk-UA"/>
              </w:rPr>
              <w:t>3.1.5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Інституційне управління для нагляду: відмінність фізичних ринків від фінансових</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37</w:t>
            </w:r>
            <w:r w:rsidR="00622EE2" w:rsidRPr="007E5633">
              <w:rPr>
                <w:rFonts w:ascii="Arial" w:hAnsi="Arial" w:cs="Arial"/>
                <w:b w:val="0"/>
                <w:i w:val="0"/>
                <w:noProof/>
                <w:webHidden/>
                <w:lang w:val="uk-UA"/>
              </w:rPr>
              <w:fldChar w:fldCharType="end"/>
            </w:r>
          </w:hyperlink>
        </w:p>
        <w:p w14:paraId="4F9CA318" w14:textId="64616A71"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6" w:history="1">
            <w:r w:rsidR="009F5D34" w:rsidRPr="007E5633">
              <w:rPr>
                <w:rStyle w:val="ab"/>
                <w:rFonts w:ascii="Arial" w:hAnsi="Arial" w:cs="Arial"/>
                <w:b w:val="0"/>
                <w:i w:val="0"/>
                <w:noProof/>
                <w:lang w:val="uk-UA"/>
              </w:rPr>
              <w:t>3.1.5.1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REMIT: цілісність та прозорість енергетичного ринку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39</w:t>
            </w:r>
            <w:r w:rsidR="00622EE2" w:rsidRPr="007E5633">
              <w:rPr>
                <w:rFonts w:ascii="Arial" w:hAnsi="Arial" w:cs="Arial"/>
                <w:b w:val="0"/>
                <w:i w:val="0"/>
                <w:noProof/>
                <w:webHidden/>
                <w:lang w:val="uk-UA"/>
              </w:rPr>
              <w:fldChar w:fldCharType="end"/>
            </w:r>
          </w:hyperlink>
        </w:p>
        <w:p w14:paraId="4729BA1E" w14:textId="34D602D3"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7" w:history="1">
            <w:r w:rsidR="009F5D34" w:rsidRPr="007E5633">
              <w:rPr>
                <w:rStyle w:val="ab"/>
                <w:rFonts w:ascii="Arial" w:hAnsi="Arial" w:cs="Arial"/>
                <w:b w:val="0"/>
                <w:i w:val="0"/>
                <w:noProof/>
                <w:lang w:val="uk-UA"/>
              </w:rPr>
              <w:t>3.1.5.2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Правила MiFID II: OTF та MTF</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40</w:t>
            </w:r>
            <w:r w:rsidR="00622EE2" w:rsidRPr="007E5633">
              <w:rPr>
                <w:rFonts w:ascii="Arial" w:hAnsi="Arial" w:cs="Arial"/>
                <w:b w:val="0"/>
                <w:i w:val="0"/>
                <w:noProof/>
                <w:webHidden/>
                <w:lang w:val="uk-UA"/>
              </w:rPr>
              <w:fldChar w:fldCharType="end"/>
            </w:r>
          </w:hyperlink>
        </w:p>
        <w:p w14:paraId="26D5E80B" w14:textId="0D98DD73"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8" w:history="1">
            <w:r w:rsidR="009F5D34" w:rsidRPr="007E5633">
              <w:rPr>
                <w:rStyle w:val="ab"/>
                <w:rFonts w:ascii="Arial" w:hAnsi="Arial" w:cs="Arial"/>
                <w:b w:val="0"/>
                <w:i w:val="0"/>
                <w:noProof/>
                <w:lang w:val="uk-UA"/>
              </w:rPr>
              <w:t>3.1.5.3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EMIR</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42</w:t>
            </w:r>
            <w:r w:rsidR="00622EE2" w:rsidRPr="007E5633">
              <w:rPr>
                <w:rFonts w:ascii="Arial" w:hAnsi="Arial" w:cs="Arial"/>
                <w:b w:val="0"/>
                <w:i w:val="0"/>
                <w:noProof/>
                <w:webHidden/>
                <w:lang w:val="uk-UA"/>
              </w:rPr>
              <w:fldChar w:fldCharType="end"/>
            </w:r>
          </w:hyperlink>
        </w:p>
        <w:p w14:paraId="7733AAFC" w14:textId="518DA80F"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09" w:history="1">
            <w:r w:rsidR="009F5D34" w:rsidRPr="007E5633">
              <w:rPr>
                <w:rStyle w:val="ab"/>
                <w:rFonts w:ascii="Arial" w:hAnsi="Arial" w:cs="Arial"/>
                <w:b w:val="0"/>
                <w:i w:val="0"/>
                <w:noProof/>
                <w:lang w:val="uk-UA"/>
              </w:rPr>
              <w:t>3.2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Аналіз системи ліцензування майданчиків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_Toc533093909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42</w:t>
            </w:r>
            <w:r w:rsidR="00622EE2" w:rsidRPr="007E5633">
              <w:rPr>
                <w:rFonts w:ascii="Arial" w:hAnsi="Arial" w:cs="Arial"/>
                <w:b w:val="0"/>
                <w:i w:val="0"/>
                <w:noProof/>
                <w:webHidden/>
                <w:lang w:val="uk-UA"/>
              </w:rPr>
              <w:fldChar w:fldCharType="end"/>
            </w:r>
          </w:hyperlink>
        </w:p>
        <w:p w14:paraId="14338035" w14:textId="262E3BA8"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0" w:history="1">
            <w:r w:rsidR="009F5D34" w:rsidRPr="007E5633">
              <w:rPr>
                <w:rStyle w:val="ab"/>
                <w:rFonts w:ascii="Arial" w:hAnsi="Arial" w:cs="Arial"/>
                <w:b w:val="0"/>
                <w:i w:val="0"/>
                <w:noProof/>
                <w:lang w:val="uk-UA"/>
              </w:rPr>
              <w:t>3.2.1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Процес авторизації (ліцензування) для інвестиційної фірми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44</w:t>
            </w:r>
            <w:r w:rsidR="00622EE2" w:rsidRPr="007E5633">
              <w:rPr>
                <w:rFonts w:ascii="Arial" w:hAnsi="Arial" w:cs="Arial"/>
                <w:b w:val="0"/>
                <w:i w:val="0"/>
                <w:noProof/>
                <w:webHidden/>
                <w:lang w:val="uk-UA"/>
              </w:rPr>
              <w:fldChar w:fldCharType="end"/>
            </w:r>
          </w:hyperlink>
        </w:p>
        <w:p w14:paraId="16CA3212" w14:textId="390C33BE"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1" w:history="1">
            <w:r w:rsidR="009F5D34" w:rsidRPr="007E5633">
              <w:rPr>
                <w:rStyle w:val="ab"/>
                <w:rFonts w:ascii="Arial" w:hAnsi="Arial" w:cs="Arial"/>
                <w:b w:val="0"/>
                <w:i w:val="0"/>
                <w:noProof/>
                <w:lang w:val="uk-UA"/>
              </w:rPr>
              <w:t>3.2.2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Процедура авторизації (ліцензування) для багатосторонніх торговельних платформ (MTF) та організованих торгових платформ (OTF)</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47</w:t>
            </w:r>
            <w:r w:rsidR="00622EE2" w:rsidRPr="007E5633">
              <w:rPr>
                <w:rFonts w:ascii="Arial" w:hAnsi="Arial" w:cs="Arial"/>
                <w:b w:val="0"/>
                <w:i w:val="0"/>
                <w:noProof/>
                <w:webHidden/>
                <w:lang w:val="uk-UA"/>
              </w:rPr>
              <w:fldChar w:fldCharType="end"/>
            </w:r>
          </w:hyperlink>
        </w:p>
        <w:p w14:paraId="65EF9495" w14:textId="73F6CC32"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2" w:history="1">
            <w:r w:rsidR="009F5D34" w:rsidRPr="007E5633">
              <w:rPr>
                <w:rStyle w:val="ab"/>
                <w:rFonts w:ascii="Arial" w:hAnsi="Arial" w:cs="Arial"/>
                <w:b w:val="0"/>
                <w:i w:val="0"/>
                <w:noProof/>
                <w:lang w:val="uk-UA"/>
              </w:rPr>
              <w:t>3.2.2.1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Критерії авторизації, специфічні для MTF</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49</w:t>
            </w:r>
            <w:r w:rsidR="00622EE2" w:rsidRPr="007E5633">
              <w:rPr>
                <w:rFonts w:ascii="Arial" w:hAnsi="Arial" w:cs="Arial"/>
                <w:b w:val="0"/>
                <w:i w:val="0"/>
                <w:noProof/>
                <w:webHidden/>
                <w:lang w:val="uk-UA"/>
              </w:rPr>
              <w:fldChar w:fldCharType="end"/>
            </w:r>
          </w:hyperlink>
        </w:p>
        <w:p w14:paraId="3324133D" w14:textId="71A899A2"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3" w:history="1">
            <w:r w:rsidR="009F5D34" w:rsidRPr="007E5633">
              <w:rPr>
                <w:rStyle w:val="ab"/>
                <w:rFonts w:ascii="Arial" w:hAnsi="Arial" w:cs="Arial"/>
                <w:b w:val="0"/>
                <w:i w:val="0"/>
                <w:noProof/>
                <w:lang w:val="uk-UA"/>
              </w:rPr>
              <w:t>3.2.2.2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Критерії авторизації (ліцензування), специфічні для OTF</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49</w:t>
            </w:r>
            <w:r w:rsidR="00622EE2" w:rsidRPr="007E5633">
              <w:rPr>
                <w:rFonts w:ascii="Arial" w:hAnsi="Arial" w:cs="Arial"/>
                <w:b w:val="0"/>
                <w:i w:val="0"/>
                <w:noProof/>
                <w:webHidden/>
                <w:lang w:val="uk-UA"/>
              </w:rPr>
              <w:fldChar w:fldCharType="end"/>
            </w:r>
          </w:hyperlink>
        </w:p>
        <w:p w14:paraId="0A02CF59" w14:textId="5D36B9BB"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4" w:history="1">
            <w:r w:rsidR="009F5D34" w:rsidRPr="007E5633">
              <w:rPr>
                <w:rStyle w:val="ab"/>
                <w:rFonts w:ascii="Arial" w:hAnsi="Arial" w:cs="Arial"/>
                <w:b w:val="0"/>
                <w:i w:val="0"/>
                <w:noProof/>
                <w:lang w:val="uk-UA"/>
              </w:rPr>
              <w:t>3.2.3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Регульовані ринки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49</w:t>
            </w:r>
            <w:r w:rsidR="00622EE2" w:rsidRPr="007E5633">
              <w:rPr>
                <w:rFonts w:ascii="Arial" w:hAnsi="Arial" w:cs="Arial"/>
                <w:b w:val="0"/>
                <w:i w:val="0"/>
                <w:noProof/>
                <w:webHidden/>
                <w:lang w:val="uk-UA"/>
              </w:rPr>
              <w:fldChar w:fldCharType="end"/>
            </w:r>
          </w:hyperlink>
        </w:p>
        <w:p w14:paraId="28D9480C" w14:textId="2A502315"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5" w:history="1">
            <w:r w:rsidR="009F5D34" w:rsidRPr="007E5633">
              <w:rPr>
                <w:rStyle w:val="ab"/>
                <w:rFonts w:ascii="Arial" w:hAnsi="Arial" w:cs="Arial"/>
                <w:b w:val="0"/>
                <w:i w:val="0"/>
                <w:noProof/>
                <w:lang w:val="uk-UA"/>
              </w:rPr>
              <w:t>3.2.3.1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Організаційні вимоги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50</w:t>
            </w:r>
            <w:r w:rsidR="00622EE2" w:rsidRPr="007E5633">
              <w:rPr>
                <w:rFonts w:ascii="Arial" w:hAnsi="Arial" w:cs="Arial"/>
                <w:b w:val="0"/>
                <w:i w:val="0"/>
                <w:noProof/>
                <w:webHidden/>
                <w:lang w:val="uk-UA"/>
              </w:rPr>
              <w:fldChar w:fldCharType="end"/>
            </w:r>
          </w:hyperlink>
        </w:p>
        <w:p w14:paraId="32ADCF79" w14:textId="4D744352"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6" w:history="1">
            <w:r w:rsidR="009F5D34" w:rsidRPr="007E5633">
              <w:rPr>
                <w:rStyle w:val="ab"/>
                <w:rFonts w:ascii="Arial" w:hAnsi="Arial" w:cs="Arial"/>
                <w:b w:val="0"/>
                <w:i w:val="0"/>
                <w:noProof/>
                <w:lang w:val="uk-UA"/>
              </w:rPr>
              <w:t>3.2.3.2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Вимоги до торговельної системи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51</w:t>
            </w:r>
            <w:r w:rsidR="00622EE2" w:rsidRPr="007E5633">
              <w:rPr>
                <w:rFonts w:ascii="Arial" w:hAnsi="Arial" w:cs="Arial"/>
                <w:b w:val="0"/>
                <w:i w:val="0"/>
                <w:noProof/>
                <w:webHidden/>
                <w:lang w:val="uk-UA"/>
              </w:rPr>
              <w:fldChar w:fldCharType="end"/>
            </w:r>
          </w:hyperlink>
        </w:p>
        <w:p w14:paraId="50FD2A00" w14:textId="510A463B"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7" w:history="1">
            <w:r w:rsidR="009F5D34" w:rsidRPr="007E5633">
              <w:rPr>
                <w:rStyle w:val="ab"/>
                <w:rFonts w:ascii="Arial" w:hAnsi="Arial" w:cs="Arial"/>
                <w:b w:val="0"/>
                <w:i w:val="0"/>
                <w:noProof/>
                <w:lang w:val="uk-UA"/>
              </w:rPr>
              <w:t>3.2.3.3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Вимоги до торгових місць</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51</w:t>
            </w:r>
            <w:r w:rsidR="00622EE2" w:rsidRPr="007E5633">
              <w:rPr>
                <w:rFonts w:ascii="Arial" w:hAnsi="Arial" w:cs="Arial"/>
                <w:b w:val="0"/>
                <w:i w:val="0"/>
                <w:noProof/>
                <w:webHidden/>
                <w:lang w:val="uk-UA"/>
              </w:rPr>
              <w:fldChar w:fldCharType="end"/>
            </w:r>
          </w:hyperlink>
        </w:p>
        <w:p w14:paraId="1B412210" w14:textId="194E73E4"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8" w:history="1">
            <w:r w:rsidR="009F5D34" w:rsidRPr="007E5633">
              <w:rPr>
                <w:rStyle w:val="ab"/>
                <w:rFonts w:ascii="Arial" w:hAnsi="Arial" w:cs="Arial"/>
                <w:b w:val="0"/>
                <w:i w:val="0"/>
                <w:noProof/>
                <w:lang w:val="uk-UA"/>
              </w:rPr>
              <w:t>3.2.3.4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Доступ до регульованого ринку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52</w:t>
            </w:r>
            <w:r w:rsidR="00622EE2" w:rsidRPr="007E5633">
              <w:rPr>
                <w:rFonts w:ascii="Arial" w:hAnsi="Arial" w:cs="Arial"/>
                <w:b w:val="0"/>
                <w:i w:val="0"/>
                <w:noProof/>
                <w:webHidden/>
                <w:lang w:val="uk-UA"/>
              </w:rPr>
              <w:fldChar w:fldCharType="end"/>
            </w:r>
          </w:hyperlink>
        </w:p>
        <w:p w14:paraId="2CC46E0B" w14:textId="066FF490"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19" w:history="1">
            <w:r w:rsidR="009F5D34" w:rsidRPr="007E5633">
              <w:rPr>
                <w:rStyle w:val="ab"/>
                <w:rFonts w:ascii="Arial" w:hAnsi="Arial" w:cs="Arial"/>
                <w:b w:val="0"/>
                <w:i w:val="0"/>
                <w:noProof/>
                <w:lang w:val="uk-UA"/>
              </w:rPr>
              <w:t>3.2.3.5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Прийом, зупинення та зняття фінансових інструментів з торгівлі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_Toc533093919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52</w:t>
            </w:r>
            <w:r w:rsidR="00622EE2" w:rsidRPr="007E5633">
              <w:rPr>
                <w:rFonts w:ascii="Arial" w:hAnsi="Arial" w:cs="Arial"/>
                <w:b w:val="0"/>
                <w:i w:val="0"/>
                <w:noProof/>
                <w:webHidden/>
                <w:lang w:val="uk-UA"/>
              </w:rPr>
              <w:fldChar w:fldCharType="end"/>
            </w:r>
          </w:hyperlink>
        </w:p>
        <w:p w14:paraId="06BE789C" w14:textId="4FD1636E"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0" w:history="1">
            <w:r w:rsidR="009F5D34" w:rsidRPr="007E5633">
              <w:rPr>
                <w:rStyle w:val="ab"/>
                <w:rFonts w:ascii="Arial" w:hAnsi="Arial" w:cs="Arial"/>
                <w:b w:val="0"/>
                <w:i w:val="0"/>
                <w:noProof/>
                <w:lang w:val="uk-UA"/>
              </w:rPr>
              <w:t>3.2.3.6</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Моніторинг відповідності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52</w:t>
            </w:r>
            <w:r w:rsidR="00622EE2" w:rsidRPr="007E5633">
              <w:rPr>
                <w:rFonts w:ascii="Arial" w:hAnsi="Arial" w:cs="Arial"/>
                <w:b w:val="0"/>
                <w:i w:val="0"/>
                <w:noProof/>
                <w:webHidden/>
                <w:lang w:val="uk-UA"/>
              </w:rPr>
              <w:fldChar w:fldCharType="end"/>
            </w:r>
          </w:hyperlink>
        </w:p>
        <w:p w14:paraId="5425BFA1" w14:textId="70EBC3BE"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1" w:history="1">
            <w:r w:rsidR="009F5D34" w:rsidRPr="007E5633">
              <w:rPr>
                <w:rStyle w:val="ab"/>
                <w:rFonts w:ascii="Arial" w:hAnsi="Arial" w:cs="Arial"/>
                <w:b w:val="0"/>
                <w:i w:val="0"/>
                <w:noProof/>
                <w:lang w:val="uk-UA"/>
              </w:rPr>
              <w:t>3.2.3.7</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Орган управління</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52</w:t>
            </w:r>
            <w:r w:rsidR="00622EE2" w:rsidRPr="007E5633">
              <w:rPr>
                <w:rFonts w:ascii="Arial" w:hAnsi="Arial" w:cs="Arial"/>
                <w:b w:val="0"/>
                <w:i w:val="0"/>
                <w:noProof/>
                <w:webHidden/>
                <w:lang w:val="uk-UA"/>
              </w:rPr>
              <w:fldChar w:fldCharType="end"/>
            </w:r>
          </w:hyperlink>
        </w:p>
        <w:p w14:paraId="47355DDA" w14:textId="52D1399D"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2" w:history="1">
            <w:r w:rsidR="009F5D34" w:rsidRPr="007E5633">
              <w:rPr>
                <w:rStyle w:val="ab"/>
                <w:rFonts w:ascii="Arial" w:hAnsi="Arial" w:cs="Arial"/>
                <w:b w:val="0"/>
                <w:i w:val="0"/>
                <w:noProof/>
                <w:lang w:val="uk-UA"/>
              </w:rPr>
              <w:t>3.3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Аналіз системи ліцензування для трейдерів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53</w:t>
            </w:r>
            <w:r w:rsidR="00622EE2" w:rsidRPr="007E5633">
              <w:rPr>
                <w:rFonts w:ascii="Arial" w:hAnsi="Arial" w:cs="Arial"/>
                <w:b w:val="0"/>
                <w:i w:val="0"/>
                <w:noProof/>
                <w:webHidden/>
                <w:lang w:val="uk-UA"/>
              </w:rPr>
              <w:fldChar w:fldCharType="end"/>
            </w:r>
          </w:hyperlink>
        </w:p>
        <w:p w14:paraId="655E5048" w14:textId="644789CB"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3" w:history="1">
            <w:r w:rsidR="009F5D34" w:rsidRPr="007E5633">
              <w:rPr>
                <w:rStyle w:val="ab"/>
                <w:rFonts w:ascii="Arial" w:hAnsi="Arial" w:cs="Arial"/>
                <w:b w:val="0"/>
                <w:i w:val="0"/>
                <w:noProof/>
                <w:lang w:val="uk-UA"/>
              </w:rPr>
              <w:t>3.3.1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Фізична торгівля</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53</w:t>
            </w:r>
            <w:r w:rsidR="00622EE2" w:rsidRPr="007E5633">
              <w:rPr>
                <w:rFonts w:ascii="Arial" w:hAnsi="Arial" w:cs="Arial"/>
                <w:b w:val="0"/>
                <w:i w:val="0"/>
                <w:noProof/>
                <w:webHidden/>
                <w:lang w:val="uk-UA"/>
              </w:rPr>
              <w:fldChar w:fldCharType="end"/>
            </w:r>
          </w:hyperlink>
        </w:p>
        <w:p w14:paraId="6E3ABD0F" w14:textId="2A744223"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4" w:history="1">
            <w:r w:rsidR="009F5D34" w:rsidRPr="007E5633">
              <w:rPr>
                <w:rStyle w:val="ab"/>
                <w:rFonts w:ascii="Arial" w:hAnsi="Arial" w:cs="Arial"/>
                <w:b w:val="0"/>
                <w:i w:val="0"/>
                <w:noProof/>
                <w:lang w:val="uk-UA"/>
              </w:rPr>
              <w:t>3.4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Аналіз передачі права власності в торгівлі енергією</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57</w:t>
            </w:r>
            <w:r w:rsidR="00622EE2" w:rsidRPr="007E5633">
              <w:rPr>
                <w:rFonts w:ascii="Arial" w:hAnsi="Arial" w:cs="Arial"/>
                <w:b w:val="0"/>
                <w:i w:val="0"/>
                <w:noProof/>
                <w:webHidden/>
                <w:lang w:val="uk-UA"/>
              </w:rPr>
              <w:fldChar w:fldCharType="end"/>
            </w:r>
          </w:hyperlink>
        </w:p>
        <w:p w14:paraId="5E73DFA9" w14:textId="0843C364"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5" w:history="1">
            <w:r w:rsidR="009F5D34" w:rsidRPr="007E5633">
              <w:rPr>
                <w:rStyle w:val="ab"/>
                <w:rFonts w:ascii="Arial" w:hAnsi="Arial" w:cs="Arial"/>
                <w:b w:val="0"/>
                <w:i w:val="0"/>
                <w:noProof/>
                <w:lang w:val="uk-UA"/>
              </w:rPr>
              <w:t>3.4.1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Загальні положення</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57</w:t>
            </w:r>
            <w:r w:rsidR="00622EE2" w:rsidRPr="007E5633">
              <w:rPr>
                <w:rFonts w:ascii="Arial" w:hAnsi="Arial" w:cs="Arial"/>
                <w:b w:val="0"/>
                <w:i w:val="0"/>
                <w:noProof/>
                <w:webHidden/>
                <w:lang w:val="uk-UA"/>
              </w:rPr>
              <w:fldChar w:fldCharType="end"/>
            </w:r>
          </w:hyperlink>
        </w:p>
        <w:p w14:paraId="1E582FF0" w14:textId="11EC382D"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6" w:history="1">
            <w:r w:rsidR="009F5D34" w:rsidRPr="007E5633">
              <w:rPr>
                <w:rStyle w:val="ab"/>
                <w:rFonts w:ascii="Arial" w:hAnsi="Arial" w:cs="Arial"/>
                <w:b w:val="0"/>
                <w:i w:val="0"/>
                <w:noProof/>
                <w:lang w:val="uk-UA"/>
              </w:rPr>
              <w:t>3.4.2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Оплата в енергетичній торгівлі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61</w:t>
            </w:r>
            <w:r w:rsidR="00622EE2" w:rsidRPr="007E5633">
              <w:rPr>
                <w:rFonts w:ascii="Arial" w:hAnsi="Arial" w:cs="Arial"/>
                <w:b w:val="0"/>
                <w:i w:val="0"/>
                <w:noProof/>
                <w:webHidden/>
                <w:lang w:val="uk-UA"/>
              </w:rPr>
              <w:fldChar w:fldCharType="end"/>
            </w:r>
          </w:hyperlink>
        </w:p>
        <w:p w14:paraId="3833BFFD" w14:textId="123D2790"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7" w:history="1">
            <w:r w:rsidR="009F5D34" w:rsidRPr="007E5633">
              <w:rPr>
                <w:rStyle w:val="ab"/>
                <w:rFonts w:ascii="Arial" w:hAnsi="Arial" w:cs="Arial"/>
                <w:b w:val="0"/>
                <w:i w:val="0"/>
                <w:noProof/>
                <w:lang w:val="uk-UA"/>
              </w:rPr>
              <w:t>3.4.2.1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Фізичні неклірингові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61</w:t>
            </w:r>
            <w:r w:rsidR="00622EE2" w:rsidRPr="007E5633">
              <w:rPr>
                <w:rFonts w:ascii="Arial" w:hAnsi="Arial" w:cs="Arial"/>
                <w:b w:val="0"/>
                <w:i w:val="0"/>
                <w:noProof/>
                <w:webHidden/>
                <w:lang w:val="uk-UA"/>
              </w:rPr>
              <w:fldChar w:fldCharType="end"/>
            </w:r>
          </w:hyperlink>
        </w:p>
        <w:p w14:paraId="3459106C" w14:textId="1EBDD822" w:rsidR="009F5D34" w:rsidRPr="007E5633" w:rsidRDefault="00690478" w:rsidP="009F5D34">
          <w:pPr>
            <w:pStyle w:val="11"/>
            <w:tabs>
              <w:tab w:val="left" w:pos="132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8" w:history="1">
            <w:r w:rsidR="009F5D34" w:rsidRPr="007E5633">
              <w:rPr>
                <w:rStyle w:val="ab"/>
                <w:rFonts w:ascii="Arial" w:hAnsi="Arial" w:cs="Arial"/>
                <w:b w:val="0"/>
                <w:i w:val="0"/>
                <w:noProof/>
                <w:lang w:val="uk-UA"/>
              </w:rPr>
              <w:t>3.4.2.1.1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Оплата та розрахунки по позабіржових угодах, що пройшли кліринг, або по біржових угодах</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62</w:t>
            </w:r>
            <w:r w:rsidR="00622EE2" w:rsidRPr="007E5633">
              <w:rPr>
                <w:rFonts w:ascii="Arial" w:hAnsi="Arial" w:cs="Arial"/>
                <w:b w:val="0"/>
                <w:i w:val="0"/>
                <w:noProof/>
                <w:webHidden/>
                <w:lang w:val="uk-UA"/>
              </w:rPr>
              <w:fldChar w:fldCharType="end"/>
            </w:r>
          </w:hyperlink>
        </w:p>
        <w:p w14:paraId="57D7CBF6" w14:textId="0B9BE78A"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29" w:history="1">
            <w:r w:rsidR="009F5D34" w:rsidRPr="007E5633">
              <w:rPr>
                <w:rStyle w:val="ab"/>
                <w:rFonts w:ascii="Arial" w:hAnsi="Arial" w:cs="Arial"/>
                <w:b w:val="0"/>
                <w:i w:val="0"/>
                <w:noProof/>
                <w:lang w:val="uk-UA"/>
              </w:rPr>
              <w:t>3.4.3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Управління кредитними ризиками в торгівлі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_Toc533093929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65</w:t>
            </w:r>
            <w:r w:rsidR="00622EE2" w:rsidRPr="007E5633">
              <w:rPr>
                <w:rFonts w:ascii="Arial" w:hAnsi="Arial" w:cs="Arial"/>
                <w:b w:val="0"/>
                <w:i w:val="0"/>
                <w:noProof/>
                <w:webHidden/>
                <w:lang w:val="uk-UA"/>
              </w:rPr>
              <w:fldChar w:fldCharType="end"/>
            </w:r>
          </w:hyperlink>
        </w:p>
        <w:p w14:paraId="0CB87636" w14:textId="7C587A6D"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0" w:history="1">
            <w:r w:rsidR="009F5D34" w:rsidRPr="007E5633">
              <w:rPr>
                <w:rStyle w:val="ab"/>
                <w:rFonts w:ascii="Arial" w:hAnsi="Arial" w:cs="Arial"/>
                <w:b w:val="0"/>
                <w:i w:val="0"/>
                <w:noProof/>
                <w:lang w:val="uk-UA"/>
              </w:rPr>
              <w:t>3.4.3.1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Ринковий ризик</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66</w:t>
            </w:r>
            <w:r w:rsidR="00622EE2" w:rsidRPr="007E5633">
              <w:rPr>
                <w:rFonts w:ascii="Arial" w:hAnsi="Arial" w:cs="Arial"/>
                <w:b w:val="0"/>
                <w:i w:val="0"/>
                <w:noProof/>
                <w:webHidden/>
                <w:lang w:val="uk-UA"/>
              </w:rPr>
              <w:fldChar w:fldCharType="end"/>
            </w:r>
          </w:hyperlink>
        </w:p>
        <w:p w14:paraId="1B9BA0EE" w14:textId="45CAD9F3"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1" w:history="1">
            <w:r w:rsidR="009F5D34" w:rsidRPr="007E5633">
              <w:rPr>
                <w:rStyle w:val="ab"/>
                <w:rFonts w:ascii="Arial" w:hAnsi="Arial" w:cs="Arial"/>
                <w:b w:val="0"/>
                <w:i w:val="0"/>
                <w:noProof/>
                <w:lang w:val="uk-UA"/>
              </w:rPr>
              <w:t>3.4.3.2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Принципи управління кредитним ризиком у позабіржовій торгівлі енергією</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67</w:t>
            </w:r>
            <w:r w:rsidR="00622EE2" w:rsidRPr="007E5633">
              <w:rPr>
                <w:rFonts w:ascii="Arial" w:hAnsi="Arial" w:cs="Arial"/>
                <w:b w:val="0"/>
                <w:i w:val="0"/>
                <w:noProof/>
                <w:webHidden/>
                <w:lang w:val="uk-UA"/>
              </w:rPr>
              <w:fldChar w:fldCharType="end"/>
            </w:r>
          </w:hyperlink>
        </w:p>
        <w:p w14:paraId="3C797D7D" w14:textId="3FAE1AE9"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2" w:history="1">
            <w:r w:rsidR="009F5D34" w:rsidRPr="007E5633">
              <w:rPr>
                <w:rStyle w:val="ab"/>
                <w:rFonts w:ascii="Arial" w:hAnsi="Arial" w:cs="Arial"/>
                <w:b w:val="0"/>
                <w:i w:val="0"/>
                <w:noProof/>
                <w:lang w:val="uk-UA"/>
              </w:rPr>
              <w:t>3.4.3.3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Пом'якшення ризику неплатоспроможності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68</w:t>
            </w:r>
            <w:r w:rsidR="00622EE2" w:rsidRPr="007E5633">
              <w:rPr>
                <w:rFonts w:ascii="Arial" w:hAnsi="Arial" w:cs="Arial"/>
                <w:b w:val="0"/>
                <w:i w:val="0"/>
                <w:noProof/>
                <w:webHidden/>
                <w:lang w:val="uk-UA"/>
              </w:rPr>
              <w:fldChar w:fldCharType="end"/>
            </w:r>
          </w:hyperlink>
        </w:p>
        <w:p w14:paraId="1BCFF2A3" w14:textId="7FCF77BA"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3" w:history="1">
            <w:r w:rsidR="009F5D34" w:rsidRPr="007E5633">
              <w:rPr>
                <w:rStyle w:val="ab"/>
                <w:rFonts w:ascii="Arial" w:hAnsi="Arial" w:cs="Arial"/>
                <w:b w:val="0"/>
                <w:i w:val="0"/>
                <w:noProof/>
                <w:lang w:val="uk-UA"/>
              </w:rPr>
              <w:t>3.5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Режими звітності щодо транзакцій</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70</w:t>
            </w:r>
            <w:r w:rsidR="00622EE2" w:rsidRPr="007E5633">
              <w:rPr>
                <w:rFonts w:ascii="Arial" w:hAnsi="Arial" w:cs="Arial"/>
                <w:b w:val="0"/>
                <w:i w:val="0"/>
                <w:noProof/>
                <w:webHidden/>
                <w:lang w:val="uk-UA"/>
              </w:rPr>
              <w:fldChar w:fldCharType="end"/>
            </w:r>
          </w:hyperlink>
        </w:p>
        <w:p w14:paraId="139C22F8" w14:textId="56981E5D"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4" w:history="1">
            <w:r w:rsidR="009F5D34" w:rsidRPr="007E5633">
              <w:rPr>
                <w:rStyle w:val="ab"/>
                <w:rFonts w:ascii="Arial" w:hAnsi="Arial" w:cs="Arial"/>
                <w:b w:val="0"/>
                <w:i w:val="0"/>
                <w:noProof/>
                <w:lang w:val="uk-UA"/>
              </w:rPr>
              <w:t>3.5.1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Регуляторна звітність</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70</w:t>
            </w:r>
            <w:r w:rsidR="00622EE2" w:rsidRPr="007E5633">
              <w:rPr>
                <w:rFonts w:ascii="Arial" w:hAnsi="Arial" w:cs="Arial"/>
                <w:b w:val="0"/>
                <w:i w:val="0"/>
                <w:noProof/>
                <w:webHidden/>
                <w:lang w:val="uk-UA"/>
              </w:rPr>
              <w:fldChar w:fldCharType="end"/>
            </w:r>
          </w:hyperlink>
        </w:p>
        <w:p w14:paraId="67F65012" w14:textId="1E1CDE57"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5" w:history="1">
            <w:r w:rsidR="009F5D34" w:rsidRPr="007E5633">
              <w:rPr>
                <w:rStyle w:val="ab"/>
                <w:rFonts w:ascii="Arial" w:hAnsi="Arial" w:cs="Arial"/>
                <w:b w:val="0"/>
                <w:i w:val="0"/>
                <w:noProof/>
                <w:lang w:val="uk-UA"/>
              </w:rPr>
              <w:t>3.5.2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Звітність про транзакції</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70</w:t>
            </w:r>
            <w:r w:rsidR="00622EE2" w:rsidRPr="007E5633">
              <w:rPr>
                <w:rFonts w:ascii="Arial" w:hAnsi="Arial" w:cs="Arial"/>
                <w:b w:val="0"/>
                <w:i w:val="0"/>
                <w:noProof/>
                <w:webHidden/>
                <w:lang w:val="uk-UA"/>
              </w:rPr>
              <w:fldChar w:fldCharType="end"/>
            </w:r>
          </w:hyperlink>
        </w:p>
        <w:p w14:paraId="6F6AA36B" w14:textId="5C2D4C9E"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6" w:history="1">
            <w:r w:rsidR="009F5D34" w:rsidRPr="007E5633">
              <w:rPr>
                <w:rStyle w:val="ab"/>
                <w:rFonts w:ascii="Arial" w:hAnsi="Arial" w:cs="Arial"/>
                <w:b w:val="0"/>
                <w:i w:val="0"/>
                <w:noProof/>
                <w:lang w:val="uk-UA"/>
              </w:rPr>
              <w:t>3.5.2.1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Обов'язок звітності в рамках EMIR</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70</w:t>
            </w:r>
            <w:r w:rsidR="00622EE2" w:rsidRPr="007E5633">
              <w:rPr>
                <w:rFonts w:ascii="Arial" w:hAnsi="Arial" w:cs="Arial"/>
                <w:b w:val="0"/>
                <w:i w:val="0"/>
                <w:noProof/>
                <w:webHidden/>
                <w:lang w:val="uk-UA"/>
              </w:rPr>
              <w:fldChar w:fldCharType="end"/>
            </w:r>
          </w:hyperlink>
        </w:p>
        <w:p w14:paraId="690C3AC0" w14:textId="6B78A5A5"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7" w:history="1">
            <w:r w:rsidR="009F5D34" w:rsidRPr="007E5633">
              <w:rPr>
                <w:rStyle w:val="ab"/>
                <w:rFonts w:ascii="Arial" w:hAnsi="Arial" w:cs="Arial"/>
                <w:b w:val="0"/>
                <w:i w:val="0"/>
                <w:noProof/>
                <w:lang w:val="uk-UA"/>
              </w:rPr>
              <w:t>3.5.2.2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Звітування про зобов'язання за REMIT</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73</w:t>
            </w:r>
            <w:r w:rsidR="00622EE2" w:rsidRPr="007E5633">
              <w:rPr>
                <w:rFonts w:ascii="Arial" w:hAnsi="Arial" w:cs="Arial"/>
                <w:b w:val="0"/>
                <w:i w:val="0"/>
                <w:noProof/>
                <w:webHidden/>
                <w:lang w:val="uk-UA"/>
              </w:rPr>
              <w:fldChar w:fldCharType="end"/>
            </w:r>
          </w:hyperlink>
        </w:p>
        <w:p w14:paraId="1536D3C2" w14:textId="1CB4813B"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8" w:history="1">
            <w:r w:rsidR="009F5D34" w:rsidRPr="007E5633">
              <w:rPr>
                <w:rStyle w:val="ab"/>
                <w:rFonts w:ascii="Arial" w:hAnsi="Arial" w:cs="Arial"/>
                <w:b w:val="0"/>
                <w:i w:val="0"/>
                <w:noProof/>
                <w:lang w:val="uk-UA"/>
              </w:rPr>
              <w:t>3.5.2.3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Зобов'язання щодо звітування в рамках MIFIR</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76</w:t>
            </w:r>
            <w:r w:rsidR="00622EE2" w:rsidRPr="007E5633">
              <w:rPr>
                <w:rFonts w:ascii="Arial" w:hAnsi="Arial" w:cs="Arial"/>
                <w:b w:val="0"/>
                <w:i w:val="0"/>
                <w:noProof/>
                <w:webHidden/>
                <w:lang w:val="uk-UA"/>
              </w:rPr>
              <w:fldChar w:fldCharType="end"/>
            </w:r>
          </w:hyperlink>
        </w:p>
        <w:p w14:paraId="7366848D" w14:textId="35299121"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39" w:history="1">
            <w:r w:rsidR="009F5D34" w:rsidRPr="007E5633">
              <w:rPr>
                <w:rStyle w:val="ab"/>
                <w:rFonts w:ascii="Arial" w:hAnsi="Arial" w:cs="Arial"/>
                <w:b w:val="0"/>
                <w:i w:val="0"/>
                <w:noProof/>
                <w:lang w:val="uk-UA"/>
              </w:rPr>
              <w:t>3.5.3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Звітні зобов'язання, пов'язані з зловживанням на ринку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_Toc533093939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79</w:t>
            </w:r>
            <w:r w:rsidR="00622EE2" w:rsidRPr="007E5633">
              <w:rPr>
                <w:rFonts w:ascii="Arial" w:hAnsi="Arial" w:cs="Arial"/>
                <w:b w:val="0"/>
                <w:i w:val="0"/>
                <w:noProof/>
                <w:webHidden/>
                <w:lang w:val="uk-UA"/>
              </w:rPr>
              <w:fldChar w:fldCharType="end"/>
            </w:r>
          </w:hyperlink>
        </w:p>
        <w:p w14:paraId="3EF81593" w14:textId="3155901C"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0" w:history="1">
            <w:r w:rsidR="009F5D34" w:rsidRPr="007E5633">
              <w:rPr>
                <w:rStyle w:val="ab"/>
                <w:rFonts w:ascii="Arial" w:hAnsi="Arial" w:cs="Arial"/>
                <w:b w:val="0"/>
                <w:i w:val="0"/>
                <w:noProof/>
                <w:lang w:val="uk-UA"/>
              </w:rPr>
              <w:t>3.5.3.1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Звітні зобов'язання за MAR</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79</w:t>
            </w:r>
            <w:r w:rsidR="00622EE2" w:rsidRPr="007E5633">
              <w:rPr>
                <w:rFonts w:ascii="Arial" w:hAnsi="Arial" w:cs="Arial"/>
                <w:b w:val="0"/>
                <w:i w:val="0"/>
                <w:noProof/>
                <w:webHidden/>
                <w:lang w:val="uk-UA"/>
              </w:rPr>
              <w:fldChar w:fldCharType="end"/>
            </w:r>
          </w:hyperlink>
        </w:p>
        <w:p w14:paraId="4E608816" w14:textId="507EC582"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1" w:history="1">
            <w:r w:rsidR="009F5D34" w:rsidRPr="007E5633">
              <w:rPr>
                <w:rStyle w:val="ab"/>
                <w:rFonts w:ascii="Arial" w:hAnsi="Arial" w:cs="Arial"/>
                <w:b w:val="0"/>
                <w:i w:val="0"/>
                <w:noProof/>
                <w:lang w:val="uk-UA"/>
              </w:rPr>
              <w:t>3.5.3.2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Обов'язок подання звітності за REMIT</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83</w:t>
            </w:r>
            <w:r w:rsidR="00622EE2" w:rsidRPr="007E5633">
              <w:rPr>
                <w:rFonts w:ascii="Arial" w:hAnsi="Arial" w:cs="Arial"/>
                <w:b w:val="0"/>
                <w:i w:val="0"/>
                <w:noProof/>
                <w:webHidden/>
                <w:lang w:val="uk-UA"/>
              </w:rPr>
              <w:fldChar w:fldCharType="end"/>
            </w:r>
          </w:hyperlink>
        </w:p>
        <w:p w14:paraId="68518C1B" w14:textId="0C17A14E"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2" w:history="1">
            <w:r w:rsidR="009F5D34" w:rsidRPr="007E5633">
              <w:rPr>
                <w:rStyle w:val="ab"/>
                <w:rFonts w:ascii="Arial" w:hAnsi="Arial" w:cs="Arial"/>
                <w:b w:val="0"/>
                <w:i w:val="0"/>
                <w:noProof/>
                <w:lang w:val="uk-UA"/>
              </w:rPr>
              <w:t>3.5.4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Звітування щодо позиції</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84</w:t>
            </w:r>
            <w:r w:rsidR="00622EE2" w:rsidRPr="007E5633">
              <w:rPr>
                <w:rFonts w:ascii="Arial" w:hAnsi="Arial" w:cs="Arial"/>
                <w:b w:val="0"/>
                <w:i w:val="0"/>
                <w:noProof/>
                <w:webHidden/>
                <w:lang w:val="uk-UA"/>
              </w:rPr>
              <w:fldChar w:fldCharType="end"/>
            </w:r>
          </w:hyperlink>
        </w:p>
        <w:p w14:paraId="1B78D907" w14:textId="1F1C14A5"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3" w:history="1">
            <w:r w:rsidR="009F5D34" w:rsidRPr="007E5633">
              <w:rPr>
                <w:rStyle w:val="ab"/>
                <w:rFonts w:ascii="Arial" w:hAnsi="Arial" w:cs="Arial"/>
                <w:b w:val="0"/>
                <w:i w:val="0"/>
                <w:noProof/>
                <w:lang w:val="uk-UA"/>
              </w:rPr>
              <w:t>3.5.4.1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Звітні зобов'язання в рамках MIFID II</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84</w:t>
            </w:r>
            <w:r w:rsidR="00622EE2" w:rsidRPr="007E5633">
              <w:rPr>
                <w:rFonts w:ascii="Arial" w:hAnsi="Arial" w:cs="Arial"/>
                <w:b w:val="0"/>
                <w:i w:val="0"/>
                <w:noProof/>
                <w:webHidden/>
                <w:lang w:val="uk-UA"/>
              </w:rPr>
              <w:fldChar w:fldCharType="end"/>
            </w:r>
          </w:hyperlink>
        </w:p>
        <w:p w14:paraId="062AA6A1" w14:textId="1C2E7677"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4" w:history="1">
            <w:r w:rsidR="009F5D34" w:rsidRPr="007E5633">
              <w:rPr>
                <w:rStyle w:val="ab"/>
                <w:rFonts w:ascii="Arial" w:hAnsi="Arial" w:cs="Arial"/>
                <w:b w:val="0"/>
                <w:i w:val="0"/>
                <w:noProof/>
                <w:lang w:val="uk-UA"/>
              </w:rPr>
              <w:t>3.5.5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Прозорість та звітність</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87</w:t>
            </w:r>
            <w:r w:rsidR="00622EE2" w:rsidRPr="007E5633">
              <w:rPr>
                <w:rFonts w:ascii="Arial" w:hAnsi="Arial" w:cs="Arial"/>
                <w:b w:val="0"/>
                <w:i w:val="0"/>
                <w:noProof/>
                <w:webHidden/>
                <w:lang w:val="uk-UA"/>
              </w:rPr>
              <w:fldChar w:fldCharType="end"/>
            </w:r>
          </w:hyperlink>
        </w:p>
        <w:p w14:paraId="2D473419" w14:textId="78A705B7"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5" w:history="1">
            <w:r w:rsidR="009F5D34" w:rsidRPr="007E5633">
              <w:rPr>
                <w:rStyle w:val="ab"/>
                <w:rFonts w:ascii="Arial" w:hAnsi="Arial" w:cs="Arial"/>
                <w:b w:val="0"/>
                <w:i w:val="0"/>
                <w:noProof/>
                <w:lang w:val="uk-UA"/>
              </w:rPr>
              <w:t>3.5.5.1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Європейські платформи прозорості для TSOs</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87</w:t>
            </w:r>
            <w:r w:rsidR="00622EE2" w:rsidRPr="007E5633">
              <w:rPr>
                <w:rFonts w:ascii="Arial" w:hAnsi="Arial" w:cs="Arial"/>
                <w:b w:val="0"/>
                <w:i w:val="0"/>
                <w:noProof/>
                <w:webHidden/>
                <w:lang w:val="uk-UA"/>
              </w:rPr>
              <w:fldChar w:fldCharType="end"/>
            </w:r>
          </w:hyperlink>
        </w:p>
        <w:p w14:paraId="1FA6731C" w14:textId="3CCF1E77"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6" w:history="1">
            <w:r w:rsidR="009F5D34" w:rsidRPr="007E5633">
              <w:rPr>
                <w:rStyle w:val="ab"/>
                <w:rFonts w:ascii="Arial" w:hAnsi="Arial" w:cs="Arial"/>
                <w:b w:val="0"/>
                <w:i w:val="0"/>
                <w:noProof/>
                <w:lang w:val="uk-UA"/>
              </w:rPr>
              <w:t>3.5.6</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Процес прозорості після завершення угоди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89</w:t>
            </w:r>
            <w:r w:rsidR="00622EE2" w:rsidRPr="007E5633">
              <w:rPr>
                <w:rFonts w:ascii="Arial" w:hAnsi="Arial" w:cs="Arial"/>
                <w:b w:val="0"/>
                <w:i w:val="0"/>
                <w:noProof/>
                <w:webHidden/>
                <w:lang w:val="uk-UA"/>
              </w:rPr>
              <w:fldChar w:fldCharType="end"/>
            </w:r>
          </w:hyperlink>
        </w:p>
        <w:p w14:paraId="4F9AAC59" w14:textId="09EE6801"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7" w:history="1">
            <w:r w:rsidR="009F5D34" w:rsidRPr="007E5633">
              <w:rPr>
                <w:rStyle w:val="ab"/>
                <w:rFonts w:ascii="Arial" w:hAnsi="Arial" w:cs="Arial"/>
                <w:b w:val="0"/>
                <w:i w:val="0"/>
                <w:noProof/>
                <w:lang w:val="uk-UA"/>
              </w:rPr>
              <w:t>3.5.6.1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Процес завершення позабіржових угод та розрахунки по них</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89</w:t>
            </w:r>
            <w:r w:rsidR="00622EE2" w:rsidRPr="007E5633">
              <w:rPr>
                <w:rFonts w:ascii="Arial" w:hAnsi="Arial" w:cs="Arial"/>
                <w:b w:val="0"/>
                <w:i w:val="0"/>
                <w:noProof/>
                <w:webHidden/>
                <w:lang w:val="uk-UA"/>
              </w:rPr>
              <w:fldChar w:fldCharType="end"/>
            </w:r>
          </w:hyperlink>
        </w:p>
        <w:p w14:paraId="7BD2AE7E" w14:textId="3D5ECE47" w:rsidR="009F5D34" w:rsidRPr="007E5633" w:rsidRDefault="00690478" w:rsidP="009F5D34">
          <w:pPr>
            <w:pStyle w:val="11"/>
            <w:tabs>
              <w:tab w:val="left" w:pos="110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8" w:history="1">
            <w:r w:rsidR="009F5D34" w:rsidRPr="007E5633">
              <w:rPr>
                <w:rStyle w:val="ab"/>
                <w:rFonts w:ascii="Arial" w:hAnsi="Arial" w:cs="Arial"/>
                <w:b w:val="0"/>
                <w:i w:val="0"/>
                <w:noProof/>
                <w:lang w:val="uk-UA"/>
              </w:rPr>
              <w:t>3.5.6.2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Електронне підтвердження відповідності (eCM)</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90</w:t>
            </w:r>
            <w:r w:rsidR="00622EE2" w:rsidRPr="007E5633">
              <w:rPr>
                <w:rFonts w:ascii="Arial" w:hAnsi="Arial" w:cs="Arial"/>
                <w:b w:val="0"/>
                <w:i w:val="0"/>
                <w:noProof/>
                <w:webHidden/>
                <w:lang w:val="uk-UA"/>
              </w:rPr>
              <w:fldChar w:fldCharType="end"/>
            </w:r>
          </w:hyperlink>
        </w:p>
        <w:p w14:paraId="5C7D01A5" w14:textId="5003310A"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49" w:history="1">
            <w:r w:rsidR="009F5D34" w:rsidRPr="007E5633">
              <w:rPr>
                <w:rStyle w:val="ab"/>
                <w:rFonts w:ascii="Arial" w:hAnsi="Arial" w:cs="Arial"/>
                <w:b w:val="0"/>
                <w:i w:val="0"/>
                <w:noProof/>
                <w:lang w:val="uk-UA"/>
              </w:rPr>
              <w:t>3.6</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Оподаткування енергетичних продуктів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_Toc533093949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92</w:t>
            </w:r>
            <w:r w:rsidR="00622EE2" w:rsidRPr="007E5633">
              <w:rPr>
                <w:rFonts w:ascii="Arial" w:hAnsi="Arial" w:cs="Arial"/>
                <w:b w:val="0"/>
                <w:i w:val="0"/>
                <w:noProof/>
                <w:webHidden/>
                <w:lang w:val="uk-UA"/>
              </w:rPr>
              <w:fldChar w:fldCharType="end"/>
            </w:r>
          </w:hyperlink>
        </w:p>
        <w:p w14:paraId="42B50A1B" w14:textId="4D004437"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0" w:history="1">
            <w:r w:rsidR="009F5D34" w:rsidRPr="007E5633">
              <w:rPr>
                <w:rStyle w:val="ab"/>
                <w:rFonts w:ascii="Arial" w:hAnsi="Arial" w:cs="Arial"/>
                <w:b w:val="0"/>
                <w:i w:val="0"/>
                <w:noProof/>
                <w:lang w:val="uk-UA"/>
              </w:rPr>
              <w:t>3.6.1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Вступ</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92</w:t>
            </w:r>
            <w:r w:rsidR="00622EE2" w:rsidRPr="007E5633">
              <w:rPr>
                <w:rFonts w:ascii="Arial" w:hAnsi="Arial" w:cs="Arial"/>
                <w:b w:val="0"/>
                <w:i w:val="0"/>
                <w:noProof/>
                <w:webHidden/>
                <w:lang w:val="uk-UA"/>
              </w:rPr>
              <w:fldChar w:fldCharType="end"/>
            </w:r>
          </w:hyperlink>
        </w:p>
        <w:p w14:paraId="36518E9E" w14:textId="77723FE8"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1" w:history="1">
            <w:r w:rsidR="009F5D34" w:rsidRPr="007E5633">
              <w:rPr>
                <w:rStyle w:val="ab"/>
                <w:rFonts w:ascii="Arial" w:hAnsi="Arial" w:cs="Arial"/>
                <w:b w:val="0"/>
                <w:i w:val="0"/>
                <w:noProof/>
                <w:lang w:val="uk-UA"/>
              </w:rPr>
              <w:t>3.6.2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Система оподаткування в ЄС</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_Toc533093951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93</w:t>
            </w:r>
            <w:r w:rsidR="00622EE2" w:rsidRPr="007E5633">
              <w:rPr>
                <w:rFonts w:ascii="Arial" w:hAnsi="Arial" w:cs="Arial"/>
                <w:b w:val="0"/>
                <w:i w:val="0"/>
                <w:noProof/>
                <w:webHidden/>
                <w:lang w:val="uk-UA"/>
              </w:rPr>
              <w:fldChar w:fldCharType="end"/>
            </w:r>
          </w:hyperlink>
        </w:p>
        <w:p w14:paraId="71D910F2" w14:textId="31BA34F9"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2" w:history="1">
            <w:r w:rsidR="009F5D34" w:rsidRPr="007E5633">
              <w:rPr>
                <w:rStyle w:val="ab"/>
                <w:rFonts w:ascii="Arial" w:hAnsi="Arial" w:cs="Arial"/>
                <w:b w:val="0"/>
                <w:i w:val="0"/>
                <w:noProof/>
                <w:lang w:val="uk-UA"/>
              </w:rPr>
              <w:t>3.6.3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Типова національна податкова система у застосуванні до оптового енергетичного ринку</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94</w:t>
            </w:r>
            <w:r w:rsidR="00622EE2" w:rsidRPr="007E5633">
              <w:rPr>
                <w:rFonts w:ascii="Arial" w:hAnsi="Arial" w:cs="Arial"/>
                <w:b w:val="0"/>
                <w:i w:val="0"/>
                <w:noProof/>
                <w:webHidden/>
                <w:lang w:val="uk-UA"/>
              </w:rPr>
              <w:fldChar w:fldCharType="end"/>
            </w:r>
          </w:hyperlink>
        </w:p>
        <w:p w14:paraId="2F6C140B" w14:textId="3AA373A2"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3" w:history="1">
            <w:r w:rsidR="009F5D34" w:rsidRPr="007E5633">
              <w:rPr>
                <w:rStyle w:val="ab"/>
                <w:rFonts w:ascii="Arial" w:hAnsi="Arial" w:cs="Arial"/>
                <w:b w:val="0"/>
                <w:i w:val="0"/>
                <w:noProof/>
                <w:lang w:val="uk-UA"/>
              </w:rPr>
              <w:t>3.6.4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Екологічні податки та схеми стимулювання</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97</w:t>
            </w:r>
            <w:r w:rsidR="00622EE2" w:rsidRPr="007E5633">
              <w:rPr>
                <w:rFonts w:ascii="Arial" w:hAnsi="Arial" w:cs="Arial"/>
                <w:b w:val="0"/>
                <w:i w:val="0"/>
                <w:noProof/>
                <w:webHidden/>
                <w:lang w:val="uk-UA"/>
              </w:rPr>
              <w:fldChar w:fldCharType="end"/>
            </w:r>
          </w:hyperlink>
        </w:p>
        <w:p w14:paraId="6049B4D9" w14:textId="7AC623D1"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4" w:history="1">
            <w:r w:rsidR="009F5D34" w:rsidRPr="007E5633">
              <w:rPr>
                <w:rStyle w:val="ab"/>
                <w:rFonts w:ascii="Arial" w:hAnsi="Arial" w:cs="Arial"/>
                <w:b w:val="0"/>
                <w:i w:val="0"/>
                <w:noProof/>
                <w:lang w:val="uk-UA"/>
              </w:rPr>
              <w:t>3.6.5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Система торгівлі викидами в ЄС</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99</w:t>
            </w:r>
            <w:r w:rsidR="00622EE2" w:rsidRPr="007E5633">
              <w:rPr>
                <w:rFonts w:ascii="Arial" w:hAnsi="Arial" w:cs="Arial"/>
                <w:b w:val="0"/>
                <w:i w:val="0"/>
                <w:noProof/>
                <w:webHidden/>
                <w:lang w:val="uk-UA"/>
              </w:rPr>
              <w:fldChar w:fldCharType="end"/>
            </w:r>
          </w:hyperlink>
        </w:p>
        <w:p w14:paraId="06ABD448" w14:textId="5A5276A1"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5" w:history="1">
            <w:r w:rsidR="009F5D34" w:rsidRPr="007E5633">
              <w:rPr>
                <w:rStyle w:val="ab"/>
                <w:rFonts w:ascii="Arial" w:hAnsi="Arial" w:cs="Arial"/>
                <w:b w:val="0"/>
                <w:i w:val="0"/>
                <w:noProof/>
                <w:lang w:val="uk-UA"/>
              </w:rPr>
              <w:t>3.6.6</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Резюме</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100</w:t>
            </w:r>
            <w:r w:rsidR="00622EE2" w:rsidRPr="007E5633">
              <w:rPr>
                <w:rFonts w:ascii="Arial" w:hAnsi="Arial" w:cs="Arial"/>
                <w:b w:val="0"/>
                <w:i w:val="0"/>
                <w:noProof/>
                <w:webHidden/>
                <w:lang w:val="uk-UA"/>
              </w:rPr>
              <w:fldChar w:fldCharType="end"/>
            </w:r>
          </w:hyperlink>
        </w:p>
        <w:p w14:paraId="08FB93C5" w14:textId="4B417786"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6" w:history="1">
            <w:r w:rsidR="009F5D34" w:rsidRPr="007E5633">
              <w:rPr>
                <w:rStyle w:val="ab"/>
                <w:rFonts w:ascii="Arial" w:hAnsi="Arial" w:cs="Arial"/>
                <w:b w:val="0"/>
                <w:i w:val="0"/>
                <w:noProof/>
                <w:lang w:val="uk-UA"/>
              </w:rPr>
              <w:t>3.7</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Транспортні умови (електроенергія та газ)</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100</w:t>
            </w:r>
            <w:r w:rsidR="00622EE2" w:rsidRPr="007E5633">
              <w:rPr>
                <w:rFonts w:ascii="Arial" w:hAnsi="Arial" w:cs="Arial"/>
                <w:b w:val="0"/>
                <w:i w:val="0"/>
                <w:noProof/>
                <w:webHidden/>
                <w:lang w:val="uk-UA"/>
              </w:rPr>
              <w:fldChar w:fldCharType="end"/>
            </w:r>
          </w:hyperlink>
        </w:p>
        <w:p w14:paraId="3660963A" w14:textId="0C7912D4"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7" w:history="1">
            <w:r w:rsidR="009F5D34" w:rsidRPr="007E5633">
              <w:rPr>
                <w:rStyle w:val="ab"/>
                <w:rFonts w:ascii="Arial" w:hAnsi="Arial" w:cs="Arial"/>
                <w:b w:val="0"/>
                <w:i w:val="0"/>
                <w:noProof/>
                <w:lang w:val="uk-UA"/>
              </w:rPr>
              <w:t>3.7.1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Транскордонна передача</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101</w:t>
            </w:r>
            <w:r w:rsidR="00622EE2" w:rsidRPr="007E5633">
              <w:rPr>
                <w:rFonts w:ascii="Arial" w:hAnsi="Arial" w:cs="Arial"/>
                <w:b w:val="0"/>
                <w:i w:val="0"/>
                <w:noProof/>
                <w:webHidden/>
                <w:lang w:val="uk-UA"/>
              </w:rPr>
              <w:fldChar w:fldCharType="end"/>
            </w:r>
          </w:hyperlink>
        </w:p>
        <w:p w14:paraId="3270089C" w14:textId="32366D81"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8" w:history="1">
            <w:r w:rsidR="009F5D34" w:rsidRPr="007E5633">
              <w:rPr>
                <w:rStyle w:val="ab"/>
                <w:rFonts w:ascii="Arial" w:hAnsi="Arial" w:cs="Arial"/>
                <w:b w:val="0"/>
                <w:i w:val="0"/>
                <w:noProof/>
                <w:lang w:val="uk-UA"/>
              </w:rPr>
              <w:t>3.7.2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Оператори системи передачі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102</w:t>
            </w:r>
            <w:r w:rsidR="00622EE2" w:rsidRPr="007E5633">
              <w:rPr>
                <w:rFonts w:ascii="Arial" w:hAnsi="Arial" w:cs="Arial"/>
                <w:b w:val="0"/>
                <w:i w:val="0"/>
                <w:noProof/>
                <w:webHidden/>
                <w:lang w:val="uk-UA"/>
              </w:rPr>
              <w:fldChar w:fldCharType="end"/>
            </w:r>
          </w:hyperlink>
        </w:p>
        <w:p w14:paraId="0F0724D6" w14:textId="27BF1A25"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59" w:history="1">
            <w:r w:rsidR="009F5D34" w:rsidRPr="007E5633">
              <w:rPr>
                <w:rStyle w:val="ab"/>
                <w:rFonts w:ascii="Arial" w:hAnsi="Arial" w:cs="Arial"/>
                <w:b w:val="0"/>
                <w:i w:val="0"/>
                <w:noProof/>
                <w:lang w:val="uk-UA"/>
              </w:rPr>
              <w:t>3.7.3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Установки зберігання газу та СПГ</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_Toc533093959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104</w:t>
            </w:r>
            <w:r w:rsidR="00622EE2" w:rsidRPr="007E5633">
              <w:rPr>
                <w:rFonts w:ascii="Arial" w:hAnsi="Arial" w:cs="Arial"/>
                <w:b w:val="0"/>
                <w:i w:val="0"/>
                <w:noProof/>
                <w:webHidden/>
                <w:lang w:val="uk-UA"/>
              </w:rPr>
              <w:fldChar w:fldCharType="end"/>
            </w:r>
          </w:hyperlink>
        </w:p>
        <w:p w14:paraId="201CE941" w14:textId="5CC8396A" w:rsidR="009F5D34" w:rsidRPr="007E5633" w:rsidRDefault="00690478" w:rsidP="009F5D34">
          <w:pPr>
            <w:pStyle w:val="11"/>
            <w:tabs>
              <w:tab w:val="left" w:pos="88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0" w:history="1">
            <w:r w:rsidR="009F5D34" w:rsidRPr="007E5633">
              <w:rPr>
                <w:rStyle w:val="ab"/>
                <w:rFonts w:ascii="Arial" w:hAnsi="Arial" w:cs="Arial"/>
                <w:b w:val="0"/>
                <w:i w:val="0"/>
                <w:noProof/>
                <w:lang w:val="uk-UA"/>
              </w:rPr>
              <w:t>3.7.4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Резюме</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107</w:t>
            </w:r>
            <w:r w:rsidR="00622EE2" w:rsidRPr="007E5633">
              <w:rPr>
                <w:rFonts w:ascii="Arial" w:hAnsi="Arial" w:cs="Arial"/>
                <w:b w:val="0"/>
                <w:i w:val="0"/>
                <w:noProof/>
                <w:webHidden/>
                <w:lang w:val="uk-UA"/>
              </w:rPr>
              <w:fldChar w:fldCharType="end"/>
            </w:r>
          </w:hyperlink>
        </w:p>
        <w:p w14:paraId="102D2F58" w14:textId="6B856BF3" w:rsidR="009F5D34" w:rsidRPr="007E5633" w:rsidRDefault="00690478" w:rsidP="009F5D34">
          <w:pPr>
            <w:pStyle w:val="11"/>
            <w:tabs>
              <w:tab w:val="left" w:pos="440"/>
              <w:tab w:val="right" w:leader="dot" w:pos="9016"/>
            </w:tabs>
            <w:spacing w:before="0" w:line="250" w:lineRule="auto"/>
            <w:ind w:left="221"/>
            <w:rPr>
              <w:rFonts w:ascii="Arial" w:eastAsiaTheme="minorEastAsia" w:hAnsi="Arial" w:cs="Arial"/>
              <w:bCs w:val="0"/>
              <w:i w:val="0"/>
              <w:iCs w:val="0"/>
              <w:noProof/>
              <w:sz w:val="22"/>
              <w:szCs w:val="22"/>
              <w:lang w:val="uk-UA" w:eastAsia="en-GB"/>
            </w:rPr>
          </w:pPr>
          <w:hyperlink w:anchor="_Toc533093961" w:history="1">
            <w:r w:rsidR="009F5D34" w:rsidRPr="007E5633">
              <w:rPr>
                <w:rStyle w:val="ab"/>
                <w:rFonts w:ascii="Arial" w:hAnsi="Arial" w:cs="Arial"/>
                <w:i w:val="0"/>
                <w:noProof/>
                <w:lang w:val="uk-UA"/>
              </w:rPr>
              <w:t>4</w:t>
            </w:r>
            <w:r w:rsidR="009F5D34" w:rsidRPr="007E5633">
              <w:rPr>
                <w:rFonts w:ascii="Arial" w:eastAsiaTheme="minorEastAsia" w:hAnsi="Arial" w:cs="Arial"/>
                <w:bCs w:val="0"/>
                <w:i w:val="0"/>
                <w:iCs w:val="0"/>
                <w:noProof/>
                <w:sz w:val="22"/>
                <w:szCs w:val="22"/>
                <w:lang w:val="uk-UA" w:eastAsia="en-GB"/>
              </w:rPr>
              <w:tab/>
            </w:r>
            <w:r w:rsidR="009F5D34" w:rsidRPr="007E5633">
              <w:rPr>
                <w:rStyle w:val="ab"/>
                <w:rFonts w:ascii="Arial" w:hAnsi="Arial" w:cs="Arial"/>
                <w:i w:val="0"/>
                <w:noProof/>
                <w:lang w:val="uk-UA"/>
              </w:rPr>
              <w:t>Частина III: Аналіз існуючої української законодавчої бази для спотової і ф'ючерсної торгівлі природним газом та електроенергією:</w:t>
            </w:r>
            <w:r w:rsidR="009F5D34" w:rsidRPr="007E5633">
              <w:rPr>
                <w:rFonts w:ascii="Arial" w:hAnsi="Arial" w:cs="Arial"/>
                <w:i w:val="0"/>
                <w:noProof/>
                <w:webHidden/>
                <w:lang w:val="uk-UA"/>
              </w:rPr>
              <w:tab/>
            </w:r>
            <w:r w:rsidR="00622EE2" w:rsidRPr="007E5633">
              <w:rPr>
                <w:rFonts w:ascii="Arial" w:hAnsi="Arial" w:cs="Arial"/>
                <w:i w:val="0"/>
                <w:noProof/>
                <w:webHidden/>
                <w:lang w:val="uk-UA"/>
              </w:rPr>
              <w:fldChar w:fldCharType="begin"/>
            </w:r>
            <w:r w:rsidR="009F5D34" w:rsidRPr="007E5633">
              <w:rPr>
                <w:rFonts w:ascii="Arial" w:hAnsi="Arial" w:cs="Arial"/>
                <w:i w:val="0"/>
                <w:noProof/>
                <w:webHidden/>
                <w:lang w:val="uk-UA"/>
              </w:rPr>
              <w:instrText xml:space="preserve"> PAGEREF _Toc533093961 \h </w:instrText>
            </w:r>
            <w:r w:rsidR="00622EE2" w:rsidRPr="007E5633">
              <w:rPr>
                <w:rFonts w:ascii="Arial" w:hAnsi="Arial" w:cs="Arial"/>
                <w:i w:val="0"/>
                <w:noProof/>
                <w:webHidden/>
                <w:lang w:val="uk-UA"/>
              </w:rPr>
            </w:r>
            <w:r w:rsidR="00622EE2" w:rsidRPr="007E5633">
              <w:rPr>
                <w:rFonts w:ascii="Arial" w:hAnsi="Arial" w:cs="Arial"/>
                <w:i w:val="0"/>
                <w:noProof/>
                <w:webHidden/>
                <w:lang w:val="uk-UA"/>
              </w:rPr>
              <w:fldChar w:fldCharType="separate"/>
            </w:r>
            <w:r w:rsidR="00221E0D">
              <w:rPr>
                <w:rFonts w:ascii="Arial" w:hAnsi="Arial" w:cs="Arial"/>
                <w:i w:val="0"/>
                <w:noProof/>
                <w:webHidden/>
                <w:lang w:val="uk-UA"/>
              </w:rPr>
              <w:t>108</w:t>
            </w:r>
            <w:r w:rsidR="00622EE2" w:rsidRPr="007E5633">
              <w:rPr>
                <w:rFonts w:ascii="Arial" w:hAnsi="Arial" w:cs="Arial"/>
                <w:i w:val="0"/>
                <w:noProof/>
                <w:webHidden/>
                <w:lang w:val="uk-UA"/>
              </w:rPr>
              <w:fldChar w:fldCharType="end"/>
            </w:r>
          </w:hyperlink>
        </w:p>
        <w:p w14:paraId="307DF672" w14:textId="0F80E89C"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2" w:history="1">
            <w:r w:rsidR="009F5D34" w:rsidRPr="007E5633">
              <w:rPr>
                <w:rStyle w:val="ab"/>
                <w:rFonts w:ascii="Arial" w:hAnsi="Arial" w:cs="Arial"/>
                <w:b w:val="0"/>
                <w:i w:val="0"/>
                <w:noProof/>
                <w:lang w:val="uk-UA"/>
              </w:rPr>
              <w:t>4.1</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Існуюча спотова та форвардна торговельна активність та торгові майданчики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_Toc533093962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108</w:t>
            </w:r>
            <w:r w:rsidR="00622EE2" w:rsidRPr="007E5633">
              <w:rPr>
                <w:rFonts w:ascii="Arial" w:hAnsi="Arial" w:cs="Arial"/>
                <w:b w:val="0"/>
                <w:i w:val="0"/>
                <w:noProof/>
                <w:webHidden/>
                <w:lang w:val="uk-UA"/>
              </w:rPr>
              <w:fldChar w:fldCharType="end"/>
            </w:r>
          </w:hyperlink>
        </w:p>
        <w:p w14:paraId="6B644515" w14:textId="43E2D59D"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3" w:history="1">
            <w:r w:rsidR="009F5D34" w:rsidRPr="007E5633">
              <w:rPr>
                <w:rStyle w:val="ab"/>
                <w:rFonts w:ascii="Arial" w:hAnsi="Arial" w:cs="Arial"/>
                <w:b w:val="0"/>
                <w:i w:val="0"/>
                <w:noProof/>
                <w:lang w:val="uk-UA"/>
              </w:rPr>
              <w:t>4.2</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Аналіз системи ліцензування для торгових майданчиків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_Toc533093963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111</w:t>
            </w:r>
            <w:r w:rsidR="00622EE2" w:rsidRPr="007E5633">
              <w:rPr>
                <w:rFonts w:ascii="Arial" w:hAnsi="Arial" w:cs="Arial"/>
                <w:b w:val="0"/>
                <w:i w:val="0"/>
                <w:noProof/>
                <w:webHidden/>
                <w:lang w:val="uk-UA"/>
              </w:rPr>
              <w:fldChar w:fldCharType="end"/>
            </w:r>
          </w:hyperlink>
        </w:p>
        <w:p w14:paraId="00BB3663" w14:textId="0A2560E6"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4" w:history="1">
            <w:r w:rsidR="009F5D34" w:rsidRPr="007E5633">
              <w:rPr>
                <w:rStyle w:val="ab"/>
                <w:rFonts w:ascii="Arial" w:hAnsi="Arial" w:cs="Arial"/>
                <w:b w:val="0"/>
                <w:i w:val="0"/>
                <w:noProof/>
                <w:lang w:val="uk-UA"/>
              </w:rPr>
              <w:t>4.3</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Аналіз системи ліцензування для трейдерів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_Toc533093964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113</w:t>
            </w:r>
            <w:r w:rsidR="00622EE2" w:rsidRPr="007E5633">
              <w:rPr>
                <w:rFonts w:ascii="Arial" w:hAnsi="Arial" w:cs="Arial"/>
                <w:b w:val="0"/>
                <w:i w:val="0"/>
                <w:noProof/>
                <w:webHidden/>
                <w:lang w:val="uk-UA"/>
              </w:rPr>
              <w:fldChar w:fldCharType="end"/>
            </w:r>
          </w:hyperlink>
        </w:p>
        <w:p w14:paraId="29221BE7" w14:textId="2C5D7179"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5" w:history="1">
            <w:r w:rsidR="009F5D34" w:rsidRPr="007E5633">
              <w:rPr>
                <w:rStyle w:val="ab"/>
                <w:rFonts w:ascii="Arial" w:hAnsi="Arial" w:cs="Arial"/>
                <w:b w:val="0"/>
                <w:i w:val="0"/>
                <w:noProof/>
                <w:lang w:val="uk-UA"/>
              </w:rPr>
              <w:t>4.4</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Перехід права власності у торгівлі</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_Toc533093965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116</w:t>
            </w:r>
            <w:r w:rsidR="00622EE2" w:rsidRPr="007E5633">
              <w:rPr>
                <w:rFonts w:ascii="Arial" w:hAnsi="Arial" w:cs="Arial"/>
                <w:b w:val="0"/>
                <w:i w:val="0"/>
                <w:noProof/>
                <w:webHidden/>
                <w:lang w:val="uk-UA"/>
              </w:rPr>
              <w:fldChar w:fldCharType="end"/>
            </w:r>
          </w:hyperlink>
        </w:p>
        <w:p w14:paraId="1C953FA4" w14:textId="2F2E8F25"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6" w:history="1">
            <w:r w:rsidR="009F5D34" w:rsidRPr="007E5633">
              <w:rPr>
                <w:rStyle w:val="ab"/>
                <w:rFonts w:ascii="Arial" w:hAnsi="Arial" w:cs="Arial"/>
                <w:b w:val="0"/>
                <w:i w:val="0"/>
                <w:noProof/>
                <w:lang w:val="uk-UA"/>
              </w:rPr>
              <w:t>4.5</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Режими звітності щодо транзакцій</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_Toc533093966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117</w:t>
            </w:r>
            <w:r w:rsidR="00622EE2" w:rsidRPr="007E5633">
              <w:rPr>
                <w:rFonts w:ascii="Arial" w:hAnsi="Arial" w:cs="Arial"/>
                <w:b w:val="0"/>
                <w:i w:val="0"/>
                <w:noProof/>
                <w:webHidden/>
                <w:lang w:val="uk-UA"/>
              </w:rPr>
              <w:fldChar w:fldCharType="end"/>
            </w:r>
          </w:hyperlink>
        </w:p>
        <w:p w14:paraId="24B749F0" w14:textId="46A3A250"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7" w:history="1">
            <w:r w:rsidR="009F5D34" w:rsidRPr="007E5633">
              <w:rPr>
                <w:rStyle w:val="ab"/>
                <w:rFonts w:ascii="Arial" w:hAnsi="Arial" w:cs="Arial"/>
                <w:b w:val="0"/>
                <w:i w:val="0"/>
                <w:noProof/>
                <w:lang w:val="uk-UA"/>
              </w:rPr>
              <w:t>4.6</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Оподаткування енергопродуктів</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_Toc533093967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119</w:t>
            </w:r>
            <w:r w:rsidR="00622EE2" w:rsidRPr="007E5633">
              <w:rPr>
                <w:rFonts w:ascii="Arial" w:hAnsi="Arial" w:cs="Arial"/>
                <w:b w:val="0"/>
                <w:i w:val="0"/>
                <w:noProof/>
                <w:webHidden/>
                <w:lang w:val="uk-UA"/>
              </w:rPr>
              <w:fldChar w:fldCharType="end"/>
            </w:r>
          </w:hyperlink>
        </w:p>
        <w:p w14:paraId="269C45BB" w14:textId="462A1E4C" w:rsidR="009F5D34" w:rsidRPr="007E5633" w:rsidRDefault="00690478" w:rsidP="009F5D34">
          <w:pPr>
            <w:pStyle w:val="11"/>
            <w:tabs>
              <w:tab w:val="left" w:pos="660"/>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68" w:history="1">
            <w:r w:rsidR="009F5D34" w:rsidRPr="007E5633">
              <w:rPr>
                <w:rStyle w:val="ab"/>
                <w:rFonts w:ascii="Arial" w:hAnsi="Arial" w:cs="Arial"/>
                <w:b w:val="0"/>
                <w:i w:val="0"/>
                <w:noProof/>
                <w:lang w:val="uk-UA"/>
              </w:rPr>
              <w:t>4.7</w:t>
            </w:r>
            <w:r w:rsidR="009F5D34" w:rsidRPr="007E5633">
              <w:rPr>
                <w:rFonts w:ascii="Arial" w:eastAsiaTheme="minorEastAsia" w:hAnsi="Arial" w:cs="Arial"/>
                <w:b w:val="0"/>
                <w:bCs w:val="0"/>
                <w:i w:val="0"/>
                <w:iCs w:val="0"/>
                <w:noProof/>
                <w:sz w:val="22"/>
                <w:szCs w:val="22"/>
                <w:lang w:val="uk-UA" w:eastAsia="en-GB"/>
              </w:rPr>
              <w:tab/>
            </w:r>
            <w:r w:rsidR="009F5D34" w:rsidRPr="007E5633">
              <w:rPr>
                <w:rStyle w:val="ab"/>
                <w:rFonts w:ascii="Arial" w:hAnsi="Arial" w:cs="Arial"/>
                <w:b w:val="0"/>
                <w:i w:val="0"/>
                <w:noProof/>
                <w:lang w:val="uk-UA"/>
              </w:rPr>
              <w:t>Умови транспортування та зберігання</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_Toc533093968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120</w:t>
            </w:r>
            <w:r w:rsidR="00622EE2" w:rsidRPr="007E5633">
              <w:rPr>
                <w:rFonts w:ascii="Arial" w:hAnsi="Arial" w:cs="Arial"/>
                <w:b w:val="0"/>
                <w:i w:val="0"/>
                <w:noProof/>
                <w:webHidden/>
                <w:lang w:val="uk-UA"/>
              </w:rPr>
              <w:fldChar w:fldCharType="end"/>
            </w:r>
          </w:hyperlink>
        </w:p>
        <w:p w14:paraId="542BE858" w14:textId="1CB34A24" w:rsidR="009F5D34" w:rsidRPr="007E5633" w:rsidRDefault="00690478" w:rsidP="009F5D34">
          <w:pPr>
            <w:pStyle w:val="11"/>
            <w:tabs>
              <w:tab w:val="left" w:pos="440"/>
              <w:tab w:val="right" w:leader="dot" w:pos="9016"/>
            </w:tabs>
            <w:spacing w:before="0" w:line="250" w:lineRule="auto"/>
            <w:ind w:left="221"/>
            <w:rPr>
              <w:rFonts w:ascii="Arial" w:eastAsiaTheme="minorEastAsia" w:hAnsi="Arial" w:cs="Arial"/>
              <w:bCs w:val="0"/>
              <w:i w:val="0"/>
              <w:iCs w:val="0"/>
              <w:noProof/>
              <w:sz w:val="22"/>
              <w:szCs w:val="22"/>
              <w:lang w:val="uk-UA" w:eastAsia="en-GB"/>
            </w:rPr>
          </w:pPr>
          <w:hyperlink w:anchor="_Toc533093969" w:history="1">
            <w:r w:rsidR="009F5D34" w:rsidRPr="007E5633">
              <w:rPr>
                <w:rStyle w:val="ab"/>
                <w:rFonts w:ascii="Arial" w:hAnsi="Arial" w:cs="Arial"/>
                <w:i w:val="0"/>
                <w:noProof/>
                <w:lang w:val="uk-UA"/>
              </w:rPr>
              <w:t>5</w:t>
            </w:r>
            <w:r w:rsidR="009F5D34" w:rsidRPr="007E5633">
              <w:rPr>
                <w:rFonts w:ascii="Arial" w:eastAsiaTheme="minorEastAsia" w:hAnsi="Arial" w:cs="Arial"/>
                <w:bCs w:val="0"/>
                <w:i w:val="0"/>
                <w:iCs w:val="0"/>
                <w:noProof/>
                <w:sz w:val="22"/>
                <w:szCs w:val="22"/>
                <w:lang w:val="uk-UA" w:eastAsia="en-GB"/>
              </w:rPr>
              <w:tab/>
            </w:r>
            <w:r w:rsidR="009F5D34" w:rsidRPr="007E5633">
              <w:rPr>
                <w:rStyle w:val="ab"/>
                <w:rFonts w:ascii="Arial" w:hAnsi="Arial" w:cs="Arial"/>
                <w:i w:val="0"/>
                <w:noProof/>
                <w:lang w:val="uk-UA"/>
              </w:rPr>
              <w:t>ЧАСТИНА IV: Аналіз прогалин</w:t>
            </w:r>
            <w:r w:rsidR="009F5D34" w:rsidRPr="007E5633">
              <w:rPr>
                <w:rFonts w:ascii="Arial" w:hAnsi="Arial" w:cs="Arial"/>
                <w:i w:val="0"/>
                <w:noProof/>
                <w:webHidden/>
                <w:lang w:val="uk-UA"/>
              </w:rPr>
              <w:tab/>
            </w:r>
            <w:r w:rsidR="00622EE2" w:rsidRPr="007E5633">
              <w:rPr>
                <w:rFonts w:ascii="Arial" w:hAnsi="Arial" w:cs="Arial"/>
                <w:i w:val="0"/>
                <w:noProof/>
                <w:webHidden/>
                <w:lang w:val="uk-UA"/>
              </w:rPr>
              <w:fldChar w:fldCharType="begin"/>
            </w:r>
            <w:r w:rsidR="009F5D34" w:rsidRPr="007E5633">
              <w:rPr>
                <w:rFonts w:ascii="Arial" w:hAnsi="Arial" w:cs="Arial"/>
                <w:i w:val="0"/>
                <w:noProof/>
                <w:webHidden/>
                <w:lang w:val="uk-UA"/>
              </w:rPr>
              <w:instrText xml:space="preserve"> PAGEREF _Toc533093969 \h </w:instrText>
            </w:r>
            <w:r w:rsidR="00622EE2" w:rsidRPr="007E5633">
              <w:rPr>
                <w:rFonts w:ascii="Arial" w:hAnsi="Arial" w:cs="Arial"/>
                <w:i w:val="0"/>
                <w:noProof/>
                <w:webHidden/>
                <w:lang w:val="uk-UA"/>
              </w:rPr>
            </w:r>
            <w:r w:rsidR="00622EE2" w:rsidRPr="007E5633">
              <w:rPr>
                <w:rFonts w:ascii="Arial" w:hAnsi="Arial" w:cs="Arial"/>
                <w:i w:val="0"/>
                <w:noProof/>
                <w:webHidden/>
                <w:lang w:val="uk-UA"/>
              </w:rPr>
              <w:fldChar w:fldCharType="separate"/>
            </w:r>
            <w:r w:rsidR="00221E0D">
              <w:rPr>
                <w:rFonts w:ascii="Arial" w:hAnsi="Arial" w:cs="Arial"/>
                <w:i w:val="0"/>
                <w:noProof/>
                <w:webHidden/>
                <w:lang w:val="uk-UA"/>
              </w:rPr>
              <w:t>124</w:t>
            </w:r>
            <w:r w:rsidR="00622EE2" w:rsidRPr="007E5633">
              <w:rPr>
                <w:rFonts w:ascii="Arial" w:hAnsi="Arial" w:cs="Arial"/>
                <w:i w:val="0"/>
                <w:noProof/>
                <w:webHidden/>
                <w:lang w:val="uk-UA"/>
              </w:rPr>
              <w:fldChar w:fldCharType="end"/>
            </w:r>
          </w:hyperlink>
        </w:p>
        <w:p w14:paraId="337D4C27" w14:textId="40C7FBED" w:rsidR="009F5D34" w:rsidRPr="007E5633" w:rsidRDefault="00690478" w:rsidP="009F5D34">
          <w:pPr>
            <w:pStyle w:val="11"/>
            <w:tabs>
              <w:tab w:val="right" w:leader="dot" w:pos="9016"/>
            </w:tabs>
            <w:spacing w:before="0" w:line="250" w:lineRule="auto"/>
            <w:ind w:left="221"/>
            <w:rPr>
              <w:rFonts w:ascii="Arial" w:eastAsiaTheme="minorEastAsia" w:hAnsi="Arial" w:cs="Arial"/>
              <w:b w:val="0"/>
              <w:bCs w:val="0"/>
              <w:i w:val="0"/>
              <w:iCs w:val="0"/>
              <w:noProof/>
              <w:sz w:val="22"/>
              <w:szCs w:val="22"/>
              <w:lang w:val="uk-UA" w:eastAsia="en-GB"/>
            </w:rPr>
          </w:pPr>
          <w:hyperlink w:anchor="_Toc533093970" w:history="1">
            <w:r w:rsidR="003D1452" w:rsidRPr="007E5633">
              <w:rPr>
                <w:rStyle w:val="ab"/>
                <w:rFonts w:ascii="Arial" w:hAnsi="Arial" w:cs="Arial"/>
                <w:b w:val="0"/>
                <w:i w:val="0"/>
                <w:noProof/>
                <w:lang w:val="uk-UA"/>
              </w:rPr>
              <w:t>Додатки</w:t>
            </w:r>
            <w:r w:rsidR="009F5D34" w:rsidRPr="007E5633">
              <w:rPr>
                <w:rFonts w:ascii="Arial" w:hAnsi="Arial" w:cs="Arial"/>
                <w:b w:val="0"/>
                <w:i w:val="0"/>
                <w:noProof/>
                <w:webHidden/>
                <w:lang w:val="uk-UA"/>
              </w:rPr>
              <w:tab/>
            </w:r>
            <w:r w:rsidR="00622EE2" w:rsidRPr="007E5633">
              <w:rPr>
                <w:rFonts w:ascii="Arial" w:hAnsi="Arial" w:cs="Arial"/>
                <w:b w:val="0"/>
                <w:i w:val="0"/>
                <w:noProof/>
                <w:webHidden/>
                <w:lang w:val="uk-UA"/>
              </w:rPr>
              <w:fldChar w:fldCharType="begin"/>
            </w:r>
            <w:r w:rsidR="009F5D34" w:rsidRPr="007E5633">
              <w:rPr>
                <w:rFonts w:ascii="Arial" w:hAnsi="Arial" w:cs="Arial"/>
                <w:b w:val="0"/>
                <w:i w:val="0"/>
                <w:noProof/>
                <w:webHidden/>
                <w:lang w:val="uk-UA"/>
              </w:rPr>
              <w:instrText xml:space="preserve"> PAGEREF _Toc533093970 \h </w:instrText>
            </w:r>
            <w:r w:rsidR="00622EE2" w:rsidRPr="007E5633">
              <w:rPr>
                <w:rFonts w:ascii="Arial" w:hAnsi="Arial" w:cs="Arial"/>
                <w:b w:val="0"/>
                <w:i w:val="0"/>
                <w:noProof/>
                <w:webHidden/>
                <w:lang w:val="uk-UA"/>
              </w:rPr>
            </w:r>
            <w:r w:rsidR="00622EE2" w:rsidRPr="007E5633">
              <w:rPr>
                <w:rFonts w:ascii="Arial" w:hAnsi="Arial" w:cs="Arial"/>
                <w:b w:val="0"/>
                <w:i w:val="0"/>
                <w:noProof/>
                <w:webHidden/>
                <w:lang w:val="uk-UA"/>
              </w:rPr>
              <w:fldChar w:fldCharType="separate"/>
            </w:r>
            <w:r w:rsidR="00221E0D">
              <w:rPr>
                <w:rFonts w:ascii="Arial" w:hAnsi="Arial" w:cs="Arial"/>
                <w:b w:val="0"/>
                <w:i w:val="0"/>
                <w:noProof/>
                <w:webHidden/>
                <w:lang w:val="uk-UA"/>
              </w:rPr>
              <w:t>140</w:t>
            </w:r>
            <w:r w:rsidR="00622EE2" w:rsidRPr="007E5633">
              <w:rPr>
                <w:rFonts w:ascii="Arial" w:hAnsi="Arial" w:cs="Arial"/>
                <w:b w:val="0"/>
                <w:i w:val="0"/>
                <w:noProof/>
                <w:webHidden/>
                <w:lang w:val="uk-UA"/>
              </w:rPr>
              <w:fldChar w:fldCharType="end"/>
            </w:r>
          </w:hyperlink>
        </w:p>
        <w:p w14:paraId="68DF3D98" w14:textId="6E00BA95" w:rsidR="009F5D34" w:rsidRPr="007E5633" w:rsidRDefault="00690478" w:rsidP="009F5D34">
          <w:pPr>
            <w:pStyle w:val="20"/>
            <w:tabs>
              <w:tab w:val="left" w:pos="6286"/>
              <w:tab w:val="right" w:leader="dot" w:pos="9016"/>
            </w:tabs>
            <w:spacing w:before="0" w:line="250" w:lineRule="auto"/>
            <w:ind w:left="221"/>
            <w:rPr>
              <w:rFonts w:ascii="Arial" w:eastAsiaTheme="minorEastAsia" w:hAnsi="Arial" w:cs="Arial"/>
              <w:b w:val="0"/>
              <w:bCs w:val="0"/>
              <w:noProof/>
              <w:lang w:val="uk-UA" w:eastAsia="en-GB"/>
            </w:rPr>
          </w:pPr>
          <w:hyperlink w:anchor="_Toc533093971" w:history="1">
            <w:r w:rsidR="003D1452" w:rsidRPr="007E5633">
              <w:rPr>
                <w:rStyle w:val="ab"/>
                <w:rFonts w:ascii="Arial" w:hAnsi="Arial" w:cs="Arial"/>
                <w:b w:val="0"/>
                <w:noProof/>
                <w:lang w:val="uk-UA" w:bidi="en-US"/>
              </w:rPr>
              <w:t>Додаток</w:t>
            </w:r>
            <w:r w:rsidR="009F5D34" w:rsidRPr="007E5633">
              <w:rPr>
                <w:rStyle w:val="ab"/>
                <w:rFonts w:ascii="Arial" w:hAnsi="Arial" w:cs="Arial"/>
                <w:b w:val="0"/>
                <w:noProof/>
                <w:lang w:val="uk-UA" w:bidi="en-US"/>
              </w:rPr>
              <w:t xml:space="preserve"> 1: </w:t>
            </w:r>
            <w:r w:rsidR="003D1452" w:rsidRPr="007E5633">
              <w:rPr>
                <w:rStyle w:val="ab"/>
                <w:rFonts w:ascii="Arial" w:hAnsi="Arial" w:cs="Arial"/>
                <w:b w:val="0"/>
                <w:noProof/>
                <w:lang w:val="uk-UA" w:bidi="en-US"/>
              </w:rPr>
              <w:t>Список учасників під час першої місії (17-19 вересня 2018 р.)</w:t>
            </w:r>
            <w:r w:rsidR="009F5D34" w:rsidRPr="007E5633">
              <w:rPr>
                <w:rFonts w:ascii="Arial" w:hAnsi="Arial" w:cs="Arial"/>
                <w:b w:val="0"/>
                <w:noProof/>
                <w:webHidden/>
                <w:lang w:val="uk-UA"/>
              </w:rPr>
              <w:tab/>
            </w:r>
            <w:r w:rsidR="00622EE2" w:rsidRPr="007E5633">
              <w:rPr>
                <w:rFonts w:ascii="Arial" w:hAnsi="Arial" w:cs="Arial"/>
                <w:b w:val="0"/>
                <w:noProof/>
                <w:webHidden/>
                <w:lang w:val="uk-UA"/>
              </w:rPr>
              <w:fldChar w:fldCharType="begin"/>
            </w:r>
            <w:r w:rsidR="009F5D34" w:rsidRPr="007E5633">
              <w:rPr>
                <w:rFonts w:ascii="Arial" w:hAnsi="Arial" w:cs="Arial"/>
                <w:b w:val="0"/>
                <w:noProof/>
                <w:webHidden/>
                <w:lang w:val="uk-UA"/>
              </w:rPr>
              <w:instrText xml:space="preserve"> PAGEREF _Toc533093971 \h </w:instrText>
            </w:r>
            <w:r w:rsidR="00622EE2" w:rsidRPr="007E5633">
              <w:rPr>
                <w:rFonts w:ascii="Arial" w:hAnsi="Arial" w:cs="Arial"/>
                <w:b w:val="0"/>
                <w:noProof/>
                <w:webHidden/>
                <w:lang w:val="uk-UA"/>
              </w:rPr>
            </w:r>
            <w:r w:rsidR="00622EE2" w:rsidRPr="007E5633">
              <w:rPr>
                <w:rFonts w:ascii="Arial" w:hAnsi="Arial" w:cs="Arial"/>
                <w:b w:val="0"/>
                <w:noProof/>
                <w:webHidden/>
                <w:lang w:val="uk-UA"/>
              </w:rPr>
              <w:fldChar w:fldCharType="separate"/>
            </w:r>
            <w:r w:rsidR="00221E0D">
              <w:rPr>
                <w:rFonts w:ascii="Arial" w:hAnsi="Arial" w:cs="Arial"/>
                <w:b w:val="0"/>
                <w:noProof/>
                <w:webHidden/>
                <w:lang w:val="uk-UA"/>
              </w:rPr>
              <w:t>140</w:t>
            </w:r>
            <w:r w:rsidR="00622EE2" w:rsidRPr="007E5633">
              <w:rPr>
                <w:rFonts w:ascii="Arial" w:hAnsi="Arial" w:cs="Arial"/>
                <w:b w:val="0"/>
                <w:noProof/>
                <w:webHidden/>
                <w:lang w:val="uk-UA"/>
              </w:rPr>
              <w:fldChar w:fldCharType="end"/>
            </w:r>
          </w:hyperlink>
        </w:p>
        <w:p w14:paraId="574AF0B8" w14:textId="637EDA4C" w:rsidR="009F5D34" w:rsidRPr="007E5633" w:rsidRDefault="00690478" w:rsidP="009F5D34">
          <w:pPr>
            <w:pStyle w:val="20"/>
            <w:tabs>
              <w:tab w:val="right" w:leader="dot" w:pos="9016"/>
            </w:tabs>
            <w:spacing w:before="0" w:line="250" w:lineRule="auto"/>
            <w:ind w:left="221"/>
            <w:rPr>
              <w:rFonts w:ascii="Arial" w:eastAsiaTheme="minorEastAsia" w:hAnsi="Arial" w:cs="Arial"/>
              <w:b w:val="0"/>
              <w:bCs w:val="0"/>
              <w:noProof/>
              <w:lang w:val="uk-UA" w:eastAsia="en-GB"/>
            </w:rPr>
          </w:pPr>
          <w:hyperlink w:anchor="_Toc533093972" w:history="1">
            <w:r w:rsidR="009F5D34" w:rsidRPr="007E5633">
              <w:rPr>
                <w:rStyle w:val="ab"/>
                <w:rFonts w:ascii="Arial" w:hAnsi="Arial" w:cs="Arial"/>
                <w:b w:val="0"/>
                <w:noProof/>
                <w:lang w:val="uk-UA" w:bidi="en-US"/>
              </w:rPr>
              <w:t>Додаток 2: Список учасників під час стартового семінару 17 вересня 2018 року</w:t>
            </w:r>
            <w:r w:rsidR="009F5D34" w:rsidRPr="007E5633">
              <w:rPr>
                <w:rFonts w:ascii="Arial" w:hAnsi="Arial" w:cs="Arial"/>
                <w:b w:val="0"/>
                <w:noProof/>
                <w:webHidden/>
                <w:lang w:val="uk-UA"/>
              </w:rPr>
              <w:tab/>
            </w:r>
            <w:r w:rsidR="00622EE2" w:rsidRPr="007E5633">
              <w:rPr>
                <w:rFonts w:ascii="Arial" w:hAnsi="Arial" w:cs="Arial"/>
                <w:b w:val="0"/>
                <w:noProof/>
                <w:webHidden/>
                <w:lang w:val="uk-UA"/>
              </w:rPr>
              <w:fldChar w:fldCharType="begin"/>
            </w:r>
            <w:r w:rsidR="009F5D34" w:rsidRPr="007E5633">
              <w:rPr>
                <w:rFonts w:ascii="Arial" w:hAnsi="Arial" w:cs="Arial"/>
                <w:b w:val="0"/>
                <w:noProof/>
                <w:webHidden/>
                <w:lang w:val="uk-UA"/>
              </w:rPr>
              <w:instrText xml:space="preserve"> PAGEREF _Toc533093972 \h </w:instrText>
            </w:r>
            <w:r w:rsidR="00622EE2" w:rsidRPr="007E5633">
              <w:rPr>
                <w:rFonts w:ascii="Arial" w:hAnsi="Arial" w:cs="Arial"/>
                <w:b w:val="0"/>
                <w:noProof/>
                <w:webHidden/>
                <w:lang w:val="uk-UA"/>
              </w:rPr>
            </w:r>
            <w:r w:rsidR="00622EE2" w:rsidRPr="007E5633">
              <w:rPr>
                <w:rFonts w:ascii="Arial" w:hAnsi="Arial" w:cs="Arial"/>
                <w:b w:val="0"/>
                <w:noProof/>
                <w:webHidden/>
                <w:lang w:val="uk-UA"/>
              </w:rPr>
              <w:fldChar w:fldCharType="separate"/>
            </w:r>
            <w:r w:rsidR="00221E0D">
              <w:rPr>
                <w:rFonts w:ascii="Arial" w:hAnsi="Arial" w:cs="Arial"/>
                <w:b w:val="0"/>
                <w:noProof/>
                <w:webHidden/>
                <w:lang w:val="uk-UA"/>
              </w:rPr>
              <w:t>141</w:t>
            </w:r>
            <w:r w:rsidR="00622EE2" w:rsidRPr="007E5633">
              <w:rPr>
                <w:rFonts w:ascii="Arial" w:hAnsi="Arial" w:cs="Arial"/>
                <w:b w:val="0"/>
                <w:noProof/>
                <w:webHidden/>
                <w:lang w:val="uk-UA"/>
              </w:rPr>
              <w:fldChar w:fldCharType="end"/>
            </w:r>
          </w:hyperlink>
        </w:p>
        <w:p w14:paraId="7101B063" w14:textId="78E130CC" w:rsidR="009F5D34" w:rsidRPr="007E5633" w:rsidRDefault="00690478" w:rsidP="009F5D34">
          <w:pPr>
            <w:pStyle w:val="20"/>
            <w:tabs>
              <w:tab w:val="right" w:leader="dot" w:pos="9016"/>
            </w:tabs>
            <w:spacing w:before="0" w:line="250" w:lineRule="auto"/>
            <w:ind w:left="221"/>
            <w:rPr>
              <w:rFonts w:ascii="Arial" w:eastAsiaTheme="minorEastAsia" w:hAnsi="Arial" w:cs="Arial"/>
              <w:b w:val="0"/>
              <w:bCs w:val="0"/>
              <w:noProof/>
              <w:lang w:val="uk-UA" w:eastAsia="en-GB"/>
            </w:rPr>
          </w:pPr>
          <w:hyperlink w:anchor="_Toc533093973" w:history="1">
            <w:r w:rsidR="009F5D34" w:rsidRPr="007E5633">
              <w:rPr>
                <w:rStyle w:val="ab"/>
                <w:rFonts w:ascii="Arial" w:hAnsi="Arial" w:cs="Arial"/>
                <w:b w:val="0"/>
                <w:noProof/>
                <w:lang w:val="uk-UA" w:bidi="en-US"/>
              </w:rPr>
              <w:t>Додаток 3: Список учасників семінару щодо Етапу 1, який було проведено 30 жовтня 2018 року</w:t>
            </w:r>
            <w:r w:rsidR="009F5D34" w:rsidRPr="007E5633">
              <w:rPr>
                <w:rFonts w:ascii="Arial" w:hAnsi="Arial" w:cs="Arial"/>
                <w:b w:val="0"/>
                <w:noProof/>
                <w:webHidden/>
                <w:lang w:val="uk-UA"/>
              </w:rPr>
              <w:tab/>
            </w:r>
            <w:r w:rsidR="00622EE2" w:rsidRPr="007E5633">
              <w:rPr>
                <w:rFonts w:ascii="Arial" w:hAnsi="Arial" w:cs="Arial"/>
                <w:b w:val="0"/>
                <w:noProof/>
                <w:webHidden/>
                <w:lang w:val="uk-UA"/>
              </w:rPr>
              <w:fldChar w:fldCharType="begin"/>
            </w:r>
            <w:r w:rsidR="009F5D34" w:rsidRPr="007E5633">
              <w:rPr>
                <w:rFonts w:ascii="Arial" w:hAnsi="Arial" w:cs="Arial"/>
                <w:b w:val="0"/>
                <w:noProof/>
                <w:webHidden/>
                <w:lang w:val="uk-UA"/>
              </w:rPr>
              <w:instrText xml:space="preserve"> PAGEREF _Toc533093973 \h </w:instrText>
            </w:r>
            <w:r w:rsidR="00622EE2" w:rsidRPr="007E5633">
              <w:rPr>
                <w:rFonts w:ascii="Arial" w:hAnsi="Arial" w:cs="Arial"/>
                <w:b w:val="0"/>
                <w:noProof/>
                <w:webHidden/>
                <w:lang w:val="uk-UA"/>
              </w:rPr>
            </w:r>
            <w:r w:rsidR="00622EE2" w:rsidRPr="007E5633">
              <w:rPr>
                <w:rFonts w:ascii="Arial" w:hAnsi="Arial" w:cs="Arial"/>
                <w:b w:val="0"/>
                <w:noProof/>
                <w:webHidden/>
                <w:lang w:val="uk-UA"/>
              </w:rPr>
              <w:fldChar w:fldCharType="separate"/>
            </w:r>
            <w:r w:rsidR="00221E0D">
              <w:rPr>
                <w:rFonts w:ascii="Arial" w:hAnsi="Arial" w:cs="Arial"/>
                <w:b w:val="0"/>
                <w:noProof/>
                <w:webHidden/>
                <w:lang w:val="uk-UA"/>
              </w:rPr>
              <w:t>143</w:t>
            </w:r>
            <w:r w:rsidR="00622EE2" w:rsidRPr="007E5633">
              <w:rPr>
                <w:rFonts w:ascii="Arial" w:hAnsi="Arial" w:cs="Arial"/>
                <w:b w:val="0"/>
                <w:noProof/>
                <w:webHidden/>
                <w:lang w:val="uk-UA"/>
              </w:rPr>
              <w:fldChar w:fldCharType="end"/>
            </w:r>
          </w:hyperlink>
        </w:p>
        <w:p w14:paraId="68D8B53B" w14:textId="77777777" w:rsidR="00743C2A" w:rsidRPr="007E5633" w:rsidRDefault="00622EE2" w:rsidP="009F5D34">
          <w:pPr>
            <w:spacing w:after="0" w:line="250" w:lineRule="auto"/>
            <w:ind w:left="221"/>
            <w:contextualSpacing/>
            <w:rPr>
              <w:rFonts w:ascii="Arial" w:hAnsi="Arial" w:cs="Arial"/>
              <w:sz w:val="24"/>
              <w:szCs w:val="24"/>
              <w:highlight w:val="yellow"/>
              <w:lang w:val="uk-UA"/>
            </w:rPr>
          </w:pPr>
          <w:r w:rsidRPr="007E5633">
            <w:rPr>
              <w:rFonts w:ascii="Arial" w:hAnsi="Arial" w:cs="Arial"/>
              <w:bCs/>
              <w:sz w:val="24"/>
              <w:szCs w:val="24"/>
              <w:highlight w:val="yellow"/>
              <w:lang w:val="uk-UA"/>
            </w:rPr>
            <w:fldChar w:fldCharType="end"/>
          </w:r>
        </w:p>
      </w:sdtContent>
    </w:sdt>
    <w:p w14:paraId="5CAD8E98" w14:textId="77777777" w:rsidR="008E4751" w:rsidRPr="007E5633" w:rsidRDefault="008E4751" w:rsidP="00726718">
      <w:pPr>
        <w:suppressAutoHyphens w:val="0"/>
        <w:spacing w:after="0" w:line="240" w:lineRule="auto"/>
        <w:contextualSpacing/>
        <w:rPr>
          <w:rFonts w:ascii="Arial" w:hAnsi="Arial" w:cs="Arial"/>
          <w:color w:val="002060"/>
          <w:sz w:val="24"/>
          <w:szCs w:val="24"/>
          <w:highlight w:val="yellow"/>
          <w:lang w:val="uk-UA"/>
        </w:rPr>
      </w:pPr>
      <w:r w:rsidRPr="007E5633">
        <w:rPr>
          <w:rFonts w:ascii="Arial" w:hAnsi="Arial" w:cs="Arial"/>
          <w:color w:val="002060"/>
          <w:sz w:val="24"/>
          <w:szCs w:val="24"/>
          <w:highlight w:val="yellow"/>
          <w:lang w:val="uk-UA"/>
        </w:rPr>
        <w:br w:type="page"/>
      </w:r>
    </w:p>
    <w:p w14:paraId="09444838" w14:textId="77777777" w:rsidR="00743C2A" w:rsidRPr="007E5633" w:rsidRDefault="003D1452">
      <w:pPr>
        <w:suppressAutoHyphens w:val="0"/>
        <w:rPr>
          <w:rFonts w:ascii="Arial" w:hAnsi="Arial" w:cs="Arial"/>
          <w:b/>
          <w:sz w:val="24"/>
          <w:szCs w:val="24"/>
          <w:lang w:val="uk-UA"/>
        </w:rPr>
      </w:pPr>
      <w:r w:rsidRPr="007E5633">
        <w:rPr>
          <w:rFonts w:ascii="Arial" w:hAnsi="Arial" w:cs="Arial"/>
          <w:b/>
          <w:sz w:val="24"/>
          <w:szCs w:val="24"/>
          <w:lang w:val="uk-UA"/>
        </w:rPr>
        <w:lastRenderedPageBreak/>
        <w:t>Список схем</w:t>
      </w:r>
    </w:p>
    <w:p w14:paraId="1B934E82" w14:textId="1057F35F" w:rsidR="009F5D34" w:rsidRPr="007E5633" w:rsidRDefault="00622EE2">
      <w:pPr>
        <w:pStyle w:val="af8"/>
        <w:tabs>
          <w:tab w:val="right" w:leader="dot" w:pos="9016"/>
        </w:tabs>
        <w:rPr>
          <w:rFonts w:ascii="Arial" w:eastAsiaTheme="minorEastAsia" w:hAnsi="Arial" w:cs="Arial"/>
          <w:noProof/>
          <w:lang w:val="uk-UA" w:eastAsia="en-GB"/>
        </w:rPr>
      </w:pPr>
      <w:r w:rsidRPr="007E5633">
        <w:rPr>
          <w:rFonts w:ascii="Arial" w:eastAsiaTheme="minorHAnsi" w:hAnsi="Arial" w:cs="Arial"/>
          <w:color w:val="002060"/>
          <w:sz w:val="28"/>
          <w:szCs w:val="28"/>
          <w:highlight w:val="yellow"/>
          <w:lang w:val="uk-UA" w:eastAsia="de-DE"/>
        </w:rPr>
        <w:fldChar w:fldCharType="begin"/>
      </w:r>
      <w:r w:rsidR="00743C2A" w:rsidRPr="007E5633">
        <w:rPr>
          <w:rFonts w:ascii="Arial" w:eastAsiaTheme="minorHAnsi" w:hAnsi="Arial" w:cs="Arial"/>
          <w:color w:val="002060"/>
          <w:sz w:val="28"/>
          <w:szCs w:val="28"/>
          <w:highlight w:val="yellow"/>
          <w:lang w:val="uk-UA" w:eastAsia="de-DE"/>
        </w:rPr>
        <w:instrText xml:space="preserve"> TOC \h \z \c "Figure" </w:instrText>
      </w:r>
      <w:r w:rsidRPr="007E5633">
        <w:rPr>
          <w:rFonts w:ascii="Arial" w:eastAsiaTheme="minorHAnsi" w:hAnsi="Arial" w:cs="Arial"/>
          <w:color w:val="002060"/>
          <w:sz w:val="28"/>
          <w:szCs w:val="28"/>
          <w:highlight w:val="yellow"/>
          <w:lang w:val="uk-UA" w:eastAsia="de-DE"/>
        </w:rPr>
        <w:fldChar w:fldCharType="separate"/>
      </w:r>
      <w:hyperlink w:anchor="_Toc533094028" w:history="1">
        <w:r w:rsidR="009F5D34" w:rsidRPr="007E5633">
          <w:rPr>
            <w:rStyle w:val="ab"/>
            <w:rFonts w:ascii="Arial" w:hAnsi="Arial" w:cs="Arial"/>
            <w:bCs/>
            <w:noProof/>
            <w:lang w:val="uk-UA"/>
          </w:rPr>
          <w:t>Схема</w:t>
        </w:r>
        <w:r w:rsidR="009F5D34" w:rsidRPr="007E5633">
          <w:rPr>
            <w:rStyle w:val="ab"/>
            <w:rFonts w:ascii="Arial" w:hAnsi="Arial" w:cs="Arial"/>
            <w:noProof/>
            <w:lang w:val="uk-UA"/>
          </w:rPr>
          <w:t xml:space="preserve"> 1: </w:t>
        </w:r>
        <w:r w:rsidR="009F5D34" w:rsidRPr="007E5633">
          <w:rPr>
            <w:rStyle w:val="ab"/>
            <w:rFonts w:ascii="Arial" w:hAnsi="Arial" w:cs="Arial"/>
            <w:bCs/>
            <w:noProof/>
            <w:lang w:val="uk-UA"/>
          </w:rPr>
          <w:t>Огляд торгівлі енергетичними продуктами</w:t>
        </w:r>
        <w:r w:rsidR="009F5D34" w:rsidRPr="007E5633">
          <w:rPr>
            <w:rFonts w:ascii="Arial" w:hAnsi="Arial" w:cs="Arial"/>
            <w:noProof/>
            <w:webHidden/>
            <w:lang w:val="uk-UA"/>
          </w:rPr>
          <w:tab/>
        </w:r>
        <w:r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_Toc533094028 \h </w:instrText>
        </w:r>
        <w:r w:rsidRPr="007E5633">
          <w:rPr>
            <w:rFonts w:ascii="Arial" w:hAnsi="Arial" w:cs="Arial"/>
            <w:noProof/>
            <w:webHidden/>
            <w:lang w:val="uk-UA"/>
          </w:rPr>
        </w:r>
        <w:r w:rsidRPr="007E5633">
          <w:rPr>
            <w:rFonts w:ascii="Arial" w:hAnsi="Arial" w:cs="Arial"/>
            <w:noProof/>
            <w:webHidden/>
            <w:lang w:val="uk-UA"/>
          </w:rPr>
          <w:fldChar w:fldCharType="separate"/>
        </w:r>
        <w:r w:rsidR="00221E0D">
          <w:rPr>
            <w:rFonts w:ascii="Arial" w:hAnsi="Arial" w:cs="Arial"/>
            <w:noProof/>
            <w:webHidden/>
            <w:lang w:val="uk-UA"/>
          </w:rPr>
          <w:t>19</w:t>
        </w:r>
        <w:r w:rsidRPr="007E5633">
          <w:rPr>
            <w:rFonts w:ascii="Arial" w:hAnsi="Arial" w:cs="Arial"/>
            <w:noProof/>
            <w:webHidden/>
            <w:lang w:val="uk-UA"/>
          </w:rPr>
          <w:fldChar w:fldCharType="end"/>
        </w:r>
      </w:hyperlink>
    </w:p>
    <w:p w14:paraId="7D37939C" w14:textId="02AB47F1" w:rsidR="009F5D34" w:rsidRPr="007E5633" w:rsidRDefault="00690478">
      <w:pPr>
        <w:pStyle w:val="af8"/>
        <w:tabs>
          <w:tab w:val="right" w:leader="dot" w:pos="9016"/>
        </w:tabs>
        <w:rPr>
          <w:rFonts w:ascii="Arial" w:eastAsiaTheme="minorEastAsia" w:hAnsi="Arial" w:cs="Arial"/>
          <w:noProof/>
          <w:lang w:val="uk-UA" w:eastAsia="en-GB"/>
        </w:rPr>
      </w:pPr>
      <w:hyperlink w:anchor="_Toc533094029" w:history="1">
        <w:r w:rsidR="009F5D34" w:rsidRPr="007E5633">
          <w:rPr>
            <w:rStyle w:val="ab"/>
            <w:rFonts w:ascii="Arial" w:hAnsi="Arial" w:cs="Arial"/>
            <w:bCs/>
            <w:noProof/>
            <w:lang w:val="uk-UA"/>
          </w:rPr>
          <w:t>Схема</w:t>
        </w:r>
        <w:r w:rsidR="009F5D34" w:rsidRPr="007E5633">
          <w:rPr>
            <w:rStyle w:val="ab"/>
            <w:rFonts w:ascii="Arial" w:hAnsi="Arial" w:cs="Arial"/>
            <w:noProof/>
            <w:lang w:val="uk-UA"/>
          </w:rPr>
          <w:t xml:space="preserve"> 2: Список європейських енергетичних брокерів</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_Toc533094029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21</w:t>
        </w:r>
        <w:r w:rsidR="00622EE2" w:rsidRPr="007E5633">
          <w:rPr>
            <w:rFonts w:ascii="Arial" w:hAnsi="Arial" w:cs="Arial"/>
            <w:noProof/>
            <w:webHidden/>
            <w:lang w:val="uk-UA"/>
          </w:rPr>
          <w:fldChar w:fldCharType="end"/>
        </w:r>
      </w:hyperlink>
    </w:p>
    <w:p w14:paraId="5826C553" w14:textId="3F34300A" w:rsidR="009F5D34" w:rsidRPr="007E5633" w:rsidRDefault="00690478">
      <w:pPr>
        <w:pStyle w:val="af8"/>
        <w:tabs>
          <w:tab w:val="right" w:leader="dot" w:pos="9016"/>
        </w:tabs>
        <w:rPr>
          <w:rFonts w:ascii="Arial" w:eastAsiaTheme="minorEastAsia" w:hAnsi="Arial" w:cs="Arial"/>
          <w:noProof/>
          <w:lang w:val="uk-UA" w:eastAsia="en-GB"/>
        </w:rPr>
      </w:pPr>
      <w:hyperlink w:anchor="_Toc533094030" w:history="1">
        <w:r w:rsidR="009F5D34" w:rsidRPr="007E5633">
          <w:rPr>
            <w:rStyle w:val="ab"/>
            <w:rFonts w:ascii="Arial" w:hAnsi="Arial" w:cs="Arial"/>
            <w:bCs/>
            <w:noProof/>
            <w:lang w:val="uk-UA" w:eastAsia="ru-RU"/>
          </w:rPr>
          <w:t>Схема</w:t>
        </w:r>
        <w:r w:rsidR="009F5D34" w:rsidRPr="007E5633">
          <w:rPr>
            <w:rStyle w:val="ab"/>
            <w:rFonts w:ascii="Arial" w:hAnsi="Arial" w:cs="Arial"/>
            <w:noProof/>
            <w:lang w:val="uk-UA"/>
          </w:rPr>
          <w:t xml:space="preserve"> 3: </w:t>
        </w:r>
        <w:r w:rsidR="009F5D34" w:rsidRPr="007E5633">
          <w:rPr>
            <w:rStyle w:val="ab"/>
            <w:rFonts w:ascii="Arial" w:hAnsi="Arial" w:cs="Arial"/>
            <w:bCs/>
            <w:noProof/>
            <w:lang w:val="uk-UA" w:eastAsia="ru-RU"/>
          </w:rPr>
          <w:t>Архітектура Trayport GlobalVision</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_Toc533094030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22</w:t>
        </w:r>
        <w:r w:rsidR="00622EE2" w:rsidRPr="007E5633">
          <w:rPr>
            <w:rFonts w:ascii="Arial" w:hAnsi="Arial" w:cs="Arial"/>
            <w:noProof/>
            <w:webHidden/>
            <w:lang w:val="uk-UA"/>
          </w:rPr>
          <w:fldChar w:fldCharType="end"/>
        </w:r>
      </w:hyperlink>
    </w:p>
    <w:p w14:paraId="626CF284" w14:textId="04A21EEA" w:rsidR="009F5D34" w:rsidRPr="007E5633" w:rsidRDefault="00690478">
      <w:pPr>
        <w:pStyle w:val="af8"/>
        <w:tabs>
          <w:tab w:val="right" w:leader="dot" w:pos="9016"/>
        </w:tabs>
        <w:rPr>
          <w:rFonts w:ascii="Arial" w:eastAsiaTheme="minorEastAsia" w:hAnsi="Arial" w:cs="Arial"/>
          <w:noProof/>
          <w:lang w:val="uk-UA" w:eastAsia="en-GB"/>
        </w:rPr>
      </w:pPr>
      <w:hyperlink w:anchor="_Toc533094031" w:history="1">
        <w:r w:rsidR="009F5D34" w:rsidRPr="007E5633">
          <w:rPr>
            <w:rStyle w:val="ab"/>
            <w:rFonts w:ascii="Arial" w:hAnsi="Arial" w:cs="Arial"/>
            <w:noProof/>
            <w:lang w:val="uk-UA"/>
          </w:rPr>
          <w:t xml:space="preserve">Схема 4: </w:t>
        </w:r>
        <w:r w:rsidR="009F5D34" w:rsidRPr="007E5633">
          <w:rPr>
            <w:rStyle w:val="ab"/>
            <w:rFonts w:ascii="Arial" w:hAnsi="Arial" w:cs="Arial"/>
            <w:bCs/>
            <w:noProof/>
            <w:lang w:val="uk-UA" w:eastAsia="ru-RU"/>
          </w:rPr>
          <w:t>Детальний огляд європейських газових бірж</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_Toc533094031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25</w:t>
        </w:r>
        <w:r w:rsidR="00622EE2" w:rsidRPr="007E5633">
          <w:rPr>
            <w:rFonts w:ascii="Arial" w:hAnsi="Arial" w:cs="Arial"/>
            <w:noProof/>
            <w:webHidden/>
            <w:lang w:val="uk-UA"/>
          </w:rPr>
          <w:fldChar w:fldCharType="end"/>
        </w:r>
      </w:hyperlink>
    </w:p>
    <w:p w14:paraId="08A0AB57" w14:textId="46C4F6F2" w:rsidR="009F5D34" w:rsidRPr="007E5633" w:rsidRDefault="00690478">
      <w:pPr>
        <w:pStyle w:val="af8"/>
        <w:tabs>
          <w:tab w:val="right" w:leader="dot" w:pos="9016"/>
        </w:tabs>
        <w:rPr>
          <w:rFonts w:ascii="Arial" w:eastAsiaTheme="minorEastAsia" w:hAnsi="Arial" w:cs="Arial"/>
          <w:noProof/>
          <w:lang w:val="uk-UA" w:eastAsia="en-GB"/>
        </w:rPr>
      </w:pPr>
      <w:hyperlink w:anchor="_Toc533094032" w:history="1">
        <w:r w:rsidR="009F5D34" w:rsidRPr="007E5633">
          <w:rPr>
            <w:rStyle w:val="ab"/>
            <w:rFonts w:ascii="Arial" w:eastAsia="Times New Roman" w:hAnsi="Arial" w:cs="Arial"/>
            <w:bCs/>
            <w:noProof/>
            <w:lang w:val="uk-UA" w:eastAsia="ru-RU"/>
          </w:rPr>
          <w:t>Схема</w:t>
        </w:r>
        <w:r w:rsidR="009F5D34" w:rsidRPr="007E5633">
          <w:rPr>
            <w:rStyle w:val="ab"/>
            <w:rFonts w:ascii="Arial" w:hAnsi="Arial" w:cs="Arial"/>
            <w:noProof/>
            <w:lang w:val="uk-UA"/>
          </w:rPr>
          <w:t xml:space="preserve"> 5: </w:t>
        </w:r>
        <w:r w:rsidR="009F5D34" w:rsidRPr="007E5633">
          <w:rPr>
            <w:rStyle w:val="ab"/>
            <w:rFonts w:ascii="Arial" w:eastAsia="Times New Roman" w:hAnsi="Arial" w:cs="Arial"/>
            <w:bCs/>
            <w:noProof/>
            <w:lang w:val="uk-UA" w:eastAsia="ru-RU"/>
          </w:rPr>
          <w:t>Продукти, якими торгують на позабіржовому ринку та на</w:t>
        </w:r>
        <w:r w:rsidR="009F5D34" w:rsidRPr="007E5633">
          <w:rPr>
            <w:rStyle w:val="ab"/>
            <w:rFonts w:ascii="Arial" w:eastAsia="Times New Roman" w:hAnsi="Arial" w:cs="Arial"/>
            <w:noProof/>
            <w:lang w:val="uk-UA" w:eastAsia="ru-RU"/>
          </w:rPr>
          <w:t> </w:t>
        </w:r>
        <w:r w:rsidR="009F5D34" w:rsidRPr="007E5633">
          <w:rPr>
            <w:rStyle w:val="ab"/>
            <w:rFonts w:ascii="Arial" w:eastAsia="Times New Roman" w:hAnsi="Arial" w:cs="Arial"/>
            <w:bCs/>
            <w:noProof/>
            <w:lang w:val="uk-UA" w:eastAsia="ru-RU"/>
          </w:rPr>
          <w:t>біржах</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_Toc533094032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27</w:t>
        </w:r>
        <w:r w:rsidR="00622EE2" w:rsidRPr="007E5633">
          <w:rPr>
            <w:rFonts w:ascii="Arial" w:hAnsi="Arial" w:cs="Arial"/>
            <w:noProof/>
            <w:webHidden/>
            <w:lang w:val="uk-UA"/>
          </w:rPr>
          <w:fldChar w:fldCharType="end"/>
        </w:r>
      </w:hyperlink>
    </w:p>
    <w:p w14:paraId="16D9E5F9" w14:textId="4972F9B8" w:rsidR="009F5D34" w:rsidRPr="007E5633" w:rsidRDefault="00690478">
      <w:pPr>
        <w:pStyle w:val="af8"/>
        <w:tabs>
          <w:tab w:val="right" w:leader="dot" w:pos="9016"/>
        </w:tabs>
        <w:rPr>
          <w:rFonts w:ascii="Arial" w:eastAsiaTheme="minorEastAsia" w:hAnsi="Arial" w:cs="Arial"/>
          <w:noProof/>
          <w:lang w:val="uk-UA" w:eastAsia="en-GB"/>
        </w:rPr>
      </w:pPr>
      <w:hyperlink w:anchor="_Toc533094033" w:history="1">
        <w:r w:rsidR="009F5D34" w:rsidRPr="007E5633">
          <w:rPr>
            <w:rStyle w:val="ab"/>
            <w:rFonts w:ascii="Arial" w:eastAsia="Times New Roman" w:hAnsi="Arial" w:cs="Arial"/>
            <w:bCs/>
            <w:noProof/>
            <w:lang w:val="uk-UA" w:eastAsia="ru-RU"/>
          </w:rPr>
          <w:t>Схема</w:t>
        </w:r>
        <w:r w:rsidR="009F5D34" w:rsidRPr="007E5633">
          <w:rPr>
            <w:rStyle w:val="ab"/>
            <w:rFonts w:ascii="Arial" w:hAnsi="Arial" w:cs="Arial"/>
            <w:noProof/>
            <w:lang w:val="uk-UA"/>
          </w:rPr>
          <w:t xml:space="preserve"> 6: </w:t>
        </w:r>
        <w:r w:rsidR="009F5D34" w:rsidRPr="007E5633">
          <w:rPr>
            <w:rStyle w:val="ab"/>
            <w:rFonts w:ascii="Arial" w:eastAsia="Times New Roman" w:hAnsi="Arial" w:cs="Arial"/>
            <w:bCs/>
            <w:noProof/>
            <w:lang w:val="uk-UA" w:eastAsia="ru-RU"/>
          </w:rPr>
          <w:t>Торговий екран PEGAS</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_Toc533094033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32</w:t>
        </w:r>
        <w:r w:rsidR="00622EE2" w:rsidRPr="007E5633">
          <w:rPr>
            <w:rFonts w:ascii="Arial" w:hAnsi="Arial" w:cs="Arial"/>
            <w:noProof/>
            <w:webHidden/>
            <w:lang w:val="uk-UA"/>
          </w:rPr>
          <w:fldChar w:fldCharType="end"/>
        </w:r>
      </w:hyperlink>
    </w:p>
    <w:p w14:paraId="4058523B" w14:textId="4B6C1A18" w:rsidR="009F5D34" w:rsidRPr="007E5633" w:rsidRDefault="00690478">
      <w:pPr>
        <w:pStyle w:val="af8"/>
        <w:tabs>
          <w:tab w:val="right" w:leader="dot" w:pos="9016"/>
        </w:tabs>
        <w:rPr>
          <w:rFonts w:ascii="Arial" w:eastAsiaTheme="minorEastAsia" w:hAnsi="Arial" w:cs="Arial"/>
          <w:noProof/>
          <w:lang w:val="uk-UA" w:eastAsia="en-GB"/>
        </w:rPr>
      </w:pPr>
      <w:hyperlink w:anchor="_Toc533094034" w:history="1">
        <w:r w:rsidR="009F5D34" w:rsidRPr="007E5633">
          <w:rPr>
            <w:rStyle w:val="ab"/>
            <w:rFonts w:ascii="Arial" w:eastAsia="Times New Roman" w:hAnsi="Arial" w:cs="Arial"/>
            <w:bCs/>
            <w:noProof/>
            <w:lang w:val="uk-UA" w:eastAsia="ru-RU"/>
          </w:rPr>
          <w:t>Схема</w:t>
        </w:r>
        <w:r w:rsidR="009F5D34" w:rsidRPr="007E5633">
          <w:rPr>
            <w:rStyle w:val="ab"/>
            <w:rFonts w:ascii="Arial" w:hAnsi="Arial" w:cs="Arial"/>
            <w:noProof/>
            <w:lang w:val="uk-UA"/>
          </w:rPr>
          <w:t xml:space="preserve"> 7: </w:t>
        </w:r>
        <w:r w:rsidR="009F5D34" w:rsidRPr="007E5633">
          <w:rPr>
            <w:rStyle w:val="ab"/>
            <w:rFonts w:ascii="Arial" w:eastAsia="Times New Roman" w:hAnsi="Arial" w:cs="Arial"/>
            <w:bCs/>
            <w:noProof/>
            <w:lang w:val="uk-UA" w:eastAsia="ru-RU"/>
          </w:rPr>
          <w:t>Деталі угод для здійснення позабіржової торгівлі</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_Toc533094034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34</w:t>
        </w:r>
        <w:r w:rsidR="00622EE2" w:rsidRPr="007E5633">
          <w:rPr>
            <w:rFonts w:ascii="Arial" w:hAnsi="Arial" w:cs="Arial"/>
            <w:noProof/>
            <w:webHidden/>
            <w:lang w:val="uk-UA"/>
          </w:rPr>
          <w:fldChar w:fldCharType="end"/>
        </w:r>
      </w:hyperlink>
    </w:p>
    <w:p w14:paraId="175773EF" w14:textId="4D062009" w:rsidR="009F5D34" w:rsidRPr="007E5633" w:rsidRDefault="00690478">
      <w:pPr>
        <w:pStyle w:val="af8"/>
        <w:tabs>
          <w:tab w:val="right" w:leader="dot" w:pos="9016"/>
        </w:tabs>
        <w:rPr>
          <w:rFonts w:ascii="Arial" w:eastAsiaTheme="minorEastAsia" w:hAnsi="Arial" w:cs="Arial"/>
          <w:noProof/>
          <w:lang w:val="uk-UA" w:eastAsia="en-GB"/>
        </w:rPr>
      </w:pPr>
      <w:hyperlink w:anchor="_Toc533094035" w:history="1">
        <w:r w:rsidR="009F5D34" w:rsidRPr="007E5633">
          <w:rPr>
            <w:rStyle w:val="ab"/>
            <w:rFonts w:ascii="Arial" w:hAnsi="Arial" w:cs="Arial"/>
            <w:noProof/>
            <w:lang w:val="uk-UA"/>
          </w:rPr>
          <w:t xml:space="preserve">Схема 8: визначення MIFID II відповідних фінансових інструментів (ФІ) для торгівлі </w:t>
        </w:r>
        <w:r w:rsidR="00E45FA6">
          <w:rPr>
            <w:rStyle w:val="ab"/>
            <w:rFonts w:ascii="Arial" w:hAnsi="Arial" w:cs="Arial"/>
            <w:noProof/>
            <w:lang w:val="uk-UA"/>
          </w:rPr>
          <w:t>товарними контрактами</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_Toc533094035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37</w:t>
        </w:r>
        <w:r w:rsidR="00622EE2" w:rsidRPr="007E5633">
          <w:rPr>
            <w:rFonts w:ascii="Arial" w:hAnsi="Arial" w:cs="Arial"/>
            <w:noProof/>
            <w:webHidden/>
            <w:lang w:val="uk-UA"/>
          </w:rPr>
          <w:fldChar w:fldCharType="end"/>
        </w:r>
      </w:hyperlink>
    </w:p>
    <w:p w14:paraId="11074AC7" w14:textId="6BF556ED" w:rsidR="009F5D34" w:rsidRPr="007E5633" w:rsidRDefault="00690478">
      <w:pPr>
        <w:pStyle w:val="af8"/>
        <w:tabs>
          <w:tab w:val="right" w:leader="dot" w:pos="9016"/>
        </w:tabs>
        <w:rPr>
          <w:rFonts w:ascii="Arial" w:eastAsiaTheme="minorEastAsia" w:hAnsi="Arial" w:cs="Arial"/>
          <w:noProof/>
          <w:lang w:val="uk-UA" w:eastAsia="en-GB"/>
        </w:rPr>
      </w:pPr>
      <w:hyperlink w:anchor="_Toc533094036" w:history="1">
        <w:r w:rsidR="009F5D34" w:rsidRPr="007E5633">
          <w:rPr>
            <w:rStyle w:val="ab"/>
            <w:rFonts w:ascii="Arial" w:hAnsi="Arial" w:cs="Arial"/>
            <w:noProof/>
            <w:lang w:val="uk-UA"/>
          </w:rPr>
          <w:t>Схема  9:  Огляд регуляторів та їх сфер компетенції</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_Toc533094036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38</w:t>
        </w:r>
        <w:r w:rsidR="00622EE2" w:rsidRPr="007E5633">
          <w:rPr>
            <w:rFonts w:ascii="Arial" w:hAnsi="Arial" w:cs="Arial"/>
            <w:noProof/>
            <w:webHidden/>
            <w:lang w:val="uk-UA"/>
          </w:rPr>
          <w:fldChar w:fldCharType="end"/>
        </w:r>
      </w:hyperlink>
    </w:p>
    <w:p w14:paraId="5FCC7B8C" w14:textId="3A3E7A73" w:rsidR="009F5D34" w:rsidRPr="007E5633" w:rsidRDefault="00690478">
      <w:pPr>
        <w:pStyle w:val="af8"/>
        <w:tabs>
          <w:tab w:val="right" w:leader="dot" w:pos="9016"/>
        </w:tabs>
        <w:rPr>
          <w:rFonts w:ascii="Arial" w:eastAsiaTheme="minorEastAsia" w:hAnsi="Arial" w:cs="Arial"/>
          <w:noProof/>
          <w:lang w:val="uk-UA" w:eastAsia="en-GB"/>
        </w:rPr>
      </w:pPr>
      <w:hyperlink w:anchor="_Toc533094037" w:history="1">
        <w:r w:rsidR="009F5D34" w:rsidRPr="007E5633">
          <w:rPr>
            <w:rStyle w:val="ab"/>
            <w:rFonts w:ascii="Arial" w:hAnsi="Arial" w:cs="Arial"/>
            <w:noProof/>
            <w:lang w:val="uk-UA"/>
          </w:rPr>
          <w:t>Схема 10: Порівняння звітності за MIFID I із звітністю за MIFID II</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_Toc533094037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42</w:t>
        </w:r>
        <w:r w:rsidR="00622EE2" w:rsidRPr="007E5633">
          <w:rPr>
            <w:rFonts w:ascii="Arial" w:hAnsi="Arial" w:cs="Arial"/>
            <w:noProof/>
            <w:webHidden/>
            <w:lang w:val="uk-UA"/>
          </w:rPr>
          <w:fldChar w:fldCharType="end"/>
        </w:r>
      </w:hyperlink>
    </w:p>
    <w:p w14:paraId="42ACA019" w14:textId="4B759F69" w:rsidR="009F5D34" w:rsidRPr="007E5633" w:rsidRDefault="00690478">
      <w:pPr>
        <w:pStyle w:val="af8"/>
        <w:tabs>
          <w:tab w:val="right" w:leader="dot" w:pos="9016"/>
        </w:tabs>
        <w:rPr>
          <w:rFonts w:ascii="Arial" w:eastAsiaTheme="minorEastAsia" w:hAnsi="Arial" w:cs="Arial"/>
          <w:noProof/>
          <w:lang w:val="uk-UA" w:eastAsia="en-GB"/>
        </w:rPr>
      </w:pPr>
      <w:hyperlink w:anchor="_Toc533094038" w:history="1">
        <w:r w:rsidR="009F5D34" w:rsidRPr="007E5633">
          <w:rPr>
            <w:rStyle w:val="ab"/>
            <w:rFonts w:ascii="Arial" w:hAnsi="Arial" w:cs="Arial"/>
            <w:noProof/>
            <w:lang w:val="uk-UA"/>
          </w:rPr>
          <w:t>Схема 11: Список Національних компетентних органів (NCA) в ЄС</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_Toc533094038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43</w:t>
        </w:r>
        <w:r w:rsidR="00622EE2" w:rsidRPr="007E5633">
          <w:rPr>
            <w:rFonts w:ascii="Arial" w:hAnsi="Arial" w:cs="Arial"/>
            <w:noProof/>
            <w:webHidden/>
            <w:lang w:val="uk-UA"/>
          </w:rPr>
          <w:fldChar w:fldCharType="end"/>
        </w:r>
      </w:hyperlink>
    </w:p>
    <w:p w14:paraId="7386AAAF" w14:textId="67C9003A" w:rsidR="009F5D34" w:rsidRPr="007E5633" w:rsidRDefault="00690478">
      <w:pPr>
        <w:pStyle w:val="af8"/>
        <w:tabs>
          <w:tab w:val="right" w:leader="dot" w:pos="9016"/>
        </w:tabs>
        <w:rPr>
          <w:rFonts w:ascii="Arial" w:eastAsiaTheme="minorEastAsia" w:hAnsi="Arial" w:cs="Arial"/>
          <w:noProof/>
          <w:lang w:val="uk-UA" w:eastAsia="en-GB"/>
        </w:rPr>
      </w:pPr>
      <w:hyperlink w:anchor="_Toc533094039" w:history="1">
        <w:r w:rsidR="009F5D34" w:rsidRPr="007E5633">
          <w:rPr>
            <w:rStyle w:val="ab"/>
            <w:rFonts w:ascii="Arial" w:hAnsi="Arial" w:cs="Arial"/>
            <w:noProof/>
            <w:lang w:val="uk-UA"/>
          </w:rPr>
          <w:t>Схема 12: Невичерпний перелік інформації, яка повинна бути надана NCA</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_Toc533094039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46</w:t>
        </w:r>
        <w:r w:rsidR="00622EE2" w:rsidRPr="007E5633">
          <w:rPr>
            <w:rFonts w:ascii="Arial" w:hAnsi="Arial" w:cs="Arial"/>
            <w:noProof/>
            <w:webHidden/>
            <w:lang w:val="uk-UA"/>
          </w:rPr>
          <w:fldChar w:fldCharType="end"/>
        </w:r>
      </w:hyperlink>
    </w:p>
    <w:p w14:paraId="104EDFFB" w14:textId="0ACDAA97" w:rsidR="009F5D34" w:rsidRPr="007E5633" w:rsidRDefault="00690478">
      <w:pPr>
        <w:pStyle w:val="af8"/>
        <w:tabs>
          <w:tab w:val="right" w:leader="dot" w:pos="9016"/>
        </w:tabs>
        <w:rPr>
          <w:rFonts w:ascii="Arial" w:eastAsiaTheme="minorEastAsia" w:hAnsi="Arial" w:cs="Arial"/>
          <w:noProof/>
          <w:lang w:val="uk-UA" w:eastAsia="en-GB"/>
        </w:rPr>
      </w:pPr>
      <w:hyperlink w:anchor="_Toc533094040" w:history="1">
        <w:r w:rsidR="009F5D34" w:rsidRPr="007E5633">
          <w:rPr>
            <w:rStyle w:val="ab"/>
            <w:rFonts w:ascii="Arial" w:hAnsi="Arial" w:cs="Arial"/>
            <w:noProof/>
            <w:lang w:val="uk-UA"/>
          </w:rPr>
          <w:t>Схема 13:  Ліцензійні вимоги щодо оптової торгівлі газом на території ЄС</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_Toc533094040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54</w:t>
        </w:r>
        <w:r w:rsidR="00622EE2" w:rsidRPr="007E5633">
          <w:rPr>
            <w:rFonts w:ascii="Arial" w:hAnsi="Arial" w:cs="Arial"/>
            <w:noProof/>
            <w:webHidden/>
            <w:lang w:val="uk-UA"/>
          </w:rPr>
          <w:fldChar w:fldCharType="end"/>
        </w:r>
      </w:hyperlink>
    </w:p>
    <w:p w14:paraId="3CF362F2" w14:textId="5D804B42" w:rsidR="009F5D34" w:rsidRPr="007E5633" w:rsidRDefault="00690478">
      <w:pPr>
        <w:pStyle w:val="af8"/>
        <w:tabs>
          <w:tab w:val="right" w:leader="dot" w:pos="9016"/>
        </w:tabs>
        <w:rPr>
          <w:rFonts w:ascii="Arial" w:eastAsiaTheme="minorEastAsia" w:hAnsi="Arial" w:cs="Arial"/>
          <w:noProof/>
          <w:lang w:val="uk-UA" w:eastAsia="en-GB"/>
        </w:rPr>
      </w:pPr>
      <w:hyperlink w:anchor="_Toc533094041" w:history="1">
        <w:r w:rsidR="009F5D34" w:rsidRPr="007E5633">
          <w:rPr>
            <w:rStyle w:val="ab"/>
            <w:rFonts w:ascii="Arial" w:hAnsi="Arial" w:cs="Arial"/>
            <w:noProof/>
            <w:lang w:val="uk-UA"/>
          </w:rPr>
          <w:t>Схема 14:  Вимоги щодо ліцензування оптової торгівлі енергією на території ЄС</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_Toc533094041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55</w:t>
        </w:r>
        <w:r w:rsidR="00622EE2" w:rsidRPr="007E5633">
          <w:rPr>
            <w:rFonts w:ascii="Arial" w:hAnsi="Arial" w:cs="Arial"/>
            <w:noProof/>
            <w:webHidden/>
            <w:lang w:val="uk-UA"/>
          </w:rPr>
          <w:fldChar w:fldCharType="end"/>
        </w:r>
      </w:hyperlink>
    </w:p>
    <w:p w14:paraId="6027B1AF" w14:textId="68183549" w:rsidR="009F5D34" w:rsidRPr="007E5633" w:rsidRDefault="00690478">
      <w:pPr>
        <w:pStyle w:val="af8"/>
        <w:tabs>
          <w:tab w:val="right" w:leader="dot" w:pos="9016"/>
        </w:tabs>
        <w:rPr>
          <w:rFonts w:ascii="Arial" w:eastAsiaTheme="minorEastAsia" w:hAnsi="Arial" w:cs="Arial"/>
          <w:noProof/>
          <w:lang w:val="uk-UA" w:eastAsia="en-GB"/>
        </w:rPr>
      </w:pPr>
      <w:hyperlink w:anchor="_Toc533094042" w:history="1">
        <w:r w:rsidR="009F5D34" w:rsidRPr="007E5633">
          <w:rPr>
            <w:rStyle w:val="ab"/>
            <w:rFonts w:ascii="Arial" w:hAnsi="Arial" w:cs="Arial"/>
            <w:noProof/>
            <w:lang w:val="uk-UA"/>
          </w:rPr>
          <w:t>Схема 15: Огляд існуючих основних варіантів укладання контрактів для торгівлі</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_Toc533094042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57</w:t>
        </w:r>
        <w:r w:rsidR="00622EE2" w:rsidRPr="007E5633">
          <w:rPr>
            <w:rFonts w:ascii="Arial" w:hAnsi="Arial" w:cs="Arial"/>
            <w:noProof/>
            <w:webHidden/>
            <w:lang w:val="uk-UA"/>
          </w:rPr>
          <w:fldChar w:fldCharType="end"/>
        </w:r>
      </w:hyperlink>
    </w:p>
    <w:p w14:paraId="6DD86342" w14:textId="23F9AAC3" w:rsidR="009F5D34" w:rsidRPr="007E5633" w:rsidRDefault="00690478">
      <w:pPr>
        <w:pStyle w:val="af8"/>
        <w:tabs>
          <w:tab w:val="right" w:leader="dot" w:pos="9016"/>
        </w:tabs>
        <w:rPr>
          <w:rFonts w:ascii="Arial" w:eastAsiaTheme="minorEastAsia" w:hAnsi="Arial" w:cs="Arial"/>
          <w:noProof/>
          <w:lang w:val="uk-UA" w:eastAsia="en-GB"/>
        </w:rPr>
      </w:pPr>
      <w:hyperlink w:anchor="_Toc533094043" w:history="1">
        <w:r w:rsidR="009F5D34" w:rsidRPr="007E5633">
          <w:rPr>
            <w:rStyle w:val="ab"/>
            <w:rFonts w:ascii="Arial" w:hAnsi="Arial" w:cs="Arial"/>
            <w:noProof/>
            <w:lang w:val="uk-UA"/>
          </w:rPr>
          <w:t>Схема 16: Генеральна угода EFET, контрактна структура</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_Toc533094043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57</w:t>
        </w:r>
        <w:r w:rsidR="00622EE2" w:rsidRPr="007E5633">
          <w:rPr>
            <w:rFonts w:ascii="Arial" w:hAnsi="Arial" w:cs="Arial"/>
            <w:noProof/>
            <w:webHidden/>
            <w:lang w:val="uk-UA"/>
          </w:rPr>
          <w:fldChar w:fldCharType="end"/>
        </w:r>
      </w:hyperlink>
    </w:p>
    <w:p w14:paraId="2164CF44" w14:textId="1DC0FE9D" w:rsidR="009F5D34" w:rsidRPr="007E5633" w:rsidRDefault="00690478">
      <w:pPr>
        <w:pStyle w:val="af8"/>
        <w:tabs>
          <w:tab w:val="right" w:leader="dot" w:pos="9016"/>
        </w:tabs>
        <w:rPr>
          <w:rFonts w:ascii="Arial" w:eastAsiaTheme="minorEastAsia" w:hAnsi="Arial" w:cs="Arial"/>
          <w:noProof/>
          <w:lang w:val="uk-UA" w:eastAsia="en-GB"/>
        </w:rPr>
      </w:pPr>
      <w:hyperlink w:anchor="_Toc533094044" w:history="1">
        <w:r w:rsidR="009F5D34" w:rsidRPr="007E5633">
          <w:rPr>
            <w:rStyle w:val="ab"/>
            <w:rFonts w:ascii="Arial" w:hAnsi="Arial" w:cs="Arial"/>
            <w:noProof/>
            <w:lang w:val="uk-UA"/>
          </w:rPr>
          <w:t>Схема 17: Рамковий договір EFET</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_Toc533094044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58</w:t>
        </w:r>
        <w:r w:rsidR="00622EE2" w:rsidRPr="007E5633">
          <w:rPr>
            <w:rFonts w:ascii="Arial" w:hAnsi="Arial" w:cs="Arial"/>
            <w:noProof/>
            <w:webHidden/>
            <w:lang w:val="uk-UA"/>
          </w:rPr>
          <w:fldChar w:fldCharType="end"/>
        </w:r>
      </w:hyperlink>
    </w:p>
    <w:p w14:paraId="337039F2" w14:textId="3226B0EF" w:rsidR="009F5D34" w:rsidRPr="007E5633" w:rsidRDefault="00690478">
      <w:pPr>
        <w:pStyle w:val="af8"/>
        <w:tabs>
          <w:tab w:val="right" w:leader="dot" w:pos="9016"/>
        </w:tabs>
        <w:rPr>
          <w:rFonts w:ascii="Arial" w:eastAsiaTheme="minorEastAsia" w:hAnsi="Arial" w:cs="Arial"/>
          <w:noProof/>
          <w:lang w:val="uk-UA" w:eastAsia="en-GB"/>
        </w:rPr>
      </w:pPr>
      <w:hyperlink w:anchor="_Toc533094045" w:history="1">
        <w:r w:rsidR="009F5D34" w:rsidRPr="007E5633">
          <w:rPr>
            <w:rStyle w:val="ab"/>
            <w:rFonts w:ascii="Arial" w:hAnsi="Arial" w:cs="Arial"/>
            <w:noProof/>
            <w:lang w:val="uk-UA"/>
          </w:rPr>
          <w:t>Схема 18: Процес оплати та розрахунків</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_Toc533094045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60</w:t>
        </w:r>
        <w:r w:rsidR="00622EE2" w:rsidRPr="007E5633">
          <w:rPr>
            <w:rFonts w:ascii="Arial" w:hAnsi="Arial" w:cs="Arial"/>
            <w:noProof/>
            <w:webHidden/>
            <w:lang w:val="uk-UA"/>
          </w:rPr>
          <w:fldChar w:fldCharType="end"/>
        </w:r>
      </w:hyperlink>
    </w:p>
    <w:p w14:paraId="736BD55F" w14:textId="75B0B9CE" w:rsidR="009F5D34" w:rsidRPr="007E5633" w:rsidRDefault="00690478">
      <w:pPr>
        <w:pStyle w:val="af8"/>
        <w:tabs>
          <w:tab w:val="right" w:leader="dot" w:pos="9016"/>
        </w:tabs>
        <w:rPr>
          <w:rFonts w:ascii="Arial" w:eastAsiaTheme="minorEastAsia" w:hAnsi="Arial" w:cs="Arial"/>
          <w:noProof/>
          <w:lang w:val="uk-UA" w:eastAsia="en-GB"/>
        </w:rPr>
      </w:pPr>
      <w:hyperlink w:anchor="_Toc533094046" w:history="1">
        <w:r w:rsidR="009F5D34" w:rsidRPr="007E5633">
          <w:rPr>
            <w:rStyle w:val="ab"/>
            <w:rFonts w:ascii="Arial" w:hAnsi="Arial" w:cs="Arial"/>
            <w:noProof/>
            <w:lang w:val="uk-UA"/>
          </w:rPr>
          <w:t>Схема 19: договірні відносини</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_Toc533094046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60</w:t>
        </w:r>
        <w:r w:rsidR="00622EE2" w:rsidRPr="007E5633">
          <w:rPr>
            <w:rFonts w:ascii="Arial" w:hAnsi="Arial" w:cs="Arial"/>
            <w:noProof/>
            <w:webHidden/>
            <w:lang w:val="uk-UA"/>
          </w:rPr>
          <w:fldChar w:fldCharType="end"/>
        </w:r>
      </w:hyperlink>
    </w:p>
    <w:p w14:paraId="0AE5A343" w14:textId="6451D6AC" w:rsidR="009F5D34" w:rsidRPr="007E5633" w:rsidRDefault="00690478">
      <w:pPr>
        <w:pStyle w:val="af8"/>
        <w:tabs>
          <w:tab w:val="right" w:leader="dot" w:pos="9016"/>
        </w:tabs>
        <w:rPr>
          <w:rFonts w:ascii="Arial" w:eastAsiaTheme="minorEastAsia" w:hAnsi="Arial" w:cs="Arial"/>
          <w:noProof/>
          <w:lang w:val="uk-UA" w:eastAsia="en-GB"/>
        </w:rPr>
      </w:pPr>
      <w:hyperlink w:anchor="_Toc533094047" w:history="1">
        <w:r w:rsidR="009F5D34" w:rsidRPr="007E5633">
          <w:rPr>
            <w:rStyle w:val="ab"/>
            <w:rFonts w:ascii="Arial" w:hAnsi="Arial" w:cs="Arial"/>
            <w:noProof/>
            <w:lang w:val="uk-UA"/>
          </w:rPr>
          <w:t>Схема 20: ECC зобов'язується доставити та прийняти</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_Toc533094047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61</w:t>
        </w:r>
        <w:r w:rsidR="00622EE2" w:rsidRPr="007E5633">
          <w:rPr>
            <w:rFonts w:ascii="Arial" w:hAnsi="Arial" w:cs="Arial"/>
            <w:noProof/>
            <w:webHidden/>
            <w:lang w:val="uk-UA"/>
          </w:rPr>
          <w:fldChar w:fldCharType="end"/>
        </w:r>
      </w:hyperlink>
    </w:p>
    <w:p w14:paraId="26B4FDA9" w14:textId="0E87B7A9" w:rsidR="009F5D34" w:rsidRPr="007E5633" w:rsidRDefault="00690478">
      <w:pPr>
        <w:pStyle w:val="af8"/>
        <w:tabs>
          <w:tab w:val="right" w:leader="dot" w:pos="9016"/>
        </w:tabs>
        <w:rPr>
          <w:rFonts w:ascii="Arial" w:eastAsiaTheme="minorEastAsia" w:hAnsi="Arial" w:cs="Arial"/>
          <w:noProof/>
          <w:lang w:val="uk-UA" w:eastAsia="en-GB"/>
        </w:rPr>
      </w:pPr>
      <w:hyperlink w:anchor="_Toc533094048" w:history="1">
        <w:r w:rsidR="009F5D34" w:rsidRPr="007E5633">
          <w:rPr>
            <w:rStyle w:val="ab"/>
            <w:rFonts w:ascii="Arial" w:hAnsi="Arial" w:cs="Arial"/>
            <w:noProof/>
            <w:lang w:val="uk-UA"/>
          </w:rPr>
          <w:t>Схема 21: Процес передачі прав за зобов’язаннями по контракту та процесс розрахунків (неттінг)</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_Toc533094048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62</w:t>
        </w:r>
        <w:r w:rsidR="00622EE2" w:rsidRPr="007E5633">
          <w:rPr>
            <w:rFonts w:ascii="Arial" w:hAnsi="Arial" w:cs="Arial"/>
            <w:noProof/>
            <w:webHidden/>
            <w:lang w:val="uk-UA"/>
          </w:rPr>
          <w:fldChar w:fldCharType="end"/>
        </w:r>
      </w:hyperlink>
    </w:p>
    <w:p w14:paraId="0873F857" w14:textId="43C51491" w:rsidR="009F5D34" w:rsidRPr="007E5633" w:rsidRDefault="00690478">
      <w:pPr>
        <w:pStyle w:val="af8"/>
        <w:tabs>
          <w:tab w:val="right" w:leader="dot" w:pos="9016"/>
        </w:tabs>
        <w:rPr>
          <w:rFonts w:ascii="Arial" w:eastAsiaTheme="minorEastAsia" w:hAnsi="Arial" w:cs="Arial"/>
          <w:noProof/>
          <w:lang w:val="uk-UA" w:eastAsia="en-GB"/>
        </w:rPr>
      </w:pPr>
      <w:hyperlink w:anchor="_Toc533094049" w:history="1">
        <w:r w:rsidR="009F5D34" w:rsidRPr="007E5633">
          <w:rPr>
            <w:rStyle w:val="ab"/>
            <w:rFonts w:ascii="Arial" w:hAnsi="Arial" w:cs="Arial"/>
            <w:noProof/>
            <w:lang w:val="uk-UA"/>
          </w:rPr>
          <w:t>Схема 22: Умови ECC передачі застави - Огляд</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_Toc533094049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63</w:t>
        </w:r>
        <w:r w:rsidR="00622EE2" w:rsidRPr="007E5633">
          <w:rPr>
            <w:rFonts w:ascii="Arial" w:hAnsi="Arial" w:cs="Arial"/>
            <w:noProof/>
            <w:webHidden/>
            <w:lang w:val="uk-UA"/>
          </w:rPr>
          <w:fldChar w:fldCharType="end"/>
        </w:r>
      </w:hyperlink>
    </w:p>
    <w:p w14:paraId="640AE111" w14:textId="3B11E726" w:rsidR="009F5D34" w:rsidRPr="007E5633" w:rsidRDefault="00690478">
      <w:pPr>
        <w:pStyle w:val="af8"/>
        <w:tabs>
          <w:tab w:val="right" w:leader="dot" w:pos="9016"/>
        </w:tabs>
        <w:rPr>
          <w:rFonts w:ascii="Arial" w:eastAsiaTheme="minorEastAsia" w:hAnsi="Arial" w:cs="Arial"/>
          <w:noProof/>
          <w:lang w:val="uk-UA" w:eastAsia="en-GB"/>
        </w:rPr>
      </w:pPr>
      <w:hyperlink w:anchor="_Toc533094050" w:history="1">
        <w:r w:rsidR="009F5D34" w:rsidRPr="007E5633">
          <w:rPr>
            <w:rStyle w:val="ab"/>
            <w:rFonts w:ascii="Arial" w:hAnsi="Arial" w:cs="Arial"/>
            <w:noProof/>
            <w:lang w:val="uk-UA"/>
          </w:rPr>
          <w:t>Схема 23: Умови ECC передачі застави - Детальний процес</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_Toc533094050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63</w:t>
        </w:r>
        <w:r w:rsidR="00622EE2" w:rsidRPr="007E5633">
          <w:rPr>
            <w:rFonts w:ascii="Arial" w:hAnsi="Arial" w:cs="Arial"/>
            <w:noProof/>
            <w:webHidden/>
            <w:lang w:val="uk-UA"/>
          </w:rPr>
          <w:fldChar w:fldCharType="end"/>
        </w:r>
      </w:hyperlink>
    </w:p>
    <w:p w14:paraId="1069439D" w14:textId="24C6D67A" w:rsidR="009F5D34" w:rsidRPr="007E5633" w:rsidRDefault="00690478">
      <w:pPr>
        <w:pStyle w:val="af8"/>
        <w:tabs>
          <w:tab w:val="right" w:leader="dot" w:pos="9016"/>
        </w:tabs>
        <w:rPr>
          <w:rFonts w:ascii="Arial" w:eastAsiaTheme="minorEastAsia" w:hAnsi="Arial" w:cs="Arial"/>
          <w:noProof/>
          <w:lang w:val="uk-UA" w:eastAsia="en-GB"/>
        </w:rPr>
      </w:pPr>
      <w:hyperlink w:anchor="_Toc533094051" w:history="1">
        <w:r w:rsidR="009F5D34" w:rsidRPr="007E5633">
          <w:rPr>
            <w:rStyle w:val="ab"/>
            <w:rFonts w:ascii="Arial" w:hAnsi="Arial" w:cs="Arial"/>
            <w:noProof/>
            <w:lang w:val="uk-UA"/>
          </w:rPr>
          <w:t>Схема 24: Графік щоденного клірингу</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_Toc533094051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65</w:t>
        </w:r>
        <w:r w:rsidR="00622EE2" w:rsidRPr="007E5633">
          <w:rPr>
            <w:rFonts w:ascii="Arial" w:hAnsi="Arial" w:cs="Arial"/>
            <w:noProof/>
            <w:webHidden/>
            <w:lang w:val="uk-UA"/>
          </w:rPr>
          <w:fldChar w:fldCharType="end"/>
        </w:r>
      </w:hyperlink>
    </w:p>
    <w:p w14:paraId="315389DF" w14:textId="654ED2D5" w:rsidR="009F5D34" w:rsidRPr="007E5633" w:rsidRDefault="00690478">
      <w:pPr>
        <w:pStyle w:val="af8"/>
        <w:tabs>
          <w:tab w:val="right" w:leader="dot" w:pos="9016"/>
        </w:tabs>
        <w:rPr>
          <w:rFonts w:ascii="Arial" w:eastAsiaTheme="minorEastAsia" w:hAnsi="Arial" w:cs="Arial"/>
          <w:noProof/>
          <w:lang w:val="uk-UA" w:eastAsia="en-GB"/>
        </w:rPr>
      </w:pPr>
      <w:hyperlink w:anchor="_Toc533094052" w:history="1">
        <w:r w:rsidR="009F5D34" w:rsidRPr="007E5633">
          <w:rPr>
            <w:rStyle w:val="ab"/>
            <w:rFonts w:ascii="Arial" w:hAnsi="Arial" w:cs="Arial"/>
            <w:noProof/>
            <w:lang w:val="uk-UA"/>
          </w:rPr>
          <w:t>Схема 25: Управління кредитним ризиком</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_Toc533094052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66</w:t>
        </w:r>
        <w:r w:rsidR="00622EE2" w:rsidRPr="007E5633">
          <w:rPr>
            <w:rFonts w:ascii="Arial" w:hAnsi="Arial" w:cs="Arial"/>
            <w:noProof/>
            <w:webHidden/>
            <w:lang w:val="uk-UA"/>
          </w:rPr>
          <w:fldChar w:fldCharType="end"/>
        </w:r>
      </w:hyperlink>
    </w:p>
    <w:p w14:paraId="6CDCED73" w14:textId="09C8A5EA" w:rsidR="009F5D34" w:rsidRPr="007E5633" w:rsidRDefault="00690478">
      <w:pPr>
        <w:pStyle w:val="af8"/>
        <w:tabs>
          <w:tab w:val="right" w:leader="dot" w:pos="9016"/>
        </w:tabs>
        <w:rPr>
          <w:rFonts w:ascii="Arial" w:eastAsiaTheme="minorEastAsia" w:hAnsi="Arial" w:cs="Arial"/>
          <w:noProof/>
          <w:lang w:val="uk-UA" w:eastAsia="en-GB"/>
        </w:rPr>
      </w:pPr>
      <w:hyperlink w:anchor="_Toc533094053" w:history="1">
        <w:r w:rsidR="009F5D34" w:rsidRPr="007E5633">
          <w:rPr>
            <w:rStyle w:val="ab"/>
            <w:rFonts w:ascii="Arial" w:hAnsi="Arial" w:cs="Arial"/>
            <w:noProof/>
            <w:lang w:val="uk-UA"/>
          </w:rPr>
          <w:t>Схема 26: Методи пом'якшення кредитного ризику</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_Toc533094053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69</w:t>
        </w:r>
        <w:r w:rsidR="00622EE2" w:rsidRPr="007E5633">
          <w:rPr>
            <w:rFonts w:ascii="Arial" w:hAnsi="Arial" w:cs="Arial"/>
            <w:noProof/>
            <w:webHidden/>
            <w:lang w:val="uk-UA"/>
          </w:rPr>
          <w:fldChar w:fldCharType="end"/>
        </w:r>
      </w:hyperlink>
    </w:p>
    <w:p w14:paraId="728E52E1" w14:textId="0047CC91" w:rsidR="009F5D34" w:rsidRPr="007E5633" w:rsidRDefault="00690478">
      <w:pPr>
        <w:pStyle w:val="af8"/>
        <w:tabs>
          <w:tab w:val="right" w:leader="dot" w:pos="9016"/>
        </w:tabs>
        <w:rPr>
          <w:rFonts w:ascii="Arial" w:eastAsiaTheme="minorEastAsia" w:hAnsi="Arial" w:cs="Arial"/>
          <w:noProof/>
          <w:lang w:val="uk-UA" w:eastAsia="en-GB"/>
        </w:rPr>
      </w:pPr>
      <w:hyperlink w:anchor="_Toc533094054" w:history="1">
        <w:r w:rsidR="009F5D34" w:rsidRPr="007E5633">
          <w:rPr>
            <w:rStyle w:val="ab"/>
            <w:rFonts w:ascii="Arial" w:hAnsi="Arial" w:cs="Arial"/>
            <w:noProof/>
            <w:lang w:val="uk-UA"/>
          </w:rPr>
          <w:t>Схема 27: «Ліквідаційний неттінг»</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_Toc533094054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69</w:t>
        </w:r>
        <w:r w:rsidR="00622EE2" w:rsidRPr="007E5633">
          <w:rPr>
            <w:rFonts w:ascii="Arial" w:hAnsi="Arial" w:cs="Arial"/>
            <w:noProof/>
            <w:webHidden/>
            <w:lang w:val="uk-UA"/>
          </w:rPr>
          <w:fldChar w:fldCharType="end"/>
        </w:r>
      </w:hyperlink>
    </w:p>
    <w:p w14:paraId="590E768D" w14:textId="7D9C719A" w:rsidR="009F5D34" w:rsidRPr="007E5633" w:rsidRDefault="00690478">
      <w:pPr>
        <w:pStyle w:val="af8"/>
        <w:tabs>
          <w:tab w:val="right" w:leader="dot" w:pos="9016"/>
        </w:tabs>
        <w:rPr>
          <w:rFonts w:ascii="Arial" w:eastAsiaTheme="minorEastAsia" w:hAnsi="Arial" w:cs="Arial"/>
          <w:noProof/>
          <w:lang w:val="uk-UA" w:eastAsia="en-GB"/>
        </w:rPr>
      </w:pPr>
      <w:hyperlink w:anchor="_Toc533094055" w:history="1">
        <w:r w:rsidR="009F5D34" w:rsidRPr="007E5633">
          <w:rPr>
            <w:rStyle w:val="ab"/>
            <w:rFonts w:ascii="Arial" w:hAnsi="Arial" w:cs="Arial"/>
            <w:noProof/>
            <w:lang w:val="uk-UA"/>
          </w:rPr>
          <w:t>Схема 28: Регуляторна звітність</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_Toc533094055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70</w:t>
        </w:r>
        <w:r w:rsidR="00622EE2" w:rsidRPr="007E5633">
          <w:rPr>
            <w:rFonts w:ascii="Arial" w:hAnsi="Arial" w:cs="Arial"/>
            <w:noProof/>
            <w:webHidden/>
            <w:lang w:val="uk-UA"/>
          </w:rPr>
          <w:fldChar w:fldCharType="end"/>
        </w:r>
      </w:hyperlink>
    </w:p>
    <w:p w14:paraId="1AE6DFF5" w14:textId="3EDAD266" w:rsidR="009F5D34" w:rsidRPr="007E5633" w:rsidRDefault="00690478">
      <w:pPr>
        <w:pStyle w:val="af8"/>
        <w:tabs>
          <w:tab w:val="right" w:leader="dot" w:pos="9016"/>
        </w:tabs>
        <w:rPr>
          <w:rFonts w:ascii="Arial" w:eastAsiaTheme="minorEastAsia" w:hAnsi="Arial" w:cs="Arial"/>
          <w:noProof/>
          <w:lang w:val="uk-UA" w:eastAsia="en-GB"/>
        </w:rPr>
      </w:pPr>
      <w:hyperlink w:anchor="_Toc533094056" w:history="1">
        <w:r w:rsidR="009F5D34" w:rsidRPr="007E5633">
          <w:rPr>
            <w:rStyle w:val="ab"/>
            <w:rFonts w:ascii="Arial" w:hAnsi="Arial" w:cs="Arial"/>
            <w:noProof/>
            <w:lang w:val="uk-UA"/>
          </w:rPr>
          <w:t>Схема 29: Обов'язки ринкових учасників за REMIT</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_Toc533094056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74</w:t>
        </w:r>
        <w:r w:rsidR="00622EE2" w:rsidRPr="007E5633">
          <w:rPr>
            <w:rFonts w:ascii="Arial" w:hAnsi="Arial" w:cs="Arial"/>
            <w:noProof/>
            <w:webHidden/>
            <w:lang w:val="uk-UA"/>
          </w:rPr>
          <w:fldChar w:fldCharType="end"/>
        </w:r>
      </w:hyperlink>
    </w:p>
    <w:p w14:paraId="262A8097" w14:textId="36469F1F" w:rsidR="009F5D34" w:rsidRPr="007E5633" w:rsidRDefault="00690478">
      <w:pPr>
        <w:pStyle w:val="af8"/>
        <w:tabs>
          <w:tab w:val="right" w:leader="dot" w:pos="9016"/>
        </w:tabs>
        <w:rPr>
          <w:rFonts w:ascii="Arial" w:eastAsiaTheme="minorEastAsia" w:hAnsi="Arial" w:cs="Arial"/>
          <w:noProof/>
          <w:lang w:val="uk-UA" w:eastAsia="en-GB"/>
        </w:rPr>
      </w:pPr>
      <w:hyperlink w:anchor="_Toc533094057" w:history="1">
        <w:r w:rsidR="009F5D34" w:rsidRPr="007E5633">
          <w:rPr>
            <w:rStyle w:val="ab"/>
            <w:rFonts w:ascii="Arial" w:hAnsi="Arial" w:cs="Arial"/>
            <w:noProof/>
            <w:lang w:val="uk-UA"/>
          </w:rPr>
          <w:t>Схема 30: Детальна інформація про стандартні контракти на поставку електроенергії або газу</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_Toc533094057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75</w:t>
        </w:r>
        <w:r w:rsidR="00622EE2" w:rsidRPr="007E5633">
          <w:rPr>
            <w:rFonts w:ascii="Arial" w:hAnsi="Arial" w:cs="Arial"/>
            <w:noProof/>
            <w:webHidden/>
            <w:lang w:val="uk-UA"/>
          </w:rPr>
          <w:fldChar w:fldCharType="end"/>
        </w:r>
      </w:hyperlink>
    </w:p>
    <w:p w14:paraId="4793D861" w14:textId="6C46A3AA" w:rsidR="009F5D34" w:rsidRPr="007E5633" w:rsidRDefault="00690478">
      <w:pPr>
        <w:pStyle w:val="af8"/>
        <w:tabs>
          <w:tab w:val="right" w:leader="dot" w:pos="9016"/>
        </w:tabs>
        <w:rPr>
          <w:rFonts w:ascii="Arial" w:eastAsiaTheme="minorEastAsia" w:hAnsi="Arial" w:cs="Arial"/>
          <w:noProof/>
          <w:lang w:val="uk-UA" w:eastAsia="en-GB"/>
        </w:rPr>
      </w:pPr>
      <w:hyperlink w:anchor="_Toc533094058" w:history="1">
        <w:r w:rsidR="009F5D34" w:rsidRPr="007E5633">
          <w:rPr>
            <w:rStyle w:val="ab"/>
            <w:rFonts w:ascii="Arial" w:hAnsi="Arial" w:cs="Arial"/>
            <w:noProof/>
            <w:lang w:val="uk-UA"/>
          </w:rPr>
          <w:t>Схема 31: Звітні зобов'язання за MAR</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_Toc533094058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80</w:t>
        </w:r>
        <w:r w:rsidR="00622EE2" w:rsidRPr="007E5633">
          <w:rPr>
            <w:rFonts w:ascii="Arial" w:hAnsi="Arial" w:cs="Arial"/>
            <w:noProof/>
            <w:webHidden/>
            <w:lang w:val="uk-UA"/>
          </w:rPr>
          <w:fldChar w:fldCharType="end"/>
        </w:r>
      </w:hyperlink>
    </w:p>
    <w:p w14:paraId="0DE0CB92" w14:textId="73E06B45" w:rsidR="009F5D34" w:rsidRPr="007E5633" w:rsidRDefault="00690478">
      <w:pPr>
        <w:pStyle w:val="af8"/>
        <w:tabs>
          <w:tab w:val="right" w:leader="dot" w:pos="9016"/>
        </w:tabs>
        <w:rPr>
          <w:rFonts w:ascii="Arial" w:eastAsiaTheme="minorEastAsia" w:hAnsi="Arial" w:cs="Arial"/>
          <w:noProof/>
          <w:lang w:val="uk-UA" w:eastAsia="en-GB"/>
        </w:rPr>
      </w:pPr>
      <w:hyperlink w:anchor="_Toc533094059" w:history="1">
        <w:r w:rsidR="009F5D34" w:rsidRPr="007E5633">
          <w:rPr>
            <w:rStyle w:val="ab"/>
            <w:rFonts w:ascii="Arial" w:hAnsi="Arial" w:cs="Arial"/>
            <w:noProof/>
            <w:lang w:val="uk-UA"/>
          </w:rPr>
          <w:t>Схема 32: Інформаційний потік між учасниками ринку</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_Toc533094059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85</w:t>
        </w:r>
        <w:r w:rsidR="00622EE2" w:rsidRPr="007E5633">
          <w:rPr>
            <w:rFonts w:ascii="Arial" w:hAnsi="Arial" w:cs="Arial"/>
            <w:noProof/>
            <w:webHidden/>
            <w:lang w:val="uk-UA"/>
          </w:rPr>
          <w:fldChar w:fldCharType="end"/>
        </w:r>
      </w:hyperlink>
    </w:p>
    <w:p w14:paraId="03EE5AB6" w14:textId="647BB72E" w:rsidR="009F5D34" w:rsidRPr="007E5633" w:rsidRDefault="00690478">
      <w:pPr>
        <w:pStyle w:val="af8"/>
        <w:tabs>
          <w:tab w:val="right" w:leader="dot" w:pos="9016"/>
        </w:tabs>
        <w:rPr>
          <w:rFonts w:ascii="Arial" w:eastAsiaTheme="minorEastAsia" w:hAnsi="Arial" w:cs="Arial"/>
          <w:noProof/>
          <w:lang w:val="uk-UA" w:eastAsia="en-GB"/>
        </w:rPr>
      </w:pPr>
      <w:hyperlink w:anchor="_Toc533094060" w:history="1">
        <w:r w:rsidR="009F5D34" w:rsidRPr="007E5633">
          <w:rPr>
            <w:rStyle w:val="ab"/>
            <w:rFonts w:ascii="Arial" w:hAnsi="Arial" w:cs="Arial"/>
            <w:noProof/>
            <w:lang w:val="uk-UA"/>
          </w:rPr>
          <w:t>Схема 33: Торгове підтвердження відповідності відносин</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_Toc533094060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90</w:t>
        </w:r>
        <w:r w:rsidR="00622EE2" w:rsidRPr="007E5633">
          <w:rPr>
            <w:rFonts w:ascii="Arial" w:hAnsi="Arial" w:cs="Arial"/>
            <w:noProof/>
            <w:webHidden/>
            <w:lang w:val="uk-UA"/>
          </w:rPr>
          <w:fldChar w:fldCharType="end"/>
        </w:r>
      </w:hyperlink>
    </w:p>
    <w:p w14:paraId="6A1AB435" w14:textId="25BC7101" w:rsidR="009F5D34" w:rsidRPr="007E5633" w:rsidRDefault="00690478">
      <w:pPr>
        <w:pStyle w:val="af8"/>
        <w:tabs>
          <w:tab w:val="right" w:leader="dot" w:pos="9016"/>
        </w:tabs>
        <w:rPr>
          <w:rFonts w:ascii="Arial" w:eastAsiaTheme="minorEastAsia" w:hAnsi="Arial" w:cs="Arial"/>
          <w:noProof/>
          <w:lang w:val="uk-UA" w:eastAsia="en-GB"/>
        </w:rPr>
      </w:pPr>
      <w:hyperlink w:anchor="_Toc533094061" w:history="1">
        <w:r w:rsidR="009F5D34" w:rsidRPr="007E5633">
          <w:rPr>
            <w:rStyle w:val="ab"/>
            <w:rFonts w:ascii="Arial" w:hAnsi="Arial" w:cs="Arial"/>
            <w:noProof/>
            <w:lang w:val="uk-UA"/>
          </w:rPr>
          <w:t>Схема 34: eCM Near-Match Finder</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_Toc533094061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92</w:t>
        </w:r>
        <w:r w:rsidR="00622EE2" w:rsidRPr="007E5633">
          <w:rPr>
            <w:rFonts w:ascii="Arial" w:hAnsi="Arial" w:cs="Arial"/>
            <w:noProof/>
            <w:webHidden/>
            <w:lang w:val="uk-UA"/>
          </w:rPr>
          <w:fldChar w:fldCharType="end"/>
        </w:r>
      </w:hyperlink>
    </w:p>
    <w:p w14:paraId="1D804905" w14:textId="6C0CD71D" w:rsidR="009F5D34" w:rsidRPr="007E5633" w:rsidRDefault="00690478">
      <w:pPr>
        <w:pStyle w:val="af8"/>
        <w:tabs>
          <w:tab w:val="right" w:leader="dot" w:pos="9016"/>
        </w:tabs>
        <w:rPr>
          <w:rFonts w:ascii="Arial" w:eastAsiaTheme="minorEastAsia" w:hAnsi="Arial" w:cs="Arial"/>
          <w:noProof/>
          <w:lang w:val="uk-UA" w:eastAsia="en-GB"/>
        </w:rPr>
      </w:pPr>
      <w:hyperlink w:anchor="_Toc533094062" w:history="1">
        <w:r w:rsidR="009F5D34" w:rsidRPr="007E5633">
          <w:rPr>
            <w:rStyle w:val="ab"/>
            <w:rFonts w:ascii="Arial" w:hAnsi="Arial" w:cs="Arial"/>
            <w:noProof/>
            <w:lang w:val="uk-UA"/>
          </w:rPr>
          <w:t>Схема 35: Архітектура центральної системи відповідності EFETnet (EFETnet Central Matching System)</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_Toc533094062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92</w:t>
        </w:r>
        <w:r w:rsidR="00622EE2" w:rsidRPr="007E5633">
          <w:rPr>
            <w:rFonts w:ascii="Arial" w:hAnsi="Arial" w:cs="Arial"/>
            <w:noProof/>
            <w:webHidden/>
            <w:lang w:val="uk-UA"/>
          </w:rPr>
          <w:fldChar w:fldCharType="end"/>
        </w:r>
      </w:hyperlink>
    </w:p>
    <w:p w14:paraId="5D7E10A4" w14:textId="392E5B42" w:rsidR="009F5D34" w:rsidRPr="007E5633" w:rsidRDefault="00690478">
      <w:pPr>
        <w:pStyle w:val="af8"/>
        <w:tabs>
          <w:tab w:val="right" w:leader="dot" w:pos="9016"/>
        </w:tabs>
        <w:rPr>
          <w:rFonts w:ascii="Arial" w:eastAsiaTheme="minorEastAsia" w:hAnsi="Arial" w:cs="Arial"/>
          <w:noProof/>
          <w:lang w:val="uk-UA" w:eastAsia="en-GB"/>
        </w:rPr>
      </w:pPr>
      <w:hyperlink w:anchor="_Toc533094063" w:history="1">
        <w:r w:rsidR="009F5D34" w:rsidRPr="007E5633">
          <w:rPr>
            <w:rStyle w:val="ab"/>
            <w:rFonts w:ascii="Arial" w:hAnsi="Arial" w:cs="Arial"/>
            <w:noProof/>
            <w:lang w:val="uk-UA"/>
          </w:rPr>
          <w:t>Схема 36: Огляд податків, що стосуються енергетичного ринку Польщі</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_Toc533094063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95</w:t>
        </w:r>
        <w:r w:rsidR="00622EE2" w:rsidRPr="007E5633">
          <w:rPr>
            <w:rFonts w:ascii="Arial" w:hAnsi="Arial" w:cs="Arial"/>
            <w:noProof/>
            <w:webHidden/>
            <w:lang w:val="uk-UA"/>
          </w:rPr>
          <w:fldChar w:fldCharType="end"/>
        </w:r>
      </w:hyperlink>
    </w:p>
    <w:p w14:paraId="48515CE3" w14:textId="5595A528" w:rsidR="009F5D34" w:rsidRPr="007E5633" w:rsidRDefault="00690478">
      <w:pPr>
        <w:pStyle w:val="af8"/>
        <w:tabs>
          <w:tab w:val="right" w:leader="dot" w:pos="9016"/>
        </w:tabs>
        <w:rPr>
          <w:rFonts w:ascii="Arial" w:eastAsiaTheme="minorEastAsia" w:hAnsi="Arial" w:cs="Arial"/>
          <w:noProof/>
          <w:lang w:val="uk-UA" w:eastAsia="en-GB"/>
        </w:rPr>
      </w:pPr>
      <w:hyperlink w:anchor="_Toc533094064" w:history="1">
        <w:r w:rsidR="009F5D34" w:rsidRPr="007E5633">
          <w:rPr>
            <w:rStyle w:val="ab"/>
            <w:rFonts w:ascii="Arial" w:hAnsi="Arial" w:cs="Arial"/>
            <w:noProof/>
            <w:lang w:val="uk-UA"/>
          </w:rPr>
          <w:t>Схема 37: Приклади податків, що стосуються енергетичної торгівлі у Європі</w:t>
        </w:r>
        <w:r w:rsidR="009F5D34" w:rsidRPr="007E5633">
          <w:rPr>
            <w:rFonts w:ascii="Arial" w:hAnsi="Arial" w:cs="Arial"/>
            <w:noProof/>
            <w:webHidden/>
            <w:lang w:val="uk-UA"/>
          </w:rPr>
          <w:tab/>
        </w:r>
        <w:r w:rsidR="00622EE2" w:rsidRPr="007E5633">
          <w:rPr>
            <w:rFonts w:ascii="Arial" w:hAnsi="Arial" w:cs="Arial"/>
            <w:noProof/>
            <w:webHidden/>
            <w:lang w:val="uk-UA"/>
          </w:rPr>
          <w:fldChar w:fldCharType="begin"/>
        </w:r>
        <w:r w:rsidR="009F5D34" w:rsidRPr="007E5633">
          <w:rPr>
            <w:rFonts w:ascii="Arial" w:hAnsi="Arial" w:cs="Arial"/>
            <w:noProof/>
            <w:webHidden/>
            <w:lang w:val="uk-UA"/>
          </w:rPr>
          <w:instrText xml:space="preserve"> PAGEREF _Toc533094064 \h </w:instrText>
        </w:r>
        <w:r w:rsidR="00622EE2" w:rsidRPr="007E5633">
          <w:rPr>
            <w:rFonts w:ascii="Arial" w:hAnsi="Arial" w:cs="Arial"/>
            <w:noProof/>
            <w:webHidden/>
            <w:lang w:val="uk-UA"/>
          </w:rPr>
        </w:r>
        <w:r w:rsidR="00622EE2" w:rsidRPr="007E5633">
          <w:rPr>
            <w:rFonts w:ascii="Arial" w:hAnsi="Arial" w:cs="Arial"/>
            <w:noProof/>
            <w:webHidden/>
            <w:lang w:val="uk-UA"/>
          </w:rPr>
          <w:fldChar w:fldCharType="separate"/>
        </w:r>
        <w:r w:rsidR="00221E0D">
          <w:rPr>
            <w:rFonts w:ascii="Arial" w:hAnsi="Arial" w:cs="Arial"/>
            <w:noProof/>
            <w:webHidden/>
            <w:lang w:val="uk-UA"/>
          </w:rPr>
          <w:t>96</w:t>
        </w:r>
        <w:r w:rsidR="00622EE2" w:rsidRPr="007E5633">
          <w:rPr>
            <w:rFonts w:ascii="Arial" w:hAnsi="Arial" w:cs="Arial"/>
            <w:noProof/>
            <w:webHidden/>
            <w:lang w:val="uk-UA"/>
          </w:rPr>
          <w:fldChar w:fldCharType="end"/>
        </w:r>
      </w:hyperlink>
    </w:p>
    <w:p w14:paraId="74654D39" w14:textId="77777777" w:rsidR="00743C2A" w:rsidRPr="007E5633" w:rsidRDefault="00622EE2">
      <w:pPr>
        <w:suppressAutoHyphens w:val="0"/>
        <w:rPr>
          <w:rFonts w:ascii="Arial" w:eastAsiaTheme="minorHAnsi" w:hAnsi="Arial" w:cs="Arial"/>
          <w:color w:val="002060"/>
          <w:sz w:val="28"/>
          <w:szCs w:val="28"/>
          <w:highlight w:val="yellow"/>
          <w:lang w:val="uk-UA" w:eastAsia="de-DE"/>
        </w:rPr>
      </w:pPr>
      <w:r w:rsidRPr="007E5633">
        <w:rPr>
          <w:rFonts w:ascii="Arial" w:eastAsiaTheme="minorHAnsi" w:hAnsi="Arial" w:cs="Arial"/>
          <w:color w:val="002060"/>
          <w:sz w:val="28"/>
          <w:szCs w:val="28"/>
          <w:highlight w:val="yellow"/>
          <w:lang w:val="uk-UA" w:eastAsia="de-DE"/>
        </w:rPr>
        <w:fldChar w:fldCharType="end"/>
      </w:r>
    </w:p>
    <w:p w14:paraId="6D507EF6" w14:textId="77777777" w:rsidR="00B0072F" w:rsidRPr="007E5633" w:rsidRDefault="00B0072F">
      <w:pPr>
        <w:suppressAutoHyphens w:val="0"/>
        <w:rPr>
          <w:rFonts w:ascii="Arial" w:eastAsiaTheme="minorHAnsi" w:hAnsi="Arial" w:cs="Arial"/>
          <w:b/>
          <w:color w:val="002060"/>
          <w:sz w:val="28"/>
          <w:szCs w:val="28"/>
          <w:highlight w:val="yellow"/>
          <w:lang w:val="uk-UA" w:eastAsia="de-DE"/>
        </w:rPr>
      </w:pPr>
      <w:r w:rsidRPr="007E5633">
        <w:rPr>
          <w:rFonts w:ascii="Arial" w:hAnsi="Arial" w:cs="Arial"/>
          <w:color w:val="002060"/>
          <w:sz w:val="28"/>
          <w:szCs w:val="28"/>
          <w:highlight w:val="yellow"/>
          <w:lang w:val="uk-UA"/>
        </w:rPr>
        <w:br w:type="page"/>
      </w:r>
    </w:p>
    <w:p w14:paraId="44239BED" w14:textId="77777777" w:rsidR="006B552C" w:rsidRPr="007E5633" w:rsidRDefault="0064705F" w:rsidP="0064705F">
      <w:pPr>
        <w:pStyle w:val="Subheader1"/>
        <w:rPr>
          <w:rFonts w:ascii="Arial" w:hAnsi="Arial" w:cs="Arial"/>
          <w:color w:val="002060"/>
          <w:sz w:val="28"/>
          <w:szCs w:val="28"/>
          <w:lang w:val="uk-UA"/>
        </w:rPr>
      </w:pPr>
      <w:r w:rsidRPr="007E5633">
        <w:rPr>
          <w:rFonts w:ascii="Arial" w:hAnsi="Arial" w:cs="Arial"/>
          <w:color w:val="002060"/>
          <w:sz w:val="28"/>
          <w:szCs w:val="28"/>
          <w:lang w:val="uk-UA"/>
        </w:rPr>
        <w:lastRenderedPageBreak/>
        <w:t>Скороченн</w:t>
      </w:r>
      <w:r w:rsidR="003D1452" w:rsidRPr="007E5633">
        <w:rPr>
          <w:rFonts w:ascii="Arial" w:hAnsi="Arial" w:cs="Arial"/>
          <w:color w:val="002060"/>
          <w:sz w:val="28"/>
          <w:szCs w:val="28"/>
          <w:lang w:val="uk-UA"/>
        </w:rPr>
        <w:t>я (абревіатури)</w:t>
      </w:r>
    </w:p>
    <w:tbl>
      <w:tblPr>
        <w:tblW w:w="9436" w:type="dxa"/>
        <w:tblInd w:w="93" w:type="dxa"/>
        <w:tblLook w:val="04A0" w:firstRow="1" w:lastRow="0" w:firstColumn="1" w:lastColumn="0" w:noHBand="0" w:noVBand="1"/>
      </w:tblPr>
      <w:tblGrid>
        <w:gridCol w:w="1145"/>
        <w:gridCol w:w="8653"/>
      </w:tblGrid>
      <w:tr w:rsidR="0064705F" w:rsidRPr="007E5633" w14:paraId="49DDF2A9" w14:textId="77777777" w:rsidTr="0064705F">
        <w:trPr>
          <w:trHeight w:val="300"/>
        </w:trPr>
        <w:tc>
          <w:tcPr>
            <w:tcW w:w="783" w:type="dxa"/>
            <w:tcBorders>
              <w:top w:val="nil"/>
              <w:left w:val="nil"/>
              <w:bottom w:val="nil"/>
              <w:right w:val="nil"/>
            </w:tcBorders>
            <w:shd w:val="clear" w:color="auto" w:fill="auto"/>
            <w:noWrap/>
            <w:vAlign w:val="bottom"/>
            <w:hideMark/>
          </w:tcPr>
          <w:p w14:paraId="2521B6F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ACER </w:t>
            </w:r>
          </w:p>
        </w:tc>
        <w:tc>
          <w:tcPr>
            <w:tcW w:w="8653" w:type="dxa"/>
            <w:tcBorders>
              <w:top w:val="nil"/>
              <w:left w:val="nil"/>
              <w:bottom w:val="nil"/>
              <w:right w:val="nil"/>
            </w:tcBorders>
            <w:shd w:val="clear" w:color="auto" w:fill="auto"/>
            <w:noWrap/>
            <w:vAlign w:val="bottom"/>
            <w:hideMark/>
          </w:tcPr>
          <w:p w14:paraId="1975738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Агентство співпраці регуляторів енергетики</w:t>
            </w:r>
          </w:p>
        </w:tc>
      </w:tr>
      <w:tr w:rsidR="0064705F" w:rsidRPr="007E5633" w14:paraId="593054A7" w14:textId="77777777" w:rsidTr="0064705F">
        <w:trPr>
          <w:trHeight w:val="315"/>
        </w:trPr>
        <w:tc>
          <w:tcPr>
            <w:tcW w:w="783" w:type="dxa"/>
            <w:tcBorders>
              <w:top w:val="nil"/>
              <w:left w:val="nil"/>
              <w:bottom w:val="nil"/>
              <w:right w:val="nil"/>
            </w:tcBorders>
            <w:shd w:val="clear" w:color="auto" w:fill="auto"/>
            <w:noWrap/>
            <w:vAlign w:val="bottom"/>
            <w:hideMark/>
          </w:tcPr>
          <w:p w14:paraId="62B3177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ADNT</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0B97CA1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Середня щоденна кількість операцій</w:t>
            </w:r>
          </w:p>
        </w:tc>
      </w:tr>
      <w:tr w:rsidR="0064705F" w:rsidRPr="007E5633" w14:paraId="22335046" w14:textId="77777777" w:rsidTr="0064705F">
        <w:trPr>
          <w:trHeight w:val="300"/>
        </w:trPr>
        <w:tc>
          <w:tcPr>
            <w:tcW w:w="783" w:type="dxa"/>
            <w:tcBorders>
              <w:top w:val="nil"/>
              <w:left w:val="nil"/>
              <w:bottom w:val="nil"/>
              <w:right w:val="nil"/>
            </w:tcBorders>
            <w:shd w:val="clear" w:color="auto" w:fill="auto"/>
            <w:noWrap/>
            <w:vAlign w:val="bottom"/>
            <w:hideMark/>
          </w:tcPr>
          <w:p w14:paraId="2E2C806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AOR </w:t>
            </w:r>
          </w:p>
        </w:tc>
        <w:tc>
          <w:tcPr>
            <w:tcW w:w="8653" w:type="dxa"/>
            <w:tcBorders>
              <w:top w:val="nil"/>
              <w:left w:val="nil"/>
              <w:bottom w:val="nil"/>
              <w:right w:val="nil"/>
            </w:tcBorders>
            <w:shd w:val="clear" w:color="auto" w:fill="auto"/>
            <w:noWrap/>
            <w:vAlign w:val="bottom"/>
            <w:hideMark/>
          </w:tcPr>
          <w:p w14:paraId="7C45F0C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Автоматизована маршрутизація замовлень</w:t>
            </w:r>
          </w:p>
        </w:tc>
      </w:tr>
      <w:tr w:rsidR="0064705F" w:rsidRPr="007E5633" w14:paraId="2B801C72" w14:textId="77777777" w:rsidTr="0064705F">
        <w:trPr>
          <w:trHeight w:val="300"/>
        </w:trPr>
        <w:tc>
          <w:tcPr>
            <w:tcW w:w="783" w:type="dxa"/>
            <w:tcBorders>
              <w:top w:val="nil"/>
              <w:left w:val="nil"/>
              <w:bottom w:val="nil"/>
              <w:right w:val="nil"/>
            </w:tcBorders>
            <w:shd w:val="clear" w:color="auto" w:fill="auto"/>
            <w:noWrap/>
            <w:vAlign w:val="bottom"/>
            <w:hideMark/>
          </w:tcPr>
          <w:p w14:paraId="259B4DA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APAs </w:t>
            </w:r>
          </w:p>
        </w:tc>
        <w:tc>
          <w:tcPr>
            <w:tcW w:w="8653" w:type="dxa"/>
            <w:tcBorders>
              <w:top w:val="nil"/>
              <w:left w:val="nil"/>
              <w:bottom w:val="nil"/>
              <w:right w:val="nil"/>
            </w:tcBorders>
            <w:shd w:val="clear" w:color="auto" w:fill="auto"/>
            <w:noWrap/>
            <w:vAlign w:val="bottom"/>
            <w:hideMark/>
          </w:tcPr>
          <w:p w14:paraId="51FE7FF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Затверджені домовленості (заходи) щодо публікації</w:t>
            </w:r>
          </w:p>
        </w:tc>
      </w:tr>
      <w:tr w:rsidR="0064705F" w:rsidRPr="007E5633" w14:paraId="4B59D9F5" w14:textId="77777777" w:rsidTr="0064705F">
        <w:trPr>
          <w:trHeight w:val="315"/>
        </w:trPr>
        <w:tc>
          <w:tcPr>
            <w:tcW w:w="783" w:type="dxa"/>
            <w:tcBorders>
              <w:top w:val="nil"/>
              <w:left w:val="nil"/>
              <w:bottom w:val="nil"/>
              <w:right w:val="nil"/>
            </w:tcBorders>
            <w:shd w:val="clear" w:color="auto" w:fill="auto"/>
            <w:noWrap/>
            <w:vAlign w:val="bottom"/>
            <w:hideMark/>
          </w:tcPr>
          <w:p w14:paraId="6CD0029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API</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0300A8D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Програмний інтерфейс прикладного ПЗ</w:t>
            </w:r>
          </w:p>
        </w:tc>
      </w:tr>
      <w:tr w:rsidR="0064705F" w:rsidRPr="007E5633" w14:paraId="7089B875" w14:textId="77777777" w:rsidTr="0064705F">
        <w:trPr>
          <w:trHeight w:val="300"/>
        </w:trPr>
        <w:tc>
          <w:tcPr>
            <w:tcW w:w="783" w:type="dxa"/>
            <w:tcBorders>
              <w:top w:val="nil"/>
              <w:left w:val="nil"/>
              <w:bottom w:val="nil"/>
              <w:right w:val="nil"/>
            </w:tcBorders>
            <w:shd w:val="clear" w:color="auto" w:fill="auto"/>
            <w:noWrap/>
            <w:vAlign w:val="bottom"/>
            <w:hideMark/>
          </w:tcPr>
          <w:p w14:paraId="510B590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ARM </w:t>
            </w:r>
          </w:p>
        </w:tc>
        <w:tc>
          <w:tcPr>
            <w:tcW w:w="8653" w:type="dxa"/>
            <w:tcBorders>
              <w:top w:val="nil"/>
              <w:left w:val="nil"/>
              <w:bottom w:val="nil"/>
              <w:right w:val="nil"/>
            </w:tcBorders>
            <w:shd w:val="clear" w:color="auto" w:fill="auto"/>
            <w:noWrap/>
            <w:vAlign w:val="bottom"/>
            <w:hideMark/>
          </w:tcPr>
          <w:p w14:paraId="3B636E4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Схвалений механізм звітування</w:t>
            </w:r>
          </w:p>
        </w:tc>
      </w:tr>
      <w:tr w:rsidR="0064705F" w:rsidRPr="007E5633" w14:paraId="6B177354" w14:textId="77777777" w:rsidTr="0064705F">
        <w:trPr>
          <w:trHeight w:val="315"/>
        </w:trPr>
        <w:tc>
          <w:tcPr>
            <w:tcW w:w="783" w:type="dxa"/>
            <w:tcBorders>
              <w:top w:val="nil"/>
              <w:left w:val="nil"/>
              <w:bottom w:val="nil"/>
              <w:right w:val="nil"/>
            </w:tcBorders>
            <w:shd w:val="clear" w:color="auto" w:fill="auto"/>
            <w:noWrap/>
            <w:vAlign w:val="bottom"/>
            <w:hideMark/>
          </w:tcPr>
          <w:p w14:paraId="6E76629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BTS</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4EB0AE3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Торгівельна система для брокерів</w:t>
            </w:r>
          </w:p>
        </w:tc>
      </w:tr>
      <w:tr w:rsidR="0064705F" w:rsidRPr="007E5633" w14:paraId="554D0140" w14:textId="77777777" w:rsidTr="0064705F">
        <w:trPr>
          <w:trHeight w:val="300"/>
        </w:trPr>
        <w:tc>
          <w:tcPr>
            <w:tcW w:w="783" w:type="dxa"/>
            <w:tcBorders>
              <w:top w:val="nil"/>
              <w:left w:val="nil"/>
              <w:bottom w:val="nil"/>
              <w:right w:val="nil"/>
            </w:tcBorders>
            <w:shd w:val="clear" w:color="auto" w:fill="auto"/>
            <w:noWrap/>
            <w:vAlign w:val="bottom"/>
            <w:hideMark/>
          </w:tcPr>
          <w:p w14:paraId="7DB03C1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CACM </w:t>
            </w:r>
          </w:p>
        </w:tc>
        <w:tc>
          <w:tcPr>
            <w:tcW w:w="8653" w:type="dxa"/>
            <w:tcBorders>
              <w:top w:val="nil"/>
              <w:left w:val="nil"/>
              <w:bottom w:val="nil"/>
              <w:right w:val="nil"/>
            </w:tcBorders>
            <w:shd w:val="clear" w:color="auto" w:fill="auto"/>
            <w:noWrap/>
            <w:vAlign w:val="bottom"/>
            <w:hideMark/>
          </w:tcPr>
          <w:p w14:paraId="6CFD87BB"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Розподіл потужності та управління скупченнями</w:t>
            </w:r>
          </w:p>
        </w:tc>
      </w:tr>
      <w:tr w:rsidR="0064705F" w:rsidRPr="007E5633" w14:paraId="2CFEE830" w14:textId="77777777" w:rsidTr="0064705F">
        <w:trPr>
          <w:trHeight w:val="315"/>
        </w:trPr>
        <w:tc>
          <w:tcPr>
            <w:tcW w:w="783" w:type="dxa"/>
            <w:tcBorders>
              <w:top w:val="nil"/>
              <w:left w:val="nil"/>
              <w:bottom w:val="nil"/>
              <w:right w:val="nil"/>
            </w:tcBorders>
            <w:shd w:val="clear" w:color="auto" w:fill="auto"/>
            <w:noWrap/>
            <w:vAlign w:val="bottom"/>
            <w:hideMark/>
          </w:tcPr>
          <w:p w14:paraId="0635D8E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CCP</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5ACE076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Центральний контрагент</w:t>
            </w:r>
          </w:p>
        </w:tc>
      </w:tr>
      <w:tr w:rsidR="0064705F" w:rsidRPr="007E5633" w14:paraId="44AC46D3" w14:textId="77777777" w:rsidTr="0064705F">
        <w:trPr>
          <w:trHeight w:val="315"/>
        </w:trPr>
        <w:tc>
          <w:tcPr>
            <w:tcW w:w="783" w:type="dxa"/>
            <w:tcBorders>
              <w:top w:val="nil"/>
              <w:left w:val="nil"/>
              <w:bottom w:val="nil"/>
              <w:right w:val="nil"/>
            </w:tcBorders>
            <w:shd w:val="clear" w:color="auto" w:fill="auto"/>
            <w:noWrap/>
            <w:vAlign w:val="bottom"/>
            <w:hideMark/>
          </w:tcPr>
          <w:p w14:paraId="4A1E573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CEE</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0905F59D"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Центральна та Східна Європа</w:t>
            </w:r>
          </w:p>
        </w:tc>
      </w:tr>
      <w:tr w:rsidR="0064705F" w:rsidRPr="007E5633" w14:paraId="5F050BC6" w14:textId="77777777" w:rsidTr="0064705F">
        <w:trPr>
          <w:trHeight w:val="315"/>
        </w:trPr>
        <w:tc>
          <w:tcPr>
            <w:tcW w:w="783" w:type="dxa"/>
            <w:tcBorders>
              <w:top w:val="nil"/>
              <w:left w:val="nil"/>
              <w:bottom w:val="nil"/>
              <w:right w:val="nil"/>
            </w:tcBorders>
            <w:shd w:val="clear" w:color="auto" w:fill="auto"/>
            <w:noWrap/>
            <w:vAlign w:val="bottom"/>
            <w:hideMark/>
          </w:tcPr>
          <w:p w14:paraId="2025EEB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CEER</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6A44733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Рада європейських регуляторів енергетики</w:t>
            </w:r>
          </w:p>
        </w:tc>
      </w:tr>
      <w:tr w:rsidR="0064705F" w:rsidRPr="007E5633" w14:paraId="394B9F5D" w14:textId="77777777" w:rsidTr="0064705F">
        <w:trPr>
          <w:trHeight w:val="300"/>
        </w:trPr>
        <w:tc>
          <w:tcPr>
            <w:tcW w:w="783" w:type="dxa"/>
            <w:tcBorders>
              <w:top w:val="nil"/>
              <w:left w:val="nil"/>
              <w:bottom w:val="nil"/>
              <w:right w:val="nil"/>
            </w:tcBorders>
            <w:shd w:val="clear" w:color="auto" w:fill="auto"/>
            <w:noWrap/>
            <w:vAlign w:val="bottom"/>
            <w:hideMark/>
          </w:tcPr>
          <w:p w14:paraId="5FA1A25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CERs </w:t>
            </w:r>
          </w:p>
        </w:tc>
        <w:tc>
          <w:tcPr>
            <w:tcW w:w="8653" w:type="dxa"/>
            <w:tcBorders>
              <w:top w:val="nil"/>
              <w:left w:val="nil"/>
              <w:bottom w:val="nil"/>
              <w:right w:val="nil"/>
            </w:tcBorders>
            <w:shd w:val="clear" w:color="auto" w:fill="auto"/>
            <w:noWrap/>
            <w:vAlign w:val="bottom"/>
            <w:hideMark/>
          </w:tcPr>
          <w:p w14:paraId="56DEB82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Сертифіковані скорочення викидів</w:t>
            </w:r>
          </w:p>
        </w:tc>
      </w:tr>
      <w:tr w:rsidR="0064705F" w:rsidRPr="007E5633" w14:paraId="7C13C76D" w14:textId="77777777" w:rsidTr="0064705F">
        <w:trPr>
          <w:trHeight w:val="300"/>
        </w:trPr>
        <w:tc>
          <w:tcPr>
            <w:tcW w:w="783" w:type="dxa"/>
            <w:tcBorders>
              <w:top w:val="nil"/>
              <w:left w:val="nil"/>
              <w:bottom w:val="nil"/>
              <w:right w:val="nil"/>
            </w:tcBorders>
            <w:shd w:val="clear" w:color="auto" w:fill="auto"/>
            <w:noWrap/>
            <w:vAlign w:val="bottom"/>
            <w:hideMark/>
          </w:tcPr>
          <w:p w14:paraId="252D7B8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CET </w:t>
            </w:r>
          </w:p>
        </w:tc>
        <w:tc>
          <w:tcPr>
            <w:tcW w:w="8653" w:type="dxa"/>
            <w:tcBorders>
              <w:top w:val="nil"/>
              <w:left w:val="nil"/>
              <w:bottom w:val="nil"/>
              <w:right w:val="nil"/>
            </w:tcBorders>
            <w:shd w:val="clear" w:color="auto" w:fill="auto"/>
            <w:noWrap/>
            <w:vAlign w:val="bottom"/>
            <w:hideMark/>
          </w:tcPr>
          <w:p w14:paraId="5CE9454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Центральноєвропейський час</w:t>
            </w:r>
          </w:p>
        </w:tc>
      </w:tr>
      <w:tr w:rsidR="0064705F" w:rsidRPr="007E5633" w14:paraId="75790E75" w14:textId="77777777" w:rsidTr="0064705F">
        <w:trPr>
          <w:trHeight w:val="300"/>
        </w:trPr>
        <w:tc>
          <w:tcPr>
            <w:tcW w:w="783" w:type="dxa"/>
            <w:tcBorders>
              <w:top w:val="nil"/>
              <w:left w:val="nil"/>
              <w:bottom w:val="nil"/>
              <w:right w:val="nil"/>
            </w:tcBorders>
            <w:shd w:val="clear" w:color="auto" w:fill="auto"/>
            <w:noWrap/>
            <w:vAlign w:val="bottom"/>
            <w:hideMark/>
          </w:tcPr>
          <w:p w14:paraId="1DD68C7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CHP</w:t>
            </w:r>
          </w:p>
        </w:tc>
        <w:tc>
          <w:tcPr>
            <w:tcW w:w="8653" w:type="dxa"/>
            <w:tcBorders>
              <w:top w:val="nil"/>
              <w:left w:val="nil"/>
              <w:bottom w:val="nil"/>
              <w:right w:val="nil"/>
            </w:tcBorders>
            <w:shd w:val="clear" w:color="auto" w:fill="auto"/>
            <w:noWrap/>
            <w:vAlign w:val="bottom"/>
            <w:hideMark/>
          </w:tcPr>
          <w:p w14:paraId="4AD8AD3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Комбіноване тепло та електроенергія</w:t>
            </w:r>
          </w:p>
        </w:tc>
      </w:tr>
      <w:tr w:rsidR="0064705F" w:rsidRPr="007E5633" w14:paraId="4F3D6B04" w14:textId="77777777" w:rsidTr="0064705F">
        <w:trPr>
          <w:trHeight w:val="300"/>
        </w:trPr>
        <w:tc>
          <w:tcPr>
            <w:tcW w:w="783" w:type="dxa"/>
            <w:tcBorders>
              <w:top w:val="nil"/>
              <w:left w:val="nil"/>
              <w:bottom w:val="nil"/>
              <w:right w:val="nil"/>
            </w:tcBorders>
            <w:shd w:val="clear" w:color="auto" w:fill="auto"/>
            <w:noWrap/>
            <w:vAlign w:val="bottom"/>
            <w:hideMark/>
          </w:tcPr>
          <w:p w14:paraId="402CA0A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CM </w:t>
            </w:r>
          </w:p>
        </w:tc>
        <w:tc>
          <w:tcPr>
            <w:tcW w:w="8653" w:type="dxa"/>
            <w:tcBorders>
              <w:top w:val="nil"/>
              <w:left w:val="nil"/>
              <w:bottom w:val="nil"/>
              <w:right w:val="nil"/>
            </w:tcBorders>
            <w:shd w:val="clear" w:color="auto" w:fill="auto"/>
            <w:noWrap/>
            <w:vAlign w:val="bottom"/>
            <w:hideMark/>
          </w:tcPr>
          <w:p w14:paraId="0B1C142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Кліринговий член</w:t>
            </w:r>
          </w:p>
        </w:tc>
      </w:tr>
      <w:tr w:rsidR="0064705F" w:rsidRPr="007E5633" w14:paraId="40417183" w14:textId="77777777" w:rsidTr="0064705F">
        <w:trPr>
          <w:trHeight w:val="300"/>
        </w:trPr>
        <w:tc>
          <w:tcPr>
            <w:tcW w:w="783" w:type="dxa"/>
            <w:tcBorders>
              <w:top w:val="nil"/>
              <w:left w:val="nil"/>
              <w:bottom w:val="nil"/>
              <w:right w:val="nil"/>
            </w:tcBorders>
            <w:shd w:val="clear" w:color="auto" w:fill="auto"/>
            <w:noWrap/>
            <w:vAlign w:val="bottom"/>
            <w:hideMark/>
          </w:tcPr>
          <w:p w14:paraId="023F4C4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CMS </w:t>
            </w:r>
          </w:p>
        </w:tc>
        <w:tc>
          <w:tcPr>
            <w:tcW w:w="8653" w:type="dxa"/>
            <w:tcBorders>
              <w:top w:val="nil"/>
              <w:left w:val="nil"/>
              <w:bottom w:val="nil"/>
              <w:right w:val="nil"/>
            </w:tcBorders>
            <w:shd w:val="clear" w:color="auto" w:fill="auto"/>
            <w:noWrap/>
            <w:vAlign w:val="bottom"/>
            <w:hideMark/>
          </w:tcPr>
          <w:p w14:paraId="515EE34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Центральна система визначення відповідності</w:t>
            </w:r>
          </w:p>
        </w:tc>
      </w:tr>
      <w:tr w:rsidR="0064705F" w:rsidRPr="007E5633" w14:paraId="0AE04C5C" w14:textId="77777777" w:rsidTr="0064705F">
        <w:trPr>
          <w:trHeight w:val="300"/>
        </w:trPr>
        <w:tc>
          <w:tcPr>
            <w:tcW w:w="783" w:type="dxa"/>
            <w:tcBorders>
              <w:top w:val="nil"/>
              <w:left w:val="nil"/>
              <w:bottom w:val="nil"/>
              <w:right w:val="nil"/>
            </w:tcBorders>
            <w:shd w:val="clear" w:color="auto" w:fill="auto"/>
            <w:noWrap/>
            <w:vAlign w:val="bottom"/>
            <w:hideMark/>
          </w:tcPr>
          <w:p w14:paraId="29AC75D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CO2 </w:t>
            </w:r>
          </w:p>
        </w:tc>
        <w:tc>
          <w:tcPr>
            <w:tcW w:w="8653" w:type="dxa"/>
            <w:tcBorders>
              <w:top w:val="nil"/>
              <w:left w:val="nil"/>
              <w:bottom w:val="nil"/>
              <w:right w:val="nil"/>
            </w:tcBorders>
            <w:shd w:val="clear" w:color="auto" w:fill="auto"/>
            <w:noWrap/>
            <w:vAlign w:val="bottom"/>
            <w:hideMark/>
          </w:tcPr>
          <w:p w14:paraId="5831D5B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Вуглекислий газ</w:t>
            </w:r>
          </w:p>
        </w:tc>
      </w:tr>
      <w:tr w:rsidR="0064705F" w:rsidRPr="007E5633" w14:paraId="2BFA3A0B" w14:textId="77777777" w:rsidTr="0064705F">
        <w:trPr>
          <w:trHeight w:val="300"/>
        </w:trPr>
        <w:tc>
          <w:tcPr>
            <w:tcW w:w="783" w:type="dxa"/>
            <w:tcBorders>
              <w:top w:val="nil"/>
              <w:left w:val="nil"/>
              <w:bottom w:val="nil"/>
              <w:right w:val="nil"/>
            </w:tcBorders>
            <w:shd w:val="clear" w:color="auto" w:fill="auto"/>
            <w:noWrap/>
            <w:vAlign w:val="bottom"/>
            <w:hideMark/>
          </w:tcPr>
          <w:p w14:paraId="59DE237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CRD </w:t>
            </w:r>
          </w:p>
        </w:tc>
        <w:tc>
          <w:tcPr>
            <w:tcW w:w="8653" w:type="dxa"/>
            <w:tcBorders>
              <w:top w:val="nil"/>
              <w:left w:val="nil"/>
              <w:bottom w:val="nil"/>
              <w:right w:val="nil"/>
            </w:tcBorders>
            <w:shd w:val="clear" w:color="auto" w:fill="auto"/>
            <w:noWrap/>
            <w:vAlign w:val="bottom"/>
            <w:hideMark/>
          </w:tcPr>
          <w:p w14:paraId="3A034EF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Директиви щодо вимог стосовно капіталу</w:t>
            </w:r>
          </w:p>
        </w:tc>
      </w:tr>
      <w:tr w:rsidR="0064705F" w:rsidRPr="007E5633" w14:paraId="5CE8C3BE" w14:textId="77777777" w:rsidTr="0064705F">
        <w:trPr>
          <w:trHeight w:val="300"/>
        </w:trPr>
        <w:tc>
          <w:tcPr>
            <w:tcW w:w="783" w:type="dxa"/>
            <w:tcBorders>
              <w:top w:val="nil"/>
              <w:left w:val="nil"/>
              <w:bottom w:val="nil"/>
              <w:right w:val="nil"/>
            </w:tcBorders>
            <w:shd w:val="clear" w:color="auto" w:fill="auto"/>
            <w:noWrap/>
            <w:vAlign w:val="bottom"/>
            <w:hideMark/>
          </w:tcPr>
          <w:p w14:paraId="399194A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CRR </w:t>
            </w:r>
          </w:p>
        </w:tc>
        <w:tc>
          <w:tcPr>
            <w:tcW w:w="8653" w:type="dxa"/>
            <w:tcBorders>
              <w:top w:val="nil"/>
              <w:left w:val="nil"/>
              <w:bottom w:val="nil"/>
              <w:right w:val="nil"/>
            </w:tcBorders>
            <w:shd w:val="clear" w:color="auto" w:fill="auto"/>
            <w:noWrap/>
            <w:vAlign w:val="bottom"/>
            <w:hideMark/>
          </w:tcPr>
          <w:p w14:paraId="2101CB80"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Положення щодо вимог стосовно капіталу</w:t>
            </w:r>
          </w:p>
        </w:tc>
      </w:tr>
      <w:tr w:rsidR="0064705F" w:rsidRPr="007E5633" w14:paraId="44DB0E91" w14:textId="77777777" w:rsidTr="0064705F">
        <w:trPr>
          <w:trHeight w:val="300"/>
        </w:trPr>
        <w:tc>
          <w:tcPr>
            <w:tcW w:w="783" w:type="dxa"/>
            <w:tcBorders>
              <w:top w:val="nil"/>
              <w:left w:val="nil"/>
              <w:bottom w:val="nil"/>
              <w:right w:val="nil"/>
            </w:tcBorders>
            <w:shd w:val="clear" w:color="auto" w:fill="auto"/>
            <w:noWrap/>
            <w:vAlign w:val="bottom"/>
            <w:hideMark/>
          </w:tcPr>
          <w:p w14:paraId="68AA2C7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CTPs </w:t>
            </w:r>
          </w:p>
        </w:tc>
        <w:tc>
          <w:tcPr>
            <w:tcW w:w="8653" w:type="dxa"/>
            <w:tcBorders>
              <w:top w:val="nil"/>
              <w:left w:val="nil"/>
              <w:bottom w:val="nil"/>
              <w:right w:val="nil"/>
            </w:tcBorders>
            <w:shd w:val="clear" w:color="auto" w:fill="auto"/>
            <w:noWrap/>
            <w:vAlign w:val="bottom"/>
            <w:hideMark/>
          </w:tcPr>
          <w:p w14:paraId="6379706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Постачальники торгівельних даних</w:t>
            </w:r>
          </w:p>
        </w:tc>
      </w:tr>
      <w:tr w:rsidR="0064705F" w:rsidRPr="007E5633" w14:paraId="30D42854" w14:textId="77777777" w:rsidTr="0064705F">
        <w:trPr>
          <w:trHeight w:val="300"/>
        </w:trPr>
        <w:tc>
          <w:tcPr>
            <w:tcW w:w="783" w:type="dxa"/>
            <w:tcBorders>
              <w:top w:val="nil"/>
              <w:left w:val="nil"/>
              <w:bottom w:val="nil"/>
              <w:right w:val="nil"/>
            </w:tcBorders>
            <w:shd w:val="clear" w:color="auto" w:fill="auto"/>
            <w:noWrap/>
            <w:vAlign w:val="bottom"/>
            <w:hideMark/>
          </w:tcPr>
          <w:p w14:paraId="22CAAC0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DEA </w:t>
            </w:r>
          </w:p>
        </w:tc>
        <w:tc>
          <w:tcPr>
            <w:tcW w:w="8653" w:type="dxa"/>
            <w:tcBorders>
              <w:top w:val="nil"/>
              <w:left w:val="nil"/>
              <w:bottom w:val="nil"/>
              <w:right w:val="nil"/>
            </w:tcBorders>
            <w:shd w:val="clear" w:color="auto" w:fill="auto"/>
            <w:noWrap/>
            <w:vAlign w:val="bottom"/>
            <w:hideMark/>
          </w:tcPr>
          <w:p w14:paraId="5435D90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Прямий електронний доступ</w:t>
            </w:r>
          </w:p>
        </w:tc>
      </w:tr>
      <w:tr w:rsidR="0064705F" w:rsidRPr="007E5633" w14:paraId="79E9FB55" w14:textId="77777777" w:rsidTr="0064705F">
        <w:trPr>
          <w:trHeight w:val="300"/>
        </w:trPr>
        <w:tc>
          <w:tcPr>
            <w:tcW w:w="783" w:type="dxa"/>
            <w:tcBorders>
              <w:top w:val="nil"/>
              <w:left w:val="nil"/>
              <w:bottom w:val="nil"/>
              <w:right w:val="nil"/>
            </w:tcBorders>
            <w:shd w:val="clear" w:color="auto" w:fill="auto"/>
            <w:noWrap/>
            <w:vAlign w:val="bottom"/>
            <w:hideMark/>
          </w:tcPr>
          <w:p w14:paraId="561BF43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DRSP </w:t>
            </w:r>
          </w:p>
        </w:tc>
        <w:tc>
          <w:tcPr>
            <w:tcW w:w="8653" w:type="dxa"/>
            <w:tcBorders>
              <w:top w:val="nil"/>
              <w:left w:val="nil"/>
              <w:bottom w:val="nil"/>
              <w:right w:val="nil"/>
            </w:tcBorders>
            <w:shd w:val="clear" w:color="auto" w:fill="auto"/>
            <w:noWrap/>
            <w:vAlign w:val="bottom"/>
            <w:hideMark/>
          </w:tcPr>
          <w:p w14:paraId="097573D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Постачальники послуг із надання звітних даних</w:t>
            </w:r>
          </w:p>
        </w:tc>
      </w:tr>
      <w:tr w:rsidR="0064705F" w:rsidRPr="007E5633" w14:paraId="7A883544" w14:textId="77777777" w:rsidTr="0064705F">
        <w:trPr>
          <w:trHeight w:val="300"/>
        </w:trPr>
        <w:tc>
          <w:tcPr>
            <w:tcW w:w="783" w:type="dxa"/>
            <w:tcBorders>
              <w:top w:val="nil"/>
              <w:left w:val="nil"/>
              <w:bottom w:val="nil"/>
              <w:right w:val="nil"/>
            </w:tcBorders>
            <w:shd w:val="clear" w:color="auto" w:fill="auto"/>
            <w:noWrap/>
            <w:vAlign w:val="bottom"/>
            <w:hideMark/>
          </w:tcPr>
          <w:p w14:paraId="205BF23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DSO </w:t>
            </w:r>
          </w:p>
        </w:tc>
        <w:tc>
          <w:tcPr>
            <w:tcW w:w="8653" w:type="dxa"/>
            <w:tcBorders>
              <w:top w:val="nil"/>
              <w:left w:val="nil"/>
              <w:bottom w:val="nil"/>
              <w:right w:val="nil"/>
            </w:tcBorders>
            <w:shd w:val="clear" w:color="auto" w:fill="auto"/>
            <w:noWrap/>
            <w:vAlign w:val="bottom"/>
            <w:hideMark/>
          </w:tcPr>
          <w:p w14:paraId="026868C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Оператор системи розподілу (дистрибуції)</w:t>
            </w:r>
          </w:p>
        </w:tc>
      </w:tr>
      <w:tr w:rsidR="0064705F" w:rsidRPr="007E5633" w14:paraId="59EFAE70" w14:textId="77777777" w:rsidTr="0064705F">
        <w:trPr>
          <w:trHeight w:val="315"/>
        </w:trPr>
        <w:tc>
          <w:tcPr>
            <w:tcW w:w="783" w:type="dxa"/>
            <w:tcBorders>
              <w:top w:val="nil"/>
              <w:left w:val="nil"/>
              <w:bottom w:val="nil"/>
              <w:right w:val="nil"/>
            </w:tcBorders>
            <w:shd w:val="clear" w:color="auto" w:fill="auto"/>
            <w:noWrap/>
            <w:vAlign w:val="bottom"/>
            <w:hideMark/>
          </w:tcPr>
          <w:p w14:paraId="56705A87"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EC </w:t>
            </w:r>
          </w:p>
        </w:tc>
        <w:tc>
          <w:tcPr>
            <w:tcW w:w="8653" w:type="dxa"/>
            <w:tcBorders>
              <w:top w:val="nil"/>
              <w:left w:val="nil"/>
              <w:bottom w:val="nil"/>
              <w:right w:val="nil"/>
            </w:tcBorders>
            <w:shd w:val="clear" w:color="auto" w:fill="auto"/>
            <w:noWrap/>
            <w:vAlign w:val="bottom"/>
            <w:hideMark/>
          </w:tcPr>
          <w:p w14:paraId="2F4DE24F"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комісія</w:t>
            </w:r>
          </w:p>
        </w:tc>
      </w:tr>
      <w:tr w:rsidR="0064705F" w:rsidRPr="007E5633" w14:paraId="010C8443" w14:textId="77777777" w:rsidTr="0064705F">
        <w:trPr>
          <w:trHeight w:val="315"/>
        </w:trPr>
        <w:tc>
          <w:tcPr>
            <w:tcW w:w="783" w:type="dxa"/>
            <w:tcBorders>
              <w:top w:val="nil"/>
              <w:left w:val="nil"/>
              <w:bottom w:val="nil"/>
              <w:right w:val="nil"/>
            </w:tcBorders>
            <w:shd w:val="clear" w:color="auto" w:fill="auto"/>
            <w:noWrap/>
            <w:vAlign w:val="bottom"/>
            <w:hideMark/>
          </w:tcPr>
          <w:p w14:paraId="5B03F24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ECC</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4173583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клірингова палата</w:t>
            </w:r>
          </w:p>
        </w:tc>
      </w:tr>
      <w:tr w:rsidR="0064705F" w:rsidRPr="007E5633" w14:paraId="2F1A8144" w14:textId="77777777" w:rsidTr="0064705F">
        <w:trPr>
          <w:trHeight w:val="300"/>
        </w:trPr>
        <w:tc>
          <w:tcPr>
            <w:tcW w:w="783" w:type="dxa"/>
            <w:tcBorders>
              <w:top w:val="nil"/>
              <w:left w:val="nil"/>
              <w:bottom w:val="nil"/>
              <w:right w:val="nil"/>
            </w:tcBorders>
            <w:shd w:val="clear" w:color="auto" w:fill="auto"/>
            <w:noWrap/>
            <w:vAlign w:val="bottom"/>
            <w:hideMark/>
          </w:tcPr>
          <w:p w14:paraId="583AB3F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ECC </w:t>
            </w:r>
          </w:p>
        </w:tc>
        <w:tc>
          <w:tcPr>
            <w:tcW w:w="8653" w:type="dxa"/>
            <w:tcBorders>
              <w:top w:val="nil"/>
              <w:left w:val="nil"/>
              <w:bottom w:val="nil"/>
              <w:right w:val="nil"/>
            </w:tcBorders>
            <w:shd w:val="clear" w:color="auto" w:fill="auto"/>
            <w:noWrap/>
            <w:vAlign w:val="bottom"/>
            <w:hideMark/>
          </w:tcPr>
          <w:p w14:paraId="5F17CCD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Європейський товарообмін (кліринг</w:t>
            </w:r>
            <w:r w:rsidR="00E45FA6">
              <w:rPr>
                <w:rFonts w:ascii="Arial" w:eastAsia="Times New Roman" w:hAnsi="Arial" w:cs="Arial"/>
                <w:color w:val="000000"/>
                <w:lang w:val="uk-UA" w:eastAsia="en-GB"/>
              </w:rPr>
              <w:t xml:space="preserve"> товарних контрактів</w:t>
            </w:r>
            <w:r w:rsidRPr="007E5633">
              <w:rPr>
                <w:rFonts w:ascii="Arial" w:eastAsia="Times New Roman" w:hAnsi="Arial" w:cs="Arial"/>
                <w:color w:val="000000"/>
                <w:lang w:val="uk-UA" w:eastAsia="en-GB"/>
              </w:rPr>
              <w:t>)</w:t>
            </w:r>
          </w:p>
        </w:tc>
      </w:tr>
      <w:tr w:rsidR="0064705F" w:rsidRPr="007E5633" w14:paraId="3F8792CE" w14:textId="77777777" w:rsidTr="0064705F">
        <w:trPr>
          <w:trHeight w:val="315"/>
        </w:trPr>
        <w:tc>
          <w:tcPr>
            <w:tcW w:w="783" w:type="dxa"/>
            <w:tcBorders>
              <w:top w:val="nil"/>
              <w:left w:val="nil"/>
              <w:bottom w:val="nil"/>
              <w:right w:val="nil"/>
            </w:tcBorders>
            <w:shd w:val="clear" w:color="auto" w:fill="auto"/>
            <w:noWrap/>
            <w:vAlign w:val="bottom"/>
            <w:hideMark/>
          </w:tcPr>
          <w:p w14:paraId="26DDDEC7"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eCM</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28B8404D"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Електронне співставлення підтверджень</w:t>
            </w:r>
          </w:p>
        </w:tc>
      </w:tr>
      <w:tr w:rsidR="0064705F" w:rsidRPr="007E5633" w14:paraId="6392D0A2" w14:textId="77777777" w:rsidTr="0064705F">
        <w:trPr>
          <w:trHeight w:val="300"/>
        </w:trPr>
        <w:tc>
          <w:tcPr>
            <w:tcW w:w="783" w:type="dxa"/>
            <w:tcBorders>
              <w:top w:val="nil"/>
              <w:left w:val="nil"/>
              <w:bottom w:val="nil"/>
              <w:right w:val="nil"/>
            </w:tcBorders>
            <w:shd w:val="clear" w:color="auto" w:fill="auto"/>
            <w:noWrap/>
            <w:vAlign w:val="bottom"/>
            <w:hideMark/>
          </w:tcPr>
          <w:p w14:paraId="4F17B197"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EDI </w:t>
            </w:r>
          </w:p>
        </w:tc>
        <w:tc>
          <w:tcPr>
            <w:tcW w:w="8653" w:type="dxa"/>
            <w:tcBorders>
              <w:top w:val="nil"/>
              <w:left w:val="nil"/>
              <w:bottom w:val="nil"/>
              <w:right w:val="nil"/>
            </w:tcBorders>
            <w:shd w:val="clear" w:color="auto" w:fill="auto"/>
            <w:noWrap/>
            <w:vAlign w:val="bottom"/>
            <w:hideMark/>
          </w:tcPr>
          <w:p w14:paraId="5B04D60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Електронний обмін даними</w:t>
            </w:r>
          </w:p>
        </w:tc>
      </w:tr>
      <w:tr w:rsidR="0064705F" w:rsidRPr="007E5633" w14:paraId="4CD4A47F" w14:textId="77777777" w:rsidTr="0064705F">
        <w:trPr>
          <w:trHeight w:val="315"/>
        </w:trPr>
        <w:tc>
          <w:tcPr>
            <w:tcW w:w="783" w:type="dxa"/>
            <w:tcBorders>
              <w:top w:val="nil"/>
              <w:left w:val="nil"/>
              <w:bottom w:val="nil"/>
              <w:right w:val="nil"/>
            </w:tcBorders>
            <w:shd w:val="clear" w:color="auto" w:fill="auto"/>
            <w:noWrap/>
            <w:vAlign w:val="bottom"/>
            <w:hideMark/>
          </w:tcPr>
          <w:p w14:paraId="125AC2C0"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EEA</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3EEE08C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Європейський економічний простір</w:t>
            </w:r>
          </w:p>
        </w:tc>
      </w:tr>
      <w:tr w:rsidR="0064705F" w:rsidRPr="007E5633" w14:paraId="26A68152" w14:textId="77777777" w:rsidTr="0064705F">
        <w:trPr>
          <w:trHeight w:val="300"/>
        </w:trPr>
        <w:tc>
          <w:tcPr>
            <w:tcW w:w="783" w:type="dxa"/>
            <w:tcBorders>
              <w:top w:val="nil"/>
              <w:left w:val="nil"/>
              <w:bottom w:val="nil"/>
              <w:right w:val="nil"/>
            </w:tcBorders>
            <w:shd w:val="clear" w:color="auto" w:fill="auto"/>
            <w:noWrap/>
            <w:vAlign w:val="bottom"/>
            <w:hideMark/>
          </w:tcPr>
          <w:p w14:paraId="14B777E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EEX </w:t>
            </w:r>
          </w:p>
        </w:tc>
        <w:tc>
          <w:tcPr>
            <w:tcW w:w="8653" w:type="dxa"/>
            <w:tcBorders>
              <w:top w:val="nil"/>
              <w:left w:val="nil"/>
              <w:bottom w:val="nil"/>
              <w:right w:val="nil"/>
            </w:tcBorders>
            <w:shd w:val="clear" w:color="auto" w:fill="auto"/>
            <w:noWrap/>
            <w:vAlign w:val="bottom"/>
            <w:hideMark/>
          </w:tcPr>
          <w:p w14:paraId="5D80862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енергетична біржа</w:t>
            </w:r>
          </w:p>
        </w:tc>
      </w:tr>
      <w:tr w:rsidR="0064705F" w:rsidRPr="007E5633" w14:paraId="4A269104" w14:textId="77777777" w:rsidTr="0064705F">
        <w:trPr>
          <w:trHeight w:val="315"/>
        </w:trPr>
        <w:tc>
          <w:tcPr>
            <w:tcW w:w="783" w:type="dxa"/>
            <w:tcBorders>
              <w:top w:val="nil"/>
              <w:left w:val="nil"/>
              <w:bottom w:val="nil"/>
              <w:right w:val="nil"/>
            </w:tcBorders>
            <w:shd w:val="clear" w:color="auto" w:fill="auto"/>
            <w:noWrap/>
            <w:vAlign w:val="bottom"/>
            <w:hideMark/>
          </w:tcPr>
          <w:p w14:paraId="5CBBFEC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EFET</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3329156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федерація енерготрейдерів</w:t>
            </w:r>
          </w:p>
        </w:tc>
      </w:tr>
      <w:tr w:rsidR="0064705F" w:rsidRPr="007E5633" w14:paraId="04503D66" w14:textId="77777777" w:rsidTr="0064705F">
        <w:trPr>
          <w:trHeight w:val="300"/>
        </w:trPr>
        <w:tc>
          <w:tcPr>
            <w:tcW w:w="783" w:type="dxa"/>
            <w:tcBorders>
              <w:top w:val="nil"/>
              <w:left w:val="nil"/>
              <w:bottom w:val="nil"/>
              <w:right w:val="nil"/>
            </w:tcBorders>
            <w:shd w:val="clear" w:color="auto" w:fill="auto"/>
            <w:noWrap/>
            <w:vAlign w:val="bottom"/>
            <w:hideMark/>
          </w:tcPr>
          <w:p w14:paraId="449631A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EIC</w:t>
            </w:r>
          </w:p>
        </w:tc>
        <w:tc>
          <w:tcPr>
            <w:tcW w:w="8653" w:type="dxa"/>
            <w:tcBorders>
              <w:top w:val="nil"/>
              <w:left w:val="nil"/>
              <w:bottom w:val="nil"/>
              <w:right w:val="nil"/>
            </w:tcBorders>
            <w:shd w:val="clear" w:color="auto" w:fill="auto"/>
            <w:noWrap/>
            <w:vAlign w:val="bottom"/>
            <w:hideMark/>
          </w:tcPr>
          <w:p w14:paraId="50FC90E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Кодування ідентифікації енергії</w:t>
            </w:r>
          </w:p>
        </w:tc>
      </w:tr>
      <w:tr w:rsidR="0064705F" w:rsidRPr="007E5633" w14:paraId="36B590BC" w14:textId="77777777" w:rsidTr="0064705F">
        <w:trPr>
          <w:trHeight w:val="300"/>
        </w:trPr>
        <w:tc>
          <w:tcPr>
            <w:tcW w:w="783" w:type="dxa"/>
            <w:tcBorders>
              <w:top w:val="nil"/>
              <w:left w:val="nil"/>
              <w:bottom w:val="nil"/>
              <w:right w:val="nil"/>
            </w:tcBorders>
            <w:shd w:val="clear" w:color="auto" w:fill="auto"/>
            <w:noWrap/>
            <w:vAlign w:val="bottom"/>
            <w:hideMark/>
          </w:tcPr>
          <w:p w14:paraId="1550241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EMIR </w:t>
            </w:r>
          </w:p>
        </w:tc>
        <w:tc>
          <w:tcPr>
            <w:tcW w:w="8653" w:type="dxa"/>
            <w:tcBorders>
              <w:top w:val="nil"/>
              <w:left w:val="nil"/>
              <w:bottom w:val="nil"/>
              <w:right w:val="nil"/>
            </w:tcBorders>
            <w:shd w:val="clear" w:color="auto" w:fill="auto"/>
            <w:noWrap/>
            <w:vAlign w:val="bottom"/>
            <w:hideMark/>
          </w:tcPr>
          <w:p w14:paraId="3E86068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Регламент Європейської ринкової інфраструктури</w:t>
            </w:r>
          </w:p>
        </w:tc>
      </w:tr>
      <w:tr w:rsidR="0064705F" w:rsidRPr="007E5633" w14:paraId="1EF79CB1" w14:textId="77777777" w:rsidTr="0064705F">
        <w:trPr>
          <w:trHeight w:val="300"/>
        </w:trPr>
        <w:tc>
          <w:tcPr>
            <w:tcW w:w="783" w:type="dxa"/>
            <w:tcBorders>
              <w:top w:val="nil"/>
              <w:left w:val="nil"/>
              <w:bottom w:val="nil"/>
              <w:right w:val="nil"/>
            </w:tcBorders>
            <w:shd w:val="clear" w:color="auto" w:fill="auto"/>
            <w:noWrap/>
            <w:vAlign w:val="bottom"/>
            <w:hideMark/>
          </w:tcPr>
          <w:p w14:paraId="6E7E4367"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ENTSO </w:t>
            </w:r>
          </w:p>
        </w:tc>
        <w:tc>
          <w:tcPr>
            <w:tcW w:w="8653" w:type="dxa"/>
            <w:tcBorders>
              <w:top w:val="nil"/>
              <w:left w:val="nil"/>
              <w:bottom w:val="nil"/>
              <w:right w:val="nil"/>
            </w:tcBorders>
            <w:shd w:val="clear" w:color="auto" w:fill="auto"/>
            <w:noWrap/>
            <w:vAlign w:val="bottom"/>
            <w:hideMark/>
          </w:tcPr>
          <w:p w14:paraId="7CECAEB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мережа операторів системи передач</w:t>
            </w:r>
          </w:p>
        </w:tc>
      </w:tr>
      <w:tr w:rsidR="0064705F" w:rsidRPr="007E5633" w14:paraId="18C67AB1" w14:textId="77777777" w:rsidTr="0064705F">
        <w:trPr>
          <w:trHeight w:val="300"/>
        </w:trPr>
        <w:tc>
          <w:tcPr>
            <w:tcW w:w="783" w:type="dxa"/>
            <w:tcBorders>
              <w:top w:val="nil"/>
              <w:left w:val="nil"/>
              <w:bottom w:val="nil"/>
              <w:right w:val="nil"/>
            </w:tcBorders>
            <w:shd w:val="clear" w:color="auto" w:fill="auto"/>
            <w:noWrap/>
            <w:vAlign w:val="bottom"/>
            <w:hideMark/>
          </w:tcPr>
          <w:p w14:paraId="1C42EFA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ENTSOG</w:t>
            </w:r>
          </w:p>
        </w:tc>
        <w:tc>
          <w:tcPr>
            <w:tcW w:w="8653" w:type="dxa"/>
            <w:tcBorders>
              <w:top w:val="nil"/>
              <w:left w:val="nil"/>
              <w:bottom w:val="nil"/>
              <w:right w:val="nil"/>
            </w:tcBorders>
            <w:shd w:val="clear" w:color="auto" w:fill="auto"/>
            <w:noWrap/>
            <w:vAlign w:val="bottom"/>
            <w:hideMark/>
          </w:tcPr>
          <w:p w14:paraId="4EF143E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мережа операторів газопостачання</w:t>
            </w:r>
          </w:p>
        </w:tc>
      </w:tr>
      <w:tr w:rsidR="0064705F" w:rsidRPr="007E5633" w14:paraId="310551E3" w14:textId="77777777" w:rsidTr="0064705F">
        <w:trPr>
          <w:trHeight w:val="315"/>
        </w:trPr>
        <w:tc>
          <w:tcPr>
            <w:tcW w:w="783" w:type="dxa"/>
            <w:tcBorders>
              <w:top w:val="nil"/>
              <w:left w:val="nil"/>
              <w:bottom w:val="nil"/>
              <w:right w:val="nil"/>
            </w:tcBorders>
            <w:shd w:val="clear" w:color="auto" w:fill="auto"/>
            <w:noWrap/>
            <w:vAlign w:val="bottom"/>
            <w:hideMark/>
          </w:tcPr>
          <w:p w14:paraId="115D8B4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ESMA</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4CB403DF"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Європейський орган з цінних паперів та ринків</w:t>
            </w:r>
          </w:p>
        </w:tc>
      </w:tr>
      <w:tr w:rsidR="0064705F" w:rsidRPr="007E5633" w14:paraId="3112ABE4" w14:textId="77777777" w:rsidTr="0064705F">
        <w:trPr>
          <w:trHeight w:val="315"/>
        </w:trPr>
        <w:tc>
          <w:tcPr>
            <w:tcW w:w="783" w:type="dxa"/>
            <w:tcBorders>
              <w:top w:val="nil"/>
              <w:left w:val="nil"/>
              <w:bottom w:val="nil"/>
              <w:right w:val="nil"/>
            </w:tcBorders>
            <w:shd w:val="clear" w:color="auto" w:fill="auto"/>
            <w:noWrap/>
            <w:vAlign w:val="bottom"/>
            <w:hideMark/>
          </w:tcPr>
          <w:p w14:paraId="34233D1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ETRM</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46EA999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Енергетична торгівля та управління ризиками</w:t>
            </w:r>
          </w:p>
        </w:tc>
      </w:tr>
      <w:tr w:rsidR="0064705F" w:rsidRPr="007E5633" w14:paraId="4E744BFE" w14:textId="77777777" w:rsidTr="0064705F">
        <w:trPr>
          <w:trHeight w:val="315"/>
        </w:trPr>
        <w:tc>
          <w:tcPr>
            <w:tcW w:w="783" w:type="dxa"/>
            <w:tcBorders>
              <w:top w:val="nil"/>
              <w:left w:val="nil"/>
              <w:bottom w:val="nil"/>
              <w:right w:val="nil"/>
            </w:tcBorders>
            <w:shd w:val="clear" w:color="auto" w:fill="auto"/>
            <w:noWrap/>
            <w:vAlign w:val="bottom"/>
            <w:hideMark/>
          </w:tcPr>
          <w:p w14:paraId="34591D9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ETS</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59D1534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Біржова торгова система</w:t>
            </w:r>
          </w:p>
        </w:tc>
      </w:tr>
      <w:tr w:rsidR="0064705F" w:rsidRPr="007E5633" w14:paraId="0AF262E5" w14:textId="77777777" w:rsidTr="0064705F">
        <w:trPr>
          <w:trHeight w:val="315"/>
        </w:trPr>
        <w:tc>
          <w:tcPr>
            <w:tcW w:w="783" w:type="dxa"/>
            <w:tcBorders>
              <w:top w:val="nil"/>
              <w:left w:val="nil"/>
              <w:bottom w:val="nil"/>
              <w:right w:val="nil"/>
            </w:tcBorders>
            <w:shd w:val="clear" w:color="auto" w:fill="auto"/>
            <w:noWrap/>
            <w:vAlign w:val="bottom"/>
            <w:hideMark/>
          </w:tcPr>
          <w:p w14:paraId="5E94258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EU</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7470156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Європейський Союз</w:t>
            </w:r>
          </w:p>
        </w:tc>
      </w:tr>
      <w:tr w:rsidR="0064705F" w:rsidRPr="007E5633" w14:paraId="64872F3B" w14:textId="77777777" w:rsidTr="0064705F">
        <w:trPr>
          <w:trHeight w:val="300"/>
        </w:trPr>
        <w:tc>
          <w:tcPr>
            <w:tcW w:w="783" w:type="dxa"/>
            <w:tcBorders>
              <w:top w:val="nil"/>
              <w:left w:val="nil"/>
              <w:bottom w:val="nil"/>
              <w:right w:val="nil"/>
            </w:tcBorders>
            <w:shd w:val="clear" w:color="auto" w:fill="auto"/>
            <w:noWrap/>
            <w:vAlign w:val="bottom"/>
            <w:hideMark/>
          </w:tcPr>
          <w:p w14:paraId="0FC8A78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EUD </w:t>
            </w:r>
          </w:p>
        </w:tc>
        <w:tc>
          <w:tcPr>
            <w:tcW w:w="8653" w:type="dxa"/>
            <w:tcBorders>
              <w:top w:val="nil"/>
              <w:left w:val="nil"/>
              <w:bottom w:val="nil"/>
              <w:right w:val="nil"/>
            </w:tcBorders>
            <w:shd w:val="clear" w:color="auto" w:fill="auto"/>
            <w:noWrap/>
            <w:vAlign w:val="bottom"/>
            <w:hideMark/>
          </w:tcPr>
          <w:p w14:paraId="1FCF088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Представництво Європейського Союзу</w:t>
            </w:r>
          </w:p>
        </w:tc>
      </w:tr>
      <w:tr w:rsidR="0064705F" w:rsidRPr="007E5633" w14:paraId="70F94445" w14:textId="77777777" w:rsidTr="0064705F">
        <w:trPr>
          <w:trHeight w:val="315"/>
        </w:trPr>
        <w:tc>
          <w:tcPr>
            <w:tcW w:w="783" w:type="dxa"/>
            <w:tcBorders>
              <w:top w:val="nil"/>
              <w:left w:val="nil"/>
              <w:bottom w:val="nil"/>
              <w:right w:val="nil"/>
            </w:tcBorders>
            <w:shd w:val="clear" w:color="auto" w:fill="auto"/>
            <w:noWrap/>
            <w:vAlign w:val="bottom"/>
            <w:hideMark/>
          </w:tcPr>
          <w:p w14:paraId="312BE4DE"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ERUs</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7BF7EAD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Одиниці скорочення викидів</w:t>
            </w:r>
          </w:p>
        </w:tc>
      </w:tr>
      <w:tr w:rsidR="0064705F" w:rsidRPr="007E5633" w14:paraId="3A5EA1FB" w14:textId="77777777" w:rsidTr="0064705F">
        <w:trPr>
          <w:trHeight w:val="315"/>
        </w:trPr>
        <w:tc>
          <w:tcPr>
            <w:tcW w:w="783" w:type="dxa"/>
            <w:tcBorders>
              <w:top w:val="nil"/>
              <w:left w:val="nil"/>
              <w:bottom w:val="nil"/>
              <w:right w:val="nil"/>
            </w:tcBorders>
            <w:shd w:val="clear" w:color="auto" w:fill="auto"/>
            <w:noWrap/>
            <w:vAlign w:val="bottom"/>
            <w:hideMark/>
          </w:tcPr>
          <w:p w14:paraId="25BD092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eXRP</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6015AB6F"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Електронний біржовий процесінг</w:t>
            </w:r>
          </w:p>
        </w:tc>
      </w:tr>
      <w:tr w:rsidR="0064705F" w:rsidRPr="007E5633" w14:paraId="6AFD95DF" w14:textId="77777777" w:rsidTr="0064705F">
        <w:trPr>
          <w:trHeight w:val="315"/>
        </w:trPr>
        <w:tc>
          <w:tcPr>
            <w:tcW w:w="783" w:type="dxa"/>
            <w:tcBorders>
              <w:top w:val="nil"/>
              <w:left w:val="nil"/>
              <w:bottom w:val="nil"/>
              <w:right w:val="nil"/>
            </w:tcBorders>
            <w:shd w:val="clear" w:color="auto" w:fill="auto"/>
            <w:noWrap/>
            <w:vAlign w:val="bottom"/>
            <w:hideMark/>
          </w:tcPr>
          <w:p w14:paraId="5B79002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FpML</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4C0806E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Мова програмування для розмітки даних щодо фінансових продуктів</w:t>
            </w:r>
          </w:p>
        </w:tc>
      </w:tr>
      <w:tr w:rsidR="0064705F" w:rsidRPr="007E5633" w14:paraId="125A5D26" w14:textId="77777777" w:rsidTr="0064705F">
        <w:trPr>
          <w:trHeight w:val="300"/>
        </w:trPr>
        <w:tc>
          <w:tcPr>
            <w:tcW w:w="783" w:type="dxa"/>
            <w:tcBorders>
              <w:top w:val="nil"/>
              <w:left w:val="nil"/>
              <w:bottom w:val="nil"/>
              <w:right w:val="nil"/>
            </w:tcBorders>
            <w:shd w:val="clear" w:color="auto" w:fill="auto"/>
            <w:noWrap/>
            <w:vAlign w:val="bottom"/>
            <w:hideMark/>
          </w:tcPr>
          <w:p w14:paraId="1D6B709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lastRenderedPageBreak/>
              <w:t xml:space="preserve">FI </w:t>
            </w:r>
          </w:p>
        </w:tc>
        <w:tc>
          <w:tcPr>
            <w:tcW w:w="8653" w:type="dxa"/>
            <w:tcBorders>
              <w:top w:val="nil"/>
              <w:left w:val="nil"/>
              <w:bottom w:val="nil"/>
              <w:right w:val="nil"/>
            </w:tcBorders>
            <w:shd w:val="clear" w:color="auto" w:fill="auto"/>
            <w:noWrap/>
            <w:vAlign w:val="bottom"/>
            <w:hideMark/>
          </w:tcPr>
          <w:p w14:paraId="3DCA3B8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Фінансовий інструмент</w:t>
            </w:r>
          </w:p>
        </w:tc>
      </w:tr>
      <w:tr w:rsidR="0064705F" w:rsidRPr="007E5633" w14:paraId="0B226630" w14:textId="77777777" w:rsidTr="0064705F">
        <w:trPr>
          <w:trHeight w:val="300"/>
        </w:trPr>
        <w:tc>
          <w:tcPr>
            <w:tcW w:w="783" w:type="dxa"/>
            <w:tcBorders>
              <w:top w:val="nil"/>
              <w:left w:val="nil"/>
              <w:bottom w:val="nil"/>
              <w:right w:val="nil"/>
            </w:tcBorders>
            <w:shd w:val="clear" w:color="auto" w:fill="auto"/>
            <w:noWrap/>
            <w:vAlign w:val="bottom"/>
            <w:hideMark/>
          </w:tcPr>
          <w:p w14:paraId="2FB429A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FTT </w:t>
            </w:r>
          </w:p>
        </w:tc>
        <w:tc>
          <w:tcPr>
            <w:tcW w:w="8653" w:type="dxa"/>
            <w:tcBorders>
              <w:top w:val="nil"/>
              <w:left w:val="nil"/>
              <w:bottom w:val="nil"/>
              <w:right w:val="nil"/>
            </w:tcBorders>
            <w:shd w:val="clear" w:color="auto" w:fill="auto"/>
            <w:noWrap/>
            <w:vAlign w:val="bottom"/>
            <w:hideMark/>
          </w:tcPr>
          <w:p w14:paraId="2DAE19D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Податок на фінансові операції</w:t>
            </w:r>
          </w:p>
        </w:tc>
      </w:tr>
      <w:tr w:rsidR="0064705F" w:rsidRPr="007E5633" w14:paraId="0D537977" w14:textId="77777777" w:rsidTr="0064705F">
        <w:trPr>
          <w:trHeight w:val="300"/>
        </w:trPr>
        <w:tc>
          <w:tcPr>
            <w:tcW w:w="783" w:type="dxa"/>
            <w:tcBorders>
              <w:top w:val="nil"/>
              <w:left w:val="nil"/>
              <w:bottom w:val="nil"/>
              <w:right w:val="nil"/>
            </w:tcBorders>
            <w:shd w:val="clear" w:color="auto" w:fill="auto"/>
            <w:noWrap/>
            <w:vAlign w:val="bottom"/>
            <w:hideMark/>
          </w:tcPr>
          <w:p w14:paraId="41B6F66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FX </w:t>
            </w:r>
          </w:p>
        </w:tc>
        <w:tc>
          <w:tcPr>
            <w:tcW w:w="8653" w:type="dxa"/>
            <w:tcBorders>
              <w:top w:val="nil"/>
              <w:left w:val="nil"/>
              <w:bottom w:val="nil"/>
              <w:right w:val="nil"/>
            </w:tcBorders>
            <w:shd w:val="clear" w:color="auto" w:fill="auto"/>
            <w:noWrap/>
            <w:vAlign w:val="bottom"/>
            <w:hideMark/>
          </w:tcPr>
          <w:p w14:paraId="2318E69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Валютні операції</w:t>
            </w:r>
          </w:p>
        </w:tc>
      </w:tr>
      <w:tr w:rsidR="0064705F" w:rsidRPr="007E5633" w14:paraId="5DF0F83D" w14:textId="77777777" w:rsidTr="0064705F">
        <w:trPr>
          <w:trHeight w:val="300"/>
        </w:trPr>
        <w:tc>
          <w:tcPr>
            <w:tcW w:w="783" w:type="dxa"/>
            <w:tcBorders>
              <w:top w:val="nil"/>
              <w:left w:val="nil"/>
              <w:bottom w:val="nil"/>
              <w:right w:val="nil"/>
            </w:tcBorders>
            <w:shd w:val="clear" w:color="auto" w:fill="auto"/>
            <w:noWrap/>
            <w:vAlign w:val="bottom"/>
            <w:hideMark/>
          </w:tcPr>
          <w:p w14:paraId="566783B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GCal </w:t>
            </w:r>
          </w:p>
        </w:tc>
        <w:tc>
          <w:tcPr>
            <w:tcW w:w="8653" w:type="dxa"/>
            <w:tcBorders>
              <w:top w:val="nil"/>
              <w:left w:val="nil"/>
              <w:bottom w:val="nil"/>
              <w:right w:val="nil"/>
            </w:tcBorders>
            <w:shd w:val="clear" w:color="auto" w:fill="auto"/>
            <w:noWrap/>
            <w:vAlign w:val="bottom"/>
            <w:hideMark/>
          </w:tcPr>
          <w:p w14:paraId="5C34501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Гіга Калорія</w:t>
            </w:r>
          </w:p>
        </w:tc>
      </w:tr>
      <w:tr w:rsidR="0064705F" w:rsidRPr="007E5633" w14:paraId="61772A16" w14:textId="77777777" w:rsidTr="0064705F">
        <w:trPr>
          <w:trHeight w:val="315"/>
        </w:trPr>
        <w:tc>
          <w:tcPr>
            <w:tcW w:w="783" w:type="dxa"/>
            <w:tcBorders>
              <w:top w:val="nil"/>
              <w:left w:val="nil"/>
              <w:bottom w:val="nil"/>
              <w:right w:val="nil"/>
            </w:tcBorders>
            <w:shd w:val="clear" w:color="auto" w:fill="auto"/>
            <w:noWrap/>
            <w:vAlign w:val="bottom"/>
            <w:hideMark/>
          </w:tcPr>
          <w:p w14:paraId="0070285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GTS</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69C90FF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Газотранспортна система</w:t>
            </w:r>
          </w:p>
        </w:tc>
      </w:tr>
      <w:tr w:rsidR="0064705F" w:rsidRPr="007E5633" w14:paraId="3B3BA45B" w14:textId="77777777" w:rsidTr="0064705F">
        <w:trPr>
          <w:trHeight w:val="315"/>
        </w:trPr>
        <w:tc>
          <w:tcPr>
            <w:tcW w:w="783" w:type="dxa"/>
            <w:tcBorders>
              <w:top w:val="nil"/>
              <w:left w:val="nil"/>
              <w:bottom w:val="nil"/>
              <w:right w:val="nil"/>
            </w:tcBorders>
            <w:shd w:val="clear" w:color="auto" w:fill="auto"/>
            <w:noWrap/>
            <w:vAlign w:val="bottom"/>
            <w:hideMark/>
          </w:tcPr>
          <w:p w14:paraId="339676BE"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GTP</w:t>
            </w:r>
            <w:r w:rsidRPr="007E5633">
              <w:rPr>
                <w:rFonts w:ascii="Arial" w:eastAsia="Times New Roman" w:hAnsi="Arial" w:cs="Arial"/>
                <w:b/>
                <w:bCs/>
                <w:color w:val="000000"/>
                <w:sz w:val="24"/>
                <w:szCs w:val="24"/>
                <w:lang w:val="uk-UA" w:eastAsia="en-GB"/>
              </w:rPr>
              <w:t xml:space="preserve"> </w:t>
            </w:r>
          </w:p>
        </w:tc>
        <w:tc>
          <w:tcPr>
            <w:tcW w:w="8653" w:type="dxa"/>
            <w:tcBorders>
              <w:top w:val="nil"/>
              <w:left w:val="nil"/>
              <w:bottom w:val="nil"/>
              <w:right w:val="nil"/>
            </w:tcBorders>
            <w:shd w:val="clear" w:color="auto" w:fill="auto"/>
            <w:noWrap/>
            <w:vAlign w:val="bottom"/>
            <w:hideMark/>
          </w:tcPr>
          <w:p w14:paraId="2E562E5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Торгова платформа для газу</w:t>
            </w:r>
          </w:p>
        </w:tc>
      </w:tr>
      <w:tr w:rsidR="0064705F" w:rsidRPr="007E5633" w14:paraId="031E83BB" w14:textId="77777777" w:rsidTr="0064705F">
        <w:trPr>
          <w:trHeight w:val="300"/>
        </w:trPr>
        <w:tc>
          <w:tcPr>
            <w:tcW w:w="783" w:type="dxa"/>
            <w:tcBorders>
              <w:top w:val="nil"/>
              <w:left w:val="nil"/>
              <w:bottom w:val="nil"/>
              <w:right w:val="nil"/>
            </w:tcBorders>
            <w:shd w:val="clear" w:color="auto" w:fill="auto"/>
            <w:noWrap/>
            <w:vAlign w:val="bottom"/>
            <w:hideMark/>
          </w:tcPr>
          <w:p w14:paraId="7A1D031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GWh </w:t>
            </w:r>
          </w:p>
        </w:tc>
        <w:tc>
          <w:tcPr>
            <w:tcW w:w="8653" w:type="dxa"/>
            <w:tcBorders>
              <w:top w:val="nil"/>
              <w:left w:val="nil"/>
              <w:bottom w:val="nil"/>
              <w:right w:val="nil"/>
            </w:tcBorders>
            <w:shd w:val="clear" w:color="auto" w:fill="auto"/>
            <w:noWrap/>
            <w:vAlign w:val="bottom"/>
            <w:hideMark/>
          </w:tcPr>
          <w:p w14:paraId="460D310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Гігават годин</w:t>
            </w:r>
          </w:p>
        </w:tc>
      </w:tr>
      <w:tr w:rsidR="0064705F" w:rsidRPr="007E5633" w14:paraId="221A228F" w14:textId="77777777" w:rsidTr="0064705F">
        <w:trPr>
          <w:trHeight w:val="300"/>
        </w:trPr>
        <w:tc>
          <w:tcPr>
            <w:tcW w:w="783" w:type="dxa"/>
            <w:tcBorders>
              <w:top w:val="nil"/>
              <w:left w:val="nil"/>
              <w:bottom w:val="nil"/>
              <w:right w:val="nil"/>
            </w:tcBorders>
            <w:shd w:val="clear" w:color="auto" w:fill="auto"/>
            <w:noWrap/>
            <w:vAlign w:val="bottom"/>
            <w:hideMark/>
          </w:tcPr>
          <w:p w14:paraId="44B05A8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ICE </w:t>
            </w:r>
          </w:p>
        </w:tc>
        <w:tc>
          <w:tcPr>
            <w:tcW w:w="8653" w:type="dxa"/>
            <w:tcBorders>
              <w:top w:val="nil"/>
              <w:left w:val="nil"/>
              <w:bottom w:val="nil"/>
              <w:right w:val="nil"/>
            </w:tcBorders>
            <w:shd w:val="clear" w:color="auto" w:fill="auto"/>
            <w:noWrap/>
            <w:vAlign w:val="bottom"/>
            <w:hideMark/>
          </w:tcPr>
          <w:p w14:paraId="3C8DAC5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Міжконтинентальна товарна біржа</w:t>
            </w:r>
          </w:p>
        </w:tc>
      </w:tr>
      <w:tr w:rsidR="0064705F" w:rsidRPr="007E5633" w14:paraId="6272F8D4" w14:textId="77777777" w:rsidTr="0064705F">
        <w:trPr>
          <w:trHeight w:val="300"/>
        </w:trPr>
        <w:tc>
          <w:tcPr>
            <w:tcW w:w="783" w:type="dxa"/>
            <w:tcBorders>
              <w:top w:val="nil"/>
              <w:left w:val="nil"/>
              <w:bottom w:val="nil"/>
              <w:right w:val="nil"/>
            </w:tcBorders>
            <w:shd w:val="clear" w:color="auto" w:fill="auto"/>
            <w:noWrap/>
            <w:vAlign w:val="bottom"/>
            <w:hideMark/>
          </w:tcPr>
          <w:p w14:paraId="5FAC995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ID </w:t>
            </w:r>
          </w:p>
        </w:tc>
        <w:tc>
          <w:tcPr>
            <w:tcW w:w="8653" w:type="dxa"/>
            <w:tcBorders>
              <w:top w:val="nil"/>
              <w:left w:val="nil"/>
              <w:bottom w:val="nil"/>
              <w:right w:val="nil"/>
            </w:tcBorders>
            <w:shd w:val="clear" w:color="auto" w:fill="auto"/>
            <w:noWrap/>
            <w:vAlign w:val="bottom"/>
            <w:hideMark/>
          </w:tcPr>
          <w:p w14:paraId="7B82C2A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Ідентифікація</w:t>
            </w:r>
          </w:p>
        </w:tc>
      </w:tr>
      <w:tr w:rsidR="0064705F" w:rsidRPr="007E5633" w14:paraId="03268CBD" w14:textId="77777777" w:rsidTr="0064705F">
        <w:trPr>
          <w:trHeight w:val="300"/>
        </w:trPr>
        <w:tc>
          <w:tcPr>
            <w:tcW w:w="783" w:type="dxa"/>
            <w:tcBorders>
              <w:top w:val="nil"/>
              <w:left w:val="nil"/>
              <w:bottom w:val="nil"/>
              <w:right w:val="nil"/>
            </w:tcBorders>
            <w:shd w:val="clear" w:color="auto" w:fill="auto"/>
            <w:noWrap/>
            <w:vAlign w:val="bottom"/>
            <w:hideMark/>
          </w:tcPr>
          <w:p w14:paraId="6FC0CDA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IEM</w:t>
            </w:r>
          </w:p>
        </w:tc>
        <w:tc>
          <w:tcPr>
            <w:tcW w:w="8653" w:type="dxa"/>
            <w:tcBorders>
              <w:top w:val="nil"/>
              <w:left w:val="nil"/>
              <w:bottom w:val="nil"/>
              <w:right w:val="nil"/>
            </w:tcBorders>
            <w:shd w:val="clear" w:color="auto" w:fill="auto"/>
            <w:noWrap/>
            <w:vAlign w:val="bottom"/>
            <w:hideMark/>
          </w:tcPr>
          <w:p w14:paraId="529D99E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Внутрішній європейський ринок</w:t>
            </w:r>
          </w:p>
        </w:tc>
      </w:tr>
      <w:tr w:rsidR="0064705F" w:rsidRPr="007E5633" w14:paraId="3CF03CB8" w14:textId="77777777" w:rsidTr="0064705F">
        <w:trPr>
          <w:trHeight w:val="300"/>
        </w:trPr>
        <w:tc>
          <w:tcPr>
            <w:tcW w:w="783" w:type="dxa"/>
            <w:tcBorders>
              <w:top w:val="nil"/>
              <w:left w:val="nil"/>
              <w:bottom w:val="nil"/>
              <w:right w:val="nil"/>
            </w:tcBorders>
            <w:shd w:val="clear" w:color="auto" w:fill="auto"/>
            <w:noWrap/>
            <w:vAlign w:val="bottom"/>
            <w:hideMark/>
          </w:tcPr>
          <w:p w14:paraId="78F1E34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ISDA </w:t>
            </w:r>
          </w:p>
        </w:tc>
        <w:tc>
          <w:tcPr>
            <w:tcW w:w="8653" w:type="dxa"/>
            <w:tcBorders>
              <w:top w:val="nil"/>
              <w:left w:val="nil"/>
              <w:bottom w:val="nil"/>
              <w:right w:val="nil"/>
            </w:tcBorders>
            <w:shd w:val="clear" w:color="auto" w:fill="auto"/>
            <w:noWrap/>
            <w:vAlign w:val="bottom"/>
            <w:hideMark/>
          </w:tcPr>
          <w:p w14:paraId="72A8487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Міжнародна асоціація свопів та деривативів</w:t>
            </w:r>
          </w:p>
        </w:tc>
      </w:tr>
      <w:tr w:rsidR="0064705F" w:rsidRPr="007E5633" w14:paraId="2EEE8725" w14:textId="77777777" w:rsidTr="0064705F">
        <w:trPr>
          <w:trHeight w:val="300"/>
        </w:trPr>
        <w:tc>
          <w:tcPr>
            <w:tcW w:w="783" w:type="dxa"/>
            <w:tcBorders>
              <w:top w:val="nil"/>
              <w:left w:val="nil"/>
              <w:bottom w:val="nil"/>
              <w:right w:val="nil"/>
            </w:tcBorders>
            <w:shd w:val="clear" w:color="auto" w:fill="auto"/>
            <w:noWrap/>
            <w:vAlign w:val="bottom"/>
            <w:hideMark/>
          </w:tcPr>
          <w:p w14:paraId="675629B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ISIN</w:t>
            </w:r>
          </w:p>
        </w:tc>
        <w:tc>
          <w:tcPr>
            <w:tcW w:w="8653" w:type="dxa"/>
            <w:tcBorders>
              <w:top w:val="nil"/>
              <w:left w:val="nil"/>
              <w:bottom w:val="nil"/>
              <w:right w:val="nil"/>
            </w:tcBorders>
            <w:shd w:val="clear" w:color="auto" w:fill="auto"/>
            <w:noWrap/>
            <w:vAlign w:val="bottom"/>
            <w:hideMark/>
          </w:tcPr>
          <w:p w14:paraId="6F8A7D1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Міжнародний ідентифікаційний номер цінних паперів</w:t>
            </w:r>
          </w:p>
        </w:tc>
      </w:tr>
      <w:tr w:rsidR="0064705F" w:rsidRPr="007E5633" w14:paraId="2E23179F" w14:textId="77777777" w:rsidTr="0064705F">
        <w:trPr>
          <w:trHeight w:val="300"/>
        </w:trPr>
        <w:tc>
          <w:tcPr>
            <w:tcW w:w="783" w:type="dxa"/>
            <w:tcBorders>
              <w:top w:val="nil"/>
              <w:left w:val="nil"/>
              <w:bottom w:val="nil"/>
              <w:right w:val="nil"/>
            </w:tcBorders>
            <w:shd w:val="clear" w:color="auto" w:fill="auto"/>
            <w:noWrap/>
            <w:vAlign w:val="bottom"/>
            <w:hideMark/>
          </w:tcPr>
          <w:p w14:paraId="0FC3668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ISO </w:t>
            </w:r>
          </w:p>
        </w:tc>
        <w:tc>
          <w:tcPr>
            <w:tcW w:w="8653" w:type="dxa"/>
            <w:tcBorders>
              <w:top w:val="nil"/>
              <w:left w:val="nil"/>
              <w:bottom w:val="nil"/>
              <w:right w:val="nil"/>
            </w:tcBorders>
            <w:shd w:val="clear" w:color="auto" w:fill="auto"/>
            <w:noWrap/>
            <w:vAlign w:val="bottom"/>
            <w:hideMark/>
          </w:tcPr>
          <w:p w14:paraId="56419CA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Незалежний оператор системи</w:t>
            </w:r>
          </w:p>
        </w:tc>
      </w:tr>
      <w:tr w:rsidR="0064705F" w:rsidRPr="007E5633" w14:paraId="50C1CDD3" w14:textId="77777777" w:rsidTr="0064705F">
        <w:trPr>
          <w:trHeight w:val="300"/>
        </w:trPr>
        <w:tc>
          <w:tcPr>
            <w:tcW w:w="783" w:type="dxa"/>
            <w:tcBorders>
              <w:top w:val="nil"/>
              <w:left w:val="nil"/>
              <w:bottom w:val="nil"/>
              <w:right w:val="nil"/>
            </w:tcBorders>
            <w:shd w:val="clear" w:color="auto" w:fill="auto"/>
            <w:noWrap/>
            <w:vAlign w:val="bottom"/>
            <w:hideMark/>
          </w:tcPr>
          <w:p w14:paraId="134DF2A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ITO</w:t>
            </w:r>
          </w:p>
        </w:tc>
        <w:tc>
          <w:tcPr>
            <w:tcW w:w="8653" w:type="dxa"/>
            <w:tcBorders>
              <w:top w:val="nil"/>
              <w:left w:val="nil"/>
              <w:bottom w:val="nil"/>
              <w:right w:val="nil"/>
            </w:tcBorders>
            <w:shd w:val="clear" w:color="auto" w:fill="auto"/>
            <w:noWrap/>
            <w:vAlign w:val="bottom"/>
            <w:hideMark/>
          </w:tcPr>
          <w:p w14:paraId="3062938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Незалежний оператор передачі</w:t>
            </w:r>
          </w:p>
        </w:tc>
      </w:tr>
      <w:tr w:rsidR="0064705F" w:rsidRPr="007E5633" w14:paraId="208C6FFD" w14:textId="77777777" w:rsidTr="0064705F">
        <w:trPr>
          <w:trHeight w:val="315"/>
        </w:trPr>
        <w:tc>
          <w:tcPr>
            <w:tcW w:w="783" w:type="dxa"/>
            <w:tcBorders>
              <w:top w:val="nil"/>
              <w:left w:val="nil"/>
              <w:bottom w:val="nil"/>
              <w:right w:val="nil"/>
            </w:tcBorders>
            <w:shd w:val="clear" w:color="auto" w:fill="auto"/>
            <w:noWrap/>
            <w:vAlign w:val="bottom"/>
            <w:hideMark/>
          </w:tcPr>
          <w:p w14:paraId="3601EB3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ITS </w:t>
            </w:r>
          </w:p>
        </w:tc>
        <w:tc>
          <w:tcPr>
            <w:tcW w:w="8653" w:type="dxa"/>
            <w:tcBorders>
              <w:top w:val="nil"/>
              <w:left w:val="nil"/>
              <w:bottom w:val="nil"/>
              <w:right w:val="nil"/>
            </w:tcBorders>
            <w:shd w:val="clear" w:color="auto" w:fill="auto"/>
            <w:noWrap/>
            <w:vAlign w:val="bottom"/>
            <w:hideMark/>
          </w:tcPr>
          <w:p w14:paraId="02A8CB50"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Впровадження технічних стандартів щодо формату звітів про позиції інвестиційних компаній та операторів ринку</w:t>
            </w:r>
          </w:p>
        </w:tc>
      </w:tr>
      <w:tr w:rsidR="0064705F" w:rsidRPr="007E5633" w14:paraId="2E0992CF" w14:textId="77777777" w:rsidTr="0064705F">
        <w:trPr>
          <w:trHeight w:val="300"/>
        </w:trPr>
        <w:tc>
          <w:tcPr>
            <w:tcW w:w="783" w:type="dxa"/>
            <w:tcBorders>
              <w:top w:val="nil"/>
              <w:left w:val="nil"/>
              <w:bottom w:val="nil"/>
              <w:right w:val="nil"/>
            </w:tcBorders>
            <w:shd w:val="clear" w:color="auto" w:fill="auto"/>
            <w:noWrap/>
            <w:vAlign w:val="bottom"/>
            <w:hideMark/>
          </w:tcPr>
          <w:p w14:paraId="46B1120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kV </w:t>
            </w:r>
          </w:p>
        </w:tc>
        <w:tc>
          <w:tcPr>
            <w:tcW w:w="8653" w:type="dxa"/>
            <w:tcBorders>
              <w:top w:val="nil"/>
              <w:left w:val="nil"/>
              <w:bottom w:val="nil"/>
              <w:right w:val="nil"/>
            </w:tcBorders>
            <w:shd w:val="clear" w:color="auto" w:fill="auto"/>
            <w:noWrap/>
            <w:vAlign w:val="bottom"/>
            <w:hideMark/>
          </w:tcPr>
          <w:p w14:paraId="120D949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Киловольт</w:t>
            </w:r>
          </w:p>
        </w:tc>
      </w:tr>
      <w:tr w:rsidR="0064705F" w:rsidRPr="007E5633" w14:paraId="343AD3EE" w14:textId="77777777" w:rsidTr="0064705F">
        <w:trPr>
          <w:trHeight w:val="300"/>
        </w:trPr>
        <w:tc>
          <w:tcPr>
            <w:tcW w:w="783" w:type="dxa"/>
            <w:tcBorders>
              <w:top w:val="nil"/>
              <w:left w:val="nil"/>
              <w:bottom w:val="nil"/>
              <w:right w:val="nil"/>
            </w:tcBorders>
            <w:shd w:val="clear" w:color="auto" w:fill="auto"/>
            <w:noWrap/>
            <w:vAlign w:val="bottom"/>
            <w:hideMark/>
          </w:tcPr>
          <w:p w14:paraId="4051ED0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kWh </w:t>
            </w:r>
          </w:p>
        </w:tc>
        <w:tc>
          <w:tcPr>
            <w:tcW w:w="8653" w:type="dxa"/>
            <w:tcBorders>
              <w:top w:val="nil"/>
              <w:left w:val="nil"/>
              <w:bottom w:val="nil"/>
              <w:right w:val="nil"/>
            </w:tcBorders>
            <w:shd w:val="clear" w:color="auto" w:fill="auto"/>
            <w:noWrap/>
            <w:vAlign w:val="bottom"/>
            <w:hideMark/>
          </w:tcPr>
          <w:p w14:paraId="21FE4F7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Кіл</w:t>
            </w:r>
            <w:r w:rsidR="007E5633">
              <w:rPr>
                <w:rFonts w:ascii="Arial" w:eastAsia="Times New Roman" w:hAnsi="Arial" w:cs="Arial"/>
                <w:color w:val="000000"/>
                <w:lang w:val="uk-UA" w:eastAsia="en-GB"/>
              </w:rPr>
              <w:t>о</w:t>
            </w:r>
            <w:r w:rsidRPr="007E5633">
              <w:rPr>
                <w:rFonts w:ascii="Arial" w:eastAsia="Times New Roman" w:hAnsi="Arial" w:cs="Arial"/>
                <w:color w:val="000000"/>
                <w:lang w:val="uk-UA" w:eastAsia="en-GB"/>
              </w:rPr>
              <w:t>ватт годин</w:t>
            </w:r>
          </w:p>
        </w:tc>
      </w:tr>
      <w:tr w:rsidR="0064705F" w:rsidRPr="007E5633" w14:paraId="7C4BE54D" w14:textId="77777777" w:rsidTr="0064705F">
        <w:trPr>
          <w:trHeight w:val="300"/>
        </w:trPr>
        <w:tc>
          <w:tcPr>
            <w:tcW w:w="783" w:type="dxa"/>
            <w:tcBorders>
              <w:top w:val="nil"/>
              <w:left w:val="nil"/>
              <w:bottom w:val="nil"/>
              <w:right w:val="nil"/>
            </w:tcBorders>
            <w:shd w:val="clear" w:color="auto" w:fill="auto"/>
            <w:noWrap/>
            <w:vAlign w:val="bottom"/>
            <w:hideMark/>
          </w:tcPr>
          <w:p w14:paraId="4FE1338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LEBA </w:t>
            </w:r>
          </w:p>
        </w:tc>
        <w:tc>
          <w:tcPr>
            <w:tcW w:w="8653" w:type="dxa"/>
            <w:tcBorders>
              <w:top w:val="nil"/>
              <w:left w:val="nil"/>
              <w:bottom w:val="nil"/>
              <w:right w:val="nil"/>
            </w:tcBorders>
            <w:shd w:val="clear" w:color="auto" w:fill="auto"/>
            <w:noWrap/>
            <w:vAlign w:val="bottom"/>
            <w:hideMark/>
          </w:tcPr>
          <w:p w14:paraId="0D832C6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Лондонська асоціація енергетичних брокерів</w:t>
            </w:r>
          </w:p>
        </w:tc>
      </w:tr>
      <w:tr w:rsidR="0064705F" w:rsidRPr="007E5633" w14:paraId="43EA16BD" w14:textId="77777777" w:rsidTr="0064705F">
        <w:trPr>
          <w:trHeight w:val="300"/>
        </w:trPr>
        <w:tc>
          <w:tcPr>
            <w:tcW w:w="783" w:type="dxa"/>
            <w:tcBorders>
              <w:top w:val="nil"/>
              <w:left w:val="nil"/>
              <w:bottom w:val="nil"/>
              <w:right w:val="nil"/>
            </w:tcBorders>
            <w:shd w:val="clear" w:color="auto" w:fill="auto"/>
            <w:noWrap/>
            <w:vAlign w:val="bottom"/>
            <w:hideMark/>
          </w:tcPr>
          <w:p w14:paraId="06A8B26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LED </w:t>
            </w:r>
          </w:p>
        </w:tc>
        <w:tc>
          <w:tcPr>
            <w:tcW w:w="8653" w:type="dxa"/>
            <w:tcBorders>
              <w:top w:val="nil"/>
              <w:left w:val="nil"/>
              <w:bottom w:val="nil"/>
              <w:right w:val="nil"/>
            </w:tcBorders>
            <w:shd w:val="clear" w:color="auto" w:fill="auto"/>
            <w:noWrap/>
            <w:vAlign w:val="bottom"/>
            <w:hideMark/>
          </w:tcPr>
          <w:p w14:paraId="10D12E4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Світловипромінюючий діод</w:t>
            </w:r>
          </w:p>
        </w:tc>
      </w:tr>
      <w:tr w:rsidR="0064705F" w:rsidRPr="007E5633" w14:paraId="0D21645A" w14:textId="77777777" w:rsidTr="0064705F">
        <w:trPr>
          <w:trHeight w:val="300"/>
        </w:trPr>
        <w:tc>
          <w:tcPr>
            <w:tcW w:w="783" w:type="dxa"/>
            <w:tcBorders>
              <w:top w:val="nil"/>
              <w:left w:val="nil"/>
              <w:bottom w:val="nil"/>
              <w:right w:val="nil"/>
            </w:tcBorders>
            <w:shd w:val="clear" w:color="auto" w:fill="auto"/>
            <w:noWrap/>
            <w:vAlign w:val="bottom"/>
            <w:hideMark/>
          </w:tcPr>
          <w:p w14:paraId="0677378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LEI </w:t>
            </w:r>
          </w:p>
        </w:tc>
        <w:tc>
          <w:tcPr>
            <w:tcW w:w="8653" w:type="dxa"/>
            <w:tcBorders>
              <w:top w:val="nil"/>
              <w:left w:val="nil"/>
              <w:bottom w:val="nil"/>
              <w:right w:val="nil"/>
            </w:tcBorders>
            <w:shd w:val="clear" w:color="auto" w:fill="auto"/>
            <w:noWrap/>
            <w:vAlign w:val="bottom"/>
            <w:hideMark/>
          </w:tcPr>
          <w:p w14:paraId="269A6BA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Ідентифікатор юридичної особи</w:t>
            </w:r>
          </w:p>
        </w:tc>
      </w:tr>
      <w:tr w:rsidR="0064705F" w:rsidRPr="007E5633" w14:paraId="7565C739" w14:textId="77777777" w:rsidTr="0064705F">
        <w:trPr>
          <w:trHeight w:val="300"/>
        </w:trPr>
        <w:tc>
          <w:tcPr>
            <w:tcW w:w="783" w:type="dxa"/>
            <w:tcBorders>
              <w:top w:val="nil"/>
              <w:left w:val="nil"/>
              <w:bottom w:val="nil"/>
              <w:right w:val="nil"/>
            </w:tcBorders>
            <w:shd w:val="clear" w:color="auto" w:fill="auto"/>
            <w:noWrap/>
            <w:vAlign w:val="bottom"/>
            <w:hideMark/>
          </w:tcPr>
          <w:p w14:paraId="5513936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LNG </w:t>
            </w:r>
          </w:p>
        </w:tc>
        <w:tc>
          <w:tcPr>
            <w:tcW w:w="8653" w:type="dxa"/>
            <w:tcBorders>
              <w:top w:val="nil"/>
              <w:left w:val="nil"/>
              <w:bottom w:val="nil"/>
              <w:right w:val="nil"/>
            </w:tcBorders>
            <w:shd w:val="clear" w:color="auto" w:fill="auto"/>
            <w:noWrap/>
            <w:vAlign w:val="bottom"/>
            <w:hideMark/>
          </w:tcPr>
          <w:p w14:paraId="6B09E367" w14:textId="77777777" w:rsidR="0064705F" w:rsidRPr="007E5633" w:rsidRDefault="00F61E5D" w:rsidP="0064705F">
            <w:pPr>
              <w:suppressAutoHyphens w:val="0"/>
              <w:autoSpaceDN/>
              <w:spacing w:after="0" w:line="240" w:lineRule="auto"/>
              <w:textAlignment w:val="auto"/>
              <w:rPr>
                <w:rFonts w:ascii="Arial" w:eastAsia="Times New Roman" w:hAnsi="Arial" w:cs="Arial"/>
                <w:color w:val="000000"/>
                <w:lang w:val="uk-UA" w:eastAsia="en-GB"/>
              </w:rPr>
            </w:pPr>
            <w:r>
              <w:rPr>
                <w:rFonts w:ascii="Arial" w:eastAsia="Times New Roman" w:hAnsi="Arial" w:cs="Arial"/>
                <w:color w:val="000000"/>
                <w:lang w:val="uk-UA" w:eastAsia="en-GB"/>
              </w:rPr>
              <w:t>Скраплений (</w:t>
            </w:r>
            <w:r w:rsidR="0064705F" w:rsidRPr="007E5633">
              <w:rPr>
                <w:rFonts w:ascii="Arial" w:eastAsia="Times New Roman" w:hAnsi="Arial" w:cs="Arial"/>
                <w:color w:val="000000"/>
                <w:lang w:val="uk-UA" w:eastAsia="en-GB"/>
              </w:rPr>
              <w:t>Зріджений</w:t>
            </w:r>
            <w:r>
              <w:rPr>
                <w:rFonts w:ascii="Arial" w:eastAsia="Times New Roman" w:hAnsi="Arial" w:cs="Arial"/>
                <w:color w:val="000000"/>
                <w:lang w:val="uk-UA" w:eastAsia="en-GB"/>
              </w:rPr>
              <w:t>)</w:t>
            </w:r>
            <w:r w:rsidR="0064705F" w:rsidRPr="007E5633">
              <w:rPr>
                <w:rFonts w:ascii="Arial" w:eastAsia="Times New Roman" w:hAnsi="Arial" w:cs="Arial"/>
                <w:color w:val="000000"/>
                <w:lang w:val="uk-UA" w:eastAsia="en-GB"/>
              </w:rPr>
              <w:t xml:space="preserve"> природний газ</w:t>
            </w:r>
            <w:r>
              <w:rPr>
                <w:rFonts w:ascii="Arial" w:eastAsia="Times New Roman" w:hAnsi="Arial" w:cs="Arial"/>
                <w:color w:val="000000"/>
                <w:lang w:val="uk-UA" w:eastAsia="en-GB"/>
              </w:rPr>
              <w:t xml:space="preserve"> (СПГ)</w:t>
            </w:r>
          </w:p>
        </w:tc>
      </w:tr>
      <w:tr w:rsidR="0064705F" w:rsidRPr="007E5633" w14:paraId="607F8F9E" w14:textId="77777777" w:rsidTr="0064705F">
        <w:trPr>
          <w:trHeight w:val="300"/>
        </w:trPr>
        <w:tc>
          <w:tcPr>
            <w:tcW w:w="783" w:type="dxa"/>
            <w:tcBorders>
              <w:top w:val="nil"/>
              <w:left w:val="nil"/>
              <w:bottom w:val="nil"/>
              <w:right w:val="nil"/>
            </w:tcBorders>
            <w:shd w:val="clear" w:color="auto" w:fill="auto"/>
            <w:noWrap/>
            <w:vAlign w:val="bottom"/>
            <w:hideMark/>
          </w:tcPr>
          <w:p w14:paraId="5C98C99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LPG </w:t>
            </w:r>
          </w:p>
        </w:tc>
        <w:tc>
          <w:tcPr>
            <w:tcW w:w="8653" w:type="dxa"/>
            <w:tcBorders>
              <w:top w:val="nil"/>
              <w:left w:val="nil"/>
              <w:bottom w:val="nil"/>
              <w:right w:val="nil"/>
            </w:tcBorders>
            <w:shd w:val="clear" w:color="auto" w:fill="auto"/>
            <w:noWrap/>
            <w:vAlign w:val="bottom"/>
            <w:hideMark/>
          </w:tcPr>
          <w:p w14:paraId="6C7BB299" w14:textId="77777777" w:rsidR="0064705F" w:rsidRPr="007E5633" w:rsidRDefault="00F61E5D" w:rsidP="0064705F">
            <w:pPr>
              <w:suppressAutoHyphens w:val="0"/>
              <w:autoSpaceDN/>
              <w:spacing w:after="0" w:line="240" w:lineRule="auto"/>
              <w:textAlignment w:val="auto"/>
              <w:rPr>
                <w:rFonts w:ascii="Arial" w:eastAsia="Times New Roman" w:hAnsi="Arial" w:cs="Arial"/>
                <w:color w:val="000000"/>
                <w:lang w:val="uk-UA" w:eastAsia="en-GB"/>
              </w:rPr>
            </w:pPr>
            <w:r>
              <w:rPr>
                <w:rFonts w:ascii="Arial" w:eastAsia="Times New Roman" w:hAnsi="Arial" w:cs="Arial"/>
                <w:color w:val="000000"/>
                <w:lang w:val="uk-UA" w:eastAsia="en-GB"/>
              </w:rPr>
              <w:t>Скраплений (</w:t>
            </w:r>
            <w:r w:rsidR="0064705F" w:rsidRPr="007E5633">
              <w:rPr>
                <w:rFonts w:ascii="Arial" w:eastAsia="Times New Roman" w:hAnsi="Arial" w:cs="Arial"/>
                <w:color w:val="000000"/>
                <w:lang w:val="uk-UA" w:eastAsia="en-GB"/>
              </w:rPr>
              <w:t>Зріджений</w:t>
            </w:r>
            <w:r>
              <w:rPr>
                <w:rFonts w:ascii="Arial" w:eastAsia="Times New Roman" w:hAnsi="Arial" w:cs="Arial"/>
                <w:color w:val="000000"/>
                <w:lang w:val="uk-UA" w:eastAsia="en-GB"/>
              </w:rPr>
              <w:t>)</w:t>
            </w:r>
            <w:r w:rsidR="0064705F" w:rsidRPr="007E5633">
              <w:rPr>
                <w:rFonts w:ascii="Arial" w:eastAsia="Times New Roman" w:hAnsi="Arial" w:cs="Arial"/>
                <w:color w:val="000000"/>
                <w:lang w:val="uk-UA" w:eastAsia="en-GB"/>
              </w:rPr>
              <w:t xml:space="preserve"> нафтовий газ</w:t>
            </w:r>
          </w:p>
        </w:tc>
      </w:tr>
      <w:tr w:rsidR="0064705F" w:rsidRPr="007E5633" w14:paraId="62F9E834" w14:textId="77777777" w:rsidTr="0064705F">
        <w:trPr>
          <w:trHeight w:val="300"/>
        </w:trPr>
        <w:tc>
          <w:tcPr>
            <w:tcW w:w="783" w:type="dxa"/>
            <w:tcBorders>
              <w:top w:val="nil"/>
              <w:left w:val="nil"/>
              <w:bottom w:val="nil"/>
              <w:right w:val="nil"/>
            </w:tcBorders>
            <w:shd w:val="clear" w:color="auto" w:fill="auto"/>
            <w:noWrap/>
            <w:vAlign w:val="bottom"/>
            <w:hideMark/>
          </w:tcPr>
          <w:p w14:paraId="18B579F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LSOs</w:t>
            </w:r>
          </w:p>
        </w:tc>
        <w:tc>
          <w:tcPr>
            <w:tcW w:w="8653" w:type="dxa"/>
            <w:tcBorders>
              <w:top w:val="nil"/>
              <w:left w:val="nil"/>
              <w:bottom w:val="nil"/>
              <w:right w:val="nil"/>
            </w:tcBorders>
            <w:shd w:val="clear" w:color="auto" w:fill="auto"/>
            <w:noWrap/>
            <w:vAlign w:val="bottom"/>
            <w:hideMark/>
          </w:tcPr>
          <w:p w14:paraId="0513C85A"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Оператори системи СПГ</w:t>
            </w:r>
          </w:p>
        </w:tc>
      </w:tr>
      <w:tr w:rsidR="0064705F" w:rsidRPr="007E5633" w14:paraId="73FFDFD9" w14:textId="77777777" w:rsidTr="0064705F">
        <w:trPr>
          <w:trHeight w:val="300"/>
        </w:trPr>
        <w:tc>
          <w:tcPr>
            <w:tcW w:w="783" w:type="dxa"/>
            <w:tcBorders>
              <w:top w:val="nil"/>
              <w:left w:val="nil"/>
              <w:bottom w:val="nil"/>
              <w:right w:val="nil"/>
            </w:tcBorders>
            <w:shd w:val="clear" w:color="auto" w:fill="auto"/>
            <w:noWrap/>
            <w:vAlign w:val="bottom"/>
            <w:hideMark/>
          </w:tcPr>
          <w:p w14:paraId="284E05F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MAC </w:t>
            </w:r>
          </w:p>
        </w:tc>
        <w:tc>
          <w:tcPr>
            <w:tcW w:w="8653" w:type="dxa"/>
            <w:tcBorders>
              <w:top w:val="nil"/>
              <w:left w:val="nil"/>
              <w:bottom w:val="nil"/>
              <w:right w:val="nil"/>
            </w:tcBorders>
            <w:shd w:val="clear" w:color="auto" w:fill="auto"/>
            <w:noWrap/>
            <w:vAlign w:val="bottom"/>
            <w:hideMark/>
          </w:tcPr>
          <w:p w14:paraId="5448480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Значні негативні зміни</w:t>
            </w:r>
          </w:p>
        </w:tc>
      </w:tr>
      <w:tr w:rsidR="0064705F" w:rsidRPr="007E5633" w14:paraId="18146578" w14:textId="77777777" w:rsidTr="0064705F">
        <w:trPr>
          <w:trHeight w:val="300"/>
        </w:trPr>
        <w:tc>
          <w:tcPr>
            <w:tcW w:w="783" w:type="dxa"/>
            <w:tcBorders>
              <w:top w:val="nil"/>
              <w:left w:val="nil"/>
              <w:bottom w:val="nil"/>
              <w:right w:val="nil"/>
            </w:tcBorders>
            <w:shd w:val="clear" w:color="auto" w:fill="auto"/>
            <w:noWrap/>
            <w:vAlign w:val="bottom"/>
            <w:hideMark/>
          </w:tcPr>
          <w:p w14:paraId="3A3B879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MAD </w:t>
            </w:r>
          </w:p>
        </w:tc>
        <w:tc>
          <w:tcPr>
            <w:tcW w:w="8653" w:type="dxa"/>
            <w:tcBorders>
              <w:top w:val="nil"/>
              <w:left w:val="nil"/>
              <w:bottom w:val="nil"/>
              <w:right w:val="nil"/>
            </w:tcBorders>
            <w:shd w:val="clear" w:color="auto" w:fill="auto"/>
            <w:noWrap/>
            <w:vAlign w:val="bottom"/>
            <w:hideMark/>
          </w:tcPr>
          <w:p w14:paraId="18CD53C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Директива про зловживання на ринку</w:t>
            </w:r>
          </w:p>
        </w:tc>
      </w:tr>
      <w:tr w:rsidR="0064705F" w:rsidRPr="007E5633" w14:paraId="11B8C745" w14:textId="77777777" w:rsidTr="0064705F">
        <w:trPr>
          <w:trHeight w:val="300"/>
        </w:trPr>
        <w:tc>
          <w:tcPr>
            <w:tcW w:w="783" w:type="dxa"/>
            <w:tcBorders>
              <w:top w:val="nil"/>
              <w:left w:val="nil"/>
              <w:bottom w:val="nil"/>
              <w:right w:val="nil"/>
            </w:tcBorders>
            <w:shd w:val="clear" w:color="auto" w:fill="auto"/>
            <w:noWrap/>
            <w:vAlign w:val="bottom"/>
            <w:hideMark/>
          </w:tcPr>
          <w:p w14:paraId="6185747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MAR </w:t>
            </w:r>
          </w:p>
        </w:tc>
        <w:tc>
          <w:tcPr>
            <w:tcW w:w="8653" w:type="dxa"/>
            <w:tcBorders>
              <w:top w:val="nil"/>
              <w:left w:val="nil"/>
              <w:bottom w:val="nil"/>
              <w:right w:val="nil"/>
            </w:tcBorders>
            <w:shd w:val="clear" w:color="auto" w:fill="auto"/>
            <w:noWrap/>
            <w:vAlign w:val="bottom"/>
            <w:hideMark/>
          </w:tcPr>
          <w:p w14:paraId="57D1410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Регламент про зловживання на ринку</w:t>
            </w:r>
          </w:p>
        </w:tc>
      </w:tr>
      <w:tr w:rsidR="0064705F" w:rsidRPr="007E5633" w14:paraId="6346344B" w14:textId="77777777" w:rsidTr="0064705F">
        <w:trPr>
          <w:trHeight w:val="300"/>
        </w:trPr>
        <w:tc>
          <w:tcPr>
            <w:tcW w:w="783" w:type="dxa"/>
            <w:tcBorders>
              <w:top w:val="nil"/>
              <w:left w:val="nil"/>
              <w:bottom w:val="nil"/>
              <w:right w:val="nil"/>
            </w:tcBorders>
            <w:shd w:val="clear" w:color="auto" w:fill="auto"/>
            <w:noWrap/>
            <w:vAlign w:val="bottom"/>
            <w:hideMark/>
          </w:tcPr>
          <w:p w14:paraId="78C1631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MiFID </w:t>
            </w:r>
          </w:p>
        </w:tc>
        <w:tc>
          <w:tcPr>
            <w:tcW w:w="8653" w:type="dxa"/>
            <w:tcBorders>
              <w:top w:val="nil"/>
              <w:left w:val="nil"/>
              <w:bottom w:val="nil"/>
              <w:right w:val="nil"/>
            </w:tcBorders>
            <w:shd w:val="clear" w:color="auto" w:fill="auto"/>
            <w:noWrap/>
            <w:vAlign w:val="bottom"/>
            <w:hideMark/>
          </w:tcPr>
          <w:p w14:paraId="2E03CFC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Директива про ринки фінансових інструментів</w:t>
            </w:r>
          </w:p>
        </w:tc>
      </w:tr>
      <w:tr w:rsidR="0064705F" w:rsidRPr="007E5633" w14:paraId="463DD8F5" w14:textId="77777777" w:rsidTr="0064705F">
        <w:trPr>
          <w:trHeight w:val="300"/>
        </w:trPr>
        <w:tc>
          <w:tcPr>
            <w:tcW w:w="783" w:type="dxa"/>
            <w:tcBorders>
              <w:top w:val="nil"/>
              <w:left w:val="nil"/>
              <w:bottom w:val="nil"/>
              <w:right w:val="nil"/>
            </w:tcBorders>
            <w:shd w:val="clear" w:color="auto" w:fill="auto"/>
            <w:noWrap/>
            <w:vAlign w:val="bottom"/>
            <w:hideMark/>
          </w:tcPr>
          <w:p w14:paraId="175113E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MiFIR </w:t>
            </w:r>
          </w:p>
        </w:tc>
        <w:tc>
          <w:tcPr>
            <w:tcW w:w="8653" w:type="dxa"/>
            <w:tcBorders>
              <w:top w:val="nil"/>
              <w:left w:val="nil"/>
              <w:bottom w:val="nil"/>
              <w:right w:val="nil"/>
            </w:tcBorders>
            <w:shd w:val="clear" w:color="auto" w:fill="auto"/>
            <w:noWrap/>
            <w:vAlign w:val="bottom"/>
            <w:hideMark/>
          </w:tcPr>
          <w:p w14:paraId="1C74C1D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Регламент про ринки фінансових інструментів</w:t>
            </w:r>
          </w:p>
        </w:tc>
      </w:tr>
      <w:tr w:rsidR="0064705F" w:rsidRPr="007E5633" w14:paraId="46E51267" w14:textId="77777777" w:rsidTr="0064705F">
        <w:trPr>
          <w:trHeight w:val="300"/>
        </w:trPr>
        <w:tc>
          <w:tcPr>
            <w:tcW w:w="783" w:type="dxa"/>
            <w:tcBorders>
              <w:top w:val="nil"/>
              <w:left w:val="nil"/>
              <w:bottom w:val="nil"/>
              <w:right w:val="nil"/>
            </w:tcBorders>
            <w:shd w:val="clear" w:color="auto" w:fill="auto"/>
            <w:noWrap/>
            <w:vAlign w:val="bottom"/>
            <w:hideMark/>
          </w:tcPr>
          <w:p w14:paraId="4DB9062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MJoules </w:t>
            </w:r>
          </w:p>
        </w:tc>
        <w:tc>
          <w:tcPr>
            <w:tcW w:w="8653" w:type="dxa"/>
            <w:tcBorders>
              <w:top w:val="nil"/>
              <w:left w:val="nil"/>
              <w:bottom w:val="nil"/>
              <w:right w:val="nil"/>
            </w:tcBorders>
            <w:shd w:val="clear" w:color="auto" w:fill="auto"/>
            <w:noWrap/>
            <w:vAlign w:val="bottom"/>
            <w:hideMark/>
          </w:tcPr>
          <w:p w14:paraId="4E2D9CC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Мега Джоулі</w:t>
            </w:r>
          </w:p>
        </w:tc>
      </w:tr>
      <w:tr w:rsidR="0064705F" w:rsidRPr="007E5633" w14:paraId="60965C57" w14:textId="77777777" w:rsidTr="0064705F">
        <w:trPr>
          <w:trHeight w:val="300"/>
        </w:trPr>
        <w:tc>
          <w:tcPr>
            <w:tcW w:w="783" w:type="dxa"/>
            <w:tcBorders>
              <w:top w:val="nil"/>
              <w:left w:val="nil"/>
              <w:bottom w:val="nil"/>
              <w:right w:val="nil"/>
            </w:tcBorders>
            <w:shd w:val="clear" w:color="auto" w:fill="auto"/>
            <w:noWrap/>
            <w:vAlign w:val="bottom"/>
            <w:hideMark/>
          </w:tcPr>
          <w:p w14:paraId="5CFFE08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MTFs </w:t>
            </w:r>
          </w:p>
        </w:tc>
        <w:tc>
          <w:tcPr>
            <w:tcW w:w="8653" w:type="dxa"/>
            <w:tcBorders>
              <w:top w:val="nil"/>
              <w:left w:val="nil"/>
              <w:bottom w:val="nil"/>
              <w:right w:val="nil"/>
            </w:tcBorders>
            <w:shd w:val="clear" w:color="auto" w:fill="auto"/>
            <w:noWrap/>
            <w:vAlign w:val="bottom"/>
            <w:hideMark/>
          </w:tcPr>
          <w:p w14:paraId="5F5525C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Багатосторонні торгові платформи</w:t>
            </w:r>
          </w:p>
        </w:tc>
      </w:tr>
      <w:tr w:rsidR="0064705F" w:rsidRPr="007E5633" w14:paraId="3CE7438C" w14:textId="77777777" w:rsidTr="0064705F">
        <w:trPr>
          <w:trHeight w:val="300"/>
        </w:trPr>
        <w:tc>
          <w:tcPr>
            <w:tcW w:w="783" w:type="dxa"/>
            <w:tcBorders>
              <w:top w:val="nil"/>
              <w:left w:val="nil"/>
              <w:bottom w:val="nil"/>
              <w:right w:val="nil"/>
            </w:tcBorders>
            <w:shd w:val="clear" w:color="auto" w:fill="auto"/>
            <w:noWrap/>
            <w:vAlign w:val="bottom"/>
            <w:hideMark/>
          </w:tcPr>
          <w:p w14:paraId="03615FC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MtM </w:t>
            </w:r>
          </w:p>
        </w:tc>
        <w:tc>
          <w:tcPr>
            <w:tcW w:w="8653" w:type="dxa"/>
            <w:tcBorders>
              <w:top w:val="nil"/>
              <w:left w:val="nil"/>
              <w:bottom w:val="nil"/>
              <w:right w:val="nil"/>
            </w:tcBorders>
            <w:shd w:val="clear" w:color="auto" w:fill="auto"/>
            <w:noWrap/>
            <w:vAlign w:val="bottom"/>
            <w:hideMark/>
          </w:tcPr>
          <w:p w14:paraId="49A43DE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Система оцінки активів за останніми ринковими цінами</w:t>
            </w:r>
          </w:p>
        </w:tc>
      </w:tr>
      <w:tr w:rsidR="0064705F" w:rsidRPr="007E5633" w14:paraId="0D5B3327" w14:textId="77777777" w:rsidTr="0064705F">
        <w:trPr>
          <w:trHeight w:val="300"/>
        </w:trPr>
        <w:tc>
          <w:tcPr>
            <w:tcW w:w="783" w:type="dxa"/>
            <w:tcBorders>
              <w:top w:val="nil"/>
              <w:left w:val="nil"/>
              <w:bottom w:val="nil"/>
              <w:right w:val="nil"/>
            </w:tcBorders>
            <w:shd w:val="clear" w:color="auto" w:fill="auto"/>
            <w:noWrap/>
            <w:vAlign w:val="bottom"/>
            <w:hideMark/>
          </w:tcPr>
          <w:p w14:paraId="0F17250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MW </w:t>
            </w:r>
          </w:p>
        </w:tc>
        <w:tc>
          <w:tcPr>
            <w:tcW w:w="8653" w:type="dxa"/>
            <w:tcBorders>
              <w:top w:val="nil"/>
              <w:left w:val="nil"/>
              <w:bottom w:val="nil"/>
              <w:right w:val="nil"/>
            </w:tcBorders>
            <w:shd w:val="clear" w:color="auto" w:fill="auto"/>
            <w:noWrap/>
            <w:vAlign w:val="bottom"/>
            <w:hideMark/>
          </w:tcPr>
          <w:p w14:paraId="05F46F3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Мегават</w:t>
            </w:r>
          </w:p>
        </w:tc>
      </w:tr>
      <w:tr w:rsidR="0064705F" w:rsidRPr="007E5633" w14:paraId="55039B32" w14:textId="77777777" w:rsidTr="0064705F">
        <w:trPr>
          <w:trHeight w:val="300"/>
        </w:trPr>
        <w:tc>
          <w:tcPr>
            <w:tcW w:w="783" w:type="dxa"/>
            <w:tcBorders>
              <w:top w:val="nil"/>
              <w:left w:val="nil"/>
              <w:bottom w:val="nil"/>
              <w:right w:val="nil"/>
            </w:tcBorders>
            <w:shd w:val="clear" w:color="auto" w:fill="auto"/>
            <w:noWrap/>
            <w:vAlign w:val="bottom"/>
            <w:hideMark/>
          </w:tcPr>
          <w:p w14:paraId="7EC60C0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NBP </w:t>
            </w:r>
          </w:p>
        </w:tc>
        <w:tc>
          <w:tcPr>
            <w:tcW w:w="8653" w:type="dxa"/>
            <w:tcBorders>
              <w:top w:val="nil"/>
              <w:left w:val="nil"/>
              <w:bottom w:val="nil"/>
              <w:right w:val="nil"/>
            </w:tcBorders>
            <w:shd w:val="clear" w:color="auto" w:fill="auto"/>
            <w:noWrap/>
            <w:vAlign w:val="bottom"/>
            <w:hideMark/>
          </w:tcPr>
          <w:p w14:paraId="0EC920FF"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Національна балансова точка</w:t>
            </w:r>
          </w:p>
        </w:tc>
      </w:tr>
      <w:tr w:rsidR="0064705F" w:rsidRPr="007E5633" w14:paraId="65040465" w14:textId="77777777" w:rsidTr="0064705F">
        <w:trPr>
          <w:trHeight w:val="300"/>
        </w:trPr>
        <w:tc>
          <w:tcPr>
            <w:tcW w:w="783" w:type="dxa"/>
            <w:tcBorders>
              <w:top w:val="nil"/>
              <w:left w:val="nil"/>
              <w:bottom w:val="nil"/>
              <w:right w:val="nil"/>
            </w:tcBorders>
            <w:shd w:val="clear" w:color="auto" w:fill="auto"/>
            <w:noWrap/>
            <w:vAlign w:val="bottom"/>
            <w:hideMark/>
          </w:tcPr>
          <w:p w14:paraId="0665AEB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NBU </w:t>
            </w:r>
          </w:p>
        </w:tc>
        <w:tc>
          <w:tcPr>
            <w:tcW w:w="8653" w:type="dxa"/>
            <w:tcBorders>
              <w:top w:val="nil"/>
              <w:left w:val="nil"/>
              <w:bottom w:val="nil"/>
              <w:right w:val="nil"/>
            </w:tcBorders>
            <w:shd w:val="clear" w:color="auto" w:fill="auto"/>
            <w:noWrap/>
            <w:vAlign w:val="bottom"/>
            <w:hideMark/>
          </w:tcPr>
          <w:p w14:paraId="05ECB5B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Національний банк України</w:t>
            </w:r>
          </w:p>
        </w:tc>
      </w:tr>
      <w:tr w:rsidR="0064705F" w:rsidRPr="007E5633" w14:paraId="54EF384B" w14:textId="77777777" w:rsidTr="0064705F">
        <w:trPr>
          <w:trHeight w:val="300"/>
        </w:trPr>
        <w:tc>
          <w:tcPr>
            <w:tcW w:w="783" w:type="dxa"/>
            <w:tcBorders>
              <w:top w:val="nil"/>
              <w:left w:val="nil"/>
              <w:bottom w:val="nil"/>
              <w:right w:val="nil"/>
            </w:tcBorders>
            <w:shd w:val="clear" w:color="auto" w:fill="auto"/>
            <w:noWrap/>
            <w:vAlign w:val="bottom"/>
            <w:hideMark/>
          </w:tcPr>
          <w:p w14:paraId="66298B8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NCA </w:t>
            </w:r>
          </w:p>
        </w:tc>
        <w:tc>
          <w:tcPr>
            <w:tcW w:w="8653" w:type="dxa"/>
            <w:tcBorders>
              <w:top w:val="nil"/>
              <w:left w:val="nil"/>
              <w:bottom w:val="nil"/>
              <w:right w:val="nil"/>
            </w:tcBorders>
            <w:shd w:val="clear" w:color="auto" w:fill="auto"/>
            <w:noWrap/>
            <w:vAlign w:val="bottom"/>
            <w:hideMark/>
          </w:tcPr>
          <w:p w14:paraId="62D9B48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Національний компетентний орган</w:t>
            </w:r>
          </w:p>
        </w:tc>
      </w:tr>
      <w:tr w:rsidR="0064705F" w:rsidRPr="007E5633" w14:paraId="349B194E" w14:textId="77777777" w:rsidTr="0064705F">
        <w:trPr>
          <w:trHeight w:val="300"/>
        </w:trPr>
        <w:tc>
          <w:tcPr>
            <w:tcW w:w="783" w:type="dxa"/>
            <w:tcBorders>
              <w:top w:val="nil"/>
              <w:left w:val="nil"/>
              <w:bottom w:val="nil"/>
              <w:right w:val="nil"/>
            </w:tcBorders>
            <w:shd w:val="clear" w:color="auto" w:fill="auto"/>
            <w:noWrap/>
            <w:vAlign w:val="bottom"/>
            <w:hideMark/>
          </w:tcPr>
          <w:p w14:paraId="784F7740"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NCG </w:t>
            </w:r>
          </w:p>
        </w:tc>
        <w:tc>
          <w:tcPr>
            <w:tcW w:w="8653" w:type="dxa"/>
            <w:tcBorders>
              <w:top w:val="nil"/>
              <w:left w:val="nil"/>
              <w:bottom w:val="nil"/>
              <w:right w:val="nil"/>
            </w:tcBorders>
            <w:shd w:val="clear" w:color="auto" w:fill="auto"/>
            <w:noWrap/>
            <w:vAlign w:val="bottom"/>
            <w:hideMark/>
          </w:tcPr>
          <w:p w14:paraId="1B9EC29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Net Connect Німеччина</w:t>
            </w:r>
          </w:p>
        </w:tc>
      </w:tr>
      <w:tr w:rsidR="0064705F" w:rsidRPr="007E5633" w14:paraId="0244C161" w14:textId="77777777" w:rsidTr="0064705F">
        <w:trPr>
          <w:trHeight w:val="300"/>
        </w:trPr>
        <w:tc>
          <w:tcPr>
            <w:tcW w:w="783" w:type="dxa"/>
            <w:tcBorders>
              <w:top w:val="nil"/>
              <w:left w:val="nil"/>
              <w:bottom w:val="nil"/>
              <w:right w:val="nil"/>
            </w:tcBorders>
            <w:shd w:val="clear" w:color="auto" w:fill="auto"/>
            <w:noWrap/>
            <w:vAlign w:val="bottom"/>
            <w:hideMark/>
          </w:tcPr>
          <w:p w14:paraId="3D269D0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NCM</w:t>
            </w:r>
          </w:p>
        </w:tc>
        <w:tc>
          <w:tcPr>
            <w:tcW w:w="8653" w:type="dxa"/>
            <w:tcBorders>
              <w:top w:val="nil"/>
              <w:left w:val="nil"/>
              <w:bottom w:val="nil"/>
              <w:right w:val="nil"/>
            </w:tcBorders>
            <w:shd w:val="clear" w:color="auto" w:fill="auto"/>
            <w:noWrap/>
            <w:vAlign w:val="bottom"/>
            <w:hideMark/>
          </w:tcPr>
          <w:p w14:paraId="0D61F6C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Некліринговий член</w:t>
            </w:r>
          </w:p>
        </w:tc>
      </w:tr>
      <w:tr w:rsidR="0064705F" w:rsidRPr="007E5633" w14:paraId="4102E062" w14:textId="77777777" w:rsidTr="0064705F">
        <w:trPr>
          <w:trHeight w:val="300"/>
        </w:trPr>
        <w:tc>
          <w:tcPr>
            <w:tcW w:w="783" w:type="dxa"/>
            <w:tcBorders>
              <w:top w:val="nil"/>
              <w:left w:val="nil"/>
              <w:bottom w:val="nil"/>
              <w:right w:val="nil"/>
            </w:tcBorders>
            <w:shd w:val="clear" w:color="auto" w:fill="auto"/>
            <w:noWrap/>
            <w:vAlign w:val="bottom"/>
            <w:hideMark/>
          </w:tcPr>
          <w:p w14:paraId="22BB699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NFC </w:t>
            </w:r>
          </w:p>
        </w:tc>
        <w:tc>
          <w:tcPr>
            <w:tcW w:w="8653" w:type="dxa"/>
            <w:tcBorders>
              <w:top w:val="nil"/>
              <w:left w:val="nil"/>
              <w:bottom w:val="nil"/>
              <w:right w:val="nil"/>
            </w:tcBorders>
            <w:shd w:val="clear" w:color="auto" w:fill="auto"/>
            <w:noWrap/>
            <w:vAlign w:val="bottom"/>
            <w:hideMark/>
          </w:tcPr>
          <w:p w14:paraId="0ACEF7B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Нефінансовий контрагент</w:t>
            </w:r>
          </w:p>
        </w:tc>
      </w:tr>
      <w:tr w:rsidR="0064705F" w:rsidRPr="007E5633" w14:paraId="7545FDD6" w14:textId="77777777" w:rsidTr="0064705F">
        <w:trPr>
          <w:trHeight w:val="300"/>
        </w:trPr>
        <w:tc>
          <w:tcPr>
            <w:tcW w:w="783" w:type="dxa"/>
            <w:tcBorders>
              <w:top w:val="nil"/>
              <w:left w:val="nil"/>
              <w:bottom w:val="nil"/>
              <w:right w:val="nil"/>
            </w:tcBorders>
            <w:shd w:val="clear" w:color="auto" w:fill="auto"/>
            <w:noWrap/>
            <w:vAlign w:val="bottom"/>
            <w:hideMark/>
          </w:tcPr>
          <w:p w14:paraId="2666D77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NOP </w:t>
            </w:r>
          </w:p>
        </w:tc>
        <w:tc>
          <w:tcPr>
            <w:tcW w:w="8653" w:type="dxa"/>
            <w:tcBorders>
              <w:top w:val="nil"/>
              <w:left w:val="nil"/>
              <w:bottom w:val="nil"/>
              <w:right w:val="nil"/>
            </w:tcBorders>
            <w:shd w:val="clear" w:color="auto" w:fill="auto"/>
            <w:noWrap/>
            <w:vAlign w:val="bottom"/>
            <w:hideMark/>
          </w:tcPr>
          <w:p w14:paraId="526484C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Принципи роботи мережі</w:t>
            </w:r>
          </w:p>
        </w:tc>
      </w:tr>
      <w:tr w:rsidR="0064705F" w:rsidRPr="007E5633" w14:paraId="7A005512" w14:textId="77777777" w:rsidTr="0064705F">
        <w:trPr>
          <w:trHeight w:val="300"/>
        </w:trPr>
        <w:tc>
          <w:tcPr>
            <w:tcW w:w="783" w:type="dxa"/>
            <w:tcBorders>
              <w:top w:val="nil"/>
              <w:left w:val="nil"/>
              <w:bottom w:val="nil"/>
              <w:right w:val="nil"/>
            </w:tcBorders>
            <w:shd w:val="clear" w:color="auto" w:fill="auto"/>
            <w:noWrap/>
            <w:vAlign w:val="bottom"/>
            <w:hideMark/>
          </w:tcPr>
          <w:p w14:paraId="1927E22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NRAs </w:t>
            </w:r>
          </w:p>
        </w:tc>
        <w:tc>
          <w:tcPr>
            <w:tcW w:w="8653" w:type="dxa"/>
            <w:tcBorders>
              <w:top w:val="nil"/>
              <w:left w:val="nil"/>
              <w:bottom w:val="nil"/>
              <w:right w:val="nil"/>
            </w:tcBorders>
            <w:shd w:val="clear" w:color="auto" w:fill="auto"/>
            <w:noWrap/>
            <w:vAlign w:val="bottom"/>
            <w:hideMark/>
          </w:tcPr>
          <w:p w14:paraId="2A1B726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Національні регуляторні органи</w:t>
            </w:r>
          </w:p>
        </w:tc>
      </w:tr>
      <w:tr w:rsidR="0064705F" w:rsidRPr="007E5633" w14:paraId="69EF5CF5" w14:textId="77777777" w:rsidTr="0064705F">
        <w:trPr>
          <w:trHeight w:val="300"/>
        </w:trPr>
        <w:tc>
          <w:tcPr>
            <w:tcW w:w="783" w:type="dxa"/>
            <w:tcBorders>
              <w:top w:val="nil"/>
              <w:left w:val="nil"/>
              <w:bottom w:val="nil"/>
              <w:right w:val="nil"/>
            </w:tcBorders>
            <w:shd w:val="clear" w:color="auto" w:fill="auto"/>
            <w:noWrap/>
            <w:vAlign w:val="bottom"/>
            <w:hideMark/>
          </w:tcPr>
          <w:p w14:paraId="79CC7F3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NSSMC </w:t>
            </w:r>
          </w:p>
        </w:tc>
        <w:tc>
          <w:tcPr>
            <w:tcW w:w="8653" w:type="dxa"/>
            <w:tcBorders>
              <w:top w:val="nil"/>
              <w:left w:val="nil"/>
              <w:bottom w:val="nil"/>
              <w:right w:val="nil"/>
            </w:tcBorders>
            <w:shd w:val="clear" w:color="auto" w:fill="auto"/>
            <w:noWrap/>
            <w:vAlign w:val="bottom"/>
            <w:hideMark/>
          </w:tcPr>
          <w:p w14:paraId="3539153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Національна комісія з цінних паперів та фондового ринку</w:t>
            </w:r>
          </w:p>
        </w:tc>
      </w:tr>
      <w:tr w:rsidR="0064705F" w:rsidRPr="007E5633" w14:paraId="11DDCF1D" w14:textId="77777777" w:rsidTr="0064705F">
        <w:trPr>
          <w:trHeight w:val="300"/>
        </w:trPr>
        <w:tc>
          <w:tcPr>
            <w:tcW w:w="783" w:type="dxa"/>
            <w:tcBorders>
              <w:top w:val="nil"/>
              <w:left w:val="nil"/>
              <w:bottom w:val="nil"/>
              <w:right w:val="nil"/>
            </w:tcBorders>
            <w:shd w:val="clear" w:color="auto" w:fill="auto"/>
            <w:noWrap/>
            <w:vAlign w:val="bottom"/>
            <w:hideMark/>
          </w:tcPr>
          <w:p w14:paraId="1ECE008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OMP </w:t>
            </w:r>
          </w:p>
        </w:tc>
        <w:tc>
          <w:tcPr>
            <w:tcW w:w="8653" w:type="dxa"/>
            <w:tcBorders>
              <w:top w:val="nil"/>
              <w:left w:val="nil"/>
              <w:bottom w:val="nil"/>
              <w:right w:val="nil"/>
            </w:tcBorders>
            <w:shd w:val="clear" w:color="auto" w:fill="auto"/>
            <w:noWrap/>
            <w:vAlign w:val="bottom"/>
            <w:hideMark/>
          </w:tcPr>
          <w:p w14:paraId="5FF695CD"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Організовані ринкові майданчики</w:t>
            </w:r>
          </w:p>
        </w:tc>
      </w:tr>
      <w:tr w:rsidR="0064705F" w:rsidRPr="007E5633" w14:paraId="36207764" w14:textId="77777777" w:rsidTr="0064705F">
        <w:trPr>
          <w:trHeight w:val="300"/>
        </w:trPr>
        <w:tc>
          <w:tcPr>
            <w:tcW w:w="783" w:type="dxa"/>
            <w:tcBorders>
              <w:top w:val="nil"/>
              <w:left w:val="nil"/>
              <w:bottom w:val="nil"/>
              <w:right w:val="nil"/>
            </w:tcBorders>
            <w:shd w:val="clear" w:color="auto" w:fill="auto"/>
            <w:noWrap/>
            <w:vAlign w:val="bottom"/>
            <w:hideMark/>
          </w:tcPr>
          <w:p w14:paraId="055F45C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OS </w:t>
            </w:r>
          </w:p>
        </w:tc>
        <w:tc>
          <w:tcPr>
            <w:tcW w:w="8653" w:type="dxa"/>
            <w:tcBorders>
              <w:top w:val="nil"/>
              <w:left w:val="nil"/>
              <w:bottom w:val="nil"/>
              <w:right w:val="nil"/>
            </w:tcBorders>
            <w:shd w:val="clear" w:color="auto" w:fill="auto"/>
            <w:noWrap/>
            <w:vAlign w:val="bottom"/>
            <w:hideMark/>
          </w:tcPr>
          <w:p w14:paraId="3303DC20"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Операційна система</w:t>
            </w:r>
          </w:p>
        </w:tc>
      </w:tr>
      <w:tr w:rsidR="0064705F" w:rsidRPr="007E5633" w14:paraId="53CD045C" w14:textId="77777777" w:rsidTr="0064705F">
        <w:trPr>
          <w:trHeight w:val="300"/>
        </w:trPr>
        <w:tc>
          <w:tcPr>
            <w:tcW w:w="783" w:type="dxa"/>
            <w:tcBorders>
              <w:top w:val="nil"/>
              <w:left w:val="nil"/>
              <w:bottom w:val="nil"/>
              <w:right w:val="nil"/>
            </w:tcBorders>
            <w:shd w:val="clear" w:color="auto" w:fill="auto"/>
            <w:noWrap/>
            <w:vAlign w:val="bottom"/>
            <w:hideMark/>
          </w:tcPr>
          <w:p w14:paraId="169100E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OTF </w:t>
            </w:r>
          </w:p>
        </w:tc>
        <w:tc>
          <w:tcPr>
            <w:tcW w:w="8653" w:type="dxa"/>
            <w:tcBorders>
              <w:top w:val="nil"/>
              <w:left w:val="nil"/>
              <w:bottom w:val="nil"/>
              <w:right w:val="nil"/>
            </w:tcBorders>
            <w:shd w:val="clear" w:color="auto" w:fill="auto"/>
            <w:noWrap/>
            <w:vAlign w:val="bottom"/>
            <w:hideMark/>
          </w:tcPr>
          <w:p w14:paraId="53DCAC5B"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Організована торговельна платформа</w:t>
            </w:r>
          </w:p>
        </w:tc>
      </w:tr>
      <w:tr w:rsidR="0064705F" w:rsidRPr="007E5633" w14:paraId="01CFB745" w14:textId="77777777" w:rsidTr="0064705F">
        <w:trPr>
          <w:trHeight w:val="300"/>
        </w:trPr>
        <w:tc>
          <w:tcPr>
            <w:tcW w:w="783" w:type="dxa"/>
            <w:tcBorders>
              <w:top w:val="nil"/>
              <w:left w:val="nil"/>
              <w:bottom w:val="nil"/>
              <w:right w:val="nil"/>
            </w:tcBorders>
            <w:shd w:val="clear" w:color="auto" w:fill="auto"/>
            <w:noWrap/>
            <w:vAlign w:val="bottom"/>
            <w:hideMark/>
          </w:tcPr>
          <w:p w14:paraId="7B2D2D70"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lastRenderedPageBreak/>
              <w:t xml:space="preserve">OTC </w:t>
            </w:r>
          </w:p>
        </w:tc>
        <w:tc>
          <w:tcPr>
            <w:tcW w:w="8653" w:type="dxa"/>
            <w:tcBorders>
              <w:top w:val="nil"/>
              <w:left w:val="nil"/>
              <w:bottom w:val="nil"/>
              <w:right w:val="nil"/>
            </w:tcBorders>
            <w:shd w:val="clear" w:color="auto" w:fill="auto"/>
            <w:noWrap/>
            <w:vAlign w:val="bottom"/>
            <w:hideMark/>
          </w:tcPr>
          <w:p w14:paraId="0F3510B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Позабіржовий</w:t>
            </w:r>
          </w:p>
        </w:tc>
      </w:tr>
      <w:tr w:rsidR="0064705F" w:rsidRPr="007E5633" w14:paraId="128FC5C0" w14:textId="77777777" w:rsidTr="0064705F">
        <w:trPr>
          <w:trHeight w:val="300"/>
        </w:trPr>
        <w:tc>
          <w:tcPr>
            <w:tcW w:w="783" w:type="dxa"/>
            <w:tcBorders>
              <w:top w:val="nil"/>
              <w:left w:val="nil"/>
              <w:bottom w:val="nil"/>
              <w:right w:val="nil"/>
            </w:tcBorders>
            <w:shd w:val="clear" w:color="auto" w:fill="auto"/>
            <w:noWrap/>
            <w:vAlign w:val="bottom"/>
            <w:hideMark/>
          </w:tcPr>
          <w:p w14:paraId="18B683AC"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PEGAS </w:t>
            </w:r>
          </w:p>
        </w:tc>
        <w:tc>
          <w:tcPr>
            <w:tcW w:w="8653" w:type="dxa"/>
            <w:tcBorders>
              <w:top w:val="nil"/>
              <w:left w:val="nil"/>
              <w:bottom w:val="nil"/>
              <w:right w:val="nil"/>
            </w:tcBorders>
            <w:shd w:val="clear" w:color="auto" w:fill="auto"/>
            <w:noWrap/>
            <w:vAlign w:val="bottom"/>
            <w:hideMark/>
          </w:tcPr>
          <w:p w14:paraId="2CE61A6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Газова біржа, що належить компанії EEX POWERNEXT Group</w:t>
            </w:r>
          </w:p>
        </w:tc>
      </w:tr>
      <w:tr w:rsidR="0064705F" w:rsidRPr="007E5633" w14:paraId="3A695047" w14:textId="77777777" w:rsidTr="0064705F">
        <w:trPr>
          <w:trHeight w:val="300"/>
        </w:trPr>
        <w:tc>
          <w:tcPr>
            <w:tcW w:w="783" w:type="dxa"/>
            <w:tcBorders>
              <w:top w:val="nil"/>
              <w:left w:val="nil"/>
              <w:bottom w:val="nil"/>
              <w:right w:val="nil"/>
            </w:tcBorders>
            <w:shd w:val="clear" w:color="auto" w:fill="auto"/>
            <w:noWrap/>
            <w:vAlign w:val="bottom"/>
            <w:hideMark/>
          </w:tcPr>
          <w:p w14:paraId="30A2128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PWC </w:t>
            </w:r>
          </w:p>
        </w:tc>
        <w:tc>
          <w:tcPr>
            <w:tcW w:w="8653" w:type="dxa"/>
            <w:tcBorders>
              <w:top w:val="nil"/>
              <w:left w:val="nil"/>
              <w:bottom w:val="nil"/>
              <w:right w:val="nil"/>
            </w:tcBorders>
            <w:shd w:val="clear" w:color="auto" w:fill="auto"/>
            <w:noWrap/>
            <w:vAlign w:val="bottom"/>
            <w:hideMark/>
          </w:tcPr>
          <w:p w14:paraId="54AE366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Pricewaterhouse Coopers</w:t>
            </w:r>
          </w:p>
        </w:tc>
      </w:tr>
      <w:tr w:rsidR="0064705F" w:rsidRPr="007E5633" w14:paraId="74A50776" w14:textId="77777777" w:rsidTr="0064705F">
        <w:trPr>
          <w:trHeight w:val="300"/>
        </w:trPr>
        <w:tc>
          <w:tcPr>
            <w:tcW w:w="783" w:type="dxa"/>
            <w:tcBorders>
              <w:top w:val="nil"/>
              <w:left w:val="nil"/>
              <w:bottom w:val="nil"/>
              <w:right w:val="nil"/>
            </w:tcBorders>
            <w:shd w:val="clear" w:color="auto" w:fill="auto"/>
            <w:noWrap/>
            <w:vAlign w:val="bottom"/>
            <w:hideMark/>
          </w:tcPr>
          <w:p w14:paraId="7539853D"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REMIT </w:t>
            </w:r>
          </w:p>
        </w:tc>
        <w:tc>
          <w:tcPr>
            <w:tcW w:w="8653" w:type="dxa"/>
            <w:tcBorders>
              <w:top w:val="nil"/>
              <w:left w:val="nil"/>
              <w:bottom w:val="nil"/>
              <w:right w:val="nil"/>
            </w:tcBorders>
            <w:shd w:val="clear" w:color="auto" w:fill="auto"/>
            <w:noWrap/>
            <w:vAlign w:val="bottom"/>
            <w:hideMark/>
          </w:tcPr>
          <w:p w14:paraId="3AB9600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Положення ЄС про доброчесність та прозорість оптових енергетичних ринків</w:t>
            </w:r>
          </w:p>
        </w:tc>
      </w:tr>
      <w:tr w:rsidR="0064705F" w:rsidRPr="007E5633" w14:paraId="67A426AE" w14:textId="77777777" w:rsidTr="0064705F">
        <w:trPr>
          <w:trHeight w:val="300"/>
        </w:trPr>
        <w:tc>
          <w:tcPr>
            <w:tcW w:w="783" w:type="dxa"/>
            <w:tcBorders>
              <w:top w:val="nil"/>
              <w:left w:val="nil"/>
              <w:bottom w:val="nil"/>
              <w:right w:val="nil"/>
            </w:tcBorders>
            <w:shd w:val="clear" w:color="auto" w:fill="auto"/>
            <w:noWrap/>
            <w:vAlign w:val="bottom"/>
            <w:hideMark/>
          </w:tcPr>
          <w:p w14:paraId="7A1C38C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RES </w:t>
            </w:r>
          </w:p>
        </w:tc>
        <w:tc>
          <w:tcPr>
            <w:tcW w:w="8653" w:type="dxa"/>
            <w:tcBorders>
              <w:top w:val="nil"/>
              <w:left w:val="nil"/>
              <w:bottom w:val="nil"/>
              <w:right w:val="nil"/>
            </w:tcBorders>
            <w:shd w:val="clear" w:color="auto" w:fill="auto"/>
            <w:noWrap/>
            <w:vAlign w:val="bottom"/>
            <w:hideMark/>
          </w:tcPr>
          <w:p w14:paraId="27BBB890"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Відновлювані енергетичні системи</w:t>
            </w:r>
          </w:p>
        </w:tc>
      </w:tr>
      <w:tr w:rsidR="0064705F" w:rsidRPr="007E5633" w14:paraId="70227D33" w14:textId="77777777" w:rsidTr="0064705F">
        <w:trPr>
          <w:trHeight w:val="300"/>
        </w:trPr>
        <w:tc>
          <w:tcPr>
            <w:tcW w:w="783" w:type="dxa"/>
            <w:tcBorders>
              <w:top w:val="nil"/>
              <w:left w:val="nil"/>
              <w:bottom w:val="nil"/>
              <w:right w:val="nil"/>
            </w:tcBorders>
            <w:shd w:val="clear" w:color="auto" w:fill="auto"/>
            <w:noWrap/>
            <w:vAlign w:val="bottom"/>
            <w:hideMark/>
          </w:tcPr>
          <w:p w14:paraId="1F6CCE29"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RM </w:t>
            </w:r>
          </w:p>
        </w:tc>
        <w:tc>
          <w:tcPr>
            <w:tcW w:w="8653" w:type="dxa"/>
            <w:tcBorders>
              <w:top w:val="nil"/>
              <w:left w:val="nil"/>
              <w:bottom w:val="nil"/>
              <w:right w:val="nil"/>
            </w:tcBorders>
            <w:shd w:val="clear" w:color="auto" w:fill="auto"/>
            <w:noWrap/>
            <w:vAlign w:val="bottom"/>
            <w:hideMark/>
          </w:tcPr>
          <w:p w14:paraId="2C2DB26B"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Регульований ринок</w:t>
            </w:r>
            <w:r w:rsidR="00FA15CD">
              <w:rPr>
                <w:rFonts w:ascii="Arial" w:eastAsia="Times New Roman" w:hAnsi="Arial" w:cs="Arial"/>
                <w:color w:val="000000"/>
                <w:lang w:val="uk-UA" w:eastAsia="en-GB"/>
              </w:rPr>
              <w:t xml:space="preserve"> (майданчик)</w:t>
            </w:r>
          </w:p>
        </w:tc>
      </w:tr>
      <w:tr w:rsidR="0064705F" w:rsidRPr="007E5633" w14:paraId="5C183120" w14:textId="77777777" w:rsidTr="0064705F">
        <w:trPr>
          <w:trHeight w:val="300"/>
        </w:trPr>
        <w:tc>
          <w:tcPr>
            <w:tcW w:w="783" w:type="dxa"/>
            <w:tcBorders>
              <w:top w:val="nil"/>
              <w:left w:val="nil"/>
              <w:bottom w:val="nil"/>
              <w:right w:val="nil"/>
            </w:tcBorders>
            <w:shd w:val="clear" w:color="auto" w:fill="auto"/>
            <w:noWrap/>
            <w:vAlign w:val="bottom"/>
            <w:hideMark/>
          </w:tcPr>
          <w:p w14:paraId="7629EE8E"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RMS </w:t>
            </w:r>
          </w:p>
        </w:tc>
        <w:tc>
          <w:tcPr>
            <w:tcW w:w="8653" w:type="dxa"/>
            <w:tcBorders>
              <w:top w:val="nil"/>
              <w:left w:val="nil"/>
              <w:bottom w:val="nil"/>
              <w:right w:val="nil"/>
            </w:tcBorders>
            <w:shd w:val="clear" w:color="auto" w:fill="auto"/>
            <w:noWrap/>
            <w:vAlign w:val="bottom"/>
            <w:hideMark/>
          </w:tcPr>
          <w:p w14:paraId="41B1C67B"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Система управління ризиками</w:t>
            </w:r>
          </w:p>
        </w:tc>
      </w:tr>
      <w:tr w:rsidR="0064705F" w:rsidRPr="007E5633" w14:paraId="583A6D9E" w14:textId="77777777" w:rsidTr="0064705F">
        <w:trPr>
          <w:trHeight w:val="300"/>
        </w:trPr>
        <w:tc>
          <w:tcPr>
            <w:tcW w:w="783" w:type="dxa"/>
            <w:tcBorders>
              <w:top w:val="nil"/>
              <w:left w:val="nil"/>
              <w:bottom w:val="nil"/>
              <w:right w:val="nil"/>
            </w:tcBorders>
            <w:shd w:val="clear" w:color="auto" w:fill="auto"/>
            <w:noWrap/>
            <w:vAlign w:val="bottom"/>
            <w:hideMark/>
          </w:tcPr>
          <w:p w14:paraId="27218DA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RRM </w:t>
            </w:r>
          </w:p>
        </w:tc>
        <w:tc>
          <w:tcPr>
            <w:tcW w:w="8653" w:type="dxa"/>
            <w:tcBorders>
              <w:top w:val="nil"/>
              <w:left w:val="nil"/>
              <w:bottom w:val="nil"/>
              <w:right w:val="nil"/>
            </w:tcBorders>
            <w:shd w:val="clear" w:color="auto" w:fill="auto"/>
            <w:noWrap/>
            <w:vAlign w:val="bottom"/>
            <w:hideMark/>
          </w:tcPr>
          <w:p w14:paraId="4D4481F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Зареєстрований механізм звітування</w:t>
            </w:r>
          </w:p>
        </w:tc>
      </w:tr>
      <w:tr w:rsidR="0064705F" w:rsidRPr="007E5633" w14:paraId="54453036" w14:textId="77777777" w:rsidTr="0064705F">
        <w:trPr>
          <w:trHeight w:val="300"/>
        </w:trPr>
        <w:tc>
          <w:tcPr>
            <w:tcW w:w="783" w:type="dxa"/>
            <w:tcBorders>
              <w:top w:val="nil"/>
              <w:left w:val="nil"/>
              <w:bottom w:val="nil"/>
              <w:right w:val="nil"/>
            </w:tcBorders>
            <w:shd w:val="clear" w:color="auto" w:fill="auto"/>
            <w:noWrap/>
            <w:vAlign w:val="bottom"/>
            <w:hideMark/>
          </w:tcPr>
          <w:p w14:paraId="548C2987"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RTS </w:t>
            </w:r>
          </w:p>
        </w:tc>
        <w:tc>
          <w:tcPr>
            <w:tcW w:w="8653" w:type="dxa"/>
            <w:tcBorders>
              <w:top w:val="nil"/>
              <w:left w:val="nil"/>
              <w:bottom w:val="nil"/>
              <w:right w:val="nil"/>
            </w:tcBorders>
            <w:shd w:val="clear" w:color="auto" w:fill="auto"/>
            <w:noWrap/>
            <w:vAlign w:val="bottom"/>
            <w:hideMark/>
          </w:tcPr>
          <w:p w14:paraId="202205C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Регуляторні технічні стандарти</w:t>
            </w:r>
          </w:p>
        </w:tc>
      </w:tr>
      <w:tr w:rsidR="0064705F" w:rsidRPr="007E5633" w14:paraId="02C101F4" w14:textId="77777777" w:rsidTr="0064705F">
        <w:trPr>
          <w:trHeight w:val="300"/>
        </w:trPr>
        <w:tc>
          <w:tcPr>
            <w:tcW w:w="783" w:type="dxa"/>
            <w:tcBorders>
              <w:top w:val="nil"/>
              <w:left w:val="nil"/>
              <w:bottom w:val="nil"/>
              <w:right w:val="nil"/>
            </w:tcBorders>
            <w:shd w:val="clear" w:color="auto" w:fill="auto"/>
            <w:noWrap/>
            <w:vAlign w:val="bottom"/>
            <w:hideMark/>
          </w:tcPr>
          <w:p w14:paraId="7D575DEE"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SE </w:t>
            </w:r>
          </w:p>
        </w:tc>
        <w:tc>
          <w:tcPr>
            <w:tcW w:w="8653" w:type="dxa"/>
            <w:tcBorders>
              <w:top w:val="nil"/>
              <w:left w:val="nil"/>
              <w:bottom w:val="nil"/>
              <w:right w:val="nil"/>
            </w:tcBorders>
            <w:shd w:val="clear" w:color="auto" w:fill="auto"/>
            <w:noWrap/>
            <w:vAlign w:val="bottom"/>
            <w:hideMark/>
          </w:tcPr>
          <w:p w14:paraId="1BBB7D42"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Європейська компанія (Societas Europaea)</w:t>
            </w:r>
          </w:p>
        </w:tc>
      </w:tr>
      <w:tr w:rsidR="0064705F" w:rsidRPr="007E5633" w14:paraId="3DDF38ED" w14:textId="77777777" w:rsidTr="0064705F">
        <w:trPr>
          <w:trHeight w:val="300"/>
        </w:trPr>
        <w:tc>
          <w:tcPr>
            <w:tcW w:w="783" w:type="dxa"/>
            <w:tcBorders>
              <w:top w:val="nil"/>
              <w:left w:val="nil"/>
              <w:bottom w:val="nil"/>
              <w:right w:val="nil"/>
            </w:tcBorders>
            <w:shd w:val="clear" w:color="auto" w:fill="auto"/>
            <w:noWrap/>
            <w:vAlign w:val="bottom"/>
            <w:hideMark/>
          </w:tcPr>
          <w:p w14:paraId="4174B13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SMSS </w:t>
            </w:r>
          </w:p>
        </w:tc>
        <w:tc>
          <w:tcPr>
            <w:tcW w:w="8653" w:type="dxa"/>
            <w:tcBorders>
              <w:top w:val="nil"/>
              <w:left w:val="nil"/>
              <w:bottom w:val="nil"/>
              <w:right w:val="nil"/>
            </w:tcBorders>
            <w:shd w:val="clear" w:color="auto" w:fill="auto"/>
            <w:noWrap/>
            <w:vAlign w:val="bottom"/>
            <w:hideMark/>
          </w:tcPr>
          <w:p w14:paraId="34BFD1C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Розрахункова система ECC Spot</w:t>
            </w:r>
          </w:p>
        </w:tc>
      </w:tr>
      <w:tr w:rsidR="0064705F" w:rsidRPr="007E5633" w14:paraId="7F7184E9" w14:textId="77777777" w:rsidTr="0064705F">
        <w:trPr>
          <w:trHeight w:val="300"/>
        </w:trPr>
        <w:tc>
          <w:tcPr>
            <w:tcW w:w="783" w:type="dxa"/>
            <w:tcBorders>
              <w:top w:val="nil"/>
              <w:left w:val="nil"/>
              <w:bottom w:val="nil"/>
              <w:right w:val="nil"/>
            </w:tcBorders>
            <w:shd w:val="clear" w:color="auto" w:fill="auto"/>
            <w:noWrap/>
            <w:vAlign w:val="bottom"/>
            <w:hideMark/>
          </w:tcPr>
          <w:p w14:paraId="3797A51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SQL </w:t>
            </w:r>
          </w:p>
        </w:tc>
        <w:tc>
          <w:tcPr>
            <w:tcW w:w="8653" w:type="dxa"/>
            <w:tcBorders>
              <w:top w:val="nil"/>
              <w:left w:val="nil"/>
              <w:bottom w:val="nil"/>
              <w:right w:val="nil"/>
            </w:tcBorders>
            <w:shd w:val="clear" w:color="auto" w:fill="auto"/>
            <w:noWrap/>
            <w:vAlign w:val="bottom"/>
            <w:hideMark/>
          </w:tcPr>
          <w:p w14:paraId="4FA4C6F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Мова Структурованих Запитів</w:t>
            </w:r>
          </w:p>
        </w:tc>
      </w:tr>
      <w:tr w:rsidR="0064705F" w:rsidRPr="007E5633" w14:paraId="35ADB61D" w14:textId="77777777" w:rsidTr="0064705F">
        <w:trPr>
          <w:trHeight w:val="300"/>
        </w:trPr>
        <w:tc>
          <w:tcPr>
            <w:tcW w:w="783" w:type="dxa"/>
            <w:tcBorders>
              <w:top w:val="nil"/>
              <w:left w:val="nil"/>
              <w:bottom w:val="nil"/>
              <w:right w:val="nil"/>
            </w:tcBorders>
            <w:shd w:val="clear" w:color="auto" w:fill="auto"/>
            <w:noWrap/>
            <w:vAlign w:val="bottom"/>
            <w:hideMark/>
          </w:tcPr>
          <w:p w14:paraId="4104CBA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SSOs </w:t>
            </w:r>
          </w:p>
        </w:tc>
        <w:tc>
          <w:tcPr>
            <w:tcW w:w="8653" w:type="dxa"/>
            <w:tcBorders>
              <w:top w:val="nil"/>
              <w:left w:val="nil"/>
              <w:bottom w:val="nil"/>
              <w:right w:val="nil"/>
            </w:tcBorders>
            <w:shd w:val="clear" w:color="auto" w:fill="auto"/>
            <w:noWrap/>
            <w:vAlign w:val="bottom"/>
            <w:hideMark/>
          </w:tcPr>
          <w:p w14:paraId="70061DAF"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Оператори системи зберігання</w:t>
            </w:r>
          </w:p>
        </w:tc>
      </w:tr>
      <w:tr w:rsidR="0064705F" w:rsidRPr="007E5633" w14:paraId="2FEE6301" w14:textId="77777777" w:rsidTr="0064705F">
        <w:trPr>
          <w:trHeight w:val="300"/>
        </w:trPr>
        <w:tc>
          <w:tcPr>
            <w:tcW w:w="783" w:type="dxa"/>
            <w:tcBorders>
              <w:top w:val="nil"/>
              <w:left w:val="nil"/>
              <w:bottom w:val="nil"/>
              <w:right w:val="nil"/>
            </w:tcBorders>
            <w:shd w:val="clear" w:color="auto" w:fill="auto"/>
            <w:noWrap/>
            <w:vAlign w:val="bottom"/>
            <w:hideMark/>
          </w:tcPr>
          <w:p w14:paraId="643053F8"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TCP </w:t>
            </w:r>
          </w:p>
        </w:tc>
        <w:tc>
          <w:tcPr>
            <w:tcW w:w="8653" w:type="dxa"/>
            <w:tcBorders>
              <w:top w:val="nil"/>
              <w:left w:val="nil"/>
              <w:bottom w:val="nil"/>
              <w:right w:val="nil"/>
            </w:tcBorders>
            <w:shd w:val="clear" w:color="auto" w:fill="auto"/>
            <w:noWrap/>
            <w:vAlign w:val="bottom"/>
            <w:hideMark/>
          </w:tcPr>
          <w:p w14:paraId="2D123E57"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Протокол управління передачею</w:t>
            </w:r>
          </w:p>
        </w:tc>
      </w:tr>
      <w:tr w:rsidR="0064705F" w:rsidRPr="007E5633" w14:paraId="2D896964" w14:textId="77777777" w:rsidTr="0064705F">
        <w:trPr>
          <w:trHeight w:val="300"/>
        </w:trPr>
        <w:tc>
          <w:tcPr>
            <w:tcW w:w="783" w:type="dxa"/>
            <w:tcBorders>
              <w:top w:val="nil"/>
              <w:left w:val="nil"/>
              <w:bottom w:val="nil"/>
              <w:right w:val="nil"/>
            </w:tcBorders>
            <w:shd w:val="clear" w:color="auto" w:fill="auto"/>
            <w:noWrap/>
            <w:vAlign w:val="bottom"/>
            <w:hideMark/>
          </w:tcPr>
          <w:p w14:paraId="6758D735"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TPA </w:t>
            </w:r>
          </w:p>
        </w:tc>
        <w:tc>
          <w:tcPr>
            <w:tcW w:w="8653" w:type="dxa"/>
            <w:tcBorders>
              <w:top w:val="nil"/>
              <w:left w:val="nil"/>
              <w:bottom w:val="nil"/>
              <w:right w:val="nil"/>
            </w:tcBorders>
            <w:shd w:val="clear" w:color="auto" w:fill="auto"/>
            <w:noWrap/>
            <w:vAlign w:val="bottom"/>
            <w:hideMark/>
          </w:tcPr>
          <w:p w14:paraId="5644EEC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Режим доступу третьої сторони</w:t>
            </w:r>
          </w:p>
        </w:tc>
      </w:tr>
      <w:tr w:rsidR="0064705F" w:rsidRPr="007E5633" w14:paraId="57096718" w14:textId="77777777" w:rsidTr="0064705F">
        <w:trPr>
          <w:trHeight w:val="300"/>
        </w:trPr>
        <w:tc>
          <w:tcPr>
            <w:tcW w:w="783" w:type="dxa"/>
            <w:tcBorders>
              <w:top w:val="nil"/>
              <w:left w:val="nil"/>
              <w:bottom w:val="nil"/>
              <w:right w:val="nil"/>
            </w:tcBorders>
            <w:shd w:val="clear" w:color="auto" w:fill="auto"/>
            <w:noWrap/>
            <w:vAlign w:val="bottom"/>
            <w:hideMark/>
          </w:tcPr>
          <w:p w14:paraId="0B9CE90A"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TRs </w:t>
            </w:r>
          </w:p>
        </w:tc>
        <w:tc>
          <w:tcPr>
            <w:tcW w:w="8653" w:type="dxa"/>
            <w:tcBorders>
              <w:top w:val="nil"/>
              <w:left w:val="nil"/>
              <w:bottom w:val="nil"/>
              <w:right w:val="nil"/>
            </w:tcBorders>
            <w:shd w:val="clear" w:color="auto" w:fill="auto"/>
            <w:noWrap/>
            <w:vAlign w:val="bottom"/>
            <w:hideMark/>
          </w:tcPr>
          <w:p w14:paraId="1DA4D19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Сховища торгівельних даних</w:t>
            </w:r>
          </w:p>
        </w:tc>
      </w:tr>
      <w:tr w:rsidR="0064705F" w:rsidRPr="007E5633" w14:paraId="17B2D075" w14:textId="77777777" w:rsidTr="0064705F">
        <w:trPr>
          <w:trHeight w:val="300"/>
        </w:trPr>
        <w:tc>
          <w:tcPr>
            <w:tcW w:w="783" w:type="dxa"/>
            <w:tcBorders>
              <w:top w:val="nil"/>
              <w:left w:val="nil"/>
              <w:bottom w:val="nil"/>
              <w:right w:val="nil"/>
            </w:tcBorders>
            <w:shd w:val="clear" w:color="auto" w:fill="auto"/>
            <w:noWrap/>
            <w:vAlign w:val="bottom"/>
            <w:hideMark/>
          </w:tcPr>
          <w:p w14:paraId="1EC4EA5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TSOs </w:t>
            </w:r>
          </w:p>
        </w:tc>
        <w:tc>
          <w:tcPr>
            <w:tcW w:w="8653" w:type="dxa"/>
            <w:tcBorders>
              <w:top w:val="nil"/>
              <w:left w:val="nil"/>
              <w:bottom w:val="nil"/>
              <w:right w:val="nil"/>
            </w:tcBorders>
            <w:shd w:val="clear" w:color="auto" w:fill="auto"/>
            <w:noWrap/>
            <w:vAlign w:val="bottom"/>
            <w:hideMark/>
          </w:tcPr>
          <w:p w14:paraId="03601283"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Оператори системи передачі</w:t>
            </w:r>
          </w:p>
        </w:tc>
      </w:tr>
      <w:tr w:rsidR="0064705F" w:rsidRPr="007E5633" w14:paraId="2ED2C765" w14:textId="77777777" w:rsidTr="0064705F">
        <w:trPr>
          <w:trHeight w:val="300"/>
        </w:trPr>
        <w:tc>
          <w:tcPr>
            <w:tcW w:w="783" w:type="dxa"/>
            <w:tcBorders>
              <w:top w:val="nil"/>
              <w:left w:val="nil"/>
              <w:bottom w:val="nil"/>
              <w:right w:val="nil"/>
            </w:tcBorders>
            <w:shd w:val="clear" w:color="auto" w:fill="auto"/>
            <w:noWrap/>
            <w:vAlign w:val="bottom"/>
            <w:hideMark/>
          </w:tcPr>
          <w:p w14:paraId="41F3DA11"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TTF </w:t>
            </w:r>
          </w:p>
        </w:tc>
        <w:tc>
          <w:tcPr>
            <w:tcW w:w="8653" w:type="dxa"/>
            <w:tcBorders>
              <w:top w:val="nil"/>
              <w:left w:val="nil"/>
              <w:bottom w:val="nil"/>
              <w:right w:val="nil"/>
            </w:tcBorders>
            <w:shd w:val="clear" w:color="auto" w:fill="auto"/>
            <w:noWrap/>
            <w:vAlign w:val="bottom"/>
            <w:hideMark/>
          </w:tcPr>
          <w:p w14:paraId="4301958B"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Механізм передачі права власності</w:t>
            </w:r>
          </w:p>
        </w:tc>
      </w:tr>
      <w:tr w:rsidR="0064705F" w:rsidRPr="007E5633" w14:paraId="008F42CA" w14:textId="77777777" w:rsidTr="0064705F">
        <w:trPr>
          <w:trHeight w:val="300"/>
        </w:trPr>
        <w:tc>
          <w:tcPr>
            <w:tcW w:w="783" w:type="dxa"/>
            <w:tcBorders>
              <w:top w:val="nil"/>
              <w:left w:val="nil"/>
              <w:bottom w:val="nil"/>
              <w:right w:val="nil"/>
            </w:tcBorders>
            <w:shd w:val="clear" w:color="auto" w:fill="auto"/>
            <w:noWrap/>
            <w:vAlign w:val="bottom"/>
            <w:hideMark/>
          </w:tcPr>
          <w:p w14:paraId="6738359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TWh </w:t>
            </w:r>
          </w:p>
        </w:tc>
        <w:tc>
          <w:tcPr>
            <w:tcW w:w="8653" w:type="dxa"/>
            <w:tcBorders>
              <w:top w:val="nil"/>
              <w:left w:val="nil"/>
              <w:bottom w:val="nil"/>
              <w:right w:val="nil"/>
            </w:tcBorders>
            <w:shd w:val="clear" w:color="auto" w:fill="auto"/>
            <w:noWrap/>
            <w:vAlign w:val="bottom"/>
            <w:hideMark/>
          </w:tcPr>
          <w:p w14:paraId="726DFCF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Терават годин</w:t>
            </w:r>
          </w:p>
        </w:tc>
      </w:tr>
      <w:tr w:rsidR="0064705F" w:rsidRPr="007E5633" w14:paraId="2C82768E" w14:textId="77777777" w:rsidTr="0064705F">
        <w:trPr>
          <w:trHeight w:val="300"/>
        </w:trPr>
        <w:tc>
          <w:tcPr>
            <w:tcW w:w="783" w:type="dxa"/>
            <w:tcBorders>
              <w:top w:val="nil"/>
              <w:left w:val="nil"/>
              <w:bottom w:val="nil"/>
              <w:right w:val="nil"/>
            </w:tcBorders>
            <w:shd w:val="clear" w:color="auto" w:fill="auto"/>
            <w:noWrap/>
            <w:vAlign w:val="bottom"/>
            <w:hideMark/>
          </w:tcPr>
          <w:p w14:paraId="130200F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UAH </w:t>
            </w:r>
          </w:p>
        </w:tc>
        <w:tc>
          <w:tcPr>
            <w:tcW w:w="8653" w:type="dxa"/>
            <w:tcBorders>
              <w:top w:val="nil"/>
              <w:left w:val="nil"/>
              <w:bottom w:val="nil"/>
              <w:right w:val="nil"/>
            </w:tcBorders>
            <w:shd w:val="clear" w:color="auto" w:fill="auto"/>
            <w:noWrap/>
            <w:vAlign w:val="bottom"/>
            <w:hideMark/>
          </w:tcPr>
          <w:p w14:paraId="4EEB1B4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Українська гривня</w:t>
            </w:r>
          </w:p>
        </w:tc>
      </w:tr>
      <w:tr w:rsidR="0064705F" w:rsidRPr="007E5633" w14:paraId="6E89C928" w14:textId="77777777" w:rsidTr="0064705F">
        <w:trPr>
          <w:trHeight w:val="300"/>
        </w:trPr>
        <w:tc>
          <w:tcPr>
            <w:tcW w:w="783" w:type="dxa"/>
            <w:tcBorders>
              <w:top w:val="nil"/>
              <w:left w:val="nil"/>
              <w:bottom w:val="nil"/>
              <w:right w:val="nil"/>
            </w:tcBorders>
            <w:shd w:val="clear" w:color="auto" w:fill="auto"/>
            <w:noWrap/>
            <w:vAlign w:val="bottom"/>
            <w:hideMark/>
          </w:tcPr>
          <w:p w14:paraId="240AFC3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UGS </w:t>
            </w:r>
          </w:p>
        </w:tc>
        <w:tc>
          <w:tcPr>
            <w:tcW w:w="8653" w:type="dxa"/>
            <w:tcBorders>
              <w:top w:val="nil"/>
              <w:left w:val="nil"/>
              <w:bottom w:val="nil"/>
              <w:right w:val="nil"/>
            </w:tcBorders>
            <w:shd w:val="clear" w:color="auto" w:fill="auto"/>
            <w:noWrap/>
            <w:vAlign w:val="bottom"/>
            <w:hideMark/>
          </w:tcPr>
          <w:p w14:paraId="547A2FD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Підземне зберігання</w:t>
            </w:r>
          </w:p>
        </w:tc>
      </w:tr>
      <w:tr w:rsidR="0064705F" w:rsidRPr="007E5633" w14:paraId="6F0A1BCE" w14:textId="77777777" w:rsidTr="0064705F">
        <w:trPr>
          <w:trHeight w:val="300"/>
        </w:trPr>
        <w:tc>
          <w:tcPr>
            <w:tcW w:w="783" w:type="dxa"/>
            <w:tcBorders>
              <w:top w:val="nil"/>
              <w:left w:val="nil"/>
              <w:bottom w:val="nil"/>
              <w:right w:val="nil"/>
            </w:tcBorders>
            <w:shd w:val="clear" w:color="auto" w:fill="auto"/>
            <w:noWrap/>
            <w:vAlign w:val="bottom"/>
            <w:hideMark/>
          </w:tcPr>
          <w:p w14:paraId="36F6E80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URL </w:t>
            </w:r>
          </w:p>
        </w:tc>
        <w:tc>
          <w:tcPr>
            <w:tcW w:w="8653" w:type="dxa"/>
            <w:tcBorders>
              <w:top w:val="nil"/>
              <w:left w:val="nil"/>
              <w:bottom w:val="nil"/>
              <w:right w:val="nil"/>
            </w:tcBorders>
            <w:shd w:val="clear" w:color="auto" w:fill="auto"/>
            <w:noWrap/>
            <w:vAlign w:val="bottom"/>
            <w:hideMark/>
          </w:tcPr>
          <w:p w14:paraId="392F84E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Уніфікований покажчик інформаційного ресурсу</w:t>
            </w:r>
          </w:p>
        </w:tc>
      </w:tr>
      <w:tr w:rsidR="0064705F" w:rsidRPr="007E5633" w14:paraId="4F677DFB" w14:textId="77777777" w:rsidTr="0064705F">
        <w:trPr>
          <w:trHeight w:val="300"/>
        </w:trPr>
        <w:tc>
          <w:tcPr>
            <w:tcW w:w="783" w:type="dxa"/>
            <w:tcBorders>
              <w:top w:val="nil"/>
              <w:left w:val="nil"/>
              <w:bottom w:val="nil"/>
              <w:right w:val="nil"/>
            </w:tcBorders>
            <w:shd w:val="clear" w:color="auto" w:fill="auto"/>
            <w:noWrap/>
            <w:vAlign w:val="bottom"/>
            <w:hideMark/>
          </w:tcPr>
          <w:p w14:paraId="71D9AD23"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US </w:t>
            </w:r>
          </w:p>
        </w:tc>
        <w:tc>
          <w:tcPr>
            <w:tcW w:w="8653" w:type="dxa"/>
            <w:tcBorders>
              <w:top w:val="nil"/>
              <w:left w:val="nil"/>
              <w:bottom w:val="nil"/>
              <w:right w:val="nil"/>
            </w:tcBorders>
            <w:shd w:val="clear" w:color="auto" w:fill="auto"/>
            <w:noWrap/>
            <w:vAlign w:val="bottom"/>
            <w:hideMark/>
          </w:tcPr>
          <w:p w14:paraId="46D408E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Сполучені Штати</w:t>
            </w:r>
          </w:p>
        </w:tc>
      </w:tr>
      <w:tr w:rsidR="0064705F" w:rsidRPr="007E5633" w14:paraId="199F70F6" w14:textId="77777777" w:rsidTr="0064705F">
        <w:trPr>
          <w:trHeight w:val="300"/>
        </w:trPr>
        <w:tc>
          <w:tcPr>
            <w:tcW w:w="783" w:type="dxa"/>
            <w:tcBorders>
              <w:top w:val="nil"/>
              <w:left w:val="nil"/>
              <w:bottom w:val="nil"/>
              <w:right w:val="nil"/>
            </w:tcBorders>
            <w:shd w:val="clear" w:color="auto" w:fill="auto"/>
            <w:noWrap/>
            <w:vAlign w:val="bottom"/>
            <w:hideMark/>
          </w:tcPr>
          <w:p w14:paraId="5058F91F"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USD  </w:t>
            </w:r>
          </w:p>
        </w:tc>
        <w:tc>
          <w:tcPr>
            <w:tcW w:w="8653" w:type="dxa"/>
            <w:tcBorders>
              <w:top w:val="nil"/>
              <w:left w:val="nil"/>
              <w:bottom w:val="nil"/>
              <w:right w:val="nil"/>
            </w:tcBorders>
            <w:shd w:val="clear" w:color="auto" w:fill="auto"/>
            <w:noWrap/>
            <w:vAlign w:val="bottom"/>
            <w:hideMark/>
          </w:tcPr>
          <w:p w14:paraId="005A0C88"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Долар США</w:t>
            </w:r>
          </w:p>
        </w:tc>
      </w:tr>
      <w:tr w:rsidR="0064705F" w:rsidRPr="007E5633" w14:paraId="0E347F6C" w14:textId="77777777" w:rsidTr="0064705F">
        <w:trPr>
          <w:trHeight w:val="300"/>
        </w:trPr>
        <w:tc>
          <w:tcPr>
            <w:tcW w:w="783" w:type="dxa"/>
            <w:tcBorders>
              <w:top w:val="nil"/>
              <w:left w:val="nil"/>
              <w:bottom w:val="nil"/>
              <w:right w:val="nil"/>
            </w:tcBorders>
            <w:shd w:val="clear" w:color="auto" w:fill="auto"/>
            <w:noWrap/>
            <w:vAlign w:val="bottom"/>
            <w:hideMark/>
          </w:tcPr>
          <w:p w14:paraId="14BD3FA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UTC </w:t>
            </w:r>
          </w:p>
        </w:tc>
        <w:tc>
          <w:tcPr>
            <w:tcW w:w="8653" w:type="dxa"/>
            <w:tcBorders>
              <w:top w:val="nil"/>
              <w:left w:val="nil"/>
              <w:bottom w:val="nil"/>
              <w:right w:val="nil"/>
            </w:tcBorders>
            <w:shd w:val="clear" w:color="auto" w:fill="auto"/>
            <w:noWrap/>
            <w:vAlign w:val="bottom"/>
            <w:hideMark/>
          </w:tcPr>
          <w:p w14:paraId="3B3F8094"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Координований універсальний час</w:t>
            </w:r>
          </w:p>
        </w:tc>
      </w:tr>
      <w:tr w:rsidR="0064705F" w:rsidRPr="007E5633" w14:paraId="432659F3" w14:textId="77777777" w:rsidTr="0064705F">
        <w:trPr>
          <w:trHeight w:val="300"/>
        </w:trPr>
        <w:tc>
          <w:tcPr>
            <w:tcW w:w="783" w:type="dxa"/>
            <w:tcBorders>
              <w:top w:val="nil"/>
              <w:left w:val="nil"/>
              <w:bottom w:val="nil"/>
              <w:right w:val="nil"/>
            </w:tcBorders>
            <w:shd w:val="clear" w:color="auto" w:fill="auto"/>
            <w:noWrap/>
            <w:vAlign w:val="bottom"/>
            <w:hideMark/>
          </w:tcPr>
          <w:p w14:paraId="0F090D22"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UTIs </w:t>
            </w:r>
          </w:p>
        </w:tc>
        <w:tc>
          <w:tcPr>
            <w:tcW w:w="8653" w:type="dxa"/>
            <w:tcBorders>
              <w:top w:val="nil"/>
              <w:left w:val="nil"/>
              <w:bottom w:val="nil"/>
              <w:right w:val="nil"/>
            </w:tcBorders>
            <w:shd w:val="clear" w:color="auto" w:fill="auto"/>
            <w:noWrap/>
            <w:vAlign w:val="bottom"/>
            <w:hideMark/>
          </w:tcPr>
          <w:p w14:paraId="69497BFC"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Єдині торговельні ідентифікатори</w:t>
            </w:r>
          </w:p>
        </w:tc>
      </w:tr>
      <w:tr w:rsidR="0064705F" w:rsidRPr="007E5633" w14:paraId="0027C63D" w14:textId="77777777" w:rsidTr="0064705F">
        <w:trPr>
          <w:trHeight w:val="300"/>
        </w:trPr>
        <w:tc>
          <w:tcPr>
            <w:tcW w:w="783" w:type="dxa"/>
            <w:tcBorders>
              <w:top w:val="nil"/>
              <w:left w:val="nil"/>
              <w:bottom w:val="nil"/>
              <w:right w:val="nil"/>
            </w:tcBorders>
            <w:shd w:val="clear" w:color="auto" w:fill="auto"/>
            <w:noWrap/>
            <w:vAlign w:val="bottom"/>
            <w:hideMark/>
          </w:tcPr>
          <w:p w14:paraId="31558C3B"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VAT </w:t>
            </w:r>
          </w:p>
        </w:tc>
        <w:tc>
          <w:tcPr>
            <w:tcW w:w="8653" w:type="dxa"/>
            <w:tcBorders>
              <w:top w:val="nil"/>
              <w:left w:val="nil"/>
              <w:bottom w:val="nil"/>
              <w:right w:val="nil"/>
            </w:tcBorders>
            <w:shd w:val="clear" w:color="auto" w:fill="auto"/>
            <w:noWrap/>
            <w:vAlign w:val="bottom"/>
            <w:hideMark/>
          </w:tcPr>
          <w:p w14:paraId="39F17BD1"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Податок на додану вартість</w:t>
            </w:r>
          </w:p>
        </w:tc>
      </w:tr>
      <w:tr w:rsidR="0064705F" w:rsidRPr="007E5633" w14:paraId="71BBD83C" w14:textId="77777777" w:rsidTr="0064705F">
        <w:trPr>
          <w:trHeight w:val="300"/>
        </w:trPr>
        <w:tc>
          <w:tcPr>
            <w:tcW w:w="783" w:type="dxa"/>
            <w:tcBorders>
              <w:top w:val="nil"/>
              <w:left w:val="nil"/>
              <w:bottom w:val="nil"/>
              <w:right w:val="nil"/>
            </w:tcBorders>
            <w:shd w:val="clear" w:color="auto" w:fill="auto"/>
            <w:noWrap/>
            <w:vAlign w:val="bottom"/>
            <w:hideMark/>
          </w:tcPr>
          <w:p w14:paraId="10ECC650"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VTP </w:t>
            </w:r>
          </w:p>
        </w:tc>
        <w:tc>
          <w:tcPr>
            <w:tcW w:w="8653" w:type="dxa"/>
            <w:tcBorders>
              <w:top w:val="nil"/>
              <w:left w:val="nil"/>
              <w:bottom w:val="nil"/>
              <w:right w:val="nil"/>
            </w:tcBorders>
            <w:shd w:val="clear" w:color="auto" w:fill="auto"/>
            <w:noWrap/>
            <w:vAlign w:val="bottom"/>
            <w:hideMark/>
          </w:tcPr>
          <w:p w14:paraId="6680AEB9"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Віртуальна торгова точка</w:t>
            </w:r>
          </w:p>
        </w:tc>
      </w:tr>
      <w:tr w:rsidR="0064705F" w:rsidRPr="007E5633" w14:paraId="21156829" w14:textId="77777777" w:rsidTr="0064705F">
        <w:trPr>
          <w:trHeight w:val="300"/>
        </w:trPr>
        <w:tc>
          <w:tcPr>
            <w:tcW w:w="783" w:type="dxa"/>
            <w:tcBorders>
              <w:top w:val="nil"/>
              <w:left w:val="nil"/>
              <w:bottom w:val="nil"/>
              <w:right w:val="nil"/>
            </w:tcBorders>
            <w:shd w:val="clear" w:color="auto" w:fill="auto"/>
            <w:noWrap/>
            <w:vAlign w:val="bottom"/>
            <w:hideMark/>
          </w:tcPr>
          <w:p w14:paraId="4E6370D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WD </w:t>
            </w:r>
          </w:p>
        </w:tc>
        <w:tc>
          <w:tcPr>
            <w:tcW w:w="8653" w:type="dxa"/>
            <w:tcBorders>
              <w:top w:val="nil"/>
              <w:left w:val="nil"/>
              <w:bottom w:val="nil"/>
              <w:right w:val="nil"/>
            </w:tcBorders>
            <w:shd w:val="clear" w:color="auto" w:fill="auto"/>
            <w:noWrap/>
            <w:vAlign w:val="bottom"/>
            <w:hideMark/>
          </w:tcPr>
          <w:p w14:paraId="57EC58BE"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Протягом дня</w:t>
            </w:r>
          </w:p>
        </w:tc>
      </w:tr>
      <w:tr w:rsidR="0064705F" w:rsidRPr="007E5633" w14:paraId="37C9D933" w14:textId="77777777" w:rsidTr="0064705F">
        <w:trPr>
          <w:trHeight w:val="300"/>
        </w:trPr>
        <w:tc>
          <w:tcPr>
            <w:tcW w:w="783" w:type="dxa"/>
            <w:tcBorders>
              <w:top w:val="nil"/>
              <w:left w:val="nil"/>
              <w:bottom w:val="nil"/>
              <w:right w:val="nil"/>
            </w:tcBorders>
            <w:shd w:val="clear" w:color="auto" w:fill="auto"/>
            <w:noWrap/>
            <w:vAlign w:val="bottom"/>
            <w:hideMark/>
          </w:tcPr>
          <w:p w14:paraId="4D49BF64"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WEP </w:t>
            </w:r>
          </w:p>
        </w:tc>
        <w:tc>
          <w:tcPr>
            <w:tcW w:w="8653" w:type="dxa"/>
            <w:tcBorders>
              <w:top w:val="nil"/>
              <w:left w:val="nil"/>
              <w:bottom w:val="nil"/>
              <w:right w:val="nil"/>
            </w:tcBorders>
            <w:shd w:val="clear" w:color="auto" w:fill="auto"/>
            <w:noWrap/>
            <w:vAlign w:val="bottom"/>
            <w:hideMark/>
          </w:tcPr>
          <w:p w14:paraId="214038A5"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Оптова енергетична продукція</w:t>
            </w:r>
          </w:p>
        </w:tc>
      </w:tr>
      <w:tr w:rsidR="0064705F" w:rsidRPr="007E5633" w14:paraId="313D6439" w14:textId="77777777" w:rsidTr="0064705F">
        <w:trPr>
          <w:trHeight w:val="300"/>
        </w:trPr>
        <w:tc>
          <w:tcPr>
            <w:tcW w:w="783" w:type="dxa"/>
            <w:tcBorders>
              <w:top w:val="nil"/>
              <w:left w:val="nil"/>
              <w:bottom w:val="nil"/>
              <w:right w:val="nil"/>
            </w:tcBorders>
            <w:shd w:val="clear" w:color="auto" w:fill="auto"/>
            <w:noWrap/>
            <w:vAlign w:val="bottom"/>
            <w:hideMark/>
          </w:tcPr>
          <w:p w14:paraId="559E4966" w14:textId="77777777" w:rsidR="0064705F" w:rsidRPr="007E5633" w:rsidRDefault="0064705F" w:rsidP="0064705F">
            <w:pPr>
              <w:suppressAutoHyphens w:val="0"/>
              <w:autoSpaceDN/>
              <w:spacing w:after="0" w:line="240" w:lineRule="auto"/>
              <w:textAlignment w:val="auto"/>
              <w:rPr>
                <w:rFonts w:ascii="Arial" w:eastAsia="Times New Roman" w:hAnsi="Arial" w:cs="Arial"/>
                <w:b/>
                <w:bCs/>
                <w:color w:val="000000"/>
                <w:lang w:val="uk-UA" w:eastAsia="en-GB"/>
              </w:rPr>
            </w:pPr>
            <w:r w:rsidRPr="007E5633">
              <w:rPr>
                <w:rFonts w:ascii="Arial" w:eastAsia="Times New Roman" w:hAnsi="Arial" w:cs="Arial"/>
                <w:b/>
                <w:bCs/>
                <w:color w:val="000000"/>
                <w:lang w:val="uk-UA" w:eastAsia="en-GB"/>
              </w:rPr>
              <w:t xml:space="preserve">XML </w:t>
            </w:r>
          </w:p>
        </w:tc>
        <w:tc>
          <w:tcPr>
            <w:tcW w:w="8653" w:type="dxa"/>
            <w:tcBorders>
              <w:top w:val="nil"/>
              <w:left w:val="nil"/>
              <w:bottom w:val="nil"/>
              <w:right w:val="nil"/>
            </w:tcBorders>
            <w:shd w:val="clear" w:color="auto" w:fill="auto"/>
            <w:noWrap/>
            <w:vAlign w:val="bottom"/>
            <w:hideMark/>
          </w:tcPr>
          <w:p w14:paraId="3472C006" w14:textId="77777777" w:rsidR="0064705F" w:rsidRPr="007E5633" w:rsidRDefault="0064705F" w:rsidP="0064705F">
            <w:pPr>
              <w:suppressAutoHyphens w:val="0"/>
              <w:autoSpaceDN/>
              <w:spacing w:after="0" w:line="240" w:lineRule="auto"/>
              <w:textAlignment w:val="auto"/>
              <w:rPr>
                <w:rFonts w:ascii="Arial" w:eastAsia="Times New Roman" w:hAnsi="Arial" w:cs="Arial"/>
                <w:color w:val="000000"/>
                <w:lang w:val="uk-UA" w:eastAsia="en-GB"/>
              </w:rPr>
            </w:pPr>
            <w:r w:rsidRPr="007E5633">
              <w:rPr>
                <w:rFonts w:ascii="Arial" w:eastAsia="Times New Roman" w:hAnsi="Arial" w:cs="Arial"/>
                <w:color w:val="000000"/>
                <w:lang w:val="uk-UA" w:eastAsia="en-GB"/>
              </w:rPr>
              <w:t>Розширювана мова програмування для розмітки даних</w:t>
            </w:r>
          </w:p>
        </w:tc>
      </w:tr>
    </w:tbl>
    <w:p w14:paraId="1B3AA179" w14:textId="77777777" w:rsidR="0064705F" w:rsidRPr="007E5633" w:rsidRDefault="0064705F" w:rsidP="00852494">
      <w:pPr>
        <w:spacing w:line="240" w:lineRule="auto"/>
        <w:ind w:left="1418" w:hanging="1418"/>
        <w:rPr>
          <w:rFonts w:ascii="Arial" w:hAnsi="Arial" w:cs="Arial"/>
          <w:b/>
          <w:highlight w:val="yellow"/>
          <w:lang w:val="uk-UA"/>
        </w:rPr>
      </w:pPr>
    </w:p>
    <w:p w14:paraId="33514C5D" w14:textId="77777777" w:rsidR="0064705F" w:rsidRPr="007E5633" w:rsidRDefault="0064705F" w:rsidP="00852494">
      <w:pPr>
        <w:spacing w:line="240" w:lineRule="auto"/>
        <w:ind w:left="1418" w:hanging="1418"/>
        <w:rPr>
          <w:rFonts w:ascii="Arial" w:hAnsi="Arial" w:cs="Arial"/>
          <w:b/>
          <w:highlight w:val="yellow"/>
          <w:lang w:val="uk-UA"/>
        </w:rPr>
      </w:pPr>
    </w:p>
    <w:p w14:paraId="50EB6879" w14:textId="77777777" w:rsidR="0064705F" w:rsidRPr="007E5633" w:rsidRDefault="0064705F" w:rsidP="00852494">
      <w:pPr>
        <w:spacing w:line="240" w:lineRule="auto"/>
        <w:ind w:left="1418" w:hanging="1418"/>
        <w:rPr>
          <w:rFonts w:ascii="Arial" w:hAnsi="Arial" w:cs="Arial"/>
          <w:b/>
          <w:highlight w:val="yellow"/>
          <w:lang w:val="uk-UA"/>
        </w:rPr>
      </w:pPr>
    </w:p>
    <w:p w14:paraId="7213B7E1" w14:textId="77777777" w:rsidR="0064705F" w:rsidRPr="007E5633" w:rsidRDefault="0064705F" w:rsidP="00852494">
      <w:pPr>
        <w:spacing w:line="240" w:lineRule="auto"/>
        <w:ind w:left="1418" w:hanging="1418"/>
        <w:rPr>
          <w:rFonts w:ascii="Arial" w:hAnsi="Arial" w:cs="Arial"/>
          <w:b/>
          <w:highlight w:val="yellow"/>
          <w:lang w:val="uk-UA"/>
        </w:rPr>
      </w:pPr>
    </w:p>
    <w:p w14:paraId="79822F57" w14:textId="77777777" w:rsidR="0064705F" w:rsidRPr="007E5633" w:rsidRDefault="0064705F" w:rsidP="00852494">
      <w:pPr>
        <w:spacing w:line="240" w:lineRule="auto"/>
        <w:ind w:left="1418" w:hanging="1418"/>
        <w:rPr>
          <w:rFonts w:ascii="Arial" w:hAnsi="Arial" w:cs="Arial"/>
          <w:b/>
          <w:highlight w:val="yellow"/>
          <w:lang w:val="uk-UA"/>
        </w:rPr>
      </w:pPr>
    </w:p>
    <w:p w14:paraId="125F1F82" w14:textId="77777777" w:rsidR="0064705F" w:rsidRPr="007E5633" w:rsidRDefault="0064705F" w:rsidP="00852494">
      <w:pPr>
        <w:spacing w:line="240" w:lineRule="auto"/>
        <w:ind w:left="1418" w:hanging="1418"/>
        <w:rPr>
          <w:rFonts w:ascii="Arial" w:hAnsi="Arial" w:cs="Arial"/>
          <w:b/>
          <w:highlight w:val="yellow"/>
          <w:lang w:val="uk-UA"/>
        </w:rPr>
      </w:pPr>
    </w:p>
    <w:p w14:paraId="66487E4A" w14:textId="77777777" w:rsidR="0064705F" w:rsidRPr="007E5633" w:rsidRDefault="0064705F" w:rsidP="00852494">
      <w:pPr>
        <w:spacing w:line="240" w:lineRule="auto"/>
        <w:ind w:left="1418" w:hanging="1418"/>
        <w:rPr>
          <w:rFonts w:ascii="Arial" w:hAnsi="Arial" w:cs="Arial"/>
          <w:b/>
          <w:highlight w:val="yellow"/>
          <w:lang w:val="uk-UA"/>
        </w:rPr>
      </w:pPr>
    </w:p>
    <w:p w14:paraId="0621C257" w14:textId="77777777" w:rsidR="0064705F" w:rsidRPr="007E5633" w:rsidRDefault="0064705F" w:rsidP="00852494">
      <w:pPr>
        <w:spacing w:line="240" w:lineRule="auto"/>
        <w:ind w:left="1418" w:hanging="1418"/>
        <w:rPr>
          <w:rFonts w:ascii="Arial" w:hAnsi="Arial" w:cs="Arial"/>
          <w:b/>
          <w:highlight w:val="yellow"/>
          <w:lang w:val="uk-UA"/>
        </w:rPr>
      </w:pPr>
    </w:p>
    <w:p w14:paraId="582934D5" w14:textId="77777777" w:rsidR="006B552C" w:rsidRPr="007E5633" w:rsidRDefault="006B552C" w:rsidP="006B552C">
      <w:pPr>
        <w:pStyle w:val="Subheader1"/>
        <w:rPr>
          <w:rFonts w:ascii="Arial" w:hAnsi="Arial" w:cs="Arial"/>
          <w:color w:val="002060"/>
          <w:sz w:val="22"/>
          <w:highlight w:val="yellow"/>
          <w:lang w:val="uk-UA"/>
        </w:rPr>
      </w:pPr>
    </w:p>
    <w:p w14:paraId="3FDCB62E" w14:textId="77777777" w:rsidR="004122C9" w:rsidRPr="007E5633" w:rsidRDefault="004122C9">
      <w:pPr>
        <w:suppressAutoHyphens w:val="0"/>
        <w:rPr>
          <w:rFonts w:ascii="Arial" w:eastAsiaTheme="minorHAnsi" w:hAnsi="Arial" w:cs="Arial"/>
          <w:b/>
          <w:color w:val="002060"/>
          <w:highlight w:val="yellow"/>
          <w:lang w:val="uk-UA" w:eastAsia="de-DE"/>
        </w:rPr>
      </w:pPr>
      <w:r w:rsidRPr="007E5633">
        <w:rPr>
          <w:rFonts w:ascii="Arial" w:hAnsi="Arial" w:cs="Arial"/>
          <w:color w:val="002060"/>
          <w:highlight w:val="yellow"/>
          <w:lang w:val="uk-UA"/>
        </w:rPr>
        <w:br w:type="page"/>
      </w:r>
    </w:p>
    <w:p w14:paraId="1145E4A5" w14:textId="77777777" w:rsidR="006B552C" w:rsidRPr="007E5633" w:rsidRDefault="0064705F" w:rsidP="006B552C">
      <w:pPr>
        <w:pStyle w:val="Subheader1"/>
        <w:rPr>
          <w:rFonts w:ascii="Arial" w:hAnsi="Arial" w:cs="Arial"/>
          <w:color w:val="002060"/>
          <w:sz w:val="28"/>
          <w:szCs w:val="28"/>
          <w:lang w:val="uk-UA"/>
        </w:rPr>
      </w:pPr>
      <w:r w:rsidRPr="007E5633">
        <w:rPr>
          <w:rFonts w:ascii="Arial" w:hAnsi="Arial" w:cs="Arial"/>
          <w:color w:val="002060"/>
          <w:sz w:val="28"/>
          <w:szCs w:val="28"/>
          <w:lang w:val="uk-UA"/>
        </w:rPr>
        <w:lastRenderedPageBreak/>
        <w:t>Визначення</w:t>
      </w:r>
    </w:p>
    <w:tbl>
      <w:tblPr>
        <w:tblW w:w="10100" w:type="dxa"/>
        <w:tblLook w:val="04A0" w:firstRow="1" w:lastRow="0" w:firstColumn="1" w:lastColumn="0" w:noHBand="0" w:noVBand="1"/>
      </w:tblPr>
      <w:tblGrid>
        <w:gridCol w:w="2732"/>
        <w:gridCol w:w="7368"/>
      </w:tblGrid>
      <w:tr w:rsidR="00EC6B00" w:rsidRPr="007E5633" w14:paraId="09418842" w14:textId="77777777" w:rsidTr="00EC6B00">
        <w:trPr>
          <w:trHeight w:val="945"/>
        </w:trPr>
        <w:tc>
          <w:tcPr>
            <w:tcW w:w="2732" w:type="dxa"/>
            <w:tcBorders>
              <w:top w:val="nil"/>
              <w:left w:val="nil"/>
              <w:bottom w:val="nil"/>
              <w:right w:val="nil"/>
            </w:tcBorders>
            <w:shd w:val="clear" w:color="auto" w:fill="auto"/>
            <w:hideMark/>
          </w:tcPr>
          <w:p w14:paraId="416150ED"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Кліринг</w:t>
            </w:r>
          </w:p>
        </w:tc>
        <w:tc>
          <w:tcPr>
            <w:tcW w:w="7368" w:type="dxa"/>
            <w:tcBorders>
              <w:top w:val="nil"/>
              <w:left w:val="nil"/>
              <w:bottom w:val="nil"/>
              <w:right w:val="nil"/>
            </w:tcBorders>
            <w:shd w:val="clear" w:color="auto" w:fill="auto"/>
            <w:hideMark/>
          </w:tcPr>
          <w:p w14:paraId="4D6A7CC6"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Забезпечення операцій з ризиками дефолту (наприклад, корегування та управління позиціями, розрахунок маржі змін (щоденна оцінка за ринковими цінами) та розрахунок та нарахування маржі</w:t>
            </w:r>
          </w:p>
        </w:tc>
      </w:tr>
      <w:tr w:rsidR="00EC6B00" w:rsidRPr="007E5633" w14:paraId="7CDA32B1" w14:textId="77777777" w:rsidTr="00EC6B00">
        <w:trPr>
          <w:trHeight w:val="630"/>
        </w:trPr>
        <w:tc>
          <w:tcPr>
            <w:tcW w:w="2732" w:type="dxa"/>
            <w:tcBorders>
              <w:top w:val="nil"/>
              <w:left w:val="nil"/>
              <w:bottom w:val="nil"/>
              <w:right w:val="nil"/>
            </w:tcBorders>
            <w:shd w:val="clear" w:color="auto" w:fill="auto"/>
            <w:hideMark/>
          </w:tcPr>
          <w:p w14:paraId="3214F4AA"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Кліринговий член</w:t>
            </w:r>
          </w:p>
        </w:tc>
        <w:tc>
          <w:tcPr>
            <w:tcW w:w="7368" w:type="dxa"/>
            <w:tcBorders>
              <w:top w:val="nil"/>
              <w:left w:val="nil"/>
              <w:bottom w:val="nil"/>
              <w:right w:val="nil"/>
            </w:tcBorders>
            <w:shd w:val="clear" w:color="auto" w:fill="auto"/>
            <w:hideMark/>
          </w:tcPr>
          <w:p w14:paraId="68FAE96F"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Бере на себе (фінансовий) ризик своїх неклірингових членів, може також бути учасником торгів</w:t>
            </w:r>
          </w:p>
        </w:tc>
      </w:tr>
      <w:tr w:rsidR="00EC6B00" w:rsidRPr="007E5633" w14:paraId="01B800DF" w14:textId="77777777" w:rsidTr="00EC6B00">
        <w:trPr>
          <w:trHeight w:val="630"/>
        </w:trPr>
        <w:tc>
          <w:tcPr>
            <w:tcW w:w="2732" w:type="dxa"/>
            <w:tcBorders>
              <w:top w:val="nil"/>
              <w:left w:val="nil"/>
              <w:bottom w:val="nil"/>
              <w:right w:val="nil"/>
            </w:tcBorders>
            <w:shd w:val="clear" w:color="auto" w:fill="auto"/>
            <w:hideMark/>
          </w:tcPr>
          <w:p w14:paraId="59D7BBAB"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Некліринговий член (NCM)</w:t>
            </w:r>
          </w:p>
        </w:tc>
        <w:tc>
          <w:tcPr>
            <w:tcW w:w="7368" w:type="dxa"/>
            <w:tcBorders>
              <w:top w:val="nil"/>
              <w:left w:val="nil"/>
              <w:bottom w:val="nil"/>
              <w:right w:val="nil"/>
            </w:tcBorders>
            <w:shd w:val="clear" w:color="auto" w:fill="auto"/>
            <w:hideMark/>
          </w:tcPr>
          <w:p w14:paraId="44476344"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Торгові Учасники, які не є членами Клірингу, потребують наявність Клірингового Учасника для допуску до біржової торгівлі та клірингу</w:t>
            </w:r>
          </w:p>
        </w:tc>
      </w:tr>
      <w:tr w:rsidR="00EC6B00" w:rsidRPr="007E5633" w14:paraId="4BDC207C" w14:textId="77777777" w:rsidTr="00EC6B00">
        <w:trPr>
          <w:trHeight w:val="1575"/>
        </w:trPr>
        <w:tc>
          <w:tcPr>
            <w:tcW w:w="2732" w:type="dxa"/>
            <w:tcBorders>
              <w:top w:val="nil"/>
              <w:left w:val="nil"/>
              <w:bottom w:val="nil"/>
              <w:right w:val="nil"/>
            </w:tcBorders>
            <w:shd w:val="clear" w:color="auto" w:fill="auto"/>
            <w:hideMark/>
          </w:tcPr>
          <w:p w14:paraId="0B062456"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OTF</w:t>
            </w:r>
          </w:p>
        </w:tc>
        <w:tc>
          <w:tcPr>
            <w:tcW w:w="7368" w:type="dxa"/>
            <w:tcBorders>
              <w:top w:val="nil"/>
              <w:left w:val="nil"/>
              <w:bottom w:val="nil"/>
              <w:right w:val="nil"/>
            </w:tcBorders>
            <w:shd w:val="clear" w:color="auto" w:fill="auto"/>
            <w:hideMark/>
          </w:tcPr>
          <w:p w14:paraId="05ACA900"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багатостороння система, яка не є регульованим ринком або MTF, в якій багато третіх сторін купують та продають облігації, структуровані фінансові продукти, дозволи на викиди чи похідні інструменти, можуть взаємодіяти в системі таким чином, що приводить до укладення договору з розділом II Директиви MiFID</w:t>
            </w:r>
          </w:p>
        </w:tc>
      </w:tr>
      <w:tr w:rsidR="00EC6B00" w:rsidRPr="007E5633" w14:paraId="39A35DA3" w14:textId="77777777" w:rsidTr="00EC6B00">
        <w:trPr>
          <w:trHeight w:val="315"/>
        </w:trPr>
        <w:tc>
          <w:tcPr>
            <w:tcW w:w="2732" w:type="dxa"/>
            <w:tcBorders>
              <w:top w:val="nil"/>
              <w:left w:val="nil"/>
              <w:bottom w:val="nil"/>
              <w:right w:val="nil"/>
            </w:tcBorders>
            <w:shd w:val="clear" w:color="auto" w:fill="auto"/>
            <w:hideMark/>
          </w:tcPr>
          <w:p w14:paraId="56D7082B"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Розрахунки</w:t>
            </w:r>
          </w:p>
        </w:tc>
        <w:tc>
          <w:tcPr>
            <w:tcW w:w="7368" w:type="dxa"/>
            <w:tcBorders>
              <w:top w:val="nil"/>
              <w:left w:val="nil"/>
              <w:bottom w:val="nil"/>
              <w:right w:val="nil"/>
            </w:tcBorders>
            <w:shd w:val="clear" w:color="auto" w:fill="auto"/>
            <w:hideMark/>
          </w:tcPr>
          <w:p w14:paraId="12614BB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фізичне та фінансове виконання транзакцій</w:t>
            </w:r>
          </w:p>
        </w:tc>
      </w:tr>
      <w:tr w:rsidR="00EC6B00" w:rsidRPr="007E5633" w14:paraId="5AB45F96" w14:textId="77777777" w:rsidTr="00EC6B00">
        <w:trPr>
          <w:trHeight w:val="945"/>
        </w:trPr>
        <w:tc>
          <w:tcPr>
            <w:tcW w:w="2732" w:type="dxa"/>
            <w:tcBorders>
              <w:top w:val="nil"/>
              <w:left w:val="nil"/>
              <w:bottom w:val="nil"/>
              <w:right w:val="nil"/>
            </w:tcBorders>
            <w:shd w:val="clear" w:color="auto" w:fill="auto"/>
            <w:hideMark/>
          </w:tcPr>
          <w:p w14:paraId="4B4C1719"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Учасник торгів</w:t>
            </w:r>
          </w:p>
        </w:tc>
        <w:tc>
          <w:tcPr>
            <w:tcW w:w="7368" w:type="dxa"/>
            <w:tcBorders>
              <w:top w:val="nil"/>
              <w:left w:val="nil"/>
              <w:bottom w:val="nil"/>
              <w:right w:val="nil"/>
            </w:tcBorders>
            <w:shd w:val="clear" w:color="auto" w:fill="auto"/>
            <w:hideMark/>
          </w:tcPr>
          <w:p w14:paraId="411EEE9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можуть бути або Кліринговими членами, або некліринговими, потрібен процес прийняття для кожного продукту / докази здатності здійснення поставки</w:t>
            </w:r>
          </w:p>
        </w:tc>
      </w:tr>
      <w:tr w:rsidR="00EC6B00" w:rsidRPr="007E5633" w14:paraId="7BA1AB2B" w14:textId="77777777" w:rsidTr="00EC6B00">
        <w:trPr>
          <w:trHeight w:val="630"/>
        </w:trPr>
        <w:tc>
          <w:tcPr>
            <w:tcW w:w="2732" w:type="dxa"/>
            <w:tcBorders>
              <w:top w:val="nil"/>
              <w:left w:val="nil"/>
              <w:bottom w:val="nil"/>
              <w:right w:val="nil"/>
            </w:tcBorders>
            <w:shd w:val="clear" w:color="auto" w:fill="auto"/>
            <w:hideMark/>
          </w:tcPr>
          <w:p w14:paraId="54C3EEEF"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Балансуюча ціна на газ</w:t>
            </w:r>
          </w:p>
        </w:tc>
        <w:tc>
          <w:tcPr>
            <w:tcW w:w="7368" w:type="dxa"/>
            <w:tcBorders>
              <w:top w:val="nil"/>
              <w:left w:val="nil"/>
              <w:bottom w:val="nil"/>
              <w:right w:val="nil"/>
            </w:tcBorders>
            <w:shd w:val="clear" w:color="auto" w:fill="auto"/>
            <w:hideMark/>
          </w:tcPr>
          <w:p w14:paraId="7BB220CF"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Ціна використовується для розрахунку щоденних цін на дисбаланс</w:t>
            </w:r>
          </w:p>
        </w:tc>
      </w:tr>
      <w:tr w:rsidR="00EC6B00" w:rsidRPr="007E5633" w14:paraId="2F69EE19" w14:textId="77777777" w:rsidTr="00EC6B00">
        <w:trPr>
          <w:trHeight w:val="630"/>
        </w:trPr>
        <w:tc>
          <w:tcPr>
            <w:tcW w:w="2732" w:type="dxa"/>
            <w:tcBorders>
              <w:top w:val="nil"/>
              <w:left w:val="nil"/>
              <w:bottom w:val="nil"/>
              <w:right w:val="nil"/>
            </w:tcBorders>
            <w:shd w:val="clear" w:color="auto" w:fill="auto"/>
            <w:hideMark/>
          </w:tcPr>
          <w:p w14:paraId="04308823"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Балансування газу</w:t>
            </w:r>
          </w:p>
        </w:tc>
        <w:tc>
          <w:tcPr>
            <w:tcW w:w="7368" w:type="dxa"/>
            <w:tcBorders>
              <w:top w:val="nil"/>
              <w:left w:val="nil"/>
              <w:bottom w:val="nil"/>
              <w:right w:val="nil"/>
            </w:tcBorders>
            <w:shd w:val="clear" w:color="auto" w:fill="auto"/>
            <w:hideMark/>
          </w:tcPr>
          <w:p w14:paraId="54E34F66"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Замовлення щодо купівлі або продажу групи цінних паперів одночасно</w:t>
            </w:r>
          </w:p>
        </w:tc>
      </w:tr>
      <w:tr w:rsidR="00EC6B00" w:rsidRPr="007E5633" w14:paraId="23618292" w14:textId="77777777" w:rsidTr="00EC6B00">
        <w:trPr>
          <w:trHeight w:val="315"/>
        </w:trPr>
        <w:tc>
          <w:tcPr>
            <w:tcW w:w="2732" w:type="dxa"/>
            <w:tcBorders>
              <w:top w:val="nil"/>
              <w:left w:val="nil"/>
              <w:bottom w:val="nil"/>
              <w:right w:val="nil"/>
            </w:tcBorders>
            <w:shd w:val="clear" w:color="auto" w:fill="auto"/>
            <w:hideMark/>
          </w:tcPr>
          <w:p w14:paraId="0DDFFA18"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Ставка</w:t>
            </w:r>
          </w:p>
        </w:tc>
        <w:tc>
          <w:tcPr>
            <w:tcW w:w="7368" w:type="dxa"/>
            <w:tcBorders>
              <w:top w:val="nil"/>
              <w:left w:val="nil"/>
              <w:bottom w:val="nil"/>
              <w:right w:val="nil"/>
            </w:tcBorders>
            <w:shd w:val="clear" w:color="auto" w:fill="auto"/>
            <w:hideMark/>
          </w:tcPr>
          <w:p w14:paraId="648A295B"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Ціна купівлі інструмента</w:t>
            </w:r>
          </w:p>
        </w:tc>
      </w:tr>
      <w:tr w:rsidR="00EC6B00" w:rsidRPr="007E5633" w14:paraId="321A6D93" w14:textId="77777777" w:rsidTr="00EC6B00">
        <w:trPr>
          <w:trHeight w:val="315"/>
        </w:trPr>
        <w:tc>
          <w:tcPr>
            <w:tcW w:w="2732" w:type="dxa"/>
            <w:tcBorders>
              <w:top w:val="nil"/>
              <w:left w:val="nil"/>
              <w:bottom w:val="nil"/>
              <w:right w:val="nil"/>
            </w:tcBorders>
            <w:shd w:val="clear" w:color="auto" w:fill="auto"/>
            <w:hideMark/>
          </w:tcPr>
          <w:p w14:paraId="6EDACDD7"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Робочий день</w:t>
            </w:r>
          </w:p>
        </w:tc>
        <w:tc>
          <w:tcPr>
            <w:tcW w:w="7368" w:type="dxa"/>
            <w:tcBorders>
              <w:top w:val="nil"/>
              <w:left w:val="nil"/>
              <w:bottom w:val="nil"/>
              <w:right w:val="nil"/>
            </w:tcBorders>
            <w:shd w:val="clear" w:color="auto" w:fill="auto"/>
            <w:hideMark/>
          </w:tcPr>
          <w:p w14:paraId="5B1790C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З понеділка по п'ятницю і виключає вихідні та святкові дні</w:t>
            </w:r>
          </w:p>
        </w:tc>
      </w:tr>
      <w:tr w:rsidR="00EC6B00" w:rsidRPr="007E5633" w14:paraId="07020B42" w14:textId="77777777" w:rsidTr="00EC6B00">
        <w:trPr>
          <w:trHeight w:val="1575"/>
        </w:trPr>
        <w:tc>
          <w:tcPr>
            <w:tcW w:w="2732" w:type="dxa"/>
            <w:tcBorders>
              <w:top w:val="nil"/>
              <w:left w:val="nil"/>
              <w:bottom w:val="nil"/>
              <w:right w:val="nil"/>
            </w:tcBorders>
            <w:shd w:val="clear" w:color="auto" w:fill="auto"/>
            <w:hideMark/>
          </w:tcPr>
          <w:p w14:paraId="3AEA723A"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Каскадні</w:t>
            </w:r>
          </w:p>
        </w:tc>
        <w:tc>
          <w:tcPr>
            <w:tcW w:w="7368" w:type="dxa"/>
            <w:tcBorders>
              <w:top w:val="nil"/>
              <w:left w:val="nil"/>
              <w:bottom w:val="nil"/>
              <w:right w:val="nil"/>
            </w:tcBorders>
            <w:shd w:val="clear" w:color="auto" w:fill="auto"/>
            <w:hideMark/>
          </w:tcPr>
          <w:p w14:paraId="4F2CDC08"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Процедура, згідно з якою квартальні та річні ф'ючерсні та деривативні контракти замінюються після настання їх терміну погашення (виконання) еквівалентною кількістю контрактів коротшого строку погашення. Нові позиції відкриваються за ціною, рівною кінцевій ціні розрахунків початкових контрактів</w:t>
            </w:r>
          </w:p>
        </w:tc>
      </w:tr>
      <w:tr w:rsidR="00EC6B00" w:rsidRPr="007E5633" w14:paraId="2B9AB16A" w14:textId="77777777" w:rsidTr="00EC6B00">
        <w:trPr>
          <w:trHeight w:val="1260"/>
        </w:trPr>
        <w:tc>
          <w:tcPr>
            <w:tcW w:w="2732" w:type="dxa"/>
            <w:tcBorders>
              <w:top w:val="nil"/>
              <w:left w:val="nil"/>
              <w:bottom w:val="nil"/>
              <w:right w:val="nil"/>
            </w:tcBorders>
            <w:shd w:val="clear" w:color="auto" w:fill="auto"/>
            <w:hideMark/>
          </w:tcPr>
          <w:p w14:paraId="7476891D"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Безперервна торгівля</w:t>
            </w:r>
          </w:p>
        </w:tc>
        <w:tc>
          <w:tcPr>
            <w:tcW w:w="7368" w:type="dxa"/>
            <w:tcBorders>
              <w:top w:val="nil"/>
              <w:left w:val="nil"/>
              <w:bottom w:val="nil"/>
              <w:right w:val="nil"/>
            </w:tcBorders>
            <w:shd w:val="clear" w:color="auto" w:fill="auto"/>
            <w:hideMark/>
          </w:tcPr>
          <w:p w14:paraId="027708D6"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Механізм торгівлі, заснований на автоматичному узгодженні пропозицій попиту (ставок) з пропозиціями пропозиції, при безперервному введенні нових  ставок / пропозицій під час торговельних сесій</w:t>
            </w:r>
          </w:p>
        </w:tc>
      </w:tr>
      <w:tr w:rsidR="00EC6B00" w:rsidRPr="007E5633" w14:paraId="28D26159" w14:textId="77777777" w:rsidTr="00EC6B00">
        <w:trPr>
          <w:trHeight w:val="315"/>
        </w:trPr>
        <w:tc>
          <w:tcPr>
            <w:tcW w:w="2732" w:type="dxa"/>
            <w:tcBorders>
              <w:top w:val="nil"/>
              <w:left w:val="nil"/>
              <w:bottom w:val="nil"/>
              <w:right w:val="nil"/>
            </w:tcBorders>
            <w:shd w:val="clear" w:color="auto" w:fill="auto"/>
            <w:hideMark/>
          </w:tcPr>
          <w:p w14:paraId="689507C6"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День доставки</w:t>
            </w:r>
          </w:p>
        </w:tc>
        <w:tc>
          <w:tcPr>
            <w:tcW w:w="7368" w:type="dxa"/>
            <w:tcBorders>
              <w:top w:val="nil"/>
              <w:left w:val="nil"/>
              <w:bottom w:val="nil"/>
              <w:right w:val="nil"/>
            </w:tcBorders>
            <w:shd w:val="clear" w:color="auto" w:fill="auto"/>
            <w:hideMark/>
          </w:tcPr>
          <w:p w14:paraId="385826B9"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День, в який повинні бути доставлені контракти, що були узгоджені</w:t>
            </w:r>
          </w:p>
        </w:tc>
      </w:tr>
      <w:tr w:rsidR="00EC6B00" w:rsidRPr="007E5633" w14:paraId="182FC1A6" w14:textId="77777777" w:rsidTr="00EC6B00">
        <w:trPr>
          <w:trHeight w:val="630"/>
        </w:trPr>
        <w:tc>
          <w:tcPr>
            <w:tcW w:w="2732" w:type="dxa"/>
            <w:tcBorders>
              <w:top w:val="nil"/>
              <w:left w:val="nil"/>
              <w:bottom w:val="nil"/>
              <w:right w:val="nil"/>
            </w:tcBorders>
            <w:shd w:val="clear" w:color="auto" w:fill="auto"/>
            <w:hideMark/>
          </w:tcPr>
          <w:p w14:paraId="29ED5A84"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Термін доставки</w:t>
            </w:r>
          </w:p>
        </w:tc>
        <w:tc>
          <w:tcPr>
            <w:tcW w:w="7368" w:type="dxa"/>
            <w:tcBorders>
              <w:top w:val="nil"/>
              <w:left w:val="nil"/>
              <w:bottom w:val="nil"/>
              <w:right w:val="nil"/>
            </w:tcBorders>
            <w:shd w:val="clear" w:color="auto" w:fill="auto"/>
            <w:hideMark/>
          </w:tcPr>
          <w:p w14:paraId="11B642D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Період, протягом якого електроенергія / природний газ, що лежить в основі ф'ючерсних контрактів, вводяться / вилучаються</w:t>
            </w:r>
          </w:p>
        </w:tc>
      </w:tr>
      <w:tr w:rsidR="00EC6B00" w:rsidRPr="007E5633" w14:paraId="7EC7432E" w14:textId="77777777" w:rsidTr="00EC6B00">
        <w:trPr>
          <w:trHeight w:val="945"/>
        </w:trPr>
        <w:tc>
          <w:tcPr>
            <w:tcW w:w="2732" w:type="dxa"/>
            <w:tcBorders>
              <w:top w:val="nil"/>
              <w:left w:val="nil"/>
              <w:bottom w:val="nil"/>
              <w:right w:val="nil"/>
            </w:tcBorders>
            <w:shd w:val="clear" w:color="auto" w:fill="auto"/>
            <w:hideMark/>
          </w:tcPr>
          <w:p w14:paraId="7B24BAF8"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Дельта</w:t>
            </w:r>
          </w:p>
        </w:tc>
        <w:tc>
          <w:tcPr>
            <w:tcW w:w="7368" w:type="dxa"/>
            <w:tcBorders>
              <w:top w:val="nil"/>
              <w:left w:val="nil"/>
              <w:bottom w:val="nil"/>
              <w:right w:val="nil"/>
            </w:tcBorders>
            <w:shd w:val="clear" w:color="auto" w:fill="auto"/>
            <w:hideMark/>
          </w:tcPr>
          <w:p w14:paraId="4B25A8B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Ймовірність, що опціон буде прибутковим на момент виконання, або позиція в базовому цінному папері, необхідна для повного хеджування опціону або портфеля опціонів</w:t>
            </w:r>
          </w:p>
        </w:tc>
      </w:tr>
      <w:tr w:rsidR="00EC6B00" w:rsidRPr="007E5633" w14:paraId="3D086996" w14:textId="77777777" w:rsidTr="00EC6B00">
        <w:trPr>
          <w:trHeight w:val="630"/>
        </w:trPr>
        <w:tc>
          <w:tcPr>
            <w:tcW w:w="2732" w:type="dxa"/>
            <w:tcBorders>
              <w:top w:val="nil"/>
              <w:left w:val="nil"/>
              <w:bottom w:val="nil"/>
              <w:right w:val="nil"/>
            </w:tcBorders>
            <w:shd w:val="clear" w:color="auto" w:fill="auto"/>
            <w:hideMark/>
          </w:tcPr>
          <w:p w14:paraId="3D694AD3"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Edig @ s</w:t>
            </w:r>
          </w:p>
        </w:tc>
        <w:tc>
          <w:tcPr>
            <w:tcW w:w="7368" w:type="dxa"/>
            <w:tcBorders>
              <w:top w:val="nil"/>
              <w:left w:val="nil"/>
              <w:bottom w:val="nil"/>
              <w:right w:val="nil"/>
            </w:tcBorders>
            <w:shd w:val="clear" w:color="auto" w:fill="auto"/>
            <w:hideMark/>
          </w:tcPr>
          <w:p w14:paraId="0B685819"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Електронний обмін даними (EDI) для покупки, продажу, транспортування та зберігання газу</w:t>
            </w:r>
          </w:p>
        </w:tc>
      </w:tr>
      <w:tr w:rsidR="00EC6B00" w:rsidRPr="007E5633" w14:paraId="7793F5C1" w14:textId="77777777" w:rsidTr="00EC6B00">
        <w:trPr>
          <w:trHeight w:val="630"/>
        </w:trPr>
        <w:tc>
          <w:tcPr>
            <w:tcW w:w="2732" w:type="dxa"/>
            <w:tcBorders>
              <w:top w:val="nil"/>
              <w:left w:val="nil"/>
              <w:bottom w:val="nil"/>
              <w:right w:val="nil"/>
            </w:tcBorders>
            <w:shd w:val="clear" w:color="auto" w:fill="auto"/>
            <w:hideMark/>
          </w:tcPr>
          <w:p w14:paraId="06C7634E"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EMIR</w:t>
            </w:r>
          </w:p>
        </w:tc>
        <w:tc>
          <w:tcPr>
            <w:tcW w:w="7368" w:type="dxa"/>
            <w:tcBorders>
              <w:top w:val="nil"/>
              <w:left w:val="nil"/>
              <w:bottom w:val="nil"/>
              <w:right w:val="nil"/>
            </w:tcBorders>
            <w:shd w:val="clear" w:color="auto" w:fill="auto"/>
            <w:hideMark/>
          </w:tcPr>
          <w:p w14:paraId="2A396993"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Регламент Європейського Союзу, спрямований на підвищення стабільності позабіржових деривативних ринків</w:t>
            </w:r>
          </w:p>
        </w:tc>
      </w:tr>
      <w:tr w:rsidR="00EC6B00" w:rsidRPr="007E5633" w14:paraId="087C9DF3" w14:textId="77777777" w:rsidTr="00EC6B00">
        <w:trPr>
          <w:trHeight w:val="630"/>
        </w:trPr>
        <w:tc>
          <w:tcPr>
            <w:tcW w:w="2732" w:type="dxa"/>
            <w:tcBorders>
              <w:top w:val="nil"/>
              <w:left w:val="nil"/>
              <w:bottom w:val="nil"/>
              <w:right w:val="nil"/>
            </w:tcBorders>
            <w:shd w:val="clear" w:color="auto" w:fill="auto"/>
            <w:hideMark/>
          </w:tcPr>
          <w:p w14:paraId="0247E6A7"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lastRenderedPageBreak/>
              <w:t>Термін дії</w:t>
            </w:r>
          </w:p>
        </w:tc>
        <w:tc>
          <w:tcPr>
            <w:tcW w:w="7368" w:type="dxa"/>
            <w:tcBorders>
              <w:top w:val="nil"/>
              <w:left w:val="nil"/>
              <w:bottom w:val="nil"/>
              <w:right w:val="nil"/>
            </w:tcBorders>
            <w:shd w:val="clear" w:color="auto" w:fill="auto"/>
            <w:hideMark/>
          </w:tcPr>
          <w:p w14:paraId="1B6839C3"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 xml:space="preserve">Термін погашення контракту на платформі, що торгує ф'ючерсами та деривативами на газ </w:t>
            </w:r>
          </w:p>
        </w:tc>
      </w:tr>
      <w:tr w:rsidR="00EC6B00" w:rsidRPr="007E5633" w14:paraId="4A6D8D7E" w14:textId="77777777" w:rsidTr="00EC6B00">
        <w:trPr>
          <w:trHeight w:val="945"/>
        </w:trPr>
        <w:tc>
          <w:tcPr>
            <w:tcW w:w="2732" w:type="dxa"/>
            <w:tcBorders>
              <w:top w:val="nil"/>
              <w:left w:val="nil"/>
              <w:bottom w:val="nil"/>
              <w:right w:val="nil"/>
            </w:tcBorders>
            <w:shd w:val="clear" w:color="auto" w:fill="auto"/>
            <w:hideMark/>
          </w:tcPr>
          <w:p w14:paraId="2FC42EEC"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eXRP</w:t>
            </w:r>
          </w:p>
        </w:tc>
        <w:tc>
          <w:tcPr>
            <w:tcW w:w="7368" w:type="dxa"/>
            <w:tcBorders>
              <w:top w:val="nil"/>
              <w:left w:val="nil"/>
              <w:bottom w:val="nil"/>
              <w:right w:val="nil"/>
            </w:tcBorders>
            <w:shd w:val="clear" w:color="auto" w:fill="auto"/>
            <w:hideMark/>
          </w:tcPr>
          <w:p w14:paraId="1448DDB1"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Стандартний процес, розроблений EFET для реєстрації клірингу, який визначає стандартний формат даних між кліринговими брокерами та біржами</w:t>
            </w:r>
          </w:p>
        </w:tc>
      </w:tr>
      <w:tr w:rsidR="00EC6B00" w:rsidRPr="007E5633" w14:paraId="4E220E7B" w14:textId="77777777" w:rsidTr="00EC6B00">
        <w:trPr>
          <w:trHeight w:val="1260"/>
        </w:trPr>
        <w:tc>
          <w:tcPr>
            <w:tcW w:w="2732" w:type="dxa"/>
            <w:tcBorders>
              <w:top w:val="nil"/>
              <w:left w:val="nil"/>
              <w:bottom w:val="nil"/>
              <w:right w:val="nil"/>
            </w:tcBorders>
            <w:shd w:val="clear" w:color="auto" w:fill="auto"/>
            <w:hideMark/>
          </w:tcPr>
          <w:p w14:paraId="67D9EB78"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Виконати та Відмінити (відмінити)</w:t>
            </w:r>
          </w:p>
        </w:tc>
        <w:tc>
          <w:tcPr>
            <w:tcW w:w="7368" w:type="dxa"/>
            <w:tcBorders>
              <w:top w:val="nil"/>
              <w:left w:val="nil"/>
              <w:bottom w:val="nil"/>
              <w:right w:val="nil"/>
            </w:tcBorders>
            <w:shd w:val="clear" w:color="auto" w:fill="auto"/>
            <w:hideMark/>
          </w:tcPr>
          <w:p w14:paraId="2E2B4C7C"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Метод, в якому замовлення надається на ринок з підставі того, що якомога більше замовлення має бути виконано, а решту потрібно скасувати, якщо вони не можуть бути виконані в повному обсязі практично негайно</w:t>
            </w:r>
          </w:p>
        </w:tc>
      </w:tr>
      <w:tr w:rsidR="00EC6B00" w:rsidRPr="007E5633" w14:paraId="30C0D3C5" w14:textId="77777777" w:rsidTr="00EC6B00">
        <w:trPr>
          <w:trHeight w:val="945"/>
        </w:trPr>
        <w:tc>
          <w:tcPr>
            <w:tcW w:w="2732" w:type="dxa"/>
            <w:tcBorders>
              <w:top w:val="nil"/>
              <w:left w:val="nil"/>
              <w:bottom w:val="nil"/>
              <w:right w:val="nil"/>
            </w:tcBorders>
            <w:shd w:val="clear" w:color="auto" w:fill="auto"/>
            <w:hideMark/>
          </w:tcPr>
          <w:p w14:paraId="0B9271EF"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Виконати або Відмінити (відмінити)</w:t>
            </w:r>
          </w:p>
        </w:tc>
        <w:tc>
          <w:tcPr>
            <w:tcW w:w="7368" w:type="dxa"/>
            <w:tcBorders>
              <w:top w:val="nil"/>
              <w:left w:val="nil"/>
              <w:bottom w:val="nil"/>
              <w:right w:val="nil"/>
            </w:tcBorders>
            <w:shd w:val="clear" w:color="auto" w:fill="auto"/>
            <w:hideMark/>
          </w:tcPr>
          <w:p w14:paraId="0C298ADC"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Метод, коли замовлення надається на ринок на підставі того, що його слід скасувати, якщо воно не може бути виконане в повному обсязі практично негайно</w:t>
            </w:r>
          </w:p>
        </w:tc>
      </w:tr>
      <w:tr w:rsidR="00EC6B00" w:rsidRPr="007E5633" w14:paraId="15D18FFB" w14:textId="77777777" w:rsidTr="00EC6B00">
        <w:trPr>
          <w:trHeight w:val="315"/>
        </w:trPr>
        <w:tc>
          <w:tcPr>
            <w:tcW w:w="2732" w:type="dxa"/>
            <w:tcBorders>
              <w:top w:val="nil"/>
              <w:left w:val="nil"/>
              <w:bottom w:val="nil"/>
              <w:right w:val="nil"/>
            </w:tcBorders>
            <w:shd w:val="clear" w:color="auto" w:fill="auto"/>
            <w:hideMark/>
          </w:tcPr>
          <w:p w14:paraId="7088E8BB"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FpML</w:t>
            </w:r>
          </w:p>
        </w:tc>
        <w:tc>
          <w:tcPr>
            <w:tcW w:w="7368" w:type="dxa"/>
            <w:tcBorders>
              <w:top w:val="nil"/>
              <w:left w:val="nil"/>
              <w:bottom w:val="nil"/>
              <w:right w:val="nil"/>
            </w:tcBorders>
            <w:shd w:val="clear" w:color="auto" w:fill="auto"/>
            <w:hideMark/>
          </w:tcPr>
          <w:p w14:paraId="4F5548A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Стандарт XML-повідомлення для галузі позабіржових деривативів</w:t>
            </w:r>
          </w:p>
        </w:tc>
      </w:tr>
      <w:tr w:rsidR="00EC6B00" w:rsidRPr="007E5633" w14:paraId="780464BD" w14:textId="77777777" w:rsidTr="00EC6B00">
        <w:trPr>
          <w:trHeight w:val="1080"/>
        </w:trPr>
        <w:tc>
          <w:tcPr>
            <w:tcW w:w="2732" w:type="dxa"/>
            <w:tcBorders>
              <w:top w:val="nil"/>
              <w:left w:val="nil"/>
              <w:bottom w:val="nil"/>
              <w:right w:val="nil"/>
            </w:tcBorders>
            <w:shd w:val="clear" w:color="auto" w:fill="auto"/>
            <w:hideMark/>
          </w:tcPr>
          <w:p w14:paraId="238D4B14"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Замовлення "айсберг"/прихована кількість</w:t>
            </w:r>
          </w:p>
        </w:tc>
        <w:tc>
          <w:tcPr>
            <w:tcW w:w="7368" w:type="dxa"/>
            <w:tcBorders>
              <w:top w:val="nil"/>
              <w:left w:val="nil"/>
              <w:bottom w:val="nil"/>
              <w:right w:val="nil"/>
            </w:tcBorders>
            <w:shd w:val="clear" w:color="auto" w:fill="auto"/>
            <w:hideMark/>
          </w:tcPr>
          <w:p w14:paraId="7E860F42"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Велике єдине замовлення, яке було розділене на менші лоти</w:t>
            </w:r>
          </w:p>
        </w:tc>
      </w:tr>
      <w:tr w:rsidR="00EC6B00" w:rsidRPr="007E5633" w14:paraId="6A407411" w14:textId="77777777" w:rsidTr="00EC6B00">
        <w:trPr>
          <w:trHeight w:val="630"/>
        </w:trPr>
        <w:tc>
          <w:tcPr>
            <w:tcW w:w="2732" w:type="dxa"/>
            <w:tcBorders>
              <w:top w:val="nil"/>
              <w:left w:val="nil"/>
              <w:bottom w:val="nil"/>
              <w:right w:val="nil"/>
            </w:tcBorders>
            <w:shd w:val="clear" w:color="auto" w:fill="auto"/>
            <w:hideMark/>
          </w:tcPr>
          <w:p w14:paraId="5B9999F9"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Адреса IP (Інтернет-протоколу)</w:t>
            </w:r>
          </w:p>
        </w:tc>
        <w:tc>
          <w:tcPr>
            <w:tcW w:w="7368" w:type="dxa"/>
            <w:tcBorders>
              <w:top w:val="nil"/>
              <w:left w:val="nil"/>
              <w:bottom w:val="nil"/>
              <w:right w:val="nil"/>
            </w:tcBorders>
            <w:shd w:val="clear" w:color="auto" w:fill="auto"/>
            <w:hideMark/>
          </w:tcPr>
          <w:p w14:paraId="2EB4D447"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Спеціальний номер, що використовується для унікального визначення всіх комп'ютерів у мережі (наприклад, в мережі Інтернет)</w:t>
            </w:r>
          </w:p>
        </w:tc>
      </w:tr>
      <w:tr w:rsidR="00EC6B00" w:rsidRPr="007E5633" w14:paraId="6A479F10" w14:textId="77777777" w:rsidTr="00EC6B00">
        <w:trPr>
          <w:trHeight w:val="630"/>
        </w:trPr>
        <w:tc>
          <w:tcPr>
            <w:tcW w:w="2732" w:type="dxa"/>
            <w:tcBorders>
              <w:top w:val="nil"/>
              <w:left w:val="nil"/>
              <w:bottom w:val="nil"/>
              <w:right w:val="nil"/>
            </w:tcBorders>
            <w:shd w:val="clear" w:color="auto" w:fill="auto"/>
            <w:hideMark/>
          </w:tcPr>
          <w:p w14:paraId="45B1ACEE"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Легкий додаток</w:t>
            </w:r>
          </w:p>
        </w:tc>
        <w:tc>
          <w:tcPr>
            <w:tcW w:w="7368" w:type="dxa"/>
            <w:tcBorders>
              <w:top w:val="nil"/>
              <w:left w:val="nil"/>
              <w:bottom w:val="nil"/>
              <w:right w:val="nil"/>
            </w:tcBorders>
            <w:shd w:val="clear" w:color="auto" w:fill="auto"/>
            <w:hideMark/>
          </w:tcPr>
          <w:p w14:paraId="4C4410DC"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Додаток (прикладне ПЗ), який є відносно простішим, або швидшим, або має меншу кількість частин, ніж подібні йому додатки</w:t>
            </w:r>
          </w:p>
        </w:tc>
      </w:tr>
      <w:tr w:rsidR="00EC6B00" w:rsidRPr="007E5633" w14:paraId="60F1751C" w14:textId="77777777" w:rsidTr="00EC6B00">
        <w:trPr>
          <w:trHeight w:val="945"/>
        </w:trPr>
        <w:tc>
          <w:tcPr>
            <w:tcW w:w="2732" w:type="dxa"/>
            <w:tcBorders>
              <w:top w:val="nil"/>
              <w:left w:val="nil"/>
              <w:bottom w:val="nil"/>
              <w:right w:val="nil"/>
            </w:tcBorders>
            <w:shd w:val="clear" w:color="auto" w:fill="auto"/>
            <w:hideMark/>
          </w:tcPr>
          <w:p w14:paraId="58AE0C2B"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"Створюючий ринок"</w:t>
            </w:r>
            <w:r w:rsidR="007E5633">
              <w:rPr>
                <w:rFonts w:ascii="Arial" w:eastAsia="Times New Roman" w:hAnsi="Arial" w:cs="Arial"/>
                <w:b/>
                <w:bCs/>
                <w:lang w:val="uk-UA" w:eastAsia="en-GB"/>
              </w:rPr>
              <w:t xml:space="preserve"> (маркет-мейкер)</w:t>
            </w:r>
          </w:p>
        </w:tc>
        <w:tc>
          <w:tcPr>
            <w:tcW w:w="7368" w:type="dxa"/>
            <w:tcBorders>
              <w:top w:val="nil"/>
              <w:left w:val="nil"/>
              <w:bottom w:val="nil"/>
              <w:right w:val="nil"/>
            </w:tcBorders>
            <w:shd w:val="clear" w:color="auto" w:fill="auto"/>
            <w:hideMark/>
          </w:tcPr>
          <w:p w14:paraId="2815A1EB"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Компанія або особа, яка виступає "постачальником" ліквідності, тобто яка котирує як ціну купівлі, так і ціну продажу по фінансовому інструменту або товару, який вона має у себе в наявності</w:t>
            </w:r>
          </w:p>
        </w:tc>
      </w:tr>
      <w:tr w:rsidR="00EC6B00" w:rsidRPr="007E5633" w14:paraId="5FA43EBA" w14:textId="77777777" w:rsidTr="00EC6B00">
        <w:trPr>
          <w:trHeight w:val="900"/>
        </w:trPr>
        <w:tc>
          <w:tcPr>
            <w:tcW w:w="2732" w:type="dxa"/>
            <w:tcBorders>
              <w:top w:val="nil"/>
              <w:left w:val="nil"/>
              <w:bottom w:val="nil"/>
              <w:right w:val="nil"/>
            </w:tcBorders>
            <w:shd w:val="clear" w:color="auto" w:fill="auto"/>
            <w:hideMark/>
          </w:tcPr>
          <w:p w14:paraId="2A268A9D"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MiFID II</w:t>
            </w:r>
          </w:p>
        </w:tc>
        <w:tc>
          <w:tcPr>
            <w:tcW w:w="7368" w:type="dxa"/>
            <w:tcBorders>
              <w:top w:val="nil"/>
              <w:left w:val="nil"/>
              <w:bottom w:val="nil"/>
              <w:right w:val="nil"/>
            </w:tcBorders>
            <w:shd w:val="clear" w:color="auto" w:fill="auto"/>
            <w:vAlign w:val="bottom"/>
            <w:hideMark/>
          </w:tcPr>
          <w:p w14:paraId="23A081E7"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Директива 2014/65 / ЄС Європейського Парламенту та Ради від 15 травня 2014 р. Про ринки фінансових інструментів та внесення змін до Директиви 2002/92 / ЄС та Директиви 2011/61 / ЄС</w:t>
            </w:r>
          </w:p>
        </w:tc>
      </w:tr>
      <w:tr w:rsidR="00EC6B00" w:rsidRPr="007E5633" w14:paraId="40DC57C7" w14:textId="77777777" w:rsidTr="00EC6B00">
        <w:trPr>
          <w:trHeight w:val="900"/>
        </w:trPr>
        <w:tc>
          <w:tcPr>
            <w:tcW w:w="2732" w:type="dxa"/>
            <w:tcBorders>
              <w:top w:val="nil"/>
              <w:left w:val="nil"/>
              <w:bottom w:val="nil"/>
              <w:right w:val="nil"/>
            </w:tcBorders>
            <w:shd w:val="clear" w:color="auto" w:fill="auto"/>
            <w:hideMark/>
          </w:tcPr>
          <w:p w14:paraId="3B074E2C"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MiFIR</w:t>
            </w:r>
          </w:p>
        </w:tc>
        <w:tc>
          <w:tcPr>
            <w:tcW w:w="7368" w:type="dxa"/>
            <w:tcBorders>
              <w:top w:val="nil"/>
              <w:left w:val="nil"/>
              <w:bottom w:val="nil"/>
              <w:right w:val="nil"/>
            </w:tcBorders>
            <w:shd w:val="clear" w:color="auto" w:fill="auto"/>
            <w:vAlign w:val="bottom"/>
            <w:hideMark/>
          </w:tcPr>
          <w:p w14:paraId="224EB757"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Регламент (ЄС) № 600/2014 Європейського Парламенту та Ради від 15 травня 2014 р. Про ринки фінансових інструментів та внесення змін до Регламенту (ЄС) № 648/2012</w:t>
            </w:r>
          </w:p>
        </w:tc>
      </w:tr>
      <w:tr w:rsidR="00EC6B00" w:rsidRPr="007E5633" w14:paraId="4EB241C8" w14:textId="77777777" w:rsidTr="00EC6B00">
        <w:trPr>
          <w:trHeight w:val="630"/>
        </w:trPr>
        <w:tc>
          <w:tcPr>
            <w:tcW w:w="2732" w:type="dxa"/>
            <w:tcBorders>
              <w:top w:val="nil"/>
              <w:left w:val="nil"/>
              <w:bottom w:val="nil"/>
              <w:right w:val="nil"/>
            </w:tcBorders>
            <w:shd w:val="clear" w:color="auto" w:fill="auto"/>
            <w:hideMark/>
          </w:tcPr>
          <w:p w14:paraId="60203898"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Угода про членство</w:t>
            </w:r>
          </w:p>
        </w:tc>
        <w:tc>
          <w:tcPr>
            <w:tcW w:w="7368" w:type="dxa"/>
            <w:tcBorders>
              <w:top w:val="nil"/>
              <w:left w:val="nil"/>
              <w:bottom w:val="nil"/>
              <w:right w:val="nil"/>
            </w:tcBorders>
            <w:shd w:val="clear" w:color="auto" w:fill="auto"/>
            <w:hideMark/>
          </w:tcPr>
          <w:p w14:paraId="4F280E1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Контракт між Членом та Оператором, за яким Член приймає зобов'язання дотримуватися правил та регламентів платформи</w:t>
            </w:r>
          </w:p>
        </w:tc>
      </w:tr>
      <w:tr w:rsidR="00EC6B00" w:rsidRPr="007E5633" w14:paraId="2D1813A2" w14:textId="77777777" w:rsidTr="00EC6B00">
        <w:trPr>
          <w:trHeight w:val="315"/>
        </w:trPr>
        <w:tc>
          <w:tcPr>
            <w:tcW w:w="2732" w:type="dxa"/>
            <w:tcBorders>
              <w:top w:val="nil"/>
              <w:left w:val="nil"/>
              <w:bottom w:val="nil"/>
              <w:right w:val="nil"/>
            </w:tcBorders>
            <w:shd w:val="clear" w:color="auto" w:fill="auto"/>
            <w:hideMark/>
          </w:tcPr>
          <w:p w14:paraId="279267EE"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Чиста позиція</w:t>
            </w:r>
          </w:p>
        </w:tc>
        <w:tc>
          <w:tcPr>
            <w:tcW w:w="7368" w:type="dxa"/>
            <w:tcBorders>
              <w:top w:val="nil"/>
              <w:left w:val="nil"/>
              <w:bottom w:val="nil"/>
              <w:right w:val="nil"/>
            </w:tcBorders>
            <w:shd w:val="clear" w:color="auto" w:fill="auto"/>
            <w:hideMark/>
          </w:tcPr>
          <w:p w14:paraId="36A9D9DF"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Баланс усіх продажів і покупок за певним контрактом</w:t>
            </w:r>
          </w:p>
        </w:tc>
      </w:tr>
      <w:tr w:rsidR="00EC6B00" w:rsidRPr="007E5633" w14:paraId="00C80C08" w14:textId="77777777" w:rsidTr="00EC6B00">
        <w:trPr>
          <w:trHeight w:val="315"/>
        </w:trPr>
        <w:tc>
          <w:tcPr>
            <w:tcW w:w="2732" w:type="dxa"/>
            <w:tcBorders>
              <w:top w:val="nil"/>
              <w:left w:val="nil"/>
              <w:bottom w:val="nil"/>
              <w:right w:val="nil"/>
            </w:tcBorders>
            <w:shd w:val="clear" w:color="auto" w:fill="auto"/>
            <w:hideMark/>
          </w:tcPr>
          <w:p w14:paraId="0FB5FC9B"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Ціна пропозиції</w:t>
            </w:r>
          </w:p>
        </w:tc>
        <w:tc>
          <w:tcPr>
            <w:tcW w:w="7368" w:type="dxa"/>
            <w:tcBorders>
              <w:top w:val="nil"/>
              <w:left w:val="nil"/>
              <w:bottom w:val="nil"/>
              <w:right w:val="nil"/>
            </w:tcBorders>
            <w:shd w:val="clear" w:color="auto" w:fill="auto"/>
            <w:hideMark/>
          </w:tcPr>
          <w:p w14:paraId="53A8761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Ціна продажу інструмента</w:t>
            </w:r>
          </w:p>
        </w:tc>
      </w:tr>
      <w:tr w:rsidR="00EC6B00" w:rsidRPr="007E5633" w14:paraId="66B66D37" w14:textId="77777777" w:rsidTr="00EC6B00">
        <w:trPr>
          <w:trHeight w:val="945"/>
        </w:trPr>
        <w:tc>
          <w:tcPr>
            <w:tcW w:w="2732" w:type="dxa"/>
            <w:tcBorders>
              <w:top w:val="nil"/>
              <w:left w:val="nil"/>
              <w:bottom w:val="nil"/>
              <w:right w:val="nil"/>
            </w:tcBorders>
            <w:shd w:val="clear" w:color="auto" w:fill="auto"/>
            <w:hideMark/>
          </w:tcPr>
          <w:p w14:paraId="15824C0D"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Реєстр замовлень</w:t>
            </w:r>
          </w:p>
        </w:tc>
        <w:tc>
          <w:tcPr>
            <w:tcW w:w="7368" w:type="dxa"/>
            <w:tcBorders>
              <w:top w:val="nil"/>
              <w:left w:val="nil"/>
              <w:bottom w:val="nil"/>
              <w:right w:val="nil"/>
            </w:tcBorders>
            <w:shd w:val="clear" w:color="auto" w:fill="auto"/>
            <w:hideMark/>
          </w:tcPr>
          <w:p w14:paraId="42AC4A97"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Централізація Торговою платформою замовлень на купівлю та продаж і рейтинг, заснований на пріоритеті виконання, визначеному відповідним алгоритмом</w:t>
            </w:r>
          </w:p>
        </w:tc>
      </w:tr>
      <w:tr w:rsidR="00EC6B00" w:rsidRPr="007E5633" w14:paraId="6EF5FAEA" w14:textId="77777777" w:rsidTr="00EC6B00">
        <w:trPr>
          <w:trHeight w:val="945"/>
        </w:trPr>
        <w:tc>
          <w:tcPr>
            <w:tcW w:w="2732" w:type="dxa"/>
            <w:tcBorders>
              <w:top w:val="nil"/>
              <w:left w:val="nil"/>
              <w:bottom w:val="nil"/>
              <w:right w:val="nil"/>
            </w:tcBorders>
            <w:shd w:val="clear" w:color="auto" w:fill="auto"/>
            <w:hideMark/>
          </w:tcPr>
          <w:p w14:paraId="7F88BDC7"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Замовлення / Замовлення та котирування</w:t>
            </w:r>
          </w:p>
        </w:tc>
        <w:tc>
          <w:tcPr>
            <w:tcW w:w="7368" w:type="dxa"/>
            <w:tcBorders>
              <w:top w:val="nil"/>
              <w:left w:val="nil"/>
              <w:bottom w:val="nil"/>
              <w:right w:val="nil"/>
            </w:tcBorders>
            <w:shd w:val="clear" w:color="auto" w:fill="auto"/>
            <w:hideMark/>
          </w:tcPr>
          <w:p w14:paraId="3BE58397"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Електронний документ, за яким Учасник подає ціну та кількість, за якими він хоче здійснити угоду в контракті</w:t>
            </w:r>
          </w:p>
        </w:tc>
      </w:tr>
      <w:tr w:rsidR="00EC6B00" w:rsidRPr="007E5633" w14:paraId="41EB2641" w14:textId="77777777" w:rsidTr="00EC6B00">
        <w:trPr>
          <w:trHeight w:val="630"/>
        </w:trPr>
        <w:tc>
          <w:tcPr>
            <w:tcW w:w="2732" w:type="dxa"/>
            <w:tcBorders>
              <w:top w:val="nil"/>
              <w:left w:val="nil"/>
              <w:bottom w:val="nil"/>
              <w:right w:val="nil"/>
            </w:tcBorders>
            <w:shd w:val="clear" w:color="auto" w:fill="auto"/>
            <w:hideMark/>
          </w:tcPr>
          <w:p w14:paraId="6DA7D2A6"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Ліміт позиції</w:t>
            </w:r>
          </w:p>
        </w:tc>
        <w:tc>
          <w:tcPr>
            <w:tcW w:w="7368" w:type="dxa"/>
            <w:tcBorders>
              <w:top w:val="nil"/>
              <w:left w:val="nil"/>
              <w:bottom w:val="nil"/>
              <w:right w:val="nil"/>
            </w:tcBorders>
            <w:shd w:val="clear" w:color="auto" w:fill="auto"/>
            <w:hideMark/>
          </w:tcPr>
          <w:p w14:paraId="5A491D05"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Найвища вартість ф'ючерсних та деривативних контрактів, які інвестору дозволяється мати на один базовий цінний папір</w:t>
            </w:r>
          </w:p>
        </w:tc>
      </w:tr>
      <w:tr w:rsidR="00EC6B00" w:rsidRPr="007E5633" w14:paraId="619F32B0" w14:textId="77777777" w:rsidTr="00EC6B00">
        <w:trPr>
          <w:trHeight w:val="1260"/>
        </w:trPr>
        <w:tc>
          <w:tcPr>
            <w:tcW w:w="2732" w:type="dxa"/>
            <w:tcBorders>
              <w:top w:val="nil"/>
              <w:left w:val="nil"/>
              <w:bottom w:val="nil"/>
              <w:right w:val="nil"/>
            </w:tcBorders>
            <w:shd w:val="clear" w:color="auto" w:fill="auto"/>
            <w:hideMark/>
          </w:tcPr>
          <w:p w14:paraId="7527527E" w14:textId="77777777" w:rsidR="0064705F" w:rsidRPr="007E5633" w:rsidRDefault="007E5633"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lastRenderedPageBreak/>
              <w:t>Зареєстрований</w:t>
            </w:r>
            <w:r w:rsidR="0064705F" w:rsidRPr="007E5633">
              <w:rPr>
                <w:rFonts w:ascii="Arial" w:eastAsia="Times New Roman" w:hAnsi="Arial" w:cs="Arial"/>
                <w:b/>
                <w:bCs/>
                <w:lang w:val="uk-UA" w:eastAsia="en-GB"/>
              </w:rPr>
              <w:t xml:space="preserve"> механізм звітування (RRM)</w:t>
            </w:r>
          </w:p>
        </w:tc>
        <w:tc>
          <w:tcPr>
            <w:tcW w:w="7368" w:type="dxa"/>
            <w:tcBorders>
              <w:top w:val="nil"/>
              <w:left w:val="nil"/>
              <w:bottom w:val="nil"/>
              <w:right w:val="nil"/>
            </w:tcBorders>
            <w:shd w:val="clear" w:color="auto" w:fill="auto"/>
            <w:hideMark/>
          </w:tcPr>
          <w:p w14:paraId="0094A589"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Агент для передачі даних про торгівлю та замовлення, які необхідно надсилати до Агентства співпраці енергетичних регуляторів (ACER) відповідно до Положення про цілісність та прозорість оптового енергетичного ринку (REMIT)</w:t>
            </w:r>
          </w:p>
        </w:tc>
      </w:tr>
      <w:tr w:rsidR="00EC6B00" w:rsidRPr="007E5633" w14:paraId="22220E7C" w14:textId="77777777" w:rsidTr="00EC6B00">
        <w:trPr>
          <w:trHeight w:val="1260"/>
        </w:trPr>
        <w:tc>
          <w:tcPr>
            <w:tcW w:w="2732" w:type="dxa"/>
            <w:tcBorders>
              <w:top w:val="nil"/>
              <w:left w:val="nil"/>
              <w:bottom w:val="nil"/>
              <w:right w:val="nil"/>
            </w:tcBorders>
            <w:shd w:val="clear" w:color="auto" w:fill="auto"/>
            <w:hideMark/>
          </w:tcPr>
          <w:p w14:paraId="33687370"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Регламент ЄС (ЄС) № 1227/2011 Європейського Парламенту та Ради про цілісність та прозорість оптового енергетичного ринку (REMIT)</w:t>
            </w:r>
          </w:p>
        </w:tc>
        <w:tc>
          <w:tcPr>
            <w:tcW w:w="7368" w:type="dxa"/>
            <w:tcBorders>
              <w:top w:val="nil"/>
              <w:left w:val="nil"/>
              <w:bottom w:val="nil"/>
              <w:right w:val="nil"/>
            </w:tcBorders>
            <w:shd w:val="clear" w:color="auto" w:fill="auto"/>
            <w:hideMark/>
          </w:tcPr>
          <w:p w14:paraId="49216B66"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Регламент ЄС, спрямований на підвищення прозорості та стабільності європейських енергетичних ринків при боротьбі з інсайдерською торгівлею та маніпулюванням ринком</w:t>
            </w:r>
          </w:p>
        </w:tc>
      </w:tr>
      <w:tr w:rsidR="00EC6B00" w:rsidRPr="007E5633" w14:paraId="0825CF24" w14:textId="77777777" w:rsidTr="00EC6B00">
        <w:trPr>
          <w:trHeight w:val="1575"/>
        </w:trPr>
        <w:tc>
          <w:tcPr>
            <w:tcW w:w="2732" w:type="dxa"/>
            <w:tcBorders>
              <w:top w:val="nil"/>
              <w:left w:val="nil"/>
              <w:bottom w:val="nil"/>
              <w:right w:val="nil"/>
            </w:tcBorders>
            <w:shd w:val="clear" w:color="auto" w:fill="auto"/>
            <w:hideMark/>
          </w:tcPr>
          <w:p w14:paraId="0F926A24"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Запит про кваліфікацію (RFQ)</w:t>
            </w:r>
          </w:p>
        </w:tc>
        <w:tc>
          <w:tcPr>
            <w:tcW w:w="7368" w:type="dxa"/>
            <w:tcBorders>
              <w:top w:val="nil"/>
              <w:left w:val="nil"/>
              <w:bottom w:val="nil"/>
              <w:right w:val="nil"/>
            </w:tcBorders>
            <w:shd w:val="clear" w:color="auto" w:fill="auto"/>
            <w:hideMark/>
          </w:tcPr>
          <w:p w14:paraId="7EFE984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Документ, виданий Власником до Запиту про подання пропозицій, який зазвичай описує проект достатньо докладно, щоб потенційні заявники могли визначити, чи хочуть вони конкурувати, і є основою для запиту кваліфікаційних подань у "двофазному" або попередньому кваліфікаційному процесі</w:t>
            </w:r>
          </w:p>
        </w:tc>
      </w:tr>
      <w:tr w:rsidR="00EC6B00" w:rsidRPr="007E5633" w14:paraId="6046618E" w14:textId="77777777" w:rsidTr="00EC6B00">
        <w:trPr>
          <w:trHeight w:val="1260"/>
        </w:trPr>
        <w:tc>
          <w:tcPr>
            <w:tcW w:w="2732" w:type="dxa"/>
            <w:tcBorders>
              <w:top w:val="nil"/>
              <w:left w:val="nil"/>
              <w:bottom w:val="nil"/>
              <w:right w:val="nil"/>
            </w:tcBorders>
            <w:shd w:val="clear" w:color="auto" w:fill="auto"/>
            <w:hideMark/>
          </w:tcPr>
          <w:p w14:paraId="2D8853A6"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Правила і норми</w:t>
            </w:r>
          </w:p>
        </w:tc>
        <w:tc>
          <w:tcPr>
            <w:tcW w:w="7368" w:type="dxa"/>
            <w:tcBorders>
              <w:top w:val="nil"/>
              <w:left w:val="nil"/>
              <w:bottom w:val="nil"/>
              <w:right w:val="nil"/>
            </w:tcBorders>
            <w:shd w:val="clear" w:color="auto" w:fill="auto"/>
            <w:hideMark/>
          </w:tcPr>
          <w:p w14:paraId="61FDCA4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Сукупність документів, що мают</w:t>
            </w:r>
            <w:r w:rsidR="007E5633">
              <w:rPr>
                <w:rFonts w:ascii="Arial" w:eastAsia="Times New Roman" w:hAnsi="Arial" w:cs="Arial"/>
                <w:lang w:val="uk-UA" w:eastAsia="en-GB"/>
              </w:rPr>
              <w:t>ь бути випущені Оператором газо</w:t>
            </w:r>
            <w:r w:rsidRPr="007E5633">
              <w:rPr>
                <w:rFonts w:ascii="Arial" w:eastAsia="Times New Roman" w:hAnsi="Arial" w:cs="Arial"/>
                <w:lang w:val="uk-UA" w:eastAsia="en-GB"/>
              </w:rPr>
              <w:t>т</w:t>
            </w:r>
            <w:r w:rsidR="007E5633">
              <w:rPr>
                <w:rFonts w:ascii="Arial" w:eastAsia="Times New Roman" w:hAnsi="Arial" w:cs="Arial"/>
                <w:lang w:val="uk-UA" w:eastAsia="en-GB"/>
              </w:rPr>
              <w:t>о</w:t>
            </w:r>
            <w:r w:rsidRPr="007E5633">
              <w:rPr>
                <w:rFonts w:ascii="Arial" w:eastAsia="Times New Roman" w:hAnsi="Arial" w:cs="Arial"/>
                <w:lang w:val="uk-UA" w:eastAsia="en-GB"/>
              </w:rPr>
              <w:t>ргової платформи, що включає угоду про членство, ринкові правила та ринкові повідомлення або будь-які інші рішення Оператора, зроблені на підставі регламентів або ринкових правил</w:t>
            </w:r>
          </w:p>
        </w:tc>
      </w:tr>
      <w:tr w:rsidR="00EC6B00" w:rsidRPr="007E5633" w14:paraId="0FAE695D" w14:textId="77777777" w:rsidTr="00EC6B00">
        <w:trPr>
          <w:trHeight w:val="945"/>
        </w:trPr>
        <w:tc>
          <w:tcPr>
            <w:tcW w:w="2732" w:type="dxa"/>
            <w:tcBorders>
              <w:top w:val="nil"/>
              <w:left w:val="nil"/>
              <w:bottom w:val="nil"/>
              <w:right w:val="nil"/>
            </w:tcBorders>
            <w:shd w:val="clear" w:color="auto" w:fill="auto"/>
            <w:hideMark/>
          </w:tcPr>
          <w:p w14:paraId="07197B47"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SaaS</w:t>
            </w:r>
          </w:p>
        </w:tc>
        <w:tc>
          <w:tcPr>
            <w:tcW w:w="7368" w:type="dxa"/>
            <w:tcBorders>
              <w:top w:val="nil"/>
              <w:left w:val="nil"/>
              <w:bottom w:val="nil"/>
              <w:right w:val="nil"/>
            </w:tcBorders>
            <w:shd w:val="clear" w:color="auto" w:fill="auto"/>
            <w:hideMark/>
          </w:tcPr>
          <w:p w14:paraId="779AFB7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Модель ліцензування програмного забезпечення та доставки, в якій програмне забезпечення ліцензується на основі підписки та централізовано розміщується</w:t>
            </w:r>
          </w:p>
        </w:tc>
      </w:tr>
      <w:tr w:rsidR="00EC6B00" w:rsidRPr="007E5633" w14:paraId="2A9DDEAD" w14:textId="77777777" w:rsidTr="00EC6B00">
        <w:trPr>
          <w:trHeight w:val="630"/>
        </w:trPr>
        <w:tc>
          <w:tcPr>
            <w:tcW w:w="2732" w:type="dxa"/>
            <w:tcBorders>
              <w:top w:val="nil"/>
              <w:left w:val="nil"/>
              <w:bottom w:val="nil"/>
              <w:right w:val="nil"/>
            </w:tcBorders>
            <w:shd w:val="clear" w:color="auto" w:fill="auto"/>
            <w:hideMark/>
          </w:tcPr>
          <w:p w14:paraId="310CD9F2"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SAN</w:t>
            </w:r>
          </w:p>
        </w:tc>
        <w:tc>
          <w:tcPr>
            <w:tcW w:w="7368" w:type="dxa"/>
            <w:tcBorders>
              <w:top w:val="nil"/>
              <w:left w:val="nil"/>
              <w:bottom w:val="nil"/>
              <w:right w:val="nil"/>
            </w:tcBorders>
            <w:shd w:val="clear" w:color="auto" w:fill="auto"/>
            <w:hideMark/>
          </w:tcPr>
          <w:p w14:paraId="5511E57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Мережа, яка надає доступ до консолідованого сховища даних на рівні блоків</w:t>
            </w:r>
          </w:p>
        </w:tc>
      </w:tr>
      <w:tr w:rsidR="00EC6B00" w:rsidRPr="007E5633" w14:paraId="08123CF5" w14:textId="77777777" w:rsidTr="00EC6B00">
        <w:trPr>
          <w:trHeight w:val="630"/>
        </w:trPr>
        <w:tc>
          <w:tcPr>
            <w:tcW w:w="2732" w:type="dxa"/>
            <w:tcBorders>
              <w:top w:val="nil"/>
              <w:left w:val="nil"/>
              <w:bottom w:val="nil"/>
              <w:right w:val="nil"/>
            </w:tcBorders>
            <w:shd w:val="clear" w:color="auto" w:fill="auto"/>
            <w:hideMark/>
          </w:tcPr>
          <w:p w14:paraId="05746CC4"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Сервер</w:t>
            </w:r>
          </w:p>
        </w:tc>
        <w:tc>
          <w:tcPr>
            <w:tcW w:w="7368" w:type="dxa"/>
            <w:tcBorders>
              <w:top w:val="nil"/>
              <w:left w:val="nil"/>
              <w:bottom w:val="nil"/>
              <w:right w:val="nil"/>
            </w:tcBorders>
            <w:shd w:val="clear" w:color="auto" w:fill="auto"/>
            <w:hideMark/>
          </w:tcPr>
          <w:p w14:paraId="5E7D4D7A"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Комп'ютер, призначений для доступу багатьма іншими комп'ютерами для надання доступу до файлів та даних</w:t>
            </w:r>
          </w:p>
        </w:tc>
      </w:tr>
      <w:tr w:rsidR="00EC6B00" w:rsidRPr="007E5633" w14:paraId="41FC16D9" w14:textId="77777777" w:rsidTr="00EC6B00">
        <w:trPr>
          <w:trHeight w:val="439"/>
        </w:trPr>
        <w:tc>
          <w:tcPr>
            <w:tcW w:w="2732" w:type="dxa"/>
            <w:vMerge w:val="restart"/>
            <w:tcBorders>
              <w:top w:val="nil"/>
              <w:left w:val="nil"/>
              <w:bottom w:val="nil"/>
              <w:right w:val="nil"/>
            </w:tcBorders>
            <w:shd w:val="clear" w:color="auto" w:fill="auto"/>
            <w:hideMark/>
          </w:tcPr>
          <w:p w14:paraId="3EB92B3E"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r w:rsidRPr="007E5633">
              <w:rPr>
                <w:rFonts w:ascii="Arial" w:eastAsia="Times New Roman" w:hAnsi="Arial" w:cs="Arial"/>
                <w:b/>
                <w:bCs/>
                <w:lang w:val="uk-UA" w:eastAsia="en-GB"/>
              </w:rPr>
              <w:t>Розрахунки</w:t>
            </w:r>
          </w:p>
        </w:tc>
        <w:tc>
          <w:tcPr>
            <w:tcW w:w="7368" w:type="dxa"/>
            <w:vMerge w:val="restart"/>
            <w:tcBorders>
              <w:top w:val="nil"/>
              <w:left w:val="nil"/>
              <w:bottom w:val="nil"/>
              <w:right w:val="nil"/>
            </w:tcBorders>
            <w:shd w:val="clear" w:color="auto" w:fill="auto"/>
            <w:hideMark/>
          </w:tcPr>
          <w:p w14:paraId="60BCB1C1"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r w:rsidRPr="007E5633">
              <w:rPr>
                <w:rFonts w:ascii="Arial" w:eastAsia="Times New Roman" w:hAnsi="Arial" w:cs="Arial"/>
                <w:lang w:val="uk-UA" w:eastAsia="en-GB"/>
              </w:rPr>
              <w:t>Оплата операцій, що здійснюються Центральним кліринговим центром; визначені в правилах та положеннях платформи торгівлі газом</w:t>
            </w:r>
          </w:p>
        </w:tc>
      </w:tr>
      <w:tr w:rsidR="00EC6B00" w:rsidRPr="007E5633" w14:paraId="498484FC" w14:textId="77777777" w:rsidTr="00EC6B00">
        <w:trPr>
          <w:trHeight w:val="439"/>
        </w:trPr>
        <w:tc>
          <w:tcPr>
            <w:tcW w:w="2732" w:type="dxa"/>
            <w:vMerge/>
            <w:tcBorders>
              <w:top w:val="nil"/>
              <w:left w:val="nil"/>
              <w:bottom w:val="nil"/>
              <w:right w:val="nil"/>
            </w:tcBorders>
            <w:vAlign w:val="center"/>
            <w:hideMark/>
          </w:tcPr>
          <w:p w14:paraId="7F056596"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p>
        </w:tc>
        <w:tc>
          <w:tcPr>
            <w:tcW w:w="7368" w:type="dxa"/>
            <w:vMerge/>
            <w:tcBorders>
              <w:top w:val="nil"/>
              <w:left w:val="nil"/>
              <w:bottom w:val="nil"/>
              <w:right w:val="nil"/>
            </w:tcBorders>
            <w:vAlign w:val="center"/>
            <w:hideMark/>
          </w:tcPr>
          <w:p w14:paraId="0D1714C5"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p>
        </w:tc>
      </w:tr>
      <w:tr w:rsidR="00EC6B00" w:rsidRPr="007E5633" w14:paraId="391E7A62" w14:textId="77777777" w:rsidTr="00EC6B00">
        <w:trPr>
          <w:trHeight w:val="439"/>
        </w:trPr>
        <w:tc>
          <w:tcPr>
            <w:tcW w:w="2732" w:type="dxa"/>
            <w:vMerge/>
            <w:tcBorders>
              <w:top w:val="nil"/>
              <w:left w:val="nil"/>
              <w:bottom w:val="nil"/>
              <w:right w:val="nil"/>
            </w:tcBorders>
            <w:vAlign w:val="center"/>
            <w:hideMark/>
          </w:tcPr>
          <w:p w14:paraId="7BEE92F5" w14:textId="77777777" w:rsidR="0064705F" w:rsidRPr="007E5633" w:rsidRDefault="0064705F" w:rsidP="0064705F">
            <w:pPr>
              <w:suppressAutoHyphens w:val="0"/>
              <w:autoSpaceDN/>
              <w:spacing w:after="0" w:line="240" w:lineRule="auto"/>
              <w:textAlignment w:val="auto"/>
              <w:rPr>
                <w:rFonts w:ascii="Arial" w:eastAsia="Times New Roman" w:hAnsi="Arial" w:cs="Arial"/>
                <w:b/>
                <w:bCs/>
                <w:lang w:val="uk-UA" w:eastAsia="en-GB"/>
              </w:rPr>
            </w:pPr>
          </w:p>
        </w:tc>
        <w:tc>
          <w:tcPr>
            <w:tcW w:w="7368" w:type="dxa"/>
            <w:vMerge/>
            <w:tcBorders>
              <w:top w:val="nil"/>
              <w:left w:val="nil"/>
              <w:bottom w:val="nil"/>
              <w:right w:val="nil"/>
            </w:tcBorders>
            <w:vAlign w:val="center"/>
            <w:hideMark/>
          </w:tcPr>
          <w:p w14:paraId="0A88B1ED" w14:textId="77777777" w:rsidR="0064705F" w:rsidRPr="007E5633" w:rsidRDefault="0064705F" w:rsidP="0064705F">
            <w:pPr>
              <w:suppressAutoHyphens w:val="0"/>
              <w:autoSpaceDN/>
              <w:spacing w:after="0" w:line="240" w:lineRule="auto"/>
              <w:textAlignment w:val="auto"/>
              <w:rPr>
                <w:rFonts w:ascii="Arial" w:eastAsia="Times New Roman" w:hAnsi="Arial" w:cs="Arial"/>
                <w:lang w:val="uk-UA" w:eastAsia="en-GB"/>
              </w:rPr>
            </w:pPr>
          </w:p>
        </w:tc>
      </w:tr>
    </w:tbl>
    <w:p w14:paraId="6149DEA9" w14:textId="77777777" w:rsidR="00EB5315" w:rsidRPr="007E5633" w:rsidRDefault="0064705F" w:rsidP="00EC6B00">
      <w:pPr>
        <w:pStyle w:val="FSHeader1"/>
        <w:numPr>
          <w:ilvl w:val="0"/>
          <w:numId w:val="7"/>
        </w:numPr>
        <w:ind w:left="426" w:hanging="426"/>
        <w:rPr>
          <w:rFonts w:ascii="Arial" w:hAnsi="Arial" w:cs="Arial"/>
          <w:lang w:val="uk-UA"/>
        </w:rPr>
      </w:pPr>
      <w:bookmarkStart w:id="1" w:name="_Toc533093887"/>
      <w:r w:rsidRPr="007E5633">
        <w:rPr>
          <w:rFonts w:ascii="Arial" w:hAnsi="Arial" w:cs="Arial"/>
          <w:lang w:val="uk-UA"/>
        </w:rPr>
        <w:lastRenderedPageBreak/>
        <w:t>Резюме</w:t>
      </w:r>
      <w:bookmarkEnd w:id="1"/>
      <w:r w:rsidRPr="007E5633">
        <w:rPr>
          <w:rFonts w:ascii="Arial" w:hAnsi="Arial" w:cs="Arial"/>
          <w:lang w:val="uk-UA"/>
        </w:rPr>
        <w:t xml:space="preserve"> </w:t>
      </w:r>
    </w:p>
    <w:p w14:paraId="69EFEA29"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Існують значні прогалини у регулюванні оптових енергетичних ринків між ЄС та Україною. У ЄС торгівельні майданчики повністю регулюються, оператори (крім спотового ринку) повинні дотримуватися вимог MiFIR та MiFID. У ЄС ч</w:t>
      </w:r>
      <w:r w:rsidR="003D1452" w:rsidRPr="007E5633">
        <w:rPr>
          <w:rFonts w:ascii="Arial" w:hAnsi="Arial" w:cs="Arial"/>
          <w:szCs w:val="24"/>
          <w:lang w:val="uk-UA"/>
        </w:rPr>
        <w:t>ітко визначені правила платформ</w:t>
      </w:r>
      <w:r w:rsidRPr="007E5633">
        <w:rPr>
          <w:rFonts w:ascii="Arial" w:hAnsi="Arial" w:cs="Arial"/>
          <w:szCs w:val="24"/>
          <w:lang w:val="uk-UA"/>
        </w:rPr>
        <w:t xml:space="preserve"> та </w:t>
      </w:r>
      <w:r w:rsidR="003D1452" w:rsidRPr="007E5633">
        <w:rPr>
          <w:rFonts w:ascii="Arial" w:hAnsi="Arial" w:cs="Arial"/>
          <w:szCs w:val="24"/>
          <w:lang w:val="uk-UA"/>
        </w:rPr>
        <w:t>продуктів</w:t>
      </w:r>
      <w:r w:rsidRPr="007E5633">
        <w:rPr>
          <w:rFonts w:ascii="Arial" w:hAnsi="Arial" w:cs="Arial"/>
          <w:szCs w:val="24"/>
          <w:lang w:val="uk-UA"/>
        </w:rPr>
        <w:t>, на платформах є кліринг (за бажанням), на біржах та MTFs кліринг є обов'язковим. Існує подвійна система регуляторного нагляду в залежності від регуляторної кваліфікації продуктів, що торгуються.</w:t>
      </w:r>
    </w:p>
    <w:p w14:paraId="33F70EE5"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Законодавство ЄС чітко визначає різні форми торгових майданчиків відповідно до правил, що застосовуються до майданчиків. Майданчики можуть торгувати різними типами класів активів та продуктів на основі точних умов, затверджених регулюючим органом. На оптових ринках електроенергії та газу регуляторна база ЄС суворо визначає питання ліцензування операторів майданчиків, визначаючи зобов'язання щодо прозорості до та після укладання угоди.</w:t>
      </w:r>
    </w:p>
    <w:p w14:paraId="28034587" w14:textId="77777777" w:rsidR="00255FFA" w:rsidRPr="007E5633" w:rsidRDefault="00255FFA" w:rsidP="00EC6B00">
      <w:pPr>
        <w:pStyle w:val="a4"/>
        <w:ind w:left="426"/>
        <w:jc w:val="both"/>
        <w:rPr>
          <w:rFonts w:ascii="Arial" w:hAnsi="Arial" w:cs="Arial"/>
          <w:szCs w:val="24"/>
          <w:lang w:val="uk-UA"/>
        </w:rPr>
      </w:pPr>
      <w:r w:rsidRPr="007E5633">
        <w:rPr>
          <w:rFonts w:ascii="Arial" w:hAnsi="Arial" w:cs="Arial"/>
          <w:szCs w:val="24"/>
          <w:lang w:val="uk-UA"/>
        </w:rPr>
        <w:t>В Україні платформи працюють на основі добровільної саморегуляції, продукти замовляються (оговорюються), стандартні правила відсутні, а також немає регуляторного нагляду. Платформи працюють як неприбуткові бізнесові організації, так і на основі добровільної саморегуляції без належного нагляду.</w:t>
      </w:r>
    </w:p>
    <w:p w14:paraId="208F19D2"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У той час</w:t>
      </w:r>
      <w:r w:rsidR="00A34EA4">
        <w:rPr>
          <w:rFonts w:ascii="Arial" w:hAnsi="Arial" w:cs="Arial"/>
          <w:szCs w:val="24"/>
          <w:lang w:val="uk-UA"/>
        </w:rPr>
        <w:t>,</w:t>
      </w:r>
      <w:r w:rsidRPr="007E5633">
        <w:rPr>
          <w:rFonts w:ascii="Arial" w:hAnsi="Arial" w:cs="Arial"/>
          <w:szCs w:val="24"/>
          <w:lang w:val="uk-UA"/>
        </w:rPr>
        <w:t xml:space="preserve"> як в ЄС визначено роль учасників ринку, в Україні не існує чіткого визначення ролі учасників, оскільки роз'єднання функцій (unbundling) ще не було реалізовано. Чіткого розуміння ролей учасників ринку в даний час немає, оскільки Україна поки що реально не роз'єднала мережі від функцій торгівлі та постачання ні для електроенергії, ні для природного газу. У Європі незалежні енергозберігаючі оператори взяли на себе роль утворювачів ринку. Без ефективного відділення мережі від інших функцій ринок не з'явиться.</w:t>
      </w:r>
    </w:p>
    <w:p w14:paraId="2CDE5599"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 xml:space="preserve">Відсутність прозорості: Україна не визнає жодного конкретного режиму прозорості для товарного ринку. Ніякі з учасників ринку не є публічними, немає жодної форми реєстрації або звітності щодо торгових контрактів </w:t>
      </w:r>
      <w:r w:rsidR="001972FD">
        <w:rPr>
          <w:rFonts w:ascii="Arial" w:hAnsi="Arial" w:cs="Arial"/>
          <w:szCs w:val="24"/>
          <w:lang w:val="uk-UA"/>
        </w:rPr>
        <w:t xml:space="preserve">чи пов’язаними з ними </w:t>
      </w:r>
      <w:r w:rsidRPr="007E5633">
        <w:rPr>
          <w:rFonts w:ascii="Arial" w:hAnsi="Arial" w:cs="Arial"/>
          <w:szCs w:val="24"/>
          <w:lang w:val="uk-UA"/>
        </w:rPr>
        <w:t>продукта</w:t>
      </w:r>
      <w:r w:rsidR="001972FD">
        <w:rPr>
          <w:rFonts w:ascii="Arial" w:hAnsi="Arial" w:cs="Arial"/>
          <w:szCs w:val="24"/>
          <w:lang w:val="uk-UA"/>
        </w:rPr>
        <w:t>ми</w:t>
      </w:r>
      <w:r w:rsidRPr="007E5633">
        <w:rPr>
          <w:rFonts w:ascii="Arial" w:hAnsi="Arial" w:cs="Arial"/>
          <w:szCs w:val="24"/>
          <w:lang w:val="uk-UA"/>
        </w:rPr>
        <w:t>. На відміну від України, в ЄС кожна оптова транзакції по енергопродукту має бути включена в звіт (прозвітована), включаючи інформацію щодо неї протягом усього терміну дії транзакції. Оскільки оптова торгівля енергією охоплює замовлення від OMP до останньої дати доставки, вона може тривати від декількох хвилин (на ринку балансування) до кількох років. У рамках подання інформації згідно REMIT до ACER, передачі підлягають дані замовлення; дані по транзакціях по електроенергії та газу, транспортні контракти, дані про первинну та вторинну потужність; транзакції з балансування. В той час, як в ЄС основні дані щодо наявності інфраструктури є загальнодоступними, в Україні не існує жодних зобов'язань.</w:t>
      </w:r>
    </w:p>
    <w:p w14:paraId="68868CEC"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Відсутність цін на енергоносії: через повну відсутність будь-якого режиму енергетичної прозорості, торгівля енергією не базується на вільному ціноутворенні. Операції або ціни на товари не розкриваються.</w:t>
      </w:r>
    </w:p>
    <w:p w14:paraId="0CD9185F"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Відсутність регуляторних стандартів. Позабіржові платформи, що здійснюють посередницьку діяльність</w:t>
      </w:r>
      <w:r w:rsidR="00A439D8">
        <w:rPr>
          <w:rFonts w:ascii="Arial" w:hAnsi="Arial" w:cs="Arial"/>
          <w:szCs w:val="24"/>
          <w:lang w:val="uk-UA"/>
        </w:rPr>
        <w:t>,</w:t>
      </w:r>
      <w:r w:rsidRPr="007E5633">
        <w:rPr>
          <w:rFonts w:ascii="Arial" w:hAnsi="Arial" w:cs="Arial"/>
          <w:szCs w:val="24"/>
          <w:lang w:val="uk-UA"/>
        </w:rPr>
        <w:t xml:space="preserve"> працюють через брокерів, які зобов'язані застосовувати найкращу практику виконання та дотримуватися обов'язкових правил прозорості згідно умов своїх ліцензій. Якщо брокери не дотримуються стандартів відповідності, вони можуть втратити свою ліцензію. Брокерські платформи сприяють прозорості даних про ціни. Вони або пропонують звіти від імені своїх клієнтів, або співпрацюють з механізмами звітування, обраними їхніми клієнтами.</w:t>
      </w:r>
    </w:p>
    <w:p w14:paraId="7F88B7CB"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lastRenderedPageBreak/>
        <w:t>Відсутність стандартизації: українське законодавство не передбачає стандартизації контрактів на електроенергію, газ або CO2. Міжнародні торгові компанії потребують стандартних продуктів, що відповідають стандартним ризикам для розвитку торгівлі енергією. В ідеалі, вони можуть продавати ті ж самі продукти на кордонах і без кордонів. Оскільки стандарти є ключовими для розвитку ліквідності у торгівлі товарами, Україна повинна працювати зі стандартною продукцією за стандартними схемами розрахунків. Україні потрібно визначити оптові енергетичні продукти та слідувати європейському прикладу, оскільки визначення продуктів, що відрізняються (від тих, що визначені в Європі) може стати перешкодою для виходу на ринок неукраїнських торговельних компаній.</w:t>
      </w:r>
    </w:p>
    <w:p w14:paraId="3AFFEB4B"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Недостатня правова реформа: пов'язана проблема полягає у подальшому розвитку сучасної правової системи з незалежними судами. Українське законодавство потребує включення концепцій взаємозаліку (неттінгу) та спеціалізованих судів.</w:t>
      </w:r>
    </w:p>
    <w:p w14:paraId="06F28287"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Відсутність ефективних платформ: український газовий TSO наразі забезпечує балансування через державну платформу "Prozzoro". Враховуючи, що платформа ефективна у здійсненні дер</w:t>
      </w:r>
      <w:r w:rsidR="00A439D8">
        <w:rPr>
          <w:rFonts w:ascii="Arial" w:hAnsi="Arial" w:cs="Arial"/>
          <w:szCs w:val="24"/>
          <w:lang w:val="uk-UA"/>
        </w:rPr>
        <w:t>жавних закупівель більш прозоро, вона</w:t>
      </w:r>
      <w:r w:rsidRPr="007E5633">
        <w:rPr>
          <w:rFonts w:ascii="Arial" w:hAnsi="Arial" w:cs="Arial"/>
          <w:szCs w:val="24"/>
          <w:lang w:val="uk-UA"/>
        </w:rPr>
        <w:t xml:space="preserve"> не підходить для підтримки ліквідного та високостандартизованого ринку балансування газу та електроенергії. Необхідні спеціально побудовані платформи для газу та електроенергії та зобов'язання державних компаній, які продають свій газ на платформах, виступати як "маркет-мейкери".</w:t>
      </w:r>
    </w:p>
    <w:p w14:paraId="20862633"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Неефективне передавання власності: поточні механізми розрахунків в Україні не дозволяють виникнути ринковим структурам для фізичної торгівлі газом через брак ефективного механізму передачі права власності (TTF). Українські енергетичні брокерські платформи, такі як, наприклад, "Українська енергетична біржа", не можуть надати жодного права на передачу газу. Кожного разу, коли брокер дозволяє здійснювати транзакцію за місцем проведення, встановлюється складна система номінацій, яка підлягає повторному підтвердженню газовим TSO. Виконання угоди здійснюється за умови підтвердження того, що газ може бути доставлений через TSO в якості розрахункового агента або у випадку достатньої суми кредиту. TSO має право скасувати будь-яке виконання угоди в різних сценаріях, включаючи відсутність застави.</w:t>
      </w:r>
    </w:p>
    <w:p w14:paraId="55742BFF"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Податки: Поточний режим ПДВ для оптової торгівлі забезпечує ПДВ-податкове шахрайство. Україна повинна запровадити механізм зворотного платежу (Reverse Charge mechanism).</w:t>
      </w:r>
    </w:p>
    <w:p w14:paraId="64C8BBB0"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Відсутність клірингу: існуючі механізми проведення розрахунків в Україні не дозволяють з'явитися ринку фінансово-товарних ф’ючерсів через відсутність центрального контрагента та відсутність ефективних розрахунків шляхом клір</w:t>
      </w:r>
      <w:r w:rsidR="00A439D8">
        <w:rPr>
          <w:rFonts w:ascii="Arial" w:hAnsi="Arial" w:cs="Arial"/>
          <w:szCs w:val="24"/>
          <w:lang w:val="uk-UA"/>
        </w:rPr>
        <w:t>ингу. Поточне управління escrow-</w:t>
      </w:r>
      <w:r w:rsidRPr="007E5633">
        <w:rPr>
          <w:rFonts w:ascii="Arial" w:hAnsi="Arial" w:cs="Arial"/>
          <w:szCs w:val="24"/>
          <w:lang w:val="uk-UA"/>
        </w:rPr>
        <w:t xml:space="preserve">рахунками не дає змоги виникнути будь-якій ліквідності, а також не забезпечує захист від ринкових ризиків та ризиків контрагентів. Захист ризиків, який пропонується центральним кліринговим контрагентом, повинен розглядатися як ключова умова для виникнення фінансового ринку на </w:t>
      </w:r>
      <w:r w:rsidR="001972FD">
        <w:rPr>
          <w:rFonts w:ascii="Arial" w:hAnsi="Arial" w:cs="Arial"/>
          <w:szCs w:val="24"/>
          <w:lang w:val="uk-UA"/>
        </w:rPr>
        <w:t>товарні контракти</w:t>
      </w:r>
      <w:r w:rsidRPr="007E5633">
        <w:rPr>
          <w:rFonts w:ascii="Arial" w:hAnsi="Arial" w:cs="Arial"/>
          <w:szCs w:val="24"/>
          <w:lang w:val="uk-UA"/>
        </w:rPr>
        <w:t>.</w:t>
      </w:r>
    </w:p>
    <w:p w14:paraId="03D537EB"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Неефективний механізм розрахунків: Системи передоплати послуг, що використовуються в Україні, наразі недоречні для розвитку ринку</w:t>
      </w:r>
      <w:r w:rsidR="001972FD" w:rsidRPr="001972FD">
        <w:rPr>
          <w:rFonts w:ascii="Arial" w:hAnsi="Arial" w:cs="Arial"/>
          <w:szCs w:val="24"/>
          <w:lang w:val="ru-RU"/>
        </w:rPr>
        <w:t xml:space="preserve"> </w:t>
      </w:r>
      <w:bookmarkStart w:id="2" w:name="_Hlk9438030"/>
      <w:r w:rsidR="001972FD">
        <w:rPr>
          <w:rFonts w:ascii="Arial" w:hAnsi="Arial" w:cs="Arial"/>
          <w:szCs w:val="24"/>
          <w:lang w:val="uk-UA"/>
        </w:rPr>
        <w:t>товарних контрактів</w:t>
      </w:r>
      <w:bookmarkEnd w:id="2"/>
      <w:r w:rsidRPr="007E5633">
        <w:rPr>
          <w:rFonts w:ascii="Arial" w:hAnsi="Arial" w:cs="Arial"/>
          <w:szCs w:val="24"/>
          <w:lang w:val="uk-UA"/>
        </w:rPr>
        <w:t>. Передоплата покладається винятково на «ручну» практику та лише частково виключає ринковий ризик. Клірингові структури відсутні, і така відсутність центрального контрагента перешкоджає розвитку ринку</w:t>
      </w:r>
      <w:r w:rsidR="001972FD" w:rsidRPr="001972FD">
        <w:rPr>
          <w:rFonts w:ascii="Arial" w:hAnsi="Arial" w:cs="Arial"/>
          <w:szCs w:val="24"/>
          <w:lang w:val="uk-UA"/>
        </w:rPr>
        <w:t xml:space="preserve"> </w:t>
      </w:r>
      <w:r w:rsidR="001972FD">
        <w:rPr>
          <w:rFonts w:ascii="Arial" w:hAnsi="Arial" w:cs="Arial"/>
          <w:szCs w:val="24"/>
          <w:lang w:val="uk-UA"/>
        </w:rPr>
        <w:t>товарних контрактів</w:t>
      </w:r>
      <w:r w:rsidRPr="007E5633">
        <w:rPr>
          <w:rFonts w:ascii="Arial" w:hAnsi="Arial" w:cs="Arial"/>
          <w:szCs w:val="24"/>
          <w:lang w:val="uk-UA"/>
        </w:rPr>
        <w:t>.</w:t>
      </w:r>
    </w:p>
    <w:p w14:paraId="25CED1D8"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lastRenderedPageBreak/>
        <w:t xml:space="preserve">Управління кредитним ризиком: Управління кредитним ризиком для позабіржових операцій в Україні в даний час виключно спирається на складну систему попередньої оплати та / або забезпечення угод через гарантійні рахунки. Поточна система може вирішувати кредитні вимоги по транзакціях, але не дозволяє розвивати ліквідність. Пом'якшення ризику контрагента за допомогою неттінгу платежів та close-out netting </w:t>
      </w:r>
      <w:r w:rsidR="00A439D8">
        <w:rPr>
          <w:rFonts w:ascii="Arial" w:hAnsi="Arial" w:cs="Arial"/>
          <w:szCs w:val="24"/>
          <w:lang w:val="uk-UA"/>
        </w:rPr>
        <w:t>у</w:t>
      </w:r>
      <w:r w:rsidRPr="007E5633">
        <w:rPr>
          <w:rFonts w:ascii="Arial" w:hAnsi="Arial" w:cs="Arial"/>
          <w:szCs w:val="24"/>
          <w:lang w:val="uk-UA"/>
        </w:rPr>
        <w:t xml:space="preserve"> випадках банкрутства не передбачено законодавством України.</w:t>
      </w:r>
    </w:p>
    <w:p w14:paraId="0A550A0A"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Через відсутність кредитного рейтингу чи будь-якої іншої форми прозорості щодо фінансової надійності учасників ринку сторонам потрібно покладатися на передоплату, яка неприйнятна для масового бізнесу, і є надто дорогою та складною для використання на ліквідних ринках.</w:t>
      </w:r>
    </w:p>
    <w:p w14:paraId="7B6EC871"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Недостатнє інституційне управління: фінансові енергетичні ринки відсутні через нерозвиненість фізичного ринку. Комісія з питань комунального господарства не отримує будь-якої інформації в режимі реального часу про торгівлю на енергетичних ринках і не має можливості здійснювати ефективний нагляд за фізичним газовим та електроенергетичним ринками. Усі звіти здійснюються з великою затримкою і без контролю з боку учасників ринку.</w:t>
      </w:r>
    </w:p>
    <w:p w14:paraId="640C9AB3"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 xml:space="preserve">Відсутність нагляду: відсутність регулювання прозорості супроводжується фрагментарним інституційним наглядом. За нинішньої ситуації жодне широкомасштабне зловживання на ринку не може бути виявлене через відсутність регуляторних та наглядових органів, яким доручено запобігати зловживанням на ринку. Це створює суттєвий системний ризик для виходу з ладу ринку. Оскільки за інсайдерську торгівлю не передбачено санкції в конкретному контексті торгівлі </w:t>
      </w:r>
      <w:r w:rsidR="001972FD">
        <w:rPr>
          <w:rFonts w:ascii="Arial" w:hAnsi="Arial" w:cs="Arial"/>
          <w:szCs w:val="24"/>
          <w:lang w:val="uk-UA"/>
        </w:rPr>
        <w:t>товарними контрактами</w:t>
      </w:r>
      <w:r w:rsidRPr="007E5633">
        <w:rPr>
          <w:rFonts w:ascii="Arial" w:hAnsi="Arial" w:cs="Arial"/>
          <w:szCs w:val="24"/>
          <w:lang w:val="uk-UA"/>
        </w:rPr>
        <w:t>, зловживанням на ринку де-факто сприяє існуюча система. Існує великий ризик порушення ринкового механізму через відсутність нагляду та відповідності законодавству для виконання регуляторних вимог.</w:t>
      </w:r>
    </w:p>
    <w:p w14:paraId="5297A469" w14:textId="77777777" w:rsidR="00255FFA" w:rsidRPr="007E5633" w:rsidRDefault="00255FFA" w:rsidP="00EC6B00">
      <w:pPr>
        <w:pStyle w:val="a4"/>
        <w:ind w:left="426"/>
        <w:jc w:val="both"/>
        <w:rPr>
          <w:rFonts w:ascii="Arial" w:hAnsi="Arial" w:cs="Arial"/>
          <w:szCs w:val="24"/>
          <w:lang w:val="uk-UA"/>
        </w:rPr>
      </w:pPr>
      <w:r w:rsidRPr="007E5633">
        <w:rPr>
          <w:rFonts w:ascii="Arial" w:hAnsi="Arial" w:cs="Arial"/>
          <w:szCs w:val="24"/>
          <w:lang w:val="uk-UA"/>
        </w:rPr>
        <w:t>Поточні інституційні недоліки разом із повною відсутністю режиму прозорості є головним недоліком будь-якого розвитку ринку.</w:t>
      </w:r>
    </w:p>
    <w:p w14:paraId="1E8B32C1" w14:textId="77777777" w:rsidR="00255FFA" w:rsidRPr="007E5633" w:rsidRDefault="00255FFA" w:rsidP="000D248B">
      <w:pPr>
        <w:pStyle w:val="a4"/>
        <w:numPr>
          <w:ilvl w:val="0"/>
          <w:numId w:val="47"/>
        </w:numPr>
        <w:ind w:left="426"/>
        <w:jc w:val="both"/>
        <w:rPr>
          <w:rFonts w:ascii="Arial" w:hAnsi="Arial" w:cs="Arial"/>
          <w:szCs w:val="24"/>
          <w:lang w:val="uk-UA"/>
        </w:rPr>
      </w:pPr>
      <w:r w:rsidRPr="007E5633">
        <w:rPr>
          <w:rFonts w:ascii="Arial" w:hAnsi="Arial" w:cs="Arial"/>
          <w:szCs w:val="24"/>
          <w:lang w:val="uk-UA"/>
        </w:rPr>
        <w:t xml:space="preserve">Відсутність зберігання даних: комерційна практика та правова база для готівкового ринку базового </w:t>
      </w:r>
      <w:r w:rsidR="001972FD">
        <w:rPr>
          <w:rFonts w:ascii="Arial" w:hAnsi="Arial" w:cs="Arial"/>
          <w:szCs w:val="24"/>
          <w:lang w:val="uk-UA"/>
        </w:rPr>
        <w:t>товару з родовими ознаками</w:t>
      </w:r>
      <w:r w:rsidRPr="007E5633">
        <w:rPr>
          <w:rFonts w:ascii="Arial" w:hAnsi="Arial" w:cs="Arial"/>
          <w:szCs w:val="24"/>
          <w:lang w:val="uk-UA"/>
        </w:rPr>
        <w:t xml:space="preserve"> та характер </w:t>
      </w:r>
      <w:r w:rsidR="001972FD">
        <w:rPr>
          <w:rFonts w:ascii="Arial" w:hAnsi="Arial" w:cs="Arial"/>
          <w:szCs w:val="24"/>
          <w:lang w:val="uk-UA"/>
        </w:rPr>
        <w:t xml:space="preserve">товару </w:t>
      </w:r>
      <w:r w:rsidRPr="007E5633">
        <w:rPr>
          <w:rFonts w:ascii="Arial" w:hAnsi="Arial" w:cs="Arial"/>
          <w:szCs w:val="24"/>
          <w:lang w:val="uk-UA"/>
        </w:rPr>
        <w:t xml:space="preserve">або </w:t>
      </w:r>
      <w:r w:rsidR="001972FD">
        <w:rPr>
          <w:rFonts w:ascii="Arial" w:hAnsi="Arial" w:cs="Arial"/>
          <w:szCs w:val="24"/>
          <w:lang w:val="uk-UA"/>
        </w:rPr>
        <w:t xml:space="preserve">клас товару </w:t>
      </w:r>
      <w:r w:rsidRPr="007E5633">
        <w:rPr>
          <w:rFonts w:ascii="Arial" w:hAnsi="Arial" w:cs="Arial"/>
          <w:szCs w:val="24"/>
          <w:lang w:val="uk-UA"/>
        </w:rPr>
        <w:t>в основному визначають практику зберігання для контрактів по деривативах</w:t>
      </w:r>
      <w:r w:rsidR="001972FD">
        <w:rPr>
          <w:rFonts w:ascii="Arial" w:hAnsi="Arial" w:cs="Arial"/>
          <w:szCs w:val="24"/>
          <w:lang w:val="uk-UA"/>
        </w:rPr>
        <w:t xml:space="preserve"> (похідних) від товарних контрактів</w:t>
      </w:r>
      <w:r w:rsidRPr="007E5633">
        <w:rPr>
          <w:rFonts w:ascii="Arial" w:hAnsi="Arial" w:cs="Arial"/>
          <w:szCs w:val="24"/>
          <w:lang w:val="uk-UA"/>
        </w:rPr>
        <w:t xml:space="preserve">. Оскільки зберігання для торгових майданчиків відрізняється від зберігання у комерційній практиці, </w:t>
      </w:r>
      <w:r w:rsidR="008F44DB">
        <w:rPr>
          <w:rFonts w:ascii="Arial" w:hAnsi="Arial" w:cs="Arial"/>
          <w:szCs w:val="24"/>
          <w:lang w:val="uk-UA"/>
        </w:rPr>
        <w:t xml:space="preserve">товарні </w:t>
      </w:r>
      <w:r w:rsidRPr="007E5633">
        <w:rPr>
          <w:rFonts w:ascii="Arial" w:hAnsi="Arial" w:cs="Arial"/>
          <w:szCs w:val="24"/>
          <w:lang w:val="uk-UA"/>
        </w:rPr>
        <w:t>контракти</w:t>
      </w:r>
      <w:r w:rsidR="008F44DB">
        <w:rPr>
          <w:rFonts w:ascii="Arial" w:hAnsi="Arial" w:cs="Arial"/>
          <w:szCs w:val="24"/>
          <w:lang w:val="uk-UA"/>
        </w:rPr>
        <w:t xml:space="preserve">, </w:t>
      </w:r>
      <w:r w:rsidRPr="007E5633">
        <w:rPr>
          <w:rFonts w:ascii="Arial" w:hAnsi="Arial" w:cs="Arial"/>
          <w:szCs w:val="24"/>
          <w:lang w:val="uk-UA"/>
        </w:rPr>
        <w:t xml:space="preserve"> деривативи та конкретні рішення можуть найкращим чином відповідати ситуації в Україні. Проте існують певні елементи гарної та надійної структури регулювання зберігання </w:t>
      </w:r>
      <w:r w:rsidR="008F44DB">
        <w:rPr>
          <w:rFonts w:ascii="Arial" w:hAnsi="Arial" w:cs="Arial"/>
          <w:szCs w:val="24"/>
          <w:lang w:val="uk-UA"/>
        </w:rPr>
        <w:t>товарних контрактів</w:t>
      </w:r>
      <w:r w:rsidRPr="007E5633">
        <w:rPr>
          <w:rFonts w:ascii="Arial" w:hAnsi="Arial" w:cs="Arial"/>
          <w:szCs w:val="24"/>
          <w:lang w:val="uk-UA"/>
        </w:rPr>
        <w:t>, які є уніфікованими, незалежно від відповідального суб'єкта та способу виконання цих елементів. Україна повинна розглянути найкращі практики, що існують в Європі, і, відповідно, визначити свою власну систему.</w:t>
      </w:r>
    </w:p>
    <w:p w14:paraId="5D26CB16" w14:textId="77777777" w:rsidR="00255FFA" w:rsidRPr="007E5633" w:rsidRDefault="00255FFA" w:rsidP="00255FFA">
      <w:pPr>
        <w:pStyle w:val="a4"/>
        <w:ind w:left="284"/>
        <w:jc w:val="both"/>
        <w:rPr>
          <w:rFonts w:ascii="Arial" w:hAnsi="Arial" w:cs="Arial"/>
          <w:highlight w:val="yellow"/>
          <w:lang w:val="uk-UA"/>
        </w:rPr>
      </w:pPr>
    </w:p>
    <w:p w14:paraId="3449F4F1" w14:textId="77777777" w:rsidR="00255FFA" w:rsidRPr="007E5633" w:rsidRDefault="00255FFA" w:rsidP="00255FFA">
      <w:pPr>
        <w:pStyle w:val="a4"/>
        <w:ind w:left="284"/>
        <w:jc w:val="both"/>
        <w:rPr>
          <w:rFonts w:ascii="Arial" w:hAnsi="Arial" w:cs="Arial"/>
          <w:highlight w:val="yellow"/>
          <w:lang w:val="uk-UA"/>
        </w:rPr>
      </w:pPr>
    </w:p>
    <w:p w14:paraId="14469540" w14:textId="77777777" w:rsidR="00982AA3" w:rsidRPr="007E5633" w:rsidRDefault="00982AA3">
      <w:pPr>
        <w:suppressAutoHyphens w:val="0"/>
        <w:rPr>
          <w:rFonts w:ascii="Arial" w:hAnsi="Arial" w:cs="Arial"/>
          <w:sz w:val="20"/>
          <w:szCs w:val="20"/>
          <w:highlight w:val="yellow"/>
          <w:lang w:val="uk-UA"/>
        </w:rPr>
      </w:pPr>
      <w:r w:rsidRPr="007E5633">
        <w:rPr>
          <w:rFonts w:ascii="Arial" w:hAnsi="Arial" w:cs="Arial"/>
          <w:sz w:val="20"/>
          <w:szCs w:val="20"/>
          <w:highlight w:val="yellow"/>
          <w:lang w:val="uk-UA"/>
        </w:rPr>
        <w:br w:type="page"/>
      </w:r>
    </w:p>
    <w:p w14:paraId="72D8679A" w14:textId="77777777" w:rsidR="00255FFA" w:rsidRPr="007E5633" w:rsidRDefault="00255FFA" w:rsidP="00EC6B00">
      <w:pPr>
        <w:pStyle w:val="FSHeader1"/>
        <w:numPr>
          <w:ilvl w:val="0"/>
          <w:numId w:val="7"/>
        </w:numPr>
        <w:ind w:left="432"/>
        <w:rPr>
          <w:rFonts w:ascii="Arial" w:hAnsi="Arial" w:cs="Arial"/>
          <w:lang w:val="uk-UA"/>
        </w:rPr>
      </w:pPr>
      <w:bookmarkStart w:id="3" w:name="_Toc533093888"/>
      <w:bookmarkStart w:id="4" w:name="_Toc526774997"/>
      <w:r w:rsidRPr="007E5633">
        <w:rPr>
          <w:rFonts w:ascii="Arial" w:hAnsi="Arial" w:cs="Arial"/>
          <w:lang w:val="uk-UA"/>
        </w:rPr>
        <w:lastRenderedPageBreak/>
        <w:t>Частина I: Визначення меж проекту</w:t>
      </w:r>
      <w:bookmarkEnd w:id="3"/>
    </w:p>
    <w:p w14:paraId="730B775A" w14:textId="77777777" w:rsidR="00E4309C" w:rsidRPr="007E5633" w:rsidRDefault="00255FFA" w:rsidP="00EC6B00">
      <w:pPr>
        <w:pStyle w:val="FSHeader1"/>
        <w:keepNext w:val="0"/>
        <w:pageBreakBefore w:val="0"/>
        <w:numPr>
          <w:ilvl w:val="1"/>
          <w:numId w:val="7"/>
        </w:numPr>
        <w:spacing w:after="120"/>
        <w:ind w:left="434" w:hanging="434"/>
        <w:rPr>
          <w:rFonts w:ascii="Arial" w:hAnsi="Arial" w:cs="Arial"/>
          <w:sz w:val="26"/>
          <w:szCs w:val="26"/>
          <w:lang w:val="uk-UA"/>
        </w:rPr>
      </w:pPr>
      <w:bookmarkStart w:id="5" w:name="_Toc533093889"/>
      <w:r w:rsidRPr="007E5633">
        <w:rPr>
          <w:rFonts w:ascii="Arial" w:hAnsi="Arial" w:cs="Arial"/>
          <w:sz w:val="26"/>
          <w:szCs w:val="26"/>
          <w:lang w:val="uk-UA"/>
        </w:rPr>
        <w:t>Вступ</w:t>
      </w:r>
      <w:bookmarkEnd w:id="4"/>
      <w:bookmarkEnd w:id="5"/>
    </w:p>
    <w:p w14:paraId="19EEB401"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 xml:space="preserve">Основним завданням на першому етапі проекту є аналіз відставань, порівняння регулювання та практики, що застосовуються до оптової торгівлі енергією та газом  між Європейським Союзом та Україною. Результатом цієї роботи </w:t>
      </w:r>
      <w:r w:rsidR="00EC4C11">
        <w:rPr>
          <w:rFonts w:ascii="Arial" w:hAnsi="Arial" w:cs="Arial"/>
          <w:lang w:val="uk-UA"/>
        </w:rPr>
        <w:t>є</w:t>
      </w:r>
      <w:r w:rsidRPr="007E5633">
        <w:rPr>
          <w:rFonts w:ascii="Arial" w:hAnsi="Arial" w:cs="Arial"/>
          <w:lang w:val="uk-UA"/>
        </w:rPr>
        <w:t xml:space="preserve"> Звіт, який бу</w:t>
      </w:r>
      <w:r w:rsidR="00EC4C11">
        <w:rPr>
          <w:rFonts w:ascii="Arial" w:hAnsi="Arial" w:cs="Arial"/>
          <w:lang w:val="uk-UA"/>
        </w:rPr>
        <w:t>ло</w:t>
      </w:r>
      <w:r w:rsidRPr="007E5633">
        <w:rPr>
          <w:rFonts w:ascii="Arial" w:hAnsi="Arial" w:cs="Arial"/>
          <w:lang w:val="uk-UA"/>
        </w:rPr>
        <w:t xml:space="preserve"> представлено 8 жовтня 2018 року.</w:t>
      </w:r>
    </w:p>
    <w:p w14:paraId="757C4B06"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 xml:space="preserve">Звіт повинен </w:t>
      </w:r>
      <w:r w:rsidR="00EC4C11">
        <w:rPr>
          <w:rFonts w:ascii="Arial" w:hAnsi="Arial" w:cs="Arial"/>
          <w:lang w:val="uk-UA"/>
        </w:rPr>
        <w:t>оцінив</w:t>
      </w:r>
      <w:r w:rsidRPr="007E5633">
        <w:rPr>
          <w:rFonts w:ascii="Arial" w:hAnsi="Arial" w:cs="Arial"/>
          <w:lang w:val="uk-UA"/>
        </w:rPr>
        <w:t xml:space="preserve"> правові рамки для природного газу та електроенергії в ЄС в контексті пояснення функціонування спотової та форвардної торговельної діяльності, включаючи передачу прав власності та функціонування механізму та практики проведення розрахунків.</w:t>
      </w:r>
    </w:p>
    <w:p w14:paraId="3C571C04"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 xml:space="preserve">Цей аналіз </w:t>
      </w:r>
      <w:r w:rsidR="00EC4C11">
        <w:rPr>
          <w:rFonts w:ascii="Arial" w:hAnsi="Arial" w:cs="Arial"/>
          <w:lang w:val="uk-UA"/>
        </w:rPr>
        <w:t>описав існуючі</w:t>
      </w:r>
      <w:r w:rsidRPr="007E5633">
        <w:rPr>
          <w:rFonts w:ascii="Arial" w:hAnsi="Arial" w:cs="Arial"/>
          <w:lang w:val="uk-UA"/>
        </w:rPr>
        <w:t xml:space="preserve"> в ЄС платформ</w:t>
      </w:r>
      <w:r w:rsidR="00EC4C11">
        <w:rPr>
          <w:rFonts w:ascii="Arial" w:hAnsi="Arial" w:cs="Arial"/>
          <w:lang w:val="uk-UA"/>
        </w:rPr>
        <w:t>и</w:t>
      </w:r>
      <w:r w:rsidRPr="007E5633">
        <w:rPr>
          <w:rFonts w:ascii="Arial" w:hAnsi="Arial" w:cs="Arial"/>
          <w:lang w:val="uk-UA"/>
        </w:rPr>
        <w:t>, включаючи кон</w:t>
      </w:r>
      <w:r w:rsidR="00EC4C11">
        <w:rPr>
          <w:rFonts w:ascii="Arial" w:hAnsi="Arial" w:cs="Arial"/>
          <w:lang w:val="uk-UA"/>
        </w:rPr>
        <w:t>цепцію енергетичних бірж. Звіт визначив</w:t>
      </w:r>
      <w:r w:rsidRPr="007E5633">
        <w:rPr>
          <w:rFonts w:ascii="Arial" w:hAnsi="Arial" w:cs="Arial"/>
          <w:lang w:val="uk-UA"/>
        </w:rPr>
        <w:t xml:space="preserve"> існуючі недоліки регуляторного законодавства в Україні у вигляді аналізу відставань для НКЦПФР, який рекомендує приймати регуляторні ініціативи з метою усунення недоліків регулювання, визначених у оцінці ситуації експертами.</w:t>
      </w:r>
    </w:p>
    <w:p w14:paraId="74DAA296"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Звіт повинен пояснити, яким чином визначені регуляторні прогалини заважають розвитку ринку в Україні та які прогалини створюють системні ризики при будь-якому майбутньому розвитку ринку.</w:t>
      </w:r>
    </w:p>
    <w:p w14:paraId="029C4C3B"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 xml:space="preserve">У Звіті пропонуються шляхи вдосконалення законодавчої бази України в контексті електроенергії та газу через введення режиму прозорості. Ці рекомендації є частиною Етапу 2 цього Проекту, впродовж якого має бути поданий проект моделі для спотової та ф'ючерсної торгівлі оптовими та деривативними  енергопродуктами. Проект </w:t>
      </w:r>
      <w:r w:rsidR="00EC4C11">
        <w:rPr>
          <w:rFonts w:ascii="Arial" w:hAnsi="Arial" w:cs="Arial"/>
          <w:lang w:val="uk-UA"/>
        </w:rPr>
        <w:t>стосується допомоги Національній</w:t>
      </w:r>
      <w:r w:rsidRPr="007E5633">
        <w:rPr>
          <w:rFonts w:ascii="Arial" w:hAnsi="Arial" w:cs="Arial"/>
          <w:lang w:val="uk-UA"/>
        </w:rPr>
        <w:t xml:space="preserve"> комісії з цінних паперів та фондового ринку (НКЦПФР) з метою вдосконаленні законодавства України, що дозволяє створити сучасне фінансове та надійне регулювання ринку торгівлі </w:t>
      </w:r>
      <w:r w:rsidR="001972FD">
        <w:rPr>
          <w:rFonts w:ascii="Arial" w:hAnsi="Arial" w:cs="Arial"/>
          <w:lang w:val="uk-UA"/>
        </w:rPr>
        <w:t>товарними контрактами</w:t>
      </w:r>
      <w:r w:rsidRPr="007E5633">
        <w:rPr>
          <w:rFonts w:ascii="Arial" w:hAnsi="Arial" w:cs="Arial"/>
          <w:lang w:val="uk-UA"/>
        </w:rPr>
        <w:t>.</w:t>
      </w:r>
    </w:p>
    <w:p w14:paraId="4125311A"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Європейський Союз (ЄС) та Енергетичне співтовариство підтримують реформи українського енергетичного сектору та наближення галузі до стандартів Європейського Союзу. Енергетичне співтовариство має намір поширити внутрішній енергетичний ринок ЄС на Південно-Східну та Східну Європу. Україна, як Договірна Сторона Енергетичного Співтовариства, зобов'язується впроваджувати відповідні "acquis communautaire" щодо енергетики ЄС, розвивати адекватну регуляторну базу та лібералізувати свої енергетичні ринки відповідно до acquis в рамках Договору.</w:t>
      </w:r>
    </w:p>
    <w:p w14:paraId="4AD978BB" w14:textId="77777777" w:rsidR="00255FFA" w:rsidRPr="007E5633" w:rsidRDefault="00255FFA" w:rsidP="00255FFA">
      <w:pPr>
        <w:spacing w:line="240" w:lineRule="auto"/>
        <w:jc w:val="both"/>
        <w:rPr>
          <w:rFonts w:ascii="Arial" w:hAnsi="Arial" w:cs="Arial"/>
          <w:lang w:val="uk-UA"/>
        </w:rPr>
      </w:pPr>
      <w:r w:rsidRPr="007E5633">
        <w:rPr>
          <w:rFonts w:ascii="Arial" w:hAnsi="Arial" w:cs="Arial"/>
          <w:noProof/>
          <w:highlight w:val="yellow"/>
          <w:lang w:val="en-US"/>
        </w:rPr>
        <w:drawing>
          <wp:anchor distT="0" distB="0" distL="0" distR="180340" simplePos="0" relativeHeight="251726848" behindDoc="1" locked="0" layoutInCell="1" allowOverlap="1" wp14:anchorId="708D54C6" wp14:editId="78FA1DD9">
            <wp:simplePos x="0" y="0"/>
            <wp:positionH relativeFrom="page">
              <wp:posOffset>896620</wp:posOffset>
            </wp:positionH>
            <wp:positionV relativeFrom="paragraph">
              <wp:posOffset>12700</wp:posOffset>
            </wp:positionV>
            <wp:extent cx="1202055" cy="209867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055" cy="2098675"/>
                    </a:xfrm>
                    <a:prstGeom prst="rect">
                      <a:avLst/>
                    </a:prstGeom>
                    <a:noFill/>
                  </pic:spPr>
                </pic:pic>
              </a:graphicData>
            </a:graphic>
          </wp:anchor>
        </w:drawing>
      </w:r>
      <w:r w:rsidRPr="007E5633">
        <w:rPr>
          <w:rFonts w:ascii="Arial" w:hAnsi="Arial" w:cs="Arial"/>
          <w:lang w:val="uk-UA"/>
        </w:rPr>
        <w:t>Очікується, що ці реформи забезпечать більшу ефективність, підвищену прозорість ринку, забезпечать конкуренте ціноутворення та збільшать спроможність України залучати інвесторів.</w:t>
      </w:r>
    </w:p>
    <w:p w14:paraId="13F976F4" w14:textId="77777777" w:rsidR="00255FFA" w:rsidRPr="007E5633" w:rsidRDefault="00255FFA" w:rsidP="00255FFA">
      <w:pPr>
        <w:spacing w:line="240" w:lineRule="auto"/>
        <w:jc w:val="both"/>
        <w:rPr>
          <w:rFonts w:ascii="Arial" w:hAnsi="Arial" w:cs="Arial"/>
          <w:lang w:val="uk-UA"/>
        </w:rPr>
      </w:pPr>
      <w:r w:rsidRPr="007E5633">
        <w:rPr>
          <w:rFonts w:ascii="Arial" w:hAnsi="Arial" w:cs="Arial"/>
          <w:lang w:val="uk-UA"/>
        </w:rPr>
        <w:t>Одним з ключових елементів є наближення українського законодавства у сфері енергетики та фінансового сектору, що стосується спотової та ф'ючерсної торгівлі енергією, до найкращих практик у країнах-членах ЄС. Надзвичайно важливим є впровадження Регламенту [ЄС] № 1227/2011 про чесність та прозорість оптового енергетичного ринку від 25 жовтня 2011 р. (REMIT) для забезпечення прозорих операцій на ринку газу, оптової електроенергії та на ринку енергопродуктів.</w:t>
      </w:r>
    </w:p>
    <w:p w14:paraId="64551A06" w14:textId="77777777" w:rsidR="00255FFA" w:rsidRPr="007E5633" w:rsidRDefault="00255FFA" w:rsidP="00255FFA">
      <w:pPr>
        <w:spacing w:line="240" w:lineRule="auto"/>
        <w:jc w:val="both"/>
        <w:rPr>
          <w:rFonts w:ascii="Arial" w:hAnsi="Arial" w:cs="Arial"/>
          <w:lang w:val="uk-UA"/>
        </w:rPr>
      </w:pPr>
    </w:p>
    <w:p w14:paraId="2FD4388A" w14:textId="77777777" w:rsidR="00255FFA" w:rsidRPr="007E5633" w:rsidRDefault="00255FFA" w:rsidP="00255FFA">
      <w:pPr>
        <w:spacing w:line="240" w:lineRule="auto"/>
        <w:jc w:val="both"/>
        <w:rPr>
          <w:rFonts w:ascii="Arial" w:hAnsi="Arial" w:cs="Arial"/>
          <w:lang w:val="uk-UA"/>
        </w:rPr>
      </w:pPr>
    </w:p>
    <w:p w14:paraId="7B89D03C" w14:textId="77777777" w:rsidR="00535EA6" w:rsidRPr="007E5633" w:rsidRDefault="00255FFA" w:rsidP="00EC6B00">
      <w:pPr>
        <w:pStyle w:val="FSHeader1"/>
        <w:keepNext w:val="0"/>
        <w:pageBreakBefore w:val="0"/>
        <w:numPr>
          <w:ilvl w:val="2"/>
          <w:numId w:val="7"/>
        </w:numPr>
        <w:spacing w:before="120" w:after="120"/>
        <w:ind w:left="567" w:hanging="567"/>
        <w:rPr>
          <w:rFonts w:ascii="Arial" w:hAnsi="Arial" w:cs="Arial"/>
          <w:color w:val="auto"/>
          <w:sz w:val="22"/>
          <w:szCs w:val="22"/>
          <w:lang w:val="uk-UA"/>
        </w:rPr>
      </w:pPr>
      <w:bookmarkStart w:id="6" w:name="_Toc533093890"/>
      <w:r w:rsidRPr="007E5633">
        <w:rPr>
          <w:rFonts w:ascii="Arial" w:hAnsi="Arial" w:cs="Arial"/>
          <w:color w:val="auto"/>
          <w:sz w:val="22"/>
          <w:szCs w:val="22"/>
          <w:lang w:val="uk-UA"/>
        </w:rPr>
        <w:lastRenderedPageBreak/>
        <w:t>Роль енергетичної галузі як ключового фактора для всієї економіки України</w:t>
      </w:r>
      <w:bookmarkEnd w:id="6"/>
    </w:p>
    <w:p w14:paraId="71068049" w14:textId="77777777" w:rsidR="00255FFA" w:rsidRPr="007E5633" w:rsidRDefault="00255FFA" w:rsidP="00EC6B00">
      <w:pPr>
        <w:spacing w:line="240" w:lineRule="auto"/>
        <w:jc w:val="both"/>
        <w:rPr>
          <w:rFonts w:ascii="Arial" w:hAnsi="Arial" w:cs="Arial"/>
          <w:lang w:val="uk-UA"/>
        </w:rPr>
      </w:pPr>
      <w:r w:rsidRPr="007E5633">
        <w:rPr>
          <w:rFonts w:ascii="Arial" w:hAnsi="Arial" w:cs="Arial"/>
          <w:lang w:val="uk-UA"/>
        </w:rPr>
        <w:t>Уряд України працює над тра</w:t>
      </w:r>
      <w:r w:rsidR="007E5633">
        <w:rPr>
          <w:rFonts w:ascii="Arial" w:hAnsi="Arial" w:cs="Arial"/>
          <w:lang w:val="uk-UA"/>
        </w:rPr>
        <w:t>н</w:t>
      </w:r>
      <w:r w:rsidRPr="007E5633">
        <w:rPr>
          <w:rFonts w:ascii="Arial" w:hAnsi="Arial" w:cs="Arial"/>
          <w:lang w:val="uk-UA"/>
        </w:rPr>
        <w:t>сформацією енергетичного сектору, який забезпечує всю іншу економічну діяльність України. Реформа українського енергетичного ринку стане, таким чином, ключовим стимулом для всієї української економіки.</w:t>
      </w:r>
    </w:p>
    <w:p w14:paraId="21745F57" w14:textId="77777777" w:rsidR="00255FFA" w:rsidRPr="007E5633" w:rsidRDefault="00255FFA" w:rsidP="00EC6B00">
      <w:pPr>
        <w:spacing w:line="240" w:lineRule="auto"/>
        <w:jc w:val="both"/>
        <w:rPr>
          <w:rFonts w:ascii="Arial" w:hAnsi="Arial" w:cs="Arial"/>
          <w:lang w:val="uk-UA"/>
        </w:rPr>
      </w:pPr>
      <w:r w:rsidRPr="007E5633">
        <w:rPr>
          <w:rFonts w:ascii="Arial" w:hAnsi="Arial" w:cs="Arial"/>
          <w:lang w:val="uk-UA"/>
        </w:rPr>
        <w:t>Роль енергетичної галузі демонструє її внесок у податкові надходження, оскільки нафтогазові компанії є одними з найбільших платників податків в Україні.</w:t>
      </w:r>
    </w:p>
    <w:p w14:paraId="087A58F6" w14:textId="77777777" w:rsidR="006B552C" w:rsidRPr="007E5633" w:rsidRDefault="00255FFA" w:rsidP="00EC6B00">
      <w:pPr>
        <w:spacing w:line="240" w:lineRule="auto"/>
        <w:jc w:val="both"/>
        <w:rPr>
          <w:rFonts w:ascii="Arial" w:hAnsi="Arial" w:cs="Arial"/>
          <w:lang w:val="uk-UA"/>
        </w:rPr>
      </w:pPr>
      <w:r w:rsidRPr="007E5633">
        <w:rPr>
          <w:rFonts w:ascii="Arial" w:hAnsi="Arial" w:cs="Arial"/>
          <w:lang w:val="uk-UA"/>
        </w:rPr>
        <w:t>Газ та електроенергія є основними енергетичними товарами в Україні та пропонують великі можливості, але для розкриття цього потенціалу потрібна необхідна інфраструктура торговельного ринку та адекватне регулювання.</w:t>
      </w:r>
    </w:p>
    <w:p w14:paraId="58B38C5D" w14:textId="77777777" w:rsidR="00E4309C" w:rsidRPr="007E5633" w:rsidRDefault="005F3F2A" w:rsidP="00EC6B00">
      <w:pPr>
        <w:pStyle w:val="FSHeader1"/>
        <w:keepNext w:val="0"/>
        <w:pageBreakBefore w:val="0"/>
        <w:numPr>
          <w:ilvl w:val="2"/>
          <w:numId w:val="7"/>
        </w:numPr>
        <w:spacing w:before="120" w:after="120"/>
        <w:ind w:left="567" w:hanging="567"/>
        <w:rPr>
          <w:rFonts w:ascii="Arial" w:hAnsi="Arial" w:cs="Arial"/>
          <w:color w:val="auto"/>
          <w:sz w:val="22"/>
          <w:szCs w:val="22"/>
          <w:lang w:val="uk-UA"/>
        </w:rPr>
      </w:pPr>
      <w:bookmarkStart w:id="7" w:name="_Toc533093891"/>
      <w:r>
        <w:rPr>
          <w:rFonts w:ascii="Arial" w:hAnsi="Arial" w:cs="Arial"/>
          <w:color w:val="auto"/>
          <w:sz w:val="22"/>
          <w:szCs w:val="22"/>
          <w:lang w:val="uk-UA"/>
        </w:rPr>
        <w:t>Р</w:t>
      </w:r>
      <w:r w:rsidR="00255FFA" w:rsidRPr="007E5633">
        <w:rPr>
          <w:rFonts w:ascii="Arial" w:hAnsi="Arial" w:cs="Arial"/>
          <w:color w:val="auto"/>
          <w:sz w:val="22"/>
          <w:szCs w:val="22"/>
          <w:lang w:val="uk-UA"/>
        </w:rPr>
        <w:t xml:space="preserve">инок </w:t>
      </w:r>
      <w:r w:rsidRPr="005F3F2A">
        <w:rPr>
          <w:rFonts w:ascii="Arial" w:hAnsi="Arial" w:cs="Arial"/>
          <w:color w:val="auto"/>
          <w:sz w:val="22"/>
          <w:szCs w:val="22"/>
          <w:lang w:val="uk-UA"/>
        </w:rPr>
        <w:t xml:space="preserve">товарних контрактів </w:t>
      </w:r>
      <w:r w:rsidR="00255FFA" w:rsidRPr="007E5633">
        <w:rPr>
          <w:rFonts w:ascii="Arial" w:hAnsi="Arial" w:cs="Arial"/>
          <w:color w:val="auto"/>
          <w:sz w:val="22"/>
          <w:szCs w:val="22"/>
          <w:lang w:val="uk-UA"/>
        </w:rPr>
        <w:t>та роль НКЦПФР</w:t>
      </w:r>
      <w:bookmarkEnd w:id="7"/>
    </w:p>
    <w:p w14:paraId="7B1CB20F" w14:textId="77777777" w:rsidR="00625DDD" w:rsidRPr="007E5633" w:rsidRDefault="00625DDD" w:rsidP="00625DDD">
      <w:pPr>
        <w:jc w:val="both"/>
        <w:rPr>
          <w:rFonts w:ascii="Arial" w:hAnsi="Arial" w:cs="Arial"/>
          <w:lang w:val="uk-UA"/>
        </w:rPr>
      </w:pPr>
      <w:r w:rsidRPr="007E5633">
        <w:rPr>
          <w:rFonts w:ascii="Arial" w:hAnsi="Arial" w:cs="Arial"/>
          <w:lang w:val="uk-UA"/>
        </w:rPr>
        <w:t>Національна комісія з цінних паперів та фондового ринку (НКЦПФР) має завдання налагодити сучасний ринок фінансових та товарних ринків в Україні у співпраці з Національним банком та урядом України.</w:t>
      </w:r>
    </w:p>
    <w:p w14:paraId="16E7E755" w14:textId="77777777" w:rsidR="00625DDD" w:rsidRPr="007E5633" w:rsidRDefault="00625DDD" w:rsidP="00625DDD">
      <w:pPr>
        <w:jc w:val="both"/>
        <w:rPr>
          <w:rFonts w:ascii="Arial" w:hAnsi="Arial" w:cs="Arial"/>
          <w:lang w:val="uk-UA"/>
        </w:rPr>
      </w:pPr>
      <w:r w:rsidRPr="007E5633">
        <w:rPr>
          <w:rFonts w:ascii="Arial" w:hAnsi="Arial" w:cs="Arial"/>
          <w:lang w:val="uk-UA"/>
        </w:rPr>
        <w:t>З точки зору даного проекту, НКЦПФР прагне створити безпечні та самостійні ринкові структури, здатні витримувати кризи через:</w:t>
      </w:r>
    </w:p>
    <w:p w14:paraId="59A26159"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зловживання ринком,</w:t>
      </w:r>
    </w:p>
    <w:p w14:paraId="457D7962"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маніпулювання цінами, і</w:t>
      </w:r>
    </w:p>
    <w:p w14:paraId="79A68D93"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інсайдерську торгівлю або інші причини, які можуть спричинити крайню нестабільність.</w:t>
      </w:r>
    </w:p>
    <w:p w14:paraId="05922C9A" w14:textId="77777777" w:rsidR="00625DDD" w:rsidRPr="007E5633" w:rsidRDefault="00625DDD" w:rsidP="00625DDD">
      <w:pPr>
        <w:jc w:val="both"/>
        <w:rPr>
          <w:rFonts w:ascii="Arial" w:hAnsi="Arial" w:cs="Arial"/>
          <w:lang w:val="uk-UA"/>
        </w:rPr>
      </w:pPr>
      <w:r w:rsidRPr="007E5633">
        <w:rPr>
          <w:rFonts w:ascii="Arial" w:hAnsi="Arial" w:cs="Arial"/>
          <w:lang w:val="uk-UA"/>
        </w:rPr>
        <w:t>У межах ринку</w:t>
      </w:r>
      <w:r w:rsidR="008F44DB">
        <w:rPr>
          <w:rFonts w:ascii="Arial" w:hAnsi="Arial" w:cs="Arial"/>
          <w:lang w:val="uk-UA"/>
        </w:rPr>
        <w:t xml:space="preserve"> </w:t>
      </w:r>
      <w:r w:rsidR="008F44DB">
        <w:rPr>
          <w:rFonts w:ascii="Arial" w:hAnsi="Arial" w:cs="Arial"/>
          <w:szCs w:val="24"/>
          <w:lang w:val="uk-UA"/>
        </w:rPr>
        <w:t>товарних контрактів</w:t>
      </w:r>
      <w:r w:rsidRPr="007E5633">
        <w:rPr>
          <w:rFonts w:ascii="Arial" w:hAnsi="Arial" w:cs="Arial"/>
          <w:lang w:val="uk-UA"/>
        </w:rPr>
        <w:t>, НКЦПФР має місію:</w:t>
      </w:r>
    </w:p>
    <w:p w14:paraId="53C5CE82"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забезпечити, щоб регулювання </w:t>
      </w:r>
      <w:r w:rsidR="008F44DB">
        <w:rPr>
          <w:rFonts w:ascii="Arial" w:hAnsi="Arial" w:cs="Arial"/>
          <w:szCs w:val="24"/>
          <w:lang w:val="uk-UA"/>
        </w:rPr>
        <w:t>товарних контрактів</w:t>
      </w:r>
      <w:r w:rsidR="008F44DB" w:rsidRPr="007E5633">
        <w:rPr>
          <w:rFonts w:ascii="Arial" w:eastAsia="Times New Roman" w:hAnsi="Arial" w:cs="Arial"/>
          <w:color w:val="000000"/>
          <w:lang w:val="uk-UA" w:eastAsia="ru-RU"/>
        </w:rPr>
        <w:t xml:space="preserve"> </w:t>
      </w:r>
      <w:r w:rsidRPr="007E5633">
        <w:rPr>
          <w:rFonts w:ascii="Arial" w:eastAsia="Times New Roman" w:hAnsi="Arial" w:cs="Arial"/>
          <w:color w:val="000000"/>
          <w:lang w:val="uk-UA" w:eastAsia="ru-RU"/>
        </w:rPr>
        <w:t>дозволило створити прозорість роботи торгових майданчиків,</w:t>
      </w:r>
    </w:p>
    <w:p w14:paraId="669044C4"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забезпечити недискримінацію при доступі на ринок та в роботі на ринку,</w:t>
      </w:r>
    </w:p>
    <w:p w14:paraId="47AAF07D"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забезпечити вільне ціноутворення на користь економіки та, в кінцевому рахунку, споживачам;</w:t>
      </w:r>
    </w:p>
    <w:p w14:paraId="03D8CAB9"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сприяти зменшенню контрагентного ризику за допомогою перевірених концепцій;</w:t>
      </w:r>
    </w:p>
    <w:p w14:paraId="2EE5D07B" w14:textId="77777777" w:rsidR="00625DDD" w:rsidRPr="007E5633" w:rsidRDefault="00625DDD"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усувати системні ризики, пов'язані з відсутністю перевірених стандартів організації ринку;</w:t>
      </w:r>
    </w:p>
    <w:p w14:paraId="417BDE24" w14:textId="77777777" w:rsidR="00625DDD" w:rsidRPr="007E5633" w:rsidRDefault="00EC4C11" w:rsidP="00B83D6C">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забезпечити </w:t>
      </w:r>
      <w:r w:rsidR="00625DDD" w:rsidRPr="007E5633">
        <w:rPr>
          <w:rFonts w:ascii="Arial" w:eastAsia="Times New Roman" w:hAnsi="Arial" w:cs="Arial"/>
          <w:color w:val="000000"/>
          <w:lang w:val="uk-UA" w:eastAsia="ru-RU"/>
        </w:rPr>
        <w:t>контроль за дотриманням майбутнього режиму прозорості шляхом ефективного ринкового нагляду.</w:t>
      </w:r>
    </w:p>
    <w:p w14:paraId="4805F4A7" w14:textId="77777777" w:rsidR="00EC4C11" w:rsidRDefault="00EC4C11" w:rsidP="00625DDD">
      <w:pPr>
        <w:jc w:val="both"/>
        <w:rPr>
          <w:rFonts w:ascii="Arial" w:hAnsi="Arial" w:cs="Arial"/>
          <w:lang w:val="uk-UA"/>
        </w:rPr>
      </w:pPr>
    </w:p>
    <w:p w14:paraId="278781E3" w14:textId="77777777" w:rsidR="00625DDD" w:rsidRPr="007E5633" w:rsidRDefault="00625DDD" w:rsidP="00625DDD">
      <w:pPr>
        <w:jc w:val="both"/>
        <w:rPr>
          <w:rFonts w:ascii="Arial" w:hAnsi="Arial" w:cs="Arial"/>
          <w:lang w:val="uk-UA"/>
        </w:rPr>
      </w:pPr>
      <w:r w:rsidRPr="007E5633">
        <w:rPr>
          <w:rFonts w:ascii="Arial" w:hAnsi="Arial" w:cs="Arial"/>
          <w:lang w:val="uk-UA"/>
        </w:rPr>
        <w:t xml:space="preserve">НКПЦФР концептуально розробляє концепції клірингу, які можуть застосовуватися для різних класів активів, включаючи </w:t>
      </w:r>
      <w:r w:rsidR="008F44DB">
        <w:rPr>
          <w:rFonts w:ascii="Arial" w:hAnsi="Arial" w:cs="Arial"/>
          <w:szCs w:val="24"/>
          <w:lang w:val="uk-UA"/>
        </w:rPr>
        <w:t>товарні контракти</w:t>
      </w:r>
      <w:r w:rsidRPr="007E5633">
        <w:rPr>
          <w:rFonts w:ascii="Arial" w:hAnsi="Arial" w:cs="Arial"/>
          <w:lang w:val="uk-UA"/>
        </w:rPr>
        <w:t>. Завдання полягає в тому, щоб створити клірингові концепції, які підходять для конкретної ситуації в Україні. Наразі НКЦПФР концептуально зосереджується на так званій моделі «спрощеного клірингового дому, що виступає центральним контрагентом ("Light CCP"). CCP може стати майбутнім центральним кліринговим інститутом для ринку газу та електроенергії.</w:t>
      </w:r>
    </w:p>
    <w:p w14:paraId="148EA56E" w14:textId="77777777" w:rsidR="00625DDD" w:rsidRPr="007E5633" w:rsidRDefault="00625DDD" w:rsidP="00625DDD">
      <w:pPr>
        <w:jc w:val="both"/>
        <w:rPr>
          <w:rFonts w:ascii="Arial" w:hAnsi="Arial" w:cs="Arial"/>
          <w:lang w:val="uk-UA"/>
        </w:rPr>
      </w:pPr>
      <w:r w:rsidRPr="007E5633">
        <w:rPr>
          <w:rFonts w:ascii="Arial" w:hAnsi="Arial" w:cs="Arial"/>
          <w:lang w:val="uk-UA"/>
        </w:rPr>
        <w:t xml:space="preserve">НКЦПФР </w:t>
      </w:r>
      <w:r w:rsidR="00EC4C11">
        <w:rPr>
          <w:rFonts w:ascii="Arial" w:hAnsi="Arial" w:cs="Arial"/>
          <w:lang w:val="uk-UA"/>
        </w:rPr>
        <w:t>провела</w:t>
      </w:r>
      <w:r w:rsidRPr="007E5633">
        <w:rPr>
          <w:rFonts w:ascii="Arial" w:hAnsi="Arial" w:cs="Arial"/>
          <w:lang w:val="uk-UA"/>
        </w:rPr>
        <w:t xml:space="preserve"> новаторську роботу в контексті Закону України "Про ринки капіталу та регульовані ринки". Закон "Про ринки капіталу" регулює відносини, що виникають у процесі розміщення та торгівлі цінними паперами, укладання та виконання дериватив них контрактів та операцій на ринках капіталу та інших регульованих ринках, а також у процесі професійної діяльності на ринках капіталу та регульованих ринках з метою забезпечення прозорості та ефективності ринків капіталу та регульованих ринків.</w:t>
      </w:r>
    </w:p>
    <w:p w14:paraId="3F6D16C5" w14:textId="77777777" w:rsidR="00625DDD" w:rsidRPr="007E5633" w:rsidRDefault="00625DDD" w:rsidP="00625DDD">
      <w:pPr>
        <w:jc w:val="both"/>
        <w:rPr>
          <w:rFonts w:ascii="Arial" w:hAnsi="Arial" w:cs="Arial"/>
          <w:lang w:val="uk-UA"/>
        </w:rPr>
      </w:pPr>
      <w:r w:rsidRPr="007E5633">
        <w:rPr>
          <w:rFonts w:ascii="Arial" w:hAnsi="Arial" w:cs="Arial"/>
          <w:lang w:val="uk-UA"/>
        </w:rPr>
        <w:lastRenderedPageBreak/>
        <w:t>НКЦПФР зосереджується на визначенні рішень щодо встановлення післяопераційного виконання та ринкового нагляду.</w:t>
      </w:r>
    </w:p>
    <w:p w14:paraId="570F6B0B" w14:textId="77777777" w:rsidR="00625DDD" w:rsidRPr="007E5633" w:rsidRDefault="00625DDD" w:rsidP="00625DDD">
      <w:pPr>
        <w:jc w:val="both"/>
        <w:rPr>
          <w:rFonts w:ascii="Arial" w:hAnsi="Arial" w:cs="Arial"/>
          <w:lang w:val="uk-UA"/>
        </w:rPr>
      </w:pPr>
      <w:r w:rsidRPr="007E5633">
        <w:rPr>
          <w:rFonts w:ascii="Arial" w:hAnsi="Arial" w:cs="Arial"/>
          <w:lang w:val="uk-UA"/>
        </w:rPr>
        <w:t xml:space="preserve">Початком створення фінансового ринку для </w:t>
      </w:r>
      <w:r w:rsidR="008F44DB">
        <w:rPr>
          <w:rFonts w:ascii="Arial" w:hAnsi="Arial" w:cs="Arial"/>
          <w:szCs w:val="24"/>
          <w:lang w:val="uk-UA"/>
        </w:rPr>
        <w:t>товарних контрактів</w:t>
      </w:r>
      <w:r w:rsidR="008F44DB" w:rsidRPr="007E5633">
        <w:rPr>
          <w:rFonts w:ascii="Arial" w:hAnsi="Arial" w:cs="Arial"/>
          <w:lang w:val="uk-UA"/>
        </w:rPr>
        <w:t xml:space="preserve"> </w:t>
      </w:r>
      <w:r w:rsidRPr="007E5633">
        <w:rPr>
          <w:rFonts w:ascii="Arial" w:hAnsi="Arial" w:cs="Arial"/>
          <w:lang w:val="uk-UA"/>
        </w:rPr>
        <w:t xml:space="preserve">в Україні є розвиток ліквідного, прозорого та надійного фізичного ринку електроенергії та газу. Тільки ліквідний ринок газу та електроенергії створює попит на похідні інструменти, які зазвичай мають функцію хеджування ризиків, що виникають на фізичному ринку. Тому НКЦПФР має зосередитись на тому, щоб забезпечити створення ліквідного ринку фізичних </w:t>
      </w:r>
      <w:r w:rsidR="008F44DB">
        <w:rPr>
          <w:rFonts w:ascii="Arial" w:hAnsi="Arial" w:cs="Arial"/>
          <w:szCs w:val="24"/>
          <w:lang w:val="uk-UA"/>
        </w:rPr>
        <w:t>товарних контрактів</w:t>
      </w:r>
      <w:r w:rsidR="008F44DB" w:rsidRPr="00EC4C11">
        <w:rPr>
          <w:rFonts w:ascii="Arial" w:hAnsi="Arial" w:cs="Arial"/>
          <w:lang w:val="uk-UA"/>
        </w:rPr>
        <w:t xml:space="preserve"> </w:t>
      </w:r>
      <w:r w:rsidRPr="007E5633">
        <w:rPr>
          <w:rFonts w:ascii="Arial" w:hAnsi="Arial" w:cs="Arial"/>
          <w:lang w:val="uk-UA"/>
        </w:rPr>
        <w:t>як передумови для появи ліквідного ринку похідних інструментів.</w:t>
      </w:r>
    </w:p>
    <w:p w14:paraId="058A58EB" w14:textId="77777777" w:rsidR="00E4309C" w:rsidRPr="007E5633" w:rsidRDefault="00625DDD" w:rsidP="00EC6B00">
      <w:pPr>
        <w:pStyle w:val="FSHeader1"/>
        <w:keepNext w:val="0"/>
        <w:pageBreakBefore w:val="0"/>
        <w:numPr>
          <w:ilvl w:val="2"/>
          <w:numId w:val="7"/>
        </w:numPr>
        <w:spacing w:before="120" w:after="120"/>
        <w:ind w:left="567" w:hanging="567"/>
        <w:rPr>
          <w:rFonts w:ascii="Arial" w:hAnsi="Arial" w:cs="Arial"/>
          <w:color w:val="auto"/>
          <w:sz w:val="22"/>
          <w:szCs w:val="22"/>
          <w:lang w:val="uk-UA"/>
        </w:rPr>
      </w:pPr>
      <w:bookmarkStart w:id="8" w:name="_Toc533093892"/>
      <w:r w:rsidRPr="007E5633">
        <w:rPr>
          <w:rFonts w:ascii="Arial" w:hAnsi="Arial" w:cs="Arial"/>
          <w:color w:val="auto"/>
          <w:sz w:val="22"/>
          <w:szCs w:val="22"/>
          <w:lang w:val="uk-UA"/>
        </w:rPr>
        <w:t>Оцінка розбіжностей (відставань) як перший проектний результат</w:t>
      </w:r>
      <w:bookmarkEnd w:id="8"/>
    </w:p>
    <w:p w14:paraId="2781F3A2"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На підставі першої брифінгової зустрічі з проектним менеджером Представництва ЄС та подальших зустрічей з різними зацікавленими сторонами, початкові завдання були узгоджені наступним чином:</w:t>
      </w:r>
    </w:p>
    <w:p w14:paraId="3F6C5389"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Перший звіт забезпечить аналіз прогалин між законодавством України та законодавством ЄС</w:t>
      </w:r>
      <w:r w:rsidR="00EC4C11">
        <w:rPr>
          <w:rFonts w:ascii="Arial" w:eastAsia="Arial" w:hAnsi="Arial" w:cs="Arial"/>
          <w:lang w:val="uk-UA" w:bidi="en-US"/>
        </w:rPr>
        <w:t xml:space="preserve"> з метою</w:t>
      </w:r>
      <w:r w:rsidRPr="007E5633">
        <w:rPr>
          <w:rFonts w:ascii="Arial" w:eastAsia="Arial" w:hAnsi="Arial" w:cs="Arial"/>
          <w:lang w:val="uk-UA" w:bidi="en-US"/>
        </w:rPr>
        <w:t>:</w:t>
      </w:r>
    </w:p>
    <w:p w14:paraId="39CD85C3"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а) Оцінити правову основу для природного газу та електроенергії в ЄС в контексті пояснення функціонування спотової та форвардної торговельної діяльності, серед іншого, функції та процедури передачі прав власності та механізми проведення розрахунків. Цей аналіз передбачає опис платформ, що іс</w:t>
      </w:r>
      <w:r w:rsidR="00EC4C11">
        <w:rPr>
          <w:rFonts w:ascii="Arial" w:eastAsia="Arial" w:hAnsi="Arial" w:cs="Arial"/>
          <w:lang w:val="uk-UA" w:bidi="en-US"/>
        </w:rPr>
        <w:t>нують у ЄС, включаючи концепції</w:t>
      </w:r>
      <w:r w:rsidRPr="007E5633">
        <w:rPr>
          <w:rFonts w:ascii="Arial" w:eastAsia="Arial" w:hAnsi="Arial" w:cs="Arial"/>
          <w:lang w:val="uk-UA" w:bidi="en-US"/>
        </w:rPr>
        <w:t xml:space="preserve"> енергетичних бірж.</w:t>
      </w:r>
    </w:p>
    <w:p w14:paraId="1C915F43"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б) Оцінити законодавчу базу та функціонування спотової та форвардної торгівлі в Україні та порівняти її з ситуацією в ЄС.</w:t>
      </w:r>
    </w:p>
    <w:p w14:paraId="10004384"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в) Виявити існуючі недоліки в Україні у вигляді аналізу прогалин для НКЦПФР, щоб рекомендувати прийняти регуляторні ініціативи для усунення виявлених прогалин (відставань) у регулюванні.</w:t>
      </w:r>
    </w:p>
    <w:p w14:paraId="752ADEF0" w14:textId="77777777" w:rsidR="00625DDD" w:rsidRPr="007E5633" w:rsidRDefault="00EC4C11" w:rsidP="00625DDD">
      <w:pPr>
        <w:pStyle w:val="a4"/>
        <w:spacing w:line="240" w:lineRule="auto"/>
        <w:ind w:left="0"/>
        <w:jc w:val="both"/>
        <w:rPr>
          <w:rFonts w:ascii="Arial" w:eastAsia="Arial" w:hAnsi="Arial" w:cs="Arial"/>
          <w:lang w:val="uk-UA" w:bidi="en-US"/>
        </w:rPr>
      </w:pPr>
      <w:r>
        <w:rPr>
          <w:rFonts w:ascii="Arial" w:eastAsia="Arial" w:hAnsi="Arial" w:cs="Arial"/>
          <w:lang w:val="uk-UA" w:bidi="en-US"/>
        </w:rPr>
        <w:t>г) Забезпечити п</w:t>
      </w:r>
      <w:r w:rsidR="00625DDD" w:rsidRPr="007E5633">
        <w:rPr>
          <w:rFonts w:ascii="Arial" w:eastAsia="Arial" w:hAnsi="Arial" w:cs="Arial"/>
          <w:lang w:val="uk-UA" w:bidi="en-US"/>
        </w:rPr>
        <w:t>ояснення того, як визначені прогалини перешкоджають розвитку ринку. Аналіз прогалин покаже шляхи вдосконалення української законодавчої бази в контексті електроенергії та газу.</w:t>
      </w:r>
    </w:p>
    <w:p w14:paraId="08B7A20A" w14:textId="77777777" w:rsidR="00625DDD" w:rsidRPr="007E5633" w:rsidRDefault="00625DDD" w:rsidP="00625DDD">
      <w:pPr>
        <w:pStyle w:val="a4"/>
        <w:spacing w:line="240" w:lineRule="auto"/>
        <w:ind w:left="0"/>
        <w:jc w:val="both"/>
        <w:rPr>
          <w:rFonts w:ascii="Arial" w:eastAsia="Arial" w:hAnsi="Arial" w:cs="Arial"/>
          <w:lang w:val="uk-UA" w:bidi="en-US"/>
        </w:rPr>
      </w:pPr>
      <w:r w:rsidRPr="007E5633">
        <w:rPr>
          <w:rFonts w:ascii="Arial" w:eastAsia="Arial" w:hAnsi="Arial" w:cs="Arial"/>
          <w:lang w:val="uk-UA" w:bidi="en-US"/>
        </w:rPr>
        <w:t xml:space="preserve">Даний Звіт про оцінку прогалин базується на цих елементах. За результатами оцінки </w:t>
      </w:r>
      <w:r w:rsidR="00EC4C11">
        <w:rPr>
          <w:rFonts w:ascii="Arial" w:eastAsia="Arial" w:hAnsi="Arial" w:cs="Arial"/>
          <w:lang w:val="uk-UA" w:bidi="en-US"/>
        </w:rPr>
        <w:t>прогалин у жовтні 2018 року було</w:t>
      </w:r>
      <w:r w:rsidRPr="007E5633">
        <w:rPr>
          <w:rFonts w:ascii="Arial" w:eastAsia="Arial" w:hAnsi="Arial" w:cs="Arial"/>
          <w:lang w:val="uk-UA" w:bidi="en-US"/>
        </w:rPr>
        <w:t xml:space="preserve"> визначено період для подання комент</w:t>
      </w:r>
      <w:r w:rsidR="00EC4C11">
        <w:rPr>
          <w:rFonts w:ascii="Arial" w:eastAsia="Arial" w:hAnsi="Arial" w:cs="Arial"/>
          <w:lang w:val="uk-UA" w:bidi="en-US"/>
        </w:rPr>
        <w:t>арів та відгуків. Ми організували семінар, який представив</w:t>
      </w:r>
      <w:r w:rsidRPr="007E5633">
        <w:rPr>
          <w:rFonts w:ascii="Arial" w:eastAsia="Arial" w:hAnsi="Arial" w:cs="Arial"/>
          <w:lang w:val="uk-UA" w:bidi="en-US"/>
        </w:rPr>
        <w:t xml:space="preserve"> оцінку прогалин та дозволи</w:t>
      </w:r>
      <w:r w:rsidR="00EC4C11">
        <w:rPr>
          <w:rFonts w:ascii="Arial" w:eastAsia="Arial" w:hAnsi="Arial" w:cs="Arial"/>
          <w:lang w:val="uk-UA" w:bidi="en-US"/>
        </w:rPr>
        <w:t>в</w:t>
      </w:r>
      <w:r w:rsidRPr="007E5633">
        <w:rPr>
          <w:rFonts w:ascii="Arial" w:eastAsia="Arial" w:hAnsi="Arial" w:cs="Arial"/>
          <w:lang w:val="uk-UA" w:bidi="en-US"/>
        </w:rPr>
        <w:t xml:space="preserve"> включити до аналізу додаткові коментарі. Після схвалення з боку НКЦПФР заключний Звіт і його переклад будуть подані до Представництва ЄС.</w:t>
      </w:r>
    </w:p>
    <w:p w14:paraId="07D00F0F" w14:textId="77777777" w:rsidR="00E4309C" w:rsidRPr="007E5633" w:rsidRDefault="00625DDD" w:rsidP="00625DDD">
      <w:pPr>
        <w:pStyle w:val="a4"/>
        <w:spacing w:line="240" w:lineRule="auto"/>
        <w:ind w:left="0"/>
        <w:jc w:val="both"/>
        <w:rPr>
          <w:rFonts w:ascii="Arial" w:hAnsi="Arial" w:cs="Arial"/>
          <w:b/>
          <w:lang w:val="uk-UA"/>
        </w:rPr>
      </w:pPr>
      <w:r w:rsidRPr="007E5633">
        <w:rPr>
          <w:rFonts w:ascii="Arial" w:eastAsia="Arial" w:hAnsi="Arial" w:cs="Arial"/>
          <w:lang w:val="uk-UA" w:bidi="en-US"/>
        </w:rPr>
        <w:t xml:space="preserve">Ця початкова оцінка прогалин представляє роботу на спотовому та форвардному ринку, а також на фінансовому ринку, який стосується торгівлі </w:t>
      </w:r>
      <w:r w:rsidR="005F3F2A" w:rsidRPr="005F3F2A">
        <w:rPr>
          <w:rFonts w:ascii="Arial" w:eastAsia="Arial" w:hAnsi="Arial" w:cs="Arial"/>
          <w:lang w:val="uk-UA" w:bidi="en-US"/>
        </w:rPr>
        <w:t>товарни</w:t>
      </w:r>
      <w:r w:rsidR="005F3F2A">
        <w:rPr>
          <w:rFonts w:ascii="Arial" w:eastAsia="Arial" w:hAnsi="Arial" w:cs="Arial"/>
          <w:lang w:val="uk-UA" w:bidi="en-US"/>
        </w:rPr>
        <w:t>ми</w:t>
      </w:r>
      <w:r w:rsidR="005F3F2A" w:rsidRPr="005F3F2A">
        <w:rPr>
          <w:rFonts w:ascii="Arial" w:eastAsia="Arial" w:hAnsi="Arial" w:cs="Arial"/>
          <w:lang w:val="uk-UA" w:bidi="en-US"/>
        </w:rPr>
        <w:t xml:space="preserve"> контракт</w:t>
      </w:r>
      <w:r w:rsidR="005F3F2A">
        <w:rPr>
          <w:rFonts w:ascii="Arial" w:eastAsia="Arial" w:hAnsi="Arial" w:cs="Arial"/>
          <w:lang w:val="uk-UA" w:bidi="en-US"/>
        </w:rPr>
        <w:t xml:space="preserve">ами </w:t>
      </w:r>
      <w:r w:rsidRPr="007E5633">
        <w:rPr>
          <w:rFonts w:ascii="Arial" w:eastAsia="Arial" w:hAnsi="Arial" w:cs="Arial"/>
          <w:lang w:val="uk-UA" w:bidi="en-US"/>
        </w:rPr>
        <w:t>в Європі.</w:t>
      </w:r>
    </w:p>
    <w:p w14:paraId="53DE797B" w14:textId="77777777" w:rsidR="00B5132B" w:rsidRPr="007E5633" w:rsidRDefault="00B5132B" w:rsidP="00625DDD">
      <w:pPr>
        <w:suppressAutoHyphens w:val="0"/>
        <w:rPr>
          <w:rFonts w:ascii="Arial" w:hAnsi="Arial" w:cs="Arial"/>
          <w:b/>
          <w:lang w:val="uk-UA"/>
        </w:rPr>
      </w:pPr>
      <w:r w:rsidRPr="007E5633">
        <w:rPr>
          <w:rFonts w:ascii="Arial" w:hAnsi="Arial" w:cs="Arial"/>
          <w:b/>
          <w:lang w:val="uk-UA"/>
        </w:rPr>
        <w:br w:type="page"/>
      </w:r>
    </w:p>
    <w:p w14:paraId="18E74505" w14:textId="77777777" w:rsidR="00255E30" w:rsidRPr="007E5633" w:rsidRDefault="00255E30" w:rsidP="00EC6B00">
      <w:pPr>
        <w:pStyle w:val="FSHeader1"/>
        <w:numPr>
          <w:ilvl w:val="0"/>
          <w:numId w:val="7"/>
        </w:numPr>
        <w:ind w:left="432"/>
        <w:rPr>
          <w:rFonts w:ascii="Arial" w:hAnsi="Arial" w:cs="Arial"/>
          <w:lang w:val="uk-UA"/>
        </w:rPr>
      </w:pPr>
      <w:bookmarkStart w:id="9" w:name="_Toc533093893"/>
      <w:bookmarkStart w:id="10" w:name="_Toc526775000"/>
      <w:r w:rsidRPr="007E5633">
        <w:rPr>
          <w:rFonts w:ascii="Arial" w:hAnsi="Arial" w:cs="Arial"/>
          <w:lang w:val="uk-UA"/>
        </w:rPr>
        <w:lastRenderedPageBreak/>
        <w:t>Частина II : Аналіз існуючої законодавчої бази ЄС щодо спотової та ф'ючерсної торгівлі природним газом та електроенергією</w:t>
      </w:r>
      <w:bookmarkEnd w:id="9"/>
      <w:r w:rsidRPr="007E5633">
        <w:rPr>
          <w:rFonts w:ascii="Arial" w:hAnsi="Arial" w:cs="Arial"/>
          <w:lang w:val="uk-UA"/>
        </w:rPr>
        <w:t xml:space="preserve"> </w:t>
      </w:r>
      <w:bookmarkStart w:id="11" w:name="_Toc526775001"/>
      <w:bookmarkEnd w:id="10"/>
    </w:p>
    <w:p w14:paraId="7B4F826A" w14:textId="77777777" w:rsidR="00255E30" w:rsidRPr="007E5633" w:rsidRDefault="00255E30" w:rsidP="00EC6B00">
      <w:pPr>
        <w:pStyle w:val="FSHeader1"/>
        <w:keepNext w:val="0"/>
        <w:pageBreakBefore w:val="0"/>
        <w:numPr>
          <w:ilvl w:val="1"/>
          <w:numId w:val="7"/>
        </w:numPr>
        <w:spacing w:after="120"/>
        <w:ind w:left="434" w:hanging="434"/>
        <w:rPr>
          <w:rFonts w:ascii="Arial" w:hAnsi="Arial" w:cs="Arial"/>
          <w:sz w:val="26"/>
          <w:szCs w:val="26"/>
          <w:lang w:val="uk-UA"/>
        </w:rPr>
      </w:pPr>
      <w:bookmarkStart w:id="12" w:name="_Toc533093894"/>
      <w:r w:rsidRPr="007E5633">
        <w:rPr>
          <w:rFonts w:ascii="Arial" w:hAnsi="Arial" w:cs="Arial"/>
          <w:sz w:val="26"/>
          <w:szCs w:val="26"/>
          <w:lang w:val="uk-UA"/>
        </w:rPr>
        <w:t>Поточна спотова та форвардна торгівля та торговельні майданчики</w:t>
      </w:r>
      <w:bookmarkEnd w:id="11"/>
      <w:bookmarkEnd w:id="12"/>
    </w:p>
    <w:p w14:paraId="344B2627" w14:textId="77777777" w:rsidR="00255E30" w:rsidRPr="007E5633" w:rsidRDefault="00255E30" w:rsidP="00255E30">
      <w:pPr>
        <w:suppressAutoHyphens w:val="0"/>
        <w:autoSpaceDN/>
        <w:spacing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Операції на оптових енергетичних ринках можна завершити кількома способами:</w:t>
      </w:r>
    </w:p>
    <w:p w14:paraId="42037392" w14:textId="77777777" w:rsidR="005F1C42" w:rsidRPr="007E5633" w:rsidRDefault="00255E30" w:rsidP="0042516F">
      <w:pPr>
        <w:numPr>
          <w:ilvl w:val="0"/>
          <w:numId w:val="12"/>
        </w:numPr>
        <w:suppressAutoHyphens w:val="0"/>
        <w:autoSpaceDN/>
        <w:spacing w:after="0" w:line="240" w:lineRule="auto"/>
        <w:ind w:left="1332" w:hanging="720"/>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двостороннім шляхом переговорів з індивідуальним контрагентом;</w:t>
      </w:r>
    </w:p>
    <w:p w14:paraId="197573DF" w14:textId="77777777" w:rsidR="005F1C42" w:rsidRPr="007E5633" w:rsidRDefault="00255E30" w:rsidP="0042516F">
      <w:pPr>
        <w:numPr>
          <w:ilvl w:val="0"/>
          <w:numId w:val="12"/>
        </w:numPr>
        <w:suppressAutoHyphens w:val="0"/>
        <w:autoSpaceDN/>
        <w:spacing w:after="0" w:line="240" w:lineRule="auto"/>
        <w:ind w:left="1332" w:hanging="720"/>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через біржі, де кліринговий будинок біржі є центральним контрагентом для всіх транзакцій;</w:t>
      </w:r>
    </w:p>
    <w:p w14:paraId="49EADE98" w14:textId="77777777" w:rsidR="00255E30" w:rsidRPr="007E5633" w:rsidRDefault="00255E30" w:rsidP="0042516F">
      <w:pPr>
        <w:numPr>
          <w:ilvl w:val="0"/>
          <w:numId w:val="12"/>
        </w:numPr>
        <w:suppressAutoHyphens w:val="0"/>
        <w:autoSpaceDN/>
        <w:spacing w:after="0" w:line="240" w:lineRule="auto"/>
        <w:ind w:left="1332" w:hanging="720"/>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через посередників (брокерів), використовуючи електронні рішення або більш традиційний метод - розміщення замовлень по телефону.</w:t>
      </w:r>
    </w:p>
    <w:p w14:paraId="526A49FB" w14:textId="77777777" w:rsidR="00255E30" w:rsidRPr="007E5633" w:rsidRDefault="00255E30"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Метод торгівлі застосовується залежно від ряду факторів, включаючи ліквідність ринку, кількість учасників ринку, наявність біржі, стандартизацію продукції на ринку, вподобання (схильність) щодо управління ризиками та регуляторну базу.</w:t>
      </w:r>
    </w:p>
    <w:p w14:paraId="52A4F714" w14:textId="77777777" w:rsidR="00255E30" w:rsidRPr="007E5633" w:rsidRDefault="00255E30"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Компанії, що займаються торгівлею енергетичної продукції в ЄС, юридично відокремлені від інших видів компаній на ринку (генерація, управління мережею (передача і розподіл), а також поставка). Будь-які продажі або торгівля </w:t>
      </w:r>
      <w:r w:rsidR="005F3F2A" w:rsidRPr="005F3F2A">
        <w:rPr>
          <w:rFonts w:ascii="Arial" w:hAnsi="Arial" w:cs="Arial"/>
          <w:lang w:val="uk-UA"/>
        </w:rPr>
        <w:t>товарними контрактами</w:t>
      </w:r>
      <w:r w:rsidRPr="007E5633">
        <w:rPr>
          <w:rFonts w:ascii="Arial" w:eastAsia="Times New Roman" w:hAnsi="Arial" w:cs="Arial"/>
          <w:color w:val="000000"/>
          <w:lang w:val="uk-UA" w:eastAsia="ru-RU"/>
        </w:rPr>
        <w:t>, виробничими потужностями, деривативами, дозволами, як правило, здійснюються торговельними підрозділами енергетичних компаній. Торгівля здійснюється або на біржі, або на позабіржовому ринку.</w:t>
      </w:r>
    </w:p>
    <w:p w14:paraId="1DA78C64" w14:textId="77777777" w:rsidR="00255E30" w:rsidRPr="007E5633" w:rsidRDefault="00255E30" w:rsidP="00E4309C">
      <w:pPr>
        <w:autoSpaceDE w:val="0"/>
        <w:adjustRightInd w:val="0"/>
        <w:spacing w:after="0" w:line="240" w:lineRule="auto"/>
        <w:jc w:val="both"/>
        <w:rPr>
          <w:rFonts w:ascii="Arial" w:hAnsi="Arial" w:cs="Arial"/>
          <w:lang w:val="uk-UA"/>
        </w:rPr>
      </w:pPr>
    </w:p>
    <w:p w14:paraId="3FC18ECD" w14:textId="1726D185" w:rsidR="00E4309C" w:rsidRPr="007E5633" w:rsidRDefault="005F1C42" w:rsidP="00D72FA5">
      <w:pPr>
        <w:pStyle w:val="af1"/>
        <w:tabs>
          <w:tab w:val="clear" w:pos="7020"/>
          <w:tab w:val="clear" w:pos="7200"/>
          <w:tab w:val="left" w:pos="851"/>
        </w:tabs>
        <w:jc w:val="left"/>
        <w:rPr>
          <w:rFonts w:cs="Arial"/>
          <w:b w:val="0"/>
          <w:sz w:val="22"/>
          <w:szCs w:val="22"/>
          <w:lang w:val="uk-UA"/>
        </w:rPr>
      </w:pPr>
      <w:bookmarkStart w:id="13" w:name="_Toc428388842"/>
      <w:bookmarkStart w:id="14" w:name="_Toc533094028"/>
      <w:r w:rsidRPr="007E5633">
        <w:rPr>
          <w:rStyle w:val="notranslate"/>
          <w:rFonts w:cs="Arial"/>
          <w:bCs/>
          <w:color w:val="000000"/>
          <w:sz w:val="22"/>
          <w:lang w:val="uk-UA"/>
        </w:rPr>
        <w:t>Схема</w:t>
      </w:r>
      <w:r w:rsidR="00D72FA5" w:rsidRPr="007E5633">
        <w:rPr>
          <w:rFonts w:cs="Arial"/>
          <w:sz w:val="22"/>
          <w:szCs w:val="22"/>
          <w:lang w:val="uk-UA"/>
        </w:rPr>
        <w:t xml:space="preserve"> </w:t>
      </w:r>
      <w:r w:rsidR="00622EE2" w:rsidRPr="007E5633">
        <w:rPr>
          <w:rFonts w:cs="Arial"/>
          <w:sz w:val="22"/>
          <w:szCs w:val="22"/>
          <w:lang w:val="uk-UA"/>
        </w:rPr>
        <w:fldChar w:fldCharType="begin"/>
      </w:r>
      <w:r w:rsidR="00D72FA5"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w:t>
      </w:r>
      <w:r w:rsidR="00622EE2" w:rsidRPr="007E5633">
        <w:rPr>
          <w:rFonts w:cs="Arial"/>
          <w:sz w:val="22"/>
          <w:szCs w:val="22"/>
          <w:lang w:val="uk-UA"/>
        </w:rPr>
        <w:fldChar w:fldCharType="end"/>
      </w:r>
      <w:r w:rsidR="00D72FA5" w:rsidRPr="007E5633">
        <w:rPr>
          <w:rFonts w:cs="Arial"/>
          <w:sz w:val="22"/>
          <w:szCs w:val="22"/>
          <w:lang w:val="uk-UA"/>
        </w:rPr>
        <w:t>:</w:t>
      </w:r>
      <w:bookmarkEnd w:id="13"/>
      <w:r w:rsidR="00061AD9" w:rsidRPr="007E5633">
        <w:rPr>
          <w:rFonts w:cs="Arial"/>
          <w:sz w:val="22"/>
          <w:szCs w:val="22"/>
          <w:lang w:val="uk-UA"/>
        </w:rPr>
        <w:t xml:space="preserve"> </w:t>
      </w:r>
      <w:r w:rsidRPr="007E5633">
        <w:rPr>
          <w:rStyle w:val="notranslate"/>
          <w:rFonts w:cs="Arial"/>
          <w:bCs/>
          <w:color w:val="000000"/>
          <w:sz w:val="22"/>
          <w:lang w:val="uk-UA"/>
        </w:rPr>
        <w:t>Огляд торгівлі енергетичними продуктами</w:t>
      </w:r>
      <w:bookmarkEnd w:id="14"/>
    </w:p>
    <w:p w14:paraId="7F902A55" w14:textId="77777777" w:rsidR="00E4309C" w:rsidRPr="007E5633" w:rsidRDefault="00E4309C" w:rsidP="00E4309C">
      <w:pPr>
        <w:pStyle w:val="NormalGTP"/>
        <w:spacing w:line="240" w:lineRule="auto"/>
        <w:jc w:val="center"/>
        <w:rPr>
          <w:rFonts w:cs="Arial"/>
          <w:noProof w:val="0"/>
          <w:sz w:val="22"/>
          <w:lang w:val="uk-UA"/>
        </w:rPr>
      </w:pPr>
      <w:r w:rsidRPr="007E5633">
        <w:rPr>
          <w:rFonts w:cs="Arial"/>
          <w:sz w:val="22"/>
          <w:lang w:val="en-US"/>
        </w:rPr>
        <w:drawing>
          <wp:inline distT="0" distB="0" distL="0" distR="0" wp14:anchorId="2E57F9A8" wp14:editId="00116432">
            <wp:extent cx="5715000" cy="411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14:paraId="58B4F33E" w14:textId="77777777" w:rsidR="00E4309C" w:rsidRPr="007E5633" w:rsidRDefault="005F1C42" w:rsidP="00E4309C">
      <w:pPr>
        <w:pStyle w:val="NormalGTP"/>
        <w:spacing w:line="240" w:lineRule="auto"/>
        <w:jc w:val="left"/>
        <w:rPr>
          <w:rFonts w:cs="Arial"/>
          <w:noProof w:val="0"/>
          <w:sz w:val="22"/>
          <w:lang w:val="uk-UA"/>
        </w:rPr>
      </w:pPr>
      <w:r w:rsidRPr="007E5633">
        <w:rPr>
          <w:rFonts w:cs="Arial"/>
          <w:noProof w:val="0"/>
          <w:sz w:val="22"/>
          <w:lang w:val="uk-UA"/>
        </w:rPr>
        <w:t>Джерело: ЛЕБА (Лондонська асоціація енергетичних брокерів) 2017 року</w:t>
      </w:r>
    </w:p>
    <w:p w14:paraId="30E46ECF" w14:textId="77777777" w:rsidR="005F1C42" w:rsidRPr="007E5633" w:rsidRDefault="005F1C42" w:rsidP="005F1C42">
      <w:pPr>
        <w:suppressAutoHyphens w:val="0"/>
        <w:autoSpaceDN/>
        <w:spacing w:line="240" w:lineRule="auto"/>
        <w:jc w:val="both"/>
        <w:rPr>
          <w:rFonts w:ascii="Arial" w:eastAsia="Times New Roman" w:hAnsi="Arial" w:cs="Arial"/>
          <w:color w:val="000000"/>
          <w:sz w:val="27"/>
          <w:szCs w:val="27"/>
          <w:lang w:val="uk-UA" w:eastAsia="ru-RU"/>
        </w:rPr>
      </w:pPr>
      <w:bookmarkStart w:id="15" w:name="_Toc526775002"/>
      <w:r w:rsidRPr="007E5633">
        <w:rPr>
          <w:rFonts w:ascii="Arial" w:eastAsia="Times New Roman" w:hAnsi="Arial" w:cs="Arial"/>
          <w:b/>
          <w:bCs/>
          <w:color w:val="000000"/>
          <w:u w:val="single"/>
          <w:lang w:val="uk-UA" w:eastAsia="ru-RU"/>
        </w:rPr>
        <w:lastRenderedPageBreak/>
        <w:t>Для</w:t>
      </w:r>
      <w:r w:rsidRPr="007E5633">
        <w:rPr>
          <w:rFonts w:ascii="Arial" w:eastAsia="Times New Roman" w:hAnsi="Arial" w:cs="Arial"/>
          <w:b/>
          <w:color w:val="000000"/>
          <w:sz w:val="27"/>
          <w:u w:val="single"/>
          <w:lang w:val="uk-UA" w:eastAsia="ru-RU"/>
        </w:rPr>
        <w:t> </w:t>
      </w:r>
      <w:r w:rsidRPr="007E5633">
        <w:rPr>
          <w:rFonts w:ascii="Arial" w:eastAsia="Times New Roman" w:hAnsi="Arial" w:cs="Arial"/>
          <w:b/>
          <w:color w:val="000000"/>
          <w:u w:val="single"/>
          <w:lang w:val="uk-UA" w:eastAsia="ru-RU"/>
        </w:rPr>
        <w:t>ефективного функціонування європейських оптових енергетичних ринків</w:t>
      </w:r>
      <w:r w:rsidRPr="007E5633">
        <w:rPr>
          <w:rFonts w:ascii="Arial" w:eastAsia="Times New Roman" w:hAnsi="Arial" w:cs="Arial"/>
          <w:b/>
          <w:color w:val="000000"/>
          <w:sz w:val="27"/>
          <w:u w:val="single"/>
          <w:lang w:val="uk-UA" w:eastAsia="ru-RU"/>
        </w:rPr>
        <w:t> </w:t>
      </w:r>
      <w:r w:rsidRPr="007E5633">
        <w:rPr>
          <w:rFonts w:ascii="Arial" w:eastAsia="Times New Roman" w:hAnsi="Arial" w:cs="Arial"/>
          <w:b/>
          <w:bCs/>
          <w:color w:val="000000"/>
          <w:u w:val="single"/>
          <w:lang w:val="uk-UA" w:eastAsia="ru-RU"/>
        </w:rPr>
        <w:t>необхідний адекватний баланс між позабіржовою та біржовою торгівлею</w:t>
      </w:r>
      <w:r w:rsidRPr="007E5633">
        <w:rPr>
          <w:rFonts w:ascii="Arial" w:eastAsia="Times New Roman" w:hAnsi="Arial" w:cs="Arial"/>
          <w:color w:val="000000"/>
          <w:lang w:val="uk-UA" w:eastAsia="ru-RU"/>
        </w:rPr>
        <w:t>.</w:t>
      </w:r>
    </w:p>
    <w:p w14:paraId="467BDA82"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Хоча організовані ринкові майданчики, такі як бі</w:t>
      </w:r>
      <w:r w:rsidR="00492A6A" w:rsidRPr="007E5633">
        <w:rPr>
          <w:rFonts w:ascii="Arial" w:eastAsia="Times New Roman" w:hAnsi="Arial" w:cs="Arial"/>
          <w:color w:val="000000"/>
          <w:lang w:val="uk-UA" w:eastAsia="ru-RU"/>
        </w:rPr>
        <w:t xml:space="preserve">ржі енергопродуктів, пропонують </w:t>
      </w:r>
      <w:r w:rsidRPr="007E5633">
        <w:rPr>
          <w:rFonts w:ascii="Arial" w:eastAsia="Times New Roman" w:hAnsi="Arial" w:cs="Arial"/>
          <w:color w:val="000000"/>
          <w:lang w:val="uk-UA" w:eastAsia="ru-RU"/>
        </w:rPr>
        <w:t>зручність, зменшують ризик та надають спрощені можливості управління портфелем, позабіржова торгівля пропонує можливість укладати спеціалізовані або гнучкі угоди, які можуть доповнити стандартні продукти, що пропонуються біржами.</w:t>
      </w:r>
    </w:p>
    <w:p w14:paraId="187A88DE"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Конкурентне середовище між торговими майданчиками має позитивний ефект у просуванні найкращих практик для підтримки потреб ринку. Однак позабіржова торгівля часто є єдиним конкурентом для конкретної біржі на певному географічному чи товарному ринку. Конкурентний тиск, який створюють позабіржові ринки, допомагає забезпечити, щоб біржі зберігали свої комісії на розумному рівні.</w:t>
      </w:r>
    </w:p>
    <w:bookmarkEnd w:id="15"/>
    <w:p w14:paraId="2FE165BF" w14:textId="77777777" w:rsidR="005F1C42" w:rsidRPr="007E5633" w:rsidRDefault="005F1C42" w:rsidP="008C252E">
      <w:pPr>
        <w:suppressAutoHyphens w:val="0"/>
        <w:autoSpaceDN/>
        <w:spacing w:beforeLines="120" w:before="288" w:after="0" w:line="240" w:lineRule="auto"/>
        <w:ind w:firstLine="720"/>
        <w:jc w:val="both"/>
        <w:rPr>
          <w:rFonts w:ascii="Arial" w:eastAsia="Times New Roman" w:hAnsi="Arial" w:cs="Arial"/>
          <w:b/>
          <w:color w:val="000000"/>
          <w:lang w:val="uk-UA" w:eastAsia="ru-RU"/>
        </w:rPr>
      </w:pPr>
      <w:r w:rsidRPr="007E5633">
        <w:rPr>
          <w:rFonts w:ascii="Arial" w:eastAsia="Times New Roman" w:hAnsi="Arial" w:cs="Arial"/>
          <w:b/>
          <w:color w:val="000000"/>
          <w:lang w:val="uk-UA" w:eastAsia="ru-RU"/>
        </w:rPr>
        <w:t>Позабіржові платформи: двосторонні та брокерські</w:t>
      </w:r>
    </w:p>
    <w:p w14:paraId="75091398"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Існують різні причини не торгувати на біржі: транзакційні витрати та реєстраційні збори можуть бути занадто високими для деяких операцій, більш спеціалізовані, неліквідні продукти можуть не торгуватися на біржах, і не кожна біржа підтримує весь спектр фінансових деривативів і фізичних продуктів. З цієї причини найбільші обсяги торгів в Європі сьогодні припадають на позабіржову торгівлю, тобто безпосередньо між контрагентами, однак в більшості випадків за сприяння з боку брокерів.</w:t>
      </w:r>
    </w:p>
    <w:p w14:paraId="7841ABCC"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трейдери знають один одного, вони можуть мати прямий контакт і торгувати двостороннім шляхом без участі будь-якої третьої сторони. У таких випадках не потрібно платити за транзакцію або використання платформи, але, з іншого боку, ринок є менш прозорим. Багато невеликих комунальних підприємств, які практично торгують фізичними продуктами з кількома сусідніми контрагентами, здійснюють щоденний запит щодо пропозиції та придбання товарів на наступний день по телефону. В інших випадках невеликі комунальні підприємства співпрацюють через спільну торговельну компанію, яка активно працює на декількох брокерських та біржових платформах, агре</w:t>
      </w:r>
      <w:r w:rsidR="007E5633">
        <w:rPr>
          <w:rFonts w:ascii="Arial" w:eastAsia="Times New Roman" w:hAnsi="Arial" w:cs="Arial"/>
          <w:color w:val="000000"/>
          <w:lang w:val="uk-UA" w:eastAsia="ru-RU"/>
        </w:rPr>
        <w:t>гуючи</w:t>
      </w:r>
      <w:r w:rsidRPr="007E5633">
        <w:rPr>
          <w:rFonts w:ascii="Arial" w:eastAsia="Times New Roman" w:hAnsi="Arial" w:cs="Arial"/>
          <w:color w:val="000000"/>
          <w:lang w:val="uk-UA" w:eastAsia="ru-RU"/>
        </w:rPr>
        <w:t xml:space="preserve"> попит своїх учасників (чи акціонерів). У той же час ця торгова компанія проводить двосторонні угоди "</w:t>
      </w:r>
      <w:r w:rsidRPr="007E5633">
        <w:rPr>
          <w:rFonts w:ascii="Arial" w:hAnsi="Arial" w:cs="Arial"/>
          <w:lang w:val="uk-UA"/>
        </w:rPr>
        <w:t>back-to-back</w:t>
      </w:r>
      <w:r w:rsidRPr="007E5633">
        <w:rPr>
          <w:rFonts w:ascii="Arial" w:eastAsia="Times New Roman" w:hAnsi="Arial" w:cs="Arial"/>
          <w:color w:val="000000"/>
          <w:lang w:val="uk-UA" w:eastAsia="ru-RU"/>
        </w:rPr>
        <w:t>" (контакт на купівлі і одночасно контракт на продаж, тобто посередник у чистому вигляді) з кожним учасником, таким чином, що вони, по суті, приймають нейтральну позицію (тільки купив - одразу і продав). Покупці та продавці є прямими контрагентами у таких угодах.</w:t>
      </w:r>
    </w:p>
    <w:p w14:paraId="0A689B70"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Брокерські платформи використовуються трейдерами для розміщення пропозицій (пропозицій та запитів на купівлю або продаж, наприклад, на фізичний газ). Це робиться «ініціатором», пропозиція якого опублікована на брокерській платформі таким чином, щоб зацікавлені потенційні контрагенти могли закрити угоду, зазвичай, просто натиснувши на кнопочку на екрані брокера, де розміщена така пропозиція. Роль останнього називається «</w:t>
      </w:r>
      <w:r w:rsidRPr="007E5633">
        <w:rPr>
          <w:rFonts w:ascii="Arial" w:hAnsi="Arial" w:cs="Arial"/>
          <w:lang w:val="uk-UA"/>
        </w:rPr>
        <w:t>aggressor</w:t>
      </w:r>
      <w:r w:rsidRPr="007E5633">
        <w:rPr>
          <w:rFonts w:ascii="Arial" w:eastAsia="Times New Roman" w:hAnsi="Arial" w:cs="Arial"/>
          <w:color w:val="000000"/>
          <w:lang w:val="uk-UA" w:eastAsia="ru-RU"/>
        </w:rPr>
        <w:t>».</w:t>
      </w:r>
    </w:p>
    <w:p w14:paraId="6A1FC192"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Брокер може або виступати в якості «голосового» брокера (брокерські служби полегшують торгівлю між контрагентами, як правило, по телефону / факсу / електронній пошті), або брокери працюють на платформі, яка підтримує контрагентів, які укладають угоди, натискаючи на кнопки і шляхом виставлення пропозицій або приймання їх через екран трейдера. Голосові брокери не використовують платформу, але організовують торгівлю особисто шляхом координації дій між покупцями та продавцями по телефону та по електронній пошті. Угода закривається, коли покупець і продавець на двосторонній основі домовляються про цю угоду. Крім того, процедури закриття угод та розрахунків по ним є менш формальними. Брокери пропонують широкий асортимент товарів, що продаються на їхній платформі. Вони можуть бути "подібними" (однорідними, стандартизованими) продуктами, які визначаються біржами, або індивідуально розробленими інструмен</w:t>
      </w:r>
      <w:r w:rsidRPr="007E5633">
        <w:rPr>
          <w:rFonts w:ascii="Arial" w:eastAsia="Times New Roman" w:hAnsi="Arial" w:cs="Arial"/>
          <w:color w:val="000000"/>
          <w:lang w:val="uk-UA" w:eastAsia="ru-RU"/>
        </w:rPr>
        <w:lastRenderedPageBreak/>
        <w:t xml:space="preserve">тами. У будь-якому випадку, транзакція закривається безпосередньо між покупцем і продавцем, коли </w:t>
      </w:r>
      <w:r w:rsidRPr="007E5633">
        <w:rPr>
          <w:rFonts w:ascii="Arial" w:hAnsi="Arial" w:cs="Arial"/>
          <w:lang w:val="uk-UA"/>
        </w:rPr>
        <w:t xml:space="preserve">aggressor </w:t>
      </w:r>
      <w:r w:rsidRPr="007E5633">
        <w:rPr>
          <w:rFonts w:ascii="Arial" w:eastAsia="Times New Roman" w:hAnsi="Arial" w:cs="Arial"/>
          <w:color w:val="000000"/>
          <w:lang w:val="uk-UA" w:eastAsia="ru-RU"/>
        </w:rPr>
        <w:t>натискає пропозицію ініціатора. На відміну від бірж, брокерські платформи пропонують більшу гнучкість для менш ліквідних інструментів.</w:t>
      </w:r>
    </w:p>
    <w:p w14:paraId="5F51EC7B" w14:textId="14014EFF" w:rsidR="00E4309C" w:rsidRPr="007E5633" w:rsidRDefault="005F1C42" w:rsidP="00492A6A">
      <w:pPr>
        <w:pStyle w:val="af1"/>
        <w:tabs>
          <w:tab w:val="clear" w:pos="7020"/>
          <w:tab w:val="left" w:pos="1276"/>
        </w:tabs>
        <w:spacing w:before="120"/>
        <w:jc w:val="left"/>
        <w:rPr>
          <w:rFonts w:cs="Arial"/>
          <w:b w:val="0"/>
          <w:sz w:val="22"/>
          <w:szCs w:val="22"/>
          <w:lang w:val="uk-UA"/>
        </w:rPr>
      </w:pPr>
      <w:bookmarkStart w:id="16" w:name="_Toc428388901"/>
      <w:bookmarkStart w:id="17" w:name="_Toc533094029"/>
      <w:r w:rsidRPr="007E5633">
        <w:rPr>
          <w:rStyle w:val="notranslate"/>
          <w:rFonts w:cs="Arial"/>
          <w:bCs/>
          <w:color w:val="000000"/>
          <w:sz w:val="22"/>
          <w:szCs w:val="22"/>
          <w:lang w:val="uk-UA"/>
        </w:rPr>
        <w:t>Схема</w:t>
      </w:r>
      <w:r w:rsidR="00D72FA5" w:rsidRPr="007E5633">
        <w:rPr>
          <w:rFonts w:cs="Arial"/>
          <w:sz w:val="22"/>
          <w:szCs w:val="22"/>
          <w:lang w:val="uk-UA"/>
        </w:rPr>
        <w:t xml:space="preserve"> </w:t>
      </w:r>
      <w:r w:rsidR="00622EE2" w:rsidRPr="007E5633">
        <w:rPr>
          <w:rFonts w:cs="Arial"/>
          <w:sz w:val="22"/>
          <w:szCs w:val="22"/>
          <w:lang w:val="uk-UA"/>
        </w:rPr>
        <w:fldChar w:fldCharType="begin"/>
      </w:r>
      <w:r w:rsidR="00D72FA5"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w:t>
      </w:r>
      <w:r w:rsidR="00622EE2" w:rsidRPr="007E5633">
        <w:rPr>
          <w:rFonts w:cs="Arial"/>
          <w:sz w:val="22"/>
          <w:szCs w:val="22"/>
          <w:lang w:val="uk-UA"/>
        </w:rPr>
        <w:fldChar w:fldCharType="end"/>
      </w:r>
      <w:r w:rsidR="00E4309C" w:rsidRPr="007E5633">
        <w:rPr>
          <w:rFonts w:cs="Arial"/>
          <w:sz w:val="22"/>
          <w:szCs w:val="22"/>
          <w:lang w:val="uk-UA"/>
        </w:rPr>
        <w:t>:</w:t>
      </w:r>
      <w:bookmarkEnd w:id="16"/>
      <w:r w:rsidR="00061AD9" w:rsidRPr="007E5633">
        <w:rPr>
          <w:rFonts w:cs="Arial"/>
          <w:sz w:val="22"/>
          <w:szCs w:val="22"/>
          <w:lang w:val="uk-UA"/>
        </w:rPr>
        <w:t xml:space="preserve"> </w:t>
      </w:r>
      <w:r w:rsidRPr="007E5633">
        <w:rPr>
          <w:rFonts w:cs="Arial"/>
          <w:sz w:val="22"/>
          <w:szCs w:val="22"/>
          <w:lang w:val="uk-UA"/>
        </w:rPr>
        <w:t>Список європейських енергетичних брокерів</w:t>
      </w:r>
      <w:bookmarkEnd w:id="17"/>
    </w:p>
    <w:p w14:paraId="64EA20D8" w14:textId="77777777" w:rsidR="00E4309C" w:rsidRPr="007E5633" w:rsidRDefault="00E4309C" w:rsidP="00E4309C">
      <w:pPr>
        <w:spacing w:line="240" w:lineRule="auto"/>
        <w:jc w:val="center"/>
        <w:rPr>
          <w:rFonts w:ascii="Arial" w:hAnsi="Arial" w:cs="Arial"/>
          <w:lang w:val="uk-UA"/>
        </w:rPr>
      </w:pPr>
      <w:r w:rsidRPr="007E5633">
        <w:rPr>
          <w:rFonts w:ascii="Arial" w:hAnsi="Arial" w:cs="Arial"/>
          <w:noProof/>
          <w:lang w:val="en-US"/>
        </w:rPr>
        <w:drawing>
          <wp:inline distT="0" distB="0" distL="0" distR="0" wp14:anchorId="363D948D" wp14:editId="7378BC83">
            <wp:extent cx="5886450" cy="42767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4276725"/>
                    </a:xfrm>
                    <a:prstGeom prst="rect">
                      <a:avLst/>
                    </a:prstGeom>
                    <a:noFill/>
                    <a:ln>
                      <a:noFill/>
                    </a:ln>
                  </pic:spPr>
                </pic:pic>
              </a:graphicData>
            </a:graphic>
          </wp:inline>
        </w:drawing>
      </w:r>
    </w:p>
    <w:p w14:paraId="04FAE978" w14:textId="77777777" w:rsidR="00E4309C" w:rsidRPr="007E5633" w:rsidRDefault="005F1C42" w:rsidP="00E4309C">
      <w:pPr>
        <w:pStyle w:val="sourceACN"/>
        <w:rPr>
          <w:rFonts w:eastAsia="Calibri" w:cs="Arial"/>
          <w:sz w:val="22"/>
          <w:szCs w:val="22"/>
          <w:lang w:val="uk-UA"/>
        </w:rPr>
      </w:pPr>
      <w:r w:rsidRPr="007E5633">
        <w:rPr>
          <w:rFonts w:cs="Arial"/>
          <w:i w:val="0"/>
          <w:color w:val="000000"/>
          <w:sz w:val="22"/>
          <w:szCs w:val="22"/>
          <w:lang w:val="uk-UA" w:eastAsia="ru-RU"/>
        </w:rPr>
        <w:t>Джерело</w:t>
      </w:r>
      <w:r w:rsidR="00E4309C" w:rsidRPr="007E5633">
        <w:rPr>
          <w:rFonts w:eastAsia="Calibri" w:cs="Arial"/>
          <w:sz w:val="22"/>
          <w:szCs w:val="22"/>
          <w:lang w:val="uk-UA"/>
        </w:rPr>
        <w:t xml:space="preserve"> </w:t>
      </w:r>
      <w:hyperlink r:id="rId12" w:history="1">
        <w:r w:rsidR="00E4309C" w:rsidRPr="007E5633">
          <w:rPr>
            <w:rFonts w:eastAsia="Calibri" w:cs="Arial"/>
            <w:color w:val="0000FF"/>
            <w:sz w:val="22"/>
            <w:szCs w:val="22"/>
            <w:u w:val="single"/>
            <w:lang w:val="uk-UA"/>
          </w:rPr>
          <w:t>https://www.acer-remit.eu/portal/organised-marketplaces</w:t>
        </w:r>
      </w:hyperlink>
    </w:p>
    <w:p w14:paraId="28DB62C2" w14:textId="77777777" w:rsidR="005F1C42" w:rsidRPr="007E5633" w:rsidRDefault="005F1C42" w:rsidP="00492A6A">
      <w:pPr>
        <w:suppressAutoHyphens w:val="0"/>
        <w:autoSpaceDN/>
        <w:spacing w:before="120" w:after="0" w:line="240" w:lineRule="auto"/>
        <w:ind w:firstLine="720"/>
        <w:jc w:val="both"/>
        <w:rPr>
          <w:rFonts w:ascii="Arial" w:eastAsia="Times New Roman" w:hAnsi="Arial" w:cs="Arial"/>
          <w:color w:val="000000"/>
          <w:lang w:val="uk-UA" w:eastAsia="ru-RU"/>
        </w:rPr>
      </w:pPr>
      <w:bookmarkStart w:id="18" w:name="_Toc526800224"/>
      <w:r w:rsidRPr="007E5633">
        <w:rPr>
          <w:rFonts w:ascii="Arial" w:eastAsia="Times New Roman" w:hAnsi="Arial" w:cs="Arial"/>
          <w:b/>
          <w:bCs/>
          <w:color w:val="000000"/>
          <w:lang w:val="uk-UA" w:eastAsia="ru-RU"/>
        </w:rPr>
        <w:t>Процес проходження транзакції</w:t>
      </w:r>
      <w:bookmarkEnd w:id="18"/>
    </w:p>
    <w:p w14:paraId="03686EDE"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Сьогодні всі європейські позабіржові газо- та енергетичні платформи працюють за технологією GlobalVision, що надається компанією Trayport Limited ( Globalvision BTS). Сьогоднішні платформи - це гібридні (голосові та екранні) системи, що використовують GlobalVision, яка відображає усі ставки (пропозиції) по кожній ціні на ринку та пропозиції для всіх енергетичних контрактів, що звичайно торгуються.</w:t>
      </w:r>
    </w:p>
    <w:p w14:paraId="5871EB93"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GlobalVision - це повністю прозора система в реальному часі, без імен (тобто назви контрагентів видно лише після виконання і лише контрагентам по певній угоді). Система дозволяє учасникам ринку бачити повну глибину ринку ("стек") в режимі реального часу з можливістю переглядати кілька ставок і пропозицій за різними цінами та обсягами.</w:t>
      </w:r>
    </w:p>
    <w:p w14:paraId="256757B2"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Пропозиції по всіх рівнях якості щодо різних європейських газових вузлів та національних електричних мереж відображаються на екрані від «на день» до «на кілька років». Учасники ринку можуть публікувати ставки та пропозиції безпосередньо на екрані платформи із зазначенням ціни, обсягу та вподобань щодо деталей розрахунків.</w:t>
      </w:r>
    </w:p>
    <w:p w14:paraId="089C13B8"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ринки переважно є двосторонніми, торговельна система спирається на кредитну матрицю, яка визначає, які сторони можуть торгувати одна з одним. Кредитна матриця заповнюється відповідно до інформації, наданої учасниками ринку до торгових майданчиків.</w:t>
      </w:r>
    </w:p>
    <w:p w14:paraId="66AD3B54" w14:textId="77777777" w:rsidR="005F1C42" w:rsidRPr="007E5633" w:rsidRDefault="005F1C42" w:rsidP="00492A6A">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lastRenderedPageBreak/>
        <w:t>Це дає змогу учасникам ринку обрати контрагентів, з якими вони комфортно можуть торгувати, і виставляти будь-які конкретні торгівельні ліміти. Таким чином, учасники ринку можуть керувати своїм контрагентом ризиком на постійній основі в режимі реального часу. Як тільки будь-які замовлення співпадають і торгівля виконується, ціна та кількість відображаються на ринку.</w:t>
      </w:r>
    </w:p>
    <w:p w14:paraId="1EC9FC48" w14:textId="623B2E7C" w:rsidR="00E4309C" w:rsidRPr="007E5633" w:rsidRDefault="005F1C42" w:rsidP="00316104">
      <w:pPr>
        <w:pStyle w:val="af1"/>
        <w:tabs>
          <w:tab w:val="clear" w:pos="7020"/>
          <w:tab w:val="left" w:pos="1276"/>
        </w:tabs>
        <w:spacing w:before="120"/>
        <w:jc w:val="left"/>
        <w:rPr>
          <w:rFonts w:cs="Arial"/>
          <w:sz w:val="22"/>
          <w:szCs w:val="22"/>
          <w:lang w:val="uk-UA"/>
        </w:rPr>
      </w:pPr>
      <w:bookmarkStart w:id="19" w:name="_Toc428388897"/>
      <w:bookmarkStart w:id="20" w:name="_Toc533094030"/>
      <w:r w:rsidRPr="007E5633">
        <w:rPr>
          <w:rFonts w:cs="Arial"/>
          <w:bCs/>
          <w:color w:val="000000"/>
          <w:sz w:val="22"/>
          <w:szCs w:val="22"/>
          <w:lang w:val="uk-UA" w:eastAsia="ru-RU"/>
        </w:rPr>
        <w:t>Схема</w:t>
      </w:r>
      <w:r w:rsidR="00D72FA5" w:rsidRPr="007E5633">
        <w:rPr>
          <w:rFonts w:cs="Arial"/>
          <w:sz w:val="22"/>
          <w:szCs w:val="22"/>
          <w:lang w:val="uk-UA"/>
        </w:rPr>
        <w:t xml:space="preserve"> </w:t>
      </w:r>
      <w:r w:rsidR="00622EE2" w:rsidRPr="007E5633">
        <w:rPr>
          <w:rFonts w:cs="Arial"/>
          <w:sz w:val="22"/>
          <w:szCs w:val="22"/>
          <w:lang w:val="uk-UA"/>
        </w:rPr>
        <w:fldChar w:fldCharType="begin"/>
      </w:r>
      <w:r w:rsidR="00D72FA5"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w:t>
      </w:r>
      <w:r w:rsidR="00622EE2" w:rsidRPr="007E5633">
        <w:rPr>
          <w:rFonts w:cs="Arial"/>
          <w:sz w:val="22"/>
          <w:szCs w:val="22"/>
          <w:lang w:val="uk-UA"/>
        </w:rPr>
        <w:fldChar w:fldCharType="end"/>
      </w:r>
      <w:r w:rsidR="00E4309C" w:rsidRPr="007E5633">
        <w:rPr>
          <w:rFonts w:cs="Arial"/>
          <w:sz w:val="22"/>
          <w:szCs w:val="22"/>
          <w:lang w:val="uk-UA"/>
        </w:rPr>
        <w:t>:</w:t>
      </w:r>
      <w:bookmarkEnd w:id="19"/>
      <w:r w:rsidR="00061AD9" w:rsidRPr="007E5633">
        <w:rPr>
          <w:rFonts w:cs="Arial"/>
          <w:sz w:val="22"/>
          <w:szCs w:val="22"/>
          <w:lang w:val="uk-UA"/>
        </w:rPr>
        <w:t xml:space="preserve"> </w:t>
      </w:r>
      <w:r w:rsidRPr="007E5633">
        <w:rPr>
          <w:rFonts w:cs="Arial"/>
          <w:bCs/>
          <w:color w:val="000000"/>
          <w:sz w:val="22"/>
          <w:szCs w:val="22"/>
          <w:lang w:val="uk-UA" w:eastAsia="ru-RU"/>
        </w:rPr>
        <w:t>Архітектура Trayport GlobalVision</w:t>
      </w:r>
      <w:bookmarkEnd w:id="20"/>
    </w:p>
    <w:p w14:paraId="45E005D0" w14:textId="77777777" w:rsidR="00E4309C" w:rsidRPr="007E5633" w:rsidRDefault="00E4309C" w:rsidP="00E4309C">
      <w:pPr>
        <w:pStyle w:val="NormalGTP"/>
        <w:spacing w:line="240" w:lineRule="auto"/>
        <w:rPr>
          <w:rFonts w:cs="Arial"/>
          <w:noProof w:val="0"/>
          <w:sz w:val="22"/>
          <w:lang w:val="uk-UA"/>
        </w:rPr>
      </w:pPr>
      <w:r w:rsidRPr="007E5633">
        <w:rPr>
          <w:rFonts w:cs="Arial"/>
          <w:sz w:val="22"/>
          <w:lang w:val="en-US"/>
        </w:rPr>
        <w:drawing>
          <wp:inline distT="0" distB="0" distL="0" distR="0" wp14:anchorId="79E4EC84" wp14:editId="5E5278C4">
            <wp:extent cx="5762625" cy="48672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867275"/>
                    </a:xfrm>
                    <a:prstGeom prst="rect">
                      <a:avLst/>
                    </a:prstGeom>
                    <a:noFill/>
                    <a:ln>
                      <a:noFill/>
                    </a:ln>
                  </pic:spPr>
                </pic:pic>
              </a:graphicData>
            </a:graphic>
          </wp:inline>
        </w:drawing>
      </w:r>
    </w:p>
    <w:p w14:paraId="3E4BC41F"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 сфері позабіржової торгівлі забезпечення (перевірка) відповідності підтвердження (confirmation matching) є основним процесом для збереження відповідності (точності) торговельних даних у торговельних організаціях: після проведення позабіржової угоди обидві сторони вводять свої дані по угоді в свою відповідну систему ETRM (система торгівлі енергопродуктами та управління ризиками). Частково це робиться автоматично, бо брокери підтримують електронний обмін даними з трейдерами, але частково це вимагає додаткової ручної роботи з кожного боку (для двосторонніх угод, а також з метою глибшої деталізації даних, що вводяться брокерами). З цієї причини дані про угоди в системах покупця та продавця можуть дещо відрізнятися через помилки або через застосовувати різних схем розрахунків.</w:t>
      </w:r>
    </w:p>
    <w:p w14:paraId="7BAF9EA4"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такі відхилення можуть призводити до різних оцінок позиції та, у гіршому випадку, до різних обсягів, визначених TSO, тому максимальним ризиком є ​​дисбаланс у мережі та, відповідно, високі затрати, які будуть понесені трейдером за резервний ен</w:t>
      </w:r>
      <w:r w:rsidR="007E5633">
        <w:rPr>
          <w:rFonts w:ascii="Arial" w:eastAsia="Times New Roman" w:hAnsi="Arial" w:cs="Arial"/>
          <w:color w:val="000000"/>
          <w:lang w:val="uk-UA" w:eastAsia="ru-RU"/>
        </w:rPr>
        <w:t>е</w:t>
      </w:r>
      <w:r w:rsidRPr="007E5633">
        <w:rPr>
          <w:rFonts w:ascii="Arial" w:eastAsia="Times New Roman" w:hAnsi="Arial" w:cs="Arial"/>
          <w:color w:val="000000"/>
          <w:lang w:val="uk-UA" w:eastAsia="ru-RU"/>
        </w:rPr>
        <w:t xml:space="preserve">ргопродукт. Через це обидві сторони створюють письмових (електронних) підтвердження про угоду по кожній угоді і передають його на іншій стороні. Я правило, обидві сторони </w:t>
      </w:r>
      <w:r w:rsidRPr="007E5633">
        <w:rPr>
          <w:rFonts w:ascii="Arial" w:eastAsia="Times New Roman" w:hAnsi="Arial" w:cs="Arial"/>
          <w:color w:val="000000"/>
          <w:lang w:val="uk-UA" w:eastAsia="ru-RU"/>
        </w:rPr>
        <w:lastRenderedPageBreak/>
        <w:t>(трейдери) узгоджують дані з отриманих підтверджень по угодах зі своїми внутрішніми даними ETRM і намагаються виявляти невідповідності. Через те, що виявлення невідповідностей є складним і ризикованим процесом (не кожна розбіжність виявляється, якщо процес здійснюється працівниками бек-офісів), підтвердження відповідності сьогодні вже автоматизоване і стало частиною процесу закриття угоди (процесінгу).</w:t>
      </w:r>
    </w:p>
    <w:p w14:paraId="1B66016D"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Таким чином, існуюча система GlobalVision пропонує надійну прозорість до і після проведення угоди, що дозволяє учасникам ринку бачити повну глибину ринкових попиту та пропозиції щодо конкретних контрактів у режимі реального часу. Публікація інформації щодо виконаних угод на ринку гарантує, що учасники зможуть відстежувати в реальному часі ціну конкретних контрактів на prompt (до місяця) та curve (більше місяця) ринках. Система кредитних матриць також гарантує, що учасники ринку зможуть точно оцінювати ризики (керувати профілями ризику).</w:t>
      </w:r>
    </w:p>
    <w:p w14:paraId="33517236"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Учасники ринку також можуть придбати ринкові дані та аналітику від операторів платформи та постачальників даних, які постачають реальні дані, історичні та похідні (аналітичні) дані.</w:t>
      </w:r>
    </w:p>
    <w:p w14:paraId="5697639F" w14:textId="77777777" w:rsidR="005F1C42" w:rsidRPr="007E5633" w:rsidRDefault="005F1C42" w:rsidP="005F1C42">
      <w:pPr>
        <w:suppressAutoHyphens w:val="0"/>
        <w:autoSpaceDN/>
        <w:spacing w:before="120" w:after="120" w:line="282" w:lineRule="atLeast"/>
        <w:ind w:firstLine="720"/>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Краща практика виконання угод та «розумний підхід»</w:t>
      </w:r>
    </w:p>
    <w:p w14:paraId="08D5BB15"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Фізичний газ та електроенергія сьогодні торгуються відповідно до дискреційних (на розсуд оператора платформи) правил типу OTF. За цими правилами, потенційно відповідні (співпадаючі, такі, що підходять) замовлення передаються оператору платформи, який визначає, чи відповідають замовлення і чи виконати транзакцію.</w:t>
      </w:r>
    </w:p>
    <w:p w14:paraId="0A76D2D3"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ринки значною мірою є двосторонніми, </w:t>
      </w:r>
      <w:r w:rsidRPr="007E5633">
        <w:rPr>
          <w:rFonts w:ascii="Arial" w:eastAsia="Times New Roman" w:hAnsi="Arial" w:cs="Arial"/>
          <w:b/>
          <w:color w:val="000000"/>
          <w:lang w:val="uk-UA" w:eastAsia="ru-RU"/>
        </w:rPr>
        <w:t>дискреційний (на розсуд) елемент</w:t>
      </w:r>
      <w:r w:rsidRPr="007E5633">
        <w:rPr>
          <w:rFonts w:ascii="Arial" w:eastAsia="Times New Roman" w:hAnsi="Arial" w:cs="Arial"/>
          <w:color w:val="000000"/>
          <w:lang w:val="uk-UA" w:eastAsia="ru-RU"/>
        </w:rPr>
        <w:t> майданчиків є життєво важливим для їх ефективної роботи. Основна причина цього полягає в тому, що він дозволяє оператору платформи керувати будь-якими кредитними невідповідностями у випадках, коли два потенційні контрагенти по угоді не можуть виконати угоду через погані кредитні відносини. У цьому випадку зазвичай оператор платформи вдається до пошуку третього контрагента, який має гарні кредитні відносини з першими двома контрагентами, щоб угода пройшла через нього (тобто він купує у одного учасника і продає іншому учаснику. Така операція називається «угода з прокладкою». </w:t>
      </w:r>
    </w:p>
    <w:p w14:paraId="0B8292FE"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Для того, щоб бути MTF, купівля та продаж фінансових інструментів MiFID в цих системах повинні регулюватися недискреційними правилами таким чином, що приводить до укладення контрактів. Оскільки правила повинні бути недискреційні, після того як в систему надходять замовлення та котирування, оператор MTF не повинен визначати на свій розсуд те, яким чином учасники взаємодіють між собою. Замість цього оператор MTF повинен встановлювати правила, що регулюють функціонування системи та характеристики цінових котирувань та замовлень (наприклад, їх ціну та час надходження в систему), які визначають фінальні угоди. У цьому плані MTF можна протиставити OTF, оскільки оператор OTF зобов'язаний виконувати замовлення на основі використання власного розсуду.</w:t>
      </w:r>
    </w:p>
    <w:p w14:paraId="2B4DBF71" w14:textId="77777777" w:rsidR="005F1C42" w:rsidRPr="007E5633" w:rsidRDefault="005F1C42" w:rsidP="003F0D83">
      <w:pPr>
        <w:shd w:val="clear" w:color="auto" w:fill="FFFFFF"/>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Виконання замовлення на OTF має здійснюватися на власний розсуд. На відміну від роботи MTF або регульованого ринку, оператор OTF повинен керуватися власним розсудом у будь-якому з двох або в обох випадках:</w:t>
      </w:r>
    </w:p>
    <w:p w14:paraId="60B6091F" w14:textId="77777777" w:rsidR="005F1C42" w:rsidRPr="007E5633" w:rsidRDefault="005F1C42" w:rsidP="0042516F">
      <w:pPr>
        <w:numPr>
          <w:ilvl w:val="0"/>
          <w:numId w:val="13"/>
        </w:numPr>
        <w:shd w:val="clear" w:color="auto" w:fill="FFFFFF"/>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розміщення / відкликання замовлень клієнта;</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або</w:t>
      </w:r>
    </w:p>
    <w:p w14:paraId="4288D782" w14:textId="77777777" w:rsidR="005F1C42" w:rsidRPr="007E5633" w:rsidRDefault="005F1C42" w:rsidP="0042516F">
      <w:pPr>
        <w:numPr>
          <w:ilvl w:val="0"/>
          <w:numId w:val="13"/>
        </w:numPr>
        <w:shd w:val="clear" w:color="auto" w:fill="FFFFFF"/>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встановлення відповідності</w:t>
      </w:r>
      <w:r w:rsidRPr="007E5633">
        <w:rPr>
          <w:rFonts w:ascii="Arial" w:eastAsia="Times New Roman" w:hAnsi="Arial" w:cs="Arial"/>
          <w:color w:val="31417A"/>
          <w:lang w:val="uk-UA" w:eastAsia="ru-RU"/>
        </w:rPr>
        <w:t> (</w:t>
      </w:r>
      <w:r w:rsidRPr="007E5633">
        <w:rPr>
          <w:rFonts w:ascii="Arial" w:hAnsi="Arial" w:cs="Arial"/>
          <w:lang w:val="uk-UA"/>
        </w:rPr>
        <w:t>matching</w:t>
      </w:r>
      <w:r w:rsidRPr="007E5633">
        <w:rPr>
          <w:rFonts w:ascii="Arial" w:eastAsia="Times New Roman" w:hAnsi="Arial" w:cs="Arial"/>
          <w:color w:val="31417A"/>
          <w:lang w:val="uk-UA" w:eastAsia="ru-RU"/>
        </w:rPr>
        <w:t xml:space="preserve">) </w:t>
      </w:r>
      <w:r w:rsidRPr="007E5633">
        <w:rPr>
          <w:rFonts w:ascii="Arial" w:eastAsia="Times New Roman" w:hAnsi="Arial" w:cs="Arial"/>
          <w:color w:val="000000"/>
          <w:lang w:val="uk-UA" w:eastAsia="ru-RU"/>
        </w:rPr>
        <w:t>клієнтських замовлень.</w:t>
      </w:r>
    </w:p>
    <w:p w14:paraId="16C069A0" w14:textId="77777777" w:rsidR="005F1C42" w:rsidRPr="007E5633" w:rsidRDefault="005F1C42" w:rsidP="003F0D83">
      <w:pPr>
        <w:shd w:val="clear" w:color="auto" w:fill="FFFFFF"/>
        <w:suppressAutoHyphens w:val="0"/>
        <w:autoSpaceDN/>
        <w:spacing w:before="120" w:after="0" w:line="240" w:lineRule="auto"/>
        <w:ind w:hanging="284"/>
        <w:rPr>
          <w:rFonts w:ascii="Arial" w:eastAsia="Times New Roman" w:hAnsi="Arial" w:cs="Arial"/>
          <w:color w:val="000000"/>
          <w:lang w:val="uk-UA" w:eastAsia="ru-RU"/>
        </w:rPr>
      </w:pPr>
      <w:r w:rsidRPr="007E5633">
        <w:rPr>
          <w:rFonts w:ascii="Arial" w:eastAsia="Times New Roman" w:hAnsi="Arial" w:cs="Arial"/>
          <w:color w:val="000000"/>
          <w:lang w:val="uk-UA" w:eastAsia="ru-RU"/>
        </w:rPr>
        <w:t> </w:t>
      </w:r>
    </w:p>
    <w:p w14:paraId="6EA0D8F8"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Використовуючи свій розсуд, оператор повинен дотримуватися вимоги, передбаченої статтею 18 </w:t>
      </w:r>
      <w:r w:rsidRPr="007E5633">
        <w:rPr>
          <w:rFonts w:ascii="Arial" w:hAnsi="Arial" w:cs="Arial"/>
          <w:lang w:val="uk-UA"/>
        </w:rPr>
        <w:t>MiFID</w:t>
      </w:r>
      <w:r w:rsidRPr="007E5633">
        <w:rPr>
          <w:rFonts w:ascii="Arial" w:eastAsia="Times New Roman" w:hAnsi="Arial" w:cs="Arial"/>
          <w:color w:val="000000"/>
          <w:lang w:val="uk-UA" w:eastAsia="ru-RU"/>
        </w:rPr>
        <w:t xml:space="preserve">, для встановлення об'єктивних критеріїв для ефективного виконання </w:t>
      </w:r>
      <w:r w:rsidRPr="007E5633">
        <w:rPr>
          <w:rFonts w:ascii="Arial" w:eastAsia="Times New Roman" w:hAnsi="Arial" w:cs="Arial"/>
          <w:color w:val="000000"/>
          <w:lang w:val="uk-UA" w:eastAsia="ru-RU"/>
        </w:rPr>
        <w:lastRenderedPageBreak/>
        <w:t>замовлень, а також повинен відповідати </w:t>
      </w:r>
      <w:r w:rsidRPr="007E5633">
        <w:rPr>
          <w:rFonts w:ascii="Arial" w:eastAsia="Times New Roman" w:hAnsi="Arial" w:cs="Arial"/>
          <w:b/>
          <w:bCs/>
          <w:color w:val="000000"/>
          <w:lang w:val="uk-UA" w:eastAsia="ru-RU"/>
        </w:rPr>
        <w:t>найкращим вимогам щодо виконання</w:t>
      </w:r>
      <w:r w:rsidRPr="007E5633">
        <w:rPr>
          <w:rFonts w:ascii="Arial" w:eastAsia="Times New Roman" w:hAnsi="Arial" w:cs="Arial"/>
          <w:color w:val="000000"/>
          <w:lang w:val="uk-UA" w:eastAsia="ru-RU"/>
        </w:rPr>
        <w:t> згідно зі статтею 27 MiFID.</w:t>
      </w:r>
    </w:p>
    <w:p w14:paraId="2BB084A0"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 статті 27 Директиви MiFID II зазначено, що інвестиційна фірма повинна вжити всіх необхідних заходів для отримання найкращого результату для свого клієнта при виконанні клієнтського замовлення через біржові майданчики або на позабіржовому ринку з урахуванням певних факторів виконання:</w:t>
      </w:r>
    </w:p>
    <w:p w14:paraId="2DDCC292"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Ціна</w:t>
      </w:r>
      <w:r w:rsidR="00FA7B75">
        <w:rPr>
          <w:rFonts w:ascii="Arial" w:eastAsia="Times New Roman" w:hAnsi="Arial" w:cs="Arial"/>
          <w:color w:val="000000"/>
          <w:lang w:val="uk-UA" w:eastAsia="ru-RU"/>
        </w:rPr>
        <w:t>;</w:t>
      </w:r>
    </w:p>
    <w:p w14:paraId="092129B8"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Витрати</w:t>
      </w:r>
      <w:r w:rsidR="00FA7B75">
        <w:rPr>
          <w:rFonts w:ascii="Arial" w:eastAsia="Times New Roman" w:hAnsi="Arial" w:cs="Arial"/>
          <w:color w:val="000000"/>
          <w:lang w:val="uk-UA" w:eastAsia="ru-RU"/>
        </w:rPr>
        <w:t>;</w:t>
      </w:r>
    </w:p>
    <w:p w14:paraId="584A20AE"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Швидкість</w:t>
      </w:r>
      <w:r w:rsidR="00FA7B75">
        <w:rPr>
          <w:rFonts w:ascii="Arial" w:eastAsia="Times New Roman" w:hAnsi="Arial" w:cs="Arial"/>
          <w:color w:val="000000"/>
          <w:lang w:val="uk-UA" w:eastAsia="ru-RU"/>
        </w:rPr>
        <w:t>;</w:t>
      </w:r>
    </w:p>
    <w:p w14:paraId="2ED48CD4"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ймовірність виконання та розрахунків;</w:t>
      </w:r>
    </w:p>
    <w:p w14:paraId="2B2B5DC9"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розмір, а також</w:t>
      </w:r>
    </w:p>
    <w:p w14:paraId="39B9A769" w14:textId="77777777" w:rsidR="005F1C42" w:rsidRPr="007E5633" w:rsidRDefault="005F1C42" w:rsidP="0042516F">
      <w:pPr>
        <w:numPr>
          <w:ilvl w:val="0"/>
          <w:numId w:val="14"/>
        </w:numPr>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будь-які</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інші питання, пов'язані з виконанням замовлення.</w:t>
      </w:r>
    </w:p>
    <w:p w14:paraId="2258343F" w14:textId="77777777" w:rsidR="005F1C42" w:rsidRPr="007E5633" w:rsidRDefault="005F1C42" w:rsidP="003F0D8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Згідно з даними ESMA, компанії повинні забезпечити, щоб очікувані результати могли бути успішно досягнуті на постійній основі. ESMA вважає, що це вимагатиме від компаній моніторингу не тільки якості виконання, але й якості та доцільності їхніх механізмів виконання та політики на основі ex-ante та ex-post, щоб визначити, чи потрібні якісь зміни.</w:t>
      </w:r>
    </w:p>
    <w:p w14:paraId="2CD92B35" w14:textId="77777777" w:rsidR="00E4309C" w:rsidRPr="007E5633" w:rsidRDefault="005F1C42" w:rsidP="00B83D6C">
      <w:pPr>
        <w:pStyle w:val="FSHeader1"/>
        <w:keepNext w:val="0"/>
        <w:pageBreakBefore w:val="0"/>
        <w:numPr>
          <w:ilvl w:val="2"/>
          <w:numId w:val="7"/>
        </w:numPr>
        <w:tabs>
          <w:tab w:val="left" w:pos="709"/>
        </w:tabs>
        <w:spacing w:before="120" w:after="0"/>
        <w:rPr>
          <w:rFonts w:ascii="Arial" w:hAnsi="Arial" w:cs="Arial"/>
          <w:color w:val="auto"/>
          <w:sz w:val="22"/>
          <w:szCs w:val="22"/>
          <w:lang w:val="uk-UA"/>
        </w:rPr>
      </w:pPr>
      <w:bookmarkStart w:id="21" w:name="_Toc533093895"/>
      <w:r w:rsidRPr="007E5633">
        <w:rPr>
          <w:rFonts w:ascii="Arial" w:hAnsi="Arial" w:cs="Arial"/>
          <w:color w:val="auto"/>
          <w:sz w:val="22"/>
          <w:szCs w:val="22"/>
          <w:lang w:val="uk-UA"/>
        </w:rPr>
        <w:t>Біржі в ЄС</w:t>
      </w:r>
      <w:bookmarkEnd w:id="21"/>
    </w:p>
    <w:p w14:paraId="225B4D53"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Біржі – це регульовані організовані торговельні майданчики, що підтримують чітко визначений перелік продуктів. Умови торгівлі на таких майданчиках в односторонньому порядку розроблені оператором цих майданчиків. Плата за транзакцію стягується не лише за торгівлю продуктом, а і за проведення розрахунків (кліринг) та (іноді) за розміщення замовлень. Торгівля на біржі є анонімною, тобто контрагентом трейдера є після розрахунку зазвичай сам кліринговий дім цієї біржі. Крім цього, цей кліринговий дім має другого контрагента по цій само угоді ("альфа-угода"), тобто він виступає в якості покупця у фактичного продавця і в якості продавця по відношенню до фактичного покупця. Тому вона приймає нейтральну позицію, і фактичні контрагенти залишаються анонімними.</w:t>
      </w:r>
    </w:p>
    <w:p w14:paraId="23B21E0E"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Енергетичні біржі використовують як «саморобні» системи (Nasdaq, CME, ICE), так і сторонні продукти. Це в більшості випадків GlobalVision, розроблена та підтримувана Trayport .</w:t>
      </w:r>
    </w:p>
    <w:p w14:paraId="0337BBB5"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GlobalVision, описана вище в контексті BTS (Broker Trading System – брокерська трейдингова система), - є багатопрофільною електронною торговою платформою, яка потенційно може бути використана для «екранної» торгівлі будь-яким інструментом. Кожен трейдер, який має доступ до GlobalVision, запускає програму під назвою Front-End, яка надає трейдеру «робочу книгу», що складається з одного або декількох «робочих аркушів». Кожен робочий аркуш - це таблиця (подібна до Microsoft Excel), спеціально розроблена для торгівлі. Вона показує замовлення, які трейдери подали на інструменти, що відображені в таблиці, а також може відображати загальну ринкову інформацію, таку як повідомлення про підтвердження угоди, а також докладну інформацію про останнє виконане замовлення (наприклад, ціну і кількість).</w:t>
      </w:r>
    </w:p>
    <w:p w14:paraId="0C28C036"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Трейдери можуть подати замовлення до GlobalVision, ввівши ціни в робочий аркуш. Коли замовлення подане, воно негайно відображається кожному іншому трейдерові, який увійшов до системи, і доступне для будь-якого з цих торговців для проведення операції (за умови, що існує торгова угода між обома сторонами).</w:t>
      </w:r>
    </w:p>
    <w:p w14:paraId="1262869A"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 рамках програми GlobalVision користувачі можуть створювати власний ринок для торгівлі будь-яким активом, простим або складним інструментом – окрім фізичних і фінан</w:t>
      </w:r>
      <w:r w:rsidRPr="007E5633">
        <w:rPr>
          <w:rFonts w:ascii="Arial" w:eastAsia="Times New Roman" w:hAnsi="Arial" w:cs="Arial"/>
          <w:color w:val="000000"/>
          <w:lang w:val="uk-UA" w:eastAsia="ru-RU"/>
        </w:rPr>
        <w:lastRenderedPageBreak/>
        <w:t xml:space="preserve">сових енергопродуктів, можна торгувати також валютами, валютними форвардами, кредитними деривативами, </w:t>
      </w:r>
      <w:r w:rsidR="005F3F2A" w:rsidRPr="005F3F2A">
        <w:rPr>
          <w:rFonts w:ascii="Arial" w:eastAsia="Times New Roman" w:hAnsi="Arial" w:cs="Arial"/>
          <w:color w:val="000000"/>
          <w:lang w:val="uk-UA" w:eastAsia="ru-RU"/>
        </w:rPr>
        <w:t>товарними контрактами</w:t>
      </w:r>
      <w:r w:rsidRPr="007E5633">
        <w:rPr>
          <w:rFonts w:ascii="Arial" w:eastAsia="Times New Roman" w:hAnsi="Arial" w:cs="Arial"/>
          <w:color w:val="000000"/>
          <w:lang w:val="uk-UA" w:eastAsia="ru-RU"/>
        </w:rPr>
        <w:t>, фінансовими інструментами з фіксованим доходом, ф'ючерсами, опціонами, спредами (час, місце, </w:t>
      </w:r>
      <w:r w:rsidR="008F44DB">
        <w:rPr>
          <w:rFonts w:ascii="Arial" w:eastAsia="Times New Roman" w:hAnsi="Arial" w:cs="Arial"/>
          <w:color w:val="000000"/>
          <w:lang w:val="uk-UA" w:eastAsia="ru-RU"/>
        </w:rPr>
        <w:t>вид чи клас товару</w:t>
      </w:r>
      <w:r w:rsidRPr="007E5633">
        <w:rPr>
          <w:rFonts w:ascii="Arial" w:eastAsia="Times New Roman" w:hAnsi="Arial" w:cs="Arial"/>
          <w:color w:val="000000"/>
          <w:lang w:val="uk-UA" w:eastAsia="ru-RU"/>
        </w:rPr>
        <w:t>), свопами і акціями.</w:t>
      </w:r>
    </w:p>
    <w:p w14:paraId="68D28824"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Основні відмінності між GlobalVision ETS (біржова торговельна система) і BTS (брокерська торговельна система) полягає у такому:</w:t>
      </w:r>
    </w:p>
    <w:p w14:paraId="6FBDC599" w14:textId="77777777" w:rsidR="005F1C42" w:rsidRPr="007E5633" w:rsidRDefault="005F1C42" w:rsidP="0042516F">
      <w:pPr>
        <w:numPr>
          <w:ilvl w:val="0"/>
          <w:numId w:val="15"/>
        </w:numPr>
        <w:shd w:val="clear" w:color="auto" w:fill="FFFFFF"/>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 xml:space="preserve">Управління книгою замовлень: </w:t>
      </w:r>
    </w:p>
    <w:p w14:paraId="5E52721F" w14:textId="77777777" w:rsidR="005F1C42" w:rsidRPr="007E5633" w:rsidRDefault="005F1C42" w:rsidP="00B83D6C">
      <w:pPr>
        <w:numPr>
          <w:ilvl w:val="1"/>
          <w:numId w:val="15"/>
        </w:numPr>
        <w:shd w:val="clear" w:color="auto" w:fill="FFFFFF"/>
        <w:tabs>
          <w:tab w:val="clear" w:pos="1440"/>
          <w:tab w:val="num" w:pos="1134"/>
        </w:tabs>
        <w:suppressAutoHyphens w:val="0"/>
        <w:autoSpaceDN/>
        <w:spacing w:before="120" w:after="0" w:line="240" w:lineRule="auto"/>
        <w:ind w:left="1134"/>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 xml:space="preserve">у випадку </w:t>
      </w:r>
      <w:r w:rsidRPr="007E5633">
        <w:rPr>
          <w:rFonts w:ascii="Arial" w:hAnsi="Arial" w:cs="Arial"/>
          <w:lang w:val="uk-UA"/>
        </w:rPr>
        <w:t>ETS</w:t>
      </w:r>
      <w:r w:rsidRPr="007E5633">
        <w:rPr>
          <w:rFonts w:ascii="Arial" w:eastAsia="Times New Roman" w:hAnsi="Arial" w:cs="Arial"/>
          <w:color w:val="000000"/>
          <w:lang w:val="uk-UA" w:eastAsia="ru-RU"/>
        </w:rPr>
        <w:t xml:space="preserve"> пропозиції та запити завжди автоматично «зводяться» (</w:t>
      </w:r>
      <w:r w:rsidRPr="007E5633">
        <w:rPr>
          <w:rFonts w:ascii="Arial" w:hAnsi="Arial" w:cs="Arial"/>
          <w:lang w:val="uk-UA"/>
        </w:rPr>
        <w:t>matched)</w:t>
      </w:r>
      <w:r w:rsidRPr="007E5633">
        <w:rPr>
          <w:rFonts w:ascii="Arial" w:eastAsia="Times New Roman" w:hAnsi="Arial" w:cs="Arial"/>
          <w:color w:val="000000"/>
          <w:lang w:val="uk-UA" w:eastAsia="ru-RU"/>
        </w:rPr>
        <w:t xml:space="preserve"> системою біржі</w:t>
      </w:r>
    </w:p>
    <w:p w14:paraId="1BF0ECB3" w14:textId="77777777" w:rsidR="005F1C42" w:rsidRPr="007E5633" w:rsidRDefault="005F1C42" w:rsidP="00B83D6C">
      <w:pPr>
        <w:numPr>
          <w:ilvl w:val="1"/>
          <w:numId w:val="15"/>
        </w:numPr>
        <w:shd w:val="clear" w:color="auto" w:fill="FFFFFF"/>
        <w:tabs>
          <w:tab w:val="clear" w:pos="1440"/>
          <w:tab w:val="num" w:pos="1134"/>
        </w:tabs>
        <w:suppressAutoHyphens w:val="0"/>
        <w:autoSpaceDN/>
        <w:spacing w:before="120" w:after="0" w:line="240" w:lineRule="auto"/>
        <w:ind w:left="1134"/>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у випадку BTS можна обирати режими роботи (1. учасник сам обирає і клікає на потрібну йому пропозицію; або 2) автоматичне виконання угоди).</w:t>
      </w:r>
    </w:p>
    <w:p w14:paraId="04B555EA" w14:textId="77777777" w:rsidR="005F1C42" w:rsidRPr="007E5633" w:rsidRDefault="005F1C42" w:rsidP="0042516F">
      <w:pPr>
        <w:numPr>
          <w:ilvl w:val="0"/>
          <w:numId w:val="15"/>
        </w:numPr>
        <w:shd w:val="clear" w:color="auto" w:fill="FFFFFF"/>
        <w:suppressAutoHyphens w:val="0"/>
        <w:autoSpaceDN/>
        <w:spacing w:before="120" w:after="0" w:line="240" w:lineRule="auto"/>
        <w:ind w:left="250" w:firstLine="0"/>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Сторони-учасники ринку є анонімними на біржі після здійснення угоди, контрагентом трейдера є біржа, а пізніше - кліринговий дім.</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У випадку ж BTS, торгівельні дані, що надходять трейдерам, ідентифікують контрагента.</w:t>
      </w:r>
    </w:p>
    <w:p w14:paraId="3BAD9F0A" w14:textId="77777777" w:rsidR="005F1C42" w:rsidRPr="007E5633" w:rsidRDefault="005F1C42" w:rsidP="00316104">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Визначення інструментів, адміністрування учасників, функції ризику та служби back-office порівнюються для систем BTS та ETS.</w:t>
      </w:r>
    </w:p>
    <w:p w14:paraId="0EBB22D8" w14:textId="109D9B80" w:rsidR="00E4309C" w:rsidRPr="007E5633" w:rsidRDefault="005F1C42" w:rsidP="003F0D83">
      <w:pPr>
        <w:pStyle w:val="af1"/>
        <w:tabs>
          <w:tab w:val="clear" w:pos="7020"/>
          <w:tab w:val="left" w:pos="1560"/>
        </w:tabs>
        <w:spacing w:before="120" w:after="120"/>
        <w:jc w:val="left"/>
        <w:rPr>
          <w:rFonts w:cs="Arial"/>
          <w:bCs/>
          <w:color w:val="000000"/>
          <w:sz w:val="22"/>
          <w:szCs w:val="22"/>
          <w:lang w:val="uk-UA" w:eastAsia="ru-RU"/>
        </w:rPr>
      </w:pPr>
      <w:bookmarkStart w:id="22" w:name="_Toc533094031"/>
      <w:r w:rsidRPr="007E5633">
        <w:rPr>
          <w:rFonts w:cs="Arial"/>
          <w:sz w:val="22"/>
          <w:szCs w:val="22"/>
          <w:lang w:val="uk-UA"/>
        </w:rPr>
        <w:t>Схема</w:t>
      </w:r>
      <w:r w:rsidR="0092175C" w:rsidRPr="007E5633">
        <w:rPr>
          <w:rFonts w:cs="Arial"/>
          <w:sz w:val="22"/>
          <w:szCs w:val="22"/>
          <w:lang w:val="uk-UA"/>
        </w:rPr>
        <w:t xml:space="preserve"> </w:t>
      </w:r>
      <w:r w:rsidR="00622EE2" w:rsidRPr="007E5633">
        <w:rPr>
          <w:rFonts w:cs="Arial"/>
          <w:sz w:val="22"/>
          <w:szCs w:val="22"/>
          <w:lang w:val="uk-UA"/>
        </w:rPr>
        <w:fldChar w:fldCharType="begin"/>
      </w:r>
      <w:r w:rsidR="0092175C"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4</w:t>
      </w:r>
      <w:r w:rsidR="00622EE2" w:rsidRPr="007E5633">
        <w:rPr>
          <w:rFonts w:cs="Arial"/>
          <w:sz w:val="22"/>
          <w:szCs w:val="22"/>
          <w:lang w:val="uk-UA"/>
        </w:rPr>
        <w:fldChar w:fldCharType="end"/>
      </w:r>
      <w:r w:rsidR="0092175C" w:rsidRPr="007E5633">
        <w:rPr>
          <w:rFonts w:cs="Arial"/>
          <w:sz w:val="22"/>
          <w:szCs w:val="22"/>
          <w:lang w:val="uk-UA"/>
        </w:rPr>
        <w:t>:</w:t>
      </w:r>
      <w:r w:rsidR="00061AD9" w:rsidRPr="007E5633">
        <w:rPr>
          <w:rFonts w:cs="Arial"/>
          <w:sz w:val="22"/>
          <w:szCs w:val="22"/>
          <w:lang w:val="uk-UA"/>
        </w:rPr>
        <w:t xml:space="preserve"> </w:t>
      </w:r>
      <w:r w:rsidRPr="007E5633">
        <w:rPr>
          <w:rFonts w:cs="Arial"/>
          <w:bCs/>
          <w:color w:val="000000"/>
          <w:sz w:val="22"/>
          <w:szCs w:val="22"/>
          <w:lang w:val="uk-UA" w:eastAsia="ru-RU"/>
        </w:rPr>
        <w:t>Детальний огляд європейських газових бірж</w:t>
      </w:r>
      <w:bookmarkEnd w:id="22"/>
    </w:p>
    <w:tbl>
      <w:tblPr>
        <w:tblW w:w="9140" w:type="dxa"/>
        <w:tblLayout w:type="fixed"/>
        <w:tblCellMar>
          <w:left w:w="0" w:type="dxa"/>
          <w:right w:w="0" w:type="dxa"/>
        </w:tblCellMar>
        <w:tblLook w:val="04A0" w:firstRow="1" w:lastRow="0" w:firstColumn="1" w:lastColumn="0" w:noHBand="0" w:noVBand="1"/>
      </w:tblPr>
      <w:tblGrid>
        <w:gridCol w:w="899"/>
        <w:gridCol w:w="1128"/>
        <w:gridCol w:w="15"/>
        <w:gridCol w:w="1843"/>
        <w:gridCol w:w="992"/>
        <w:gridCol w:w="968"/>
        <w:gridCol w:w="22"/>
        <w:gridCol w:w="1561"/>
        <w:gridCol w:w="956"/>
        <w:gridCol w:w="37"/>
        <w:gridCol w:w="719"/>
      </w:tblGrid>
      <w:tr w:rsidR="005F1C42" w:rsidRPr="007E5633" w14:paraId="6550F82A" w14:textId="77777777" w:rsidTr="00316104">
        <w:trPr>
          <w:trHeight w:val="73"/>
        </w:trPr>
        <w:tc>
          <w:tcPr>
            <w:tcW w:w="899" w:type="dxa"/>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vAlign w:val="center"/>
            <w:hideMark/>
          </w:tcPr>
          <w:p w14:paraId="3C3474A3"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Біржа</w:t>
            </w:r>
          </w:p>
        </w:tc>
        <w:tc>
          <w:tcPr>
            <w:tcW w:w="1128" w:type="dxa"/>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vAlign w:val="center"/>
            <w:hideMark/>
          </w:tcPr>
          <w:p w14:paraId="436B6596"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Розташування</w:t>
            </w:r>
          </w:p>
        </w:tc>
        <w:tc>
          <w:tcPr>
            <w:tcW w:w="1858" w:type="dxa"/>
            <w:gridSpan w:val="2"/>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vAlign w:val="center"/>
            <w:hideMark/>
          </w:tcPr>
          <w:p w14:paraId="0A24F334"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Виробництво</w:t>
            </w:r>
          </w:p>
        </w:tc>
        <w:tc>
          <w:tcPr>
            <w:tcW w:w="992" w:type="dxa"/>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hideMark/>
          </w:tcPr>
          <w:p w14:paraId="4692BED9"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Пункти доставки</w:t>
            </w:r>
          </w:p>
        </w:tc>
        <w:tc>
          <w:tcPr>
            <w:tcW w:w="968" w:type="dxa"/>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hideMark/>
          </w:tcPr>
          <w:p w14:paraId="06B06413"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Кліринговий дім</w:t>
            </w:r>
          </w:p>
        </w:tc>
        <w:tc>
          <w:tcPr>
            <w:tcW w:w="1583" w:type="dxa"/>
            <w:gridSpan w:val="2"/>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hideMark/>
          </w:tcPr>
          <w:p w14:paraId="37FBED31"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Номінація через</w:t>
            </w:r>
          </w:p>
        </w:tc>
        <w:tc>
          <w:tcPr>
            <w:tcW w:w="956" w:type="dxa"/>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hideMark/>
          </w:tcPr>
          <w:p w14:paraId="56C744CB"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Торгові години</w:t>
            </w:r>
          </w:p>
        </w:tc>
        <w:tc>
          <w:tcPr>
            <w:tcW w:w="756" w:type="dxa"/>
            <w:gridSpan w:val="2"/>
            <w:tcBorders>
              <w:top w:val="single" w:sz="8" w:space="0" w:color="000000"/>
              <w:left w:val="single" w:sz="8" w:space="0" w:color="000000"/>
              <w:bottom w:val="single" w:sz="8" w:space="0" w:color="000000"/>
              <w:right w:val="single" w:sz="8" w:space="0" w:color="000000"/>
            </w:tcBorders>
            <w:shd w:val="clear" w:color="auto" w:fill="0F243E"/>
            <w:tcMar>
              <w:top w:w="15" w:type="dxa"/>
              <w:left w:w="57" w:type="dxa"/>
              <w:bottom w:w="0" w:type="dxa"/>
              <w:right w:w="57" w:type="dxa"/>
            </w:tcMar>
            <w:hideMark/>
          </w:tcPr>
          <w:p w14:paraId="35A71157" w14:textId="77777777" w:rsidR="005F1C42" w:rsidRPr="007E5633" w:rsidRDefault="005F1C42" w:rsidP="005F1C42">
            <w:pPr>
              <w:suppressAutoHyphens w:val="0"/>
              <w:autoSpaceDN/>
              <w:spacing w:line="73" w:lineRule="atLeast"/>
              <w:jc w:val="center"/>
              <w:rPr>
                <w:rFonts w:ascii="Arial" w:eastAsia="Times New Roman" w:hAnsi="Arial" w:cs="Arial"/>
                <w:sz w:val="20"/>
                <w:szCs w:val="20"/>
                <w:lang w:val="uk-UA" w:eastAsia="ru-RU"/>
              </w:rPr>
            </w:pPr>
            <w:r w:rsidRPr="007E5633">
              <w:rPr>
                <w:rFonts w:ascii="Arial" w:eastAsia="Times New Roman" w:hAnsi="Arial" w:cs="Arial"/>
                <w:color w:val="FFFFFF"/>
                <w:sz w:val="20"/>
                <w:szCs w:val="20"/>
                <w:lang w:val="uk-UA" w:eastAsia="ru-RU"/>
              </w:rPr>
              <w:t>Торгова система</w:t>
            </w:r>
          </w:p>
        </w:tc>
      </w:tr>
      <w:tr w:rsidR="005F1C42" w:rsidRPr="007E5633" w14:paraId="302CA66A" w14:textId="77777777" w:rsidTr="00316104">
        <w:trPr>
          <w:trHeight w:val="533"/>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6E4D60FC"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PEGAS</w:t>
            </w:r>
          </w:p>
        </w:tc>
        <w:tc>
          <w:tcPr>
            <w:tcW w:w="112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14:paraId="298E9BCF" w14:textId="77777777" w:rsidR="005F1C42" w:rsidRPr="007E5633" w:rsidRDefault="005F1C42" w:rsidP="005F1C42">
            <w:pPr>
              <w:suppressAutoHyphens w:val="0"/>
              <w:autoSpaceDN/>
              <w:spacing w:before="120"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Париж</w:t>
            </w:r>
          </w:p>
        </w:tc>
        <w:tc>
          <w:tcPr>
            <w:tcW w:w="1858"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5EFC1C34" w14:textId="77777777" w:rsidR="005F1C42" w:rsidRPr="007E5633" w:rsidRDefault="005F1C42" w:rsidP="005F1C42">
            <w:pPr>
              <w:tabs>
                <w:tab w:val="left" w:pos="-108"/>
              </w:tabs>
              <w:spacing w:line="240" w:lineRule="auto"/>
              <w:rPr>
                <w:rFonts w:ascii="Arial" w:hAnsi="Arial" w:cs="Arial"/>
                <w:sz w:val="20"/>
                <w:szCs w:val="20"/>
                <w:lang w:val="uk-UA" w:eastAsia="tr-TR"/>
              </w:rPr>
            </w:pPr>
            <w:r w:rsidRPr="007E5633">
              <w:rPr>
                <w:rFonts w:ascii="Arial" w:eastAsia="Times New Roman" w:hAnsi="Arial" w:cs="Arial"/>
                <w:sz w:val="20"/>
                <w:szCs w:val="20"/>
                <w:lang w:val="uk-UA" w:eastAsia="ru-RU"/>
              </w:rPr>
              <w:t xml:space="preserve">Спот (IND, DAH, WE, SAT, Sun), денний (погодинний), ф'ючерси (місяць, квартал, сезон, рік), опціони (Q4,15), </w:t>
            </w:r>
            <w:r w:rsidRPr="007E5633">
              <w:rPr>
                <w:rFonts w:ascii="Arial" w:hAnsi="Arial" w:cs="Arial"/>
                <w:color w:val="000000"/>
                <w:kern w:val="24"/>
                <w:sz w:val="20"/>
                <w:szCs w:val="20"/>
                <w:lang w:val="uk-UA" w:eastAsia="tr-TR"/>
              </w:rPr>
              <w:t>Location spreads</w:t>
            </w:r>
          </w:p>
          <w:p w14:paraId="08D2E617" w14:textId="77777777" w:rsidR="005F1C42" w:rsidRPr="007E5633" w:rsidRDefault="005F1C42" w:rsidP="005F1C42">
            <w:pPr>
              <w:suppressAutoHyphens w:val="0"/>
              <w:autoSpaceDN/>
              <w:spacing w:before="120"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Починаючи з четвертого кварталу 2015 року:</w:t>
            </w:r>
          </w:p>
          <w:p w14:paraId="1DD1A2C0" w14:textId="77777777" w:rsidR="00316104" w:rsidRPr="007E5633" w:rsidRDefault="005F1C42" w:rsidP="0042516F">
            <w:pPr>
              <w:pStyle w:val="a4"/>
              <w:numPr>
                <w:ilvl w:val="1"/>
                <w:numId w:val="14"/>
              </w:numPr>
              <w:suppressAutoHyphens w:val="0"/>
              <w:autoSpaceDN/>
              <w:spacing w:after="0" w:line="240" w:lineRule="auto"/>
              <w:ind w:left="383"/>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Зональні продукти (за TSO) для балансування</w:t>
            </w:r>
          </w:p>
          <w:p w14:paraId="0E5D618A" w14:textId="77777777" w:rsidR="005F1C42" w:rsidRPr="007E5633" w:rsidRDefault="005F1C42" w:rsidP="0042516F">
            <w:pPr>
              <w:pStyle w:val="a4"/>
              <w:numPr>
                <w:ilvl w:val="1"/>
                <w:numId w:val="14"/>
              </w:numPr>
              <w:suppressAutoHyphens w:val="0"/>
              <w:autoSpaceDN/>
              <w:spacing w:after="0" w:line="240" w:lineRule="auto"/>
              <w:ind w:left="383"/>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Продукти для погодинного балансування (за VTP)</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2F73B10B" w14:textId="77777777" w:rsidR="005F1C42" w:rsidRPr="007E5633" w:rsidRDefault="005F1C42" w:rsidP="005F1C42">
            <w:pPr>
              <w:suppressAutoHyphens w:val="0"/>
              <w:autoSpaceDN/>
              <w:spacing w:before="120" w:line="240" w:lineRule="auto"/>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GASPOOL, NBP, PEG NDRD, PSV, TRS, TTF Zeebrugge (ZTP)</w:t>
            </w:r>
          </w:p>
        </w:tc>
        <w:tc>
          <w:tcPr>
            <w:tcW w:w="96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45BB889" w14:textId="77777777" w:rsidR="005F1C42" w:rsidRPr="007E5633" w:rsidRDefault="005F1C42" w:rsidP="005F1C42">
            <w:pPr>
              <w:suppressAutoHyphens w:val="0"/>
              <w:autoSpaceDN/>
              <w:spacing w:before="120"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158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DC30276" w14:textId="77777777" w:rsidR="005F1C42" w:rsidRPr="007E5633" w:rsidRDefault="005F1C42" w:rsidP="005F1C42">
            <w:pPr>
              <w:suppressAutoHyphens w:val="0"/>
              <w:autoSpaceDN/>
              <w:spacing w:before="120"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95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D424687" w14:textId="77777777" w:rsidR="005F1C42" w:rsidRPr="007E5633" w:rsidRDefault="005F1C42" w:rsidP="005F1C42">
            <w:pPr>
              <w:suppressAutoHyphens w:val="0"/>
              <w:autoSpaceDN/>
              <w:spacing w:before="120"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24/7 (спот)</w:t>
            </w:r>
          </w:p>
        </w:tc>
        <w:tc>
          <w:tcPr>
            <w:tcW w:w="756"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29884D6" w14:textId="77777777" w:rsidR="005F1C42" w:rsidRPr="007E5633" w:rsidRDefault="005F1C42" w:rsidP="005F1C42">
            <w:pPr>
              <w:suppressAutoHyphens w:val="0"/>
              <w:autoSpaceDN/>
              <w:spacing w:before="120"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Trayport Global-Vision ETS</w:t>
            </w:r>
          </w:p>
        </w:tc>
      </w:tr>
      <w:tr w:rsidR="005F1C42" w:rsidRPr="007E5633" w14:paraId="1AC125E1" w14:textId="77777777" w:rsidTr="00316104">
        <w:trPr>
          <w:trHeight w:val="715"/>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BF8EB7B"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p w14:paraId="576E964A"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GME</w:t>
            </w:r>
          </w:p>
        </w:tc>
        <w:tc>
          <w:tcPr>
            <w:tcW w:w="112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8886F19"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Рим  </w:t>
            </w:r>
          </w:p>
        </w:tc>
        <w:tc>
          <w:tcPr>
            <w:tcW w:w="1858"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51AE03C"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Спот (IND, DAH)</w:t>
            </w:r>
          </w:p>
          <w:p w14:paraId="63192294"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Ф'ючерси (місяць, BOM, квартал, сезон, календарний рік, газовий рік)</w:t>
            </w:r>
          </w:p>
          <w:p w14:paraId="56507E3A" w14:textId="77777777" w:rsidR="005F1C42" w:rsidRPr="007E5633" w:rsidRDefault="005F1C42" w:rsidP="005F1C42">
            <w:pPr>
              <w:tabs>
                <w:tab w:val="left" w:pos="-108"/>
              </w:tabs>
              <w:spacing w:line="240" w:lineRule="auto"/>
              <w:rPr>
                <w:rFonts w:ascii="Arial" w:hAnsi="Arial" w:cs="Arial"/>
                <w:sz w:val="20"/>
                <w:szCs w:val="20"/>
                <w:lang w:val="uk-UA" w:eastAsia="tr-TR"/>
              </w:rPr>
            </w:pPr>
            <w:r w:rsidRPr="007E5633">
              <w:rPr>
                <w:rFonts w:ascii="Arial" w:hAnsi="Arial" w:cs="Arial"/>
                <w:color w:val="000000"/>
                <w:kern w:val="24"/>
                <w:sz w:val="20"/>
                <w:szCs w:val="20"/>
                <w:lang w:val="uk-UA" w:eastAsia="tr-TR"/>
              </w:rPr>
              <w:t>Location spreads PSV-TTF</w:t>
            </w:r>
          </w:p>
          <w:p w14:paraId="69075793" w14:textId="77777777" w:rsidR="005F1C42" w:rsidRPr="007E5633" w:rsidRDefault="00316104" w:rsidP="00316104">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lastRenderedPageBreak/>
              <w:t xml:space="preserve">- </w:t>
            </w:r>
            <w:r w:rsidR="005F1C42" w:rsidRPr="007E5633">
              <w:rPr>
                <w:rFonts w:ascii="Arial" w:eastAsia="Times New Roman" w:hAnsi="Arial" w:cs="Arial"/>
                <w:sz w:val="20"/>
                <w:szCs w:val="20"/>
                <w:lang w:val="uk-UA" w:eastAsia="ru-RU"/>
              </w:rPr>
              <w:t xml:space="preserve">Контракти для  балансування </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59B7A0CE"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lastRenderedPageBreak/>
              <w:t>PSV-Virtual Trading Point</w:t>
            </w:r>
          </w:p>
        </w:tc>
        <w:tc>
          <w:tcPr>
            <w:tcW w:w="96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4A0E915"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ICE</w:t>
            </w:r>
          </w:p>
        </w:tc>
        <w:tc>
          <w:tcPr>
            <w:tcW w:w="158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5C1ABA32"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ICE</w:t>
            </w:r>
          </w:p>
        </w:tc>
        <w:tc>
          <w:tcPr>
            <w:tcW w:w="95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865FBD7"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DAH: 09:00-17:00</w:t>
            </w:r>
          </w:p>
          <w:p w14:paraId="4B7B1B41"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IND: 14:00-17:00 для D-1 з 09:00 до 15:30 </w:t>
            </w:r>
            <w:r w:rsidRPr="007E5633">
              <w:rPr>
                <w:rFonts w:ascii="Arial" w:eastAsia="Times New Roman" w:hAnsi="Arial" w:cs="Arial"/>
                <w:sz w:val="20"/>
                <w:szCs w:val="20"/>
                <w:lang w:val="uk-UA" w:eastAsia="ru-RU"/>
              </w:rPr>
              <w:lastRenderedPageBreak/>
              <w:t>для D FUT 09:17:00</w:t>
            </w:r>
          </w:p>
        </w:tc>
        <w:tc>
          <w:tcPr>
            <w:tcW w:w="756"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CD176A3"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lastRenderedPageBreak/>
              <w:t>Trayport Global-Vision ETS</w:t>
            </w:r>
          </w:p>
        </w:tc>
      </w:tr>
      <w:tr w:rsidR="005F1C42" w:rsidRPr="007E5633" w14:paraId="642D7203" w14:textId="77777777" w:rsidTr="00316104">
        <w:trPr>
          <w:trHeight w:val="549"/>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ED6FA55"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CME</w:t>
            </w:r>
          </w:p>
        </w:tc>
        <w:tc>
          <w:tcPr>
            <w:tcW w:w="112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84E87AB"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Лондон  </w:t>
            </w:r>
          </w:p>
        </w:tc>
        <w:tc>
          <w:tcPr>
            <w:tcW w:w="1858"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7B7571B"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 xml:space="preserve">UK,NL,DE,AT,IT DAH </w:t>
            </w:r>
            <w:r w:rsidRPr="007E5633">
              <w:rPr>
                <w:rFonts w:ascii="Arial" w:eastAsia="Times New Roman" w:hAnsi="Arial" w:cs="Arial"/>
                <w:sz w:val="20"/>
                <w:szCs w:val="20"/>
                <w:lang w:val="uk-UA" w:eastAsia="ru-RU"/>
              </w:rPr>
              <w:t>і ф'ючерси</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F95722F"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Фінансові операції</w:t>
            </w:r>
          </w:p>
          <w:p w14:paraId="534A6AF0"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Фізичне закриття основних договорів</w:t>
            </w:r>
          </w:p>
        </w:tc>
        <w:tc>
          <w:tcPr>
            <w:tcW w:w="96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8F54862"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CME Clearpoint</w:t>
            </w:r>
          </w:p>
        </w:tc>
        <w:tc>
          <w:tcPr>
            <w:tcW w:w="158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24E6D795"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p>
        </w:tc>
        <w:tc>
          <w:tcPr>
            <w:tcW w:w="95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6E92BE5"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23:00 - 22:15 пн-пт</w:t>
            </w:r>
          </w:p>
        </w:tc>
        <w:tc>
          <w:tcPr>
            <w:tcW w:w="756"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A45D5F1"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Власна система</w:t>
            </w:r>
          </w:p>
        </w:tc>
      </w:tr>
      <w:tr w:rsidR="005F1C42" w:rsidRPr="007E5633" w14:paraId="77F82C6D" w14:textId="77777777" w:rsidTr="00316104">
        <w:trPr>
          <w:trHeight w:val="199"/>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E7BD9D9"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Gaspoint Nordic</w:t>
            </w:r>
          </w:p>
        </w:tc>
        <w:tc>
          <w:tcPr>
            <w:tcW w:w="114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0611DDE"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Brondby, Данія  </w:t>
            </w:r>
          </w:p>
        </w:tc>
        <w:tc>
          <w:tcPr>
            <w:tcW w:w="1843"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8C3A4CB"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Спот (ID, DAH, WE)</w:t>
            </w:r>
          </w:p>
          <w:p w14:paraId="2495BCBD" w14:textId="77777777" w:rsidR="005F1C42" w:rsidRPr="007E5633" w:rsidRDefault="005F1C42" w:rsidP="005F1C42">
            <w:pPr>
              <w:suppressAutoHyphens w:val="0"/>
              <w:autoSpaceDN/>
              <w:spacing w:line="1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Ф'ючерси (місячні)</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F7672F5" w14:textId="77777777" w:rsidR="005F1C42" w:rsidRPr="007E5633" w:rsidRDefault="005F1C42" w:rsidP="005F1C42">
            <w:pPr>
              <w:suppressAutoHyphens w:val="0"/>
              <w:autoSpaceDN/>
              <w:spacing w:line="1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ETF</w:t>
            </w:r>
          </w:p>
        </w:tc>
        <w:tc>
          <w:tcPr>
            <w:tcW w:w="99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E24E1BF"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156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7F50D78"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99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5F126718"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08:30 - 18:00</w:t>
            </w:r>
          </w:p>
        </w:tc>
        <w:tc>
          <w:tcPr>
            <w:tcW w:w="7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009EDE4" w14:textId="77777777" w:rsidR="005F1C42" w:rsidRPr="007E5633" w:rsidRDefault="005F1C42" w:rsidP="005F1C42">
            <w:pPr>
              <w:suppressAutoHyphens w:val="0"/>
              <w:autoSpaceDN/>
              <w:spacing w:line="199"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Trayport Global-Vision ETS</w:t>
            </w:r>
          </w:p>
        </w:tc>
      </w:tr>
      <w:tr w:rsidR="005F1C42" w:rsidRPr="007E5633" w14:paraId="55517CCD" w14:textId="77777777" w:rsidTr="00316104">
        <w:trPr>
          <w:trHeight w:val="144"/>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6CD4152" w14:textId="77777777" w:rsidR="005F1C42" w:rsidRPr="007E5633" w:rsidRDefault="005F1C42" w:rsidP="005F1C42">
            <w:pPr>
              <w:tabs>
                <w:tab w:val="left" w:pos="426"/>
              </w:tabs>
              <w:spacing w:line="240" w:lineRule="auto"/>
              <w:jc w:val="center"/>
              <w:rPr>
                <w:rFonts w:ascii="Arial" w:hAnsi="Arial" w:cs="Arial"/>
                <w:sz w:val="20"/>
                <w:szCs w:val="20"/>
                <w:lang w:val="uk-UA" w:eastAsia="tr-TR"/>
              </w:rPr>
            </w:pPr>
            <w:r w:rsidRPr="007E5633">
              <w:rPr>
                <w:rFonts w:ascii="Arial" w:hAnsi="Arial" w:cs="Arial"/>
                <w:color w:val="000000"/>
                <w:kern w:val="24"/>
                <w:sz w:val="20"/>
                <w:szCs w:val="20"/>
                <w:lang w:val="uk-UA" w:eastAsia="tr-TR"/>
              </w:rPr>
              <w:t>Iberian Gashub</w:t>
            </w:r>
          </w:p>
        </w:tc>
        <w:tc>
          <w:tcPr>
            <w:tcW w:w="114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B4F93AD" w14:textId="77777777" w:rsidR="005F1C42" w:rsidRPr="007E5633" w:rsidRDefault="005F1C42" w:rsidP="005F1C42">
            <w:pPr>
              <w:tabs>
                <w:tab w:val="left" w:pos="-108"/>
              </w:tabs>
              <w:spacing w:line="240" w:lineRule="auto"/>
              <w:jc w:val="center"/>
              <w:rPr>
                <w:rFonts w:ascii="Arial" w:hAnsi="Arial" w:cs="Arial"/>
                <w:sz w:val="20"/>
                <w:szCs w:val="20"/>
                <w:lang w:val="uk-UA" w:eastAsia="tr-TR"/>
              </w:rPr>
            </w:pPr>
            <w:r w:rsidRPr="007E5633">
              <w:rPr>
                <w:rFonts w:ascii="Arial" w:hAnsi="Arial" w:cs="Arial"/>
                <w:color w:val="000000"/>
                <w:kern w:val="24"/>
                <w:sz w:val="20"/>
                <w:szCs w:val="20"/>
                <w:lang w:val="uk-UA" w:eastAsia="tr-TR"/>
              </w:rPr>
              <w:t>Bilbao</w:t>
            </w:r>
          </w:p>
        </w:tc>
        <w:tc>
          <w:tcPr>
            <w:tcW w:w="1843"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6E0FFC2" w14:textId="77777777" w:rsidR="005F1C42" w:rsidRPr="007E5633" w:rsidRDefault="005F1C42" w:rsidP="005F1C42">
            <w:pPr>
              <w:suppressAutoHyphens w:val="0"/>
              <w:autoSpaceDN/>
              <w:spacing w:line="14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Голосовий трейдинг газом та </w:t>
            </w:r>
            <w:r w:rsidRPr="007E5633">
              <w:rPr>
                <w:rFonts w:ascii="Arial" w:hAnsi="Arial" w:cs="Arial"/>
                <w:color w:val="000000"/>
                <w:kern w:val="24"/>
                <w:sz w:val="20"/>
                <w:szCs w:val="20"/>
                <w:lang w:val="uk-UA" w:eastAsia="tr-TR"/>
              </w:rPr>
              <w:t>LNG свопами</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0C079E4" w14:textId="77777777" w:rsidR="005F1C42" w:rsidRPr="007E5633" w:rsidRDefault="005F1C42" w:rsidP="005F1C42">
            <w:pPr>
              <w:suppressAutoHyphens w:val="0"/>
              <w:autoSpaceDN/>
              <w:spacing w:line="14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Iberian GH як VTP</w:t>
            </w:r>
          </w:p>
        </w:tc>
        <w:tc>
          <w:tcPr>
            <w:tcW w:w="99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310CD15" w14:textId="77777777" w:rsidR="005F1C42" w:rsidRPr="007E5633" w:rsidRDefault="005F1C42" w:rsidP="005F1C42">
            <w:pPr>
              <w:suppressAutoHyphens w:val="0"/>
              <w:autoSpaceDN/>
              <w:spacing w:line="144" w:lineRule="atLeast"/>
              <w:jc w:val="center"/>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OMI clear</w:t>
            </w:r>
          </w:p>
        </w:tc>
        <w:tc>
          <w:tcPr>
            <w:tcW w:w="156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69893BE" w14:textId="77777777" w:rsidR="005F1C42" w:rsidRPr="007E5633" w:rsidRDefault="005F1C42" w:rsidP="005F1C42">
            <w:pPr>
              <w:suppressAutoHyphens w:val="0"/>
              <w:autoSpaceDN/>
              <w:spacing w:line="144"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визначають </w:t>
            </w:r>
            <w:r w:rsidRPr="007E5633">
              <w:rPr>
                <w:rFonts w:ascii="Arial" w:hAnsi="Arial" w:cs="Arial"/>
                <w:color w:val="000000"/>
                <w:kern w:val="24"/>
                <w:sz w:val="20"/>
                <w:szCs w:val="20"/>
                <w:lang w:val="uk-UA" w:eastAsia="tr-TR"/>
              </w:rPr>
              <w:t>CPs</w:t>
            </w:r>
          </w:p>
        </w:tc>
        <w:tc>
          <w:tcPr>
            <w:tcW w:w="99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668C1CF" w14:textId="77777777" w:rsidR="005F1C42" w:rsidRPr="007E5633" w:rsidRDefault="005F1C42" w:rsidP="005F1C42">
            <w:pPr>
              <w:suppressAutoHyphens w:val="0"/>
              <w:autoSpaceDN/>
              <w:spacing w:line="144"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w:t>
            </w:r>
          </w:p>
        </w:tc>
        <w:tc>
          <w:tcPr>
            <w:tcW w:w="7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BDFD73F" w14:textId="77777777" w:rsidR="005F1C42" w:rsidRPr="007E5633" w:rsidRDefault="005F1C42" w:rsidP="005F1C42">
            <w:pPr>
              <w:suppressAutoHyphens w:val="0"/>
              <w:autoSpaceDN/>
              <w:spacing w:line="144"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Trayport Global-Vision ETS</w:t>
            </w:r>
          </w:p>
        </w:tc>
      </w:tr>
      <w:tr w:rsidR="005F1C42" w:rsidRPr="007E5633" w14:paraId="2200D3F3" w14:textId="77777777" w:rsidTr="00316104">
        <w:trPr>
          <w:trHeight w:val="667"/>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22DBA7C"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ICE Endex Gas</w:t>
            </w:r>
          </w:p>
        </w:tc>
        <w:tc>
          <w:tcPr>
            <w:tcW w:w="114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F58041C"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Амстердам</w:t>
            </w:r>
          </w:p>
        </w:tc>
        <w:tc>
          <w:tcPr>
            <w:tcW w:w="1843"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EA27094"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Спот (IND, DAH)</w:t>
            </w:r>
          </w:p>
          <w:p w14:paraId="08C59F68"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Ф'ючерси</w:t>
            </w:r>
          </w:p>
          <w:p w14:paraId="208110C1"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Балансування</w:t>
            </w:r>
          </w:p>
          <w:p w14:paraId="126C89E4"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Зберігання</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8F2B822" w14:textId="77777777" w:rsidR="005F1C42" w:rsidRPr="007E5633" w:rsidRDefault="005F1C42" w:rsidP="005F1C42">
            <w:pPr>
              <w:suppressAutoHyphens w:val="0"/>
              <w:autoSpaceDN/>
              <w:spacing w:line="240" w:lineRule="auto"/>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ZTP, NBP</w:t>
            </w:r>
          </w:p>
        </w:tc>
        <w:tc>
          <w:tcPr>
            <w:tcW w:w="99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28ED50E"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ICE Clear Europe</w:t>
            </w:r>
          </w:p>
        </w:tc>
        <w:tc>
          <w:tcPr>
            <w:tcW w:w="156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C9058B8"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CPs</w:t>
            </w:r>
            <w:r w:rsidRPr="007E5633">
              <w:rPr>
                <w:rFonts w:ascii="Arial" w:eastAsia="Times New Roman" w:hAnsi="Arial" w:cs="Arial"/>
                <w:sz w:val="20"/>
                <w:szCs w:val="20"/>
                <w:lang w:val="uk-UA" w:eastAsia="ru-RU"/>
              </w:rPr>
              <w:t xml:space="preserve"> (Введення/внесення  номінацій по угодах)</w:t>
            </w:r>
          </w:p>
        </w:tc>
        <w:tc>
          <w:tcPr>
            <w:tcW w:w="99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48A8747E"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24/7</w:t>
            </w:r>
          </w:p>
        </w:tc>
        <w:tc>
          <w:tcPr>
            <w:tcW w:w="7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189E41D" w14:textId="77777777" w:rsidR="005F1C42" w:rsidRPr="007E5633" w:rsidRDefault="005F1C42" w:rsidP="005F1C42">
            <w:pPr>
              <w:suppressAutoHyphens w:val="0"/>
              <w:autoSpaceDN/>
              <w:spacing w:line="240" w:lineRule="auto"/>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Власна система</w:t>
            </w:r>
          </w:p>
        </w:tc>
      </w:tr>
      <w:tr w:rsidR="005F1C42" w:rsidRPr="007E5633" w14:paraId="4C48A99C" w14:textId="77777777" w:rsidTr="00316104">
        <w:trPr>
          <w:trHeight w:val="184"/>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4CFD996" w14:textId="77777777" w:rsidR="005F1C42" w:rsidRPr="007E5633" w:rsidRDefault="005F1C42" w:rsidP="005F1C42">
            <w:pPr>
              <w:suppressAutoHyphens w:val="0"/>
              <w:autoSpaceDN/>
              <w:spacing w:line="184" w:lineRule="atLeast"/>
              <w:jc w:val="center"/>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Nasdaq OMX</w:t>
            </w:r>
          </w:p>
        </w:tc>
        <w:tc>
          <w:tcPr>
            <w:tcW w:w="114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4DB1957" w14:textId="77777777" w:rsidR="005F1C42" w:rsidRPr="007E5633" w:rsidRDefault="005F1C42" w:rsidP="005F1C42">
            <w:pPr>
              <w:suppressAutoHyphens w:val="0"/>
              <w:autoSpaceDN/>
              <w:spacing w:line="18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1843"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467BF29" w14:textId="77777777" w:rsidR="005F1C42" w:rsidRPr="007E5633" w:rsidRDefault="005F1C42" w:rsidP="005F1C42">
            <w:pPr>
              <w:suppressAutoHyphens w:val="0"/>
              <w:autoSpaceDN/>
              <w:spacing w:line="18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B1D71F4" w14:textId="77777777" w:rsidR="005F1C42" w:rsidRPr="007E5633" w:rsidRDefault="005F1C42" w:rsidP="005F1C42">
            <w:pPr>
              <w:suppressAutoHyphens w:val="0"/>
              <w:autoSpaceDN/>
              <w:spacing w:line="18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33A98EEF" w14:textId="77777777" w:rsidR="005F1C42" w:rsidRPr="007E5633" w:rsidRDefault="005F1C42" w:rsidP="005F1C42">
            <w:pPr>
              <w:suppressAutoHyphens w:val="0"/>
              <w:autoSpaceDN/>
              <w:spacing w:line="184"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Власний </w:t>
            </w:r>
            <w:r w:rsidRPr="007E5633">
              <w:rPr>
                <w:rFonts w:ascii="Arial" w:hAnsi="Arial" w:cs="Arial"/>
                <w:color w:val="000000"/>
                <w:kern w:val="24"/>
                <w:sz w:val="20"/>
                <w:szCs w:val="20"/>
                <w:lang w:val="uk-UA" w:eastAsia="tr-TR"/>
              </w:rPr>
              <w:t>CCP</w:t>
            </w:r>
          </w:p>
        </w:tc>
        <w:tc>
          <w:tcPr>
            <w:tcW w:w="156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ADD32E1" w14:textId="77777777" w:rsidR="005F1C42" w:rsidRPr="007E5633" w:rsidRDefault="005F1C42" w:rsidP="005F1C42">
            <w:pPr>
              <w:suppressAutoHyphens w:val="0"/>
              <w:autoSpaceDN/>
              <w:spacing w:line="18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62F5A339" w14:textId="77777777" w:rsidR="005F1C42" w:rsidRPr="007E5633" w:rsidRDefault="005F1C42" w:rsidP="005F1C42">
            <w:pPr>
              <w:suppressAutoHyphens w:val="0"/>
              <w:autoSpaceDN/>
              <w:spacing w:line="184"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483B879" w14:textId="77777777" w:rsidR="005F1C42" w:rsidRPr="007E5633" w:rsidRDefault="005F1C42" w:rsidP="005F1C42">
            <w:pPr>
              <w:suppressAutoHyphens w:val="0"/>
              <w:autoSpaceDN/>
              <w:spacing w:line="184"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Власна система</w:t>
            </w:r>
          </w:p>
        </w:tc>
      </w:tr>
      <w:tr w:rsidR="005F1C42" w:rsidRPr="007E5633" w14:paraId="78419AFF" w14:textId="77777777" w:rsidTr="00316104">
        <w:trPr>
          <w:trHeight w:val="105"/>
        </w:trPr>
        <w:tc>
          <w:tcPr>
            <w:tcW w:w="89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A9FB398"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PXE</w:t>
            </w:r>
          </w:p>
        </w:tc>
        <w:tc>
          <w:tcPr>
            <w:tcW w:w="114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7BB99399"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Прага</w:t>
            </w:r>
          </w:p>
        </w:tc>
        <w:tc>
          <w:tcPr>
            <w:tcW w:w="1843"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9605C6E" w14:textId="77777777" w:rsidR="005F1C42" w:rsidRPr="007E5633" w:rsidRDefault="005F1C42" w:rsidP="005F1C42">
            <w:pPr>
              <w:suppressAutoHyphens w:val="0"/>
              <w:autoSpaceDN/>
              <w:spacing w:line="105"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Czech Gas Futures, у співпраці з CEGH</w:t>
            </w:r>
          </w:p>
        </w:tc>
        <w:tc>
          <w:tcPr>
            <w:tcW w:w="99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20C6A794" w14:textId="77777777" w:rsidR="005F1C42" w:rsidRPr="007E5633" w:rsidRDefault="005F1C42" w:rsidP="005F1C42">
            <w:pPr>
              <w:suppressAutoHyphens w:val="0"/>
              <w:autoSpaceDN/>
              <w:spacing w:line="105"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VTP Czech Repoplic (OTE)</w:t>
            </w:r>
          </w:p>
        </w:tc>
        <w:tc>
          <w:tcPr>
            <w:tcW w:w="990"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0017946A"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156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23A54A1A"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ECC</w:t>
            </w:r>
          </w:p>
        </w:tc>
        <w:tc>
          <w:tcPr>
            <w:tcW w:w="993" w:type="dxa"/>
            <w:gridSpan w:val="2"/>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171885A4"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08:00-16:30</w:t>
            </w:r>
          </w:p>
        </w:tc>
        <w:tc>
          <w:tcPr>
            <w:tcW w:w="7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hideMark/>
          </w:tcPr>
          <w:p w14:paraId="22CB9C8D" w14:textId="77777777" w:rsidR="005F1C42" w:rsidRPr="007E5633" w:rsidRDefault="005F1C42" w:rsidP="005F1C42">
            <w:pPr>
              <w:suppressAutoHyphens w:val="0"/>
              <w:autoSpaceDN/>
              <w:spacing w:line="105" w:lineRule="atLeast"/>
              <w:jc w:val="center"/>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Trayport Global-Vision ETS</w:t>
            </w:r>
          </w:p>
        </w:tc>
      </w:tr>
    </w:tbl>
    <w:p w14:paraId="07E4174F" w14:textId="77777777" w:rsidR="005F1C42" w:rsidRPr="007E5633" w:rsidRDefault="005F1C42" w:rsidP="005F1C42">
      <w:pPr>
        <w:rPr>
          <w:rFonts w:ascii="Arial" w:hAnsi="Arial" w:cs="Arial"/>
          <w:lang w:val="uk-UA" w:eastAsia="ru-RU"/>
        </w:rPr>
      </w:pPr>
    </w:p>
    <w:p w14:paraId="545EF01D" w14:textId="77777777" w:rsidR="00B83D6C" w:rsidRPr="007E5633" w:rsidRDefault="00B83D6C">
      <w:pPr>
        <w:suppressAutoHyphens w:val="0"/>
        <w:rPr>
          <w:rFonts w:ascii="Arial" w:eastAsia="Times New Roman" w:hAnsi="Arial" w:cs="Arial"/>
          <w:color w:val="000000"/>
          <w:lang w:val="uk-UA" w:eastAsia="ru-RU"/>
        </w:rPr>
      </w:pPr>
      <w:r w:rsidRPr="007E5633">
        <w:rPr>
          <w:rFonts w:ascii="Arial" w:eastAsia="Times New Roman" w:hAnsi="Arial" w:cs="Arial"/>
          <w:color w:val="000000"/>
          <w:lang w:val="uk-UA" w:eastAsia="ru-RU"/>
        </w:rPr>
        <w:br w:type="page"/>
      </w:r>
    </w:p>
    <w:p w14:paraId="592E6E23" w14:textId="77777777" w:rsidR="005F1C42" w:rsidRPr="007E5633" w:rsidRDefault="005F1C42" w:rsidP="005F1C42">
      <w:pPr>
        <w:suppressAutoHyphens w:val="0"/>
        <w:autoSpaceDN/>
        <w:spacing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lastRenderedPageBreak/>
        <w:t>Нижче на</w:t>
      </w:r>
      <w:r w:rsidRPr="007E5633">
        <w:rPr>
          <w:rFonts w:ascii="Arial" w:eastAsia="Times New Roman" w:hAnsi="Arial" w:cs="Arial"/>
          <w:color w:val="000000"/>
          <w:sz w:val="27"/>
          <w:lang w:val="uk-UA" w:eastAsia="ru-RU"/>
        </w:rPr>
        <w:t> </w:t>
      </w:r>
      <w:r w:rsidRPr="007E5633">
        <w:rPr>
          <w:rFonts w:ascii="Arial" w:eastAsia="Times New Roman" w:hAnsi="Arial" w:cs="Arial"/>
          <w:color w:val="000000"/>
          <w:lang w:val="uk-UA" w:eastAsia="ru-RU"/>
        </w:rPr>
        <w:t>малюнку 5</w:t>
      </w:r>
      <w:r w:rsidRPr="007E5633">
        <w:rPr>
          <w:rFonts w:ascii="Arial" w:eastAsia="Times New Roman" w:hAnsi="Arial" w:cs="Arial"/>
          <w:color w:val="000000"/>
          <w:sz w:val="27"/>
          <w:lang w:val="uk-UA" w:eastAsia="ru-RU"/>
        </w:rPr>
        <w:t> </w:t>
      </w:r>
      <w:r w:rsidRPr="007E5633">
        <w:rPr>
          <w:rFonts w:ascii="Arial" w:eastAsia="Times New Roman" w:hAnsi="Arial" w:cs="Arial"/>
          <w:color w:val="000000"/>
          <w:lang w:val="uk-UA" w:eastAsia="ru-RU"/>
        </w:rPr>
        <w:t>представлений загальний огляд продуктів, що торгуються на біржах:</w:t>
      </w:r>
    </w:p>
    <w:p w14:paraId="65441A3E" w14:textId="2E7954D6" w:rsidR="005F1C42" w:rsidRPr="007E5633" w:rsidRDefault="005F1C42" w:rsidP="005F1C42">
      <w:pPr>
        <w:suppressAutoHyphens w:val="0"/>
        <w:autoSpaceDN/>
        <w:spacing w:after="0" w:line="240" w:lineRule="auto"/>
        <w:rPr>
          <w:rFonts w:ascii="Arial" w:eastAsia="Times New Roman" w:hAnsi="Arial" w:cs="Arial"/>
          <w:color w:val="000000"/>
          <w:sz w:val="27"/>
          <w:szCs w:val="27"/>
          <w:lang w:val="uk-UA" w:eastAsia="ru-RU"/>
        </w:rPr>
      </w:pPr>
      <w:bookmarkStart w:id="23" w:name="_Toc533094032"/>
      <w:r w:rsidRPr="007E5633">
        <w:rPr>
          <w:rFonts w:ascii="Arial" w:eastAsia="Times New Roman" w:hAnsi="Arial" w:cs="Arial"/>
          <w:b/>
          <w:bCs/>
          <w:color w:val="000000"/>
          <w:lang w:val="uk-UA" w:eastAsia="ru-RU"/>
        </w:rPr>
        <w:t>Схема</w:t>
      </w:r>
      <w:r w:rsidR="0092175C" w:rsidRPr="007E5633">
        <w:rPr>
          <w:rFonts w:ascii="Arial" w:hAnsi="Arial" w:cs="Arial"/>
          <w:b/>
          <w:lang w:val="uk-UA"/>
        </w:rPr>
        <w:t xml:space="preserve"> </w:t>
      </w:r>
      <w:r w:rsidR="00622EE2" w:rsidRPr="007E5633">
        <w:rPr>
          <w:rFonts w:ascii="Arial" w:hAnsi="Arial" w:cs="Arial"/>
          <w:b/>
          <w:lang w:val="uk-UA"/>
        </w:rPr>
        <w:fldChar w:fldCharType="begin"/>
      </w:r>
      <w:r w:rsidR="0092175C" w:rsidRPr="007E5633">
        <w:rPr>
          <w:rFonts w:ascii="Arial" w:hAnsi="Arial" w:cs="Arial"/>
          <w:b/>
          <w:lang w:val="uk-UA"/>
        </w:rPr>
        <w:instrText xml:space="preserve"> SEQ Figure \* ARABIC </w:instrText>
      </w:r>
      <w:r w:rsidR="00622EE2" w:rsidRPr="007E5633">
        <w:rPr>
          <w:rFonts w:ascii="Arial" w:hAnsi="Arial" w:cs="Arial"/>
          <w:b/>
          <w:lang w:val="uk-UA"/>
        </w:rPr>
        <w:fldChar w:fldCharType="separate"/>
      </w:r>
      <w:r w:rsidR="00221E0D">
        <w:rPr>
          <w:rFonts w:ascii="Arial" w:hAnsi="Arial" w:cs="Arial"/>
          <w:b/>
          <w:noProof/>
          <w:lang w:val="uk-UA"/>
        </w:rPr>
        <w:t>5</w:t>
      </w:r>
      <w:r w:rsidR="00622EE2" w:rsidRPr="007E5633">
        <w:rPr>
          <w:rFonts w:ascii="Arial" w:hAnsi="Arial" w:cs="Arial"/>
          <w:b/>
          <w:lang w:val="uk-UA"/>
        </w:rPr>
        <w:fldChar w:fldCharType="end"/>
      </w:r>
      <w:r w:rsidR="00061AD9" w:rsidRPr="007E5633">
        <w:rPr>
          <w:rFonts w:ascii="Arial" w:hAnsi="Arial" w:cs="Arial"/>
          <w:b/>
          <w:lang w:val="uk-UA"/>
        </w:rPr>
        <w:t xml:space="preserve">: </w:t>
      </w:r>
      <w:r w:rsidRPr="007E5633">
        <w:rPr>
          <w:rFonts w:ascii="Arial" w:eastAsia="Times New Roman" w:hAnsi="Arial" w:cs="Arial"/>
          <w:b/>
          <w:bCs/>
          <w:color w:val="000000"/>
          <w:lang w:val="uk-UA" w:eastAsia="ru-RU"/>
        </w:rPr>
        <w:t>Продукти, якими торгують на позабіржовому ринку та на</w:t>
      </w:r>
      <w:r w:rsidRPr="007E5633">
        <w:rPr>
          <w:rFonts w:ascii="Arial" w:eastAsia="Times New Roman" w:hAnsi="Arial" w:cs="Arial"/>
          <w:color w:val="000000"/>
          <w:sz w:val="27"/>
          <w:lang w:val="uk-UA" w:eastAsia="ru-RU"/>
        </w:rPr>
        <w:t> </w:t>
      </w:r>
      <w:r w:rsidRPr="007E5633">
        <w:rPr>
          <w:rFonts w:ascii="Arial" w:eastAsia="Times New Roman" w:hAnsi="Arial" w:cs="Arial"/>
          <w:b/>
          <w:bCs/>
          <w:color w:val="000000"/>
          <w:lang w:val="uk-UA" w:eastAsia="ru-RU"/>
        </w:rPr>
        <w:t>біржах</w:t>
      </w:r>
      <w:bookmarkEnd w:id="23"/>
    </w:p>
    <w:p w14:paraId="00AF9B16" w14:textId="77777777" w:rsidR="00E4309C" w:rsidRPr="007E5633" w:rsidRDefault="00E4309C" w:rsidP="0092175C">
      <w:pPr>
        <w:pStyle w:val="af1"/>
        <w:jc w:val="left"/>
        <w:rPr>
          <w:rFonts w:cs="Arial"/>
          <w:sz w:val="22"/>
          <w:szCs w:val="22"/>
          <w:lang w:val="uk-UA"/>
        </w:rPr>
      </w:pPr>
      <w:r w:rsidRPr="007E5633">
        <w:rPr>
          <w:rFonts w:cs="Arial"/>
          <w:noProof/>
          <w:sz w:val="22"/>
          <w:szCs w:val="22"/>
        </w:rPr>
        <w:drawing>
          <wp:inline distT="0" distB="0" distL="0" distR="0" wp14:anchorId="1CEFD7F0" wp14:editId="383BD8C5">
            <wp:extent cx="5610225" cy="303408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592"/>
                    <a:stretch/>
                  </pic:blipFill>
                  <pic:spPr bwMode="auto">
                    <a:xfrm>
                      <a:off x="0" y="0"/>
                      <a:ext cx="5616796" cy="3037641"/>
                    </a:xfrm>
                    <a:prstGeom prst="rect">
                      <a:avLst/>
                    </a:prstGeom>
                    <a:noFill/>
                    <a:ln>
                      <a:noFill/>
                    </a:ln>
                    <a:extLst>
                      <a:ext uri="{53640926-AAD7-44D8-BBD7-CCE9431645EC}">
                        <a14:shadowObscured xmlns:a14="http://schemas.microsoft.com/office/drawing/2010/main"/>
                      </a:ext>
                    </a:extLst>
                  </pic:spPr>
                </pic:pic>
              </a:graphicData>
            </a:graphic>
          </wp:inline>
        </w:drawing>
      </w:r>
    </w:p>
    <w:p w14:paraId="6BDD574F" w14:textId="77777777" w:rsidR="00E4309C" w:rsidRPr="007E5633" w:rsidRDefault="005F1C42" w:rsidP="00B83D6C">
      <w:pPr>
        <w:pStyle w:val="FSHeader1"/>
        <w:keepNext w:val="0"/>
        <w:pageBreakBefore w:val="0"/>
        <w:numPr>
          <w:ilvl w:val="2"/>
          <w:numId w:val="7"/>
        </w:numPr>
        <w:tabs>
          <w:tab w:val="left" w:pos="709"/>
        </w:tabs>
        <w:spacing w:before="120" w:after="120"/>
        <w:rPr>
          <w:rFonts w:ascii="Arial" w:hAnsi="Arial" w:cs="Arial"/>
          <w:color w:val="auto"/>
          <w:sz w:val="22"/>
          <w:szCs w:val="22"/>
          <w:lang w:val="uk-UA"/>
        </w:rPr>
      </w:pPr>
      <w:bookmarkStart w:id="24" w:name="_Toc533093896"/>
      <w:r w:rsidRPr="007E5633">
        <w:rPr>
          <w:rFonts w:ascii="Arial" w:hAnsi="Arial" w:cs="Arial"/>
          <w:color w:val="auto"/>
          <w:sz w:val="22"/>
          <w:szCs w:val="22"/>
          <w:lang w:val="uk-UA"/>
        </w:rPr>
        <w:t>Ролі учасників ринку</w:t>
      </w:r>
      <w:bookmarkEnd w:id="24"/>
    </w:p>
    <w:p w14:paraId="256B5402" w14:textId="77777777" w:rsidR="00FE11E7" w:rsidRPr="007E5633" w:rsidRDefault="00FE11E7"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25" w:name="_Toc533093897"/>
      <w:r w:rsidRPr="007E5633">
        <w:rPr>
          <w:rFonts w:ascii="Arial" w:hAnsi="Arial" w:cs="Arial"/>
          <w:color w:val="auto"/>
          <w:sz w:val="22"/>
          <w:szCs w:val="22"/>
          <w:lang w:val="uk-UA"/>
        </w:rPr>
        <w:t>Газові ринки ЄС</w:t>
      </w:r>
      <w:bookmarkEnd w:id="25"/>
    </w:p>
    <w:p w14:paraId="21829BBB"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sz w:val="27"/>
          <w:szCs w:val="27"/>
          <w:lang w:val="uk-UA" w:eastAsia="ru-RU"/>
        </w:rPr>
      </w:pPr>
      <w:bookmarkStart w:id="26" w:name="_Toc526800229"/>
      <w:r w:rsidRPr="007E5633">
        <w:rPr>
          <w:rFonts w:ascii="Arial" w:eastAsia="Times New Roman" w:hAnsi="Arial" w:cs="Arial"/>
          <w:color w:val="000000"/>
          <w:lang w:val="uk-UA" w:eastAsia="ru-RU"/>
        </w:rPr>
        <w:t>Практична робота Європейського газового ринку здійснюється за такими принципами, які підходять по контексту до українського ринку:</w:t>
      </w:r>
    </w:p>
    <w:p w14:paraId="2A9D27F5"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Газові мережі мають вхідні / вихідні системи передачі, кожна з яких</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забезпечує</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прямий доступ до єдиної віртуальної торгової точки (VTP), де дисбаланси можуть бути закриті та / або вичерпані.</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Це також дозволяє створювати транскордонні регіональні мережі, де можуть бути об'єднані VTP або ринкові зони.</w:t>
      </w:r>
    </w:p>
    <w:p w14:paraId="6A129F5E"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hAnsi="Arial" w:cs="Arial"/>
          <w:lang w:val="uk-UA"/>
        </w:rPr>
        <w:t xml:space="preserve">TSO </w:t>
      </w:r>
      <w:r w:rsidRPr="007E5633">
        <w:rPr>
          <w:rFonts w:ascii="Arial" w:eastAsia="Times New Roman" w:hAnsi="Arial" w:cs="Arial"/>
          <w:color w:val="000000"/>
          <w:lang w:val="uk-UA" w:eastAsia="ru-RU"/>
        </w:rPr>
        <w:t>надають в режимі реального часу інформацію про всі аспекти своєї регульованої інфраструктури (вхідні та вихідні потоки по кожному VTP, кількість газу в системі, наявність потужності в системі тощо), з тим щоб учасники могли використовувати систему та</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оптимізувати</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постачання та попит.</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Прозорість знижує витрати на підтримку стабільності системи та ефективного забезпечення більш безпечного постачання.</w:t>
      </w:r>
    </w:p>
    <w:p w14:paraId="6778D048"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TSO надають учасникам ринку всі вхідні/вихідні потужності з використанням відповідних процесів та відповідних контрактів на постійне використання потужності (контракт на гарантовану потужність (</w:t>
      </w:r>
      <w:r w:rsidRPr="007E5633">
        <w:rPr>
          <w:rFonts w:ascii="Arial" w:hAnsi="Arial" w:cs="Arial"/>
          <w:lang w:val="uk-UA"/>
        </w:rPr>
        <w:t>firm capacity</w:t>
      </w:r>
      <w:r w:rsidRPr="007E5633">
        <w:rPr>
          <w:rFonts w:ascii="Arial" w:eastAsia="Times New Roman" w:hAnsi="Arial" w:cs="Arial"/>
          <w:color w:val="000000"/>
          <w:lang w:val="uk-UA" w:eastAsia="ru-RU"/>
        </w:rPr>
        <w:t>) або контрактів на негарантовану потужність</w:t>
      </w:r>
      <w:r w:rsidRPr="007E5633">
        <w:rPr>
          <w:rFonts w:ascii="Arial" w:hAnsi="Arial" w:cs="Arial"/>
          <w:lang w:val="uk-UA"/>
        </w:rPr>
        <w:t xml:space="preserve"> (interruptible capacity</w:t>
      </w:r>
      <w:r w:rsidRPr="007E5633">
        <w:rPr>
          <w:rFonts w:ascii="Arial" w:eastAsia="Times New Roman" w:hAnsi="Arial" w:cs="Arial"/>
          <w:color w:val="000000"/>
          <w:lang w:val="uk-UA" w:eastAsia="ru-RU"/>
        </w:rPr>
        <w:t>).</w:t>
      </w:r>
    </w:p>
    <w:p w14:paraId="20DB5305"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Учасники ринку мають право робити повторні заявки в найкоротші терміни</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щоб дозволити швидке комерційне реагування на зміни у операційних умовах, таким чином</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визнаючи</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цінність інфраструктури швидкого реагування.</w:t>
      </w:r>
    </w:p>
    <w:p w14:paraId="190C99C5"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Процеси управління завантаженням (</w:t>
      </w:r>
      <w:r w:rsidRPr="007E5633">
        <w:rPr>
          <w:rFonts w:ascii="Arial" w:hAnsi="Arial" w:cs="Arial"/>
          <w:lang w:val="uk-UA"/>
        </w:rPr>
        <w:t>congestion management processes</w:t>
      </w:r>
      <w:r w:rsidRPr="007E5633">
        <w:rPr>
          <w:rFonts w:ascii="Arial" w:eastAsia="Times New Roman" w:hAnsi="Arial" w:cs="Arial"/>
          <w:color w:val="000000"/>
          <w:lang w:val="uk-UA" w:eastAsia="ru-RU"/>
        </w:rPr>
        <w:t>) сходяться на єдиному підході, який узгоджується з режимом потужності, режимом балансування та механізмами торгівлі вторинними потужностями.</w:t>
      </w:r>
    </w:p>
    <w:p w14:paraId="1373E1D4"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lastRenderedPageBreak/>
        <w:t>Те, як встановлюються тарифи на трубопровід, гарантують, що короткотермінові та довгострокові ринки ефективно управляються та стійкі в часі, забезпечуючи інвестиційні сигнали для створення нової інфраструктури.</w:t>
      </w:r>
    </w:p>
    <w:p w14:paraId="5FAB2B86" w14:textId="77777777" w:rsidR="005F1C42" w:rsidRPr="007E5633" w:rsidRDefault="005F1C42" w:rsidP="0042516F">
      <w:pPr>
        <w:numPr>
          <w:ilvl w:val="0"/>
          <w:numId w:val="16"/>
        </w:numPr>
        <w:tabs>
          <w:tab w:val="clear" w:pos="720"/>
        </w:tabs>
        <w:suppressAutoHyphens w:val="0"/>
        <w:autoSpaceDN/>
        <w:spacing w:before="120" w:after="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Операційна сумісність (</w:t>
      </w:r>
      <w:r w:rsidRPr="007E5633">
        <w:rPr>
          <w:rFonts w:ascii="Arial" w:hAnsi="Arial" w:cs="Arial"/>
          <w:lang w:val="uk-UA"/>
        </w:rPr>
        <w:t>Interoperability</w:t>
      </w:r>
      <w:r w:rsidRPr="007E5633">
        <w:rPr>
          <w:rFonts w:ascii="Arial" w:eastAsia="Times New Roman" w:hAnsi="Arial" w:cs="Arial"/>
          <w:color w:val="000000"/>
          <w:lang w:val="uk-UA" w:eastAsia="ru-RU"/>
        </w:rPr>
        <w:t xml:space="preserve">) та обмін даними по всій газотранспортній системі всіма </w:t>
      </w:r>
      <w:r w:rsidRPr="007E5633">
        <w:rPr>
          <w:rFonts w:ascii="Arial" w:hAnsi="Arial" w:cs="Arial"/>
          <w:lang w:val="uk-UA"/>
        </w:rPr>
        <w:t xml:space="preserve">TSO </w:t>
      </w:r>
      <w:r w:rsidRPr="007E5633">
        <w:rPr>
          <w:rFonts w:ascii="Arial" w:eastAsia="Times New Roman" w:hAnsi="Arial" w:cs="Arial"/>
          <w:color w:val="000000"/>
          <w:lang w:val="uk-UA" w:eastAsia="ru-RU"/>
        </w:rPr>
        <w:t xml:space="preserve">будуть послідовно проводитися, так що ефективність з точки зору користувача системи є такою, начебто вся газова передача в мережі ЄС експлуатується єдиним </w:t>
      </w:r>
      <w:r w:rsidRPr="007E5633">
        <w:rPr>
          <w:rFonts w:ascii="Arial" w:hAnsi="Arial" w:cs="Arial"/>
          <w:lang w:val="uk-UA"/>
        </w:rPr>
        <w:t xml:space="preserve">TSO </w:t>
      </w:r>
      <w:r w:rsidRPr="007E5633">
        <w:rPr>
          <w:rFonts w:ascii="Arial" w:eastAsia="Times New Roman" w:hAnsi="Arial" w:cs="Arial"/>
          <w:color w:val="000000"/>
          <w:lang w:val="uk-UA" w:eastAsia="ru-RU"/>
        </w:rPr>
        <w:t>(коли всі існуючі норми будуть імплементовані).</w:t>
      </w:r>
    </w:p>
    <w:p w14:paraId="44B1A5A5"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Головний постачальник газу виступає як маркет-мейкер або підпадає під дію норм, які стимулюють розвиток конкуренції.</w:t>
      </w:r>
    </w:p>
    <w:p w14:paraId="6E2C8F58"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Обов'язок</w:t>
      </w:r>
      <w:r w:rsidRPr="007E5633">
        <w:rPr>
          <w:rFonts w:ascii="Arial" w:eastAsia="Times New Roman" w:hAnsi="Arial" w:cs="Arial"/>
          <w:color w:val="000000"/>
          <w:sz w:val="27"/>
          <w:lang w:val="uk-UA" w:eastAsia="ru-RU"/>
        </w:rPr>
        <w:t> </w:t>
      </w:r>
      <w:r w:rsidRPr="007E5633">
        <w:rPr>
          <w:rFonts w:ascii="Arial" w:eastAsia="Times New Roman" w:hAnsi="Arial" w:cs="Arial"/>
          <w:color w:val="000000"/>
          <w:lang w:val="uk-UA" w:eastAsia="ru-RU"/>
        </w:rPr>
        <w:t>бути</w:t>
      </w:r>
      <w:r w:rsidRPr="007E5633">
        <w:rPr>
          <w:rFonts w:ascii="Arial" w:eastAsia="Times New Roman" w:hAnsi="Arial" w:cs="Arial"/>
          <w:color w:val="000000"/>
          <w:sz w:val="27"/>
          <w:lang w:val="uk-UA" w:eastAsia="ru-RU"/>
        </w:rPr>
        <w:t xml:space="preserve"> </w:t>
      </w:r>
      <w:r w:rsidRPr="007E5633">
        <w:rPr>
          <w:rFonts w:ascii="Arial" w:eastAsia="Times New Roman" w:hAnsi="Arial" w:cs="Arial"/>
          <w:color w:val="000000"/>
          <w:lang w:val="uk-UA" w:eastAsia="ru-RU"/>
        </w:rPr>
        <w:t>маркет-мейкером є важливим першим кроком на шляху до створення ліквідності у віртуальних торгових точках (VTPs) та до їх ефективності, особливо в Центральній та Східній Європі.</w:t>
      </w:r>
    </w:p>
    <w:p w14:paraId="3E840C18"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Газова Директива ЄС зобов'язує держави-члени створювати регуляторні органи, які не залежать від інтересів енергетичного бізнесу та уряду і які є окремими юридичними особами із визначеними повноваженнями та ресурсами.</w:t>
      </w:r>
      <w:r w:rsidRPr="007E5633">
        <w:rPr>
          <w:rFonts w:ascii="Arial" w:eastAsia="Times New Roman" w:hAnsi="Arial" w:cs="Arial"/>
          <w:color w:val="000000"/>
          <w:sz w:val="27"/>
          <w:szCs w:val="27"/>
          <w:lang w:val="uk-UA" w:eastAsia="ru-RU"/>
        </w:rPr>
        <w:t> </w:t>
      </w:r>
      <w:r w:rsidRPr="007E5633">
        <w:rPr>
          <w:rFonts w:ascii="Arial" w:eastAsia="Times New Roman" w:hAnsi="Arial" w:cs="Arial"/>
          <w:color w:val="000000"/>
          <w:lang w:val="uk-UA" w:eastAsia="ru-RU"/>
        </w:rPr>
        <w:t>Ці регулятори зобов'язані, зокрема, забезпечити недискримінаційний доступ третім сторонам до інфраструктури за допомогою регульованої та прозорої системи тарифів.</w:t>
      </w:r>
    </w:p>
    <w:p w14:paraId="6AD0C890" w14:textId="77777777" w:rsidR="005F1C42" w:rsidRPr="007E5633" w:rsidRDefault="005F1C42"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27" w:name="_Toc533093898"/>
      <w:bookmarkEnd w:id="26"/>
      <w:r w:rsidRPr="007E5633">
        <w:rPr>
          <w:rFonts w:ascii="Arial" w:hAnsi="Arial" w:cs="Arial"/>
          <w:color w:val="auto"/>
          <w:sz w:val="22"/>
          <w:szCs w:val="22"/>
          <w:lang w:val="uk-UA"/>
        </w:rPr>
        <w:t>Ринки електроенергії ЄС</w:t>
      </w:r>
      <w:bookmarkEnd w:id="27"/>
    </w:p>
    <w:p w14:paraId="66AB1FF7"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Європейські ринки електроенергії працюють на різних рівнях. Оптові ринки організовані інакше, ніж роздрібні ринки, які обслуговують споживачів. Ринки можуть відрізнятися географічно, починаючи від місцевих пропозицій на роздрібному ринку до транснаціональних оптових ринків. Виходячи з їх часових параметрів, оптові ринки коливаються від балансуючих ринків у реальному часі до довгострокових контрактів. На лібералізованому ринку різні підприємства несуть відповідальність за виробництво електроенергії, а також за експлуатацію системи передачі (оператори системи передачі, </w:t>
      </w:r>
      <w:r w:rsidRPr="007E5633">
        <w:rPr>
          <w:rFonts w:ascii="Arial" w:hAnsi="Arial" w:cs="Arial"/>
          <w:lang w:val="uk-UA"/>
        </w:rPr>
        <w:t>transmission system operators</w:t>
      </w:r>
      <w:r w:rsidRPr="007E5633">
        <w:rPr>
          <w:rFonts w:ascii="Arial" w:eastAsia="Times New Roman" w:hAnsi="Arial" w:cs="Arial"/>
          <w:color w:val="000000"/>
          <w:lang w:val="uk-UA" w:eastAsia="ru-RU"/>
        </w:rPr>
        <w:t xml:space="preserve"> = TSO) та розподільної системи (оператори системи розподілу, </w:t>
      </w:r>
      <w:r w:rsidRPr="007E5633">
        <w:rPr>
          <w:rFonts w:ascii="Arial" w:hAnsi="Arial" w:cs="Arial"/>
          <w:lang w:val="uk-UA"/>
        </w:rPr>
        <w:t>distribution system operators</w:t>
      </w:r>
      <w:r w:rsidRPr="007E5633">
        <w:rPr>
          <w:rFonts w:ascii="Arial" w:eastAsia="Times New Roman" w:hAnsi="Arial" w:cs="Arial"/>
          <w:color w:val="000000"/>
          <w:lang w:val="uk-UA" w:eastAsia="ru-RU"/>
        </w:rPr>
        <w:t xml:space="preserve"> = DSO). Вони повинні надавати третім сторонам доступ до своїх мереж.</w:t>
      </w:r>
    </w:p>
    <w:p w14:paraId="4DF6370C"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Учасниками оптового ринку є виробники, постачальники електроенергії та великі промислові споживачі. Електроенергію можна продавати на двосторонній основі приватним споживачам, як це відбувається на позабіржовому ринку. Її можна також продавати на енергетичних біржах, що об'єднує більше покупців і продавців і пропонує прозоре ціноутворення.</w:t>
      </w:r>
    </w:p>
    <w:p w14:paraId="79AAABE9"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Щоразу, коли виникає необхідність генерувати електроенергію, до виробників звертаються в порядку, починаючи від найнижчої до найвищої ціни (</w:t>
      </w:r>
      <w:r w:rsidRPr="007E5633">
        <w:rPr>
          <w:rFonts w:ascii="Arial" w:hAnsi="Arial" w:cs="Arial"/>
          <w:lang w:val="uk-UA"/>
        </w:rPr>
        <w:t>merit order</w:t>
      </w:r>
      <w:r w:rsidRPr="007E5633">
        <w:rPr>
          <w:rFonts w:ascii="Arial" w:eastAsia="Times New Roman" w:hAnsi="Arial" w:cs="Arial"/>
          <w:color w:val="000000"/>
          <w:lang w:val="uk-UA" w:eastAsia="ru-RU"/>
        </w:rPr>
        <w:t xml:space="preserve">). Усі вони отримують ціну, яку вимагає виробник, пропозиція якого задовольнить граничний попит. Застосування цього принципу привело до «ефекту </w:t>
      </w:r>
      <w:r w:rsidRPr="007E5633">
        <w:rPr>
          <w:rFonts w:ascii="Arial" w:hAnsi="Arial" w:cs="Arial"/>
          <w:lang w:val="uk-UA"/>
        </w:rPr>
        <w:t>merit order</w:t>
      </w:r>
      <w:r w:rsidRPr="007E5633">
        <w:rPr>
          <w:rFonts w:ascii="Arial" w:eastAsia="Times New Roman" w:hAnsi="Arial" w:cs="Arial"/>
          <w:color w:val="000000"/>
          <w:lang w:val="uk-UA" w:eastAsia="ru-RU"/>
        </w:rPr>
        <w:t>», внаслідок чого європейські оптові ціни падають внаслідок того, що деякі виробники (вітер, гідроенергетика та сонячна енергія) не мають витрат на паливо та можуть пропонувати низькі ціни, що визначають рівень ціни для інших виробників. Оптові ринки інтегровані на транснаціональному регіональному рівні, як у випадку з центральним західноєвропейським регіоном (так зване, "злиття ринку"). Розподіл потужності на основі потоку допомагає оптимізувати використання міжмережевих потужностей шляхом з'єднання мереж. У випадку достатнього використання міжмережевих потужностей, ціни між ринками будуть зрівнюватися. Коли попит на транскордонну торгівлю перевищує міжмережеву пропускну спроможність (виникають "затори" або перевантаження), електроенергія не може перетікати з мережі з нижчим рівнем цін до мережі з вищим рівнем цін, внаслідок чого у різних регіонах (мережах) ціни можуть відрізнятися.</w:t>
      </w:r>
    </w:p>
    <w:p w14:paraId="239200B5"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lastRenderedPageBreak/>
        <w:t>Енергосервісні компанії та агрегатори (які об’єднують електропостачання від малих генераторів) можуть приносити інноваційні бізнес-моделі на ринки електроенергії.</w:t>
      </w:r>
    </w:p>
    <w:p w14:paraId="3331EB5C"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Кількість </w:t>
      </w:r>
      <w:r w:rsidRPr="007E5633">
        <w:rPr>
          <w:rFonts w:ascii="Arial" w:hAnsi="Arial" w:cs="Arial"/>
          <w:lang w:val="uk-UA"/>
        </w:rPr>
        <w:t xml:space="preserve">'prosumers', тобто </w:t>
      </w:r>
      <w:r w:rsidRPr="007E5633">
        <w:rPr>
          <w:rFonts w:ascii="Arial" w:eastAsia="Times New Roman" w:hAnsi="Arial" w:cs="Arial"/>
          <w:color w:val="000000"/>
          <w:lang w:val="uk-UA" w:eastAsia="ru-RU"/>
        </w:rPr>
        <w:t>суб'єктів, які виробляють та споживають електроенергію, зростає. Збільшення власного споживання також означає, що менше електроенергії споживається з мережі, що приводить до зменшення доходів операторів мережі, що для них ускладнює фінансування інвестицій. Як наслідок, споживачі, які не генерують власну електроенергію, можуть зіткнутися з вищими цінами в мережі.</w:t>
      </w:r>
    </w:p>
    <w:p w14:paraId="1D1EE677" w14:textId="77777777" w:rsidR="005F1C42" w:rsidRPr="007E5633" w:rsidRDefault="005F1C42" w:rsidP="00BA71F3">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Оператори системи розподілу (</w:t>
      </w:r>
      <w:r w:rsidRPr="007E5633">
        <w:rPr>
          <w:rFonts w:ascii="Arial" w:hAnsi="Arial" w:cs="Arial"/>
          <w:lang w:val="uk-UA"/>
        </w:rPr>
        <w:t>Distribution System Operators = DSO</w:t>
      </w:r>
      <w:r w:rsidRPr="007E5633">
        <w:rPr>
          <w:rFonts w:ascii="Arial" w:eastAsia="Times New Roman" w:hAnsi="Arial" w:cs="Arial"/>
          <w:color w:val="000000"/>
          <w:lang w:val="uk-UA" w:eastAsia="ru-RU"/>
        </w:rPr>
        <w:t>) поки що переважно передавали електроенергію від мереж передачі до кінцевого споживача. Чим більше відновлюваної енергії виробляється на місцевому рівні, тим буде більше тиску для них активніше управляти своїми мережами. Тому пропонується організація DSO на загальноєвропейському рівні. Ця мережа буде координувати роботу та планування DSO, щоб забезпечити, наприклад, кращу інтеграцію відновлюваних джерел енергії та цифрову обробку інформації в мережах.</w:t>
      </w:r>
    </w:p>
    <w:p w14:paraId="457C25FE" w14:textId="77777777" w:rsidR="00E4309C" w:rsidRPr="007E5633" w:rsidRDefault="005F1C42" w:rsidP="00B83D6C">
      <w:pPr>
        <w:pStyle w:val="FSHeader1"/>
        <w:keepNext w:val="0"/>
        <w:pageBreakBefore w:val="0"/>
        <w:numPr>
          <w:ilvl w:val="2"/>
          <w:numId w:val="7"/>
        </w:numPr>
        <w:tabs>
          <w:tab w:val="left" w:pos="709"/>
        </w:tabs>
        <w:spacing w:before="120" w:after="120"/>
        <w:rPr>
          <w:rFonts w:ascii="Arial" w:hAnsi="Arial" w:cs="Arial"/>
          <w:color w:val="auto"/>
          <w:sz w:val="22"/>
          <w:szCs w:val="22"/>
          <w:lang w:val="uk-UA"/>
        </w:rPr>
      </w:pPr>
      <w:bookmarkStart w:id="28" w:name="_Toc526775007"/>
      <w:bookmarkStart w:id="29" w:name="_Toc533093899"/>
      <w:r w:rsidRPr="007E5633">
        <w:rPr>
          <w:rFonts w:ascii="Arial" w:hAnsi="Arial" w:cs="Arial"/>
          <w:color w:val="auto"/>
          <w:sz w:val="22"/>
          <w:szCs w:val="22"/>
          <w:lang w:val="uk-UA"/>
        </w:rPr>
        <w:t>Продукти, що продаються на ринках</w:t>
      </w:r>
      <w:bookmarkEnd w:id="28"/>
      <w:bookmarkEnd w:id="29"/>
    </w:p>
    <w:p w14:paraId="46CA550B" w14:textId="77777777" w:rsidR="00B56599" w:rsidRPr="007E5633" w:rsidRDefault="005F1C42" w:rsidP="00B56599">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Продукти потрапляють у дві основні категорії: а) фізичні (physically settled); б) фінансові (financially settled). "Фізичний продукт" (Physical settlement) означає доставку основного товару. Доставка завжди характеризується періодом та пунктом доставки.</w:t>
      </w:r>
    </w:p>
    <w:p w14:paraId="5B2D63AE" w14:textId="77777777" w:rsidR="00E4309C" w:rsidRPr="007E5633" w:rsidRDefault="005F1C42"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30" w:name="_Toc533093900"/>
      <w:r w:rsidRPr="007E5633">
        <w:rPr>
          <w:rFonts w:ascii="Arial" w:hAnsi="Arial" w:cs="Arial"/>
          <w:color w:val="auto"/>
          <w:sz w:val="22"/>
          <w:szCs w:val="22"/>
          <w:lang w:val="uk-UA"/>
        </w:rPr>
        <w:t>Визначення оптового продукту</w:t>
      </w:r>
      <w:bookmarkEnd w:id="30"/>
    </w:p>
    <w:p w14:paraId="7755FE7F"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Оптові енергетичні продукти визначені в </w:t>
      </w:r>
      <w:r w:rsidR="00FA7B75">
        <w:rPr>
          <w:rFonts w:ascii="Arial" w:eastAsia="Times New Roman" w:hAnsi="Arial" w:cs="Arial"/>
          <w:color w:val="000000"/>
          <w:lang w:val="uk-UA" w:eastAsia="ru-RU"/>
        </w:rPr>
        <w:t>Регламенті</w:t>
      </w:r>
      <w:r w:rsidRPr="007E5633">
        <w:rPr>
          <w:rFonts w:ascii="Arial" w:eastAsia="Times New Roman" w:hAnsi="Arial" w:cs="Arial"/>
          <w:color w:val="000000"/>
          <w:lang w:val="uk-UA" w:eastAsia="ru-RU"/>
        </w:rPr>
        <w:t xml:space="preserve"> (ЄС) № 1227/2011 «Про цілісність та прозорість оптового ринку енергії (REMIT). REMIT поширюється на оптові енергопродукти (Wholesale Energy Products  = WEP).</w:t>
      </w:r>
    </w:p>
    <w:p w14:paraId="39114ABE"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WEP означає наступні контракти та похідні інструменти, незалежно від того, де і як вони продаються:</w:t>
      </w:r>
    </w:p>
    <w:p w14:paraId="676D378F"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(а) контракти на поставку електроенергії або природного газу, якщо постачання здійснюється в ЄС;</w:t>
      </w:r>
    </w:p>
    <w:p w14:paraId="63F94F4D"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 похідні фінансові інструменти, що стосуються електроенергії або природного газу, що виробляється, торгується або постачається в ЄС;</w:t>
      </w:r>
    </w:p>
    <w:p w14:paraId="6E641B74"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 контракти, що стосуються транспортування електроенергії або природного газу в ЄС;</w:t>
      </w:r>
    </w:p>
    <w:p w14:paraId="117E3338"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w:t>
      </w:r>
      <w:r w:rsidR="00FA7B75">
        <w:rPr>
          <w:rFonts w:ascii="Arial" w:eastAsia="Times New Roman" w:hAnsi="Arial" w:cs="Arial"/>
          <w:color w:val="000000"/>
          <w:lang w:val="uk-UA" w:eastAsia="ru-RU"/>
        </w:rPr>
        <w:t>г</w:t>
      </w:r>
      <w:r w:rsidRPr="007E5633">
        <w:rPr>
          <w:rFonts w:ascii="Arial" w:eastAsia="Times New Roman" w:hAnsi="Arial" w:cs="Arial"/>
          <w:color w:val="000000"/>
          <w:lang w:val="uk-UA" w:eastAsia="ru-RU"/>
        </w:rPr>
        <w:t>) похідні, що стосуються транспортування електроенергії або природного газу в ЄС. Контракти на поставку та розподіл електроенергії або природного газу для використання кінцевими споживачами - це не оптова енергетична продукція. Проте контракти на постачання та розподіл електроенергії або природного газу кінцевим споживачам, які мають виробничу потужність, більшу за порогову [...], розглядаються як торгівля оптовими енергетичними продуктами.</w:t>
      </w:r>
    </w:p>
    <w:p w14:paraId="317FAB69" w14:textId="77777777" w:rsidR="00E4309C" w:rsidRPr="007E5633" w:rsidRDefault="005F1C42"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31" w:name="_Toc533093901"/>
      <w:r w:rsidRPr="007E5633">
        <w:rPr>
          <w:rFonts w:ascii="Arial" w:hAnsi="Arial" w:cs="Arial"/>
          <w:color w:val="auto"/>
          <w:sz w:val="22"/>
          <w:szCs w:val="22"/>
          <w:lang w:val="uk-UA"/>
        </w:rPr>
        <w:t>Торгівля газом</w:t>
      </w:r>
      <w:bookmarkEnd w:id="31"/>
    </w:p>
    <w:p w14:paraId="09DF9A3D"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Газовий ринок розрізняє поточні (спотові) операції та ф'ючерси або форвардні угоди:</w:t>
      </w:r>
    </w:p>
    <w:p w14:paraId="622CC763" w14:textId="77777777" w:rsidR="005F1C42" w:rsidRPr="007E5633" w:rsidRDefault="005F1C42" w:rsidP="0042516F">
      <w:pPr>
        <w:numPr>
          <w:ilvl w:val="0"/>
          <w:numId w:val="17"/>
        </w:numPr>
        <w:tabs>
          <w:tab w:val="clear" w:pos="720"/>
        </w:tabs>
        <w:suppressAutoHyphens w:val="0"/>
        <w:autoSpaceDN/>
        <w:spacing w:after="12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Спотовий ринок завжди фізичний і охоплює поставку на кілька днів вперед.</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Поставки оголошуються як частина процесу передачі власності, а платежі здійснюються або відразу, або на основі щомісячних рахунків-фактур.</w:t>
      </w:r>
    </w:p>
    <w:p w14:paraId="6AEA07C4" w14:textId="77777777" w:rsidR="005F1C42" w:rsidRPr="007E5633" w:rsidRDefault="005F1C42" w:rsidP="0042516F">
      <w:pPr>
        <w:numPr>
          <w:ilvl w:val="0"/>
          <w:numId w:val="17"/>
        </w:numPr>
        <w:tabs>
          <w:tab w:val="clear" w:pos="720"/>
        </w:tabs>
        <w:suppressAutoHyphens w:val="0"/>
        <w:autoSpaceDN/>
        <w:spacing w:after="12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Ринок ф'ючерсів охоплює контракти на період від тижня до року з зобов'язанням поставити (і сплатити).</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Оскільки рух цін тут може бути значним, вартість доставки, деномінована в певній валюті, може з часом збільшуватися або зменшуватися.</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 xml:space="preserve">Отже, певний контрагентний та ціновий ризик можуть призвести до ситуації, </w:t>
      </w:r>
      <w:r w:rsidRPr="007E5633">
        <w:rPr>
          <w:rFonts w:ascii="Arial" w:eastAsia="Times New Roman" w:hAnsi="Arial" w:cs="Arial"/>
          <w:color w:val="000000"/>
          <w:lang w:val="uk-UA" w:eastAsia="ru-RU"/>
        </w:rPr>
        <w:lastRenderedPageBreak/>
        <w:t>коли трейдери вважають за краще хеждувати свої ризики.</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Одним з показників управління ризиком є ​​використання клірингового дому для ф’ючерсних продуктів. Брокерські / двосторонні продукти на позабіржовому ринку, які відповідають біржовим ф'ючерсам, є форвардними угодами, що також передбачає зобов'язання продавця здійснити поставку в певний період в майбутньому.</w:t>
      </w:r>
    </w:p>
    <w:p w14:paraId="2F38CC23" w14:textId="77777777" w:rsidR="005F1C42" w:rsidRPr="007E5633" w:rsidRDefault="005F1C42" w:rsidP="00FE11E7">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b/>
          <w:bCs/>
          <w:i/>
          <w:iCs/>
          <w:color w:val="000000"/>
          <w:lang w:val="uk-UA" w:eastAsia="ru-RU"/>
        </w:rPr>
        <w:t>Продукти з фізичною поставкою (= фізичні продукти)</w:t>
      </w:r>
    </w:p>
    <w:p w14:paraId="30FC1DC7" w14:textId="77777777" w:rsidR="005F1C42" w:rsidRPr="007E5633" w:rsidRDefault="00656801" w:rsidP="0042516F">
      <w:pPr>
        <w:numPr>
          <w:ilvl w:val="0"/>
          <w:numId w:val="18"/>
        </w:numPr>
        <w:tabs>
          <w:tab w:val="clear" w:pos="720"/>
        </w:tabs>
        <w:suppressAutoHyphens w:val="0"/>
        <w:autoSpaceDN/>
        <w:spacing w:after="120" w:line="240" w:lineRule="auto"/>
        <w:ind w:left="567" w:hanging="402"/>
        <w:jc w:val="both"/>
        <w:textAlignment w:val="auto"/>
        <w:rPr>
          <w:rFonts w:ascii="Arial" w:eastAsia="Times New Roman" w:hAnsi="Arial" w:cs="Arial"/>
          <w:color w:val="000000"/>
          <w:lang w:val="uk-UA" w:eastAsia="ru-RU"/>
        </w:rPr>
      </w:pPr>
      <w:r>
        <w:rPr>
          <w:rFonts w:ascii="Arial" w:eastAsia="Times New Roman" w:hAnsi="Arial" w:cs="Arial"/>
          <w:color w:val="000000"/>
          <w:lang w:val="uk-UA" w:eastAsia="ru-RU"/>
        </w:rPr>
        <w:t>Продукти на спотовому ринку -</w:t>
      </w:r>
      <w:r w:rsidR="005F1C42" w:rsidRPr="007E5633">
        <w:rPr>
          <w:rFonts w:ascii="Arial" w:eastAsia="Times New Roman" w:hAnsi="Arial" w:cs="Arial"/>
          <w:color w:val="000000"/>
          <w:lang w:val="uk-UA" w:eastAsia="ru-RU"/>
        </w:rPr>
        <w:t xml:space="preserve"> це продукти, що торгуються в межах дня або на наступний день (або на вихідні дні).</w:t>
      </w:r>
    </w:p>
    <w:p w14:paraId="530F2492" w14:textId="77777777" w:rsidR="005F1C42" w:rsidRPr="007E5633" w:rsidRDefault="005F1C42" w:rsidP="0042516F">
      <w:pPr>
        <w:numPr>
          <w:ilvl w:val="0"/>
          <w:numId w:val="18"/>
        </w:numPr>
        <w:tabs>
          <w:tab w:val="clear" w:pos="720"/>
        </w:tabs>
        <w:suppressAutoHyphens w:val="0"/>
        <w:autoSpaceDN/>
        <w:spacing w:after="12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Ф'ючерси - це біржові товари з періодами доставки на місяць, квартал, сезон або рік.</w:t>
      </w:r>
    </w:p>
    <w:p w14:paraId="06FAE79C" w14:textId="77777777" w:rsidR="005F1C42" w:rsidRPr="007E5633" w:rsidRDefault="005F1C42" w:rsidP="0042516F">
      <w:pPr>
        <w:numPr>
          <w:ilvl w:val="0"/>
          <w:numId w:val="18"/>
        </w:numPr>
        <w:tabs>
          <w:tab w:val="clear" w:pos="720"/>
        </w:tabs>
        <w:suppressAutoHyphens w:val="0"/>
        <w:autoSpaceDN/>
        <w:spacing w:after="12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Форвардні операції - це позабіржові контракти, які відповідають ф'ючерсам, але з наявністю двох сторін контракту на поставку.</w:t>
      </w:r>
    </w:p>
    <w:p w14:paraId="6293F4BB" w14:textId="77777777" w:rsidR="005F1C42" w:rsidRPr="007E5633" w:rsidRDefault="005F1C42" w:rsidP="0042516F">
      <w:pPr>
        <w:numPr>
          <w:ilvl w:val="0"/>
          <w:numId w:val="18"/>
        </w:numPr>
        <w:tabs>
          <w:tab w:val="clear" w:pos="720"/>
        </w:tabs>
        <w:suppressAutoHyphens w:val="0"/>
        <w:autoSpaceDN/>
        <w:spacing w:after="120" w:line="240" w:lineRule="auto"/>
        <w:ind w:left="567" w:hanging="402"/>
        <w:jc w:val="both"/>
        <w:textAlignment w:val="auto"/>
        <w:rPr>
          <w:rFonts w:ascii="Arial" w:eastAsia="Times New Roman" w:hAnsi="Arial" w:cs="Arial"/>
          <w:color w:val="31417A"/>
          <w:lang w:val="uk-UA" w:eastAsia="ru-RU"/>
        </w:rPr>
      </w:pPr>
      <w:r w:rsidRPr="007E5633">
        <w:rPr>
          <w:rFonts w:ascii="Arial" w:eastAsia="Times New Roman" w:hAnsi="Arial" w:cs="Arial"/>
          <w:color w:val="000000"/>
          <w:lang w:val="uk-UA" w:eastAsia="ru-RU"/>
        </w:rPr>
        <w:t>Нестандартна торгівля (особливі поставки, індивідуальні контракти на поставку).</w:t>
      </w:r>
    </w:p>
    <w:p w14:paraId="61209873"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b/>
          <w:bCs/>
          <w:i/>
          <w:iCs/>
          <w:color w:val="000000"/>
          <w:lang w:val="uk-UA" w:eastAsia="ru-RU"/>
        </w:rPr>
        <w:t>Фінансові продукти</w:t>
      </w:r>
      <w:r w:rsidR="00656801">
        <w:rPr>
          <w:rFonts w:ascii="Arial" w:eastAsia="Times New Roman" w:hAnsi="Arial" w:cs="Arial"/>
          <w:b/>
          <w:bCs/>
          <w:i/>
          <w:iCs/>
          <w:color w:val="000000"/>
          <w:lang w:val="uk-UA" w:eastAsia="ru-RU"/>
        </w:rPr>
        <w:t>,</w:t>
      </w:r>
      <w:r w:rsidRPr="007E5633">
        <w:rPr>
          <w:rFonts w:ascii="Arial" w:eastAsia="Times New Roman" w:hAnsi="Arial" w:cs="Arial"/>
          <w:color w:val="000000"/>
          <w:lang w:val="uk-UA" w:eastAsia="ru-RU"/>
        </w:rPr>
        <w:t> як правило, фізично не постачаються. Вони використовуються для хеджування фізичних транзакцій від руху цін або зміни курсів інших валют (FX – обмін валют). Опціони та свопи є головними інструментами, що використовуються для цієї мети.</w:t>
      </w:r>
    </w:p>
    <w:p w14:paraId="3A8570E9"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Опціони - односторонні права власника опціону на придбання або продаж фінансового продукту за попередньо узгодженими цінами (страйкова ціна). Залежно від фактичної ринкової ціни на цей товар, виплачується премія.</w:t>
      </w:r>
    </w:p>
    <w:p w14:paraId="2C495B29" w14:textId="77777777" w:rsidR="00BA71F3"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Свопи - це домовленість взаємно сплатити певну суму на регулярній основі (наприклад, щомісяця), але кожен потік платежів базується на іншому індексі.</w:t>
      </w:r>
    </w:p>
    <w:p w14:paraId="153AF66F" w14:textId="77777777" w:rsidR="00BA71F3" w:rsidRPr="007E5633" w:rsidRDefault="005F1C42" w:rsidP="0042516F">
      <w:pPr>
        <w:numPr>
          <w:ilvl w:val="1"/>
          <w:numId w:val="19"/>
        </w:numPr>
        <w:tabs>
          <w:tab w:val="clear" w:pos="1440"/>
        </w:tabs>
        <w:suppressAutoHyphens w:val="0"/>
        <w:autoSpaceDN/>
        <w:spacing w:after="120" w:line="240" w:lineRule="auto"/>
        <w:ind w:left="99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Фіксовані-плаваючі свопи: тут сторона A сплачує фіксовану ціну стороні B, а сторона B сплачує ціну, встановлену на основі індексу, стороні А.</w:t>
      </w:r>
    </w:p>
    <w:p w14:paraId="120CBF31" w14:textId="77777777" w:rsidR="005F1C42" w:rsidRPr="007E5633" w:rsidRDefault="005F1C42" w:rsidP="0042516F">
      <w:pPr>
        <w:numPr>
          <w:ilvl w:val="1"/>
          <w:numId w:val="19"/>
        </w:numPr>
        <w:tabs>
          <w:tab w:val="clear" w:pos="1440"/>
        </w:tabs>
        <w:suppressAutoHyphens w:val="0"/>
        <w:autoSpaceDN/>
        <w:spacing w:after="120" w:line="240" w:lineRule="auto"/>
        <w:ind w:left="99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Плаваючі-плаваючі свопи: тут обидві сторони сплачують суму, яку кожен розраховує на основі ціни, що залежить від значення індексу.</w:t>
      </w:r>
    </w:p>
    <w:p w14:paraId="0E0F7D7E"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 рідкісних випадках по фінансових продуктах відбувається фізична поставка. Наприклад, покупець кол-опціону на місячний газовий контракт може вимагати фізичної поставки замість фінансового розрахунку. У такому випадку біржа або продавець можуть конвертувати опціон у контракт з фізичною поставкою.</w:t>
      </w:r>
    </w:p>
    <w:p w14:paraId="034DF137"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пропозиція продуктів на регіональних платформах є стандартною, не потрібно перераховувати різні пропозиції продуктів, оскільки вони в основному однакові на більшості ринків. Надалі ми зосереджуємо увагу лише на газовому ринку, бо продукція на ринку електроенергії дуже подібна. Найбільш ліквідний ринок представлений на платформі PEGAS.</w:t>
      </w:r>
    </w:p>
    <w:p w14:paraId="602B856C"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PEGAS надає клієнтам доступ до всіх продуктів на своїй торговій платформі і дозволяє клієнтам торгувати контрактами на природний газ на ринках GASPOOL, NCG, PEG, TTF, CEGH та ZTP. Асортимент продукції охоплює спотові контракти  та деривативи щодо всіх основних європейських газових вузлів.</w:t>
      </w:r>
    </w:p>
    <w:p w14:paraId="00AA7428"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PEGAS надає можливість не тільки торгувати в межах однієї ринкової зони, а й торгувати спредовими (spread) продуктами між цими ринковими територіями. Окрім того, індикативні ціни, отримані за допомогою таких </w:t>
      </w:r>
      <w:r w:rsidRPr="007E5633">
        <w:rPr>
          <w:rFonts w:ascii="Arial" w:hAnsi="Arial" w:cs="Arial"/>
          <w:lang w:val="uk-UA"/>
        </w:rPr>
        <w:t>location spread</w:t>
      </w:r>
      <w:r w:rsidRPr="007E5633">
        <w:rPr>
          <w:rFonts w:ascii="Arial" w:eastAsia="Times New Roman" w:hAnsi="Arial" w:cs="Arial"/>
          <w:color w:val="000000"/>
          <w:lang w:val="uk-UA" w:eastAsia="ru-RU"/>
        </w:rPr>
        <w:t xml:space="preserve"> продуктів, покращують ліквідність безпосередніх продуктів. Усі продукти, що торгуються компанією PEGAS, експлуатуються платформами Powernext з незмінними характеристиками продуктів.</w:t>
      </w:r>
    </w:p>
    <w:p w14:paraId="2636C693"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PEGAS забезпечує торгівлю на торговій платформі GlobalVision. Члени біржі можуть торгувати всіма продуктами з однією ліцензією.</w:t>
      </w:r>
    </w:p>
    <w:p w14:paraId="1E6CB70B"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lastRenderedPageBreak/>
        <w:t xml:space="preserve">Що стосується зовнішнього інтерфейсу, трейдери можуть обрати між  </w:t>
      </w:r>
      <w:r w:rsidRPr="007E5633">
        <w:rPr>
          <w:rFonts w:ascii="Arial" w:hAnsi="Arial" w:cs="Arial"/>
          <w:lang w:val="uk-UA"/>
        </w:rPr>
        <w:t xml:space="preserve">Global Vision Direct Screen </w:t>
      </w:r>
      <w:r w:rsidRPr="007E5633">
        <w:rPr>
          <w:rFonts w:ascii="Arial" w:eastAsia="Times New Roman" w:hAnsi="Arial" w:cs="Arial"/>
          <w:color w:val="000000"/>
          <w:lang w:val="uk-UA" w:eastAsia="ru-RU"/>
        </w:rPr>
        <w:t xml:space="preserve">та </w:t>
      </w:r>
      <w:r w:rsidRPr="007E5633">
        <w:rPr>
          <w:rFonts w:ascii="Arial" w:hAnsi="Arial" w:cs="Arial"/>
          <w:lang w:val="uk-UA"/>
        </w:rPr>
        <w:t>Trading Gateway</w:t>
      </w:r>
      <w:r w:rsidRPr="007E5633">
        <w:rPr>
          <w:rFonts w:ascii="Arial" w:eastAsia="Times New Roman" w:hAnsi="Arial" w:cs="Arial"/>
          <w:color w:val="000000"/>
          <w:lang w:val="uk-UA" w:eastAsia="ru-RU"/>
        </w:rPr>
        <w:t>.</w:t>
      </w:r>
    </w:p>
    <w:p w14:paraId="4BB6E478"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Сегмент </w:t>
      </w:r>
      <w:r w:rsidRPr="007E5633">
        <w:rPr>
          <w:rFonts w:ascii="Arial" w:eastAsia="Times New Roman" w:hAnsi="Arial" w:cs="Arial"/>
          <w:b/>
          <w:bCs/>
          <w:color w:val="000000"/>
          <w:lang w:val="uk-UA" w:eastAsia="ru-RU"/>
        </w:rPr>
        <w:t>спот</w:t>
      </w:r>
      <w:r w:rsidRPr="007E5633">
        <w:rPr>
          <w:rFonts w:ascii="Arial" w:eastAsia="Times New Roman" w:hAnsi="Arial" w:cs="Arial"/>
          <w:color w:val="000000"/>
          <w:lang w:val="uk-UA" w:eastAsia="ru-RU"/>
        </w:rPr>
        <w:t>-</w:t>
      </w:r>
      <w:r w:rsidRPr="007E5633">
        <w:rPr>
          <w:rFonts w:ascii="Arial" w:eastAsia="Times New Roman" w:hAnsi="Arial" w:cs="Arial"/>
          <w:b/>
          <w:bCs/>
          <w:color w:val="000000"/>
          <w:lang w:val="uk-UA" w:eastAsia="ru-RU"/>
        </w:rPr>
        <w:t>ринок</w:t>
      </w:r>
      <w:r w:rsidRPr="007E5633">
        <w:rPr>
          <w:rFonts w:ascii="Arial" w:eastAsia="Times New Roman" w:hAnsi="Arial" w:cs="Arial"/>
          <w:color w:val="000000"/>
          <w:lang w:val="uk-UA" w:eastAsia="ru-RU"/>
        </w:rPr>
        <w:t> </w:t>
      </w:r>
      <w:r w:rsidRPr="007E5633">
        <w:rPr>
          <w:rFonts w:ascii="Arial" w:eastAsia="Times New Roman" w:hAnsi="Arial" w:cs="Arial"/>
          <w:b/>
          <w:bCs/>
          <w:color w:val="000000"/>
          <w:lang w:val="uk-UA" w:eastAsia="ru-RU"/>
        </w:rPr>
        <w:t xml:space="preserve"> PEGAS </w:t>
      </w:r>
      <w:r w:rsidRPr="007E5633">
        <w:rPr>
          <w:rFonts w:ascii="Arial" w:eastAsia="Times New Roman" w:hAnsi="Arial" w:cs="Arial"/>
          <w:color w:val="000000"/>
          <w:lang w:val="uk-UA" w:eastAsia="ru-RU"/>
        </w:rPr>
        <w:t xml:space="preserve">пропонує спотові контракти на </w:t>
      </w:r>
      <w:r w:rsidRPr="007E5633">
        <w:rPr>
          <w:rFonts w:ascii="Arial" w:hAnsi="Arial" w:cs="Arial"/>
          <w:lang w:val="uk-UA"/>
        </w:rPr>
        <w:t>TTF, NBP, NCG, GASPOOL</w:t>
      </w:r>
      <w:r w:rsidRPr="007E5633">
        <w:rPr>
          <w:rFonts w:ascii="Arial" w:eastAsia="Times New Roman" w:hAnsi="Arial" w:cs="Arial"/>
          <w:color w:val="000000"/>
          <w:lang w:val="uk-UA" w:eastAsia="ru-RU"/>
        </w:rPr>
        <w:t xml:space="preserve">, французьких PEGs (в даний час об'єднуються) і бельгійських </w:t>
      </w:r>
      <w:r w:rsidRPr="007E5633">
        <w:rPr>
          <w:rFonts w:ascii="Arial" w:hAnsi="Arial" w:cs="Arial"/>
          <w:lang w:val="uk-UA"/>
        </w:rPr>
        <w:t>ZTP</w:t>
      </w:r>
      <w:r w:rsidRPr="007E5633">
        <w:rPr>
          <w:rFonts w:ascii="Arial" w:eastAsia="Times New Roman" w:hAnsi="Arial" w:cs="Arial"/>
          <w:color w:val="000000"/>
          <w:lang w:val="uk-UA" w:eastAsia="ru-RU"/>
        </w:rPr>
        <w:t xml:space="preserve"> і CEGH:</w:t>
      </w:r>
    </w:p>
    <w:p w14:paraId="4267AC05"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 «в межах дня» дозволяє денний арбітраж та балансування на газ на поточний день (французька газотранспортна мережа пропонує денне, а не погодинне балансування).</w:t>
      </w:r>
    </w:p>
    <w:p w14:paraId="1E3F0480"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 «на наступний день» дозволяє купувати / продавати газ на наступний газовий робочий день.</w:t>
      </w:r>
    </w:p>
    <w:p w14:paraId="729C5D51"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 "вікенд" дозволяє купувати / продавати газ на найближчий кінець тижня (вікенд).</w:t>
      </w:r>
    </w:p>
    <w:p w14:paraId="73B4DCD1"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«суботній» контракт дозволяє купувати / продавати газ на найближчу суботу.</w:t>
      </w:r>
    </w:p>
    <w:p w14:paraId="7C882972"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«недільний» контракт дає можливість купувати / продавати газ на найближчу неділю.</w:t>
      </w:r>
    </w:p>
    <w:p w14:paraId="0EAAED6F"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«індивідуальний денний» контракт дозволяє купувати / продавати газ на наступний банківський вихідний, згідно торгового календаря, спредові продукти також пропонуються між усіма ринками.</w:t>
      </w:r>
    </w:p>
    <w:p w14:paraId="4E6367E8" w14:textId="77777777" w:rsidR="005F1C42" w:rsidRPr="007E5633" w:rsidRDefault="005F1C42" w:rsidP="00BA71F3">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Сегмент </w:t>
      </w:r>
      <w:r w:rsidRPr="007E5633">
        <w:rPr>
          <w:rFonts w:ascii="Arial" w:eastAsia="Times New Roman" w:hAnsi="Arial" w:cs="Arial"/>
          <w:b/>
          <w:bCs/>
          <w:color w:val="000000"/>
          <w:lang w:val="uk-UA" w:eastAsia="ru-RU"/>
        </w:rPr>
        <w:t>PEGAS ф'ючерсний ринок</w:t>
      </w:r>
      <w:r w:rsidRPr="007E5633">
        <w:rPr>
          <w:rFonts w:ascii="Arial" w:eastAsia="Times New Roman" w:hAnsi="Arial" w:cs="Arial"/>
          <w:color w:val="000000"/>
          <w:lang w:val="uk-UA" w:eastAsia="ru-RU"/>
        </w:rPr>
        <w:t xml:space="preserve"> пропонує ф'ючерсні контракти на </w:t>
      </w:r>
      <w:r w:rsidRPr="007E5633">
        <w:rPr>
          <w:rFonts w:ascii="Arial" w:hAnsi="Arial" w:cs="Arial"/>
          <w:lang w:val="uk-UA"/>
        </w:rPr>
        <w:t>NBP, NCG, GASPOOL, PSV, PEG (PEG North і TRS</w:t>
      </w:r>
      <w:r w:rsidRPr="007E5633">
        <w:rPr>
          <w:rFonts w:ascii="Arial" w:eastAsia="Times New Roman" w:hAnsi="Arial" w:cs="Arial"/>
          <w:color w:val="000000"/>
          <w:lang w:val="uk-UA" w:eastAsia="ru-RU"/>
        </w:rPr>
        <w:t xml:space="preserve"> в даний час об'єднуються), TTF, CEGH і </w:t>
      </w:r>
      <w:r w:rsidRPr="007E5633">
        <w:rPr>
          <w:rFonts w:ascii="Arial" w:hAnsi="Arial" w:cs="Arial"/>
          <w:lang w:val="uk-UA"/>
        </w:rPr>
        <w:t>ZTP</w:t>
      </w:r>
      <w:r w:rsidRPr="007E5633">
        <w:rPr>
          <w:rFonts w:ascii="Arial" w:eastAsia="Times New Roman" w:hAnsi="Arial" w:cs="Arial"/>
          <w:color w:val="000000"/>
          <w:lang w:val="uk-UA" w:eastAsia="ru-RU"/>
        </w:rPr>
        <w:t>, а також дозволяє торгувати:</w:t>
      </w:r>
    </w:p>
    <w:p w14:paraId="56960C0B"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наступний місяць на PEG і ZTP,</w:t>
      </w:r>
    </w:p>
    <w:p w14:paraId="5558D6E4"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наступні три місяці на PSV Fin,</w:t>
      </w:r>
    </w:p>
    <w:p w14:paraId="4C38BAF3"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наступні чотири місяці на PEG, TTF, NBP, NCG та GASPOOL,</w:t>
      </w:r>
    </w:p>
    <w:p w14:paraId="3768D91D"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наступні три квартали на PSV Fin, на наступні чотири квартали на PEG, NBP, NCG та GASPOOL, на наступні п'ять кварталів на TTF,</w:t>
      </w:r>
    </w:p>
    <w:p w14:paraId="4C5E0966"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наступні два газові сезони на PSV Fin,</w:t>
      </w:r>
    </w:p>
    <w:p w14:paraId="4E9B5C0E"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наступні чотири газові сезони на PEG, TTF, NBP, NCG та GASPOOL,</w:t>
      </w:r>
    </w:p>
    <w:p w14:paraId="3927624C" w14:textId="77777777" w:rsidR="005F1C42"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наступний календарний рік на PSV Fin, на наступні два календарні роки на PEG Nord, на наступні три календарні роки на TTF, NBP, NCG та GASPOOL.</w:t>
      </w:r>
    </w:p>
    <w:p w14:paraId="36F2D5F3" w14:textId="77777777" w:rsidR="00061AD9" w:rsidRPr="007E5633" w:rsidRDefault="00061AD9">
      <w:pPr>
        <w:suppressAutoHyphens w:val="0"/>
        <w:rPr>
          <w:rFonts w:ascii="Arial" w:eastAsia="Times New Roman" w:hAnsi="Arial" w:cs="Arial"/>
          <w:b/>
          <w:bCs/>
          <w:color w:val="000000"/>
          <w:lang w:val="uk-UA" w:eastAsia="ru-RU"/>
        </w:rPr>
      </w:pPr>
      <w:r w:rsidRPr="007E5633">
        <w:rPr>
          <w:rFonts w:ascii="Arial" w:eastAsia="Times New Roman" w:hAnsi="Arial" w:cs="Arial"/>
          <w:b/>
          <w:bCs/>
          <w:color w:val="000000"/>
          <w:lang w:val="uk-UA" w:eastAsia="ru-RU"/>
        </w:rPr>
        <w:br w:type="page"/>
      </w:r>
    </w:p>
    <w:p w14:paraId="1D06AB0A" w14:textId="4D51DDF7" w:rsidR="005F1C42" w:rsidRPr="007E5633" w:rsidRDefault="005F1C42" w:rsidP="005F1C42">
      <w:pPr>
        <w:suppressAutoHyphens w:val="0"/>
        <w:autoSpaceDN/>
        <w:spacing w:after="0" w:line="240" w:lineRule="auto"/>
        <w:rPr>
          <w:rFonts w:ascii="Arial" w:eastAsia="Times New Roman" w:hAnsi="Arial" w:cs="Arial"/>
          <w:b/>
          <w:color w:val="000000"/>
          <w:sz w:val="27"/>
          <w:szCs w:val="27"/>
          <w:lang w:val="uk-UA" w:eastAsia="ru-RU"/>
        </w:rPr>
      </w:pPr>
      <w:bookmarkStart w:id="32" w:name="_Toc533094033"/>
      <w:r w:rsidRPr="007E5633">
        <w:rPr>
          <w:rFonts w:ascii="Arial" w:eastAsia="Times New Roman" w:hAnsi="Arial" w:cs="Arial"/>
          <w:b/>
          <w:bCs/>
          <w:color w:val="000000"/>
          <w:lang w:val="uk-UA" w:eastAsia="ru-RU"/>
        </w:rPr>
        <w:lastRenderedPageBreak/>
        <w:t>Схема</w:t>
      </w:r>
      <w:r w:rsidR="0092175C" w:rsidRPr="007E5633">
        <w:rPr>
          <w:rFonts w:ascii="Arial" w:hAnsi="Arial" w:cs="Arial"/>
          <w:b/>
          <w:lang w:val="uk-UA"/>
        </w:rPr>
        <w:t xml:space="preserve"> </w:t>
      </w:r>
      <w:r w:rsidR="00622EE2" w:rsidRPr="007E5633">
        <w:rPr>
          <w:rFonts w:ascii="Arial" w:hAnsi="Arial" w:cs="Arial"/>
          <w:b/>
          <w:lang w:val="uk-UA"/>
        </w:rPr>
        <w:fldChar w:fldCharType="begin"/>
      </w:r>
      <w:r w:rsidR="0092175C" w:rsidRPr="007E5633">
        <w:rPr>
          <w:rFonts w:ascii="Arial" w:hAnsi="Arial" w:cs="Arial"/>
          <w:b/>
          <w:lang w:val="uk-UA"/>
        </w:rPr>
        <w:instrText xml:space="preserve"> SEQ Figure \* ARABIC </w:instrText>
      </w:r>
      <w:r w:rsidR="00622EE2" w:rsidRPr="007E5633">
        <w:rPr>
          <w:rFonts w:ascii="Arial" w:hAnsi="Arial" w:cs="Arial"/>
          <w:b/>
          <w:lang w:val="uk-UA"/>
        </w:rPr>
        <w:fldChar w:fldCharType="separate"/>
      </w:r>
      <w:r w:rsidR="00221E0D">
        <w:rPr>
          <w:rFonts w:ascii="Arial" w:hAnsi="Arial" w:cs="Arial"/>
          <w:b/>
          <w:noProof/>
          <w:lang w:val="uk-UA"/>
        </w:rPr>
        <w:t>6</w:t>
      </w:r>
      <w:r w:rsidR="00622EE2" w:rsidRPr="007E5633">
        <w:rPr>
          <w:rFonts w:ascii="Arial" w:hAnsi="Arial" w:cs="Arial"/>
          <w:b/>
          <w:lang w:val="uk-UA"/>
        </w:rPr>
        <w:fldChar w:fldCharType="end"/>
      </w:r>
      <w:r w:rsidR="0092175C" w:rsidRPr="007E5633">
        <w:rPr>
          <w:rFonts w:ascii="Arial" w:hAnsi="Arial" w:cs="Arial"/>
          <w:b/>
          <w:lang w:val="uk-UA"/>
        </w:rPr>
        <w:t xml:space="preserve">: </w:t>
      </w:r>
      <w:r w:rsidRPr="007E5633">
        <w:rPr>
          <w:rFonts w:ascii="Arial" w:eastAsia="Times New Roman" w:hAnsi="Arial" w:cs="Arial"/>
          <w:b/>
          <w:bCs/>
          <w:color w:val="000000"/>
          <w:lang w:val="uk-UA" w:eastAsia="ru-RU"/>
        </w:rPr>
        <w:t>Торговий екран PEGAS</w:t>
      </w:r>
      <w:bookmarkEnd w:id="32"/>
    </w:p>
    <w:p w14:paraId="23DC575B" w14:textId="77777777" w:rsidR="00E4309C" w:rsidRPr="007E5633" w:rsidRDefault="00E4309C" w:rsidP="00E4309C">
      <w:pPr>
        <w:pStyle w:val="NormalGTP"/>
        <w:spacing w:line="240" w:lineRule="auto"/>
        <w:rPr>
          <w:rFonts w:cs="Arial"/>
          <w:noProof w:val="0"/>
          <w:sz w:val="22"/>
          <w:lang w:val="uk-UA"/>
        </w:rPr>
      </w:pPr>
      <w:r w:rsidRPr="007E5633">
        <w:rPr>
          <w:rFonts w:cs="Arial"/>
          <w:b/>
          <w:sz w:val="22"/>
          <w:lang w:val="en-US"/>
        </w:rPr>
        <w:drawing>
          <wp:inline distT="0" distB="0" distL="0" distR="0" wp14:anchorId="6AF7DB73" wp14:editId="41AABB78">
            <wp:extent cx="5581650" cy="3733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47"/>
                    <a:stretch/>
                  </pic:blipFill>
                  <pic:spPr bwMode="auto">
                    <a:xfrm>
                      <a:off x="0" y="0"/>
                      <a:ext cx="5581650"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571004CA" w14:textId="77777777" w:rsidR="00E4309C" w:rsidRPr="007E5633" w:rsidRDefault="005F1C42"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33" w:name="_Toc533093902"/>
      <w:r w:rsidRPr="007E5633">
        <w:rPr>
          <w:rFonts w:ascii="Arial" w:hAnsi="Arial" w:cs="Arial"/>
          <w:color w:val="auto"/>
          <w:sz w:val="22"/>
          <w:szCs w:val="22"/>
          <w:lang w:val="uk-UA"/>
        </w:rPr>
        <w:t>Торгівля електроенергією</w:t>
      </w:r>
      <w:bookmarkEnd w:id="33"/>
    </w:p>
    <w:p w14:paraId="1C94A535"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bookmarkStart w:id="34" w:name="_Toc526800234"/>
      <w:r w:rsidRPr="007E5633">
        <w:rPr>
          <w:rFonts w:ascii="Arial" w:eastAsia="Times New Roman" w:hAnsi="Arial" w:cs="Arial"/>
          <w:color w:val="000000"/>
          <w:lang w:val="uk-UA" w:eastAsia="ru-RU"/>
        </w:rPr>
        <w:t>Електроенергією можна торгувати на різних типах оптових ринків: на енергобіржі або на багатосторонній торговій платформі учасники ринку подають пропозиції щодо генерації та попиту. Весь обсяг енергії на ринку продається/купується (тобто відбувається урівноваження попиту і пропозиції на ринку) як тільки визначаються попередньо визначений період часу та єдина ринкова ціна.</w:t>
      </w:r>
    </w:p>
    <w:p w14:paraId="0D92A458" w14:textId="77777777" w:rsidR="005F1C42" w:rsidRPr="007E5633" w:rsidRDefault="005F1C42" w:rsidP="005F1C42">
      <w:pPr>
        <w:suppressAutoHyphens w:val="0"/>
        <w:autoSpaceDN/>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Продукти, що торгуються на оптових ринках електроенергії, включають як короткотермінові, так і довгострокові фізичні продукти та короткострокові та довгострокові фінансові продукти. </w:t>
      </w:r>
      <w:r w:rsidRPr="007E5633">
        <w:rPr>
          <w:rFonts w:ascii="Arial" w:eastAsia="Times New Roman" w:hAnsi="Arial" w:cs="Arial"/>
          <w:b/>
          <w:bCs/>
          <w:color w:val="000000"/>
          <w:lang w:val="uk-UA" w:eastAsia="ru-RU"/>
        </w:rPr>
        <w:t>Фізичні продукти, що</w:t>
      </w:r>
      <w:r w:rsidRPr="007E5633">
        <w:rPr>
          <w:rFonts w:ascii="Arial" w:eastAsia="Times New Roman" w:hAnsi="Arial" w:cs="Arial"/>
          <w:color w:val="000000"/>
          <w:lang w:val="uk-UA" w:eastAsia="ru-RU"/>
        </w:rPr>
        <w:t> торгуються на оптових енергетичних ринках, ранжуються від погодинних контрактів, що торгуються в рамках внутрішньодобового ринку, до довготермінових фізичних форвардів. </w:t>
      </w:r>
      <w:r w:rsidRPr="007E5633">
        <w:rPr>
          <w:rFonts w:ascii="Arial" w:eastAsia="Times New Roman" w:hAnsi="Arial" w:cs="Arial"/>
          <w:b/>
          <w:bCs/>
          <w:color w:val="000000"/>
          <w:lang w:val="uk-UA" w:eastAsia="ru-RU"/>
        </w:rPr>
        <w:t>Похідні</w:t>
      </w:r>
      <w:r w:rsidRPr="007E5633">
        <w:rPr>
          <w:rFonts w:ascii="Arial" w:eastAsia="Times New Roman" w:hAnsi="Arial" w:cs="Arial"/>
          <w:color w:val="000000"/>
          <w:lang w:val="uk-UA" w:eastAsia="ru-RU"/>
        </w:rPr>
        <w:t> </w:t>
      </w:r>
      <w:r w:rsidRPr="007E5633">
        <w:rPr>
          <w:rFonts w:ascii="Arial" w:eastAsia="Times New Roman" w:hAnsi="Arial" w:cs="Arial"/>
          <w:b/>
          <w:color w:val="000000"/>
          <w:lang w:val="uk-UA" w:eastAsia="ru-RU"/>
        </w:rPr>
        <w:t>фінансові</w:t>
      </w:r>
      <w:r w:rsidRPr="007E5633">
        <w:rPr>
          <w:rFonts w:ascii="Arial" w:eastAsia="Times New Roman" w:hAnsi="Arial" w:cs="Arial"/>
          <w:color w:val="000000"/>
          <w:lang w:val="uk-UA" w:eastAsia="ru-RU"/>
        </w:rPr>
        <w:t> </w:t>
      </w:r>
      <w:r w:rsidRPr="007E5633">
        <w:rPr>
          <w:rFonts w:ascii="Arial" w:eastAsia="Times New Roman" w:hAnsi="Arial" w:cs="Arial"/>
          <w:b/>
          <w:bCs/>
          <w:color w:val="000000"/>
          <w:lang w:val="uk-UA" w:eastAsia="ru-RU"/>
        </w:rPr>
        <w:t>інструменти -</w:t>
      </w:r>
      <w:r w:rsidRPr="007E5633">
        <w:rPr>
          <w:rFonts w:ascii="Arial" w:eastAsia="Times New Roman" w:hAnsi="Arial" w:cs="Arial"/>
          <w:color w:val="000000"/>
          <w:lang w:val="uk-UA" w:eastAsia="ru-RU"/>
        </w:rPr>
        <w:t> це фінансові продукти, вартість яких залежить від вартості базового активу. Існує кілька різних видів деривативних контрактів. Найпоширеніші - це ф'ючерси, опціони та свопи.</w:t>
      </w:r>
    </w:p>
    <w:p w14:paraId="4DB77F63" w14:textId="77777777" w:rsidR="00BA71F3" w:rsidRPr="007E5633" w:rsidRDefault="005F1C42" w:rsidP="0042516F">
      <w:pPr>
        <w:numPr>
          <w:ilvl w:val="0"/>
          <w:numId w:val="19"/>
        </w:numPr>
        <w:tabs>
          <w:tab w:val="clear" w:pos="720"/>
        </w:tabs>
        <w:suppressAutoHyphens w:val="0"/>
        <w:autoSpaceDN/>
        <w:spacing w:after="120" w:line="240" w:lineRule="auto"/>
        <w:ind w:left="567" w:hanging="425"/>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Спотові контракти «на день вперед»: контракти торгуються на фізичну доставку на наступний день. Годинні контракти та гнучкі блокові контракти можуть торгуватися згідно відповідних ринкових правил. Спотові ціни на день вперед зазвичай встановлюються на аукціонах, де учасники ринку подають свої ставки до закінчення фази подання ставок. Деякі енергобіржі розрізняють базові навантаження та контракти на пікове навантаження.</w:t>
      </w:r>
    </w:p>
    <w:p w14:paraId="139ED461" w14:textId="77777777" w:rsidR="00BA71F3" w:rsidRPr="007E5633" w:rsidRDefault="005F1C42" w:rsidP="0042516F">
      <w:pPr>
        <w:numPr>
          <w:ilvl w:val="1"/>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Контракти на базові навантаження: контракти на доставку з понеділка по неділю, зазвичай 00.00-24.00</w:t>
      </w:r>
    </w:p>
    <w:p w14:paraId="4F4657CB" w14:textId="77777777" w:rsidR="00BA71F3" w:rsidRPr="007E5633" w:rsidRDefault="005F1C42" w:rsidP="0042516F">
      <w:pPr>
        <w:numPr>
          <w:ilvl w:val="1"/>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Контракти на пікове навантаження: контракти на доставку з понеділка по п'ятницю, зазвичай з 08.00 до 20.00 або з 08.00-18.00</w:t>
      </w:r>
    </w:p>
    <w:p w14:paraId="58A2D652" w14:textId="77777777" w:rsidR="005F1C42" w:rsidRPr="007E5633" w:rsidRDefault="005F1C42" w:rsidP="0042516F">
      <w:pPr>
        <w:numPr>
          <w:ilvl w:val="0"/>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Контракти «в межах дня»: контракти торгуються в ті ж дні, коли відбувається поставка.</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 xml:space="preserve">Учасники ринку торгують на внутрішньоденному ринку для виправлення </w:t>
      </w:r>
      <w:r w:rsidRPr="007E5633">
        <w:rPr>
          <w:rFonts w:ascii="Arial" w:eastAsia="Times New Roman" w:hAnsi="Arial" w:cs="Arial"/>
          <w:color w:val="000000"/>
          <w:lang w:val="uk-UA" w:eastAsia="ru-RU"/>
        </w:rPr>
        <w:lastRenderedPageBreak/>
        <w:t>дисбалансу, який у них виникає після торгів «на наступний день».</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В межах дня» торги, як правило</w:t>
      </w:r>
      <w:r w:rsidRPr="007E5633">
        <w:rPr>
          <w:rFonts w:ascii="Arial" w:eastAsia="Times New Roman" w:hAnsi="Arial" w:cs="Arial"/>
          <w:color w:val="31417A"/>
          <w:lang w:val="uk-UA" w:eastAsia="ru-RU"/>
        </w:rPr>
        <w:t>, </w:t>
      </w:r>
      <w:r w:rsidRPr="007E5633">
        <w:rPr>
          <w:rFonts w:ascii="Arial" w:eastAsia="Times New Roman" w:hAnsi="Arial" w:cs="Arial"/>
          <w:color w:val="000000"/>
          <w:lang w:val="uk-UA" w:eastAsia="ru-RU"/>
        </w:rPr>
        <w:t>здійснюються в безперервному режимі.</w:t>
      </w:r>
    </w:p>
    <w:p w14:paraId="7A04DDE1" w14:textId="77777777" w:rsidR="005F1C42" w:rsidRPr="007E5633" w:rsidRDefault="005F1C42" w:rsidP="0042516F">
      <w:pPr>
        <w:numPr>
          <w:ilvl w:val="0"/>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Фізичні форвардні контракти з фізичною поставкою в певний момент часу в майбутньому за ціною, що визначається при підписанні контракту. Спотова ціна «на наступний день» на момент поставки не впливає на контракт.</w:t>
      </w:r>
    </w:p>
    <w:p w14:paraId="27C0F5A1" w14:textId="77777777" w:rsidR="005F1C42" w:rsidRPr="007E5633" w:rsidRDefault="005F1C42" w:rsidP="0042516F">
      <w:pPr>
        <w:numPr>
          <w:ilvl w:val="0"/>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Ф'ючерси: Фінансові контракти з фізичним основним продуктом, де на дату поставки, сума, що відповідає вартості базового продукту, постачається за раніше обумовленою ціною (на відміну від фізичних форвардних контрактів, де постачається фактичний фізичний товар).</w:t>
      </w:r>
    </w:p>
    <w:p w14:paraId="309BE2C1" w14:textId="77777777" w:rsidR="005F1C42" w:rsidRPr="007E5633" w:rsidRDefault="005F1C42" w:rsidP="0042516F">
      <w:pPr>
        <w:numPr>
          <w:ilvl w:val="0"/>
          <w:numId w:val="19"/>
        </w:numPr>
        <w:suppressAutoHyphens w:val="0"/>
        <w:autoSpaceDN/>
        <w:spacing w:after="120" w:line="240" w:lineRule="auto"/>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Опціони: Контракти, які пропонують покупцю вибір або право, але не зобов'язання, купувати чи продавати актив за попередньо визначеною ціною в певний момент часу.</w:t>
      </w:r>
    </w:p>
    <w:p w14:paraId="6756C19B" w14:textId="77777777" w:rsidR="00B25E05" w:rsidRPr="007E5633" w:rsidRDefault="005F1C42"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35" w:name="_Toc533093903"/>
      <w:bookmarkEnd w:id="34"/>
      <w:r w:rsidRPr="007E5633">
        <w:rPr>
          <w:rFonts w:ascii="Arial" w:hAnsi="Arial" w:cs="Arial"/>
          <w:color w:val="auto"/>
          <w:sz w:val="22"/>
          <w:szCs w:val="22"/>
          <w:lang w:val="uk-UA"/>
        </w:rPr>
        <w:t>Дозволи на викиди</w:t>
      </w:r>
      <w:bookmarkEnd w:id="35"/>
    </w:p>
    <w:p w14:paraId="064E39B1" w14:textId="77777777" w:rsidR="005F1C42" w:rsidRPr="007E5633" w:rsidRDefault="005F1C42" w:rsidP="00061AD9">
      <w:pPr>
        <w:suppressAutoHyphens w:val="0"/>
        <w:autoSpaceDN/>
        <w:spacing w:before="120" w:after="0" w:line="240" w:lineRule="auto"/>
        <w:jc w:val="both"/>
        <w:rPr>
          <w:rFonts w:ascii="Arial" w:eastAsia="Times New Roman" w:hAnsi="Arial" w:cs="Arial"/>
          <w:color w:val="000000"/>
          <w:lang w:val="uk-UA" w:eastAsia="ru-RU"/>
        </w:rPr>
      </w:pPr>
      <w:bookmarkStart w:id="36" w:name="_Toc428388896"/>
      <w:r w:rsidRPr="007E5633">
        <w:rPr>
          <w:rFonts w:ascii="Arial" w:eastAsia="Times New Roman" w:hAnsi="Arial" w:cs="Arial"/>
          <w:color w:val="000000"/>
          <w:lang w:val="uk-UA" w:eastAsia="ru-RU"/>
        </w:rPr>
        <w:t>Дозволи на викиди, що складаються з будь-яких одиниць, визнаних у відповідності до вимог Директиви 2003/87/ЄС, були класифіковані як фінансові інструменти, коли MiFID II набув чинності (3 січня 2018 року).</w:t>
      </w:r>
    </w:p>
    <w:p w14:paraId="020801BD" w14:textId="77777777" w:rsidR="005F1C42" w:rsidRPr="007E5633" w:rsidRDefault="005F1C42" w:rsidP="00061AD9">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Як наслідок цієї зміни у класифікації, будь-який похідний контракт, що має в основі дозволи на викиди, незалежно від того, чи він був укладений на торговельному майданчику, а також чи він виконується на грошовій або фізичній основі, підпадає під дію MiFID II і, зокрема, класифікується як "Похідні контракти, що стосуються (...) дозволів на викиди (...), які можуть бути виконані фізично або готівково" відповідно до розділу C.4 Додатка I до MiFID II. Тому, незалежно від способу виконання, такі контракти будуть похідними фінансовими інструментами.</w:t>
      </w:r>
    </w:p>
    <w:p w14:paraId="08375940" w14:textId="77777777" w:rsidR="005F1C42" w:rsidRPr="007E5633" w:rsidRDefault="005F1C42" w:rsidP="00061AD9">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Відповідно до чинних правил MiFID II, якщо фізичний газ та енергоносії не продаються через OTF, вони стають фінансовими інструментами. CO2 (дозволи на викиди) - це кваліфіковані фінансові інструменти, незалежно від майданчика, де вони торгуються.</w:t>
      </w:r>
    </w:p>
    <w:p w14:paraId="4E679876" w14:textId="77777777" w:rsidR="005F1C42" w:rsidRPr="007E5633" w:rsidRDefault="005F1C42" w:rsidP="00061AD9">
      <w:pPr>
        <w:suppressAutoHyphens w:val="0"/>
        <w:autoSpaceDN/>
        <w:spacing w:before="120" w:after="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MiFID II виключає спотовий контракт - контракт про купівлю-продаж </w:t>
      </w:r>
      <w:r w:rsidR="008F44DB">
        <w:rPr>
          <w:rFonts w:ascii="Arial" w:eastAsia="Times New Roman" w:hAnsi="Arial" w:cs="Arial"/>
          <w:color w:val="000000"/>
          <w:lang w:val="uk-UA" w:eastAsia="ru-RU"/>
        </w:rPr>
        <w:t>товарів з родовими ознаками</w:t>
      </w:r>
      <w:r w:rsidRPr="007E5633">
        <w:rPr>
          <w:rFonts w:ascii="Arial" w:eastAsia="Times New Roman" w:hAnsi="Arial" w:cs="Arial"/>
          <w:color w:val="000000"/>
          <w:lang w:val="uk-UA" w:eastAsia="ru-RU"/>
        </w:rPr>
        <w:t>, за умовами якого планується здійснити поставку протягом довшого з наступних періодів:</w:t>
      </w:r>
    </w:p>
    <w:p w14:paraId="7750B7C7" w14:textId="77777777" w:rsidR="005F1C42" w:rsidRPr="007E5633" w:rsidRDefault="005F1C42" w:rsidP="005F1C42">
      <w:pPr>
        <w:suppressAutoHyphens w:val="0"/>
        <w:autoSpaceDN/>
        <w:spacing w:line="240" w:lineRule="auto"/>
        <w:ind w:left="720" w:hanging="360"/>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(а)</w:t>
      </w:r>
      <w:r w:rsidRPr="007E5633">
        <w:rPr>
          <w:rFonts w:ascii="Arial" w:eastAsia="Times New Roman" w:hAnsi="Arial" w:cs="Arial"/>
          <w:color w:val="000000"/>
          <w:sz w:val="27"/>
          <w:szCs w:val="27"/>
          <w:lang w:val="uk-UA" w:eastAsia="ru-RU"/>
        </w:rPr>
        <w:t> </w:t>
      </w:r>
      <w:r w:rsidRPr="007E5633">
        <w:rPr>
          <w:rFonts w:ascii="Arial" w:eastAsia="Times New Roman" w:hAnsi="Arial" w:cs="Arial"/>
          <w:color w:val="000000"/>
          <w:lang w:val="uk-UA" w:eastAsia="ru-RU"/>
        </w:rPr>
        <w:t>два торгових дня; або</w:t>
      </w:r>
    </w:p>
    <w:p w14:paraId="6EA744CD" w14:textId="77777777" w:rsidR="005F1C42" w:rsidRPr="007E5633" w:rsidRDefault="005F1C42" w:rsidP="005F1C42">
      <w:pPr>
        <w:suppressAutoHyphens w:val="0"/>
        <w:autoSpaceDN/>
        <w:spacing w:line="240" w:lineRule="auto"/>
        <w:ind w:left="720" w:hanging="360"/>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(б)</w:t>
      </w:r>
      <w:r w:rsidRPr="007E5633">
        <w:rPr>
          <w:rFonts w:ascii="Arial" w:eastAsia="Times New Roman" w:hAnsi="Arial" w:cs="Arial"/>
          <w:color w:val="000000"/>
          <w:sz w:val="27"/>
          <w:szCs w:val="27"/>
          <w:lang w:val="uk-UA" w:eastAsia="ru-RU"/>
        </w:rPr>
        <w:t> </w:t>
      </w:r>
      <w:r w:rsidRPr="007E5633">
        <w:rPr>
          <w:rFonts w:ascii="Arial" w:eastAsia="Times New Roman" w:hAnsi="Arial" w:cs="Arial"/>
          <w:color w:val="000000"/>
          <w:lang w:val="uk-UA" w:eastAsia="ru-RU"/>
        </w:rPr>
        <w:t>період, що є загально прийнятим на ринку щодо цього товару в якості стандартного періоду поставки.</w:t>
      </w:r>
    </w:p>
    <w:p w14:paraId="220761E3" w14:textId="77777777" w:rsidR="005F1C42" w:rsidRPr="007E5633" w:rsidRDefault="005F1C42" w:rsidP="00061AD9">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Біржі і брокери (спільно іменовані «ОМР» = організовані ринкові майданчики) визначають продукти, типи контрактів або інструменти, що торгуються їх членами, шляхом посилання на код продукту, кількість, ціну і тип замовлення (на купівлю або на продаж). Усі подальші деталі передбачаються визначенням продукту організованого ринкового майданчика (наприклад, пункт поставки, термін поставки, одиниця вимірювання, валюта тощо).</w:t>
      </w:r>
    </w:p>
    <w:p w14:paraId="10430D38" w14:textId="77777777" w:rsidR="005F1C42" w:rsidRPr="007E5633" w:rsidRDefault="005F1C42" w:rsidP="00061AD9">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На двосторонньому позабіржовому ринку коди продуктів не обов'язково використовуються, оскільки учасники ринку вільно погоджуються на умови угоди. Незважаючи на те, що правові аспекти визначаються в рамкових угодах, опублікованих EFET або ISDA, більш детальні комерційні дані повинні бути чітко узгоджені та задокументовані в індивідуальному контракті.</w:t>
      </w:r>
    </w:p>
    <w:p w14:paraId="775EE951" w14:textId="77777777" w:rsidR="005F1C42" w:rsidRPr="007E5633" w:rsidRDefault="005F1C42" w:rsidP="00061AD9">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Брокерські системи пропонують власні продукти або схожі продукти, котрі копіюють біржові товари від бірж. Основні відмінності між використанням брокера та використання бірж полягають у</w:t>
      </w:r>
      <w:r w:rsidR="00656801">
        <w:rPr>
          <w:rFonts w:ascii="Arial" w:eastAsia="Times New Roman" w:hAnsi="Arial" w:cs="Arial"/>
          <w:color w:val="000000"/>
          <w:lang w:val="uk-UA" w:eastAsia="ru-RU"/>
        </w:rPr>
        <w:t xml:space="preserve"> такому</w:t>
      </w:r>
      <w:r w:rsidRPr="007E5633">
        <w:rPr>
          <w:rFonts w:ascii="Arial" w:eastAsia="Times New Roman" w:hAnsi="Arial" w:cs="Arial"/>
          <w:color w:val="000000"/>
          <w:lang w:val="uk-UA" w:eastAsia="ru-RU"/>
        </w:rPr>
        <w:t>:</w:t>
      </w:r>
    </w:p>
    <w:p w14:paraId="0F29CFAD"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брокерський позабіржовий ринок може бути більш ліквідним;</w:t>
      </w:r>
    </w:p>
    <w:p w14:paraId="5210CE14"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lastRenderedPageBreak/>
        <w:t>брокерські збори зазвичай нижчі за біржові збори;</w:t>
      </w:r>
    </w:p>
    <w:p w14:paraId="69BEB1E0"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операції за участі брокера можуть бути змінені або скасовані після виконання;</w:t>
      </w:r>
    </w:p>
    <w:p w14:paraId="53BACBB2"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операції за участі брокера не анонімні;</w:t>
      </w:r>
    </w:p>
    <w:p w14:paraId="40254607"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операції за участі брокера автоматично не зареєстровані для клірингу;</w:t>
      </w:r>
    </w:p>
    <w:p w14:paraId="70FC56A1"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операції за участі брокера вимагають більшої уваги щодо ризиків і двостороннє управління заставами між контрагентами;</w:t>
      </w:r>
    </w:p>
    <w:p w14:paraId="1B944165" w14:textId="77777777" w:rsidR="005F1C42" w:rsidRPr="007E5633" w:rsidRDefault="005F1C42" w:rsidP="000D248B">
      <w:pPr>
        <w:numPr>
          <w:ilvl w:val="0"/>
          <w:numId w:val="48"/>
        </w:numPr>
        <w:tabs>
          <w:tab w:val="clear" w:pos="720"/>
          <w:tab w:val="num" w:pos="567"/>
        </w:tabs>
        <w:suppressAutoHyphens w:val="0"/>
        <w:autoSpaceDN/>
        <w:spacing w:before="120" w:after="120" w:line="240" w:lineRule="auto"/>
        <w:ind w:left="567"/>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електронні підтвердження відповідності є найкращою практикою також для брокерських торгів.</w:t>
      </w:r>
    </w:p>
    <w:p w14:paraId="219D908B" w14:textId="77777777" w:rsidR="005F1C42" w:rsidRPr="007E5633" w:rsidRDefault="005F1C42" w:rsidP="005F1C42">
      <w:pPr>
        <w:suppressAutoHyphens w:val="0"/>
        <w:autoSpaceDN/>
        <w:spacing w:before="120"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Отже, позабіржові контракти (тобто такі, що торгуються в брокерських системах або двосторонніх) вимагають більш детальної структури даних, що охоплює всі аспекти, що характеризують продукт, що торгується. Інформація в наведеній нижче таблиці містить ключові торгові дані, взяті з структури даних EFET eCM TradeConfirmation, оскільки вони використовується трейдерами та брокерськими компаніями на позабіржовому ринку. Цей формат даних не використовує коди продуктів, а замість цього описує ключові параметри, що визначають контракт:</w:t>
      </w:r>
    </w:p>
    <w:p w14:paraId="34BED799" w14:textId="15350BFD" w:rsidR="005F1C42" w:rsidRPr="007E5633" w:rsidRDefault="005F1C42" w:rsidP="00FE11E7">
      <w:pPr>
        <w:suppressAutoHyphens w:val="0"/>
        <w:autoSpaceDN/>
        <w:spacing w:after="120" w:line="240" w:lineRule="auto"/>
        <w:rPr>
          <w:rFonts w:ascii="Arial" w:eastAsia="Times New Roman" w:hAnsi="Arial" w:cs="Arial"/>
          <w:b/>
          <w:bCs/>
          <w:color w:val="000000"/>
          <w:lang w:val="uk-UA" w:eastAsia="ru-RU"/>
        </w:rPr>
      </w:pPr>
      <w:bookmarkStart w:id="37" w:name="_Toc533094034"/>
      <w:r w:rsidRPr="007E5633">
        <w:rPr>
          <w:rFonts w:ascii="Arial" w:eastAsia="Times New Roman" w:hAnsi="Arial" w:cs="Arial"/>
          <w:b/>
          <w:bCs/>
          <w:color w:val="000000"/>
          <w:lang w:val="uk-UA" w:eastAsia="ru-RU"/>
        </w:rPr>
        <w:t>Схема</w:t>
      </w:r>
      <w:r w:rsidR="0092175C" w:rsidRPr="007E5633">
        <w:rPr>
          <w:rFonts w:ascii="Arial" w:hAnsi="Arial" w:cs="Arial"/>
          <w:b/>
          <w:lang w:val="uk-UA"/>
        </w:rPr>
        <w:t xml:space="preserve"> </w:t>
      </w:r>
      <w:r w:rsidR="00622EE2" w:rsidRPr="007E5633">
        <w:rPr>
          <w:rFonts w:ascii="Arial" w:hAnsi="Arial" w:cs="Arial"/>
          <w:b/>
          <w:lang w:val="uk-UA"/>
        </w:rPr>
        <w:fldChar w:fldCharType="begin"/>
      </w:r>
      <w:r w:rsidR="0092175C" w:rsidRPr="007E5633">
        <w:rPr>
          <w:rFonts w:ascii="Arial" w:hAnsi="Arial" w:cs="Arial"/>
          <w:b/>
          <w:lang w:val="uk-UA"/>
        </w:rPr>
        <w:instrText xml:space="preserve"> SEQ Figure \* ARABIC </w:instrText>
      </w:r>
      <w:r w:rsidR="00622EE2" w:rsidRPr="007E5633">
        <w:rPr>
          <w:rFonts w:ascii="Arial" w:hAnsi="Arial" w:cs="Arial"/>
          <w:b/>
          <w:lang w:val="uk-UA"/>
        </w:rPr>
        <w:fldChar w:fldCharType="separate"/>
      </w:r>
      <w:r w:rsidR="00221E0D">
        <w:rPr>
          <w:rFonts w:ascii="Arial" w:hAnsi="Arial" w:cs="Arial"/>
          <w:b/>
          <w:noProof/>
          <w:lang w:val="uk-UA"/>
        </w:rPr>
        <w:t>7</w:t>
      </w:r>
      <w:r w:rsidR="00622EE2" w:rsidRPr="007E5633">
        <w:rPr>
          <w:rFonts w:ascii="Arial" w:hAnsi="Arial" w:cs="Arial"/>
          <w:b/>
          <w:lang w:val="uk-UA"/>
        </w:rPr>
        <w:fldChar w:fldCharType="end"/>
      </w:r>
      <w:r w:rsidR="0092175C" w:rsidRPr="007E5633">
        <w:rPr>
          <w:rFonts w:ascii="Arial" w:hAnsi="Arial" w:cs="Arial"/>
          <w:b/>
          <w:lang w:val="uk-UA"/>
        </w:rPr>
        <w:t xml:space="preserve">: </w:t>
      </w:r>
      <w:bookmarkEnd w:id="36"/>
      <w:r w:rsidRPr="007E5633">
        <w:rPr>
          <w:rFonts w:ascii="Arial" w:eastAsia="Times New Roman" w:hAnsi="Arial" w:cs="Arial"/>
          <w:b/>
          <w:bCs/>
          <w:color w:val="000000"/>
          <w:lang w:val="uk-UA" w:eastAsia="ru-RU"/>
        </w:rPr>
        <w:t>Деталі угод для з</w:t>
      </w:r>
      <w:r w:rsidR="00FE11E7" w:rsidRPr="007E5633">
        <w:rPr>
          <w:rFonts w:ascii="Arial" w:eastAsia="Times New Roman" w:hAnsi="Arial" w:cs="Arial"/>
          <w:b/>
          <w:bCs/>
          <w:color w:val="000000"/>
          <w:lang w:val="uk-UA" w:eastAsia="ru-RU"/>
        </w:rPr>
        <w:t>дійснення позабіржової торгівлі</w:t>
      </w:r>
      <w:bookmarkEnd w:id="37"/>
    </w:p>
    <w:tbl>
      <w:tblPr>
        <w:tblW w:w="9062" w:type="dxa"/>
        <w:tblCellMar>
          <w:left w:w="0" w:type="dxa"/>
          <w:right w:w="0" w:type="dxa"/>
        </w:tblCellMar>
        <w:tblLook w:val="04A0" w:firstRow="1" w:lastRow="0" w:firstColumn="1" w:lastColumn="0" w:noHBand="0" w:noVBand="1"/>
      </w:tblPr>
      <w:tblGrid>
        <w:gridCol w:w="2751"/>
        <w:gridCol w:w="2993"/>
        <w:gridCol w:w="983"/>
        <w:gridCol w:w="784"/>
        <w:gridCol w:w="845"/>
        <w:gridCol w:w="706"/>
      </w:tblGrid>
      <w:tr w:rsidR="005F1C42" w:rsidRPr="007E5633" w14:paraId="7BBBAB7E" w14:textId="77777777" w:rsidTr="005F1C42">
        <w:trPr>
          <w:trHeight w:val="98"/>
        </w:trPr>
        <w:tc>
          <w:tcPr>
            <w:tcW w:w="2771"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1861DDC7"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Елемент даних</w:t>
            </w:r>
          </w:p>
        </w:tc>
        <w:tc>
          <w:tcPr>
            <w:tcW w:w="3031"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7D85E2EC"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Значення</w:t>
            </w:r>
          </w:p>
        </w:tc>
        <w:tc>
          <w:tcPr>
            <w:tcW w:w="992"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145F6A74"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Фізичний</w:t>
            </w:r>
          </w:p>
        </w:tc>
        <w:tc>
          <w:tcPr>
            <w:tcW w:w="709"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2B839B37"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Фіз. Індекс</w:t>
            </w:r>
          </w:p>
        </w:tc>
        <w:tc>
          <w:tcPr>
            <w:tcW w:w="851"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72E653DC"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Опціон</w:t>
            </w:r>
          </w:p>
        </w:tc>
        <w:tc>
          <w:tcPr>
            <w:tcW w:w="708" w:type="dxa"/>
            <w:tcBorders>
              <w:top w:val="single" w:sz="8" w:space="0" w:color="000000"/>
              <w:left w:val="single" w:sz="8" w:space="0" w:color="000000"/>
              <w:bottom w:val="single" w:sz="8" w:space="0" w:color="000000"/>
              <w:right w:val="single" w:sz="8" w:space="0" w:color="000000"/>
            </w:tcBorders>
            <w:shd w:val="clear" w:color="auto" w:fill="0F243E"/>
            <w:tcMar>
              <w:top w:w="15" w:type="dxa"/>
              <w:left w:w="52" w:type="dxa"/>
              <w:bottom w:w="0" w:type="dxa"/>
              <w:right w:w="52" w:type="dxa"/>
            </w:tcMar>
            <w:hideMark/>
          </w:tcPr>
          <w:p w14:paraId="092C18AF" w14:textId="77777777" w:rsidR="005F1C42" w:rsidRPr="007E5633" w:rsidRDefault="005F1C42" w:rsidP="005F1C42">
            <w:pPr>
              <w:suppressAutoHyphens w:val="0"/>
              <w:autoSpaceDN/>
              <w:spacing w:before="120" w:after="120" w:line="98" w:lineRule="atLeast"/>
              <w:jc w:val="both"/>
              <w:rPr>
                <w:rFonts w:ascii="Arial" w:eastAsia="Times New Roman" w:hAnsi="Arial" w:cs="Arial"/>
                <w:sz w:val="20"/>
                <w:szCs w:val="20"/>
                <w:lang w:val="uk-UA" w:eastAsia="ru-RU"/>
              </w:rPr>
            </w:pPr>
            <w:r w:rsidRPr="007E5633">
              <w:rPr>
                <w:rFonts w:ascii="Arial" w:eastAsia="Times New Roman" w:hAnsi="Arial" w:cs="Arial"/>
                <w:b/>
                <w:bCs/>
                <w:color w:val="FFFFFF"/>
                <w:sz w:val="20"/>
                <w:szCs w:val="20"/>
                <w:lang w:val="uk-UA" w:eastAsia="ru-RU"/>
              </w:rPr>
              <w:t>Спот</w:t>
            </w:r>
          </w:p>
        </w:tc>
      </w:tr>
      <w:tr w:rsidR="005F1C42" w:rsidRPr="007E5633" w14:paraId="41A07244"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9AEEA4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Загальні</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65E4FA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B238E4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E16A33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57F87B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887179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 </w:t>
            </w:r>
          </w:p>
        </w:tc>
      </w:tr>
      <w:tr w:rsidR="005F1C42" w:rsidRPr="007E5633" w14:paraId="22D2460D"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34C6AF4"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Ринок</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5AFDAB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DE, UK, FR,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666BB0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E21005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317B1F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1279A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78F548E2"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7D62BA6" w14:textId="77777777" w:rsidR="005F1C42" w:rsidRPr="007E5633" w:rsidRDefault="008F44DB" w:rsidP="005F1C42">
            <w:pPr>
              <w:suppressAutoHyphens w:val="0"/>
              <w:autoSpaceDN/>
              <w:spacing w:line="127" w:lineRule="atLeast"/>
              <w:ind w:left="720"/>
              <w:rPr>
                <w:rFonts w:ascii="Arial" w:eastAsia="Times New Roman" w:hAnsi="Arial" w:cs="Arial"/>
                <w:sz w:val="20"/>
                <w:szCs w:val="20"/>
                <w:lang w:val="uk-UA" w:eastAsia="ru-RU"/>
              </w:rPr>
            </w:pPr>
            <w:r>
              <w:rPr>
                <w:rFonts w:ascii="Arial" w:hAnsi="Arial" w:cs="Arial"/>
                <w:color w:val="000000"/>
                <w:kern w:val="24"/>
                <w:sz w:val="20"/>
                <w:szCs w:val="20"/>
                <w:lang w:val="uk-UA" w:eastAsia="tr-TR"/>
              </w:rPr>
              <w:t xml:space="preserve">Вид товару </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E5571B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Газ</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EF887C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F7D680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90BED9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9A6A42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522D4D0A" w14:textId="77777777" w:rsidTr="005F1C42">
        <w:trPr>
          <w:trHeight w:val="156"/>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4F9ED93" w14:textId="77777777" w:rsidR="005F1C42" w:rsidRPr="007E5633" w:rsidRDefault="005F1C42" w:rsidP="005F1C42">
            <w:pPr>
              <w:suppressAutoHyphens w:val="0"/>
              <w:autoSpaceDN/>
              <w:spacing w:line="156"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Тип транзакції</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31C1AC3" w14:textId="77777777" w:rsidR="005F1C42" w:rsidRPr="007E5633" w:rsidRDefault="005F1C42" w:rsidP="005F1C42">
            <w:pPr>
              <w:suppressAutoHyphens w:val="0"/>
              <w:autoSpaceDN/>
              <w:spacing w:line="15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форвард, «на день вперед», «внутрішньоденний», опціон, своп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83B7624" w14:textId="77777777" w:rsidR="005F1C42" w:rsidRPr="007E5633" w:rsidRDefault="005F1C42" w:rsidP="005F1C42">
            <w:pPr>
              <w:suppressAutoHyphens w:val="0"/>
              <w:autoSpaceDN/>
              <w:spacing w:line="15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C3031F8" w14:textId="77777777" w:rsidR="005F1C42" w:rsidRPr="007E5633" w:rsidRDefault="005F1C42" w:rsidP="005F1C42">
            <w:pPr>
              <w:suppressAutoHyphens w:val="0"/>
              <w:autoSpaceDN/>
              <w:spacing w:line="15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FF9F0B3" w14:textId="77777777" w:rsidR="005F1C42" w:rsidRPr="007E5633" w:rsidRDefault="005F1C42" w:rsidP="005F1C42">
            <w:pPr>
              <w:suppressAutoHyphens w:val="0"/>
              <w:autoSpaceDN/>
              <w:spacing w:line="15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293FBBD" w14:textId="77777777" w:rsidR="005F1C42" w:rsidRPr="007E5633" w:rsidRDefault="005F1C42" w:rsidP="005F1C42">
            <w:pPr>
              <w:suppressAutoHyphens w:val="0"/>
              <w:autoSpaceDN/>
              <w:spacing w:line="15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436020F3"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EF14822"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Сторона покупця</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9690F7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E838DF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7EA240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C76196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9BA83D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43DDB7D3"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9DCE850"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Угода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AC91D5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EFET, ISDA</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076F84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F20AB8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361B9D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723CF8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64C0FC22"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BE1F990"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Валюта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72FCFF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EUR, GBP, CHF</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04A41F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BD0CD7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467EF7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25A141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1351AF75"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A959F62"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Загальний обсяг</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910562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2C70BE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920C46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91ABC2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1B18BE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735254C9"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FC4E35D"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Загальна одиниця обсягу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F5338A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MWh, GWh, Therms</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6B2598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320921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391493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7B3445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307FFB59"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88B9B48"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Дата торгів</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ED0E12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E5AD11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D14281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953A25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887101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762DF0F1"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8DA4E63"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Час торгів</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9FE09A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1C41AE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B494A0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5AA42F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FD7D5B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7FA28030"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B81413D"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Назва трейдера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8B0AC6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CD202A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BD368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8E0F1B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8A5E72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171A414F"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81C9F49"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Ідентифікатор Брокера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D17721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BRSPC, BRGFI</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780832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834E5E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064D49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73C807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13A99A2F"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5483DE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Фізичні продукти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7AB3D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151DD1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C9B14E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47E4E3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C8C767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0764D3A2" w14:textId="77777777" w:rsidTr="005F1C42">
        <w:trPr>
          <w:trHeight w:val="198"/>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C8CC694" w14:textId="77777777" w:rsidR="005F1C42" w:rsidRPr="007E5633" w:rsidRDefault="005F1C42" w:rsidP="005F1C42">
            <w:pPr>
              <w:suppressAutoHyphens w:val="0"/>
              <w:autoSpaceDN/>
              <w:spacing w:line="198"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Тип контракту / тип завантаження</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FAAFCDF" w14:textId="77777777" w:rsidR="005F1C42" w:rsidRPr="007E5633" w:rsidRDefault="005F1C42" w:rsidP="005F1C42">
            <w:pPr>
              <w:suppressAutoHyphens w:val="0"/>
              <w:autoSpaceDN/>
              <w:spacing w:line="198"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Базовий, Піковий, не-піковий</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DB3E070" w14:textId="77777777" w:rsidR="005F1C42" w:rsidRPr="007E5633" w:rsidRDefault="005F1C42" w:rsidP="005F1C42">
            <w:pPr>
              <w:suppressAutoHyphens w:val="0"/>
              <w:autoSpaceDN/>
              <w:spacing w:line="198"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8B5F20B" w14:textId="77777777" w:rsidR="005F1C42" w:rsidRPr="007E5633" w:rsidRDefault="005F1C42" w:rsidP="005F1C42">
            <w:pPr>
              <w:suppressAutoHyphens w:val="0"/>
              <w:autoSpaceDN/>
              <w:spacing w:line="198"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713632C" w14:textId="77777777" w:rsidR="005F1C42" w:rsidRPr="007E5633" w:rsidRDefault="005F1C42" w:rsidP="005F1C42">
            <w:pPr>
              <w:suppressAutoHyphens w:val="0"/>
              <w:autoSpaceDN/>
              <w:spacing w:line="198"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DD033ED" w14:textId="77777777" w:rsidR="005F1C42" w:rsidRPr="007E5633" w:rsidRDefault="005F1C42" w:rsidP="005F1C42">
            <w:pPr>
              <w:suppressAutoHyphens w:val="0"/>
              <w:autoSpaceDN/>
              <w:spacing w:line="198"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44B7FBDB"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2179ABC"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lastRenderedPageBreak/>
              <w:t>Потужність</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E97F09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5F4D57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CAD706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4BDC7C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FA7000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2C9FD04A"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145E423"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Загальна вартість контракту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14DFBE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7C61AB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5FCE9F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2A803F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2AC074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2AAEEA86"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A0661C8"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Регіон поставки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1E1E04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Точка газопровідної мережі</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1665E4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F3BE37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792615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5AD0BE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258067AB"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367DA58"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Початок поставки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230164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9D326A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47F1A2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B1C290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25FEFD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30C83BE8"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A15C1D2"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Завершення поставки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FB95FB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598F14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76DF54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068A57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9A1019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528A9D60"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CAEF29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Фінансові продукти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E9D9DB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FB84FE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CDECD6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A7BAD8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5BD199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4FB463B1"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AC45394"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Дата набрання чинності</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8C7173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8D2EA5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E7485A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7397D5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38B3D1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2B069706"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6615531"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Дата закінчення терміну дії</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F0E151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A4CCAF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F13EA1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A08EF5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3D3AFA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6D2300FE"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6DC969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b/>
                <w:bCs/>
                <w:sz w:val="20"/>
                <w:szCs w:val="20"/>
                <w:lang w:val="uk-UA" w:eastAsia="ru-RU"/>
              </w:rPr>
              <w:t>Опціони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78A481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EFD8D4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020AEB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0DC3E0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C43B92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628A43FA"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2E9FE0A"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Тип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5C3C9E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hAnsi="Arial" w:cs="Arial"/>
                <w:color w:val="000000"/>
                <w:kern w:val="24"/>
                <w:sz w:val="20"/>
                <w:szCs w:val="20"/>
                <w:lang w:val="uk-UA" w:eastAsia="tr-TR"/>
              </w:rPr>
              <w:t>Put, call</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324AD8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12115D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D509D9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8BBAA8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0B56E381"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D5EB179"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Продавець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4CB5F1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90D255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85D745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444CDE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E9BD56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3C5E9412"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6294D9"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Покупець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3F4F92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80779C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1D89A7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DABB8A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FD6BEB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01BF9C19"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363557A"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Вид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4D2E21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Американський, європейський</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939669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A21E34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11929F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D6C6085"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6CFAADFB"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ED4187D"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Страйкова Ціна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9BC501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859B40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45BA44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AB9A1F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E88463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5E678A3A"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7F155A4"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Дата виконання</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06F5E4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B81952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542CEB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00C6A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BD2BB4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0D4B65C8"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52EC197"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Валюта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DC594A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FE37EA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57E1C1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20969C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E2B46E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7E8FEBCF"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08C721D"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Премія (вартість)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7028ED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82D97F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82B560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19094C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2A8534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68A548F4"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25671A9"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Валюта, у якій виплачується премія (вартість) опціону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9535E3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E51A37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CF8FD7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71FE9D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E5B890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1DA7D784" w14:textId="77777777" w:rsidTr="005F1C42">
        <w:trPr>
          <w:trHeight w:val="100"/>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7ECB04E"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hAnsi="Arial" w:cs="Arial"/>
                <w:b/>
                <w:bCs/>
                <w:color w:val="000000"/>
                <w:kern w:val="24"/>
                <w:sz w:val="20"/>
                <w:szCs w:val="20"/>
                <w:lang w:val="uk-UA" w:eastAsia="tr-TR"/>
              </w:rPr>
              <w:t xml:space="preserve">Swap Fixed Leg </w:t>
            </w:r>
            <w:r w:rsidRPr="007E5633">
              <w:rPr>
                <w:rFonts w:ascii="Arial" w:hAnsi="Arial" w:cs="Arial"/>
                <w:color w:val="000000"/>
                <w:kern w:val="24"/>
                <w:sz w:val="20"/>
                <w:szCs w:val="20"/>
                <w:lang w:val="uk-UA" w:eastAsia="tr-TR"/>
              </w:rPr>
              <w:t>(0 або 1 leg)</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E3456E2"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8F5FEEE"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041E0B5"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A563720"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88DA961" w14:textId="77777777" w:rsidR="005F1C42" w:rsidRPr="007E5633" w:rsidRDefault="005F1C42" w:rsidP="005F1C42">
            <w:pPr>
              <w:suppressAutoHyphens w:val="0"/>
              <w:autoSpaceDN/>
              <w:spacing w:line="100"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22555319"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B039E4C"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Платник фіксованої ціни (</w:t>
            </w:r>
            <w:r w:rsidRPr="007E5633">
              <w:rPr>
                <w:rFonts w:ascii="Arial" w:hAnsi="Arial" w:cs="Arial"/>
                <w:color w:val="000000"/>
                <w:kern w:val="24"/>
                <w:sz w:val="20"/>
                <w:szCs w:val="20"/>
                <w:lang w:val="uk-UA" w:eastAsia="tr-TR"/>
              </w:rPr>
              <w:t>Fixed Price Payer</w:t>
            </w:r>
            <w:r w:rsidRPr="007E5633">
              <w:rPr>
                <w:rFonts w:ascii="Arial" w:eastAsia="Times New Roman" w:hAnsi="Arial" w:cs="Arial"/>
                <w:sz w:val="20"/>
                <w:szCs w:val="20"/>
                <w:lang w:val="uk-UA" w:eastAsia="ru-RU"/>
              </w:rPr>
              <w:t>)</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4DC9E0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EA84DC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9BC010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C80B65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0DF51E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208AACCF"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E61B38F"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Валютна одиниця фіксованої ціни (</w:t>
            </w:r>
            <w:r w:rsidRPr="007E5633">
              <w:rPr>
                <w:rFonts w:ascii="Arial" w:hAnsi="Arial" w:cs="Arial"/>
                <w:color w:val="000000"/>
                <w:kern w:val="24"/>
                <w:sz w:val="20"/>
                <w:szCs w:val="20"/>
                <w:lang w:val="uk-UA" w:eastAsia="tr-TR"/>
              </w:rPr>
              <w:t>Fixed Price Currency Unit</w:t>
            </w:r>
            <w:r w:rsidRPr="007E5633">
              <w:rPr>
                <w:rFonts w:ascii="Arial" w:eastAsia="Times New Roman" w:hAnsi="Arial" w:cs="Arial"/>
                <w:sz w:val="20"/>
                <w:szCs w:val="20"/>
                <w:lang w:val="uk-UA" w:eastAsia="ru-RU"/>
              </w:rPr>
              <w:t>)</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53247B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4F7393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B5AA9C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02F227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B4AD2E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3AA21A58"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3144B75"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Одиниця потужності фіксованої ціни (</w:t>
            </w:r>
            <w:r w:rsidRPr="007E5633">
              <w:rPr>
                <w:rFonts w:ascii="Arial" w:hAnsi="Arial" w:cs="Arial"/>
                <w:color w:val="000000"/>
                <w:kern w:val="24"/>
                <w:sz w:val="20"/>
                <w:szCs w:val="20"/>
                <w:lang w:val="uk-UA" w:eastAsia="tr-TR"/>
              </w:rPr>
              <w:t>Fixed Price Capacity Unit</w:t>
            </w:r>
            <w:r w:rsidRPr="007E5633">
              <w:rPr>
                <w:rFonts w:ascii="Arial" w:eastAsia="Times New Roman" w:hAnsi="Arial" w:cs="Arial"/>
                <w:sz w:val="20"/>
                <w:szCs w:val="20"/>
                <w:lang w:val="uk-UA" w:eastAsia="ru-RU"/>
              </w:rPr>
              <w:t>)</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C9F7B3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D46607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FEFBFA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B972368"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036352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429C882D"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7D98180"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lastRenderedPageBreak/>
              <w:t>Платник плаваючої ціни (</w:t>
            </w:r>
            <w:r w:rsidRPr="007E5633">
              <w:rPr>
                <w:rFonts w:ascii="Arial" w:hAnsi="Arial" w:cs="Arial"/>
                <w:color w:val="000000"/>
                <w:kern w:val="24"/>
                <w:sz w:val="20"/>
                <w:szCs w:val="20"/>
                <w:lang w:val="uk-UA" w:eastAsia="tr-TR"/>
              </w:rPr>
              <w:t>Float Price Payer</w:t>
            </w:r>
            <w:r w:rsidRPr="007E5633">
              <w:rPr>
                <w:rFonts w:ascii="Arial" w:eastAsia="Times New Roman" w:hAnsi="Arial" w:cs="Arial"/>
                <w:sz w:val="20"/>
                <w:szCs w:val="20"/>
                <w:lang w:val="uk-UA" w:eastAsia="ru-RU"/>
              </w:rPr>
              <w:t xml:space="preserve">) </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E4A0A6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97EEC6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54058E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09E765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A2E05AD"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79EDFBA1" w14:textId="77777777" w:rsidTr="005F1C42">
        <w:trPr>
          <w:trHeight w:val="99"/>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A210762"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hAnsi="Arial" w:cs="Arial"/>
                <w:b/>
                <w:bCs/>
                <w:color w:val="000000"/>
                <w:kern w:val="24"/>
                <w:sz w:val="20"/>
                <w:szCs w:val="20"/>
                <w:lang w:val="uk-UA" w:eastAsia="tr-TR"/>
              </w:rPr>
              <w:t xml:space="preserve">Swap Float Leg </w:t>
            </w:r>
            <w:r w:rsidRPr="007E5633">
              <w:rPr>
                <w:rFonts w:ascii="Arial" w:hAnsi="Arial" w:cs="Arial"/>
                <w:color w:val="000000"/>
                <w:kern w:val="24"/>
                <w:sz w:val="20"/>
                <w:szCs w:val="20"/>
                <w:lang w:val="uk-UA" w:eastAsia="tr-TR"/>
              </w:rPr>
              <w:t>(1 або 2 legs)</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024F6B2"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518D811"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525D000"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46A9894F"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1057888" w14:textId="77777777" w:rsidR="005F1C42" w:rsidRPr="007E5633" w:rsidRDefault="005F1C42" w:rsidP="005F1C42">
            <w:pPr>
              <w:suppressAutoHyphens w:val="0"/>
              <w:autoSpaceDN/>
              <w:spacing w:line="99"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3DB3CB6B"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9DB4401"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Ідентифікатор формули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BCC9F3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40524C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4609C5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959A7D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F88C9D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25269AED" w14:textId="77777777" w:rsidTr="005F1C42">
        <w:trPr>
          <w:trHeight w:val="76"/>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58F9606" w14:textId="77777777" w:rsidR="005F1C42" w:rsidRPr="007E5633" w:rsidRDefault="005F1C42" w:rsidP="005F1C42">
            <w:pPr>
              <w:suppressAutoHyphens w:val="0"/>
              <w:autoSpaceDN/>
              <w:spacing w:line="76"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Довідкова ціна </w:t>
            </w:r>
            <w:r w:rsidR="008F44DB">
              <w:rPr>
                <w:rFonts w:ascii="Arial" w:hAnsi="Arial" w:cs="Arial"/>
                <w:color w:val="000000"/>
                <w:kern w:val="24"/>
                <w:sz w:val="20"/>
                <w:szCs w:val="20"/>
                <w:lang w:val="uk-UA" w:eastAsia="tr-TR"/>
              </w:rPr>
              <w:t>товару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07B28F6" w14:textId="77777777" w:rsidR="005F1C42" w:rsidRPr="007E5633" w:rsidRDefault="005F1C42" w:rsidP="005F1C42">
            <w:pPr>
              <w:suppressAutoHyphens w:val="0"/>
              <w:autoSpaceDN/>
              <w:spacing w:line="7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FDF5BD4" w14:textId="77777777" w:rsidR="005F1C42" w:rsidRPr="007E5633" w:rsidRDefault="005F1C42" w:rsidP="005F1C42">
            <w:pPr>
              <w:suppressAutoHyphens w:val="0"/>
              <w:autoSpaceDN/>
              <w:spacing w:line="7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6D2B485" w14:textId="77777777" w:rsidR="005F1C42" w:rsidRPr="007E5633" w:rsidRDefault="005F1C42" w:rsidP="005F1C42">
            <w:pPr>
              <w:suppressAutoHyphens w:val="0"/>
              <w:autoSpaceDN/>
              <w:spacing w:line="7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C6450B9" w14:textId="77777777" w:rsidR="005F1C42" w:rsidRPr="007E5633" w:rsidRDefault="005F1C42" w:rsidP="005F1C42">
            <w:pPr>
              <w:suppressAutoHyphens w:val="0"/>
              <w:autoSpaceDN/>
              <w:spacing w:line="7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F798D17" w14:textId="77777777" w:rsidR="005F1C42" w:rsidRPr="007E5633" w:rsidRDefault="005F1C42" w:rsidP="005F1C42">
            <w:pPr>
              <w:suppressAutoHyphens w:val="0"/>
              <w:autoSpaceDN/>
              <w:spacing w:line="76"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43970025"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5123B68"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xml:space="preserve">Індекс </w:t>
            </w:r>
            <w:r w:rsidR="008F44DB">
              <w:rPr>
                <w:rFonts w:ascii="Arial" w:eastAsia="Times New Roman" w:hAnsi="Arial" w:cs="Arial"/>
                <w:sz w:val="20"/>
                <w:szCs w:val="20"/>
                <w:lang w:val="uk-UA" w:eastAsia="ru-RU"/>
              </w:rPr>
              <w:t>товару</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77DDF4C"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72EC2A4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91E73BA"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04A9EAE"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9B65991"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69DF1002"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2ED5792" w14:textId="77777777" w:rsidR="005F1C42" w:rsidRPr="007E5633" w:rsidRDefault="008F44DB" w:rsidP="005F1C42">
            <w:pPr>
              <w:suppressAutoHyphens w:val="0"/>
              <w:autoSpaceDN/>
              <w:spacing w:line="127" w:lineRule="atLeast"/>
              <w:ind w:left="720"/>
              <w:rPr>
                <w:rFonts w:ascii="Arial" w:eastAsia="Times New Roman" w:hAnsi="Arial" w:cs="Arial"/>
                <w:sz w:val="20"/>
                <w:szCs w:val="20"/>
                <w:lang w:val="uk-UA" w:eastAsia="ru-RU"/>
              </w:rPr>
            </w:pPr>
            <w:r>
              <w:rPr>
                <w:rFonts w:ascii="Arial" w:eastAsia="Times New Roman" w:hAnsi="Arial" w:cs="Arial"/>
                <w:sz w:val="20"/>
                <w:szCs w:val="20"/>
                <w:lang w:val="uk-UA" w:eastAsia="ru-RU"/>
              </w:rPr>
              <w:t xml:space="preserve">Індикативна </w:t>
            </w:r>
            <w:r w:rsidR="005F1C42" w:rsidRPr="007E5633">
              <w:rPr>
                <w:rFonts w:ascii="Arial" w:eastAsia="Times New Roman" w:hAnsi="Arial" w:cs="Arial"/>
                <w:sz w:val="20"/>
                <w:szCs w:val="20"/>
                <w:lang w:val="uk-UA" w:eastAsia="ru-RU"/>
              </w:rPr>
              <w:t>ціна</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645447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A61886B"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ABB20E7"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7EA01F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759C4C9"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r>
      <w:tr w:rsidR="005F1C42" w:rsidRPr="007E5633" w14:paraId="2F83B00F"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D761763"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Фактор</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266BF1B4"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6245DD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C308D3F"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3DA76DB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5B282E43"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r w:rsidR="005F1C42" w:rsidRPr="007E5633" w14:paraId="6F3142B9" w14:textId="77777777" w:rsidTr="005F1C42">
        <w:trPr>
          <w:trHeight w:val="127"/>
        </w:trPr>
        <w:tc>
          <w:tcPr>
            <w:tcW w:w="277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A06029E" w14:textId="77777777" w:rsidR="005F1C42" w:rsidRPr="007E5633" w:rsidRDefault="005F1C42" w:rsidP="005F1C42">
            <w:pPr>
              <w:suppressAutoHyphens w:val="0"/>
              <w:autoSpaceDN/>
              <w:spacing w:line="127" w:lineRule="atLeast"/>
              <w:ind w:left="720"/>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Дата поставки</w:t>
            </w:r>
          </w:p>
        </w:tc>
        <w:tc>
          <w:tcPr>
            <w:tcW w:w="303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39F5912"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328A9B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9"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1A035800"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851"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0D53CA4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 </w:t>
            </w:r>
          </w:p>
        </w:tc>
        <w:tc>
          <w:tcPr>
            <w:tcW w:w="708" w:type="dxa"/>
            <w:tcBorders>
              <w:top w:val="single" w:sz="8" w:space="0" w:color="000000"/>
              <w:left w:val="single" w:sz="8" w:space="0" w:color="000000"/>
              <w:bottom w:val="single" w:sz="8" w:space="0" w:color="000000"/>
              <w:right w:val="single" w:sz="8" w:space="0" w:color="000000"/>
            </w:tcBorders>
            <w:tcMar>
              <w:top w:w="15" w:type="dxa"/>
              <w:left w:w="52" w:type="dxa"/>
              <w:bottom w:w="0" w:type="dxa"/>
              <w:right w:w="52" w:type="dxa"/>
            </w:tcMar>
            <w:hideMark/>
          </w:tcPr>
          <w:p w14:paraId="6283A3D6" w14:textId="77777777" w:rsidR="005F1C42" w:rsidRPr="007E5633" w:rsidRDefault="005F1C42" w:rsidP="005F1C42">
            <w:pPr>
              <w:suppressAutoHyphens w:val="0"/>
              <w:autoSpaceDN/>
              <w:spacing w:line="127" w:lineRule="atLeast"/>
              <w:rPr>
                <w:rFonts w:ascii="Arial" w:eastAsia="Times New Roman" w:hAnsi="Arial" w:cs="Arial"/>
                <w:sz w:val="20"/>
                <w:szCs w:val="20"/>
                <w:lang w:val="uk-UA" w:eastAsia="ru-RU"/>
              </w:rPr>
            </w:pPr>
            <w:r w:rsidRPr="007E5633">
              <w:rPr>
                <w:rFonts w:ascii="Arial" w:eastAsia="Times New Roman" w:hAnsi="Arial" w:cs="Arial"/>
                <w:sz w:val="20"/>
                <w:szCs w:val="20"/>
                <w:lang w:val="uk-UA" w:eastAsia="ru-RU"/>
              </w:rPr>
              <w:t>X</w:t>
            </w:r>
          </w:p>
        </w:tc>
      </w:tr>
    </w:tbl>
    <w:p w14:paraId="4FD9A852" w14:textId="77777777" w:rsidR="00D342CF" w:rsidRPr="007E5633" w:rsidRDefault="00492A6A" w:rsidP="00B83D6C">
      <w:pPr>
        <w:pStyle w:val="FSHeader1"/>
        <w:keepNext w:val="0"/>
        <w:pageBreakBefore w:val="0"/>
        <w:numPr>
          <w:ilvl w:val="2"/>
          <w:numId w:val="7"/>
        </w:numPr>
        <w:tabs>
          <w:tab w:val="left" w:pos="709"/>
        </w:tabs>
        <w:spacing w:before="120" w:after="120"/>
        <w:rPr>
          <w:rFonts w:ascii="Arial" w:hAnsi="Arial" w:cs="Arial"/>
          <w:color w:val="auto"/>
          <w:sz w:val="22"/>
          <w:szCs w:val="22"/>
          <w:lang w:val="uk-UA"/>
        </w:rPr>
      </w:pPr>
      <w:bookmarkStart w:id="38" w:name="_Toc533093904"/>
      <w:r w:rsidRPr="007E5633">
        <w:rPr>
          <w:rFonts w:ascii="Arial" w:hAnsi="Arial" w:cs="Arial"/>
          <w:color w:val="auto"/>
          <w:sz w:val="22"/>
          <w:szCs w:val="22"/>
          <w:lang w:val="uk-UA"/>
        </w:rPr>
        <w:t>Кваліфікація продуктів</w:t>
      </w:r>
      <w:bookmarkEnd w:id="38"/>
    </w:p>
    <w:p w14:paraId="6C1B2807" w14:textId="77777777" w:rsidR="00492A6A" w:rsidRPr="007E5633" w:rsidRDefault="00492A6A" w:rsidP="00492A6A">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Оскільки MIFID II набрав чинності в січні 2018 р., кваліфікація торгівлі та застосування регулювання залежать від особливостей розрахунків по продукту (фізичного чи фінансового) та місця виконання контракту.</w:t>
      </w:r>
    </w:p>
    <w:p w14:paraId="68DB975E" w14:textId="77777777" w:rsidR="00492A6A" w:rsidRPr="007E5633" w:rsidRDefault="00492A6A" w:rsidP="00492A6A">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Як правило, енергетична галузь працює в режимі інформаційної прозорості, який називається REMIT Carve Out. REMIT Carve Out (з MIFID II) принципово звільняє певні енергетичні продукти від застосування Фінансового регулювання.</w:t>
      </w:r>
    </w:p>
    <w:p w14:paraId="4B4AD0AF" w14:textId="77777777" w:rsidR="00492A6A" w:rsidRPr="007E5633" w:rsidRDefault="00492A6A" w:rsidP="00492A6A">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Кваліфікація важлива для торгових компаній, якщо вони хочуть залишатися нижче меж, визначених MIFIR і не хочуть ставати «кваліфікованими» на рівні «фінансових контрагентів», а надають перевагу тому, щоб залишитися в категорії Нефінансових контрагентів.</w:t>
      </w:r>
    </w:p>
    <w:p w14:paraId="103493C2" w14:textId="77777777" w:rsidR="00492A6A" w:rsidRPr="007E5633" w:rsidRDefault="00492A6A" w:rsidP="00492A6A">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Важливо уникати такої кваліфікації, оскільки до «Фінансових контрагентів» висувається ряд інших вимог, що випливають з Директиви про достатність капіталу, що, у свою чергу, призведе до зобов'язань щодо резервування капіталу.</w:t>
      </w:r>
    </w:p>
    <w:p w14:paraId="4C152635" w14:textId="77777777" w:rsidR="00492A6A" w:rsidRPr="007E5633" w:rsidRDefault="00492A6A" w:rsidP="00492A6A">
      <w:pPr>
        <w:spacing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Як показано вище, фізичні спотові операції звільняється від MIFID там, де квоти на викиди є кваліфікованими фінансовими інструментами в 2018 році через вступу в силу MIFID II.</w:t>
      </w:r>
    </w:p>
    <w:p w14:paraId="6267A9F3" w14:textId="77777777" w:rsidR="00B83D6C" w:rsidRPr="007E5633" w:rsidRDefault="00B83D6C">
      <w:pPr>
        <w:suppressAutoHyphens w:val="0"/>
        <w:rPr>
          <w:rFonts w:ascii="Arial" w:eastAsia="Times New Roman" w:hAnsi="Arial" w:cs="Arial"/>
          <w:b/>
          <w:iCs/>
          <w:lang w:val="uk-UA"/>
        </w:rPr>
      </w:pPr>
      <w:r w:rsidRPr="007E5633">
        <w:rPr>
          <w:rFonts w:ascii="Arial" w:hAnsi="Arial" w:cs="Arial"/>
          <w:lang w:val="uk-UA"/>
        </w:rPr>
        <w:br w:type="page"/>
      </w:r>
    </w:p>
    <w:p w14:paraId="3DEFC24B" w14:textId="67A7F7DA" w:rsidR="00DA1338" w:rsidRPr="007E5633" w:rsidRDefault="00492A6A" w:rsidP="00DA1338">
      <w:pPr>
        <w:pStyle w:val="af1"/>
        <w:jc w:val="left"/>
        <w:rPr>
          <w:rFonts w:cs="Arial"/>
          <w:sz w:val="22"/>
          <w:szCs w:val="22"/>
          <w:lang w:val="uk-UA"/>
        </w:rPr>
      </w:pPr>
      <w:bookmarkStart w:id="39" w:name="_Toc533094035"/>
      <w:r w:rsidRPr="007E5633">
        <w:rPr>
          <w:rFonts w:cs="Arial"/>
          <w:sz w:val="22"/>
          <w:szCs w:val="22"/>
          <w:lang w:val="uk-UA"/>
        </w:rPr>
        <w:lastRenderedPageBreak/>
        <w:t>Схема</w:t>
      </w:r>
      <w:r w:rsidR="00DA1338" w:rsidRPr="007E5633">
        <w:rPr>
          <w:rFonts w:cs="Arial"/>
          <w:sz w:val="22"/>
          <w:szCs w:val="22"/>
          <w:lang w:val="uk-UA"/>
        </w:rPr>
        <w:t xml:space="preserve"> </w:t>
      </w:r>
      <w:r w:rsidR="00622EE2" w:rsidRPr="007E5633">
        <w:rPr>
          <w:rFonts w:cs="Arial"/>
          <w:sz w:val="22"/>
          <w:szCs w:val="22"/>
          <w:lang w:val="uk-UA"/>
        </w:rPr>
        <w:fldChar w:fldCharType="begin"/>
      </w:r>
      <w:r w:rsidR="00DA1338"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8</w:t>
      </w:r>
      <w:r w:rsidR="00622EE2" w:rsidRPr="007E5633">
        <w:rPr>
          <w:rFonts w:cs="Arial"/>
          <w:sz w:val="22"/>
          <w:szCs w:val="22"/>
          <w:lang w:val="uk-UA"/>
        </w:rPr>
        <w:fldChar w:fldCharType="end"/>
      </w:r>
      <w:r w:rsidR="00DA1338" w:rsidRPr="007E5633">
        <w:rPr>
          <w:rFonts w:cs="Arial"/>
          <w:sz w:val="22"/>
          <w:szCs w:val="22"/>
          <w:lang w:val="uk-UA"/>
        </w:rPr>
        <w:t xml:space="preserve">: </w:t>
      </w:r>
      <w:r w:rsidRPr="007E5633">
        <w:rPr>
          <w:rFonts w:cs="Arial"/>
          <w:sz w:val="22"/>
          <w:szCs w:val="22"/>
          <w:lang w:val="uk-UA"/>
        </w:rPr>
        <w:t xml:space="preserve">визначення MIFID II відповідних фінансових інструментів (ФІ) для торгівлі </w:t>
      </w:r>
      <w:bookmarkEnd w:id="39"/>
      <w:r w:rsidR="005F3F2A" w:rsidRPr="005F3F2A">
        <w:rPr>
          <w:rFonts w:cs="Arial"/>
          <w:sz w:val="22"/>
          <w:szCs w:val="22"/>
          <w:lang w:val="uk-UA"/>
        </w:rPr>
        <w:t>товарними контрактами</w:t>
      </w:r>
    </w:p>
    <w:p w14:paraId="31FD8A1E" w14:textId="77777777" w:rsidR="00E4309C" w:rsidRPr="007E5633" w:rsidRDefault="00E4309C" w:rsidP="00B25E05">
      <w:pPr>
        <w:pStyle w:val="a4"/>
        <w:spacing w:line="240" w:lineRule="auto"/>
        <w:ind w:left="0"/>
        <w:rPr>
          <w:rFonts w:ascii="Arial" w:hAnsi="Arial" w:cs="Arial"/>
          <w:lang w:val="uk-UA"/>
        </w:rPr>
      </w:pPr>
      <w:r w:rsidRPr="007E5633">
        <w:rPr>
          <w:rFonts w:ascii="Arial" w:hAnsi="Arial" w:cs="Arial"/>
          <w:noProof/>
          <w:lang w:val="en-US"/>
        </w:rPr>
        <w:drawing>
          <wp:inline distT="0" distB="0" distL="0" distR="0" wp14:anchorId="4DE6CBA0" wp14:editId="2A1E9B95">
            <wp:extent cx="6181725" cy="34575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1" t="10666" r="3618" b="8666"/>
                    <a:stretch/>
                  </pic:blipFill>
                  <pic:spPr bwMode="auto">
                    <a:xfrm>
                      <a:off x="0" y="0"/>
                      <a:ext cx="6181725"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66A876B0" w14:textId="77777777" w:rsidR="00E4309C" w:rsidRPr="007E5633" w:rsidRDefault="00492A6A" w:rsidP="00E4309C">
      <w:pPr>
        <w:pStyle w:val="a4"/>
        <w:spacing w:line="240" w:lineRule="auto"/>
        <w:ind w:left="0"/>
        <w:jc w:val="both"/>
        <w:rPr>
          <w:rFonts w:ascii="Arial" w:hAnsi="Arial" w:cs="Arial"/>
          <w:i/>
          <w:lang w:val="uk-UA"/>
        </w:rPr>
      </w:pPr>
      <w:r w:rsidRPr="007E5633">
        <w:rPr>
          <w:rFonts w:ascii="Arial" w:hAnsi="Arial" w:cs="Arial"/>
          <w:i/>
          <w:lang w:val="uk-UA"/>
        </w:rPr>
        <w:t>Джерело: RWE (2017)</w:t>
      </w:r>
    </w:p>
    <w:p w14:paraId="67DE3D50" w14:textId="77777777" w:rsidR="00E4309C" w:rsidRPr="007E5633" w:rsidRDefault="00492A6A" w:rsidP="00B83D6C">
      <w:pPr>
        <w:pStyle w:val="FSHeader1"/>
        <w:keepNext w:val="0"/>
        <w:pageBreakBefore w:val="0"/>
        <w:numPr>
          <w:ilvl w:val="2"/>
          <w:numId w:val="7"/>
        </w:numPr>
        <w:tabs>
          <w:tab w:val="left" w:pos="709"/>
        </w:tabs>
        <w:spacing w:before="120" w:after="120"/>
        <w:rPr>
          <w:rFonts w:ascii="Arial" w:hAnsi="Arial" w:cs="Arial"/>
          <w:color w:val="auto"/>
          <w:sz w:val="22"/>
          <w:szCs w:val="22"/>
          <w:lang w:val="uk-UA"/>
        </w:rPr>
      </w:pPr>
      <w:bookmarkStart w:id="40" w:name="_Toc533093905"/>
      <w:r w:rsidRPr="007E5633">
        <w:rPr>
          <w:rFonts w:ascii="Arial" w:hAnsi="Arial" w:cs="Arial"/>
          <w:color w:val="auto"/>
          <w:sz w:val="22"/>
          <w:szCs w:val="22"/>
          <w:lang w:val="uk-UA"/>
        </w:rPr>
        <w:t>Інституційне управління для нагляду: відмінність фізичних ринків від фінансових</w:t>
      </w:r>
      <w:bookmarkEnd w:id="40"/>
    </w:p>
    <w:p w14:paraId="53E31E2C" w14:textId="77777777" w:rsidR="00492A6A" w:rsidRPr="007E5633" w:rsidRDefault="00492A6A" w:rsidP="00061AD9">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На сьогодні ринки газу та електроенергії ефективно функціонують поза межами фінансового регулювання. Вони контролюються національними компетентними органами (національними регуляторами) та Агентством співпраці енергетичних регуляторів (ACER) в рамках системи регулювання, визначеної REMIT. Як випливає з назви, основними елементами REMIT є цілісність та прозорість системи.</w:t>
      </w:r>
    </w:p>
    <w:p w14:paraId="4B095E58"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Незважаючи на це, торгові майданчики, які сприяють торгівлі фізичним газом та електроенергією та люди, які на них працюють все ж підпадають під дію правил, дозволів та нагляду національних фінансових регуляторів та ESMA на європейському рівні. Причиною цього є те, що оператори майданчиків також організовують MTF та SEF, що пропонують фінансові продукти разом з фізичними контрактами за допомогою тих самих систем. В результаті, платформи дотримуються вимог MiFID II та MAR з точки зору систем, контролю, прозорості та ведення бізнесу.</w:t>
      </w:r>
    </w:p>
    <w:p w14:paraId="41752013"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Той факт, що фізичні ринки газу та електроенергії не підпадають під позиційні обмеження, обов'язковий кліринг та податки на фінансові операції, відображає реалії того, що такі ринки не є фінансовими і є унікальними за своїм значенням у забезпеченні ефективного та безперервного потоку енергії по всій Європі.</w:t>
      </w:r>
    </w:p>
    <w:p w14:paraId="455C4508"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Усі оператори платформ здійснюють функції ринкового нагляду (моніторингу) з метою виявлення спроб маніпулювати ринком та порушення правил торгівлі на платформах. Як правило, нагляд включає в себе автоматизовані електронні системи, які контролюють хід торгів та видають сповіщення, якщо відбувається будь-яка потенційно підозрілі дії. Наприклад, системи налаштовані на те, щоб виявити:</w:t>
      </w:r>
    </w:p>
    <w:p w14:paraId="7FD10C5C"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спроби нечесного впливу на ціноутворення на ринку (шляхом досягнення контролю над рухом цін на певний актив з метою цінового маніпулювання);</w:t>
      </w:r>
    </w:p>
    <w:p w14:paraId="11D41811"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lastRenderedPageBreak/>
        <w:t>layering - демонстрація фальшивих ознак зацікавленості в купівлі або продажу, що відображаються поза ринком на стороні купівлі чи продажу, щоб підсилити привабливість активу (тобто учасник лише робить вигляд, що готовий провести транзакцію). Як тільки такі фальшиві демонстрації ознак інтересу помічаються іншими учасниками, їх відразу ж відкликають;</w:t>
      </w:r>
    </w:p>
    <w:p w14:paraId="10ABF45C"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позаринкові замовлення або угоди;</w:t>
      </w:r>
    </w:p>
    <w:p w14:paraId="2FCA1908"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wash trades - форма ринкової маніпуляції, при якій інвестор одночасно продає та купує одні й ті ж фінансові інструменти, щоб створювати оманливу, штучну активність на ринку. По-перше, інвестор розміщує замовлення на продаж, потім розміщує замовлення на придбання, щоб купити у себе самого, або навпаки.</w:t>
      </w:r>
    </w:p>
    <w:p w14:paraId="772F16CD"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незвичайні стрибки в розмірі комісійних, щоб визначити незвичайну торговельну активність.</w:t>
      </w:r>
    </w:p>
    <w:p w14:paraId="648AC0F0"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Оператор платформи досліджує будь-які сповіщення/повідомлення або потенційно підозрілу активність, і, якщо є підозра, що була зроблена спроба маніпулювати ринком, він подає звіт про таку підозрілу транзакцію до національного регулятора.</w:t>
      </w:r>
    </w:p>
    <w:p w14:paraId="3A18AACD"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Контракти на постачання електроенергії або газу в ЄС, виконані за генеральними угодами EFET, є оптовими енергетичними продуктами, які повинні бути фізично виконані. Це застосовується як у випадках, коли окремі договори узгоджуються двостороннім чином, так і коли вони оформлюються через посередництво брокера.</w:t>
      </w:r>
    </w:p>
    <w:p w14:paraId="5F5D5EBA"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 xml:space="preserve">Фізично виконувані газові та електроенергетичні форварди торгуються на багатосторонніх торгових майданчиках (MTF), є "фінансовими інструментами" для цілей </w:t>
      </w:r>
      <w:r w:rsidRPr="007E5633">
        <w:rPr>
          <w:rFonts w:ascii="Arial" w:hAnsi="Arial" w:cs="Arial"/>
          <w:lang w:val="uk-UA"/>
        </w:rPr>
        <w:t>MiFID</w:t>
      </w:r>
      <w:r w:rsidRPr="007E5633">
        <w:rPr>
          <w:rFonts w:ascii="Arial" w:eastAsia="Times New Roman" w:hAnsi="Arial" w:cs="Arial"/>
          <w:color w:val="000000"/>
          <w:lang w:val="uk-UA" w:eastAsia="ru-RU"/>
        </w:rPr>
        <w:t>, а також "позабіржовими похідними" або "позабіржовими деривативними контрактами" для цілей EMIR.</w:t>
      </w:r>
    </w:p>
    <w:p w14:paraId="1C07E0C3" w14:textId="7CD77700" w:rsidR="00DA1338" w:rsidRPr="007E5633" w:rsidRDefault="00492A6A" w:rsidP="00061AD9">
      <w:pPr>
        <w:pStyle w:val="af1"/>
        <w:spacing w:after="120"/>
        <w:jc w:val="left"/>
        <w:rPr>
          <w:rFonts w:cs="Arial"/>
          <w:sz w:val="22"/>
          <w:szCs w:val="22"/>
          <w:lang w:val="uk-UA"/>
        </w:rPr>
      </w:pPr>
      <w:bookmarkStart w:id="41" w:name="_Toc533094036"/>
      <w:r w:rsidRPr="007E5633">
        <w:rPr>
          <w:rFonts w:cs="Arial"/>
          <w:sz w:val="22"/>
          <w:szCs w:val="22"/>
          <w:lang w:val="uk-UA"/>
        </w:rPr>
        <w:t>Схема </w:t>
      </w:r>
      <w:r w:rsidR="00DA1338" w:rsidRPr="007E5633">
        <w:rPr>
          <w:rFonts w:cs="Arial"/>
          <w:sz w:val="22"/>
          <w:szCs w:val="22"/>
          <w:lang w:val="uk-UA"/>
        </w:rPr>
        <w:t xml:space="preserve"> </w:t>
      </w:r>
      <w:r w:rsidR="00622EE2" w:rsidRPr="007E5633">
        <w:rPr>
          <w:rFonts w:cs="Arial"/>
          <w:sz w:val="22"/>
          <w:szCs w:val="22"/>
          <w:lang w:val="uk-UA"/>
        </w:rPr>
        <w:fldChar w:fldCharType="begin"/>
      </w:r>
      <w:r w:rsidR="00DA1338"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9</w:t>
      </w:r>
      <w:r w:rsidR="00622EE2" w:rsidRPr="007E5633">
        <w:rPr>
          <w:rFonts w:cs="Arial"/>
          <w:sz w:val="22"/>
          <w:szCs w:val="22"/>
          <w:lang w:val="uk-UA"/>
        </w:rPr>
        <w:fldChar w:fldCharType="end"/>
      </w:r>
      <w:r w:rsidR="00DA1338" w:rsidRPr="007E5633">
        <w:rPr>
          <w:rFonts w:cs="Arial"/>
          <w:sz w:val="22"/>
          <w:szCs w:val="22"/>
          <w:lang w:val="uk-UA"/>
        </w:rPr>
        <w:t xml:space="preserve">:  </w:t>
      </w:r>
      <w:r w:rsidRPr="007E5633">
        <w:rPr>
          <w:rFonts w:cs="Arial"/>
          <w:sz w:val="22"/>
          <w:szCs w:val="22"/>
          <w:lang w:val="uk-UA"/>
        </w:rPr>
        <w:t>Огляд регуляторів та їх сфер компетенції</w:t>
      </w:r>
      <w:bookmarkEnd w:id="41"/>
    </w:p>
    <w:p w14:paraId="75464E7C" w14:textId="77777777" w:rsidR="00E4309C" w:rsidRPr="007E5633" w:rsidRDefault="00E4309C" w:rsidP="00E4309C">
      <w:pPr>
        <w:spacing w:line="240" w:lineRule="auto"/>
        <w:jc w:val="both"/>
        <w:rPr>
          <w:rFonts w:ascii="Arial" w:hAnsi="Arial" w:cs="Arial"/>
          <w:lang w:val="uk-UA"/>
        </w:rPr>
      </w:pPr>
      <w:r w:rsidRPr="007E5633">
        <w:rPr>
          <w:rFonts w:ascii="Arial" w:hAnsi="Arial" w:cs="Arial"/>
          <w:noProof/>
          <w:lang w:val="en-US"/>
        </w:rPr>
        <w:drawing>
          <wp:inline distT="0" distB="0" distL="0" distR="0" wp14:anchorId="73437087" wp14:editId="7D40DD3B">
            <wp:extent cx="5600700" cy="3257074"/>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85"/>
                    <a:stretch/>
                  </pic:blipFill>
                  <pic:spPr bwMode="auto">
                    <a:xfrm>
                      <a:off x="0" y="0"/>
                      <a:ext cx="5601443" cy="3257506"/>
                    </a:xfrm>
                    <a:prstGeom prst="rect">
                      <a:avLst/>
                    </a:prstGeom>
                    <a:noFill/>
                    <a:ln>
                      <a:noFill/>
                    </a:ln>
                    <a:extLst>
                      <a:ext uri="{53640926-AAD7-44D8-BBD7-CCE9431645EC}">
                        <a14:shadowObscured xmlns:a14="http://schemas.microsoft.com/office/drawing/2010/main"/>
                      </a:ext>
                    </a:extLst>
                  </pic:spPr>
                </pic:pic>
              </a:graphicData>
            </a:graphic>
          </wp:inline>
        </w:drawing>
      </w:r>
    </w:p>
    <w:p w14:paraId="253DED59" w14:textId="77777777" w:rsidR="00B83D6C" w:rsidRPr="007E5633" w:rsidRDefault="00B83D6C">
      <w:pPr>
        <w:suppressAutoHyphens w:val="0"/>
        <w:rPr>
          <w:rFonts w:ascii="Arial" w:eastAsia="Times New Roman" w:hAnsi="Arial" w:cs="Arial"/>
          <w:b/>
          <w:lang w:val="uk-UA" w:eastAsia="de-DE"/>
        </w:rPr>
      </w:pPr>
      <w:r w:rsidRPr="007E5633">
        <w:rPr>
          <w:rFonts w:ascii="Arial" w:hAnsi="Arial" w:cs="Arial"/>
          <w:lang w:val="uk-UA"/>
        </w:rPr>
        <w:br w:type="page"/>
      </w:r>
    </w:p>
    <w:p w14:paraId="53C74460" w14:textId="77777777" w:rsidR="00E4309C" w:rsidRPr="007E5633" w:rsidRDefault="00492A6A" w:rsidP="00B83D6C">
      <w:pPr>
        <w:pStyle w:val="FSHeader1"/>
        <w:keepNext w:val="0"/>
        <w:pageBreakBefore w:val="0"/>
        <w:numPr>
          <w:ilvl w:val="3"/>
          <w:numId w:val="7"/>
        </w:numPr>
        <w:tabs>
          <w:tab w:val="left" w:pos="709"/>
        </w:tabs>
        <w:spacing w:before="120" w:after="120"/>
        <w:rPr>
          <w:rFonts w:ascii="Arial" w:hAnsi="Arial" w:cs="Arial"/>
          <w:color w:val="auto"/>
          <w:sz w:val="22"/>
          <w:szCs w:val="22"/>
          <w:lang w:val="uk-UA"/>
        </w:rPr>
      </w:pPr>
      <w:bookmarkStart w:id="42" w:name="_Toc533093906"/>
      <w:r w:rsidRPr="007E5633">
        <w:rPr>
          <w:rFonts w:ascii="Arial" w:hAnsi="Arial" w:cs="Arial"/>
          <w:color w:val="auto"/>
          <w:sz w:val="22"/>
          <w:szCs w:val="22"/>
          <w:lang w:val="uk-UA"/>
        </w:rPr>
        <w:lastRenderedPageBreak/>
        <w:t>REMIT: цілісність та прозорість енергетичного ринку</w:t>
      </w:r>
      <w:bookmarkEnd w:id="42"/>
    </w:p>
    <w:p w14:paraId="1E96F6EF"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REMIT надає визначений набір правил, що більше відповідають характеристикам торгівлі енергоносіями, ніж ті, що визначаються фінансовими регуляторами. Це досягається за рахунок ефективного контролю над оптовими енергетичними ринками за допомогою механізмів, наприклад, для контролю за замовленнями на торгівлю, боротьби з зловживанням на ринку та звітування про торговельні операції регулюючим органам.</w:t>
      </w:r>
    </w:p>
    <w:p w14:paraId="208C036C"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REMIT було впроваджено так, щоб створити у споживачів та ринкових учасників довіру до цілісності ринків електроенергії та газу, забезпечити, щоб ціни відображали чесну та конкурентну взаємодію між пропозицією та попитом, та запобігати отриманню прибутків від зловживань на ринку.</w:t>
      </w:r>
    </w:p>
    <w:p w14:paraId="366BFC7C"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REMIT в пер</w:t>
      </w:r>
      <w:r w:rsidR="00656801">
        <w:rPr>
          <w:rFonts w:ascii="Arial" w:eastAsia="Times New Roman" w:hAnsi="Arial" w:cs="Arial"/>
          <w:color w:val="000000"/>
          <w:lang w:val="uk-UA" w:eastAsia="ru-RU"/>
        </w:rPr>
        <w:t>ш</w:t>
      </w:r>
      <w:r w:rsidRPr="007E5633">
        <w:rPr>
          <w:rFonts w:ascii="Arial" w:eastAsia="Times New Roman" w:hAnsi="Arial" w:cs="Arial"/>
          <w:color w:val="000000"/>
          <w:lang w:val="uk-UA" w:eastAsia="ru-RU"/>
        </w:rPr>
        <w:t>у чергу торкається питання цілісності ринку шляхом запобігання інсайдерській торгівлі та маніпулювання ринком. Він створює обов'язки щодо оприлюднення інсайдерської інформації, моніторингу діяльності на ринку, звітування про торгівлю та дані про замовлення, а також щодо реєстрації гравців як учасників ринку.</w:t>
      </w:r>
    </w:p>
    <w:p w14:paraId="67C1E800"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Більш конкретно, правила REMIT щодо ринкової маніпуляції запобігають:</w:t>
      </w:r>
    </w:p>
    <w:p w14:paraId="14EE48BB"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операціям або замовленням, що дають помилкові чи фальшиві (такі, що вводять в оману) сигнали щодо пропозиції, попиту або ціни оптових енергопродуктів;</w:t>
      </w:r>
    </w:p>
    <w:p w14:paraId="1468E3A9"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угодам або замовленням, які закріплюють ціну оптових енергетичних продуктів на штучному рівні;</w:t>
      </w:r>
    </w:p>
    <w:p w14:paraId="16F286F0" w14:textId="77777777" w:rsidR="00492A6A" w:rsidRPr="007E5633" w:rsidRDefault="00492A6A"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sidRPr="007E5633">
        <w:rPr>
          <w:rFonts w:ascii="Arial" w:eastAsia="Times New Roman" w:hAnsi="Arial" w:cs="Arial"/>
          <w:color w:val="000000"/>
          <w:lang w:val="uk-UA" w:eastAsia="ru-RU"/>
        </w:rPr>
        <w:t>використанню фіктивних конструкцій або іншої форми обману, щоб дати помилкові сигнали стосовно пропозиції, попиту або ціни енергоносіїв; і</w:t>
      </w:r>
    </w:p>
    <w:p w14:paraId="712F7608" w14:textId="77777777" w:rsidR="00492A6A" w:rsidRPr="007E5633" w:rsidRDefault="00656801" w:rsidP="0042516F">
      <w:pPr>
        <w:numPr>
          <w:ilvl w:val="0"/>
          <w:numId w:val="20"/>
        </w:numPr>
        <w:suppressAutoHyphens w:val="0"/>
        <w:autoSpaceDN/>
        <w:spacing w:before="120" w:after="120" w:line="240" w:lineRule="auto"/>
        <w:ind w:left="567" w:hanging="403"/>
        <w:jc w:val="both"/>
        <w:textAlignment w:val="auto"/>
        <w:rPr>
          <w:rFonts w:ascii="Arial" w:eastAsia="Times New Roman" w:hAnsi="Arial" w:cs="Arial"/>
          <w:color w:val="000000"/>
          <w:lang w:val="uk-UA" w:eastAsia="ru-RU"/>
        </w:rPr>
      </w:pPr>
      <w:r>
        <w:rPr>
          <w:rFonts w:ascii="Arial" w:eastAsia="Times New Roman" w:hAnsi="Arial" w:cs="Arial"/>
          <w:color w:val="000000"/>
          <w:lang w:val="uk-UA" w:eastAsia="ru-RU"/>
        </w:rPr>
        <w:t>поширенню</w:t>
      </w:r>
      <w:r w:rsidR="00492A6A" w:rsidRPr="007E5633">
        <w:rPr>
          <w:rFonts w:ascii="Arial" w:eastAsia="Times New Roman" w:hAnsi="Arial" w:cs="Arial"/>
          <w:color w:val="000000"/>
          <w:lang w:val="uk-UA" w:eastAsia="ru-RU"/>
        </w:rPr>
        <w:t> неправдивої інформації щодо пропозиції, попиту і ціни на енергоносії (включаючи чутки або неправдиві/оманливі новини).</w:t>
      </w:r>
    </w:p>
    <w:p w14:paraId="44D010BC"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Правила REMIT щодо інсайдерської інформації тісно перекликаються з еквівалентними правилами щодо фінансових інструментів, що створюють бар’єри для інсайдерської торгівлі, вимагають розкриття внутрішньої інформації та забороняють спонукати інших осіб використовувати внутрішню інформацію.</w:t>
      </w:r>
      <w:r w:rsidRPr="007E5633">
        <w:rPr>
          <w:rFonts w:ascii="Arial" w:eastAsia="Times New Roman" w:hAnsi="Arial" w:cs="Arial"/>
          <w:color w:val="000000"/>
          <w:sz w:val="27"/>
          <w:szCs w:val="27"/>
          <w:lang w:val="uk-UA" w:eastAsia="ru-RU"/>
        </w:rPr>
        <w:t> </w:t>
      </w:r>
      <w:r w:rsidRPr="007E5633">
        <w:rPr>
          <w:rFonts w:ascii="Arial" w:eastAsia="Times New Roman" w:hAnsi="Arial" w:cs="Arial"/>
          <w:color w:val="000000"/>
          <w:lang w:val="uk-UA" w:eastAsia="ru-RU"/>
        </w:rPr>
        <w:t>Важливо, що законодавство передбачає спеціальні виключення з цих правил для охорони плавного та ефективного функціонування енергетичних ринків. Наприклад, інсайдерська торгівля дозволена в умовах, коли це необхідно для покриття негайних фізичних втрат внаслідок непередбачених збоїв (відключень тощо), інакше це призведе до того, що учасник ринку не зможе виконати свої існуючі договірні зобов'язання або якщо оператор транспортної системи (системи передачі) занепокоєний про безпечність роботи системи. Якщо газ та електроенергія потрапить поза межі цих спеціально розроблених правил, то це може створити загрозу безперебійній роботі енергетичних ринків.</w:t>
      </w:r>
    </w:p>
    <w:p w14:paraId="7D1ED1A3" w14:textId="77777777" w:rsidR="00492A6A" w:rsidRPr="007E5633" w:rsidRDefault="00492A6A" w:rsidP="00061AD9">
      <w:pPr>
        <w:suppressAutoHyphens w:val="0"/>
        <w:autoSpaceDN/>
        <w:spacing w:after="120" w:line="240" w:lineRule="auto"/>
        <w:jc w:val="both"/>
        <w:rPr>
          <w:rFonts w:ascii="Arial" w:eastAsia="Times New Roman" w:hAnsi="Arial" w:cs="Arial"/>
          <w:color w:val="000000"/>
          <w:sz w:val="27"/>
          <w:szCs w:val="27"/>
          <w:lang w:val="uk-UA" w:eastAsia="ru-RU"/>
        </w:rPr>
      </w:pPr>
      <w:r w:rsidRPr="007E5633">
        <w:rPr>
          <w:rFonts w:ascii="Arial" w:eastAsia="Times New Roman" w:hAnsi="Arial" w:cs="Arial"/>
          <w:color w:val="000000"/>
          <w:lang w:val="uk-UA" w:eastAsia="ru-RU"/>
        </w:rPr>
        <w:t>Вимоги стосовно звітування щодо даних та вимоги стосовно прозорості також присутні в REMIT, включаючи зобов'язання учасників ринку подавати до ACER реєстр оптових операцій на енергетичному ринку, включаючи замовлення на торгівлю. Це комплексна вимога, яка охоплює точне визначення продуктів, включаючи ціну, обсяг, дати та строки виконання, контрагентів та бенефіціарів.</w:t>
      </w:r>
    </w:p>
    <w:p w14:paraId="225D5626" w14:textId="77777777" w:rsidR="00492A6A" w:rsidRPr="007E5633" w:rsidRDefault="00492A6A" w:rsidP="00B83D6C">
      <w:pPr>
        <w:suppressAutoHyphens w:val="0"/>
        <w:autoSpaceDN/>
        <w:spacing w:after="120" w:line="240" w:lineRule="auto"/>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Отже, існує міцна основа захисту прав цілісності та прозорості для фізичних газових та електроенергетичних ринків в ЄС. Той факт, що фізичний газ та електроенергія виходять за рамки фінансового регулювання (як це відбувається в США, де </w:t>
      </w:r>
      <w:r w:rsidR="005F3F2A" w:rsidRPr="005F3F2A">
        <w:rPr>
          <w:rFonts w:ascii="Arial" w:hAnsi="Arial" w:cs="Arial"/>
          <w:lang w:val="uk-UA"/>
        </w:rPr>
        <w:t>товарн</w:t>
      </w:r>
      <w:r w:rsidR="005F3F2A">
        <w:rPr>
          <w:rFonts w:ascii="Arial" w:hAnsi="Arial" w:cs="Arial"/>
          <w:lang w:val="uk-UA"/>
        </w:rPr>
        <w:t>і</w:t>
      </w:r>
      <w:r w:rsidR="005F3F2A" w:rsidRPr="005F3F2A">
        <w:rPr>
          <w:rFonts w:ascii="Arial" w:hAnsi="Arial" w:cs="Arial"/>
          <w:lang w:val="uk-UA"/>
        </w:rPr>
        <w:t xml:space="preserve"> контракти </w:t>
      </w:r>
      <w:r w:rsidR="005F3F2A">
        <w:rPr>
          <w:rFonts w:ascii="Arial" w:hAnsi="Arial" w:cs="Arial"/>
          <w:lang w:val="uk-UA"/>
        </w:rPr>
        <w:t xml:space="preserve">з фізичною поставкою </w:t>
      </w:r>
      <w:r w:rsidRPr="007E5633">
        <w:rPr>
          <w:rFonts w:ascii="Arial" w:eastAsia="Times New Roman" w:hAnsi="Arial" w:cs="Arial"/>
          <w:color w:val="000000"/>
          <w:lang w:val="uk-UA" w:eastAsia="ru-RU"/>
        </w:rPr>
        <w:t>чітко виключаються з сфери застосування Закону Додда-Франка) не означає, що вони не регулюються. Навпаки, замість цього вони потрапляють під сферу регулювання, яка спеціально розроблена з тією метою, щоб гарантувати, щоб ефективне функціонування енергетичних ринків Європи не потрапило під негативний вплив</w:t>
      </w:r>
      <w:r w:rsidR="00061AD9" w:rsidRPr="007E5633">
        <w:rPr>
          <w:rFonts w:ascii="Arial" w:eastAsia="Times New Roman" w:hAnsi="Arial" w:cs="Arial"/>
          <w:color w:val="000000"/>
          <w:lang w:val="uk-UA" w:eastAsia="ru-RU"/>
        </w:rPr>
        <w:t xml:space="preserve"> реформи фінансових ринків.</w:t>
      </w:r>
    </w:p>
    <w:p w14:paraId="71BEB410" w14:textId="77777777" w:rsidR="006A05CB" w:rsidRPr="007E5633" w:rsidRDefault="006A05CB" w:rsidP="00912D9A">
      <w:pPr>
        <w:pStyle w:val="FSHeader1"/>
        <w:pageBreakBefore w:val="0"/>
        <w:numPr>
          <w:ilvl w:val="3"/>
          <w:numId w:val="26"/>
        </w:numPr>
        <w:tabs>
          <w:tab w:val="left" w:pos="709"/>
        </w:tabs>
        <w:spacing w:after="120"/>
        <w:rPr>
          <w:rFonts w:ascii="Arial" w:hAnsi="Arial" w:cs="Arial"/>
          <w:color w:val="auto"/>
          <w:sz w:val="22"/>
          <w:szCs w:val="22"/>
          <w:lang w:val="uk-UA"/>
        </w:rPr>
      </w:pPr>
      <w:bookmarkStart w:id="43" w:name="_Toc533093907"/>
      <w:r w:rsidRPr="007E5633">
        <w:rPr>
          <w:rFonts w:ascii="Arial" w:hAnsi="Arial" w:cs="Arial"/>
          <w:color w:val="auto"/>
          <w:sz w:val="22"/>
          <w:szCs w:val="22"/>
          <w:lang w:val="uk-UA"/>
        </w:rPr>
        <w:lastRenderedPageBreak/>
        <w:t>Правила MiFID II: OTF та MTF</w:t>
      </w:r>
      <w:bookmarkEnd w:id="43"/>
    </w:p>
    <w:p w14:paraId="3C0EB5DC" w14:textId="77777777" w:rsidR="00E4309C" w:rsidRPr="007E5633" w:rsidRDefault="00E4309C" w:rsidP="00E4309C">
      <w:pPr>
        <w:spacing w:line="240" w:lineRule="auto"/>
        <w:jc w:val="both"/>
        <w:rPr>
          <w:rFonts w:ascii="Arial" w:hAnsi="Arial" w:cs="Arial"/>
          <w:b/>
          <w:lang w:val="uk-UA"/>
        </w:rPr>
      </w:pPr>
      <w:r w:rsidRPr="007E5633">
        <w:rPr>
          <w:rFonts w:ascii="Arial" w:hAnsi="Arial" w:cs="Arial"/>
          <w:b/>
          <w:lang w:val="uk-UA"/>
        </w:rPr>
        <w:t>MTFs</w:t>
      </w:r>
    </w:p>
    <w:p w14:paraId="1B639011" w14:textId="77777777" w:rsidR="006A05CB" w:rsidRPr="007E5633" w:rsidRDefault="006A05CB" w:rsidP="006A05CB">
      <w:pPr>
        <w:spacing w:line="240" w:lineRule="auto"/>
        <w:jc w:val="both"/>
        <w:rPr>
          <w:rFonts w:ascii="Arial" w:hAnsi="Arial" w:cs="Arial"/>
          <w:lang w:val="uk-UA"/>
        </w:rPr>
      </w:pPr>
      <w:r w:rsidRPr="007E5633">
        <w:rPr>
          <w:rFonts w:ascii="Arial" w:hAnsi="Arial" w:cs="Arial"/>
          <w:lang w:val="uk-UA"/>
        </w:rPr>
        <w:t>Відповідно до статті 1 (7) MiFID II, усі багатосторонні системи фінансових інструментів повинні діяти або відповідно до положень Розділу II стосовно MTFs (Багатостороння торгова платформа), або MTFs, або положень Розділу III стосовно регульованих ринків.</w:t>
      </w:r>
    </w:p>
    <w:p w14:paraId="559A992B" w14:textId="77777777" w:rsidR="006A05CB" w:rsidRPr="007E5633" w:rsidRDefault="006A05CB" w:rsidP="006A05CB">
      <w:pPr>
        <w:spacing w:line="240" w:lineRule="auto"/>
        <w:jc w:val="both"/>
        <w:rPr>
          <w:rFonts w:ascii="Arial" w:hAnsi="Arial" w:cs="Arial"/>
          <w:lang w:val="uk-UA"/>
        </w:rPr>
      </w:pPr>
      <w:r w:rsidRPr="007E5633">
        <w:rPr>
          <w:rFonts w:ascii="Arial" w:hAnsi="Arial" w:cs="Arial"/>
          <w:lang w:val="uk-UA"/>
        </w:rPr>
        <w:t>"Багатостороння система" означає будь-яку систему або об'єкт, в якому багато «третіх» сторін мають інтереси купувати та продавати фінансові інструменти та здатні взаємодіяти в системі ".</w:t>
      </w:r>
    </w:p>
    <w:p w14:paraId="26F2DAEB" w14:textId="77777777" w:rsidR="006A05CB" w:rsidRPr="007E5633" w:rsidRDefault="006A05CB" w:rsidP="006A05CB">
      <w:pPr>
        <w:spacing w:line="240" w:lineRule="auto"/>
        <w:jc w:val="both"/>
        <w:rPr>
          <w:rFonts w:ascii="Arial" w:hAnsi="Arial" w:cs="Arial"/>
          <w:lang w:val="uk-UA"/>
        </w:rPr>
      </w:pPr>
      <w:r w:rsidRPr="007E5633">
        <w:rPr>
          <w:rFonts w:ascii="Arial" w:hAnsi="Arial" w:cs="Arial"/>
          <w:lang w:val="uk-UA"/>
        </w:rPr>
        <w:t>Виняток C6 з MiFID II, який набрав чинності 3 січня 2018 року, передбачає, що контракти на фізичний газ та електроенергію, які повинні бути фізично здійснені, не будуть являти собою фінансові інструменти за умови, якщо вони торгуються на OTF. Торгівля нефінансовими інструментами знижує ризик досягання порогових значень, що стосуються винятку щодо допоміжної діяльності відповідно до MiFID II статті 2 (j), лімітів позицій та EMIR. Переваги торгівлі двосторонніми фізичними контрактами доступні сьогодні через брокерські та біржові OTF.</w:t>
      </w:r>
    </w:p>
    <w:p w14:paraId="4DC52A1C" w14:textId="77777777" w:rsidR="00E4309C" w:rsidRPr="007E5633" w:rsidRDefault="00E4309C" w:rsidP="006A05CB">
      <w:pPr>
        <w:spacing w:line="240" w:lineRule="auto"/>
        <w:jc w:val="both"/>
        <w:rPr>
          <w:rFonts w:ascii="Arial" w:hAnsi="Arial" w:cs="Arial"/>
          <w:b/>
          <w:lang w:val="uk-UA"/>
        </w:rPr>
      </w:pPr>
      <w:r w:rsidRPr="007E5633">
        <w:rPr>
          <w:rFonts w:ascii="Arial" w:hAnsi="Arial" w:cs="Arial"/>
          <w:b/>
          <w:lang w:val="uk-UA"/>
        </w:rPr>
        <w:t>OTFs</w:t>
      </w:r>
      <w:r w:rsidR="002B48F0" w:rsidRPr="007E5633">
        <w:rPr>
          <w:rFonts w:ascii="Arial" w:hAnsi="Arial" w:cs="Arial"/>
          <w:b/>
          <w:lang w:val="uk-UA"/>
        </w:rPr>
        <w:t xml:space="preserve"> (Організована торгова платформа)</w:t>
      </w:r>
    </w:p>
    <w:p w14:paraId="1FED4B9E"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З метою поширення регулювання та охоплення всіх форм торговельних майданчиків, MiFID II приніс з собою нову форму регульованого майданчика - OTF. Відмінність між OTF та MTF полягає в тому, що MTF працюють відповідно до недискреційних правил, тоді як OTF дозволять операторам мати певний ступінь «власного розсуду» стосовно взаємодії між замовленнями. Сьогодні енергетичні платформи стали OTF. Усі OTF мають бути санкціоновані національними регуляторними органами та зареєстровані в ESMA.</w:t>
      </w:r>
    </w:p>
    <w:p w14:paraId="6D7A9EE6"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OTF не можуть бути RM або MTF. Це означає, що майданчики, які оперують OTF, не можуть об'єднувати багато  покупців та продавців таким чином, щоб це стало результатом укладання контракту "відповідно до недискреційних правил". MiFID II говорить про те, що майданчикам, які оперують OTF, дозволяється здійснювати свободу дій в одному або в двох наступних обставинах: (i) при прийнятті рішення щодо розміщення або відкликання замовлення на OTF, яким вони керують; (ii) при прийнятті рішення не «звести» конкретне замовлення клієнта з іншими замовленнями, доступними в системах на певний момент.</w:t>
      </w:r>
    </w:p>
    <w:p w14:paraId="142EC7BB"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Той факт, що більшість обсягів фізичного газу та електроенергії зараз торгуються через OTF (а отже, поза межами фінансового регулювання), не означає, що платформи не можуть забезпечувати прозорість та цілісність. Усі платформи OTF, які пропонують фізичний газ та електроенергію, також пропонують фінансові продукти (навіть якщо це просто централізований кліринг фізичних продуктів), тому вони повинні відповідати вимогам MiFID II, які наведені нижче.</w:t>
      </w:r>
    </w:p>
    <w:p w14:paraId="61B1133E"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Оскільки замовлення на OTF можуть містити декілька варіантів виконання (включаючи двостороннє та з централізованим клірингом), оператор платформи не зможе пропонувати фізичний газ та електроенергію відповідно до іншого набору правил або використовуючи різні системи, оскільки фізичні та фінансові ринки будуть нерозривно пов'язані.</w:t>
      </w:r>
    </w:p>
    <w:p w14:paraId="613C2835"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Оператори OTF повинні відповідати тим же організаційних вимогам, що й усі інвестиційні компанії за MiFID. Це означає такі обов'язки:</w:t>
      </w:r>
    </w:p>
    <w:p w14:paraId="5BDF6EAA" w14:textId="77777777" w:rsidR="002B48F0" w:rsidRPr="007E5633" w:rsidRDefault="002B48F0" w:rsidP="0042516F">
      <w:pPr>
        <w:pStyle w:val="a4"/>
        <w:numPr>
          <w:ilvl w:val="0"/>
          <w:numId w:val="9"/>
        </w:numPr>
        <w:suppressAutoHyphens w:val="0"/>
        <w:autoSpaceDN/>
        <w:spacing w:after="120" w:line="240" w:lineRule="auto"/>
        <w:textAlignment w:val="auto"/>
        <w:rPr>
          <w:rFonts w:ascii="Arial" w:hAnsi="Arial" w:cs="Arial"/>
          <w:lang w:val="uk-UA"/>
        </w:rPr>
      </w:pPr>
      <w:r w:rsidRPr="007E5633">
        <w:rPr>
          <w:rFonts w:ascii="Arial" w:hAnsi="Arial" w:cs="Arial"/>
          <w:lang w:val="uk-UA"/>
        </w:rPr>
        <w:t>забезпечити безперервність та регулярність надання послуг за допомогою відповідних та пропорційних систем, ресурсів та процедур;</w:t>
      </w:r>
    </w:p>
    <w:p w14:paraId="25A561CD" w14:textId="77777777" w:rsidR="002B48F0" w:rsidRPr="007E5633" w:rsidRDefault="002B48F0" w:rsidP="0042516F">
      <w:pPr>
        <w:pStyle w:val="a4"/>
        <w:numPr>
          <w:ilvl w:val="0"/>
          <w:numId w:val="9"/>
        </w:numPr>
        <w:suppressAutoHyphens w:val="0"/>
        <w:autoSpaceDN/>
        <w:spacing w:after="120" w:line="240" w:lineRule="auto"/>
        <w:textAlignment w:val="auto"/>
        <w:rPr>
          <w:rFonts w:ascii="Arial" w:hAnsi="Arial" w:cs="Arial"/>
          <w:lang w:val="uk-UA"/>
        </w:rPr>
      </w:pPr>
      <w:r w:rsidRPr="007E5633">
        <w:rPr>
          <w:rFonts w:ascii="Arial" w:hAnsi="Arial" w:cs="Arial"/>
          <w:lang w:val="uk-UA"/>
        </w:rPr>
        <w:lastRenderedPageBreak/>
        <w:t>управляти ключовими функціями, що передаються стороннім організаціям, щоб уникнути надмірного додаткового операційного ризику;</w:t>
      </w:r>
    </w:p>
    <w:p w14:paraId="54A5BA7B" w14:textId="77777777" w:rsidR="002B48F0" w:rsidRPr="007E5633" w:rsidRDefault="002B48F0" w:rsidP="0042516F">
      <w:pPr>
        <w:pStyle w:val="a4"/>
        <w:numPr>
          <w:ilvl w:val="0"/>
          <w:numId w:val="9"/>
        </w:numPr>
        <w:suppressAutoHyphens w:val="0"/>
        <w:autoSpaceDN/>
        <w:spacing w:after="120" w:line="240" w:lineRule="auto"/>
        <w:textAlignment w:val="auto"/>
        <w:rPr>
          <w:rFonts w:ascii="Arial" w:hAnsi="Arial" w:cs="Arial"/>
          <w:lang w:val="uk-UA"/>
        </w:rPr>
      </w:pPr>
      <w:r w:rsidRPr="007E5633">
        <w:rPr>
          <w:rFonts w:ascii="Arial" w:hAnsi="Arial" w:cs="Arial"/>
          <w:lang w:val="uk-UA"/>
        </w:rPr>
        <w:t>мати надійні адміністративні та бухгалтерські процедури, механізми внутрішнього контролю, ефективні процедури оцінки ризиків та механізми захисту інформації для систем обробки інформації;</w:t>
      </w:r>
    </w:p>
    <w:p w14:paraId="74EFE5AF" w14:textId="77777777" w:rsidR="002B48F0" w:rsidRPr="007E5633" w:rsidRDefault="002B48F0" w:rsidP="0042516F">
      <w:pPr>
        <w:pStyle w:val="a4"/>
        <w:numPr>
          <w:ilvl w:val="0"/>
          <w:numId w:val="9"/>
        </w:numPr>
        <w:suppressAutoHyphens w:val="0"/>
        <w:autoSpaceDN/>
        <w:spacing w:after="120" w:line="240" w:lineRule="auto"/>
        <w:textAlignment w:val="auto"/>
        <w:rPr>
          <w:rFonts w:ascii="Arial" w:hAnsi="Arial" w:cs="Arial"/>
          <w:lang w:val="uk-UA"/>
        </w:rPr>
      </w:pPr>
      <w:r w:rsidRPr="007E5633">
        <w:rPr>
          <w:rFonts w:ascii="Arial" w:hAnsi="Arial" w:cs="Arial"/>
          <w:lang w:val="uk-UA"/>
        </w:rPr>
        <w:t>реєструвати телефонні розмови та інші комунікації, пов'язані з транзакціями та замовленнями; і</w:t>
      </w:r>
    </w:p>
    <w:p w14:paraId="324B6515" w14:textId="77777777" w:rsidR="002B48F0" w:rsidRPr="007E5633" w:rsidRDefault="002B48F0" w:rsidP="0042516F">
      <w:pPr>
        <w:pStyle w:val="a4"/>
        <w:numPr>
          <w:ilvl w:val="0"/>
          <w:numId w:val="9"/>
        </w:numPr>
        <w:suppressAutoHyphens w:val="0"/>
        <w:autoSpaceDN/>
        <w:spacing w:after="120" w:line="240" w:lineRule="auto"/>
        <w:textAlignment w:val="auto"/>
        <w:rPr>
          <w:rFonts w:ascii="Arial" w:hAnsi="Arial" w:cs="Arial"/>
          <w:lang w:val="uk-UA"/>
        </w:rPr>
      </w:pPr>
      <w:r w:rsidRPr="007E5633">
        <w:rPr>
          <w:rFonts w:ascii="Arial" w:hAnsi="Arial" w:cs="Arial"/>
          <w:lang w:val="uk-UA"/>
        </w:rPr>
        <w:t>захищати активи клієнтів.</w:t>
      </w:r>
    </w:p>
    <w:p w14:paraId="1171AFDF"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OTF, як і MTF, повинні встановити прозорі правила та процедури для справедливої ​​і впорядкованої торгівлі та встановлення об'єктивних критеріїв для ефективного виконання замовлень. Це включає в себе вимогу щодо надійного управління технічною роботою платформи та створення ефективних механізмів роботи у випадку непередбачуваних обставин для подолання ризиків, пов'язаних із порушеннями функціонування системи.</w:t>
      </w:r>
    </w:p>
    <w:p w14:paraId="5174BE4D"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Оператори OTF також будуть зобов'язані публікувати, підтримувати та застосовувати прозорі та недискримінаційні правила, що ґрунтуються на об'єктивних критеріях, які регулюють доступ до їх платформ.</w:t>
      </w:r>
    </w:p>
    <w:p w14:paraId="06B563F9"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Згідно зі статтею 18, до OTF будуть застосовуватися такі ж самі правила, що й до MTF, що стосується їх систем та контролю над ними, включаючи:</w:t>
      </w:r>
    </w:p>
    <w:p w14:paraId="77C8EC52" w14:textId="77777777" w:rsidR="002B48F0" w:rsidRPr="007E5633" w:rsidRDefault="002B48F0" w:rsidP="0042516F">
      <w:pPr>
        <w:pStyle w:val="a4"/>
        <w:numPr>
          <w:ilvl w:val="0"/>
          <w:numId w:val="10"/>
        </w:numPr>
        <w:suppressAutoHyphens w:val="0"/>
        <w:autoSpaceDN/>
        <w:spacing w:after="120" w:line="240" w:lineRule="auto"/>
        <w:textAlignment w:val="auto"/>
        <w:rPr>
          <w:rFonts w:ascii="Arial" w:hAnsi="Arial" w:cs="Arial"/>
          <w:lang w:val="uk-UA"/>
        </w:rPr>
      </w:pPr>
      <w:r w:rsidRPr="007E5633">
        <w:rPr>
          <w:rFonts w:ascii="Arial" w:hAnsi="Arial" w:cs="Arial"/>
          <w:lang w:val="uk-UA"/>
        </w:rPr>
        <w:t>виявлення та управління потенційними конфліктами інтересів;</w:t>
      </w:r>
    </w:p>
    <w:p w14:paraId="721EEDB6" w14:textId="77777777" w:rsidR="002B48F0" w:rsidRPr="007E5633" w:rsidRDefault="002B48F0" w:rsidP="0042516F">
      <w:pPr>
        <w:pStyle w:val="a4"/>
        <w:numPr>
          <w:ilvl w:val="0"/>
          <w:numId w:val="10"/>
        </w:numPr>
        <w:suppressAutoHyphens w:val="0"/>
        <w:autoSpaceDN/>
        <w:spacing w:after="120" w:line="240" w:lineRule="auto"/>
        <w:textAlignment w:val="auto"/>
        <w:rPr>
          <w:rFonts w:ascii="Arial" w:hAnsi="Arial" w:cs="Arial"/>
          <w:lang w:val="uk-UA"/>
        </w:rPr>
      </w:pPr>
      <w:r w:rsidRPr="007E5633">
        <w:rPr>
          <w:rFonts w:ascii="Arial" w:hAnsi="Arial" w:cs="Arial"/>
          <w:lang w:val="uk-UA"/>
        </w:rPr>
        <w:t>дотримання тих же вимог, що й до регульованих ринків стосовно стійкості систем, відхилення помилкових замовлень, призупинення торгівлі, тестування алгоритмічних торговельних систем та чесних і прозорих платіжних структур; і</w:t>
      </w:r>
    </w:p>
    <w:p w14:paraId="27925CEC" w14:textId="77777777" w:rsidR="002B48F0" w:rsidRPr="007E5633" w:rsidRDefault="002B48F0" w:rsidP="0042516F">
      <w:pPr>
        <w:pStyle w:val="a4"/>
        <w:numPr>
          <w:ilvl w:val="0"/>
          <w:numId w:val="10"/>
        </w:numPr>
        <w:suppressAutoHyphens w:val="0"/>
        <w:autoSpaceDN/>
        <w:spacing w:after="120" w:line="240" w:lineRule="auto"/>
        <w:textAlignment w:val="auto"/>
        <w:rPr>
          <w:rFonts w:ascii="Arial" w:hAnsi="Arial" w:cs="Arial"/>
          <w:lang w:val="uk-UA"/>
        </w:rPr>
      </w:pPr>
      <w:r w:rsidRPr="007E5633">
        <w:rPr>
          <w:rFonts w:ascii="Arial" w:hAnsi="Arial" w:cs="Arial"/>
          <w:lang w:val="uk-UA"/>
        </w:rPr>
        <w:t>впровадження необхідних заходів для сприяння ефективних розрахунків по транзакціях.</w:t>
      </w:r>
    </w:p>
    <w:p w14:paraId="3503A2AD"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MiFID II надає ряд додаткових зобов'язань стосовно операторів MTF та OTF для забезпечення прозорості та цілісності ринку. Додаткове зобов'язання за REMIT щодо звітування про підозрілі операції до NRA створює подвійний рівень контролю, який застосовується до OTF. Ці зобов'язання включають контроль за дотриманням учасниками правил платформи. Це означає, що оператори OTF повинні стежити за всіма надісланими замовленнями з метою виявлення будь-яких порушень правил або порушень торговельних умов. Про факти будь-якої безладної торгівлі має бути повідомлено відповідному національному регулюючому органу.</w:t>
      </w:r>
    </w:p>
    <w:p w14:paraId="678491A0"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Отже, не слід турбуватися про фізичні газові та електроенергетичні ринки, які перебувають поза межами фінансового регулювання.</w:t>
      </w:r>
    </w:p>
    <w:p w14:paraId="63D38B9A"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REMIT та інші європейські та національні правила прозорості забезпечують надійну індивідуальну регуляторну базу для забезпечення прозорості та цілісності, тоді як платформи OTF в будь-якому випадку діють відповідно до правил MiFID. З іншого боку, намагання примусити ці ринки до клірингу заради клірингу лише призведе до погіршення ліквідності, обмеження доступу та, врешті-решт, порушення стабільності на ринках ЄС.</w:t>
      </w:r>
    </w:p>
    <w:p w14:paraId="459F830A"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Застосовуються такі стандарти:</w:t>
      </w:r>
    </w:p>
    <w:p w14:paraId="1372E649" w14:textId="77777777" w:rsidR="002B48F0" w:rsidRPr="007E5633" w:rsidRDefault="002B48F0" w:rsidP="0042516F">
      <w:pPr>
        <w:pStyle w:val="a4"/>
        <w:numPr>
          <w:ilvl w:val="0"/>
          <w:numId w:val="21"/>
        </w:numPr>
        <w:spacing w:after="120" w:line="240" w:lineRule="auto"/>
        <w:rPr>
          <w:rFonts w:ascii="Arial" w:hAnsi="Arial" w:cs="Arial"/>
          <w:lang w:val="uk-UA"/>
        </w:rPr>
      </w:pPr>
      <w:r w:rsidRPr="007E5633">
        <w:rPr>
          <w:rFonts w:ascii="Arial" w:hAnsi="Arial" w:cs="Arial"/>
          <w:lang w:val="uk-UA"/>
        </w:rPr>
        <w:t>незалежний оператор ринку, анонімність учасників, прозорість цін та обсягів, однакове ставлення до MP, кліринг.</w:t>
      </w:r>
    </w:p>
    <w:p w14:paraId="39F93538" w14:textId="77777777" w:rsidR="002B48F0" w:rsidRPr="007E5633" w:rsidRDefault="002B48F0" w:rsidP="0042516F">
      <w:pPr>
        <w:pStyle w:val="a4"/>
        <w:numPr>
          <w:ilvl w:val="0"/>
          <w:numId w:val="21"/>
        </w:numPr>
        <w:spacing w:after="120" w:line="240" w:lineRule="auto"/>
        <w:rPr>
          <w:rFonts w:ascii="Arial" w:hAnsi="Arial" w:cs="Arial"/>
          <w:lang w:val="uk-UA"/>
        </w:rPr>
      </w:pPr>
      <w:r w:rsidRPr="007E5633">
        <w:rPr>
          <w:rFonts w:ascii="Arial" w:hAnsi="Arial" w:cs="Arial"/>
          <w:lang w:val="uk-UA"/>
        </w:rPr>
        <w:t>Ліквідність не розбивається: "EEX Link GmbH" поєднує реєстри замовлень не-MTF та бірж, відтворюючи найкращі ліміти.</w:t>
      </w:r>
    </w:p>
    <w:p w14:paraId="287B6FC0" w14:textId="77777777" w:rsidR="002B48F0" w:rsidRPr="007E5633" w:rsidRDefault="002B48F0" w:rsidP="0042516F">
      <w:pPr>
        <w:pStyle w:val="a4"/>
        <w:numPr>
          <w:ilvl w:val="0"/>
          <w:numId w:val="21"/>
        </w:numPr>
        <w:spacing w:after="120" w:line="240" w:lineRule="auto"/>
        <w:rPr>
          <w:rFonts w:ascii="Arial" w:hAnsi="Arial" w:cs="Arial"/>
          <w:lang w:val="uk-UA"/>
        </w:rPr>
      </w:pPr>
      <w:r w:rsidRPr="007E5633">
        <w:rPr>
          <w:rFonts w:ascii="Arial" w:hAnsi="Arial" w:cs="Arial"/>
          <w:lang w:val="uk-UA"/>
        </w:rPr>
        <w:lastRenderedPageBreak/>
        <w:t>Продукти, не пов'язані з MTF, не є фінансовими інструментами в рамках MIFID I і не враховуються в порогах винятків допоміжної діяльності.</w:t>
      </w:r>
    </w:p>
    <w:p w14:paraId="227ADA64" w14:textId="77777777" w:rsidR="002B48F0" w:rsidRPr="007E5633" w:rsidRDefault="002B48F0" w:rsidP="0042516F">
      <w:pPr>
        <w:pStyle w:val="a4"/>
        <w:numPr>
          <w:ilvl w:val="0"/>
          <w:numId w:val="21"/>
        </w:numPr>
        <w:spacing w:after="120" w:line="240" w:lineRule="auto"/>
        <w:rPr>
          <w:rFonts w:ascii="Arial" w:hAnsi="Arial" w:cs="Arial"/>
          <w:lang w:val="uk-UA"/>
        </w:rPr>
      </w:pPr>
      <w:r w:rsidRPr="007E5633">
        <w:rPr>
          <w:rFonts w:ascii="Arial" w:hAnsi="Arial" w:cs="Arial"/>
          <w:lang w:val="uk-UA"/>
        </w:rPr>
        <w:t>У 2018 році не-MTF перейшов у статус OTF.</w:t>
      </w:r>
    </w:p>
    <w:p w14:paraId="5E18E64C" w14:textId="10A739C7" w:rsidR="00DA1338" w:rsidRPr="007E5633" w:rsidRDefault="002B48F0" w:rsidP="00DA1338">
      <w:pPr>
        <w:pStyle w:val="af1"/>
        <w:jc w:val="left"/>
        <w:rPr>
          <w:rFonts w:cs="Arial"/>
          <w:sz w:val="22"/>
          <w:szCs w:val="22"/>
          <w:lang w:val="uk-UA"/>
        </w:rPr>
      </w:pPr>
      <w:bookmarkStart w:id="44" w:name="_Toc533094037"/>
      <w:r w:rsidRPr="007E5633">
        <w:rPr>
          <w:rFonts w:cs="Arial"/>
          <w:sz w:val="22"/>
          <w:szCs w:val="22"/>
          <w:lang w:val="uk-UA"/>
        </w:rPr>
        <w:t>Схема</w:t>
      </w:r>
      <w:r w:rsidR="00DA1338" w:rsidRPr="007E5633">
        <w:rPr>
          <w:rFonts w:cs="Arial"/>
          <w:sz w:val="22"/>
          <w:szCs w:val="22"/>
          <w:lang w:val="uk-UA"/>
        </w:rPr>
        <w:t xml:space="preserve"> </w:t>
      </w:r>
      <w:r w:rsidR="00622EE2" w:rsidRPr="007E5633">
        <w:rPr>
          <w:rFonts w:cs="Arial"/>
          <w:sz w:val="22"/>
          <w:szCs w:val="22"/>
          <w:lang w:val="uk-UA"/>
        </w:rPr>
        <w:fldChar w:fldCharType="begin"/>
      </w:r>
      <w:r w:rsidR="00DA1338"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10</w:t>
      </w:r>
      <w:r w:rsidR="00622EE2" w:rsidRPr="007E5633">
        <w:rPr>
          <w:rFonts w:cs="Arial"/>
          <w:sz w:val="22"/>
          <w:szCs w:val="22"/>
          <w:lang w:val="uk-UA"/>
        </w:rPr>
        <w:fldChar w:fldCharType="end"/>
      </w:r>
      <w:r w:rsidR="00DA1338" w:rsidRPr="007E5633">
        <w:rPr>
          <w:rFonts w:cs="Arial"/>
          <w:sz w:val="22"/>
          <w:szCs w:val="22"/>
          <w:lang w:val="uk-UA"/>
        </w:rPr>
        <w:t xml:space="preserve">: </w:t>
      </w:r>
      <w:r w:rsidRPr="007E5633">
        <w:rPr>
          <w:rFonts w:cs="Arial"/>
          <w:sz w:val="22"/>
          <w:szCs w:val="22"/>
          <w:lang w:val="uk-UA"/>
        </w:rPr>
        <w:t>Порівняння звітності за MIFID I із звітністю за MIFID II</w:t>
      </w:r>
      <w:bookmarkEnd w:id="44"/>
    </w:p>
    <w:p w14:paraId="7C47E5BF" w14:textId="77777777" w:rsidR="00E4309C" w:rsidRPr="007E5633" w:rsidRDefault="00E4309C" w:rsidP="00E4309C">
      <w:pPr>
        <w:spacing w:line="240" w:lineRule="auto"/>
        <w:jc w:val="both"/>
        <w:rPr>
          <w:rFonts w:ascii="Arial" w:hAnsi="Arial" w:cs="Arial"/>
          <w:lang w:val="uk-UA"/>
        </w:rPr>
      </w:pPr>
      <w:r w:rsidRPr="007E5633">
        <w:rPr>
          <w:rFonts w:ascii="Arial" w:hAnsi="Arial" w:cs="Arial"/>
          <w:noProof/>
          <w:lang w:val="en-US"/>
        </w:rPr>
        <w:drawing>
          <wp:inline distT="0" distB="0" distL="0" distR="0" wp14:anchorId="3C7419BE" wp14:editId="4D0C6ADC">
            <wp:extent cx="5810250" cy="2552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0" cy="2552700"/>
                    </a:xfrm>
                    <a:prstGeom prst="rect">
                      <a:avLst/>
                    </a:prstGeom>
                    <a:noFill/>
                    <a:ln>
                      <a:noFill/>
                    </a:ln>
                  </pic:spPr>
                </pic:pic>
              </a:graphicData>
            </a:graphic>
          </wp:inline>
        </w:drawing>
      </w:r>
    </w:p>
    <w:p w14:paraId="6D45BF0E" w14:textId="77777777" w:rsidR="00E4309C" w:rsidRPr="007E5633" w:rsidRDefault="002B48F0" w:rsidP="00E4309C">
      <w:pPr>
        <w:spacing w:line="240" w:lineRule="auto"/>
        <w:jc w:val="both"/>
        <w:rPr>
          <w:rFonts w:ascii="Arial" w:hAnsi="Arial" w:cs="Arial"/>
          <w:lang w:val="uk-UA"/>
        </w:rPr>
      </w:pPr>
      <w:r w:rsidRPr="007E5633">
        <w:rPr>
          <w:rFonts w:ascii="Arial" w:hAnsi="Arial" w:cs="Arial"/>
          <w:lang w:val="uk-UA"/>
        </w:rPr>
        <w:t>Джерело: EFET 2017</w:t>
      </w:r>
    </w:p>
    <w:p w14:paraId="27BF60DE" w14:textId="77777777" w:rsidR="00E4309C" w:rsidRPr="007E5633" w:rsidRDefault="00E4309C" w:rsidP="00912D9A">
      <w:pPr>
        <w:pStyle w:val="FSHeader1"/>
        <w:pageBreakBefore w:val="0"/>
        <w:numPr>
          <w:ilvl w:val="3"/>
          <w:numId w:val="26"/>
        </w:numPr>
        <w:tabs>
          <w:tab w:val="left" w:pos="709"/>
        </w:tabs>
        <w:spacing w:after="120"/>
        <w:rPr>
          <w:rFonts w:ascii="Arial" w:hAnsi="Arial" w:cs="Arial"/>
          <w:color w:val="auto"/>
          <w:sz w:val="22"/>
          <w:szCs w:val="22"/>
          <w:lang w:val="uk-UA"/>
        </w:rPr>
      </w:pPr>
      <w:bookmarkStart w:id="45" w:name="_Toc526775012"/>
      <w:bookmarkStart w:id="46" w:name="_Toc526800239"/>
      <w:bookmarkStart w:id="47" w:name="_Toc533093908"/>
      <w:r w:rsidRPr="007E5633">
        <w:rPr>
          <w:rFonts w:ascii="Arial" w:hAnsi="Arial" w:cs="Arial"/>
          <w:color w:val="auto"/>
          <w:sz w:val="22"/>
          <w:szCs w:val="22"/>
          <w:lang w:val="uk-UA"/>
        </w:rPr>
        <w:t>EMIR</w:t>
      </w:r>
      <w:bookmarkEnd w:id="45"/>
      <w:bookmarkEnd w:id="46"/>
      <w:bookmarkEnd w:id="47"/>
    </w:p>
    <w:p w14:paraId="73F3E3F6"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У відповідь на фінансову кризу та занепокоєння щодо відсутності прозорості на позабіржових ринках, у 2009 році лідери "Великої двадцятки" погодились з тим, що:</w:t>
      </w:r>
    </w:p>
    <w:p w14:paraId="6E7D40DC" w14:textId="77777777" w:rsidR="002B48F0" w:rsidRPr="007E5633" w:rsidRDefault="002B48F0" w:rsidP="0042516F">
      <w:pPr>
        <w:pStyle w:val="a4"/>
        <w:numPr>
          <w:ilvl w:val="0"/>
          <w:numId w:val="22"/>
        </w:numPr>
        <w:spacing w:after="120" w:line="240" w:lineRule="auto"/>
        <w:rPr>
          <w:rFonts w:ascii="Arial" w:hAnsi="Arial" w:cs="Arial"/>
          <w:lang w:val="uk-UA"/>
        </w:rPr>
      </w:pPr>
      <w:r w:rsidRPr="007E5633">
        <w:rPr>
          <w:rFonts w:ascii="Arial" w:hAnsi="Arial" w:cs="Arial"/>
          <w:lang w:val="uk-UA"/>
        </w:rPr>
        <w:t>Всі стандартизовані позабіржові деривативні контракти повинні торгуватися на біржах або на електронних платформах.</w:t>
      </w:r>
    </w:p>
    <w:p w14:paraId="562E38B9" w14:textId="77777777" w:rsidR="002B48F0" w:rsidRPr="007E5633" w:rsidRDefault="002B48F0" w:rsidP="0042516F">
      <w:pPr>
        <w:pStyle w:val="a4"/>
        <w:numPr>
          <w:ilvl w:val="0"/>
          <w:numId w:val="22"/>
        </w:numPr>
        <w:spacing w:after="120" w:line="240" w:lineRule="auto"/>
        <w:rPr>
          <w:rFonts w:ascii="Arial" w:hAnsi="Arial" w:cs="Arial"/>
          <w:lang w:val="uk-UA"/>
        </w:rPr>
      </w:pPr>
      <w:r w:rsidRPr="007E5633">
        <w:rPr>
          <w:rFonts w:ascii="Arial" w:hAnsi="Arial" w:cs="Arial"/>
          <w:lang w:val="uk-UA"/>
        </w:rPr>
        <w:t>До кінця 2012 р. усі стандартизовані позабіржові деривативні контракти повинні проходити кліринг через центральних контрагентів (CCP)</w:t>
      </w:r>
    </w:p>
    <w:p w14:paraId="4642F456" w14:textId="77777777" w:rsidR="002B48F0" w:rsidRPr="007E5633" w:rsidRDefault="002B48F0" w:rsidP="0042516F">
      <w:pPr>
        <w:pStyle w:val="a4"/>
        <w:numPr>
          <w:ilvl w:val="0"/>
          <w:numId w:val="22"/>
        </w:numPr>
        <w:spacing w:after="120" w:line="240" w:lineRule="auto"/>
        <w:rPr>
          <w:rFonts w:ascii="Arial" w:hAnsi="Arial" w:cs="Arial"/>
          <w:lang w:val="uk-UA"/>
        </w:rPr>
      </w:pPr>
      <w:r w:rsidRPr="007E5633">
        <w:rPr>
          <w:rFonts w:ascii="Arial" w:hAnsi="Arial" w:cs="Arial"/>
          <w:lang w:val="uk-UA"/>
        </w:rPr>
        <w:t>Про всі позабіржові деривативні контракти повинно бути повідомлено репозитаріям торгівельної інформації.</w:t>
      </w:r>
    </w:p>
    <w:p w14:paraId="11A46CFF" w14:textId="77777777" w:rsidR="002B48F0" w:rsidRPr="007E5633" w:rsidRDefault="002B48F0" w:rsidP="0042516F">
      <w:pPr>
        <w:pStyle w:val="a4"/>
        <w:numPr>
          <w:ilvl w:val="0"/>
          <w:numId w:val="22"/>
        </w:numPr>
        <w:spacing w:after="120" w:line="240" w:lineRule="auto"/>
        <w:rPr>
          <w:rFonts w:ascii="Arial" w:hAnsi="Arial" w:cs="Arial"/>
          <w:lang w:val="uk-UA"/>
        </w:rPr>
      </w:pPr>
      <w:r w:rsidRPr="007E5633">
        <w:rPr>
          <w:rFonts w:ascii="Arial" w:hAnsi="Arial" w:cs="Arial"/>
          <w:lang w:val="uk-UA"/>
        </w:rPr>
        <w:t>Контракти, що не проходять через центральний кліринг, повинні підпадати під підвищені вимоги до капіталу.</w:t>
      </w:r>
    </w:p>
    <w:p w14:paraId="6BF63FBC" w14:textId="77777777" w:rsidR="002B48F0" w:rsidRPr="007E5633" w:rsidRDefault="002B48F0" w:rsidP="002B48F0">
      <w:pPr>
        <w:spacing w:after="120" w:line="240" w:lineRule="auto"/>
        <w:rPr>
          <w:rFonts w:ascii="Arial" w:hAnsi="Arial" w:cs="Arial"/>
          <w:lang w:val="uk-UA"/>
        </w:rPr>
      </w:pPr>
      <w:r w:rsidRPr="007E5633">
        <w:rPr>
          <w:rFonts w:ascii="Arial" w:hAnsi="Arial" w:cs="Arial"/>
          <w:lang w:val="uk-UA"/>
        </w:rPr>
        <w:t>Ці зобов'язання були реалізовані за допомогою European Market Infrastructure Regulation (EMIR) та правил, що впроваджують EMIR. Вони встановлюють обов'язкові клірингові зобов'язання та більш жорсткі вимоги щодо пом'якшення ризику для позабіржових похідних інструментів, які торгуються вище певних порогових значень, і виконувати зобов'язання стосовно звітування щодо всіх похідних контрактів (як позабіржових, так і біржових).</w:t>
      </w:r>
    </w:p>
    <w:p w14:paraId="60F80BFA" w14:textId="77777777" w:rsidR="00A61BEE" w:rsidRPr="007E5633" w:rsidRDefault="002B48F0" w:rsidP="00912D9A">
      <w:pPr>
        <w:pStyle w:val="FSHeader1"/>
        <w:keepNext w:val="0"/>
        <w:pageBreakBefore w:val="0"/>
        <w:numPr>
          <w:ilvl w:val="1"/>
          <w:numId w:val="26"/>
        </w:numPr>
        <w:spacing w:after="120"/>
        <w:ind w:left="434" w:hanging="434"/>
        <w:rPr>
          <w:rFonts w:ascii="Arial" w:hAnsi="Arial" w:cs="Arial"/>
          <w:sz w:val="26"/>
          <w:szCs w:val="26"/>
          <w:lang w:val="uk-UA"/>
        </w:rPr>
      </w:pPr>
      <w:bookmarkStart w:id="48" w:name="_Toc533093909"/>
      <w:r w:rsidRPr="007E5633">
        <w:rPr>
          <w:rFonts w:ascii="Arial" w:hAnsi="Arial" w:cs="Arial"/>
          <w:sz w:val="26"/>
          <w:szCs w:val="26"/>
          <w:lang w:val="uk-UA"/>
        </w:rPr>
        <w:t>Аналіз системи ліцензування майданчиків</w:t>
      </w:r>
      <w:bookmarkEnd w:id="48"/>
    </w:p>
    <w:p w14:paraId="26F05941" w14:textId="77777777" w:rsidR="002B48F0" w:rsidRPr="007E5633" w:rsidRDefault="002B48F0" w:rsidP="002B48F0">
      <w:pPr>
        <w:pStyle w:val="af4"/>
        <w:rPr>
          <w:sz w:val="22"/>
          <w:szCs w:val="22"/>
          <w:lang w:val="uk-UA"/>
        </w:rPr>
      </w:pPr>
      <w:r w:rsidRPr="007E5633">
        <w:rPr>
          <w:sz w:val="22"/>
          <w:szCs w:val="22"/>
          <w:lang w:val="uk-UA"/>
        </w:rPr>
        <w:t xml:space="preserve">Як зазначалося вище, організована (багатостороння) торгівля енергією може здійснюватися як на спотовому ринку, так і на ринку деривативів. Спотові біржі в основному не регулюються на європейському рівні. Єдині правила ЄС, безпосередньо пов'язані зі спотовими торгівельними майданчиками, є REMIT, які встановлюють вимоги щодо прозорості, маніпулювання ринком та звітності. REMIT детально обговорюється в подальшій частині звіту, а також статус NEMO, наданий операторам ринку на основі Commission Regulation (EU) 2015/1222 від 24 липня 2015 р., яка затверджує Положення про розподіл потужності та управління завантаженням (Guideline on Capacity Allocation </w:t>
      </w:r>
      <w:r w:rsidRPr="007E5633">
        <w:rPr>
          <w:sz w:val="22"/>
          <w:szCs w:val="22"/>
          <w:lang w:val="uk-UA"/>
        </w:rPr>
        <w:lastRenderedPageBreak/>
        <w:t>and Congestion Management) - CACM (Положення про злиття ринків - Regulation on market coupling). Останнє дозволяє спотовим енергобіржам пропонувати послуги торгівлі «на наступні дні» та послуги «внутрішньоденної» торгівлі з доставкою в інші країни-члени ЄС, але воно не є необхідною для встановлення самої торгівлі. Внутрішні правила, зокрема, для держав-членів, можуть вимагати подальшого ліцензування для роботи спотових бірж, але це по-різному у кожній державі ЄС, а місцева регулятивна правова база може суттєво відрізнятися.</w:t>
      </w:r>
    </w:p>
    <w:p w14:paraId="6D9CC783" w14:textId="77777777" w:rsidR="002B48F0" w:rsidRPr="007E5633" w:rsidRDefault="002B48F0" w:rsidP="002B48F0">
      <w:pPr>
        <w:pStyle w:val="af4"/>
        <w:rPr>
          <w:sz w:val="22"/>
          <w:szCs w:val="22"/>
          <w:lang w:val="uk-UA"/>
        </w:rPr>
      </w:pPr>
      <w:r w:rsidRPr="007E5633">
        <w:rPr>
          <w:sz w:val="22"/>
          <w:szCs w:val="22"/>
          <w:lang w:val="uk-UA"/>
        </w:rPr>
        <w:t>На відміну від спотового ринку, всі багатосторонні похідні торговельні операції в ЄС повинні проводитися на одному з торговельних майданчиків, які керуються MIFID II, а саме: організовані торгові платформи (OTFs), багатосторонні торговельні платформи (MTFs) або регульовані ринки (RMs), для яких потрібен попередній дозвіл Національного компетентного органу (NCA). Суб'єкт, який вимагає дозволу на запуск (роботу) OTF або MTF, має отримати ліцензію інвестиційної компанії. Регульовані ринки мають окремий, навіть жорсткіший процес ліцензування. Це означає, що організація ринку деривативів в ЄС не може бути виконана без виконання великої кількості жорстких вимог.</w:t>
      </w:r>
    </w:p>
    <w:p w14:paraId="329ECF92" w14:textId="77777777" w:rsidR="002B48F0" w:rsidRPr="007E5633" w:rsidRDefault="002B48F0" w:rsidP="002B48F0">
      <w:pPr>
        <w:pStyle w:val="af4"/>
        <w:rPr>
          <w:sz w:val="22"/>
          <w:szCs w:val="22"/>
          <w:lang w:val="uk-UA"/>
        </w:rPr>
      </w:pPr>
      <w:r w:rsidRPr="007E5633">
        <w:rPr>
          <w:sz w:val="22"/>
          <w:szCs w:val="22"/>
          <w:lang w:val="uk-UA"/>
        </w:rPr>
        <w:t>Вимога щодо ліцензування повинна розглядатися як обов'язкова у відношенні діяльності, яка може спричинити шкоду інвесторам та дестабілізувати економічні та фінансові системи. Надання інвестиційних послуг вимагає не тільки знань, але й бездоганного етичного кодексу. Роль NCA полягає у нагляді за інвестиційними фірмами. Маючи на увазі складні зв'язки між інвестиційними фірмами та їх кількість, що перевищує 12 000, жорсткі вимоги NCA на стадії застосування є виправданими. Слідом за розвитком фінансових ринків завдяки технологічним досягненням очевидно відбувається, окрім всього іншого, розширення потреб у регулюванні ширшого кола аспектів. MIFID II вирішив цю потребу та розширив ліцензійне зобов'язання, зокрема, для високочастотної алгоритмічної торгівлі.</w:t>
      </w:r>
    </w:p>
    <w:p w14:paraId="118DEBEF" w14:textId="77777777" w:rsidR="002B48F0" w:rsidRPr="007E5633" w:rsidRDefault="002B48F0" w:rsidP="002B48F0">
      <w:pPr>
        <w:pStyle w:val="af4"/>
        <w:rPr>
          <w:sz w:val="22"/>
          <w:szCs w:val="22"/>
          <w:lang w:val="uk-UA"/>
        </w:rPr>
      </w:pPr>
      <w:r w:rsidRPr="007E5633">
        <w:rPr>
          <w:sz w:val="22"/>
          <w:szCs w:val="22"/>
          <w:lang w:val="uk-UA"/>
        </w:rPr>
        <w:t>Загалом, система MIFID II також перешкоджає регуляторному арбітражу, оскільки правила у галузі ліцензування інвестиційних фірм є уніфікованими. Однак NCA має право у випадку виникнення питань вимагати подання додаткової документації, якої немає у списку стандартного пакету при поданні заявки на отримання ліцензії. Нижче наводиться список національних компетентних органів ЄС.</w:t>
      </w:r>
    </w:p>
    <w:p w14:paraId="0CA0E5C7" w14:textId="71DC12D7" w:rsidR="00A61BEE" w:rsidRPr="007E5633" w:rsidRDefault="002B48F0" w:rsidP="00DA1338">
      <w:pPr>
        <w:pStyle w:val="af1"/>
        <w:jc w:val="both"/>
        <w:rPr>
          <w:rFonts w:cs="Arial"/>
          <w:sz w:val="22"/>
          <w:szCs w:val="22"/>
          <w:lang w:val="uk-UA"/>
        </w:rPr>
      </w:pPr>
      <w:bookmarkStart w:id="49" w:name="_Toc533094038"/>
      <w:r w:rsidRPr="007E5633">
        <w:rPr>
          <w:rFonts w:cs="Arial"/>
          <w:sz w:val="22"/>
          <w:szCs w:val="22"/>
          <w:lang w:val="uk-UA"/>
        </w:rPr>
        <w:t>Схема</w:t>
      </w:r>
      <w:r w:rsidR="00DA1338" w:rsidRPr="007E5633">
        <w:rPr>
          <w:rFonts w:cs="Arial"/>
          <w:sz w:val="22"/>
          <w:szCs w:val="22"/>
          <w:lang w:val="uk-UA"/>
        </w:rPr>
        <w:t xml:space="preserve"> </w:t>
      </w:r>
      <w:r w:rsidR="00622EE2" w:rsidRPr="007E5633">
        <w:rPr>
          <w:rFonts w:cs="Arial"/>
          <w:sz w:val="22"/>
          <w:szCs w:val="22"/>
          <w:lang w:val="uk-UA"/>
        </w:rPr>
        <w:fldChar w:fldCharType="begin"/>
      </w:r>
      <w:r w:rsidR="00DA1338"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11</w:t>
      </w:r>
      <w:r w:rsidR="00622EE2" w:rsidRPr="007E5633">
        <w:rPr>
          <w:rFonts w:cs="Arial"/>
          <w:sz w:val="22"/>
          <w:szCs w:val="22"/>
          <w:lang w:val="uk-UA"/>
        </w:rPr>
        <w:fldChar w:fldCharType="end"/>
      </w:r>
      <w:r w:rsidR="00DA1338" w:rsidRPr="007E5633">
        <w:rPr>
          <w:rFonts w:cs="Arial"/>
          <w:sz w:val="22"/>
          <w:szCs w:val="22"/>
          <w:lang w:val="uk-UA"/>
        </w:rPr>
        <w:t xml:space="preserve">: </w:t>
      </w:r>
      <w:r w:rsidRPr="007E5633">
        <w:rPr>
          <w:rFonts w:cs="Arial"/>
          <w:sz w:val="22"/>
          <w:szCs w:val="22"/>
          <w:lang w:val="uk-UA"/>
        </w:rPr>
        <w:t>Список Національних компетентних органів (NCA) в ЄС</w:t>
      </w:r>
      <w:bookmarkEnd w:id="49"/>
    </w:p>
    <w:p w14:paraId="139BAE61" w14:textId="77777777" w:rsidR="00DA1338" w:rsidRPr="007E5633" w:rsidRDefault="00DA1338" w:rsidP="00DA1338">
      <w:pPr>
        <w:spacing w:after="0" w:line="240" w:lineRule="auto"/>
        <w:rPr>
          <w:rFonts w:ascii="Arial" w:hAnsi="Arial" w:cs="Arial"/>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2"/>
        <w:gridCol w:w="2348"/>
        <w:gridCol w:w="6016"/>
      </w:tblGrid>
      <w:tr w:rsidR="002B48F0" w:rsidRPr="007E5633" w14:paraId="4DFD9EBD" w14:textId="77777777" w:rsidTr="000A7BA9">
        <w:tc>
          <w:tcPr>
            <w:tcW w:w="3085" w:type="dxa"/>
            <w:gridSpan w:val="2"/>
            <w:tcBorders>
              <w:bottom w:val="single" w:sz="4" w:space="0" w:color="F79646" w:themeColor="accent6"/>
            </w:tcBorders>
          </w:tcPr>
          <w:p w14:paraId="567D83B9" w14:textId="77777777" w:rsidR="002B48F0" w:rsidRPr="007E5633" w:rsidRDefault="002B48F0" w:rsidP="000A7BA9">
            <w:pPr>
              <w:pStyle w:val="af4"/>
              <w:rPr>
                <w:sz w:val="22"/>
                <w:szCs w:val="22"/>
                <w:lang w:val="uk-UA"/>
              </w:rPr>
            </w:pPr>
            <w:r w:rsidRPr="007E5633">
              <w:rPr>
                <w:sz w:val="24"/>
                <w:szCs w:val="24"/>
                <w:lang w:val="uk-UA"/>
              </w:rPr>
              <w:t>Країна-член ЄС</w:t>
            </w:r>
          </w:p>
        </w:tc>
        <w:tc>
          <w:tcPr>
            <w:tcW w:w="6157" w:type="dxa"/>
            <w:tcBorders>
              <w:bottom w:val="single" w:sz="4" w:space="0" w:color="F79646" w:themeColor="accent6"/>
            </w:tcBorders>
          </w:tcPr>
          <w:p w14:paraId="28332ACC" w14:textId="77777777" w:rsidR="002B48F0" w:rsidRPr="007E5633" w:rsidRDefault="002B48F0" w:rsidP="000A7BA9">
            <w:pPr>
              <w:pStyle w:val="af4"/>
              <w:rPr>
                <w:sz w:val="22"/>
                <w:szCs w:val="22"/>
                <w:lang w:val="uk-UA"/>
              </w:rPr>
            </w:pPr>
            <w:r w:rsidRPr="007E5633">
              <w:rPr>
                <w:sz w:val="24"/>
                <w:szCs w:val="24"/>
                <w:lang w:val="uk-UA"/>
              </w:rPr>
              <w:t>Національний компетентний орган</w:t>
            </w:r>
          </w:p>
        </w:tc>
      </w:tr>
      <w:tr w:rsidR="00A61BEE" w:rsidRPr="007E5633" w14:paraId="1BC14F42" w14:textId="77777777" w:rsidTr="000A7BA9">
        <w:tc>
          <w:tcPr>
            <w:tcW w:w="675" w:type="dxa"/>
            <w:tcBorders>
              <w:top w:val="single" w:sz="4" w:space="0" w:color="F79646" w:themeColor="accent6"/>
              <w:bottom w:val="single" w:sz="4" w:space="0" w:color="A6A6A6" w:themeColor="background1" w:themeShade="A6"/>
            </w:tcBorders>
          </w:tcPr>
          <w:p w14:paraId="15BF8F35"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706C55C8" wp14:editId="0723CE06">
                  <wp:extent cx="153670" cy="107315"/>
                  <wp:effectExtent l="0" t="0" r="0" b="6985"/>
                  <wp:docPr id="253" name="Picture 253" descr="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g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70" cy="107315"/>
                          </a:xfrm>
                          <a:prstGeom prst="rect">
                            <a:avLst/>
                          </a:prstGeom>
                          <a:noFill/>
                          <a:ln>
                            <a:noFill/>
                          </a:ln>
                        </pic:spPr>
                      </pic:pic>
                    </a:graphicData>
                  </a:graphic>
                </wp:inline>
              </w:drawing>
            </w:r>
          </w:p>
        </w:tc>
        <w:tc>
          <w:tcPr>
            <w:tcW w:w="2410" w:type="dxa"/>
            <w:tcBorders>
              <w:top w:val="single" w:sz="4" w:space="0" w:color="F79646" w:themeColor="accent6"/>
              <w:bottom w:val="single" w:sz="4" w:space="0" w:color="A6A6A6" w:themeColor="background1" w:themeShade="A6"/>
            </w:tcBorders>
          </w:tcPr>
          <w:p w14:paraId="70E58FDC" w14:textId="77777777" w:rsidR="00A61BEE" w:rsidRPr="007E5633" w:rsidRDefault="00A61BEE" w:rsidP="000A7BA9">
            <w:pPr>
              <w:pStyle w:val="af4"/>
              <w:rPr>
                <w:sz w:val="22"/>
                <w:szCs w:val="22"/>
                <w:lang w:val="uk-UA"/>
              </w:rPr>
            </w:pPr>
            <w:r w:rsidRPr="007E5633">
              <w:rPr>
                <w:sz w:val="22"/>
                <w:szCs w:val="22"/>
                <w:shd w:val="clear" w:color="auto" w:fill="FFFFFF"/>
                <w:lang w:val="uk-UA"/>
              </w:rPr>
              <w:t>Belgium</w:t>
            </w:r>
          </w:p>
        </w:tc>
        <w:tc>
          <w:tcPr>
            <w:tcW w:w="6157" w:type="dxa"/>
            <w:tcBorders>
              <w:top w:val="single" w:sz="4" w:space="0" w:color="F79646" w:themeColor="accent6"/>
              <w:bottom w:val="single" w:sz="4" w:space="0" w:color="A6A6A6" w:themeColor="background1" w:themeShade="A6"/>
            </w:tcBorders>
          </w:tcPr>
          <w:p w14:paraId="31CCE030" w14:textId="77777777" w:rsidR="00A61BEE" w:rsidRPr="007E5633" w:rsidRDefault="00A61BEE" w:rsidP="000A7BA9">
            <w:pPr>
              <w:pStyle w:val="af4"/>
              <w:rPr>
                <w:sz w:val="22"/>
                <w:szCs w:val="22"/>
                <w:lang w:val="uk-UA"/>
              </w:rPr>
            </w:pPr>
            <w:r w:rsidRPr="007E5633">
              <w:rPr>
                <w:sz w:val="22"/>
                <w:szCs w:val="22"/>
                <w:lang w:val="uk-UA"/>
              </w:rPr>
              <w:t>Financial Services and Markets Authority</w:t>
            </w:r>
            <w:r w:rsidRPr="007E5633">
              <w:rPr>
                <w:sz w:val="22"/>
                <w:szCs w:val="22"/>
                <w:shd w:val="clear" w:color="auto" w:fill="FFFFFF"/>
                <w:lang w:val="uk-UA"/>
              </w:rPr>
              <w:t> (FSMA)</w:t>
            </w:r>
          </w:p>
        </w:tc>
      </w:tr>
      <w:tr w:rsidR="00A61BEE" w:rsidRPr="007E5633" w14:paraId="20CBD0A9" w14:textId="77777777" w:rsidTr="000A7BA9">
        <w:tc>
          <w:tcPr>
            <w:tcW w:w="675" w:type="dxa"/>
            <w:tcBorders>
              <w:top w:val="single" w:sz="4" w:space="0" w:color="A6A6A6" w:themeColor="background1" w:themeShade="A6"/>
              <w:bottom w:val="single" w:sz="4" w:space="0" w:color="A6A6A6" w:themeColor="background1" w:themeShade="A6"/>
            </w:tcBorders>
          </w:tcPr>
          <w:p w14:paraId="620A44D5"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03A3731B" wp14:editId="30838BC1">
                  <wp:extent cx="153670" cy="107315"/>
                  <wp:effectExtent l="0" t="0" r="0" b="6985"/>
                  <wp:docPr id="254" name="Picture 254" descr="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gar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670" cy="10731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3EFF7F83" w14:textId="77777777" w:rsidR="00A61BEE" w:rsidRPr="007E5633" w:rsidRDefault="00A61BEE" w:rsidP="000A7BA9">
            <w:pPr>
              <w:pStyle w:val="af4"/>
              <w:rPr>
                <w:sz w:val="22"/>
                <w:szCs w:val="22"/>
                <w:lang w:val="uk-UA"/>
              </w:rPr>
            </w:pPr>
            <w:r w:rsidRPr="007E5633">
              <w:rPr>
                <w:sz w:val="22"/>
                <w:szCs w:val="22"/>
                <w:shd w:val="clear" w:color="auto" w:fill="FFFFFF"/>
                <w:lang w:val="uk-UA"/>
              </w:rPr>
              <w:t>Bulgaria</w:t>
            </w:r>
          </w:p>
        </w:tc>
        <w:tc>
          <w:tcPr>
            <w:tcW w:w="6157" w:type="dxa"/>
            <w:tcBorders>
              <w:top w:val="single" w:sz="4" w:space="0" w:color="A6A6A6" w:themeColor="background1" w:themeShade="A6"/>
              <w:bottom w:val="single" w:sz="4" w:space="0" w:color="A6A6A6" w:themeColor="background1" w:themeShade="A6"/>
            </w:tcBorders>
          </w:tcPr>
          <w:p w14:paraId="6ACBA026" w14:textId="77777777" w:rsidR="00A61BEE" w:rsidRPr="007E5633" w:rsidRDefault="00A61BEE" w:rsidP="000A7BA9">
            <w:pPr>
              <w:pStyle w:val="af4"/>
              <w:rPr>
                <w:sz w:val="22"/>
                <w:szCs w:val="22"/>
                <w:lang w:val="uk-UA"/>
              </w:rPr>
            </w:pPr>
            <w:r w:rsidRPr="007E5633">
              <w:rPr>
                <w:sz w:val="22"/>
                <w:szCs w:val="22"/>
                <w:lang w:val="uk-UA"/>
              </w:rPr>
              <w:t>Комисията за финансов надзор</w:t>
            </w:r>
            <w:r w:rsidRPr="007E5633">
              <w:rPr>
                <w:sz w:val="22"/>
                <w:szCs w:val="22"/>
                <w:shd w:val="clear" w:color="auto" w:fill="FFFFFF"/>
                <w:lang w:val="uk-UA"/>
              </w:rPr>
              <w:t> (FSC)</w:t>
            </w:r>
          </w:p>
        </w:tc>
      </w:tr>
      <w:tr w:rsidR="00A61BEE" w:rsidRPr="007E5633" w14:paraId="6576BBE4" w14:textId="77777777" w:rsidTr="000A7BA9">
        <w:tc>
          <w:tcPr>
            <w:tcW w:w="675" w:type="dxa"/>
            <w:tcBorders>
              <w:top w:val="single" w:sz="4" w:space="0" w:color="A6A6A6" w:themeColor="background1" w:themeShade="A6"/>
              <w:bottom w:val="single" w:sz="4" w:space="0" w:color="A6A6A6" w:themeColor="background1" w:themeShade="A6"/>
            </w:tcBorders>
          </w:tcPr>
          <w:p w14:paraId="4610AACD"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419546C0" wp14:editId="16C81336">
                  <wp:extent cx="153670" cy="107315"/>
                  <wp:effectExtent l="0" t="0" r="0" b="6985"/>
                  <wp:docPr id="19" name="Picture 19" descr="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ech Republ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70" cy="10731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08755849" w14:textId="77777777" w:rsidR="00A61BEE" w:rsidRPr="007E5633" w:rsidRDefault="00A61BEE" w:rsidP="000A7BA9">
            <w:pPr>
              <w:pStyle w:val="af4"/>
              <w:rPr>
                <w:sz w:val="22"/>
                <w:szCs w:val="22"/>
                <w:lang w:val="uk-UA"/>
              </w:rPr>
            </w:pPr>
            <w:r w:rsidRPr="007E5633">
              <w:rPr>
                <w:sz w:val="22"/>
                <w:szCs w:val="22"/>
                <w:shd w:val="clear" w:color="auto" w:fill="FFFFFF"/>
                <w:lang w:val="uk-UA"/>
              </w:rPr>
              <w:t>Czech Republic</w:t>
            </w:r>
          </w:p>
        </w:tc>
        <w:tc>
          <w:tcPr>
            <w:tcW w:w="6157" w:type="dxa"/>
            <w:tcBorders>
              <w:top w:val="single" w:sz="4" w:space="0" w:color="A6A6A6" w:themeColor="background1" w:themeShade="A6"/>
              <w:bottom w:val="single" w:sz="4" w:space="0" w:color="A6A6A6" w:themeColor="background1" w:themeShade="A6"/>
            </w:tcBorders>
          </w:tcPr>
          <w:p w14:paraId="18C8ABE2" w14:textId="77777777" w:rsidR="00A61BEE" w:rsidRPr="007E5633" w:rsidRDefault="00A61BEE" w:rsidP="000A7BA9">
            <w:pPr>
              <w:pStyle w:val="af4"/>
              <w:rPr>
                <w:sz w:val="22"/>
                <w:szCs w:val="22"/>
                <w:lang w:val="uk-UA"/>
              </w:rPr>
            </w:pPr>
            <w:r w:rsidRPr="007E5633">
              <w:rPr>
                <w:sz w:val="22"/>
                <w:szCs w:val="22"/>
                <w:lang w:val="uk-UA"/>
              </w:rPr>
              <w:t>Ceská národní banka</w:t>
            </w:r>
            <w:r w:rsidRPr="007E5633">
              <w:rPr>
                <w:sz w:val="22"/>
                <w:szCs w:val="22"/>
                <w:shd w:val="clear" w:color="auto" w:fill="FFFFFF"/>
                <w:lang w:val="uk-UA"/>
              </w:rPr>
              <w:t> (CNB)</w:t>
            </w:r>
          </w:p>
        </w:tc>
      </w:tr>
      <w:tr w:rsidR="00A61BEE" w:rsidRPr="007E5633" w14:paraId="5CA50C3E" w14:textId="77777777" w:rsidTr="000A7BA9">
        <w:tc>
          <w:tcPr>
            <w:tcW w:w="675" w:type="dxa"/>
            <w:tcBorders>
              <w:top w:val="single" w:sz="4" w:space="0" w:color="A6A6A6" w:themeColor="background1" w:themeShade="A6"/>
              <w:bottom w:val="single" w:sz="4" w:space="0" w:color="A6A6A6" w:themeColor="background1" w:themeShade="A6"/>
            </w:tcBorders>
          </w:tcPr>
          <w:p w14:paraId="1712FBE9"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1495C1D5" wp14:editId="5039B93B">
                  <wp:extent cx="154305" cy="99060"/>
                  <wp:effectExtent l="0" t="0" r="0" b="0"/>
                  <wp:docPr id="20" name="Picture 20" descr="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ma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 cy="99060"/>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4E56EA91" w14:textId="77777777" w:rsidR="00A61BEE" w:rsidRPr="007E5633" w:rsidRDefault="00A61BEE" w:rsidP="000A7BA9">
            <w:pPr>
              <w:pStyle w:val="af4"/>
              <w:rPr>
                <w:sz w:val="22"/>
                <w:szCs w:val="22"/>
                <w:lang w:val="uk-UA"/>
              </w:rPr>
            </w:pPr>
            <w:r w:rsidRPr="007E5633">
              <w:rPr>
                <w:sz w:val="22"/>
                <w:szCs w:val="22"/>
                <w:shd w:val="clear" w:color="auto" w:fill="FFFFFF"/>
                <w:lang w:val="uk-UA"/>
              </w:rPr>
              <w:t>Denmark</w:t>
            </w:r>
          </w:p>
        </w:tc>
        <w:tc>
          <w:tcPr>
            <w:tcW w:w="6157" w:type="dxa"/>
            <w:tcBorders>
              <w:top w:val="single" w:sz="4" w:space="0" w:color="A6A6A6" w:themeColor="background1" w:themeShade="A6"/>
              <w:bottom w:val="single" w:sz="4" w:space="0" w:color="A6A6A6" w:themeColor="background1" w:themeShade="A6"/>
            </w:tcBorders>
          </w:tcPr>
          <w:p w14:paraId="77719D1B" w14:textId="77777777" w:rsidR="00A61BEE" w:rsidRPr="007E5633" w:rsidRDefault="00A61BEE" w:rsidP="000A7BA9">
            <w:pPr>
              <w:pStyle w:val="af4"/>
              <w:rPr>
                <w:sz w:val="22"/>
                <w:szCs w:val="22"/>
                <w:lang w:val="uk-UA"/>
              </w:rPr>
            </w:pPr>
            <w:r w:rsidRPr="007E5633">
              <w:rPr>
                <w:sz w:val="22"/>
                <w:szCs w:val="22"/>
                <w:lang w:val="uk-UA"/>
              </w:rPr>
              <w:t>Finanstilsynet</w:t>
            </w:r>
          </w:p>
        </w:tc>
      </w:tr>
      <w:tr w:rsidR="00A61BEE" w:rsidRPr="007E5633" w14:paraId="1784DD62" w14:textId="77777777" w:rsidTr="000A7BA9">
        <w:tc>
          <w:tcPr>
            <w:tcW w:w="675" w:type="dxa"/>
            <w:tcBorders>
              <w:top w:val="single" w:sz="4" w:space="0" w:color="A6A6A6" w:themeColor="background1" w:themeShade="A6"/>
              <w:bottom w:val="single" w:sz="4" w:space="0" w:color="A6A6A6" w:themeColor="background1" w:themeShade="A6"/>
            </w:tcBorders>
          </w:tcPr>
          <w:p w14:paraId="42D3950B"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5183F6C2" wp14:editId="4E9E40A6">
                  <wp:extent cx="153670" cy="102235"/>
                  <wp:effectExtent l="0" t="0" r="0" b="0"/>
                  <wp:docPr id="228" name="Picture 228" descr="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man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4A099DC3" w14:textId="77777777" w:rsidR="00A61BEE" w:rsidRPr="007E5633" w:rsidRDefault="00A61BEE" w:rsidP="000A7BA9">
            <w:pPr>
              <w:pStyle w:val="af4"/>
              <w:rPr>
                <w:sz w:val="22"/>
                <w:szCs w:val="22"/>
                <w:lang w:val="uk-UA"/>
              </w:rPr>
            </w:pPr>
            <w:r w:rsidRPr="007E5633">
              <w:rPr>
                <w:sz w:val="22"/>
                <w:szCs w:val="22"/>
                <w:shd w:val="clear" w:color="auto" w:fill="FFFFFF"/>
                <w:lang w:val="uk-UA"/>
              </w:rPr>
              <w:t>Germany</w:t>
            </w:r>
          </w:p>
        </w:tc>
        <w:tc>
          <w:tcPr>
            <w:tcW w:w="6157" w:type="dxa"/>
            <w:tcBorders>
              <w:top w:val="single" w:sz="4" w:space="0" w:color="A6A6A6" w:themeColor="background1" w:themeShade="A6"/>
              <w:bottom w:val="single" w:sz="4" w:space="0" w:color="A6A6A6" w:themeColor="background1" w:themeShade="A6"/>
            </w:tcBorders>
          </w:tcPr>
          <w:p w14:paraId="6DF628B7" w14:textId="77777777" w:rsidR="00A61BEE" w:rsidRPr="007E5633" w:rsidRDefault="00A61BEE" w:rsidP="000A7BA9">
            <w:pPr>
              <w:pStyle w:val="af4"/>
              <w:rPr>
                <w:sz w:val="22"/>
                <w:szCs w:val="22"/>
                <w:lang w:val="uk-UA"/>
              </w:rPr>
            </w:pPr>
            <w:r w:rsidRPr="007E5633">
              <w:rPr>
                <w:sz w:val="22"/>
                <w:szCs w:val="22"/>
                <w:lang w:val="uk-UA"/>
              </w:rPr>
              <w:t>Bundesanstalt für Finanzdienstleistungsaufsicht</w:t>
            </w:r>
            <w:r w:rsidRPr="007E5633">
              <w:rPr>
                <w:sz w:val="22"/>
                <w:szCs w:val="22"/>
                <w:shd w:val="clear" w:color="auto" w:fill="FFFFFF"/>
                <w:lang w:val="uk-UA"/>
              </w:rPr>
              <w:t> (BaFin)</w:t>
            </w:r>
          </w:p>
        </w:tc>
      </w:tr>
      <w:tr w:rsidR="00A61BEE" w:rsidRPr="007E5633" w14:paraId="1A4CD6E4" w14:textId="77777777" w:rsidTr="000A7BA9">
        <w:tc>
          <w:tcPr>
            <w:tcW w:w="675" w:type="dxa"/>
            <w:tcBorders>
              <w:top w:val="single" w:sz="4" w:space="0" w:color="A6A6A6" w:themeColor="background1" w:themeShade="A6"/>
              <w:bottom w:val="single" w:sz="4" w:space="0" w:color="A6A6A6" w:themeColor="background1" w:themeShade="A6"/>
            </w:tcBorders>
          </w:tcPr>
          <w:p w14:paraId="5F2DB777"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282307C8" wp14:editId="62EE5793">
                  <wp:extent cx="153670" cy="102235"/>
                  <wp:effectExtent l="0" t="0" r="0" b="0"/>
                  <wp:docPr id="229" name="Picture 229" descr="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on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77E43947" w14:textId="77777777" w:rsidR="00A61BEE" w:rsidRPr="007E5633" w:rsidRDefault="00A61BEE" w:rsidP="000A7BA9">
            <w:pPr>
              <w:pStyle w:val="af4"/>
              <w:rPr>
                <w:sz w:val="22"/>
                <w:szCs w:val="22"/>
                <w:lang w:val="uk-UA"/>
              </w:rPr>
            </w:pPr>
            <w:r w:rsidRPr="007E5633">
              <w:rPr>
                <w:sz w:val="22"/>
                <w:szCs w:val="22"/>
                <w:shd w:val="clear" w:color="auto" w:fill="FFFFFF"/>
                <w:lang w:val="uk-UA"/>
              </w:rPr>
              <w:t>Estonia</w:t>
            </w:r>
          </w:p>
        </w:tc>
        <w:tc>
          <w:tcPr>
            <w:tcW w:w="6157" w:type="dxa"/>
            <w:tcBorders>
              <w:top w:val="single" w:sz="4" w:space="0" w:color="A6A6A6" w:themeColor="background1" w:themeShade="A6"/>
              <w:bottom w:val="single" w:sz="4" w:space="0" w:color="A6A6A6" w:themeColor="background1" w:themeShade="A6"/>
            </w:tcBorders>
          </w:tcPr>
          <w:p w14:paraId="09764BF6" w14:textId="77777777" w:rsidR="00A61BEE" w:rsidRPr="007E5633" w:rsidRDefault="00A61BEE" w:rsidP="000A7BA9">
            <w:pPr>
              <w:pStyle w:val="af4"/>
              <w:rPr>
                <w:sz w:val="22"/>
                <w:szCs w:val="22"/>
                <w:lang w:val="uk-UA"/>
              </w:rPr>
            </w:pPr>
            <w:r w:rsidRPr="007E5633">
              <w:rPr>
                <w:sz w:val="22"/>
                <w:szCs w:val="22"/>
                <w:lang w:val="uk-UA"/>
              </w:rPr>
              <w:t>Finantsinspektsioon</w:t>
            </w:r>
            <w:r w:rsidRPr="007E5633">
              <w:rPr>
                <w:sz w:val="22"/>
                <w:szCs w:val="22"/>
                <w:shd w:val="clear" w:color="auto" w:fill="FFFFFF"/>
                <w:lang w:val="uk-UA"/>
              </w:rPr>
              <w:t> (FSA)</w:t>
            </w:r>
          </w:p>
        </w:tc>
      </w:tr>
      <w:tr w:rsidR="00A61BEE" w:rsidRPr="007E5633" w14:paraId="16B8FAE1" w14:textId="77777777" w:rsidTr="000A7BA9">
        <w:tc>
          <w:tcPr>
            <w:tcW w:w="675" w:type="dxa"/>
            <w:tcBorders>
              <w:top w:val="single" w:sz="4" w:space="0" w:color="A6A6A6" w:themeColor="background1" w:themeShade="A6"/>
              <w:bottom w:val="single" w:sz="4" w:space="0" w:color="A6A6A6" w:themeColor="background1" w:themeShade="A6"/>
            </w:tcBorders>
          </w:tcPr>
          <w:p w14:paraId="10DC96FD"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6CA28D06" wp14:editId="33090B3A">
                  <wp:extent cx="153670" cy="102235"/>
                  <wp:effectExtent l="0" t="0" r="0" b="0"/>
                  <wp:docPr id="230" name="Picture 230"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rel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79991730" w14:textId="77777777" w:rsidR="00A61BEE" w:rsidRPr="007E5633" w:rsidRDefault="00A61BEE" w:rsidP="000A7BA9">
            <w:pPr>
              <w:pStyle w:val="af4"/>
              <w:rPr>
                <w:sz w:val="22"/>
                <w:szCs w:val="22"/>
                <w:lang w:val="uk-UA"/>
              </w:rPr>
            </w:pPr>
            <w:r w:rsidRPr="007E5633">
              <w:rPr>
                <w:sz w:val="22"/>
                <w:szCs w:val="22"/>
                <w:shd w:val="clear" w:color="auto" w:fill="FFFFFF"/>
                <w:lang w:val="uk-UA"/>
              </w:rPr>
              <w:t>Ireland</w:t>
            </w:r>
          </w:p>
        </w:tc>
        <w:tc>
          <w:tcPr>
            <w:tcW w:w="6157" w:type="dxa"/>
            <w:tcBorders>
              <w:top w:val="single" w:sz="4" w:space="0" w:color="A6A6A6" w:themeColor="background1" w:themeShade="A6"/>
              <w:bottom w:val="single" w:sz="4" w:space="0" w:color="A6A6A6" w:themeColor="background1" w:themeShade="A6"/>
            </w:tcBorders>
          </w:tcPr>
          <w:p w14:paraId="011B7DE2" w14:textId="77777777" w:rsidR="00A61BEE" w:rsidRPr="007E5633" w:rsidRDefault="00A61BEE" w:rsidP="000A7BA9">
            <w:pPr>
              <w:pStyle w:val="af4"/>
              <w:rPr>
                <w:sz w:val="22"/>
                <w:szCs w:val="22"/>
                <w:lang w:val="uk-UA"/>
              </w:rPr>
            </w:pPr>
            <w:r w:rsidRPr="007E5633">
              <w:rPr>
                <w:sz w:val="22"/>
                <w:szCs w:val="22"/>
                <w:lang w:val="uk-UA"/>
              </w:rPr>
              <w:t>Central Bank of Ireland</w:t>
            </w:r>
          </w:p>
        </w:tc>
      </w:tr>
      <w:tr w:rsidR="00A61BEE" w:rsidRPr="007E5633" w14:paraId="5067B927" w14:textId="77777777" w:rsidTr="000A7BA9">
        <w:tc>
          <w:tcPr>
            <w:tcW w:w="675" w:type="dxa"/>
            <w:tcBorders>
              <w:top w:val="single" w:sz="4" w:space="0" w:color="A6A6A6" w:themeColor="background1" w:themeShade="A6"/>
              <w:bottom w:val="single" w:sz="4" w:space="0" w:color="A6A6A6" w:themeColor="background1" w:themeShade="A6"/>
            </w:tcBorders>
          </w:tcPr>
          <w:p w14:paraId="517D50EC"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7D008735" wp14:editId="185005FA">
                  <wp:extent cx="153670" cy="102235"/>
                  <wp:effectExtent l="0" t="0" r="0" b="0"/>
                  <wp:docPr id="231" name="Picture 231" descr="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e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4F964224"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Greece</w:t>
            </w:r>
          </w:p>
        </w:tc>
        <w:tc>
          <w:tcPr>
            <w:tcW w:w="6157" w:type="dxa"/>
            <w:tcBorders>
              <w:top w:val="single" w:sz="4" w:space="0" w:color="A6A6A6" w:themeColor="background1" w:themeShade="A6"/>
              <w:bottom w:val="single" w:sz="4" w:space="0" w:color="A6A6A6" w:themeColor="background1" w:themeShade="A6"/>
            </w:tcBorders>
          </w:tcPr>
          <w:p w14:paraId="52743D7D" w14:textId="77777777" w:rsidR="00A61BEE" w:rsidRPr="007E5633" w:rsidRDefault="00A61BEE" w:rsidP="000A7BA9">
            <w:pPr>
              <w:pStyle w:val="af4"/>
              <w:rPr>
                <w:sz w:val="22"/>
                <w:szCs w:val="22"/>
                <w:lang w:val="uk-UA"/>
              </w:rPr>
            </w:pPr>
            <w:r w:rsidRPr="007E5633">
              <w:rPr>
                <w:sz w:val="22"/>
                <w:szCs w:val="22"/>
                <w:lang w:val="uk-UA"/>
              </w:rPr>
              <w:t>Ελληνική Επιτροπή Κεφαλαιαγοράς</w:t>
            </w:r>
            <w:hyperlink r:id="rId27" w:history="1">
              <w:r w:rsidRPr="007E5633">
                <w:rPr>
                  <w:rStyle w:val="ab"/>
                  <w:color w:val="auto"/>
                  <w:sz w:val="22"/>
                  <w:szCs w:val="22"/>
                  <w:lang w:val="uk-UA"/>
                </w:rPr>
                <w:t> </w:t>
              </w:r>
            </w:hyperlink>
            <w:r w:rsidRPr="007E5633">
              <w:rPr>
                <w:sz w:val="22"/>
                <w:szCs w:val="22"/>
                <w:shd w:val="clear" w:color="auto" w:fill="FFFFFF"/>
                <w:lang w:val="uk-UA"/>
              </w:rPr>
              <w:t>(HCMC)</w:t>
            </w:r>
          </w:p>
        </w:tc>
      </w:tr>
      <w:tr w:rsidR="00A61BEE" w:rsidRPr="007E5633" w14:paraId="27D92BDC" w14:textId="77777777" w:rsidTr="000A7BA9">
        <w:tc>
          <w:tcPr>
            <w:tcW w:w="675" w:type="dxa"/>
            <w:tcBorders>
              <w:top w:val="single" w:sz="4" w:space="0" w:color="A6A6A6" w:themeColor="background1" w:themeShade="A6"/>
              <w:bottom w:val="single" w:sz="4" w:space="0" w:color="A6A6A6" w:themeColor="background1" w:themeShade="A6"/>
            </w:tcBorders>
          </w:tcPr>
          <w:p w14:paraId="3636F7B8"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5101F5E7" wp14:editId="53436D98">
                  <wp:extent cx="153670" cy="102235"/>
                  <wp:effectExtent l="0" t="0" r="0" b="0"/>
                  <wp:docPr id="232" name="Picture 232" descr="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75CA0C8E"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Spain</w:t>
            </w:r>
          </w:p>
        </w:tc>
        <w:tc>
          <w:tcPr>
            <w:tcW w:w="6157" w:type="dxa"/>
            <w:tcBorders>
              <w:top w:val="single" w:sz="4" w:space="0" w:color="A6A6A6" w:themeColor="background1" w:themeShade="A6"/>
              <w:bottom w:val="single" w:sz="4" w:space="0" w:color="A6A6A6" w:themeColor="background1" w:themeShade="A6"/>
            </w:tcBorders>
          </w:tcPr>
          <w:p w14:paraId="6350A50F" w14:textId="77777777" w:rsidR="00A61BEE" w:rsidRPr="007E5633" w:rsidRDefault="00A61BEE" w:rsidP="000A7BA9">
            <w:pPr>
              <w:pStyle w:val="af4"/>
              <w:rPr>
                <w:sz w:val="22"/>
                <w:szCs w:val="22"/>
                <w:lang w:val="uk-UA"/>
              </w:rPr>
            </w:pPr>
            <w:r w:rsidRPr="007E5633">
              <w:rPr>
                <w:sz w:val="22"/>
                <w:szCs w:val="22"/>
                <w:lang w:val="uk-UA"/>
              </w:rPr>
              <w:t>Comisión Nacional del Mercado de Valores</w:t>
            </w:r>
            <w:r w:rsidRPr="007E5633">
              <w:rPr>
                <w:sz w:val="22"/>
                <w:szCs w:val="22"/>
                <w:shd w:val="clear" w:color="auto" w:fill="FFFFFF"/>
                <w:lang w:val="uk-UA"/>
              </w:rPr>
              <w:t> (CNMV)</w:t>
            </w:r>
          </w:p>
        </w:tc>
      </w:tr>
      <w:tr w:rsidR="00A61BEE" w:rsidRPr="007E5633" w14:paraId="7362606B" w14:textId="77777777" w:rsidTr="000A7BA9">
        <w:tc>
          <w:tcPr>
            <w:tcW w:w="675" w:type="dxa"/>
            <w:tcBorders>
              <w:top w:val="single" w:sz="4" w:space="0" w:color="A6A6A6" w:themeColor="background1" w:themeShade="A6"/>
              <w:bottom w:val="single" w:sz="4" w:space="0" w:color="A6A6A6" w:themeColor="background1" w:themeShade="A6"/>
            </w:tcBorders>
          </w:tcPr>
          <w:p w14:paraId="5174509E"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5CD02F6B" wp14:editId="39B7F57C">
                  <wp:extent cx="153670" cy="102235"/>
                  <wp:effectExtent l="0" t="0" r="0" b="0"/>
                  <wp:docPr id="235" name="Picture 235"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764591FD"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France</w:t>
            </w:r>
          </w:p>
        </w:tc>
        <w:tc>
          <w:tcPr>
            <w:tcW w:w="6157" w:type="dxa"/>
            <w:tcBorders>
              <w:top w:val="single" w:sz="4" w:space="0" w:color="A6A6A6" w:themeColor="background1" w:themeShade="A6"/>
              <w:bottom w:val="single" w:sz="4" w:space="0" w:color="A6A6A6" w:themeColor="background1" w:themeShade="A6"/>
            </w:tcBorders>
          </w:tcPr>
          <w:p w14:paraId="65FE99E2" w14:textId="77777777" w:rsidR="00A61BEE" w:rsidRPr="007E5633" w:rsidRDefault="00A61BEE" w:rsidP="000A7BA9">
            <w:pPr>
              <w:pStyle w:val="af4"/>
              <w:rPr>
                <w:sz w:val="22"/>
                <w:szCs w:val="22"/>
                <w:lang w:val="uk-UA"/>
              </w:rPr>
            </w:pPr>
            <w:r w:rsidRPr="007E5633">
              <w:rPr>
                <w:sz w:val="22"/>
                <w:szCs w:val="22"/>
                <w:lang w:val="uk-UA"/>
              </w:rPr>
              <w:t>Autorité de Contrôle Prudentiel et de Résolution</w:t>
            </w:r>
            <w:r w:rsidRPr="007E5633">
              <w:rPr>
                <w:sz w:val="22"/>
                <w:szCs w:val="22"/>
                <w:shd w:val="clear" w:color="auto" w:fill="FFFFFF"/>
                <w:lang w:val="uk-UA"/>
              </w:rPr>
              <w:t> (ACPR)</w:t>
            </w:r>
          </w:p>
        </w:tc>
      </w:tr>
      <w:tr w:rsidR="00A61BEE" w:rsidRPr="007E5633" w14:paraId="2711A62C" w14:textId="77777777" w:rsidTr="000A7BA9">
        <w:tc>
          <w:tcPr>
            <w:tcW w:w="675" w:type="dxa"/>
            <w:tcBorders>
              <w:top w:val="single" w:sz="4" w:space="0" w:color="A6A6A6" w:themeColor="background1" w:themeShade="A6"/>
              <w:bottom w:val="single" w:sz="4" w:space="0" w:color="A6A6A6" w:themeColor="background1" w:themeShade="A6"/>
            </w:tcBorders>
          </w:tcPr>
          <w:p w14:paraId="2019E99A"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6151792D" wp14:editId="0DA2991B">
                  <wp:extent cx="153670" cy="102235"/>
                  <wp:effectExtent l="0" t="0" r="0" b="0"/>
                  <wp:docPr id="233" name="Picture 233" descr="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oat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1D236ED2"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Croatia</w:t>
            </w:r>
          </w:p>
        </w:tc>
        <w:tc>
          <w:tcPr>
            <w:tcW w:w="6157" w:type="dxa"/>
            <w:tcBorders>
              <w:top w:val="single" w:sz="4" w:space="0" w:color="A6A6A6" w:themeColor="background1" w:themeShade="A6"/>
              <w:bottom w:val="single" w:sz="4" w:space="0" w:color="A6A6A6" w:themeColor="background1" w:themeShade="A6"/>
            </w:tcBorders>
          </w:tcPr>
          <w:p w14:paraId="735F38C4" w14:textId="77777777" w:rsidR="00A61BEE" w:rsidRPr="007E5633" w:rsidRDefault="00A61BEE" w:rsidP="000A7BA9">
            <w:pPr>
              <w:pStyle w:val="af4"/>
              <w:rPr>
                <w:sz w:val="22"/>
                <w:szCs w:val="22"/>
                <w:lang w:val="uk-UA"/>
              </w:rPr>
            </w:pPr>
            <w:r w:rsidRPr="007E5633">
              <w:rPr>
                <w:sz w:val="22"/>
                <w:szCs w:val="22"/>
                <w:lang w:val="uk-UA"/>
              </w:rPr>
              <w:t>Hrvatska agencija za nadzor financijskih usluga</w:t>
            </w:r>
            <w:r w:rsidRPr="007E5633">
              <w:rPr>
                <w:sz w:val="22"/>
                <w:szCs w:val="22"/>
                <w:shd w:val="clear" w:color="auto" w:fill="FFFFFF"/>
                <w:lang w:val="uk-UA"/>
              </w:rPr>
              <w:t> (HANFA)</w:t>
            </w:r>
          </w:p>
        </w:tc>
      </w:tr>
      <w:tr w:rsidR="00A61BEE" w:rsidRPr="007E5633" w14:paraId="1660B3F1" w14:textId="77777777" w:rsidTr="000A7BA9">
        <w:tc>
          <w:tcPr>
            <w:tcW w:w="675" w:type="dxa"/>
            <w:tcBorders>
              <w:top w:val="single" w:sz="4" w:space="0" w:color="A6A6A6" w:themeColor="background1" w:themeShade="A6"/>
              <w:bottom w:val="single" w:sz="4" w:space="0" w:color="A6A6A6" w:themeColor="background1" w:themeShade="A6"/>
            </w:tcBorders>
          </w:tcPr>
          <w:p w14:paraId="6B20C045" w14:textId="77777777" w:rsidR="00A61BEE" w:rsidRPr="007E5633" w:rsidRDefault="00A61BEE" w:rsidP="000A7BA9">
            <w:pPr>
              <w:pStyle w:val="af4"/>
              <w:rPr>
                <w:sz w:val="22"/>
                <w:szCs w:val="22"/>
                <w:lang w:val="uk-UA"/>
              </w:rPr>
            </w:pPr>
            <w:r w:rsidRPr="007E5633">
              <w:rPr>
                <w:noProof/>
                <w:sz w:val="22"/>
                <w:szCs w:val="22"/>
                <w:lang w:val="en-US"/>
              </w:rPr>
              <w:lastRenderedPageBreak/>
              <w:drawing>
                <wp:inline distT="0" distB="0" distL="0" distR="0" wp14:anchorId="31D8478C" wp14:editId="513D9C2D">
                  <wp:extent cx="153670" cy="102235"/>
                  <wp:effectExtent l="0" t="0" r="0" b="0"/>
                  <wp:docPr id="237" name="Picture 237" descr="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ta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627D128C"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Italy</w:t>
            </w:r>
          </w:p>
        </w:tc>
        <w:tc>
          <w:tcPr>
            <w:tcW w:w="6157" w:type="dxa"/>
            <w:tcBorders>
              <w:top w:val="single" w:sz="4" w:space="0" w:color="A6A6A6" w:themeColor="background1" w:themeShade="A6"/>
              <w:bottom w:val="single" w:sz="4" w:space="0" w:color="A6A6A6" w:themeColor="background1" w:themeShade="A6"/>
            </w:tcBorders>
          </w:tcPr>
          <w:p w14:paraId="733D6BE2" w14:textId="77777777" w:rsidR="00A61BEE" w:rsidRPr="007E5633" w:rsidRDefault="00A61BEE" w:rsidP="000A7BA9">
            <w:pPr>
              <w:pStyle w:val="af4"/>
              <w:rPr>
                <w:sz w:val="22"/>
                <w:szCs w:val="22"/>
                <w:lang w:val="uk-UA"/>
              </w:rPr>
            </w:pPr>
            <w:r w:rsidRPr="007E5633">
              <w:rPr>
                <w:sz w:val="22"/>
                <w:szCs w:val="22"/>
                <w:lang w:val="uk-UA"/>
              </w:rPr>
              <w:t>Commissione Nazionale per le Società e la Borsa</w:t>
            </w:r>
            <w:r w:rsidRPr="007E5633">
              <w:rPr>
                <w:sz w:val="22"/>
                <w:szCs w:val="22"/>
                <w:shd w:val="clear" w:color="auto" w:fill="FFFFFF"/>
                <w:lang w:val="uk-UA"/>
              </w:rPr>
              <w:t> (CONSOB)</w:t>
            </w:r>
          </w:p>
        </w:tc>
      </w:tr>
      <w:tr w:rsidR="00A61BEE" w:rsidRPr="007E5633" w14:paraId="3C48B4A9" w14:textId="77777777" w:rsidTr="000A7BA9">
        <w:tc>
          <w:tcPr>
            <w:tcW w:w="675" w:type="dxa"/>
            <w:tcBorders>
              <w:top w:val="single" w:sz="4" w:space="0" w:color="A6A6A6" w:themeColor="background1" w:themeShade="A6"/>
              <w:bottom w:val="single" w:sz="4" w:space="0" w:color="A6A6A6" w:themeColor="background1" w:themeShade="A6"/>
            </w:tcBorders>
          </w:tcPr>
          <w:p w14:paraId="16E3DB54"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439D4DC7" wp14:editId="04BDA68F">
                  <wp:extent cx="153670" cy="102235"/>
                  <wp:effectExtent l="0" t="0" r="0" b="0"/>
                  <wp:docPr id="236" name="Picture 236" descr="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ypr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3E61D086"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Cyprus</w:t>
            </w:r>
          </w:p>
        </w:tc>
        <w:tc>
          <w:tcPr>
            <w:tcW w:w="6157" w:type="dxa"/>
            <w:tcBorders>
              <w:top w:val="single" w:sz="4" w:space="0" w:color="A6A6A6" w:themeColor="background1" w:themeShade="A6"/>
              <w:bottom w:val="single" w:sz="4" w:space="0" w:color="A6A6A6" w:themeColor="background1" w:themeShade="A6"/>
            </w:tcBorders>
          </w:tcPr>
          <w:p w14:paraId="4989888F" w14:textId="77777777" w:rsidR="00A61BEE" w:rsidRPr="007E5633" w:rsidRDefault="00A61BEE" w:rsidP="000A7BA9">
            <w:pPr>
              <w:pStyle w:val="af4"/>
              <w:rPr>
                <w:sz w:val="22"/>
                <w:szCs w:val="22"/>
                <w:lang w:val="uk-UA"/>
              </w:rPr>
            </w:pPr>
            <w:r w:rsidRPr="007E5633">
              <w:rPr>
                <w:sz w:val="22"/>
                <w:szCs w:val="22"/>
                <w:lang w:val="uk-UA"/>
              </w:rPr>
              <w:t>Επιτροπή Κεφαλαιαγοράς Κύπρου</w:t>
            </w:r>
            <w:r w:rsidRPr="007E5633">
              <w:rPr>
                <w:sz w:val="22"/>
                <w:szCs w:val="22"/>
                <w:shd w:val="clear" w:color="auto" w:fill="FFFFFF"/>
                <w:lang w:val="uk-UA"/>
              </w:rPr>
              <w:t> (CySEC)</w:t>
            </w:r>
          </w:p>
        </w:tc>
      </w:tr>
      <w:tr w:rsidR="00A61BEE" w:rsidRPr="007E5633" w14:paraId="137CC7AD" w14:textId="77777777" w:rsidTr="000A7BA9">
        <w:tc>
          <w:tcPr>
            <w:tcW w:w="675" w:type="dxa"/>
            <w:tcBorders>
              <w:top w:val="single" w:sz="4" w:space="0" w:color="A6A6A6" w:themeColor="background1" w:themeShade="A6"/>
              <w:bottom w:val="single" w:sz="4" w:space="0" w:color="A6A6A6" w:themeColor="background1" w:themeShade="A6"/>
            </w:tcBorders>
          </w:tcPr>
          <w:p w14:paraId="4C4781A6"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7AAB7890" wp14:editId="1F3D2A7E">
                  <wp:extent cx="153670" cy="102235"/>
                  <wp:effectExtent l="0" t="0" r="0" b="0"/>
                  <wp:docPr id="238" name="Picture 238" descr="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tv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6E45975E"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Latvia</w:t>
            </w:r>
          </w:p>
        </w:tc>
        <w:tc>
          <w:tcPr>
            <w:tcW w:w="6157" w:type="dxa"/>
            <w:tcBorders>
              <w:top w:val="single" w:sz="4" w:space="0" w:color="A6A6A6" w:themeColor="background1" w:themeShade="A6"/>
              <w:bottom w:val="single" w:sz="4" w:space="0" w:color="A6A6A6" w:themeColor="background1" w:themeShade="A6"/>
            </w:tcBorders>
          </w:tcPr>
          <w:p w14:paraId="7ECCD7B9" w14:textId="77777777" w:rsidR="00A61BEE" w:rsidRPr="007E5633" w:rsidRDefault="00A61BEE" w:rsidP="000A7BA9">
            <w:pPr>
              <w:pStyle w:val="af4"/>
              <w:rPr>
                <w:sz w:val="22"/>
                <w:szCs w:val="22"/>
                <w:lang w:val="uk-UA"/>
              </w:rPr>
            </w:pPr>
            <w:r w:rsidRPr="007E5633">
              <w:rPr>
                <w:sz w:val="22"/>
                <w:szCs w:val="22"/>
                <w:lang w:val="uk-UA"/>
              </w:rPr>
              <w:t>Finanšu un kapitala tirgus komisija</w:t>
            </w:r>
            <w:r w:rsidRPr="007E5633">
              <w:rPr>
                <w:sz w:val="22"/>
                <w:szCs w:val="22"/>
                <w:shd w:val="clear" w:color="auto" w:fill="FFFFFF"/>
                <w:lang w:val="uk-UA"/>
              </w:rPr>
              <w:t> (FKTK)</w:t>
            </w:r>
          </w:p>
        </w:tc>
      </w:tr>
      <w:tr w:rsidR="00A61BEE" w:rsidRPr="007E5633" w14:paraId="78D142E4" w14:textId="77777777" w:rsidTr="000A7BA9">
        <w:tc>
          <w:tcPr>
            <w:tcW w:w="675" w:type="dxa"/>
            <w:tcBorders>
              <w:top w:val="single" w:sz="4" w:space="0" w:color="A6A6A6" w:themeColor="background1" w:themeShade="A6"/>
              <w:bottom w:val="single" w:sz="4" w:space="0" w:color="A6A6A6" w:themeColor="background1" w:themeShade="A6"/>
            </w:tcBorders>
          </w:tcPr>
          <w:p w14:paraId="3504E7E1"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0893F91F" wp14:editId="2FC8C978">
                  <wp:extent cx="153670" cy="102235"/>
                  <wp:effectExtent l="0" t="0" r="0" b="0"/>
                  <wp:docPr id="239" name="Picture 239" descr="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thuan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184066C7"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Lithuania</w:t>
            </w:r>
          </w:p>
        </w:tc>
        <w:tc>
          <w:tcPr>
            <w:tcW w:w="6157" w:type="dxa"/>
            <w:tcBorders>
              <w:top w:val="single" w:sz="4" w:space="0" w:color="A6A6A6" w:themeColor="background1" w:themeShade="A6"/>
              <w:bottom w:val="single" w:sz="4" w:space="0" w:color="A6A6A6" w:themeColor="background1" w:themeShade="A6"/>
            </w:tcBorders>
          </w:tcPr>
          <w:p w14:paraId="79B39111" w14:textId="77777777" w:rsidR="00A61BEE" w:rsidRPr="007E5633" w:rsidRDefault="00A61BEE" w:rsidP="000A7BA9">
            <w:pPr>
              <w:pStyle w:val="af4"/>
              <w:rPr>
                <w:sz w:val="22"/>
                <w:szCs w:val="22"/>
                <w:lang w:val="uk-UA"/>
              </w:rPr>
            </w:pPr>
            <w:r w:rsidRPr="007E5633">
              <w:rPr>
                <w:sz w:val="22"/>
                <w:szCs w:val="22"/>
                <w:lang w:val="uk-UA"/>
              </w:rPr>
              <w:t>Lietuvos Bankas</w:t>
            </w:r>
          </w:p>
        </w:tc>
      </w:tr>
      <w:tr w:rsidR="00A61BEE" w:rsidRPr="007E5633" w14:paraId="2484100D" w14:textId="77777777" w:rsidTr="000A7BA9">
        <w:tc>
          <w:tcPr>
            <w:tcW w:w="675" w:type="dxa"/>
            <w:tcBorders>
              <w:top w:val="single" w:sz="4" w:space="0" w:color="A6A6A6" w:themeColor="background1" w:themeShade="A6"/>
              <w:bottom w:val="single" w:sz="4" w:space="0" w:color="A6A6A6" w:themeColor="background1" w:themeShade="A6"/>
            </w:tcBorders>
          </w:tcPr>
          <w:p w14:paraId="0F001FA4"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44E5C4B4" wp14:editId="3DB80B80">
                  <wp:extent cx="153670" cy="102235"/>
                  <wp:effectExtent l="0" t="0" r="0" b="0"/>
                  <wp:docPr id="240" name="Picture 240" descr="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nga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12CA7EF8"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Hungary</w:t>
            </w:r>
          </w:p>
        </w:tc>
        <w:tc>
          <w:tcPr>
            <w:tcW w:w="6157" w:type="dxa"/>
            <w:tcBorders>
              <w:top w:val="single" w:sz="4" w:space="0" w:color="A6A6A6" w:themeColor="background1" w:themeShade="A6"/>
              <w:bottom w:val="single" w:sz="4" w:space="0" w:color="A6A6A6" w:themeColor="background1" w:themeShade="A6"/>
            </w:tcBorders>
          </w:tcPr>
          <w:p w14:paraId="7D759FE5" w14:textId="77777777" w:rsidR="00A61BEE" w:rsidRPr="007E5633" w:rsidRDefault="00A61BEE" w:rsidP="000A7BA9">
            <w:pPr>
              <w:pStyle w:val="af4"/>
              <w:rPr>
                <w:sz w:val="22"/>
                <w:szCs w:val="22"/>
                <w:lang w:val="uk-UA"/>
              </w:rPr>
            </w:pPr>
            <w:r w:rsidRPr="007E5633">
              <w:rPr>
                <w:sz w:val="22"/>
                <w:szCs w:val="22"/>
                <w:lang w:val="uk-UA"/>
              </w:rPr>
              <w:t>Magyar Nemzeti Bank</w:t>
            </w:r>
            <w:r w:rsidRPr="007E5633">
              <w:rPr>
                <w:sz w:val="22"/>
                <w:szCs w:val="22"/>
                <w:shd w:val="clear" w:color="auto" w:fill="FFFFFF"/>
                <w:lang w:val="uk-UA"/>
              </w:rPr>
              <w:t> (MNB)</w:t>
            </w:r>
          </w:p>
        </w:tc>
      </w:tr>
      <w:tr w:rsidR="00A61BEE" w:rsidRPr="007E5633" w14:paraId="4E591CF5" w14:textId="77777777" w:rsidTr="000A7BA9">
        <w:tc>
          <w:tcPr>
            <w:tcW w:w="675" w:type="dxa"/>
            <w:tcBorders>
              <w:top w:val="single" w:sz="4" w:space="0" w:color="A6A6A6" w:themeColor="background1" w:themeShade="A6"/>
              <w:bottom w:val="single" w:sz="4" w:space="0" w:color="A6A6A6" w:themeColor="background1" w:themeShade="A6"/>
            </w:tcBorders>
          </w:tcPr>
          <w:p w14:paraId="79687FF0"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589E0CBC" wp14:editId="425B5CF7">
                  <wp:extent cx="153670" cy="102235"/>
                  <wp:effectExtent l="0" t="0" r="0" b="0"/>
                  <wp:docPr id="242" name="Picture 242" descr="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39010363"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Malta</w:t>
            </w:r>
          </w:p>
        </w:tc>
        <w:tc>
          <w:tcPr>
            <w:tcW w:w="6157" w:type="dxa"/>
            <w:tcBorders>
              <w:top w:val="single" w:sz="4" w:space="0" w:color="A6A6A6" w:themeColor="background1" w:themeShade="A6"/>
              <w:bottom w:val="single" w:sz="4" w:space="0" w:color="A6A6A6" w:themeColor="background1" w:themeShade="A6"/>
            </w:tcBorders>
          </w:tcPr>
          <w:p w14:paraId="76EBC7B3" w14:textId="77777777" w:rsidR="00A61BEE" w:rsidRPr="007E5633" w:rsidRDefault="00A61BEE" w:rsidP="000A7BA9">
            <w:pPr>
              <w:pStyle w:val="af4"/>
              <w:rPr>
                <w:sz w:val="22"/>
                <w:szCs w:val="22"/>
                <w:lang w:val="uk-UA"/>
              </w:rPr>
            </w:pPr>
            <w:r w:rsidRPr="007E5633">
              <w:rPr>
                <w:sz w:val="22"/>
                <w:szCs w:val="22"/>
                <w:lang w:val="uk-UA"/>
              </w:rPr>
              <w:t>Malta Financial Services Authority</w:t>
            </w:r>
            <w:r w:rsidRPr="007E5633">
              <w:rPr>
                <w:sz w:val="22"/>
                <w:szCs w:val="22"/>
                <w:shd w:val="clear" w:color="auto" w:fill="FFFFFF"/>
                <w:lang w:val="uk-UA"/>
              </w:rPr>
              <w:t> (MFSA)</w:t>
            </w:r>
          </w:p>
        </w:tc>
      </w:tr>
      <w:tr w:rsidR="00A61BEE" w:rsidRPr="007E5633" w14:paraId="750A0CFF" w14:textId="77777777" w:rsidTr="000A7BA9">
        <w:tc>
          <w:tcPr>
            <w:tcW w:w="675" w:type="dxa"/>
            <w:tcBorders>
              <w:top w:val="single" w:sz="4" w:space="0" w:color="A6A6A6" w:themeColor="background1" w:themeShade="A6"/>
              <w:bottom w:val="single" w:sz="4" w:space="0" w:color="A6A6A6" w:themeColor="background1" w:themeShade="A6"/>
            </w:tcBorders>
          </w:tcPr>
          <w:p w14:paraId="4BB8B174"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460A534F" wp14:editId="152AE6E7">
                  <wp:extent cx="153670" cy="102235"/>
                  <wp:effectExtent l="0" t="0" r="0" b="0"/>
                  <wp:docPr id="241" name="Picture 241" descr="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therla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077C8FCD"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Netherlands</w:t>
            </w:r>
          </w:p>
        </w:tc>
        <w:tc>
          <w:tcPr>
            <w:tcW w:w="6157" w:type="dxa"/>
            <w:tcBorders>
              <w:top w:val="single" w:sz="4" w:space="0" w:color="A6A6A6" w:themeColor="background1" w:themeShade="A6"/>
              <w:bottom w:val="single" w:sz="4" w:space="0" w:color="A6A6A6" w:themeColor="background1" w:themeShade="A6"/>
            </w:tcBorders>
          </w:tcPr>
          <w:p w14:paraId="50A56B16" w14:textId="77777777" w:rsidR="00A61BEE" w:rsidRPr="007E5633" w:rsidRDefault="00A61BEE" w:rsidP="000A7BA9">
            <w:pPr>
              <w:pStyle w:val="af4"/>
              <w:rPr>
                <w:sz w:val="22"/>
                <w:szCs w:val="22"/>
                <w:lang w:val="uk-UA"/>
              </w:rPr>
            </w:pPr>
            <w:r w:rsidRPr="007E5633">
              <w:rPr>
                <w:sz w:val="22"/>
                <w:szCs w:val="22"/>
                <w:lang w:val="uk-UA"/>
              </w:rPr>
              <w:t>Autoriteit Financiële Markten</w:t>
            </w:r>
            <w:r w:rsidRPr="007E5633">
              <w:rPr>
                <w:sz w:val="22"/>
                <w:szCs w:val="22"/>
                <w:shd w:val="clear" w:color="auto" w:fill="FFFFFF"/>
                <w:lang w:val="uk-UA"/>
              </w:rPr>
              <w:t> (AFM)</w:t>
            </w:r>
          </w:p>
        </w:tc>
      </w:tr>
      <w:tr w:rsidR="00A61BEE" w:rsidRPr="007E5633" w14:paraId="735610B3" w14:textId="77777777" w:rsidTr="000A7BA9">
        <w:tc>
          <w:tcPr>
            <w:tcW w:w="675" w:type="dxa"/>
            <w:tcBorders>
              <w:top w:val="single" w:sz="4" w:space="0" w:color="A6A6A6" w:themeColor="background1" w:themeShade="A6"/>
              <w:bottom w:val="single" w:sz="4" w:space="0" w:color="A6A6A6" w:themeColor="background1" w:themeShade="A6"/>
            </w:tcBorders>
          </w:tcPr>
          <w:p w14:paraId="1DA182F5"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29E8E04B" wp14:editId="65F175CF">
                  <wp:extent cx="153670" cy="102235"/>
                  <wp:effectExtent l="0" t="0" r="0" b="0"/>
                  <wp:docPr id="243" name="Picture 243" descr="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str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5829AF45"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Austria</w:t>
            </w:r>
          </w:p>
        </w:tc>
        <w:tc>
          <w:tcPr>
            <w:tcW w:w="6157" w:type="dxa"/>
            <w:tcBorders>
              <w:top w:val="single" w:sz="4" w:space="0" w:color="A6A6A6" w:themeColor="background1" w:themeShade="A6"/>
              <w:bottom w:val="single" w:sz="4" w:space="0" w:color="A6A6A6" w:themeColor="background1" w:themeShade="A6"/>
            </w:tcBorders>
          </w:tcPr>
          <w:p w14:paraId="5235C1BB" w14:textId="77777777" w:rsidR="00A61BEE" w:rsidRPr="007E5633" w:rsidRDefault="00A61BEE" w:rsidP="000A7BA9">
            <w:pPr>
              <w:pStyle w:val="af4"/>
              <w:rPr>
                <w:sz w:val="22"/>
                <w:szCs w:val="22"/>
                <w:lang w:val="uk-UA"/>
              </w:rPr>
            </w:pPr>
            <w:r w:rsidRPr="007E5633">
              <w:rPr>
                <w:sz w:val="22"/>
                <w:szCs w:val="22"/>
                <w:lang w:val="uk-UA"/>
              </w:rPr>
              <w:t>Finanzmarktaufsicht</w:t>
            </w:r>
            <w:r w:rsidRPr="007E5633">
              <w:rPr>
                <w:sz w:val="22"/>
                <w:szCs w:val="22"/>
                <w:shd w:val="clear" w:color="auto" w:fill="FFFFFF"/>
                <w:lang w:val="uk-UA"/>
              </w:rPr>
              <w:t> (FMA)</w:t>
            </w:r>
          </w:p>
        </w:tc>
      </w:tr>
      <w:tr w:rsidR="00A61BEE" w:rsidRPr="007E5633" w14:paraId="511B1EA6" w14:textId="77777777" w:rsidTr="000A7BA9">
        <w:tc>
          <w:tcPr>
            <w:tcW w:w="675" w:type="dxa"/>
            <w:tcBorders>
              <w:top w:val="single" w:sz="4" w:space="0" w:color="A6A6A6" w:themeColor="background1" w:themeShade="A6"/>
              <w:bottom w:val="single" w:sz="4" w:space="0" w:color="A6A6A6" w:themeColor="background1" w:themeShade="A6"/>
            </w:tcBorders>
          </w:tcPr>
          <w:p w14:paraId="47CBA733"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7B417ADC" wp14:editId="1A134302">
                  <wp:extent cx="153670" cy="102235"/>
                  <wp:effectExtent l="0" t="0" r="0" b="0"/>
                  <wp:docPr id="244" name="Picture 244" descr="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la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6ADA3940"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Poland</w:t>
            </w:r>
          </w:p>
        </w:tc>
        <w:tc>
          <w:tcPr>
            <w:tcW w:w="6157" w:type="dxa"/>
            <w:tcBorders>
              <w:top w:val="single" w:sz="4" w:space="0" w:color="A6A6A6" w:themeColor="background1" w:themeShade="A6"/>
              <w:bottom w:val="single" w:sz="4" w:space="0" w:color="A6A6A6" w:themeColor="background1" w:themeShade="A6"/>
            </w:tcBorders>
          </w:tcPr>
          <w:p w14:paraId="50D33167" w14:textId="77777777" w:rsidR="00A61BEE" w:rsidRPr="007E5633" w:rsidRDefault="00A61BEE" w:rsidP="000A7BA9">
            <w:pPr>
              <w:pStyle w:val="af4"/>
              <w:rPr>
                <w:sz w:val="22"/>
                <w:szCs w:val="22"/>
                <w:lang w:val="uk-UA"/>
              </w:rPr>
            </w:pPr>
            <w:r w:rsidRPr="007E5633">
              <w:rPr>
                <w:sz w:val="22"/>
                <w:szCs w:val="22"/>
                <w:lang w:val="uk-UA"/>
              </w:rPr>
              <w:t>Komisja Nadzoru Finansowego</w:t>
            </w:r>
            <w:r w:rsidRPr="007E5633">
              <w:rPr>
                <w:sz w:val="22"/>
                <w:szCs w:val="22"/>
                <w:shd w:val="clear" w:color="auto" w:fill="FFFFFF"/>
                <w:lang w:val="uk-UA"/>
              </w:rPr>
              <w:t> (KNF)</w:t>
            </w:r>
          </w:p>
        </w:tc>
      </w:tr>
      <w:tr w:rsidR="00A61BEE" w:rsidRPr="007E5633" w14:paraId="3D0441E9" w14:textId="77777777" w:rsidTr="000A7BA9">
        <w:tc>
          <w:tcPr>
            <w:tcW w:w="675" w:type="dxa"/>
            <w:tcBorders>
              <w:top w:val="single" w:sz="4" w:space="0" w:color="A6A6A6" w:themeColor="background1" w:themeShade="A6"/>
              <w:bottom w:val="single" w:sz="4" w:space="0" w:color="A6A6A6" w:themeColor="background1" w:themeShade="A6"/>
            </w:tcBorders>
          </w:tcPr>
          <w:p w14:paraId="1873A52B"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6FFE6B95" wp14:editId="0E721464">
                  <wp:extent cx="153670" cy="102235"/>
                  <wp:effectExtent l="0" t="0" r="0" b="0"/>
                  <wp:docPr id="250" name="Picture 250" descr="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rtug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27941473"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Portugal</w:t>
            </w:r>
          </w:p>
        </w:tc>
        <w:tc>
          <w:tcPr>
            <w:tcW w:w="6157" w:type="dxa"/>
            <w:tcBorders>
              <w:top w:val="single" w:sz="4" w:space="0" w:color="A6A6A6" w:themeColor="background1" w:themeShade="A6"/>
              <w:bottom w:val="single" w:sz="4" w:space="0" w:color="A6A6A6" w:themeColor="background1" w:themeShade="A6"/>
            </w:tcBorders>
          </w:tcPr>
          <w:p w14:paraId="76E15199" w14:textId="77777777" w:rsidR="00A61BEE" w:rsidRPr="007E5633" w:rsidRDefault="00A61BEE" w:rsidP="000A7BA9">
            <w:pPr>
              <w:pStyle w:val="af4"/>
              <w:rPr>
                <w:sz w:val="22"/>
                <w:szCs w:val="22"/>
                <w:lang w:val="uk-UA"/>
              </w:rPr>
            </w:pPr>
            <w:r w:rsidRPr="007E5633">
              <w:rPr>
                <w:sz w:val="22"/>
                <w:szCs w:val="22"/>
                <w:lang w:val="uk-UA"/>
              </w:rPr>
              <w:t>Comissão do Mercado de Valores Mobiliários</w:t>
            </w:r>
            <w:r w:rsidRPr="007E5633">
              <w:rPr>
                <w:sz w:val="22"/>
                <w:szCs w:val="22"/>
                <w:shd w:val="clear" w:color="auto" w:fill="FFFFFF"/>
                <w:lang w:val="uk-UA"/>
              </w:rPr>
              <w:t> (CMVM)</w:t>
            </w:r>
          </w:p>
        </w:tc>
      </w:tr>
      <w:tr w:rsidR="00A61BEE" w:rsidRPr="007E5633" w14:paraId="31BE4D7E" w14:textId="77777777" w:rsidTr="000A7BA9">
        <w:tc>
          <w:tcPr>
            <w:tcW w:w="675" w:type="dxa"/>
            <w:tcBorders>
              <w:top w:val="single" w:sz="4" w:space="0" w:color="A6A6A6" w:themeColor="background1" w:themeShade="A6"/>
              <w:bottom w:val="single" w:sz="4" w:space="0" w:color="A6A6A6" w:themeColor="background1" w:themeShade="A6"/>
            </w:tcBorders>
          </w:tcPr>
          <w:p w14:paraId="67614DB3"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4984EB1D" wp14:editId="0B3C8683">
                  <wp:extent cx="153670" cy="102235"/>
                  <wp:effectExtent l="0" t="0" r="0" b="0"/>
                  <wp:docPr id="248" name="Picture 248"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oman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1AEEC5DD"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Romania</w:t>
            </w:r>
          </w:p>
        </w:tc>
        <w:tc>
          <w:tcPr>
            <w:tcW w:w="6157" w:type="dxa"/>
            <w:tcBorders>
              <w:top w:val="single" w:sz="4" w:space="0" w:color="A6A6A6" w:themeColor="background1" w:themeShade="A6"/>
              <w:bottom w:val="single" w:sz="4" w:space="0" w:color="A6A6A6" w:themeColor="background1" w:themeShade="A6"/>
            </w:tcBorders>
          </w:tcPr>
          <w:p w14:paraId="55297019" w14:textId="77777777" w:rsidR="00A61BEE" w:rsidRPr="007E5633" w:rsidRDefault="00A61BEE" w:rsidP="000A7BA9">
            <w:pPr>
              <w:pStyle w:val="af4"/>
              <w:rPr>
                <w:sz w:val="22"/>
                <w:szCs w:val="22"/>
                <w:lang w:val="uk-UA"/>
              </w:rPr>
            </w:pPr>
            <w:r w:rsidRPr="007E5633">
              <w:rPr>
                <w:sz w:val="22"/>
                <w:szCs w:val="22"/>
                <w:lang w:val="uk-UA"/>
              </w:rPr>
              <w:t>Autoritatea de Supraveghere Financiara</w:t>
            </w:r>
            <w:r w:rsidRPr="007E5633">
              <w:rPr>
                <w:sz w:val="22"/>
                <w:szCs w:val="22"/>
                <w:shd w:val="clear" w:color="auto" w:fill="FFFFFF"/>
                <w:lang w:val="uk-UA"/>
              </w:rPr>
              <w:t> (ASF)</w:t>
            </w:r>
          </w:p>
        </w:tc>
      </w:tr>
      <w:tr w:rsidR="00A61BEE" w:rsidRPr="007E5633" w14:paraId="13DDDC9F" w14:textId="77777777" w:rsidTr="000A7BA9">
        <w:tc>
          <w:tcPr>
            <w:tcW w:w="675" w:type="dxa"/>
            <w:tcBorders>
              <w:top w:val="single" w:sz="4" w:space="0" w:color="A6A6A6" w:themeColor="background1" w:themeShade="A6"/>
              <w:bottom w:val="single" w:sz="4" w:space="0" w:color="A6A6A6" w:themeColor="background1" w:themeShade="A6"/>
            </w:tcBorders>
          </w:tcPr>
          <w:p w14:paraId="6CAFAF84"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2C01144D" wp14:editId="4074971A">
                  <wp:extent cx="153670" cy="102235"/>
                  <wp:effectExtent l="0" t="0" r="0" b="0"/>
                  <wp:docPr id="249" name="Picture 249" descr="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loven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2AED4581"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Slovenia</w:t>
            </w:r>
          </w:p>
        </w:tc>
        <w:tc>
          <w:tcPr>
            <w:tcW w:w="6157" w:type="dxa"/>
            <w:tcBorders>
              <w:top w:val="single" w:sz="4" w:space="0" w:color="A6A6A6" w:themeColor="background1" w:themeShade="A6"/>
              <w:bottom w:val="single" w:sz="4" w:space="0" w:color="A6A6A6" w:themeColor="background1" w:themeShade="A6"/>
            </w:tcBorders>
          </w:tcPr>
          <w:p w14:paraId="6B9024BA" w14:textId="77777777" w:rsidR="00A61BEE" w:rsidRPr="007E5633" w:rsidRDefault="00A61BEE" w:rsidP="000A7BA9">
            <w:pPr>
              <w:pStyle w:val="af4"/>
              <w:rPr>
                <w:sz w:val="22"/>
                <w:szCs w:val="22"/>
                <w:lang w:val="uk-UA"/>
              </w:rPr>
            </w:pPr>
            <w:r w:rsidRPr="007E5633">
              <w:rPr>
                <w:sz w:val="22"/>
                <w:szCs w:val="22"/>
                <w:lang w:val="uk-UA"/>
              </w:rPr>
              <w:t>Agencija za trg vrednostnih papirjev</w:t>
            </w:r>
            <w:r w:rsidRPr="007E5633">
              <w:rPr>
                <w:sz w:val="22"/>
                <w:szCs w:val="22"/>
                <w:shd w:val="clear" w:color="auto" w:fill="FFFFFF"/>
                <w:lang w:val="uk-UA"/>
              </w:rPr>
              <w:t> (ATVP)</w:t>
            </w:r>
          </w:p>
        </w:tc>
      </w:tr>
      <w:tr w:rsidR="00A61BEE" w:rsidRPr="007E5633" w14:paraId="17D1A8CF" w14:textId="77777777" w:rsidTr="000A7BA9">
        <w:tc>
          <w:tcPr>
            <w:tcW w:w="675" w:type="dxa"/>
            <w:tcBorders>
              <w:top w:val="single" w:sz="4" w:space="0" w:color="A6A6A6" w:themeColor="background1" w:themeShade="A6"/>
              <w:bottom w:val="single" w:sz="4" w:space="0" w:color="A6A6A6" w:themeColor="background1" w:themeShade="A6"/>
            </w:tcBorders>
          </w:tcPr>
          <w:p w14:paraId="41658CB7"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53D5A513" wp14:editId="462AA192">
                  <wp:extent cx="153670" cy="102235"/>
                  <wp:effectExtent l="0" t="0" r="0" b="0"/>
                  <wp:docPr id="246" name="Picture 246" descr="Slo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ovak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6FD410DC"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Slovakia</w:t>
            </w:r>
          </w:p>
        </w:tc>
        <w:tc>
          <w:tcPr>
            <w:tcW w:w="6157" w:type="dxa"/>
            <w:tcBorders>
              <w:top w:val="single" w:sz="4" w:space="0" w:color="A6A6A6" w:themeColor="background1" w:themeShade="A6"/>
              <w:bottom w:val="single" w:sz="4" w:space="0" w:color="A6A6A6" w:themeColor="background1" w:themeShade="A6"/>
            </w:tcBorders>
          </w:tcPr>
          <w:p w14:paraId="3597B398" w14:textId="77777777" w:rsidR="00A61BEE" w:rsidRPr="007E5633" w:rsidRDefault="00A61BEE" w:rsidP="000A7BA9">
            <w:pPr>
              <w:pStyle w:val="af4"/>
              <w:rPr>
                <w:sz w:val="22"/>
                <w:szCs w:val="22"/>
                <w:lang w:val="uk-UA"/>
              </w:rPr>
            </w:pPr>
            <w:r w:rsidRPr="007E5633">
              <w:rPr>
                <w:sz w:val="22"/>
                <w:szCs w:val="22"/>
                <w:lang w:val="uk-UA"/>
              </w:rPr>
              <w:t>Národná Banka Slovenska</w:t>
            </w:r>
            <w:r w:rsidRPr="007E5633">
              <w:rPr>
                <w:sz w:val="22"/>
                <w:szCs w:val="22"/>
                <w:shd w:val="clear" w:color="auto" w:fill="FFFFFF"/>
                <w:lang w:val="uk-UA"/>
              </w:rPr>
              <w:t> (NBS)</w:t>
            </w:r>
          </w:p>
        </w:tc>
      </w:tr>
      <w:tr w:rsidR="00A61BEE" w:rsidRPr="007E5633" w14:paraId="20C4F5A3" w14:textId="77777777" w:rsidTr="000A7BA9">
        <w:tc>
          <w:tcPr>
            <w:tcW w:w="675" w:type="dxa"/>
            <w:tcBorders>
              <w:top w:val="single" w:sz="4" w:space="0" w:color="A6A6A6" w:themeColor="background1" w:themeShade="A6"/>
              <w:bottom w:val="single" w:sz="4" w:space="0" w:color="A6A6A6" w:themeColor="background1" w:themeShade="A6"/>
            </w:tcBorders>
          </w:tcPr>
          <w:p w14:paraId="6145D7D3"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6C852571" wp14:editId="4AFA6439">
                  <wp:extent cx="153670" cy="102235"/>
                  <wp:effectExtent l="0" t="0" r="0" b="0"/>
                  <wp:docPr id="245" name="Picture 245" descr="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nla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4F75B68F"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Finland</w:t>
            </w:r>
          </w:p>
        </w:tc>
        <w:tc>
          <w:tcPr>
            <w:tcW w:w="6157" w:type="dxa"/>
            <w:tcBorders>
              <w:top w:val="single" w:sz="4" w:space="0" w:color="A6A6A6" w:themeColor="background1" w:themeShade="A6"/>
              <w:bottom w:val="single" w:sz="4" w:space="0" w:color="A6A6A6" w:themeColor="background1" w:themeShade="A6"/>
            </w:tcBorders>
          </w:tcPr>
          <w:p w14:paraId="71E95DEB" w14:textId="77777777" w:rsidR="00A61BEE" w:rsidRPr="007E5633" w:rsidRDefault="00A61BEE" w:rsidP="000A7BA9">
            <w:pPr>
              <w:pStyle w:val="af4"/>
              <w:rPr>
                <w:sz w:val="22"/>
                <w:szCs w:val="22"/>
                <w:lang w:val="uk-UA"/>
              </w:rPr>
            </w:pPr>
            <w:r w:rsidRPr="007E5633">
              <w:rPr>
                <w:sz w:val="22"/>
                <w:szCs w:val="22"/>
                <w:lang w:val="uk-UA"/>
              </w:rPr>
              <w:t>Finanssivalvonta</w:t>
            </w:r>
            <w:r w:rsidRPr="007E5633">
              <w:rPr>
                <w:sz w:val="22"/>
                <w:szCs w:val="22"/>
                <w:shd w:val="clear" w:color="auto" w:fill="FFFFFF"/>
                <w:lang w:val="uk-UA"/>
              </w:rPr>
              <w:t> (FSA)</w:t>
            </w:r>
          </w:p>
        </w:tc>
      </w:tr>
      <w:tr w:rsidR="00A61BEE" w:rsidRPr="007E5633" w14:paraId="03D6680B" w14:textId="77777777" w:rsidTr="000A7BA9">
        <w:tc>
          <w:tcPr>
            <w:tcW w:w="675" w:type="dxa"/>
            <w:tcBorders>
              <w:top w:val="single" w:sz="4" w:space="0" w:color="A6A6A6" w:themeColor="background1" w:themeShade="A6"/>
              <w:bottom w:val="single" w:sz="4" w:space="0" w:color="A6A6A6" w:themeColor="background1" w:themeShade="A6"/>
            </w:tcBorders>
          </w:tcPr>
          <w:p w14:paraId="3F102C08" w14:textId="77777777" w:rsidR="00A61BEE" w:rsidRPr="007E5633" w:rsidRDefault="00A61BEE" w:rsidP="000A7BA9">
            <w:pPr>
              <w:pStyle w:val="af4"/>
              <w:rPr>
                <w:sz w:val="22"/>
                <w:szCs w:val="22"/>
                <w:lang w:val="uk-UA"/>
              </w:rPr>
            </w:pPr>
            <w:r w:rsidRPr="007E5633">
              <w:rPr>
                <w:noProof/>
                <w:sz w:val="22"/>
                <w:szCs w:val="22"/>
                <w:lang w:val="en-US"/>
              </w:rPr>
              <w:drawing>
                <wp:inline distT="0" distB="0" distL="0" distR="0" wp14:anchorId="02E3C86F" wp14:editId="778D091C">
                  <wp:extent cx="153670" cy="102235"/>
                  <wp:effectExtent l="0" t="0" r="0" b="0"/>
                  <wp:docPr id="251" name="Picture 251" descr="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wed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bottom w:val="single" w:sz="4" w:space="0" w:color="A6A6A6" w:themeColor="background1" w:themeShade="A6"/>
            </w:tcBorders>
          </w:tcPr>
          <w:p w14:paraId="6A760320"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Sweden</w:t>
            </w:r>
          </w:p>
        </w:tc>
        <w:tc>
          <w:tcPr>
            <w:tcW w:w="6157" w:type="dxa"/>
            <w:tcBorders>
              <w:top w:val="single" w:sz="4" w:space="0" w:color="A6A6A6" w:themeColor="background1" w:themeShade="A6"/>
              <w:bottom w:val="single" w:sz="4" w:space="0" w:color="A6A6A6" w:themeColor="background1" w:themeShade="A6"/>
            </w:tcBorders>
          </w:tcPr>
          <w:p w14:paraId="4C62C2C2" w14:textId="77777777" w:rsidR="00A61BEE" w:rsidRPr="007E5633" w:rsidRDefault="00A61BEE" w:rsidP="000A7BA9">
            <w:pPr>
              <w:pStyle w:val="af4"/>
              <w:rPr>
                <w:sz w:val="22"/>
                <w:szCs w:val="22"/>
                <w:lang w:val="uk-UA"/>
              </w:rPr>
            </w:pPr>
            <w:r w:rsidRPr="007E5633">
              <w:rPr>
                <w:sz w:val="22"/>
                <w:szCs w:val="22"/>
                <w:lang w:val="uk-UA"/>
              </w:rPr>
              <w:t>Finansinspektionen</w:t>
            </w:r>
            <w:r w:rsidRPr="007E5633">
              <w:rPr>
                <w:sz w:val="22"/>
                <w:szCs w:val="22"/>
                <w:shd w:val="clear" w:color="auto" w:fill="FFFFFF"/>
                <w:lang w:val="uk-UA"/>
              </w:rPr>
              <w:t> (FI)</w:t>
            </w:r>
          </w:p>
        </w:tc>
      </w:tr>
      <w:tr w:rsidR="00A61BEE" w:rsidRPr="007E5633" w14:paraId="289BC764" w14:textId="77777777" w:rsidTr="000A7BA9">
        <w:trPr>
          <w:trHeight w:val="197"/>
        </w:trPr>
        <w:tc>
          <w:tcPr>
            <w:tcW w:w="675" w:type="dxa"/>
            <w:tcBorders>
              <w:top w:val="single" w:sz="4" w:space="0" w:color="A6A6A6" w:themeColor="background1" w:themeShade="A6"/>
            </w:tcBorders>
          </w:tcPr>
          <w:p w14:paraId="5362201F" w14:textId="77777777" w:rsidR="00A61BEE" w:rsidRPr="007E5633" w:rsidRDefault="00A61BEE" w:rsidP="000A7BA9">
            <w:pPr>
              <w:pStyle w:val="af4"/>
              <w:rPr>
                <w:sz w:val="22"/>
                <w:szCs w:val="22"/>
                <w:shd w:val="clear" w:color="auto" w:fill="FFFFFF"/>
                <w:lang w:val="uk-UA"/>
              </w:rPr>
            </w:pPr>
            <w:r w:rsidRPr="007E5633">
              <w:rPr>
                <w:noProof/>
                <w:sz w:val="22"/>
                <w:szCs w:val="22"/>
                <w:shd w:val="clear" w:color="auto" w:fill="FFFFFF"/>
                <w:lang w:val="en-US"/>
              </w:rPr>
              <w:drawing>
                <wp:inline distT="0" distB="0" distL="0" distR="0" wp14:anchorId="78A37F9E" wp14:editId="3363B853">
                  <wp:extent cx="153670" cy="102235"/>
                  <wp:effectExtent l="0" t="0" r="0" b="0"/>
                  <wp:docPr id="252" name="Picture 252"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p>
        </w:tc>
        <w:tc>
          <w:tcPr>
            <w:tcW w:w="2410" w:type="dxa"/>
            <w:tcBorders>
              <w:top w:val="single" w:sz="4" w:space="0" w:color="A6A6A6" w:themeColor="background1" w:themeShade="A6"/>
            </w:tcBorders>
            <w:shd w:val="clear" w:color="auto" w:fill="auto"/>
          </w:tcPr>
          <w:p w14:paraId="767732F4"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United Kingdom</w:t>
            </w:r>
          </w:p>
        </w:tc>
        <w:tc>
          <w:tcPr>
            <w:tcW w:w="6157" w:type="dxa"/>
            <w:tcBorders>
              <w:top w:val="single" w:sz="4" w:space="0" w:color="A6A6A6" w:themeColor="background1" w:themeShade="A6"/>
            </w:tcBorders>
          </w:tcPr>
          <w:p w14:paraId="55EAB7D8" w14:textId="77777777" w:rsidR="00A61BEE" w:rsidRPr="007E5633" w:rsidRDefault="00A61BEE" w:rsidP="000A7BA9">
            <w:pPr>
              <w:pStyle w:val="af4"/>
              <w:rPr>
                <w:sz w:val="22"/>
                <w:szCs w:val="22"/>
                <w:shd w:val="clear" w:color="auto" w:fill="FFFFFF"/>
                <w:lang w:val="uk-UA"/>
              </w:rPr>
            </w:pPr>
            <w:r w:rsidRPr="007E5633">
              <w:rPr>
                <w:sz w:val="22"/>
                <w:szCs w:val="22"/>
                <w:shd w:val="clear" w:color="auto" w:fill="FFFFFF"/>
                <w:lang w:val="uk-UA"/>
              </w:rPr>
              <w:t>Financial Conduct Authority (FCA)</w:t>
            </w:r>
          </w:p>
        </w:tc>
      </w:tr>
    </w:tbl>
    <w:p w14:paraId="7B3D0CB5" w14:textId="77777777" w:rsidR="00A61BEE" w:rsidRPr="007E5633" w:rsidRDefault="00A61BEE" w:rsidP="00A61BEE">
      <w:pPr>
        <w:pStyle w:val="af4"/>
        <w:spacing w:after="0" w:line="240" w:lineRule="auto"/>
        <w:rPr>
          <w:sz w:val="22"/>
          <w:szCs w:val="22"/>
          <w:shd w:val="clear" w:color="auto" w:fill="FFFFFF"/>
          <w:lang w:val="uk-UA"/>
        </w:rPr>
      </w:pPr>
    </w:p>
    <w:p w14:paraId="701D8399" w14:textId="77777777" w:rsidR="00A61BEE" w:rsidRPr="007E5633" w:rsidRDefault="002B48F0" w:rsidP="0053230F">
      <w:pPr>
        <w:pStyle w:val="af4"/>
        <w:rPr>
          <w:i/>
          <w:sz w:val="22"/>
          <w:szCs w:val="22"/>
          <w:lang w:val="uk-UA"/>
        </w:rPr>
      </w:pPr>
      <w:r w:rsidRPr="007E5633">
        <w:rPr>
          <w:i/>
          <w:sz w:val="22"/>
          <w:szCs w:val="22"/>
          <w:lang w:val="uk-UA"/>
        </w:rPr>
        <w:t>Джерело:</w:t>
      </w:r>
      <w:r w:rsidR="00A61BEE" w:rsidRPr="007E5633">
        <w:rPr>
          <w:i/>
          <w:sz w:val="22"/>
          <w:szCs w:val="22"/>
          <w:lang w:val="uk-UA"/>
        </w:rPr>
        <w:t xml:space="preserve"> ESMA</w:t>
      </w:r>
    </w:p>
    <w:p w14:paraId="374E6A8F" w14:textId="77777777" w:rsidR="00A61BEE" w:rsidRPr="007E5633" w:rsidRDefault="002B48F0" w:rsidP="00912D9A">
      <w:pPr>
        <w:pStyle w:val="FSHeader1"/>
        <w:keepNext w:val="0"/>
        <w:pageBreakBefore w:val="0"/>
        <w:numPr>
          <w:ilvl w:val="2"/>
          <w:numId w:val="27"/>
        </w:numPr>
        <w:tabs>
          <w:tab w:val="left" w:pos="709"/>
        </w:tabs>
        <w:spacing w:after="120"/>
        <w:rPr>
          <w:rFonts w:ascii="Arial" w:hAnsi="Arial" w:cs="Arial"/>
          <w:color w:val="auto"/>
          <w:sz w:val="22"/>
          <w:szCs w:val="22"/>
          <w:lang w:val="uk-UA"/>
        </w:rPr>
      </w:pPr>
      <w:bookmarkStart w:id="50" w:name="_Toc533093910"/>
      <w:r w:rsidRPr="007E5633">
        <w:rPr>
          <w:rFonts w:ascii="Arial" w:hAnsi="Arial" w:cs="Arial"/>
          <w:color w:val="auto"/>
          <w:sz w:val="22"/>
          <w:szCs w:val="22"/>
          <w:lang w:val="uk-UA"/>
        </w:rPr>
        <w:t>Процес авторизації (ліцензування) для інвестиційної фірми</w:t>
      </w:r>
      <w:bookmarkEnd w:id="50"/>
    </w:p>
    <w:p w14:paraId="565AD208" w14:textId="77777777" w:rsidR="002B48F0" w:rsidRPr="007E5633" w:rsidRDefault="002B48F0" w:rsidP="002B48F0">
      <w:pPr>
        <w:pStyle w:val="af4"/>
        <w:rPr>
          <w:sz w:val="22"/>
          <w:szCs w:val="22"/>
          <w:lang w:val="uk-UA"/>
        </w:rPr>
      </w:pPr>
      <w:r w:rsidRPr="007E5633">
        <w:rPr>
          <w:sz w:val="22"/>
          <w:szCs w:val="22"/>
          <w:lang w:val="uk-UA"/>
        </w:rPr>
        <w:t>Стаття 4 (1) MIFID II визначає інвестиційну фірму як будь-яку юридичну особу, чия постійна діяльність полягає у наданні однієї або кількох інвестиційних послуг третім особам та / або виконання одного або кількох видів інвестиційної діяльності на професійній основі. Інвестиційні послуги та види діяльності наведені в розділі А Annex I до MIFID ІІ, де включені питання функціонування MTF та OTF.</w:t>
      </w:r>
    </w:p>
    <w:p w14:paraId="75384DD3" w14:textId="77777777" w:rsidR="002B48F0" w:rsidRPr="007E5633" w:rsidRDefault="002B48F0" w:rsidP="002B48F0">
      <w:pPr>
        <w:pStyle w:val="af4"/>
        <w:rPr>
          <w:sz w:val="22"/>
          <w:szCs w:val="22"/>
          <w:lang w:val="uk-UA"/>
        </w:rPr>
      </w:pPr>
      <w:r w:rsidRPr="007E5633">
        <w:rPr>
          <w:sz w:val="22"/>
          <w:szCs w:val="22"/>
          <w:lang w:val="uk-UA"/>
        </w:rPr>
        <w:t xml:space="preserve">Пруденційний режим, призначений для мінімізації ризику шкоди широкому колу зацікавлених сторін, який застосовується до інвестиційних фірм, залежить від </w:t>
      </w:r>
      <w:r w:rsidR="007E5633">
        <w:rPr>
          <w:sz w:val="22"/>
          <w:szCs w:val="22"/>
          <w:lang w:val="uk-UA"/>
        </w:rPr>
        <w:t>класифікації</w:t>
      </w:r>
      <w:r w:rsidR="007E5633" w:rsidRPr="007E5633">
        <w:rPr>
          <w:sz w:val="22"/>
          <w:szCs w:val="22"/>
          <w:lang w:val="uk-UA"/>
        </w:rPr>
        <w:t xml:space="preserve"> </w:t>
      </w:r>
      <w:r w:rsidRPr="007E5633">
        <w:rPr>
          <w:sz w:val="22"/>
          <w:szCs w:val="22"/>
          <w:lang w:val="uk-UA"/>
        </w:rPr>
        <w:t>фірми в рамках CRD IV</w:t>
      </w:r>
      <w:r w:rsidRPr="007E5633">
        <w:rPr>
          <w:rStyle w:val="aa"/>
          <w:sz w:val="22"/>
          <w:szCs w:val="22"/>
          <w:lang w:val="uk-UA"/>
        </w:rPr>
        <w:footnoteReference w:id="1"/>
      </w:r>
      <w:r w:rsidRPr="007E5633">
        <w:rPr>
          <w:sz w:val="22"/>
          <w:szCs w:val="22"/>
          <w:lang w:val="uk-UA"/>
        </w:rPr>
        <w:t>. Ця класифікація в основному визначається пропонованими та здійснюваними інвестиційними послугами та діяльністю, як зазначено у Додатку I до MiFID II.</w:t>
      </w:r>
    </w:p>
    <w:p w14:paraId="0C0E9E74" w14:textId="77777777" w:rsidR="002B48F0" w:rsidRPr="007E5633" w:rsidRDefault="002B48F0" w:rsidP="002B48F0">
      <w:pPr>
        <w:pStyle w:val="af4"/>
        <w:rPr>
          <w:sz w:val="22"/>
          <w:szCs w:val="22"/>
          <w:lang w:val="uk-UA"/>
        </w:rPr>
      </w:pPr>
      <w:r w:rsidRPr="007E5633">
        <w:rPr>
          <w:sz w:val="22"/>
          <w:szCs w:val="22"/>
          <w:lang w:val="uk-UA"/>
        </w:rPr>
        <w:t>У рамках CRR</w:t>
      </w:r>
      <w:r w:rsidR="00391C97" w:rsidRPr="007E5633">
        <w:rPr>
          <w:rStyle w:val="aa"/>
          <w:sz w:val="22"/>
          <w:szCs w:val="22"/>
          <w:lang w:val="uk-UA"/>
        </w:rPr>
        <w:footnoteReference w:id="2"/>
      </w:r>
      <w:r w:rsidR="00391C97" w:rsidRPr="007E5633">
        <w:rPr>
          <w:sz w:val="22"/>
          <w:szCs w:val="22"/>
          <w:lang w:val="uk-UA"/>
        </w:rPr>
        <w:t xml:space="preserve"> </w:t>
      </w:r>
      <w:r w:rsidRPr="007E5633">
        <w:rPr>
          <w:sz w:val="22"/>
          <w:szCs w:val="22"/>
          <w:lang w:val="uk-UA"/>
        </w:rPr>
        <w:t>/ CRD IV, для цілей узгодженості термін "інвестиційна фірма" узгоджується з визначенням MIFID II. CRR / CRD IV виділяє 11 різних пруденційних категорій інвестиційних фірм. Ця категорія має прямий вплив на вимогу щодо початкового капіталу фірми, а також вимоги до платоспроможності фірми.</w:t>
      </w:r>
    </w:p>
    <w:p w14:paraId="27E172ED" w14:textId="77777777" w:rsidR="002B48F0" w:rsidRPr="007E5633" w:rsidRDefault="002B48F0" w:rsidP="002B48F0">
      <w:pPr>
        <w:pStyle w:val="af4"/>
        <w:rPr>
          <w:sz w:val="22"/>
          <w:szCs w:val="22"/>
          <w:lang w:val="uk-UA"/>
        </w:rPr>
      </w:pPr>
      <w:r w:rsidRPr="007E5633">
        <w:rPr>
          <w:sz w:val="22"/>
          <w:szCs w:val="22"/>
          <w:lang w:val="uk-UA"/>
        </w:rPr>
        <w:t xml:space="preserve">Відповідно до статті 28 CRD, кожна інвестиційна фірма повинна, за замовченням, підпадати під вимогу про початковий капітал у розмірі 730 000 євро. Поріг може бути </w:t>
      </w:r>
      <w:r w:rsidRPr="007E5633">
        <w:rPr>
          <w:sz w:val="22"/>
          <w:szCs w:val="22"/>
          <w:lang w:val="uk-UA"/>
        </w:rPr>
        <w:lastRenderedPageBreak/>
        <w:t>зменшений до 125 000 євро</w:t>
      </w:r>
      <w:r w:rsidR="00391C97" w:rsidRPr="007E5633">
        <w:rPr>
          <w:rStyle w:val="aa"/>
          <w:sz w:val="22"/>
          <w:szCs w:val="22"/>
          <w:lang w:val="uk-UA"/>
        </w:rPr>
        <w:footnoteReference w:id="3"/>
      </w:r>
      <w:r w:rsidRPr="007E5633">
        <w:rPr>
          <w:sz w:val="22"/>
          <w:szCs w:val="22"/>
          <w:lang w:val="uk-UA"/>
        </w:rPr>
        <w:t>, якщо фірма не здійснює операції з власного рахунку або не надає жорстких зобов'язань при утриманні клієнтських коштів або цінних паперів та, якщо держава-член ЄС вирішить, навіть до 50 000 євро, якщо така фірма не має дозволу на зберігання грошових коштів або цінних паперів.</w:t>
      </w:r>
    </w:p>
    <w:p w14:paraId="0F02BD13" w14:textId="77777777" w:rsidR="002B48F0" w:rsidRPr="007E5633" w:rsidRDefault="002B48F0" w:rsidP="002B48F0">
      <w:pPr>
        <w:pStyle w:val="af4"/>
        <w:rPr>
          <w:sz w:val="22"/>
          <w:szCs w:val="22"/>
          <w:lang w:val="uk-UA"/>
        </w:rPr>
      </w:pPr>
      <w:r w:rsidRPr="007E5633">
        <w:rPr>
          <w:sz w:val="22"/>
          <w:szCs w:val="22"/>
          <w:lang w:val="uk-UA"/>
        </w:rPr>
        <w:t>Подібні міркування стосуються вимог до платоспроможності фірми. Загалом, інвестиційні фірми підлягають повним вимогам щодо власних коштів, які передбачені статтею 92 CRR (аналогічні тим, що застосовуються до кредитних установ).</w:t>
      </w:r>
    </w:p>
    <w:p w14:paraId="771C469C" w14:textId="77777777" w:rsidR="002B48F0" w:rsidRPr="007E5633" w:rsidRDefault="002B48F0" w:rsidP="002B48F0">
      <w:pPr>
        <w:pStyle w:val="af4"/>
        <w:rPr>
          <w:sz w:val="22"/>
          <w:szCs w:val="22"/>
          <w:lang w:val="uk-UA"/>
        </w:rPr>
      </w:pPr>
      <w:r w:rsidRPr="007E5633">
        <w:rPr>
          <w:sz w:val="22"/>
          <w:szCs w:val="22"/>
          <w:lang w:val="uk-UA"/>
        </w:rPr>
        <w:t>Для визначення пруденційних правил щодо інвестиційної компанії слід вивчити Директиву Європейського Парламенту та Ради Щодо пруденційного нагляду за інвестиційними фірмами та внесення змін до Директив 2013/36 / ЄС та 2014/65 / ЄС. Загалом, інвестиційні фірми поділяються на три класи, що фіксують різні профілі ризику. Торговий майданчик, ймовірно, потрапляє до Класу 1, і, таким чином, буде підпадати під CRR / CRD IV. З точки зору цього Звіту, пруденційні правила не є основним його предметом.</w:t>
      </w:r>
    </w:p>
    <w:p w14:paraId="12CDBE2B" w14:textId="77777777" w:rsidR="002B48F0" w:rsidRPr="007E5633" w:rsidRDefault="002B48F0" w:rsidP="002B48F0">
      <w:pPr>
        <w:pStyle w:val="af4"/>
        <w:rPr>
          <w:sz w:val="22"/>
          <w:szCs w:val="22"/>
          <w:lang w:val="uk-UA"/>
        </w:rPr>
      </w:pPr>
      <w:r w:rsidRPr="007E5633">
        <w:rPr>
          <w:sz w:val="22"/>
          <w:szCs w:val="22"/>
          <w:lang w:val="uk-UA"/>
        </w:rPr>
        <w:t xml:space="preserve">Критерії для </w:t>
      </w:r>
      <w:r w:rsidRPr="007E5633">
        <w:rPr>
          <w:b/>
          <w:sz w:val="22"/>
          <w:szCs w:val="22"/>
          <w:lang w:val="uk-UA"/>
        </w:rPr>
        <w:t>процедури авторизації (ліцензування)</w:t>
      </w:r>
      <w:r w:rsidRPr="007E5633">
        <w:rPr>
          <w:sz w:val="22"/>
          <w:szCs w:val="22"/>
          <w:lang w:val="uk-UA"/>
        </w:rPr>
        <w:t xml:space="preserve"> інвестиційних фірм в рамках MiFID II встановлюються однаково по країнах-членах Європейського Союзу в Commission Delegated Regulation (EU) 2017/1943 від 14 липня 2016 р., Які доповнюють Директиву 2014/65 / ЄС Європейського Парламенту та Ради що стосується нормативно-технічних стандартів щодо інформації та вимог щодо ліцензування інвестиційних фірм (RTS1).</w:t>
      </w:r>
    </w:p>
    <w:p w14:paraId="7A0535E2" w14:textId="77777777" w:rsidR="002B48F0" w:rsidRPr="007E5633" w:rsidRDefault="002B48F0" w:rsidP="002B48F0">
      <w:pPr>
        <w:pStyle w:val="af4"/>
        <w:rPr>
          <w:sz w:val="22"/>
          <w:szCs w:val="22"/>
          <w:lang w:val="uk-UA"/>
        </w:rPr>
      </w:pPr>
      <w:r w:rsidRPr="007E5633">
        <w:rPr>
          <w:sz w:val="22"/>
          <w:szCs w:val="22"/>
          <w:lang w:val="uk-UA"/>
        </w:rPr>
        <w:t>Вищезгадане Положення (Commission Delegated Regulation) структуроване таким чином:</w:t>
      </w:r>
    </w:p>
    <w:p w14:paraId="34F11D22" w14:textId="77777777" w:rsidR="002B48F0" w:rsidRPr="007E5633" w:rsidRDefault="002B48F0" w:rsidP="0042516F">
      <w:pPr>
        <w:pStyle w:val="af4"/>
        <w:numPr>
          <w:ilvl w:val="0"/>
          <w:numId w:val="23"/>
        </w:numPr>
        <w:rPr>
          <w:sz w:val="22"/>
          <w:szCs w:val="22"/>
          <w:lang w:val="uk-UA"/>
        </w:rPr>
      </w:pPr>
      <w:r w:rsidRPr="007E5633">
        <w:rPr>
          <w:sz w:val="22"/>
          <w:szCs w:val="22"/>
          <w:lang w:val="uk-UA"/>
        </w:rPr>
        <w:t>Статті з 1 по 7 деталізують інформацію, яку інвестиційні компанії надають компетентним органам як частину процесу надання ліцензії;</w:t>
      </w:r>
    </w:p>
    <w:p w14:paraId="20F768E9" w14:textId="77777777" w:rsidR="002B48F0" w:rsidRPr="007E5633" w:rsidRDefault="002B48F0" w:rsidP="0042516F">
      <w:pPr>
        <w:pStyle w:val="af4"/>
        <w:numPr>
          <w:ilvl w:val="0"/>
          <w:numId w:val="23"/>
        </w:numPr>
        <w:rPr>
          <w:sz w:val="22"/>
          <w:szCs w:val="22"/>
          <w:lang w:val="uk-UA"/>
        </w:rPr>
      </w:pPr>
      <w:r w:rsidRPr="007E5633">
        <w:rPr>
          <w:sz w:val="22"/>
          <w:szCs w:val="22"/>
          <w:lang w:val="uk-UA"/>
        </w:rPr>
        <w:t>Статті з 8 по 10 визначають вимоги, що застосовуються до управління інвестиційними фірмами, та вимоги, що застосовуються до акціонерів та членів, які мають істотні частки, а також перешкоди, які можуть перешкодити ефективному здійсненню наглядових функцій компетентного органу.</w:t>
      </w:r>
    </w:p>
    <w:p w14:paraId="4E807807" w14:textId="77777777" w:rsidR="002B48F0" w:rsidRPr="007E5633" w:rsidRDefault="002B48F0" w:rsidP="002B48F0">
      <w:pPr>
        <w:pStyle w:val="af4"/>
        <w:rPr>
          <w:sz w:val="22"/>
          <w:szCs w:val="22"/>
          <w:lang w:val="uk-UA"/>
        </w:rPr>
      </w:pPr>
      <w:r w:rsidRPr="007E5633">
        <w:rPr>
          <w:sz w:val="22"/>
          <w:szCs w:val="22"/>
          <w:lang w:val="uk-UA"/>
        </w:rPr>
        <w:t>Повний пакет заявки на отримання ліцензії складається з значної кількості документів. Нижче наводиться вибрана інформація, яка подається в NCA.</w:t>
      </w:r>
    </w:p>
    <w:p w14:paraId="31898607" w14:textId="77777777" w:rsidR="00391C97" w:rsidRPr="007E5633" w:rsidRDefault="00391C97">
      <w:pPr>
        <w:suppressAutoHyphens w:val="0"/>
        <w:rPr>
          <w:rFonts w:ascii="Arial" w:eastAsia="Times New Roman" w:hAnsi="Arial" w:cs="Arial"/>
          <w:b/>
          <w:iCs/>
          <w:lang w:val="uk-UA"/>
        </w:rPr>
      </w:pPr>
      <w:r w:rsidRPr="007E5633">
        <w:rPr>
          <w:rFonts w:ascii="Arial" w:hAnsi="Arial" w:cs="Arial"/>
          <w:lang w:val="uk-UA"/>
        </w:rPr>
        <w:br w:type="page"/>
      </w:r>
    </w:p>
    <w:p w14:paraId="03E77A16" w14:textId="1D5FA6E6" w:rsidR="008B1ECB" w:rsidRPr="007E5633" w:rsidRDefault="00391C97" w:rsidP="008B1ECB">
      <w:pPr>
        <w:pStyle w:val="af1"/>
        <w:jc w:val="left"/>
        <w:rPr>
          <w:rFonts w:cs="Arial"/>
          <w:sz w:val="22"/>
          <w:szCs w:val="22"/>
          <w:lang w:val="uk-UA"/>
        </w:rPr>
      </w:pPr>
      <w:bookmarkStart w:id="51" w:name="_Toc533094039"/>
      <w:r w:rsidRPr="007E5633">
        <w:rPr>
          <w:rFonts w:cs="Arial"/>
          <w:sz w:val="22"/>
          <w:szCs w:val="22"/>
          <w:lang w:val="uk-UA"/>
        </w:rPr>
        <w:lastRenderedPageBreak/>
        <w:t>Схема</w:t>
      </w:r>
      <w:r w:rsidR="008B1ECB" w:rsidRPr="007E5633">
        <w:rPr>
          <w:rFonts w:cs="Arial"/>
          <w:sz w:val="22"/>
          <w:szCs w:val="22"/>
          <w:lang w:val="uk-UA"/>
        </w:rPr>
        <w:t xml:space="preserve"> </w:t>
      </w:r>
      <w:r w:rsidR="00622EE2" w:rsidRPr="007E5633">
        <w:rPr>
          <w:rFonts w:cs="Arial"/>
          <w:sz w:val="22"/>
          <w:szCs w:val="22"/>
          <w:lang w:val="uk-UA"/>
        </w:rPr>
        <w:fldChar w:fldCharType="begin"/>
      </w:r>
      <w:r w:rsidR="008B1ECB"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12</w:t>
      </w:r>
      <w:r w:rsidR="00622EE2" w:rsidRPr="007E5633">
        <w:rPr>
          <w:rFonts w:cs="Arial"/>
          <w:sz w:val="22"/>
          <w:szCs w:val="22"/>
          <w:lang w:val="uk-UA"/>
        </w:rPr>
        <w:fldChar w:fldCharType="end"/>
      </w:r>
      <w:r w:rsidR="008B1ECB" w:rsidRPr="007E5633">
        <w:rPr>
          <w:rFonts w:cs="Arial"/>
          <w:sz w:val="22"/>
          <w:szCs w:val="22"/>
          <w:lang w:val="uk-UA"/>
        </w:rPr>
        <w:t xml:space="preserve">: </w:t>
      </w:r>
      <w:r w:rsidRPr="007E5633">
        <w:rPr>
          <w:rFonts w:cs="Arial"/>
          <w:sz w:val="22"/>
          <w:szCs w:val="22"/>
          <w:lang w:val="uk-UA"/>
        </w:rPr>
        <w:t>Невичерпний перелік інформації, яка повинна бути надана NCA</w:t>
      </w:r>
      <w:bookmarkEnd w:id="51"/>
    </w:p>
    <w:tbl>
      <w:tblPr>
        <w:tblStyle w:val="af6"/>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59"/>
        <w:gridCol w:w="1559"/>
        <w:gridCol w:w="4253"/>
        <w:gridCol w:w="3969"/>
      </w:tblGrid>
      <w:tr w:rsidR="00391C97" w:rsidRPr="007E5633" w14:paraId="1B3B7F70" w14:textId="77777777" w:rsidTr="00B83D6C">
        <w:tc>
          <w:tcPr>
            <w:tcW w:w="959" w:type="dxa"/>
            <w:tcBorders>
              <w:top w:val="single" w:sz="4" w:space="0" w:color="F79646" w:themeColor="accent6"/>
              <w:bottom w:val="single" w:sz="4" w:space="0" w:color="A6A6A6" w:themeColor="background1" w:themeShade="A6"/>
            </w:tcBorders>
          </w:tcPr>
          <w:p w14:paraId="624352AA" w14:textId="77777777" w:rsidR="00391C97" w:rsidRPr="007E5633" w:rsidRDefault="008C252E" w:rsidP="000A7BA9">
            <w:pPr>
              <w:pStyle w:val="af4"/>
              <w:rPr>
                <w:szCs w:val="20"/>
                <w:lang w:val="uk-UA"/>
              </w:rPr>
            </w:pPr>
            <w:r>
              <w:rPr>
                <w:noProof/>
                <w:szCs w:val="20"/>
                <w:lang w:val="en-US"/>
              </w:rPr>
              <mc:AlternateContent>
                <mc:Choice Requires="wps">
                  <w:drawing>
                    <wp:anchor distT="0" distB="0" distL="114300" distR="114300" simplePos="0" relativeHeight="251719680" behindDoc="0" locked="0" layoutInCell="1" allowOverlap="1" wp14:anchorId="13A31F99" wp14:editId="73FFE315">
                      <wp:simplePos x="0" y="0"/>
                      <wp:positionH relativeFrom="column">
                        <wp:posOffset>-3175</wp:posOffset>
                      </wp:positionH>
                      <wp:positionV relativeFrom="paragraph">
                        <wp:posOffset>635</wp:posOffset>
                      </wp:positionV>
                      <wp:extent cx="421640" cy="221615"/>
                      <wp:effectExtent l="0" t="0" r="0" b="6985"/>
                      <wp:wrapNone/>
                      <wp:docPr id="258" name="Freeform 49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1640" cy="221615"/>
                              </a:xfrm>
                              <a:custGeom>
                                <a:avLst/>
                                <a:gdLst>
                                  <a:gd name="T0" fmla="*/ 242 w 350"/>
                                  <a:gd name="T1" fmla="*/ 32 h 184"/>
                                  <a:gd name="T2" fmla="*/ 236 w 350"/>
                                  <a:gd name="T3" fmla="*/ 42 h 184"/>
                                  <a:gd name="T4" fmla="*/ 78 w 350"/>
                                  <a:gd name="T5" fmla="*/ 42 h 184"/>
                                  <a:gd name="T6" fmla="*/ 68 w 350"/>
                                  <a:gd name="T7" fmla="*/ 36 h 184"/>
                                  <a:gd name="T8" fmla="*/ 68 w 350"/>
                                  <a:gd name="T9" fmla="*/ 10 h 184"/>
                                  <a:gd name="T10" fmla="*/ 74 w 350"/>
                                  <a:gd name="T11" fmla="*/ 0 h 184"/>
                                  <a:gd name="T12" fmla="*/ 232 w 350"/>
                                  <a:gd name="T13" fmla="*/ 0 h 184"/>
                                  <a:gd name="T14" fmla="*/ 242 w 350"/>
                                  <a:gd name="T15" fmla="*/ 6 h 184"/>
                                  <a:gd name="T16" fmla="*/ 34 w 350"/>
                                  <a:gd name="T17" fmla="*/ 0 h 184"/>
                                  <a:gd name="T18" fmla="*/ 6 w 350"/>
                                  <a:gd name="T19" fmla="*/ 0 h 184"/>
                                  <a:gd name="T20" fmla="*/ 0 w 350"/>
                                  <a:gd name="T21" fmla="*/ 10 h 184"/>
                                  <a:gd name="T22" fmla="*/ 0 w 350"/>
                                  <a:gd name="T23" fmla="*/ 36 h 184"/>
                                  <a:gd name="T24" fmla="*/ 10 w 350"/>
                                  <a:gd name="T25" fmla="*/ 42 h 184"/>
                                  <a:gd name="T26" fmla="*/ 38 w 350"/>
                                  <a:gd name="T27" fmla="*/ 42 h 184"/>
                                  <a:gd name="T28" fmla="*/ 44 w 350"/>
                                  <a:gd name="T29" fmla="*/ 32 h 184"/>
                                  <a:gd name="T30" fmla="*/ 42 w 350"/>
                                  <a:gd name="T31" fmla="*/ 6 h 184"/>
                                  <a:gd name="T32" fmla="*/ 34 w 350"/>
                                  <a:gd name="T33" fmla="*/ 0 h 184"/>
                                  <a:gd name="T34" fmla="*/ 174 w 350"/>
                                  <a:gd name="T35" fmla="*/ 114 h 184"/>
                                  <a:gd name="T36" fmla="*/ 78 w 350"/>
                                  <a:gd name="T37" fmla="*/ 70 h 184"/>
                                  <a:gd name="T38" fmla="*/ 70 w 350"/>
                                  <a:gd name="T39" fmla="*/ 72 h 184"/>
                                  <a:gd name="T40" fmla="*/ 68 w 350"/>
                                  <a:gd name="T41" fmla="*/ 104 h 184"/>
                                  <a:gd name="T42" fmla="*/ 70 w 350"/>
                                  <a:gd name="T43" fmla="*/ 110 h 184"/>
                                  <a:gd name="T44" fmla="*/ 78 w 350"/>
                                  <a:gd name="T45" fmla="*/ 114 h 184"/>
                                  <a:gd name="T46" fmla="*/ 10 w 350"/>
                                  <a:gd name="T47" fmla="*/ 140 h 184"/>
                                  <a:gd name="T48" fmla="*/ 0 w 350"/>
                                  <a:gd name="T49" fmla="*/ 146 h 184"/>
                                  <a:gd name="T50" fmla="*/ 0 w 350"/>
                                  <a:gd name="T51" fmla="*/ 174 h 184"/>
                                  <a:gd name="T52" fmla="*/ 6 w 350"/>
                                  <a:gd name="T53" fmla="*/ 184 h 184"/>
                                  <a:gd name="T54" fmla="*/ 34 w 350"/>
                                  <a:gd name="T55" fmla="*/ 184 h 184"/>
                                  <a:gd name="T56" fmla="*/ 42 w 350"/>
                                  <a:gd name="T57" fmla="*/ 178 h 184"/>
                                  <a:gd name="T58" fmla="*/ 44 w 350"/>
                                  <a:gd name="T59" fmla="*/ 150 h 184"/>
                                  <a:gd name="T60" fmla="*/ 38 w 350"/>
                                  <a:gd name="T61" fmla="*/ 142 h 184"/>
                                  <a:gd name="T62" fmla="*/ 188 w 350"/>
                                  <a:gd name="T63" fmla="*/ 140 h 184"/>
                                  <a:gd name="T64" fmla="*/ 74 w 350"/>
                                  <a:gd name="T65" fmla="*/ 142 h 184"/>
                                  <a:gd name="T66" fmla="*/ 68 w 350"/>
                                  <a:gd name="T67" fmla="*/ 150 h 184"/>
                                  <a:gd name="T68" fmla="*/ 68 w 350"/>
                                  <a:gd name="T69" fmla="*/ 178 h 184"/>
                                  <a:gd name="T70" fmla="*/ 78 w 350"/>
                                  <a:gd name="T71" fmla="*/ 184 h 184"/>
                                  <a:gd name="T72" fmla="*/ 34 w 350"/>
                                  <a:gd name="T73" fmla="*/ 70 h 184"/>
                                  <a:gd name="T74" fmla="*/ 6 w 350"/>
                                  <a:gd name="T75" fmla="*/ 70 h 184"/>
                                  <a:gd name="T76" fmla="*/ 0 w 350"/>
                                  <a:gd name="T77" fmla="*/ 80 h 184"/>
                                  <a:gd name="T78" fmla="*/ 0 w 350"/>
                                  <a:gd name="T79" fmla="*/ 108 h 184"/>
                                  <a:gd name="T80" fmla="*/ 10 w 350"/>
                                  <a:gd name="T81" fmla="*/ 114 h 184"/>
                                  <a:gd name="T82" fmla="*/ 38 w 350"/>
                                  <a:gd name="T83" fmla="*/ 112 h 184"/>
                                  <a:gd name="T84" fmla="*/ 44 w 350"/>
                                  <a:gd name="T85" fmla="*/ 104 h 184"/>
                                  <a:gd name="T86" fmla="*/ 42 w 350"/>
                                  <a:gd name="T87" fmla="*/ 76 h 184"/>
                                  <a:gd name="T88" fmla="*/ 34 w 350"/>
                                  <a:gd name="T89" fmla="*/ 70 h 184"/>
                                  <a:gd name="T90" fmla="*/ 312 w 350"/>
                                  <a:gd name="T91" fmla="*/ 0 h 184"/>
                                  <a:gd name="T92" fmla="*/ 184 w 350"/>
                                  <a:gd name="T93" fmla="*/ 6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0" h="184">
                                    <a:moveTo>
                                      <a:pt x="242" y="10"/>
                                    </a:moveTo>
                                    <a:lnTo>
                                      <a:pt x="242" y="32"/>
                                    </a:lnTo>
                                    <a:lnTo>
                                      <a:pt x="242" y="32"/>
                                    </a:lnTo>
                                    <a:lnTo>
                                      <a:pt x="242" y="36"/>
                                    </a:lnTo>
                                    <a:lnTo>
                                      <a:pt x="240" y="40"/>
                                    </a:lnTo>
                                    <a:lnTo>
                                      <a:pt x="236" y="42"/>
                                    </a:lnTo>
                                    <a:lnTo>
                                      <a:pt x="232" y="42"/>
                                    </a:lnTo>
                                    <a:lnTo>
                                      <a:pt x="78" y="42"/>
                                    </a:lnTo>
                                    <a:lnTo>
                                      <a:pt x="78" y="42"/>
                                    </a:lnTo>
                                    <a:lnTo>
                                      <a:pt x="74" y="42"/>
                                    </a:lnTo>
                                    <a:lnTo>
                                      <a:pt x="70" y="40"/>
                                    </a:lnTo>
                                    <a:lnTo>
                                      <a:pt x="68" y="36"/>
                                    </a:lnTo>
                                    <a:lnTo>
                                      <a:pt x="68" y="32"/>
                                    </a:lnTo>
                                    <a:lnTo>
                                      <a:pt x="68" y="10"/>
                                    </a:lnTo>
                                    <a:lnTo>
                                      <a:pt x="68" y="10"/>
                                    </a:lnTo>
                                    <a:lnTo>
                                      <a:pt x="68" y="6"/>
                                    </a:lnTo>
                                    <a:lnTo>
                                      <a:pt x="70" y="2"/>
                                    </a:lnTo>
                                    <a:lnTo>
                                      <a:pt x="74" y="0"/>
                                    </a:lnTo>
                                    <a:lnTo>
                                      <a:pt x="78" y="0"/>
                                    </a:lnTo>
                                    <a:lnTo>
                                      <a:pt x="232" y="0"/>
                                    </a:lnTo>
                                    <a:lnTo>
                                      <a:pt x="232" y="0"/>
                                    </a:lnTo>
                                    <a:lnTo>
                                      <a:pt x="236" y="0"/>
                                    </a:lnTo>
                                    <a:lnTo>
                                      <a:pt x="240" y="2"/>
                                    </a:lnTo>
                                    <a:lnTo>
                                      <a:pt x="242" y="6"/>
                                    </a:lnTo>
                                    <a:lnTo>
                                      <a:pt x="242" y="10"/>
                                    </a:lnTo>
                                    <a:lnTo>
                                      <a:pt x="242" y="10"/>
                                    </a:lnTo>
                                    <a:close/>
                                    <a:moveTo>
                                      <a:pt x="34" y="0"/>
                                    </a:moveTo>
                                    <a:lnTo>
                                      <a:pt x="10" y="0"/>
                                    </a:lnTo>
                                    <a:lnTo>
                                      <a:pt x="10" y="0"/>
                                    </a:lnTo>
                                    <a:lnTo>
                                      <a:pt x="6" y="0"/>
                                    </a:lnTo>
                                    <a:lnTo>
                                      <a:pt x="2" y="2"/>
                                    </a:lnTo>
                                    <a:lnTo>
                                      <a:pt x="0" y="6"/>
                                    </a:lnTo>
                                    <a:lnTo>
                                      <a:pt x="0" y="10"/>
                                    </a:lnTo>
                                    <a:lnTo>
                                      <a:pt x="0" y="32"/>
                                    </a:lnTo>
                                    <a:lnTo>
                                      <a:pt x="0" y="32"/>
                                    </a:lnTo>
                                    <a:lnTo>
                                      <a:pt x="0" y="36"/>
                                    </a:lnTo>
                                    <a:lnTo>
                                      <a:pt x="2" y="40"/>
                                    </a:lnTo>
                                    <a:lnTo>
                                      <a:pt x="6" y="42"/>
                                    </a:lnTo>
                                    <a:lnTo>
                                      <a:pt x="10" y="42"/>
                                    </a:lnTo>
                                    <a:lnTo>
                                      <a:pt x="34" y="42"/>
                                    </a:lnTo>
                                    <a:lnTo>
                                      <a:pt x="34" y="42"/>
                                    </a:lnTo>
                                    <a:lnTo>
                                      <a:pt x="38" y="42"/>
                                    </a:lnTo>
                                    <a:lnTo>
                                      <a:pt x="40" y="40"/>
                                    </a:lnTo>
                                    <a:lnTo>
                                      <a:pt x="42" y="36"/>
                                    </a:lnTo>
                                    <a:lnTo>
                                      <a:pt x="44" y="32"/>
                                    </a:lnTo>
                                    <a:lnTo>
                                      <a:pt x="44" y="10"/>
                                    </a:lnTo>
                                    <a:lnTo>
                                      <a:pt x="44" y="10"/>
                                    </a:lnTo>
                                    <a:lnTo>
                                      <a:pt x="42" y="6"/>
                                    </a:lnTo>
                                    <a:lnTo>
                                      <a:pt x="40" y="2"/>
                                    </a:lnTo>
                                    <a:lnTo>
                                      <a:pt x="38" y="0"/>
                                    </a:lnTo>
                                    <a:lnTo>
                                      <a:pt x="34" y="0"/>
                                    </a:lnTo>
                                    <a:lnTo>
                                      <a:pt x="34" y="0"/>
                                    </a:lnTo>
                                    <a:close/>
                                    <a:moveTo>
                                      <a:pt x="78" y="114"/>
                                    </a:moveTo>
                                    <a:lnTo>
                                      <a:pt x="174" y="114"/>
                                    </a:lnTo>
                                    <a:lnTo>
                                      <a:pt x="156" y="80"/>
                                    </a:lnTo>
                                    <a:lnTo>
                                      <a:pt x="150" y="70"/>
                                    </a:lnTo>
                                    <a:lnTo>
                                      <a:pt x="78" y="70"/>
                                    </a:lnTo>
                                    <a:lnTo>
                                      <a:pt x="78" y="70"/>
                                    </a:lnTo>
                                    <a:lnTo>
                                      <a:pt x="74" y="70"/>
                                    </a:lnTo>
                                    <a:lnTo>
                                      <a:pt x="70" y="72"/>
                                    </a:lnTo>
                                    <a:lnTo>
                                      <a:pt x="68" y="76"/>
                                    </a:lnTo>
                                    <a:lnTo>
                                      <a:pt x="68" y="80"/>
                                    </a:lnTo>
                                    <a:lnTo>
                                      <a:pt x="68" y="104"/>
                                    </a:lnTo>
                                    <a:lnTo>
                                      <a:pt x="68" y="104"/>
                                    </a:lnTo>
                                    <a:lnTo>
                                      <a:pt x="68" y="108"/>
                                    </a:lnTo>
                                    <a:lnTo>
                                      <a:pt x="70" y="110"/>
                                    </a:lnTo>
                                    <a:lnTo>
                                      <a:pt x="74" y="112"/>
                                    </a:lnTo>
                                    <a:lnTo>
                                      <a:pt x="78" y="114"/>
                                    </a:lnTo>
                                    <a:lnTo>
                                      <a:pt x="78" y="114"/>
                                    </a:lnTo>
                                    <a:close/>
                                    <a:moveTo>
                                      <a:pt x="34" y="140"/>
                                    </a:moveTo>
                                    <a:lnTo>
                                      <a:pt x="10" y="140"/>
                                    </a:lnTo>
                                    <a:lnTo>
                                      <a:pt x="10" y="140"/>
                                    </a:lnTo>
                                    <a:lnTo>
                                      <a:pt x="6" y="142"/>
                                    </a:lnTo>
                                    <a:lnTo>
                                      <a:pt x="2" y="144"/>
                                    </a:lnTo>
                                    <a:lnTo>
                                      <a:pt x="0" y="146"/>
                                    </a:lnTo>
                                    <a:lnTo>
                                      <a:pt x="0" y="150"/>
                                    </a:lnTo>
                                    <a:lnTo>
                                      <a:pt x="0" y="174"/>
                                    </a:lnTo>
                                    <a:lnTo>
                                      <a:pt x="0" y="174"/>
                                    </a:lnTo>
                                    <a:lnTo>
                                      <a:pt x="0" y="178"/>
                                    </a:lnTo>
                                    <a:lnTo>
                                      <a:pt x="2" y="182"/>
                                    </a:lnTo>
                                    <a:lnTo>
                                      <a:pt x="6" y="184"/>
                                    </a:lnTo>
                                    <a:lnTo>
                                      <a:pt x="10" y="184"/>
                                    </a:lnTo>
                                    <a:lnTo>
                                      <a:pt x="34" y="184"/>
                                    </a:lnTo>
                                    <a:lnTo>
                                      <a:pt x="34" y="184"/>
                                    </a:lnTo>
                                    <a:lnTo>
                                      <a:pt x="38" y="184"/>
                                    </a:lnTo>
                                    <a:lnTo>
                                      <a:pt x="40" y="182"/>
                                    </a:lnTo>
                                    <a:lnTo>
                                      <a:pt x="42" y="178"/>
                                    </a:lnTo>
                                    <a:lnTo>
                                      <a:pt x="44" y="174"/>
                                    </a:lnTo>
                                    <a:lnTo>
                                      <a:pt x="44" y="150"/>
                                    </a:lnTo>
                                    <a:lnTo>
                                      <a:pt x="44" y="150"/>
                                    </a:lnTo>
                                    <a:lnTo>
                                      <a:pt x="42" y="146"/>
                                    </a:lnTo>
                                    <a:lnTo>
                                      <a:pt x="40" y="144"/>
                                    </a:lnTo>
                                    <a:lnTo>
                                      <a:pt x="38" y="142"/>
                                    </a:lnTo>
                                    <a:lnTo>
                                      <a:pt x="34" y="140"/>
                                    </a:lnTo>
                                    <a:lnTo>
                                      <a:pt x="34" y="140"/>
                                    </a:lnTo>
                                    <a:close/>
                                    <a:moveTo>
                                      <a:pt x="188" y="140"/>
                                    </a:moveTo>
                                    <a:lnTo>
                                      <a:pt x="78" y="140"/>
                                    </a:lnTo>
                                    <a:lnTo>
                                      <a:pt x="78" y="140"/>
                                    </a:lnTo>
                                    <a:lnTo>
                                      <a:pt x="74" y="142"/>
                                    </a:lnTo>
                                    <a:lnTo>
                                      <a:pt x="70" y="144"/>
                                    </a:lnTo>
                                    <a:lnTo>
                                      <a:pt x="68" y="146"/>
                                    </a:lnTo>
                                    <a:lnTo>
                                      <a:pt x="68" y="150"/>
                                    </a:lnTo>
                                    <a:lnTo>
                                      <a:pt x="68" y="174"/>
                                    </a:lnTo>
                                    <a:lnTo>
                                      <a:pt x="68" y="174"/>
                                    </a:lnTo>
                                    <a:lnTo>
                                      <a:pt x="68" y="178"/>
                                    </a:lnTo>
                                    <a:lnTo>
                                      <a:pt x="70" y="182"/>
                                    </a:lnTo>
                                    <a:lnTo>
                                      <a:pt x="74" y="184"/>
                                    </a:lnTo>
                                    <a:lnTo>
                                      <a:pt x="78" y="184"/>
                                    </a:lnTo>
                                    <a:lnTo>
                                      <a:pt x="212" y="184"/>
                                    </a:lnTo>
                                    <a:lnTo>
                                      <a:pt x="188" y="140"/>
                                    </a:lnTo>
                                    <a:close/>
                                    <a:moveTo>
                                      <a:pt x="34" y="70"/>
                                    </a:moveTo>
                                    <a:lnTo>
                                      <a:pt x="10" y="70"/>
                                    </a:lnTo>
                                    <a:lnTo>
                                      <a:pt x="10" y="70"/>
                                    </a:lnTo>
                                    <a:lnTo>
                                      <a:pt x="6" y="70"/>
                                    </a:lnTo>
                                    <a:lnTo>
                                      <a:pt x="2" y="72"/>
                                    </a:lnTo>
                                    <a:lnTo>
                                      <a:pt x="0" y="76"/>
                                    </a:lnTo>
                                    <a:lnTo>
                                      <a:pt x="0" y="80"/>
                                    </a:lnTo>
                                    <a:lnTo>
                                      <a:pt x="0" y="104"/>
                                    </a:lnTo>
                                    <a:lnTo>
                                      <a:pt x="0" y="104"/>
                                    </a:lnTo>
                                    <a:lnTo>
                                      <a:pt x="0" y="108"/>
                                    </a:lnTo>
                                    <a:lnTo>
                                      <a:pt x="2" y="110"/>
                                    </a:lnTo>
                                    <a:lnTo>
                                      <a:pt x="6" y="112"/>
                                    </a:lnTo>
                                    <a:lnTo>
                                      <a:pt x="10" y="114"/>
                                    </a:lnTo>
                                    <a:lnTo>
                                      <a:pt x="34" y="114"/>
                                    </a:lnTo>
                                    <a:lnTo>
                                      <a:pt x="34" y="114"/>
                                    </a:lnTo>
                                    <a:lnTo>
                                      <a:pt x="38" y="112"/>
                                    </a:lnTo>
                                    <a:lnTo>
                                      <a:pt x="40" y="110"/>
                                    </a:lnTo>
                                    <a:lnTo>
                                      <a:pt x="42" y="108"/>
                                    </a:lnTo>
                                    <a:lnTo>
                                      <a:pt x="44" y="104"/>
                                    </a:lnTo>
                                    <a:lnTo>
                                      <a:pt x="44" y="80"/>
                                    </a:lnTo>
                                    <a:lnTo>
                                      <a:pt x="44" y="80"/>
                                    </a:lnTo>
                                    <a:lnTo>
                                      <a:pt x="42" y="76"/>
                                    </a:lnTo>
                                    <a:lnTo>
                                      <a:pt x="40" y="72"/>
                                    </a:lnTo>
                                    <a:lnTo>
                                      <a:pt x="38" y="70"/>
                                    </a:lnTo>
                                    <a:lnTo>
                                      <a:pt x="34" y="70"/>
                                    </a:lnTo>
                                    <a:lnTo>
                                      <a:pt x="34" y="70"/>
                                    </a:lnTo>
                                    <a:close/>
                                    <a:moveTo>
                                      <a:pt x="350" y="0"/>
                                    </a:moveTo>
                                    <a:lnTo>
                                      <a:pt x="312" y="0"/>
                                    </a:lnTo>
                                    <a:lnTo>
                                      <a:pt x="248" y="116"/>
                                    </a:lnTo>
                                    <a:lnTo>
                                      <a:pt x="220" y="66"/>
                                    </a:lnTo>
                                    <a:lnTo>
                                      <a:pt x="184" y="66"/>
                                    </a:lnTo>
                                    <a:lnTo>
                                      <a:pt x="248" y="184"/>
                                    </a:lnTo>
                                    <a:lnTo>
                                      <a:pt x="350" y="0"/>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C0CFF" id="Freeform 4960" o:spid="_x0000_s1026" style="position:absolute;margin-left:-.25pt;margin-top:.05pt;width:33.2pt;height:1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DA3ggAAMcwAAAOAAAAZHJzL2Uyb0RvYy54bWysW1tv28YSfj9A/wOhxwKNxItIWYjSh/Sk&#10;KJCTBoiLPtMUFQmVSB6Stpz++s7szshDW7O7KZwHU5dPs/t9c9lZcvP258fTMXqo++HQNptZ/GYx&#10;i+qmareH5utm9sfth59Ws2gYy2ZbHtum3sy+1cPs53c//OftuVvXSbtvj9u6j8BIM6zP3Wa2H8du&#10;PZ8P1b4+lcObtqsb+HLX9qdyhLf91/m2L89g/XScJ4tFPj+3/bbr26oeBvj0F/vl7J2xv9vV1fj7&#10;bjfUY3TczGBuo/nbm793+Hf+7m25/tqX3f5Q0TTKfzGLU3loYNCLqV/KsYzu+8MLU6dD1bdDuxvf&#10;VO1p3u52h6o2HIBNvHjG5su+7GrDBcQZuotMw+uZrT49fO6jw3YzS5bgqqY8gZM+9HWNkkfZTW4k&#10;OnfDGpBfus89khy6j2311xA17X+3h/Fze2hGmFKMYs4nUHwzwI+iu/P/2i1YLu/H1uj0uOtPaAoU&#10;iB6NO75d3FE/jlEFH2ZJnGfgtAq+SuB1vDQjlGv+cXU/jL/WrTFUPnwcRuvNLbwyvtgSn1swsjsd&#10;wbE/zqMkS6JzlC7Z9xdQLEBpEu2jeJVRfFwwicAkaX7dUCpAMNhVQ5nAFKvrdpYCo9nJBSZX7BQC&#10;A3O+Oh/w/UUhzc6NwMSL63ZiKXWRXScWS6k1Q1OpNZ9JrTVLUmvd+1JtRaRYqp1q5KTc2pQmcisi&#10;SbkVO4lUe3HdTiLF1tyWSLU1Q1JrLY4SKTaMdjXTEqm1FtnJRGwltBMptmpJqp0pbkuk3Fr6p1Jv&#10;GO4qu1QKrkRSKvXWIimVgisRkE701hIulYLHcXY9d1OpuFaUUql4oc1KKg6g6zpJxQutTkrFtcKU&#10;ScXjhUIvk5prk8qk5rGWLplUXVMqCxI9k6JrCZNJ0eNMUT2TqiuiZ1L0OFPCExbHp+VAsbSciA6R&#10;d3VdWUrRlfVyOdF8pVmSmmsps5xorpqSmmtpvJxoDk6+zk9qrtWW5UT0peI+aLWeRE+VgpdPVNcq&#10;Xi5Vj1earYnuWlTlUnetwOQT3dVpSd21ZM4nuqtiSd1VUxPdNRcWUnctmYuJ7lpgFVJ3LUYLKbtW&#10;QQupupI3hRRdNSQ1V1K5kJKvlPAspOKaoYngCyVnVlJwreStJoJrS9ZqIrgS5yspeBwrKw00+0/p&#10;p2XySkqurjQrqblWX1ZS9EIpxCspuhZQK6m6Fgc3UvQURLi6Jt9I1ZVAuJGawx5JsSRFzwW9OWyS&#10;eYdW7nnTVj02tGuDV1GJdw8WZqPYtQNuEHELB9vAW7vJLNeAwi2eAoYZIjil/aIbDH5HMG8u3WDw&#10;LIKLIMvgPATfBIFx54Ro2BzhPtpHMSaOcRjJmFhe9tBumrjTMZMJIxoT0ziMKm5b0DpsTUKo4ubE&#10;wMOo4hbEwMM8ivsMAw+jmhBV2C+EzB13DGgdNgVBcI7cMKrY/RvrYVSxwTfwMKopUU3DqOKtGrQO&#10;3XgIVWzHDTyMKrbcBh5GFdtqAw+jiq2zgYdRxf4Y4dADh1DFJtjAw6guiSo0s0HWiSo0rEFwogpN&#10;aQgcu1KcOzSeQXCimodRxebSWA+jmhNV6BGDJkNU8zCq2AjiZKDXC7GOzZ6Bh1HFjs7Aw6gWRBV6&#10;s6DJENUijCq2YDgZ6LJCrGObZeBhVLGVMvAwqtguGXgYVeyJDDyMKjY+CIfWJoQqdjcGPqFql2Pq&#10;UHp4qvD8eUI/i+B5wh0OUa67csTGhl9G580M7zdHe7hJDtrg56f2ob5tDWLE/gbuS5pxoQuws3wC&#10;HJtrQLiDZIH8NV+7ib1QWO6xZkWEEu8clBYY4OKGWa4eGG44wBOvg7IR6bMVxDK38wKuLpKMcktB&#10;qIvX2Yl8tc78LpR7WlTj3LOiUuV2NrnHDUrwRic48XVQtk54bFEb4mbI6eYWi1Ee96iw6tgONQTJ&#10;y3Snxo2paMlOewKGcVTw1UZHEChIOuMqt3A2Q9yyWYxHNAvylKfvAbnnRBXHraQVyVMkSG4Pihz8&#10;OqigQkhx7ynRMCHMR0/xombb4x1CeRwdiLLzcjsxKLVp1+L29LP844Tiq00sBaRnNZVEeMBCS4Oa&#10;11Rhn5A8Ml8ptZc2JKFdc601Me1HoLi7YDS910HZBdVnyyYwdMquedHyBh1vAMojxWWpZBewoHx9&#10;tqIGwlbOqdGiCo+L3DCrGdyBdMNsuvti40WwMUM9Pimg4QESTUCNTyrhFyDb5utk5Xmyx1/zlcQ2&#10;JSf21EJbAGIoF64o4Im5Y4VQkBYBtiAXXw/lDhTiCNsp14g25+n0Cew8WE2+TsW3h1RUGPv8lWAU&#10;mx5rVKhjD1FajGIIZZcevIJ4HMUwj9dDYRyP7khjpp6wpUXJlwPsLE/eqTA99eEhIGUh54SW+1xX&#10;PHMIhVHN8yQ/V1CPjFzd4e6eK2AY5okEhnni6nth7mBmpp7U4AbBk2jsBQ8soacF3pryIkq45uiR&#10;RcF46QS0uKK++YJjy3ydVDUPylZID8gmsKf3oAbFHU8W5Ok8aM1ZBK0mgSh3KFGF8nQdtJp4mg7y&#10;jq/p4Mpz6XDZe3y1XgyFcafjXg+5xnqI8mqycKvG9d/jAoJ5nB6IolB0RxnR9AQsrSSe2H+elOwe&#10;vk7c9MKWI9lpp+FbROABs1luGMfj8tWOn9BjlxgeN7rqeUIPDOH2vwuG1Q03tx7YZVRP0TS3bK/c&#10;u2J1oOXCG73mWe3lji/eKBankof2eNh+OByPeBPIHGqv3x/76KGE4+hlVdXNmJvbwcf7ExyQtp/n&#10;C/iHRKHzuz/B8XX7ccYfwxAXS2bwySBH81y8aXFQFgtNwaFq+6zdnNDGQ9l4Rn5Y37Xbb3BAG47w&#10;w9n4fdv/PYvOcBx+Mxv+f1/29Sw6/tbA4e4baMyhwo3mTbYs0CO9/OZOftPcn963QBFOE5RNBVY3&#10;s5Ffvh/t8Xs4/w6qfWy+dBUCcY5dP4y3j3+WfRfhS/gRzPpTy8fgyzUf8kbpL1g6dG6J0Bs4LW+k&#10;oZP9eBxfvjeop/9/8O4fAAAA//8DAFBLAwQUAAYACAAAACEA3UyoU9oAAAAEAQAADwAAAGRycy9k&#10;b3ducmV2LnhtbEyOS0sDMRSF90L/Q7iCuzZRmWrHyZSi1JUgVkHc3U6u8+jkZkjSdvz3TVd1eR6c&#10;8xXL0fbiQD60jjXczhQI4sqZlmsNX5/r6SOIEJEN9o5Jwx8FWJaTqwJz4478QYdNrEUa4ZCjhibG&#10;IZcyVA1ZDDM3EKfs13mLMUlfS+PxmMZtL++UmkuLLaeHBgd6bqjabfZWg8fvl4Wi8Ppg1+9d9dat&#10;frqs1vrmelw9gYg0xksZzvgJHcrEtHV7NkH0GqZZKp5tkcJ5tgCx1XCfKZBlIf/DlycAAAD//wMA&#10;UEsBAi0AFAAGAAgAAAAhALaDOJL+AAAA4QEAABMAAAAAAAAAAAAAAAAAAAAAAFtDb250ZW50X1R5&#10;cGVzXS54bWxQSwECLQAUAAYACAAAACEAOP0h/9YAAACUAQAACwAAAAAAAAAAAAAAAAAvAQAAX3Jl&#10;bHMvLnJlbHNQSwECLQAUAAYACAAAACEATp1AwN4IAADHMAAADgAAAAAAAAAAAAAAAAAuAgAAZHJz&#10;L2Uyb0RvYy54bWxQSwECLQAUAAYACAAAACEA3UyoU9oAAAAEAQAADwAAAAAAAAAAAAAAAAA4CwAA&#10;ZHJzL2Rvd25yZXYueG1sUEsFBgAAAAAEAAQA8wAAAD8MAAAAAA==&#10;" path="m242,10r,22l242,32r,4l240,40r-4,2l232,42,78,42r,l74,42,70,40,68,36r,-4l68,10r,l68,6,70,2,74,r4,l232,r,l236,r4,2l242,6r,4l242,10xm34,l10,r,l6,,2,2,,6r,4l,32r,l,36r2,4l6,42r4,l34,42r,l38,42r2,-2l42,36r2,-4l44,10r,l42,6,40,2,38,,34,r,xm78,114r96,l156,80,150,70r-72,l78,70r-4,l70,72r-2,4l68,80r,24l68,104r,4l70,110r4,2l78,114r,xm34,140r-24,l10,140r-4,2l2,144,,146r,4l,174r,l,178r2,4l6,184r4,l34,184r,l38,184r2,-2l42,178r2,-4l44,150r,l42,146r-2,-2l38,142r-4,-2l34,140xm188,140r-110,l78,140r-4,2l70,144r-2,2l68,150r,24l68,174r,4l70,182r4,2l78,184r134,l188,140xm34,70r-24,l10,70r-4,l2,72,,76r,4l,104r,l,108r2,2l6,112r4,2l34,114r,l38,112r2,-2l42,108r2,-4l44,80r,l42,76,40,72,38,70r-4,l34,70xm350,l312,,248,116,220,66r-36,l248,184,350,xe" fillcolor="#fabf8f [1945]" stroked="f">
                      <v:path arrowok="t" o:connecttype="custom" o:connectlocs="291534,38542;284306,50586;93965,50586;81919,43359;81919,12044;89147,0;279487,0;291534,7227;40959,0;7228,0;0,12044;0,43359;12047,50586;45778,50586;53006,38542;50597,7227;40959,0;209615,137305;93965,84310;84328,86719;81919,125261;84328,132487;93965,137305;12047,168620;0,175847;0,209571;7228,221615;40959,221615;50597,214388;53006,180664;45778,171029;226481,168620;89147,171029;81919,180664;81919,214388;93965,221615;40959,84310;7228,84310;0,96354;0,130078;12047,137305;45778,134896;53006,125261;50597,91537;40959,84310;375862,0;221662,79492" o:connectangles="0,0,0,0,0,0,0,0,0,0,0,0,0,0,0,0,0,0,0,0,0,0,0,0,0,0,0,0,0,0,0,0,0,0,0,0,0,0,0,0,0,0,0,0,0,0,0"/>
                      <o:lock v:ext="edit" verticies="t"/>
                    </v:shape>
                  </w:pict>
                </mc:Fallback>
              </mc:AlternateContent>
            </w:r>
          </w:p>
        </w:tc>
        <w:tc>
          <w:tcPr>
            <w:tcW w:w="1559" w:type="dxa"/>
            <w:tcBorders>
              <w:top w:val="single" w:sz="4" w:space="0" w:color="F79646" w:themeColor="accent6"/>
              <w:bottom w:val="single" w:sz="4" w:space="0" w:color="A6A6A6" w:themeColor="background1" w:themeShade="A6"/>
            </w:tcBorders>
          </w:tcPr>
          <w:p w14:paraId="4BC73832" w14:textId="77777777" w:rsidR="00391C97" w:rsidRPr="007E5633" w:rsidRDefault="00391C97" w:rsidP="00391C97">
            <w:pPr>
              <w:pStyle w:val="af4"/>
              <w:rPr>
                <w:b/>
                <w:szCs w:val="20"/>
                <w:lang w:val="uk-UA"/>
              </w:rPr>
            </w:pPr>
            <w:r w:rsidRPr="007E5633">
              <w:rPr>
                <w:b/>
                <w:szCs w:val="20"/>
                <w:lang w:val="uk-UA"/>
              </w:rPr>
              <w:t>Загальні дані</w:t>
            </w:r>
          </w:p>
          <w:p w14:paraId="34C3BA58" w14:textId="77777777" w:rsidR="00391C97" w:rsidRPr="007E5633" w:rsidRDefault="00391C97" w:rsidP="00391C97">
            <w:pPr>
              <w:rPr>
                <w:rFonts w:ascii="Arial" w:hAnsi="Arial" w:cs="Arial"/>
                <w:sz w:val="20"/>
                <w:szCs w:val="20"/>
                <w:lang w:val="uk-UA"/>
              </w:rPr>
            </w:pPr>
          </w:p>
          <w:p w14:paraId="53D09630" w14:textId="77777777" w:rsidR="00391C97" w:rsidRPr="007E5633" w:rsidRDefault="00391C97" w:rsidP="000A7BA9">
            <w:pPr>
              <w:pStyle w:val="af4"/>
              <w:rPr>
                <w:b/>
                <w:szCs w:val="20"/>
                <w:lang w:val="uk-UA"/>
              </w:rPr>
            </w:pPr>
          </w:p>
        </w:tc>
        <w:tc>
          <w:tcPr>
            <w:tcW w:w="4253" w:type="dxa"/>
            <w:tcBorders>
              <w:top w:val="single" w:sz="4" w:space="0" w:color="F79646" w:themeColor="accent6"/>
              <w:bottom w:val="single" w:sz="4" w:space="0" w:color="A6A6A6" w:themeColor="background1" w:themeShade="A6"/>
            </w:tcBorders>
          </w:tcPr>
          <w:p w14:paraId="041E8F93" w14:textId="77777777" w:rsidR="00391C97" w:rsidRPr="007E5633" w:rsidRDefault="00391C97" w:rsidP="000A7BA9">
            <w:pPr>
              <w:pStyle w:val="af4"/>
              <w:rPr>
                <w:szCs w:val="20"/>
                <w:lang w:val="uk-UA"/>
              </w:rPr>
            </w:pPr>
            <w:r w:rsidRPr="007E5633">
              <w:rPr>
                <w:szCs w:val="20"/>
                <w:lang w:val="uk-UA"/>
              </w:rPr>
              <w:t>Назва, юридична структура, національний ідентифікаційний номер, адреса головного офісу, перелік інвестиційних послуг та видів діяльності, що будуть надаватися, копії корпоративних документів разом із доказами реєстрації в національному реєстрі компаній</w:t>
            </w:r>
          </w:p>
        </w:tc>
        <w:tc>
          <w:tcPr>
            <w:tcW w:w="3969" w:type="dxa"/>
            <w:tcBorders>
              <w:top w:val="single" w:sz="4" w:space="0" w:color="F79646" w:themeColor="accent6"/>
              <w:bottom w:val="single" w:sz="4" w:space="0" w:color="A6A6A6" w:themeColor="background1" w:themeShade="A6"/>
            </w:tcBorders>
          </w:tcPr>
          <w:p w14:paraId="2376AF9A" w14:textId="77777777" w:rsidR="00391C97" w:rsidRPr="007E5633" w:rsidRDefault="00391C97" w:rsidP="000A7BA9">
            <w:pPr>
              <w:pStyle w:val="af4"/>
              <w:rPr>
                <w:szCs w:val="20"/>
                <w:lang w:val="uk-UA"/>
              </w:rPr>
            </w:pPr>
            <w:r w:rsidRPr="007E5633">
              <w:rPr>
                <w:szCs w:val="20"/>
                <w:lang w:val="uk-UA"/>
              </w:rPr>
              <w:t>name, legal structure, national identification number, head office address, list of investment services and activities to be provided, copies of corporate documents together with evidence of registration with the national register of companies</w:t>
            </w:r>
          </w:p>
        </w:tc>
      </w:tr>
      <w:tr w:rsidR="00391C97" w:rsidRPr="007E5633" w14:paraId="407316C5" w14:textId="77777777" w:rsidTr="00B83D6C">
        <w:tc>
          <w:tcPr>
            <w:tcW w:w="959" w:type="dxa"/>
            <w:tcBorders>
              <w:top w:val="single" w:sz="4" w:space="0" w:color="A6A6A6" w:themeColor="background1" w:themeShade="A6"/>
              <w:bottom w:val="single" w:sz="4" w:space="0" w:color="A6A6A6" w:themeColor="background1" w:themeShade="A6"/>
            </w:tcBorders>
          </w:tcPr>
          <w:p w14:paraId="5494B305" w14:textId="77777777" w:rsidR="00391C97" w:rsidRPr="007E5633" w:rsidRDefault="008C252E" w:rsidP="000A7BA9">
            <w:pPr>
              <w:pStyle w:val="af4"/>
              <w:rPr>
                <w:szCs w:val="20"/>
                <w:lang w:val="uk-UA"/>
              </w:rPr>
            </w:pPr>
            <w:r>
              <w:rPr>
                <w:noProof/>
                <w:szCs w:val="20"/>
                <w:lang w:val="en-US"/>
              </w:rPr>
              <mc:AlternateContent>
                <mc:Choice Requires="wpg">
                  <w:drawing>
                    <wp:anchor distT="0" distB="0" distL="114300" distR="114300" simplePos="0" relativeHeight="251724800" behindDoc="0" locked="0" layoutInCell="1" allowOverlap="1" wp14:anchorId="3AB786CE" wp14:editId="2DBB4F26">
                      <wp:simplePos x="0" y="0"/>
                      <wp:positionH relativeFrom="column">
                        <wp:posOffset>-3175</wp:posOffset>
                      </wp:positionH>
                      <wp:positionV relativeFrom="paragraph">
                        <wp:posOffset>1270</wp:posOffset>
                      </wp:positionV>
                      <wp:extent cx="443865" cy="363855"/>
                      <wp:effectExtent l="57150" t="0" r="13335"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363855"/>
                                <a:chOff x="0" y="0"/>
                                <a:chExt cx="774700" cy="635000"/>
                              </a:xfrm>
                              <a:solidFill>
                                <a:schemeClr val="accent6">
                                  <a:lumMod val="60000"/>
                                  <a:lumOff val="40000"/>
                                </a:schemeClr>
                              </a:solidFill>
                            </wpg:grpSpPr>
                            <wps:wsp>
                              <wps:cNvPr id="27" name="Freeform 27"/>
                              <wps:cNvSpPr>
                                <a:spLocks noEditPoints="1"/>
                              </wps:cNvSpPr>
                              <wps:spPr bwMode="auto">
                                <a:xfrm>
                                  <a:off x="231775" y="47625"/>
                                  <a:ext cx="295275" cy="587375"/>
                                </a:xfrm>
                                <a:custGeom>
                                  <a:avLst/>
                                  <a:gdLst>
                                    <a:gd name="T0" fmla="*/ 106 w 186"/>
                                    <a:gd name="T1" fmla="*/ 364 h 370"/>
                                    <a:gd name="T2" fmla="*/ 98 w 186"/>
                                    <a:gd name="T3" fmla="*/ 370 h 370"/>
                                    <a:gd name="T4" fmla="*/ 82 w 186"/>
                                    <a:gd name="T5" fmla="*/ 370 h 370"/>
                                    <a:gd name="T6" fmla="*/ 78 w 186"/>
                                    <a:gd name="T7" fmla="*/ 362 h 370"/>
                                    <a:gd name="T8" fmla="*/ 56 w 186"/>
                                    <a:gd name="T9" fmla="*/ 340 h 370"/>
                                    <a:gd name="T10" fmla="*/ 8 w 186"/>
                                    <a:gd name="T11" fmla="*/ 326 h 370"/>
                                    <a:gd name="T12" fmla="*/ 0 w 186"/>
                                    <a:gd name="T13" fmla="*/ 318 h 370"/>
                                    <a:gd name="T14" fmla="*/ 14 w 186"/>
                                    <a:gd name="T15" fmla="*/ 276 h 370"/>
                                    <a:gd name="T16" fmla="*/ 18 w 186"/>
                                    <a:gd name="T17" fmla="*/ 272 h 370"/>
                                    <a:gd name="T18" fmla="*/ 24 w 186"/>
                                    <a:gd name="T19" fmla="*/ 274 h 370"/>
                                    <a:gd name="T20" fmla="*/ 78 w 186"/>
                                    <a:gd name="T21" fmla="*/ 292 h 370"/>
                                    <a:gd name="T22" fmla="*/ 70 w 186"/>
                                    <a:gd name="T23" fmla="*/ 202 h 370"/>
                                    <a:gd name="T24" fmla="*/ 24 w 186"/>
                                    <a:gd name="T25" fmla="*/ 174 h 370"/>
                                    <a:gd name="T26" fmla="*/ 2 w 186"/>
                                    <a:gd name="T27" fmla="*/ 136 h 370"/>
                                    <a:gd name="T28" fmla="*/ 2 w 186"/>
                                    <a:gd name="T29" fmla="*/ 100 h 370"/>
                                    <a:gd name="T30" fmla="*/ 18 w 186"/>
                                    <a:gd name="T31" fmla="*/ 64 h 370"/>
                                    <a:gd name="T32" fmla="*/ 44 w 186"/>
                                    <a:gd name="T33" fmla="*/ 42 h 370"/>
                                    <a:gd name="T34" fmla="*/ 78 w 186"/>
                                    <a:gd name="T35" fmla="*/ 10 h 370"/>
                                    <a:gd name="T36" fmla="*/ 80 w 186"/>
                                    <a:gd name="T37" fmla="*/ 4 h 370"/>
                                    <a:gd name="T38" fmla="*/ 98 w 186"/>
                                    <a:gd name="T39" fmla="*/ 0 h 370"/>
                                    <a:gd name="T40" fmla="*/ 106 w 186"/>
                                    <a:gd name="T41" fmla="*/ 4 h 370"/>
                                    <a:gd name="T42" fmla="*/ 106 w 186"/>
                                    <a:gd name="T43" fmla="*/ 32 h 370"/>
                                    <a:gd name="T44" fmla="*/ 150 w 186"/>
                                    <a:gd name="T45" fmla="*/ 40 h 370"/>
                                    <a:gd name="T46" fmla="*/ 170 w 186"/>
                                    <a:gd name="T47" fmla="*/ 50 h 370"/>
                                    <a:gd name="T48" fmla="*/ 178 w 186"/>
                                    <a:gd name="T49" fmla="*/ 60 h 370"/>
                                    <a:gd name="T50" fmla="*/ 162 w 186"/>
                                    <a:gd name="T51" fmla="*/ 94 h 370"/>
                                    <a:gd name="T52" fmla="*/ 158 w 186"/>
                                    <a:gd name="T53" fmla="*/ 96 h 370"/>
                                    <a:gd name="T54" fmla="*/ 148 w 186"/>
                                    <a:gd name="T55" fmla="*/ 92 h 370"/>
                                    <a:gd name="T56" fmla="*/ 106 w 186"/>
                                    <a:gd name="T57" fmla="*/ 78 h 370"/>
                                    <a:gd name="T58" fmla="*/ 114 w 186"/>
                                    <a:gd name="T59" fmla="*/ 166 h 370"/>
                                    <a:gd name="T60" fmla="*/ 164 w 186"/>
                                    <a:gd name="T61" fmla="*/ 198 h 370"/>
                                    <a:gd name="T62" fmla="*/ 184 w 186"/>
                                    <a:gd name="T63" fmla="*/ 236 h 370"/>
                                    <a:gd name="T64" fmla="*/ 184 w 186"/>
                                    <a:gd name="T65" fmla="*/ 270 h 370"/>
                                    <a:gd name="T66" fmla="*/ 164 w 186"/>
                                    <a:gd name="T67" fmla="*/ 312 h 370"/>
                                    <a:gd name="T68" fmla="*/ 124 w 186"/>
                                    <a:gd name="T69" fmla="*/ 338 h 370"/>
                                    <a:gd name="T70" fmla="*/ 82 w 186"/>
                                    <a:gd name="T71" fmla="*/ 78 h 370"/>
                                    <a:gd name="T72" fmla="*/ 68 w 186"/>
                                    <a:gd name="T73" fmla="*/ 84 h 370"/>
                                    <a:gd name="T74" fmla="*/ 58 w 186"/>
                                    <a:gd name="T75" fmla="*/ 94 h 370"/>
                                    <a:gd name="T76" fmla="*/ 52 w 186"/>
                                    <a:gd name="T77" fmla="*/ 114 h 370"/>
                                    <a:gd name="T78" fmla="*/ 60 w 186"/>
                                    <a:gd name="T79" fmla="*/ 138 h 370"/>
                                    <a:gd name="T80" fmla="*/ 82 w 186"/>
                                    <a:gd name="T81" fmla="*/ 78 h 370"/>
                                    <a:gd name="T82" fmla="*/ 112 w 186"/>
                                    <a:gd name="T83" fmla="*/ 290 h 370"/>
                                    <a:gd name="T84" fmla="*/ 130 w 186"/>
                                    <a:gd name="T85" fmla="*/ 274 h 370"/>
                                    <a:gd name="T86" fmla="*/ 134 w 186"/>
                                    <a:gd name="T87" fmla="*/ 258 h 370"/>
                                    <a:gd name="T88" fmla="*/ 126 w 186"/>
                                    <a:gd name="T89" fmla="*/ 234 h 370"/>
                                    <a:gd name="T90" fmla="*/ 104 w 186"/>
                                    <a:gd name="T91" fmla="*/ 216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6" h="370">
                                      <a:moveTo>
                                        <a:pt x="106" y="362"/>
                                      </a:moveTo>
                                      <a:lnTo>
                                        <a:pt x="106" y="362"/>
                                      </a:lnTo>
                                      <a:lnTo>
                                        <a:pt x="106" y="364"/>
                                      </a:lnTo>
                                      <a:lnTo>
                                        <a:pt x="106" y="368"/>
                                      </a:lnTo>
                                      <a:lnTo>
                                        <a:pt x="104" y="370"/>
                                      </a:lnTo>
                                      <a:lnTo>
                                        <a:pt x="98" y="370"/>
                                      </a:lnTo>
                                      <a:lnTo>
                                        <a:pt x="88" y="370"/>
                                      </a:lnTo>
                                      <a:lnTo>
                                        <a:pt x="88" y="370"/>
                                      </a:lnTo>
                                      <a:lnTo>
                                        <a:pt x="82" y="370"/>
                                      </a:lnTo>
                                      <a:lnTo>
                                        <a:pt x="80" y="368"/>
                                      </a:lnTo>
                                      <a:lnTo>
                                        <a:pt x="78" y="364"/>
                                      </a:lnTo>
                                      <a:lnTo>
                                        <a:pt x="78" y="362"/>
                                      </a:lnTo>
                                      <a:lnTo>
                                        <a:pt x="78" y="342"/>
                                      </a:lnTo>
                                      <a:lnTo>
                                        <a:pt x="78" y="342"/>
                                      </a:lnTo>
                                      <a:lnTo>
                                        <a:pt x="56" y="340"/>
                                      </a:lnTo>
                                      <a:lnTo>
                                        <a:pt x="36" y="336"/>
                                      </a:lnTo>
                                      <a:lnTo>
                                        <a:pt x="18" y="330"/>
                                      </a:lnTo>
                                      <a:lnTo>
                                        <a:pt x="8" y="326"/>
                                      </a:lnTo>
                                      <a:lnTo>
                                        <a:pt x="8" y="326"/>
                                      </a:lnTo>
                                      <a:lnTo>
                                        <a:pt x="4" y="322"/>
                                      </a:lnTo>
                                      <a:lnTo>
                                        <a:pt x="0" y="318"/>
                                      </a:lnTo>
                                      <a:lnTo>
                                        <a:pt x="0" y="318"/>
                                      </a:lnTo>
                                      <a:lnTo>
                                        <a:pt x="2" y="314"/>
                                      </a:lnTo>
                                      <a:lnTo>
                                        <a:pt x="14" y="276"/>
                                      </a:lnTo>
                                      <a:lnTo>
                                        <a:pt x="14" y="276"/>
                                      </a:lnTo>
                                      <a:lnTo>
                                        <a:pt x="16" y="274"/>
                                      </a:lnTo>
                                      <a:lnTo>
                                        <a:pt x="18" y="272"/>
                                      </a:lnTo>
                                      <a:lnTo>
                                        <a:pt x="18" y="272"/>
                                      </a:lnTo>
                                      <a:lnTo>
                                        <a:pt x="24" y="274"/>
                                      </a:lnTo>
                                      <a:lnTo>
                                        <a:pt x="24" y="274"/>
                                      </a:lnTo>
                                      <a:lnTo>
                                        <a:pt x="44" y="284"/>
                                      </a:lnTo>
                                      <a:lnTo>
                                        <a:pt x="60" y="290"/>
                                      </a:lnTo>
                                      <a:lnTo>
                                        <a:pt x="78" y="292"/>
                                      </a:lnTo>
                                      <a:lnTo>
                                        <a:pt x="78" y="204"/>
                                      </a:lnTo>
                                      <a:lnTo>
                                        <a:pt x="70" y="202"/>
                                      </a:lnTo>
                                      <a:lnTo>
                                        <a:pt x="70" y="202"/>
                                      </a:lnTo>
                                      <a:lnTo>
                                        <a:pt x="48" y="190"/>
                                      </a:lnTo>
                                      <a:lnTo>
                                        <a:pt x="36" y="184"/>
                                      </a:lnTo>
                                      <a:lnTo>
                                        <a:pt x="24" y="174"/>
                                      </a:lnTo>
                                      <a:lnTo>
                                        <a:pt x="14" y="164"/>
                                      </a:lnTo>
                                      <a:lnTo>
                                        <a:pt x="6" y="152"/>
                                      </a:lnTo>
                                      <a:lnTo>
                                        <a:pt x="2" y="136"/>
                                      </a:lnTo>
                                      <a:lnTo>
                                        <a:pt x="0" y="118"/>
                                      </a:lnTo>
                                      <a:lnTo>
                                        <a:pt x="0" y="118"/>
                                      </a:lnTo>
                                      <a:lnTo>
                                        <a:pt x="2" y="100"/>
                                      </a:lnTo>
                                      <a:lnTo>
                                        <a:pt x="6" y="86"/>
                                      </a:lnTo>
                                      <a:lnTo>
                                        <a:pt x="10" y="74"/>
                                      </a:lnTo>
                                      <a:lnTo>
                                        <a:pt x="18" y="64"/>
                                      </a:lnTo>
                                      <a:lnTo>
                                        <a:pt x="18" y="64"/>
                                      </a:lnTo>
                                      <a:lnTo>
                                        <a:pt x="30" y="52"/>
                                      </a:lnTo>
                                      <a:lnTo>
                                        <a:pt x="44" y="42"/>
                                      </a:lnTo>
                                      <a:lnTo>
                                        <a:pt x="60" y="36"/>
                                      </a:lnTo>
                                      <a:lnTo>
                                        <a:pt x="78" y="32"/>
                                      </a:lnTo>
                                      <a:lnTo>
                                        <a:pt x="78" y="10"/>
                                      </a:lnTo>
                                      <a:lnTo>
                                        <a:pt x="78" y="10"/>
                                      </a:lnTo>
                                      <a:lnTo>
                                        <a:pt x="78" y="6"/>
                                      </a:lnTo>
                                      <a:lnTo>
                                        <a:pt x="80" y="4"/>
                                      </a:lnTo>
                                      <a:lnTo>
                                        <a:pt x="82" y="2"/>
                                      </a:lnTo>
                                      <a:lnTo>
                                        <a:pt x="88" y="0"/>
                                      </a:lnTo>
                                      <a:lnTo>
                                        <a:pt x="98" y="0"/>
                                      </a:lnTo>
                                      <a:lnTo>
                                        <a:pt x="98" y="0"/>
                                      </a:lnTo>
                                      <a:lnTo>
                                        <a:pt x="104" y="2"/>
                                      </a:lnTo>
                                      <a:lnTo>
                                        <a:pt x="106" y="4"/>
                                      </a:lnTo>
                                      <a:lnTo>
                                        <a:pt x="106" y="6"/>
                                      </a:lnTo>
                                      <a:lnTo>
                                        <a:pt x="106" y="10"/>
                                      </a:lnTo>
                                      <a:lnTo>
                                        <a:pt x="106" y="32"/>
                                      </a:lnTo>
                                      <a:lnTo>
                                        <a:pt x="106" y="32"/>
                                      </a:lnTo>
                                      <a:lnTo>
                                        <a:pt x="130" y="34"/>
                                      </a:lnTo>
                                      <a:lnTo>
                                        <a:pt x="150" y="40"/>
                                      </a:lnTo>
                                      <a:lnTo>
                                        <a:pt x="162" y="44"/>
                                      </a:lnTo>
                                      <a:lnTo>
                                        <a:pt x="170" y="50"/>
                                      </a:lnTo>
                                      <a:lnTo>
                                        <a:pt x="170" y="50"/>
                                      </a:lnTo>
                                      <a:lnTo>
                                        <a:pt x="174" y="52"/>
                                      </a:lnTo>
                                      <a:lnTo>
                                        <a:pt x="176" y="56"/>
                                      </a:lnTo>
                                      <a:lnTo>
                                        <a:pt x="178" y="60"/>
                                      </a:lnTo>
                                      <a:lnTo>
                                        <a:pt x="178" y="60"/>
                                      </a:lnTo>
                                      <a:lnTo>
                                        <a:pt x="176" y="62"/>
                                      </a:lnTo>
                                      <a:lnTo>
                                        <a:pt x="162" y="94"/>
                                      </a:lnTo>
                                      <a:lnTo>
                                        <a:pt x="162" y="94"/>
                                      </a:lnTo>
                                      <a:lnTo>
                                        <a:pt x="160" y="96"/>
                                      </a:lnTo>
                                      <a:lnTo>
                                        <a:pt x="158" y="96"/>
                                      </a:lnTo>
                                      <a:lnTo>
                                        <a:pt x="158" y="96"/>
                                      </a:lnTo>
                                      <a:lnTo>
                                        <a:pt x="148" y="92"/>
                                      </a:lnTo>
                                      <a:lnTo>
                                        <a:pt x="148" y="92"/>
                                      </a:lnTo>
                                      <a:lnTo>
                                        <a:pt x="132" y="84"/>
                                      </a:lnTo>
                                      <a:lnTo>
                                        <a:pt x="120" y="82"/>
                                      </a:lnTo>
                                      <a:lnTo>
                                        <a:pt x="106" y="78"/>
                                      </a:lnTo>
                                      <a:lnTo>
                                        <a:pt x="106" y="162"/>
                                      </a:lnTo>
                                      <a:lnTo>
                                        <a:pt x="114" y="166"/>
                                      </a:lnTo>
                                      <a:lnTo>
                                        <a:pt x="114" y="166"/>
                                      </a:lnTo>
                                      <a:lnTo>
                                        <a:pt x="142" y="180"/>
                                      </a:lnTo>
                                      <a:lnTo>
                                        <a:pt x="154" y="188"/>
                                      </a:lnTo>
                                      <a:lnTo>
                                        <a:pt x="164" y="198"/>
                                      </a:lnTo>
                                      <a:lnTo>
                                        <a:pt x="172" y="210"/>
                                      </a:lnTo>
                                      <a:lnTo>
                                        <a:pt x="180" y="222"/>
                                      </a:lnTo>
                                      <a:lnTo>
                                        <a:pt x="184" y="236"/>
                                      </a:lnTo>
                                      <a:lnTo>
                                        <a:pt x="186" y="254"/>
                                      </a:lnTo>
                                      <a:lnTo>
                                        <a:pt x="186" y="254"/>
                                      </a:lnTo>
                                      <a:lnTo>
                                        <a:pt x="184" y="270"/>
                                      </a:lnTo>
                                      <a:lnTo>
                                        <a:pt x="180" y="284"/>
                                      </a:lnTo>
                                      <a:lnTo>
                                        <a:pt x="174" y="298"/>
                                      </a:lnTo>
                                      <a:lnTo>
                                        <a:pt x="164" y="312"/>
                                      </a:lnTo>
                                      <a:lnTo>
                                        <a:pt x="154" y="322"/>
                                      </a:lnTo>
                                      <a:lnTo>
                                        <a:pt x="140" y="330"/>
                                      </a:lnTo>
                                      <a:lnTo>
                                        <a:pt x="124" y="338"/>
                                      </a:lnTo>
                                      <a:lnTo>
                                        <a:pt x="106" y="342"/>
                                      </a:lnTo>
                                      <a:lnTo>
                                        <a:pt x="106" y="362"/>
                                      </a:lnTo>
                                      <a:close/>
                                      <a:moveTo>
                                        <a:pt x="82" y="78"/>
                                      </a:moveTo>
                                      <a:lnTo>
                                        <a:pt x="82" y="78"/>
                                      </a:lnTo>
                                      <a:lnTo>
                                        <a:pt x="74" y="82"/>
                                      </a:lnTo>
                                      <a:lnTo>
                                        <a:pt x="68" y="84"/>
                                      </a:lnTo>
                                      <a:lnTo>
                                        <a:pt x="62" y="88"/>
                                      </a:lnTo>
                                      <a:lnTo>
                                        <a:pt x="62" y="88"/>
                                      </a:lnTo>
                                      <a:lnTo>
                                        <a:pt x="58" y="94"/>
                                      </a:lnTo>
                                      <a:lnTo>
                                        <a:pt x="54" y="100"/>
                                      </a:lnTo>
                                      <a:lnTo>
                                        <a:pt x="52" y="106"/>
                                      </a:lnTo>
                                      <a:lnTo>
                                        <a:pt x="52" y="114"/>
                                      </a:lnTo>
                                      <a:lnTo>
                                        <a:pt x="52" y="114"/>
                                      </a:lnTo>
                                      <a:lnTo>
                                        <a:pt x="54" y="126"/>
                                      </a:lnTo>
                                      <a:lnTo>
                                        <a:pt x="60" y="138"/>
                                      </a:lnTo>
                                      <a:lnTo>
                                        <a:pt x="70" y="146"/>
                                      </a:lnTo>
                                      <a:lnTo>
                                        <a:pt x="82" y="152"/>
                                      </a:lnTo>
                                      <a:lnTo>
                                        <a:pt x="82" y="78"/>
                                      </a:lnTo>
                                      <a:close/>
                                      <a:moveTo>
                                        <a:pt x="104" y="292"/>
                                      </a:moveTo>
                                      <a:lnTo>
                                        <a:pt x="104" y="292"/>
                                      </a:lnTo>
                                      <a:lnTo>
                                        <a:pt x="112" y="290"/>
                                      </a:lnTo>
                                      <a:lnTo>
                                        <a:pt x="122" y="284"/>
                                      </a:lnTo>
                                      <a:lnTo>
                                        <a:pt x="126" y="280"/>
                                      </a:lnTo>
                                      <a:lnTo>
                                        <a:pt x="130" y="274"/>
                                      </a:lnTo>
                                      <a:lnTo>
                                        <a:pt x="132" y="266"/>
                                      </a:lnTo>
                                      <a:lnTo>
                                        <a:pt x="134" y="258"/>
                                      </a:lnTo>
                                      <a:lnTo>
                                        <a:pt x="134" y="258"/>
                                      </a:lnTo>
                                      <a:lnTo>
                                        <a:pt x="132" y="248"/>
                                      </a:lnTo>
                                      <a:lnTo>
                                        <a:pt x="130" y="240"/>
                                      </a:lnTo>
                                      <a:lnTo>
                                        <a:pt x="126" y="234"/>
                                      </a:lnTo>
                                      <a:lnTo>
                                        <a:pt x="122" y="228"/>
                                      </a:lnTo>
                                      <a:lnTo>
                                        <a:pt x="112" y="220"/>
                                      </a:lnTo>
                                      <a:lnTo>
                                        <a:pt x="104" y="216"/>
                                      </a:lnTo>
                                      <a:lnTo>
                                        <a:pt x="104" y="216"/>
                                      </a:lnTo>
                                      <a:lnTo>
                                        <a:pt x="104" y="2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104775" y="9525"/>
                                  <a:ext cx="117475" cy="231775"/>
                                </a:xfrm>
                                <a:custGeom>
                                  <a:avLst/>
                                  <a:gdLst>
                                    <a:gd name="T0" fmla="*/ 42 w 74"/>
                                    <a:gd name="T1" fmla="*/ 142 h 146"/>
                                    <a:gd name="T2" fmla="*/ 38 w 74"/>
                                    <a:gd name="T3" fmla="*/ 146 h 146"/>
                                    <a:gd name="T4" fmla="*/ 34 w 74"/>
                                    <a:gd name="T5" fmla="*/ 146 h 146"/>
                                    <a:gd name="T6" fmla="*/ 32 w 74"/>
                                    <a:gd name="T7" fmla="*/ 142 h 146"/>
                                    <a:gd name="T8" fmla="*/ 32 w 74"/>
                                    <a:gd name="T9" fmla="*/ 134 h 146"/>
                                    <a:gd name="T10" fmla="*/ 14 w 74"/>
                                    <a:gd name="T11" fmla="*/ 132 h 146"/>
                                    <a:gd name="T12" fmla="*/ 2 w 74"/>
                                    <a:gd name="T13" fmla="*/ 128 h 146"/>
                                    <a:gd name="T14" fmla="*/ 0 w 74"/>
                                    <a:gd name="T15" fmla="*/ 126 h 146"/>
                                    <a:gd name="T16" fmla="*/ 6 w 74"/>
                                    <a:gd name="T17" fmla="*/ 108 h 146"/>
                                    <a:gd name="T18" fmla="*/ 8 w 74"/>
                                    <a:gd name="T19" fmla="*/ 108 h 146"/>
                                    <a:gd name="T20" fmla="*/ 10 w 74"/>
                                    <a:gd name="T21" fmla="*/ 108 h 146"/>
                                    <a:gd name="T22" fmla="*/ 18 w 74"/>
                                    <a:gd name="T23" fmla="*/ 112 h 146"/>
                                    <a:gd name="T24" fmla="*/ 32 w 74"/>
                                    <a:gd name="T25" fmla="*/ 80 h 146"/>
                                    <a:gd name="T26" fmla="*/ 28 w 74"/>
                                    <a:gd name="T27" fmla="*/ 80 h 146"/>
                                    <a:gd name="T28" fmla="*/ 10 w 74"/>
                                    <a:gd name="T29" fmla="*/ 68 h 146"/>
                                    <a:gd name="T30" fmla="*/ 2 w 74"/>
                                    <a:gd name="T31" fmla="*/ 60 h 146"/>
                                    <a:gd name="T32" fmla="*/ 0 w 74"/>
                                    <a:gd name="T33" fmla="*/ 46 h 146"/>
                                    <a:gd name="T34" fmla="*/ 2 w 74"/>
                                    <a:gd name="T35" fmla="*/ 34 h 146"/>
                                    <a:gd name="T36" fmla="*/ 6 w 74"/>
                                    <a:gd name="T37" fmla="*/ 24 h 146"/>
                                    <a:gd name="T38" fmla="*/ 18 w 74"/>
                                    <a:gd name="T39" fmla="*/ 16 h 146"/>
                                    <a:gd name="T40" fmla="*/ 32 w 74"/>
                                    <a:gd name="T41" fmla="*/ 4 h 146"/>
                                    <a:gd name="T42" fmla="*/ 32 w 74"/>
                                    <a:gd name="T43" fmla="*/ 2 h 146"/>
                                    <a:gd name="T44" fmla="*/ 38 w 74"/>
                                    <a:gd name="T45" fmla="*/ 0 h 146"/>
                                    <a:gd name="T46" fmla="*/ 42 w 74"/>
                                    <a:gd name="T47" fmla="*/ 2 h 146"/>
                                    <a:gd name="T48" fmla="*/ 42 w 74"/>
                                    <a:gd name="T49" fmla="*/ 12 h 146"/>
                                    <a:gd name="T50" fmla="*/ 52 w 74"/>
                                    <a:gd name="T51" fmla="*/ 14 h 146"/>
                                    <a:gd name="T52" fmla="*/ 68 w 74"/>
                                    <a:gd name="T53" fmla="*/ 20 h 146"/>
                                    <a:gd name="T54" fmla="*/ 68 w 74"/>
                                    <a:gd name="T55" fmla="*/ 20 h 146"/>
                                    <a:gd name="T56" fmla="*/ 70 w 74"/>
                                    <a:gd name="T57" fmla="*/ 24 h 146"/>
                                    <a:gd name="T58" fmla="*/ 64 w 74"/>
                                    <a:gd name="T59" fmla="*/ 36 h 146"/>
                                    <a:gd name="T60" fmla="*/ 62 w 74"/>
                                    <a:gd name="T61" fmla="*/ 38 h 146"/>
                                    <a:gd name="T62" fmla="*/ 58 w 74"/>
                                    <a:gd name="T63" fmla="*/ 36 h 146"/>
                                    <a:gd name="T64" fmla="*/ 42 w 74"/>
                                    <a:gd name="T65" fmla="*/ 30 h 146"/>
                                    <a:gd name="T66" fmla="*/ 44 w 74"/>
                                    <a:gd name="T67" fmla="*/ 64 h 146"/>
                                    <a:gd name="T68" fmla="*/ 56 w 74"/>
                                    <a:gd name="T69" fmla="*/ 70 h 146"/>
                                    <a:gd name="T70" fmla="*/ 70 w 74"/>
                                    <a:gd name="T71" fmla="*/ 88 h 146"/>
                                    <a:gd name="T72" fmla="*/ 74 w 74"/>
                                    <a:gd name="T73" fmla="*/ 100 h 146"/>
                                    <a:gd name="T74" fmla="*/ 70 w 74"/>
                                    <a:gd name="T75" fmla="*/ 112 h 146"/>
                                    <a:gd name="T76" fmla="*/ 56 w 74"/>
                                    <a:gd name="T77" fmla="*/ 130 h 146"/>
                                    <a:gd name="T78" fmla="*/ 42 w 74"/>
                                    <a:gd name="T79" fmla="*/ 142 h 146"/>
                                    <a:gd name="T80" fmla="*/ 32 w 74"/>
                                    <a:gd name="T81" fmla="*/ 30 h 146"/>
                                    <a:gd name="T82" fmla="*/ 24 w 74"/>
                                    <a:gd name="T83" fmla="*/ 34 h 146"/>
                                    <a:gd name="T84" fmla="*/ 22 w 74"/>
                                    <a:gd name="T85" fmla="*/ 40 h 146"/>
                                    <a:gd name="T86" fmla="*/ 20 w 74"/>
                                    <a:gd name="T87" fmla="*/ 44 h 146"/>
                                    <a:gd name="T88" fmla="*/ 24 w 74"/>
                                    <a:gd name="T89" fmla="*/ 54 h 146"/>
                                    <a:gd name="T90" fmla="*/ 32 w 74"/>
                                    <a:gd name="T91" fmla="*/ 60 h 146"/>
                                    <a:gd name="T92" fmla="*/ 40 w 74"/>
                                    <a:gd name="T93" fmla="*/ 116 h 146"/>
                                    <a:gd name="T94" fmla="*/ 48 w 74"/>
                                    <a:gd name="T95" fmla="*/ 112 h 146"/>
                                    <a:gd name="T96" fmla="*/ 52 w 74"/>
                                    <a:gd name="T97" fmla="*/ 102 h 146"/>
                                    <a:gd name="T98" fmla="*/ 52 w 74"/>
                                    <a:gd name="T99" fmla="*/ 94 h 146"/>
                                    <a:gd name="T100" fmla="*/ 42 w 74"/>
                                    <a:gd name="T101" fmla="*/ 84 h 146"/>
                                    <a:gd name="T102" fmla="*/ 40 w 74"/>
                                    <a:gd name="T103" fmla="*/ 11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 h="146">
                                      <a:moveTo>
                                        <a:pt x="42" y="142"/>
                                      </a:moveTo>
                                      <a:lnTo>
                                        <a:pt x="42" y="142"/>
                                      </a:lnTo>
                                      <a:lnTo>
                                        <a:pt x="42" y="146"/>
                                      </a:lnTo>
                                      <a:lnTo>
                                        <a:pt x="38" y="146"/>
                                      </a:lnTo>
                                      <a:lnTo>
                                        <a:pt x="34" y="146"/>
                                      </a:lnTo>
                                      <a:lnTo>
                                        <a:pt x="34" y="146"/>
                                      </a:lnTo>
                                      <a:lnTo>
                                        <a:pt x="32" y="146"/>
                                      </a:lnTo>
                                      <a:lnTo>
                                        <a:pt x="32" y="142"/>
                                      </a:lnTo>
                                      <a:lnTo>
                                        <a:pt x="32" y="134"/>
                                      </a:lnTo>
                                      <a:lnTo>
                                        <a:pt x="32" y="134"/>
                                      </a:lnTo>
                                      <a:lnTo>
                                        <a:pt x="22" y="134"/>
                                      </a:lnTo>
                                      <a:lnTo>
                                        <a:pt x="14" y="132"/>
                                      </a:lnTo>
                                      <a:lnTo>
                                        <a:pt x="2" y="128"/>
                                      </a:lnTo>
                                      <a:lnTo>
                                        <a:pt x="2" y="128"/>
                                      </a:lnTo>
                                      <a:lnTo>
                                        <a:pt x="2" y="128"/>
                                      </a:lnTo>
                                      <a:lnTo>
                                        <a:pt x="0" y="126"/>
                                      </a:lnTo>
                                      <a:lnTo>
                                        <a:pt x="0" y="124"/>
                                      </a:lnTo>
                                      <a:lnTo>
                                        <a:pt x="6" y="108"/>
                                      </a:lnTo>
                                      <a:lnTo>
                                        <a:pt x="6" y="108"/>
                                      </a:lnTo>
                                      <a:lnTo>
                                        <a:pt x="8" y="108"/>
                                      </a:lnTo>
                                      <a:lnTo>
                                        <a:pt x="8" y="108"/>
                                      </a:lnTo>
                                      <a:lnTo>
                                        <a:pt x="10" y="108"/>
                                      </a:lnTo>
                                      <a:lnTo>
                                        <a:pt x="10" y="108"/>
                                      </a:lnTo>
                                      <a:lnTo>
                                        <a:pt x="18" y="112"/>
                                      </a:lnTo>
                                      <a:lnTo>
                                        <a:pt x="32" y="116"/>
                                      </a:lnTo>
                                      <a:lnTo>
                                        <a:pt x="32" y="80"/>
                                      </a:lnTo>
                                      <a:lnTo>
                                        <a:pt x="28" y="80"/>
                                      </a:lnTo>
                                      <a:lnTo>
                                        <a:pt x="28" y="80"/>
                                      </a:lnTo>
                                      <a:lnTo>
                                        <a:pt x="18" y="74"/>
                                      </a:lnTo>
                                      <a:lnTo>
                                        <a:pt x="10" y="68"/>
                                      </a:lnTo>
                                      <a:lnTo>
                                        <a:pt x="6" y="64"/>
                                      </a:lnTo>
                                      <a:lnTo>
                                        <a:pt x="2" y="60"/>
                                      </a:lnTo>
                                      <a:lnTo>
                                        <a:pt x="0" y="54"/>
                                      </a:lnTo>
                                      <a:lnTo>
                                        <a:pt x="0" y="46"/>
                                      </a:lnTo>
                                      <a:lnTo>
                                        <a:pt x="0" y="46"/>
                                      </a:lnTo>
                                      <a:lnTo>
                                        <a:pt x="2" y="34"/>
                                      </a:lnTo>
                                      <a:lnTo>
                                        <a:pt x="6" y="24"/>
                                      </a:lnTo>
                                      <a:lnTo>
                                        <a:pt x="6" y="24"/>
                                      </a:lnTo>
                                      <a:lnTo>
                                        <a:pt x="12" y="20"/>
                                      </a:lnTo>
                                      <a:lnTo>
                                        <a:pt x="18" y="16"/>
                                      </a:lnTo>
                                      <a:lnTo>
                                        <a:pt x="32" y="12"/>
                                      </a:lnTo>
                                      <a:lnTo>
                                        <a:pt x="32" y="4"/>
                                      </a:lnTo>
                                      <a:lnTo>
                                        <a:pt x="32" y="4"/>
                                      </a:lnTo>
                                      <a:lnTo>
                                        <a:pt x="32" y="2"/>
                                      </a:lnTo>
                                      <a:lnTo>
                                        <a:pt x="34" y="0"/>
                                      </a:lnTo>
                                      <a:lnTo>
                                        <a:pt x="38" y="0"/>
                                      </a:lnTo>
                                      <a:lnTo>
                                        <a:pt x="38" y="0"/>
                                      </a:lnTo>
                                      <a:lnTo>
                                        <a:pt x="42" y="2"/>
                                      </a:lnTo>
                                      <a:lnTo>
                                        <a:pt x="42" y="4"/>
                                      </a:lnTo>
                                      <a:lnTo>
                                        <a:pt x="42" y="12"/>
                                      </a:lnTo>
                                      <a:lnTo>
                                        <a:pt x="42" y="12"/>
                                      </a:lnTo>
                                      <a:lnTo>
                                        <a:pt x="52" y="14"/>
                                      </a:lnTo>
                                      <a:lnTo>
                                        <a:pt x="58" y="16"/>
                                      </a:lnTo>
                                      <a:lnTo>
                                        <a:pt x="68" y="20"/>
                                      </a:lnTo>
                                      <a:lnTo>
                                        <a:pt x="68" y="20"/>
                                      </a:lnTo>
                                      <a:lnTo>
                                        <a:pt x="68" y="20"/>
                                      </a:lnTo>
                                      <a:lnTo>
                                        <a:pt x="70" y="24"/>
                                      </a:lnTo>
                                      <a:lnTo>
                                        <a:pt x="70" y="24"/>
                                      </a:lnTo>
                                      <a:lnTo>
                                        <a:pt x="64" y="36"/>
                                      </a:lnTo>
                                      <a:lnTo>
                                        <a:pt x="64" y="36"/>
                                      </a:lnTo>
                                      <a:lnTo>
                                        <a:pt x="62" y="38"/>
                                      </a:lnTo>
                                      <a:lnTo>
                                        <a:pt x="62" y="38"/>
                                      </a:lnTo>
                                      <a:lnTo>
                                        <a:pt x="58" y="36"/>
                                      </a:lnTo>
                                      <a:lnTo>
                                        <a:pt x="58" y="36"/>
                                      </a:lnTo>
                                      <a:lnTo>
                                        <a:pt x="52" y="34"/>
                                      </a:lnTo>
                                      <a:lnTo>
                                        <a:pt x="42" y="30"/>
                                      </a:lnTo>
                                      <a:lnTo>
                                        <a:pt x="42" y="64"/>
                                      </a:lnTo>
                                      <a:lnTo>
                                        <a:pt x="44" y="64"/>
                                      </a:lnTo>
                                      <a:lnTo>
                                        <a:pt x="44" y="64"/>
                                      </a:lnTo>
                                      <a:lnTo>
                                        <a:pt x="56" y="70"/>
                                      </a:lnTo>
                                      <a:lnTo>
                                        <a:pt x="64" y="78"/>
                                      </a:lnTo>
                                      <a:lnTo>
                                        <a:pt x="70" y="88"/>
                                      </a:lnTo>
                                      <a:lnTo>
                                        <a:pt x="72" y="94"/>
                                      </a:lnTo>
                                      <a:lnTo>
                                        <a:pt x="74" y="100"/>
                                      </a:lnTo>
                                      <a:lnTo>
                                        <a:pt x="74" y="100"/>
                                      </a:lnTo>
                                      <a:lnTo>
                                        <a:pt x="70" y="112"/>
                                      </a:lnTo>
                                      <a:lnTo>
                                        <a:pt x="64" y="122"/>
                                      </a:lnTo>
                                      <a:lnTo>
                                        <a:pt x="56" y="130"/>
                                      </a:lnTo>
                                      <a:lnTo>
                                        <a:pt x="42" y="134"/>
                                      </a:lnTo>
                                      <a:lnTo>
                                        <a:pt x="42" y="142"/>
                                      </a:lnTo>
                                      <a:close/>
                                      <a:moveTo>
                                        <a:pt x="32" y="30"/>
                                      </a:moveTo>
                                      <a:lnTo>
                                        <a:pt x="32" y="30"/>
                                      </a:lnTo>
                                      <a:lnTo>
                                        <a:pt x="28" y="32"/>
                                      </a:lnTo>
                                      <a:lnTo>
                                        <a:pt x="24" y="34"/>
                                      </a:lnTo>
                                      <a:lnTo>
                                        <a:pt x="24" y="34"/>
                                      </a:lnTo>
                                      <a:lnTo>
                                        <a:pt x="22" y="40"/>
                                      </a:lnTo>
                                      <a:lnTo>
                                        <a:pt x="20" y="44"/>
                                      </a:lnTo>
                                      <a:lnTo>
                                        <a:pt x="20" y="44"/>
                                      </a:lnTo>
                                      <a:lnTo>
                                        <a:pt x="22" y="50"/>
                                      </a:lnTo>
                                      <a:lnTo>
                                        <a:pt x="24" y="54"/>
                                      </a:lnTo>
                                      <a:lnTo>
                                        <a:pt x="28" y="58"/>
                                      </a:lnTo>
                                      <a:lnTo>
                                        <a:pt x="32" y="60"/>
                                      </a:lnTo>
                                      <a:lnTo>
                                        <a:pt x="32" y="30"/>
                                      </a:lnTo>
                                      <a:close/>
                                      <a:moveTo>
                                        <a:pt x="40" y="116"/>
                                      </a:moveTo>
                                      <a:lnTo>
                                        <a:pt x="40" y="116"/>
                                      </a:lnTo>
                                      <a:lnTo>
                                        <a:pt x="48" y="112"/>
                                      </a:lnTo>
                                      <a:lnTo>
                                        <a:pt x="52" y="108"/>
                                      </a:lnTo>
                                      <a:lnTo>
                                        <a:pt x="52" y="102"/>
                                      </a:lnTo>
                                      <a:lnTo>
                                        <a:pt x="52" y="102"/>
                                      </a:lnTo>
                                      <a:lnTo>
                                        <a:pt x="52" y="94"/>
                                      </a:lnTo>
                                      <a:lnTo>
                                        <a:pt x="48" y="90"/>
                                      </a:lnTo>
                                      <a:lnTo>
                                        <a:pt x="42" y="84"/>
                                      </a:lnTo>
                                      <a:lnTo>
                                        <a:pt x="40" y="84"/>
                                      </a:lnTo>
                                      <a:lnTo>
                                        <a:pt x="4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168275" y="292100"/>
                                  <a:ext cx="69850" cy="142875"/>
                                </a:xfrm>
                                <a:custGeom>
                                  <a:avLst/>
                                  <a:gdLst>
                                    <a:gd name="T0" fmla="*/ 26 w 44"/>
                                    <a:gd name="T1" fmla="*/ 86 h 90"/>
                                    <a:gd name="T2" fmla="*/ 24 w 44"/>
                                    <a:gd name="T3" fmla="*/ 90 h 90"/>
                                    <a:gd name="T4" fmla="*/ 22 w 44"/>
                                    <a:gd name="T5" fmla="*/ 90 h 90"/>
                                    <a:gd name="T6" fmla="*/ 18 w 44"/>
                                    <a:gd name="T7" fmla="*/ 86 h 90"/>
                                    <a:gd name="T8" fmla="*/ 18 w 44"/>
                                    <a:gd name="T9" fmla="*/ 82 h 90"/>
                                    <a:gd name="T10" fmla="*/ 2 w 44"/>
                                    <a:gd name="T11" fmla="*/ 78 h 90"/>
                                    <a:gd name="T12" fmla="*/ 0 w 44"/>
                                    <a:gd name="T13" fmla="*/ 76 h 90"/>
                                    <a:gd name="T14" fmla="*/ 4 w 44"/>
                                    <a:gd name="T15" fmla="*/ 66 h 90"/>
                                    <a:gd name="T16" fmla="*/ 4 w 44"/>
                                    <a:gd name="T17" fmla="*/ 66 h 90"/>
                                    <a:gd name="T18" fmla="*/ 6 w 44"/>
                                    <a:gd name="T19" fmla="*/ 66 h 90"/>
                                    <a:gd name="T20" fmla="*/ 18 w 44"/>
                                    <a:gd name="T21" fmla="*/ 70 h 90"/>
                                    <a:gd name="T22" fmla="*/ 16 w 44"/>
                                    <a:gd name="T23" fmla="*/ 48 h 90"/>
                                    <a:gd name="T24" fmla="*/ 12 w 44"/>
                                    <a:gd name="T25" fmla="*/ 46 h 90"/>
                                    <a:gd name="T26" fmla="*/ 2 w 44"/>
                                    <a:gd name="T27" fmla="*/ 36 h 90"/>
                                    <a:gd name="T28" fmla="*/ 0 w 44"/>
                                    <a:gd name="T29" fmla="*/ 28 h 90"/>
                                    <a:gd name="T30" fmla="*/ 4 w 44"/>
                                    <a:gd name="T31" fmla="*/ 16 h 90"/>
                                    <a:gd name="T32" fmla="*/ 10 w 44"/>
                                    <a:gd name="T33" fmla="*/ 10 h 90"/>
                                    <a:gd name="T34" fmla="*/ 18 w 44"/>
                                    <a:gd name="T35" fmla="*/ 2 h 90"/>
                                    <a:gd name="T36" fmla="*/ 18 w 44"/>
                                    <a:gd name="T37" fmla="*/ 0 h 90"/>
                                    <a:gd name="T38" fmla="*/ 24 w 44"/>
                                    <a:gd name="T39" fmla="*/ 0 h 90"/>
                                    <a:gd name="T40" fmla="*/ 26 w 44"/>
                                    <a:gd name="T41" fmla="*/ 0 h 90"/>
                                    <a:gd name="T42" fmla="*/ 26 w 44"/>
                                    <a:gd name="T43" fmla="*/ 8 h 90"/>
                                    <a:gd name="T44" fmla="*/ 36 w 44"/>
                                    <a:gd name="T45" fmla="*/ 10 h 90"/>
                                    <a:gd name="T46" fmla="*/ 40 w 44"/>
                                    <a:gd name="T47" fmla="*/ 12 h 90"/>
                                    <a:gd name="T48" fmla="*/ 42 w 44"/>
                                    <a:gd name="T49" fmla="*/ 14 h 90"/>
                                    <a:gd name="T50" fmla="*/ 38 w 44"/>
                                    <a:gd name="T51" fmla="*/ 24 h 90"/>
                                    <a:gd name="T52" fmla="*/ 36 w 44"/>
                                    <a:gd name="T53" fmla="*/ 22 h 90"/>
                                    <a:gd name="T54" fmla="*/ 32 w 44"/>
                                    <a:gd name="T55" fmla="*/ 20 h 90"/>
                                    <a:gd name="T56" fmla="*/ 26 w 44"/>
                                    <a:gd name="T57" fmla="*/ 38 h 90"/>
                                    <a:gd name="T58" fmla="*/ 28 w 44"/>
                                    <a:gd name="T59" fmla="*/ 40 h 90"/>
                                    <a:gd name="T60" fmla="*/ 40 w 44"/>
                                    <a:gd name="T61" fmla="*/ 48 h 90"/>
                                    <a:gd name="T62" fmla="*/ 44 w 44"/>
                                    <a:gd name="T63" fmla="*/ 60 h 90"/>
                                    <a:gd name="T64" fmla="*/ 44 w 44"/>
                                    <a:gd name="T65" fmla="*/ 68 h 90"/>
                                    <a:gd name="T66" fmla="*/ 34 w 44"/>
                                    <a:gd name="T67" fmla="*/ 80 h 90"/>
                                    <a:gd name="T68" fmla="*/ 26 w 44"/>
                                    <a:gd name="T69" fmla="*/ 86 h 90"/>
                                    <a:gd name="T70" fmla="*/ 20 w 44"/>
                                    <a:gd name="T71" fmla="*/ 18 h 90"/>
                                    <a:gd name="T72" fmla="*/ 14 w 44"/>
                                    <a:gd name="T73" fmla="*/ 22 h 90"/>
                                    <a:gd name="T74" fmla="*/ 12 w 44"/>
                                    <a:gd name="T75" fmla="*/ 28 h 90"/>
                                    <a:gd name="T76" fmla="*/ 14 w 44"/>
                                    <a:gd name="T77" fmla="*/ 32 h 90"/>
                                    <a:gd name="T78" fmla="*/ 20 w 44"/>
                                    <a:gd name="T79" fmla="*/ 18 h 90"/>
                                    <a:gd name="T80" fmla="*/ 24 w 44"/>
                                    <a:gd name="T81" fmla="*/ 70 h 90"/>
                                    <a:gd name="T82" fmla="*/ 32 w 44"/>
                                    <a:gd name="T83" fmla="*/ 66 h 90"/>
                                    <a:gd name="T84" fmla="*/ 32 w 44"/>
                                    <a:gd name="T85" fmla="*/ 62 h 90"/>
                                    <a:gd name="T86" fmla="*/ 30 w 44"/>
                                    <a:gd name="T87" fmla="*/ 54 h 90"/>
                                    <a:gd name="T88" fmla="*/ 24 w 44"/>
                                    <a:gd name="T89" fmla="*/ 5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90">
                                      <a:moveTo>
                                        <a:pt x="26" y="86"/>
                                      </a:moveTo>
                                      <a:lnTo>
                                        <a:pt x="26" y="86"/>
                                      </a:lnTo>
                                      <a:lnTo>
                                        <a:pt x="26" y="88"/>
                                      </a:lnTo>
                                      <a:lnTo>
                                        <a:pt x="24" y="90"/>
                                      </a:lnTo>
                                      <a:lnTo>
                                        <a:pt x="22" y="90"/>
                                      </a:lnTo>
                                      <a:lnTo>
                                        <a:pt x="22" y="90"/>
                                      </a:lnTo>
                                      <a:lnTo>
                                        <a:pt x="18" y="88"/>
                                      </a:lnTo>
                                      <a:lnTo>
                                        <a:pt x="18" y="86"/>
                                      </a:lnTo>
                                      <a:lnTo>
                                        <a:pt x="18" y="82"/>
                                      </a:lnTo>
                                      <a:lnTo>
                                        <a:pt x="18" y="82"/>
                                      </a:lnTo>
                                      <a:lnTo>
                                        <a:pt x="8" y="80"/>
                                      </a:lnTo>
                                      <a:lnTo>
                                        <a:pt x="2" y="78"/>
                                      </a:lnTo>
                                      <a:lnTo>
                                        <a:pt x="2" y="78"/>
                                      </a:lnTo>
                                      <a:lnTo>
                                        <a:pt x="0" y="76"/>
                                      </a:lnTo>
                                      <a:lnTo>
                                        <a:pt x="0" y="76"/>
                                      </a:lnTo>
                                      <a:lnTo>
                                        <a:pt x="4" y="66"/>
                                      </a:lnTo>
                                      <a:lnTo>
                                        <a:pt x="4" y="66"/>
                                      </a:lnTo>
                                      <a:lnTo>
                                        <a:pt x="4" y="66"/>
                                      </a:lnTo>
                                      <a:lnTo>
                                        <a:pt x="6" y="66"/>
                                      </a:lnTo>
                                      <a:lnTo>
                                        <a:pt x="6" y="66"/>
                                      </a:lnTo>
                                      <a:lnTo>
                                        <a:pt x="10" y="68"/>
                                      </a:lnTo>
                                      <a:lnTo>
                                        <a:pt x="18" y="70"/>
                                      </a:lnTo>
                                      <a:lnTo>
                                        <a:pt x="18" y="50"/>
                                      </a:lnTo>
                                      <a:lnTo>
                                        <a:pt x="16" y="48"/>
                                      </a:lnTo>
                                      <a:lnTo>
                                        <a:pt x="16" y="48"/>
                                      </a:lnTo>
                                      <a:lnTo>
                                        <a:pt x="12" y="46"/>
                                      </a:lnTo>
                                      <a:lnTo>
                                        <a:pt x="6" y="42"/>
                                      </a:lnTo>
                                      <a:lnTo>
                                        <a:pt x="2" y="36"/>
                                      </a:lnTo>
                                      <a:lnTo>
                                        <a:pt x="0" y="28"/>
                                      </a:lnTo>
                                      <a:lnTo>
                                        <a:pt x="0" y="28"/>
                                      </a:lnTo>
                                      <a:lnTo>
                                        <a:pt x="2" y="20"/>
                                      </a:lnTo>
                                      <a:lnTo>
                                        <a:pt x="4" y="16"/>
                                      </a:lnTo>
                                      <a:lnTo>
                                        <a:pt x="4" y="16"/>
                                      </a:lnTo>
                                      <a:lnTo>
                                        <a:pt x="10" y="10"/>
                                      </a:lnTo>
                                      <a:lnTo>
                                        <a:pt x="18" y="8"/>
                                      </a:lnTo>
                                      <a:lnTo>
                                        <a:pt x="18" y="2"/>
                                      </a:lnTo>
                                      <a:lnTo>
                                        <a:pt x="18" y="2"/>
                                      </a:lnTo>
                                      <a:lnTo>
                                        <a:pt x="18" y="0"/>
                                      </a:lnTo>
                                      <a:lnTo>
                                        <a:pt x="22" y="0"/>
                                      </a:lnTo>
                                      <a:lnTo>
                                        <a:pt x="24" y="0"/>
                                      </a:lnTo>
                                      <a:lnTo>
                                        <a:pt x="24" y="0"/>
                                      </a:lnTo>
                                      <a:lnTo>
                                        <a:pt x="26" y="0"/>
                                      </a:lnTo>
                                      <a:lnTo>
                                        <a:pt x="26" y="2"/>
                                      </a:lnTo>
                                      <a:lnTo>
                                        <a:pt x="26" y="8"/>
                                      </a:lnTo>
                                      <a:lnTo>
                                        <a:pt x="26" y="8"/>
                                      </a:lnTo>
                                      <a:lnTo>
                                        <a:pt x="36" y="10"/>
                                      </a:lnTo>
                                      <a:lnTo>
                                        <a:pt x="40" y="12"/>
                                      </a:lnTo>
                                      <a:lnTo>
                                        <a:pt x="40" y="12"/>
                                      </a:lnTo>
                                      <a:lnTo>
                                        <a:pt x="42" y="14"/>
                                      </a:lnTo>
                                      <a:lnTo>
                                        <a:pt x="42" y="14"/>
                                      </a:lnTo>
                                      <a:lnTo>
                                        <a:pt x="38" y="22"/>
                                      </a:lnTo>
                                      <a:lnTo>
                                        <a:pt x="38" y="24"/>
                                      </a:lnTo>
                                      <a:lnTo>
                                        <a:pt x="38" y="24"/>
                                      </a:lnTo>
                                      <a:lnTo>
                                        <a:pt x="36" y="22"/>
                                      </a:lnTo>
                                      <a:lnTo>
                                        <a:pt x="36" y="22"/>
                                      </a:lnTo>
                                      <a:lnTo>
                                        <a:pt x="32" y="20"/>
                                      </a:lnTo>
                                      <a:lnTo>
                                        <a:pt x="26" y="18"/>
                                      </a:lnTo>
                                      <a:lnTo>
                                        <a:pt x="26" y="38"/>
                                      </a:lnTo>
                                      <a:lnTo>
                                        <a:pt x="28" y="40"/>
                                      </a:lnTo>
                                      <a:lnTo>
                                        <a:pt x="28" y="40"/>
                                      </a:lnTo>
                                      <a:lnTo>
                                        <a:pt x="34" y="44"/>
                                      </a:lnTo>
                                      <a:lnTo>
                                        <a:pt x="40" y="48"/>
                                      </a:lnTo>
                                      <a:lnTo>
                                        <a:pt x="44" y="54"/>
                                      </a:lnTo>
                                      <a:lnTo>
                                        <a:pt x="44" y="60"/>
                                      </a:lnTo>
                                      <a:lnTo>
                                        <a:pt x="44" y="60"/>
                                      </a:lnTo>
                                      <a:lnTo>
                                        <a:pt x="44" y="68"/>
                                      </a:lnTo>
                                      <a:lnTo>
                                        <a:pt x="40" y="74"/>
                                      </a:lnTo>
                                      <a:lnTo>
                                        <a:pt x="34" y="80"/>
                                      </a:lnTo>
                                      <a:lnTo>
                                        <a:pt x="26" y="82"/>
                                      </a:lnTo>
                                      <a:lnTo>
                                        <a:pt x="26" y="86"/>
                                      </a:lnTo>
                                      <a:close/>
                                      <a:moveTo>
                                        <a:pt x="20" y="18"/>
                                      </a:moveTo>
                                      <a:lnTo>
                                        <a:pt x="20" y="18"/>
                                      </a:lnTo>
                                      <a:lnTo>
                                        <a:pt x="14" y="22"/>
                                      </a:lnTo>
                                      <a:lnTo>
                                        <a:pt x="14" y="22"/>
                                      </a:lnTo>
                                      <a:lnTo>
                                        <a:pt x="12" y="24"/>
                                      </a:lnTo>
                                      <a:lnTo>
                                        <a:pt x="12" y="28"/>
                                      </a:lnTo>
                                      <a:lnTo>
                                        <a:pt x="12" y="28"/>
                                      </a:lnTo>
                                      <a:lnTo>
                                        <a:pt x="14" y="32"/>
                                      </a:lnTo>
                                      <a:lnTo>
                                        <a:pt x="20" y="36"/>
                                      </a:lnTo>
                                      <a:lnTo>
                                        <a:pt x="20" y="18"/>
                                      </a:lnTo>
                                      <a:close/>
                                      <a:moveTo>
                                        <a:pt x="24" y="70"/>
                                      </a:moveTo>
                                      <a:lnTo>
                                        <a:pt x="24" y="70"/>
                                      </a:lnTo>
                                      <a:lnTo>
                                        <a:pt x="30" y="68"/>
                                      </a:lnTo>
                                      <a:lnTo>
                                        <a:pt x="32" y="66"/>
                                      </a:lnTo>
                                      <a:lnTo>
                                        <a:pt x="32" y="62"/>
                                      </a:lnTo>
                                      <a:lnTo>
                                        <a:pt x="32" y="62"/>
                                      </a:lnTo>
                                      <a:lnTo>
                                        <a:pt x="32" y="58"/>
                                      </a:lnTo>
                                      <a:lnTo>
                                        <a:pt x="30" y="54"/>
                                      </a:lnTo>
                                      <a:lnTo>
                                        <a:pt x="24" y="52"/>
                                      </a:lnTo>
                                      <a:lnTo>
                                        <a:pt x="24" y="52"/>
                                      </a:lnTo>
                                      <a:lnTo>
                                        <a:pt x="24" y="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546100" y="431800"/>
                                  <a:ext cx="82550" cy="168275"/>
                                </a:xfrm>
                                <a:custGeom>
                                  <a:avLst/>
                                  <a:gdLst>
                                    <a:gd name="T0" fmla="*/ 30 w 52"/>
                                    <a:gd name="T1" fmla="*/ 102 h 106"/>
                                    <a:gd name="T2" fmla="*/ 26 w 52"/>
                                    <a:gd name="T3" fmla="*/ 106 h 106"/>
                                    <a:gd name="T4" fmla="*/ 24 w 52"/>
                                    <a:gd name="T5" fmla="*/ 106 h 106"/>
                                    <a:gd name="T6" fmla="*/ 22 w 52"/>
                                    <a:gd name="T7" fmla="*/ 102 h 106"/>
                                    <a:gd name="T8" fmla="*/ 22 w 52"/>
                                    <a:gd name="T9" fmla="*/ 96 h 106"/>
                                    <a:gd name="T10" fmla="*/ 2 w 52"/>
                                    <a:gd name="T11" fmla="*/ 92 h 106"/>
                                    <a:gd name="T12" fmla="*/ 0 w 52"/>
                                    <a:gd name="T13" fmla="*/ 90 h 106"/>
                                    <a:gd name="T14" fmla="*/ 4 w 52"/>
                                    <a:gd name="T15" fmla="*/ 78 h 106"/>
                                    <a:gd name="T16" fmla="*/ 4 w 52"/>
                                    <a:gd name="T17" fmla="*/ 78 h 106"/>
                                    <a:gd name="T18" fmla="*/ 6 w 52"/>
                                    <a:gd name="T19" fmla="*/ 78 h 106"/>
                                    <a:gd name="T20" fmla="*/ 22 w 52"/>
                                    <a:gd name="T21" fmla="*/ 84 h 106"/>
                                    <a:gd name="T22" fmla="*/ 20 w 52"/>
                                    <a:gd name="T23" fmla="*/ 58 h 106"/>
                                    <a:gd name="T24" fmla="*/ 12 w 52"/>
                                    <a:gd name="T25" fmla="*/ 54 h 106"/>
                                    <a:gd name="T26" fmla="*/ 2 w 52"/>
                                    <a:gd name="T27" fmla="*/ 44 h 106"/>
                                    <a:gd name="T28" fmla="*/ 0 w 52"/>
                                    <a:gd name="T29" fmla="*/ 34 h 106"/>
                                    <a:gd name="T30" fmla="*/ 4 w 52"/>
                                    <a:gd name="T31" fmla="*/ 18 h 106"/>
                                    <a:gd name="T32" fmla="*/ 12 w 52"/>
                                    <a:gd name="T33" fmla="*/ 12 h 106"/>
                                    <a:gd name="T34" fmla="*/ 22 w 52"/>
                                    <a:gd name="T35" fmla="*/ 4 h 106"/>
                                    <a:gd name="T36" fmla="*/ 22 w 52"/>
                                    <a:gd name="T37" fmla="*/ 2 h 106"/>
                                    <a:gd name="T38" fmla="*/ 26 w 52"/>
                                    <a:gd name="T39" fmla="*/ 0 h 106"/>
                                    <a:gd name="T40" fmla="*/ 30 w 52"/>
                                    <a:gd name="T41" fmla="*/ 2 h 106"/>
                                    <a:gd name="T42" fmla="*/ 30 w 52"/>
                                    <a:gd name="T43" fmla="*/ 10 h 106"/>
                                    <a:gd name="T44" fmla="*/ 42 w 52"/>
                                    <a:gd name="T45" fmla="*/ 12 h 106"/>
                                    <a:gd name="T46" fmla="*/ 48 w 52"/>
                                    <a:gd name="T47" fmla="*/ 14 h 106"/>
                                    <a:gd name="T48" fmla="*/ 48 w 52"/>
                                    <a:gd name="T49" fmla="*/ 18 h 106"/>
                                    <a:gd name="T50" fmla="*/ 44 w 52"/>
                                    <a:gd name="T51" fmla="*/ 26 h 106"/>
                                    <a:gd name="T52" fmla="*/ 44 w 52"/>
                                    <a:gd name="T53" fmla="*/ 28 h 106"/>
                                    <a:gd name="T54" fmla="*/ 42 w 52"/>
                                    <a:gd name="T55" fmla="*/ 26 h 106"/>
                                    <a:gd name="T56" fmla="*/ 30 w 52"/>
                                    <a:gd name="T57" fmla="*/ 22 h 106"/>
                                    <a:gd name="T58" fmla="*/ 32 w 52"/>
                                    <a:gd name="T59" fmla="*/ 48 h 106"/>
                                    <a:gd name="T60" fmla="*/ 40 w 52"/>
                                    <a:gd name="T61" fmla="*/ 52 h 106"/>
                                    <a:gd name="T62" fmla="*/ 50 w 52"/>
                                    <a:gd name="T63" fmla="*/ 64 h 106"/>
                                    <a:gd name="T64" fmla="*/ 52 w 52"/>
                                    <a:gd name="T65" fmla="*/ 72 h 106"/>
                                    <a:gd name="T66" fmla="*/ 46 w 52"/>
                                    <a:gd name="T67" fmla="*/ 88 h 106"/>
                                    <a:gd name="T68" fmla="*/ 30 w 52"/>
                                    <a:gd name="T69" fmla="*/ 96 h 106"/>
                                    <a:gd name="T70" fmla="*/ 22 w 52"/>
                                    <a:gd name="T71" fmla="*/ 22 h 106"/>
                                    <a:gd name="T72" fmla="*/ 20 w 52"/>
                                    <a:gd name="T73" fmla="*/ 24 h 106"/>
                                    <a:gd name="T74" fmla="*/ 16 w 52"/>
                                    <a:gd name="T75" fmla="*/ 26 h 106"/>
                                    <a:gd name="T76" fmla="*/ 14 w 52"/>
                                    <a:gd name="T77" fmla="*/ 32 h 106"/>
                                    <a:gd name="T78" fmla="*/ 14 w 52"/>
                                    <a:gd name="T79" fmla="*/ 36 h 106"/>
                                    <a:gd name="T80" fmla="*/ 22 w 52"/>
                                    <a:gd name="T81" fmla="*/ 44 h 106"/>
                                    <a:gd name="T82" fmla="*/ 28 w 52"/>
                                    <a:gd name="T83" fmla="*/ 84 h 106"/>
                                    <a:gd name="T84" fmla="*/ 34 w 52"/>
                                    <a:gd name="T85" fmla="*/ 80 h 106"/>
                                    <a:gd name="T86" fmla="*/ 36 w 52"/>
                                    <a:gd name="T87" fmla="*/ 74 h 106"/>
                                    <a:gd name="T88" fmla="*/ 36 w 52"/>
                                    <a:gd name="T89" fmla="*/ 68 h 106"/>
                                    <a:gd name="T90" fmla="*/ 28 w 52"/>
                                    <a:gd name="T91" fmla="*/ 62 h 106"/>
                                    <a:gd name="T92" fmla="*/ 28 w 52"/>
                                    <a:gd name="T93" fmla="*/ 8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 h="106">
                                      <a:moveTo>
                                        <a:pt x="30" y="102"/>
                                      </a:moveTo>
                                      <a:lnTo>
                                        <a:pt x="30" y="102"/>
                                      </a:lnTo>
                                      <a:lnTo>
                                        <a:pt x="30" y="104"/>
                                      </a:lnTo>
                                      <a:lnTo>
                                        <a:pt x="26" y="106"/>
                                      </a:lnTo>
                                      <a:lnTo>
                                        <a:pt x="24" y="106"/>
                                      </a:lnTo>
                                      <a:lnTo>
                                        <a:pt x="24" y="106"/>
                                      </a:lnTo>
                                      <a:lnTo>
                                        <a:pt x="22" y="104"/>
                                      </a:lnTo>
                                      <a:lnTo>
                                        <a:pt x="22" y="102"/>
                                      </a:lnTo>
                                      <a:lnTo>
                                        <a:pt x="22" y="96"/>
                                      </a:lnTo>
                                      <a:lnTo>
                                        <a:pt x="22" y="96"/>
                                      </a:lnTo>
                                      <a:lnTo>
                                        <a:pt x="10" y="96"/>
                                      </a:lnTo>
                                      <a:lnTo>
                                        <a:pt x="2" y="92"/>
                                      </a:lnTo>
                                      <a:lnTo>
                                        <a:pt x="2" y="92"/>
                                      </a:lnTo>
                                      <a:lnTo>
                                        <a:pt x="0" y="90"/>
                                      </a:lnTo>
                                      <a:lnTo>
                                        <a:pt x="0" y="88"/>
                                      </a:lnTo>
                                      <a:lnTo>
                                        <a:pt x="4" y="78"/>
                                      </a:lnTo>
                                      <a:lnTo>
                                        <a:pt x="4" y="78"/>
                                      </a:lnTo>
                                      <a:lnTo>
                                        <a:pt x="4" y="78"/>
                                      </a:lnTo>
                                      <a:lnTo>
                                        <a:pt x="6" y="78"/>
                                      </a:lnTo>
                                      <a:lnTo>
                                        <a:pt x="6" y="78"/>
                                      </a:lnTo>
                                      <a:lnTo>
                                        <a:pt x="12" y="80"/>
                                      </a:lnTo>
                                      <a:lnTo>
                                        <a:pt x="22" y="84"/>
                                      </a:lnTo>
                                      <a:lnTo>
                                        <a:pt x="22" y="58"/>
                                      </a:lnTo>
                                      <a:lnTo>
                                        <a:pt x="20" y="58"/>
                                      </a:lnTo>
                                      <a:lnTo>
                                        <a:pt x="20" y="58"/>
                                      </a:lnTo>
                                      <a:lnTo>
                                        <a:pt x="12" y="54"/>
                                      </a:lnTo>
                                      <a:lnTo>
                                        <a:pt x="6" y="50"/>
                                      </a:lnTo>
                                      <a:lnTo>
                                        <a:pt x="2" y="44"/>
                                      </a:lnTo>
                                      <a:lnTo>
                                        <a:pt x="0" y="34"/>
                                      </a:lnTo>
                                      <a:lnTo>
                                        <a:pt x="0" y="34"/>
                                      </a:lnTo>
                                      <a:lnTo>
                                        <a:pt x="0" y="24"/>
                                      </a:lnTo>
                                      <a:lnTo>
                                        <a:pt x="4" y="18"/>
                                      </a:lnTo>
                                      <a:lnTo>
                                        <a:pt x="4" y="18"/>
                                      </a:lnTo>
                                      <a:lnTo>
                                        <a:pt x="12" y="12"/>
                                      </a:lnTo>
                                      <a:lnTo>
                                        <a:pt x="22" y="10"/>
                                      </a:lnTo>
                                      <a:lnTo>
                                        <a:pt x="22" y="4"/>
                                      </a:lnTo>
                                      <a:lnTo>
                                        <a:pt x="22" y="4"/>
                                      </a:lnTo>
                                      <a:lnTo>
                                        <a:pt x="22" y="2"/>
                                      </a:lnTo>
                                      <a:lnTo>
                                        <a:pt x="24" y="0"/>
                                      </a:lnTo>
                                      <a:lnTo>
                                        <a:pt x="26" y="0"/>
                                      </a:lnTo>
                                      <a:lnTo>
                                        <a:pt x="26" y="0"/>
                                      </a:lnTo>
                                      <a:lnTo>
                                        <a:pt x="30" y="2"/>
                                      </a:lnTo>
                                      <a:lnTo>
                                        <a:pt x="30" y="4"/>
                                      </a:lnTo>
                                      <a:lnTo>
                                        <a:pt x="30" y="10"/>
                                      </a:lnTo>
                                      <a:lnTo>
                                        <a:pt x="30" y="10"/>
                                      </a:lnTo>
                                      <a:lnTo>
                                        <a:pt x="42" y="12"/>
                                      </a:lnTo>
                                      <a:lnTo>
                                        <a:pt x="48" y="14"/>
                                      </a:lnTo>
                                      <a:lnTo>
                                        <a:pt x="48" y="14"/>
                                      </a:lnTo>
                                      <a:lnTo>
                                        <a:pt x="50" y="18"/>
                                      </a:lnTo>
                                      <a:lnTo>
                                        <a:pt x="48" y="18"/>
                                      </a:lnTo>
                                      <a:lnTo>
                                        <a:pt x="44" y="26"/>
                                      </a:lnTo>
                                      <a:lnTo>
                                        <a:pt x="44" y="26"/>
                                      </a:lnTo>
                                      <a:lnTo>
                                        <a:pt x="44" y="28"/>
                                      </a:lnTo>
                                      <a:lnTo>
                                        <a:pt x="44" y="28"/>
                                      </a:lnTo>
                                      <a:lnTo>
                                        <a:pt x="42" y="26"/>
                                      </a:lnTo>
                                      <a:lnTo>
                                        <a:pt x="42" y="26"/>
                                      </a:lnTo>
                                      <a:lnTo>
                                        <a:pt x="36" y="24"/>
                                      </a:lnTo>
                                      <a:lnTo>
                                        <a:pt x="30" y="22"/>
                                      </a:lnTo>
                                      <a:lnTo>
                                        <a:pt x="30" y="46"/>
                                      </a:lnTo>
                                      <a:lnTo>
                                        <a:pt x="32" y="48"/>
                                      </a:lnTo>
                                      <a:lnTo>
                                        <a:pt x="32" y="48"/>
                                      </a:lnTo>
                                      <a:lnTo>
                                        <a:pt x="40" y="52"/>
                                      </a:lnTo>
                                      <a:lnTo>
                                        <a:pt x="46" y="56"/>
                                      </a:lnTo>
                                      <a:lnTo>
                                        <a:pt x="50" y="64"/>
                                      </a:lnTo>
                                      <a:lnTo>
                                        <a:pt x="52" y="72"/>
                                      </a:lnTo>
                                      <a:lnTo>
                                        <a:pt x="52" y="72"/>
                                      </a:lnTo>
                                      <a:lnTo>
                                        <a:pt x="50" y="80"/>
                                      </a:lnTo>
                                      <a:lnTo>
                                        <a:pt x="46" y="88"/>
                                      </a:lnTo>
                                      <a:lnTo>
                                        <a:pt x="38" y="94"/>
                                      </a:lnTo>
                                      <a:lnTo>
                                        <a:pt x="30" y="96"/>
                                      </a:lnTo>
                                      <a:lnTo>
                                        <a:pt x="30" y="102"/>
                                      </a:lnTo>
                                      <a:close/>
                                      <a:moveTo>
                                        <a:pt x="22" y="22"/>
                                      </a:moveTo>
                                      <a:lnTo>
                                        <a:pt x="22" y="22"/>
                                      </a:lnTo>
                                      <a:lnTo>
                                        <a:pt x="20" y="24"/>
                                      </a:lnTo>
                                      <a:lnTo>
                                        <a:pt x="16" y="26"/>
                                      </a:lnTo>
                                      <a:lnTo>
                                        <a:pt x="16" y="26"/>
                                      </a:lnTo>
                                      <a:lnTo>
                                        <a:pt x="14" y="28"/>
                                      </a:lnTo>
                                      <a:lnTo>
                                        <a:pt x="14" y="32"/>
                                      </a:lnTo>
                                      <a:lnTo>
                                        <a:pt x="14" y="32"/>
                                      </a:lnTo>
                                      <a:lnTo>
                                        <a:pt x="14" y="36"/>
                                      </a:lnTo>
                                      <a:lnTo>
                                        <a:pt x="16" y="40"/>
                                      </a:lnTo>
                                      <a:lnTo>
                                        <a:pt x="22" y="44"/>
                                      </a:lnTo>
                                      <a:lnTo>
                                        <a:pt x="22" y="22"/>
                                      </a:lnTo>
                                      <a:close/>
                                      <a:moveTo>
                                        <a:pt x="28" y="84"/>
                                      </a:moveTo>
                                      <a:lnTo>
                                        <a:pt x="28" y="84"/>
                                      </a:lnTo>
                                      <a:lnTo>
                                        <a:pt x="34" y="80"/>
                                      </a:lnTo>
                                      <a:lnTo>
                                        <a:pt x="36" y="78"/>
                                      </a:lnTo>
                                      <a:lnTo>
                                        <a:pt x="36" y="74"/>
                                      </a:lnTo>
                                      <a:lnTo>
                                        <a:pt x="36" y="74"/>
                                      </a:lnTo>
                                      <a:lnTo>
                                        <a:pt x="36" y="68"/>
                                      </a:lnTo>
                                      <a:lnTo>
                                        <a:pt x="34" y="64"/>
                                      </a:lnTo>
                                      <a:lnTo>
                                        <a:pt x="28" y="62"/>
                                      </a:lnTo>
                                      <a:lnTo>
                                        <a:pt x="28" y="62"/>
                                      </a:lnTo>
                                      <a:lnTo>
                                        <a:pt x="28"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669925" y="285750"/>
                                  <a:ext cx="104775" cy="209550"/>
                                </a:xfrm>
                                <a:custGeom>
                                  <a:avLst/>
                                  <a:gdLst>
                                    <a:gd name="T0" fmla="*/ 38 w 66"/>
                                    <a:gd name="T1" fmla="*/ 128 h 132"/>
                                    <a:gd name="T2" fmla="*/ 36 w 66"/>
                                    <a:gd name="T3" fmla="*/ 132 h 132"/>
                                    <a:gd name="T4" fmla="*/ 32 w 66"/>
                                    <a:gd name="T5" fmla="*/ 132 h 132"/>
                                    <a:gd name="T6" fmla="*/ 28 w 66"/>
                                    <a:gd name="T7" fmla="*/ 128 h 132"/>
                                    <a:gd name="T8" fmla="*/ 28 w 66"/>
                                    <a:gd name="T9" fmla="*/ 122 h 132"/>
                                    <a:gd name="T10" fmla="*/ 4 w 66"/>
                                    <a:gd name="T11" fmla="*/ 116 h 132"/>
                                    <a:gd name="T12" fmla="*/ 0 w 66"/>
                                    <a:gd name="T13" fmla="*/ 112 h 132"/>
                                    <a:gd name="T14" fmla="*/ 6 w 66"/>
                                    <a:gd name="T15" fmla="*/ 98 h 132"/>
                                    <a:gd name="T16" fmla="*/ 8 w 66"/>
                                    <a:gd name="T17" fmla="*/ 96 h 132"/>
                                    <a:gd name="T18" fmla="*/ 10 w 66"/>
                                    <a:gd name="T19" fmla="*/ 98 h 132"/>
                                    <a:gd name="T20" fmla="*/ 16 w 66"/>
                                    <a:gd name="T21" fmla="*/ 100 h 132"/>
                                    <a:gd name="T22" fmla="*/ 28 w 66"/>
                                    <a:gd name="T23" fmla="*/ 72 h 132"/>
                                    <a:gd name="T24" fmla="*/ 26 w 66"/>
                                    <a:gd name="T25" fmla="*/ 72 h 132"/>
                                    <a:gd name="T26" fmla="*/ 10 w 66"/>
                                    <a:gd name="T27" fmla="*/ 62 h 132"/>
                                    <a:gd name="T28" fmla="*/ 2 w 66"/>
                                    <a:gd name="T29" fmla="*/ 48 h 132"/>
                                    <a:gd name="T30" fmla="*/ 0 w 66"/>
                                    <a:gd name="T31" fmla="*/ 42 h 132"/>
                                    <a:gd name="T32" fmla="*/ 6 w 66"/>
                                    <a:gd name="T33" fmla="*/ 22 h 132"/>
                                    <a:gd name="T34" fmla="*/ 12 w 66"/>
                                    <a:gd name="T35" fmla="*/ 18 h 132"/>
                                    <a:gd name="T36" fmla="*/ 28 w 66"/>
                                    <a:gd name="T37" fmla="*/ 12 h 132"/>
                                    <a:gd name="T38" fmla="*/ 28 w 66"/>
                                    <a:gd name="T39" fmla="*/ 4 h 132"/>
                                    <a:gd name="T40" fmla="*/ 32 w 66"/>
                                    <a:gd name="T41" fmla="*/ 0 h 132"/>
                                    <a:gd name="T42" fmla="*/ 36 w 66"/>
                                    <a:gd name="T43" fmla="*/ 0 h 132"/>
                                    <a:gd name="T44" fmla="*/ 38 w 66"/>
                                    <a:gd name="T45" fmla="*/ 4 h 132"/>
                                    <a:gd name="T46" fmla="*/ 38 w 66"/>
                                    <a:gd name="T47" fmla="*/ 12 h 132"/>
                                    <a:gd name="T48" fmla="*/ 62 w 66"/>
                                    <a:gd name="T49" fmla="*/ 18 h 132"/>
                                    <a:gd name="T50" fmla="*/ 62 w 66"/>
                                    <a:gd name="T51" fmla="*/ 18 h 132"/>
                                    <a:gd name="T52" fmla="*/ 64 w 66"/>
                                    <a:gd name="T53" fmla="*/ 22 h 132"/>
                                    <a:gd name="T54" fmla="*/ 58 w 66"/>
                                    <a:gd name="T55" fmla="*/ 34 h 132"/>
                                    <a:gd name="T56" fmla="*/ 56 w 66"/>
                                    <a:gd name="T57" fmla="*/ 34 h 132"/>
                                    <a:gd name="T58" fmla="*/ 54 w 66"/>
                                    <a:gd name="T59" fmla="*/ 32 h 132"/>
                                    <a:gd name="T60" fmla="*/ 38 w 66"/>
                                    <a:gd name="T61" fmla="*/ 28 h 132"/>
                                    <a:gd name="T62" fmla="*/ 42 w 66"/>
                                    <a:gd name="T63" fmla="*/ 58 h 132"/>
                                    <a:gd name="T64" fmla="*/ 52 w 66"/>
                                    <a:gd name="T65" fmla="*/ 64 h 132"/>
                                    <a:gd name="T66" fmla="*/ 64 w 66"/>
                                    <a:gd name="T67" fmla="*/ 78 h 132"/>
                                    <a:gd name="T68" fmla="*/ 66 w 66"/>
                                    <a:gd name="T69" fmla="*/ 90 h 132"/>
                                    <a:gd name="T70" fmla="*/ 60 w 66"/>
                                    <a:gd name="T71" fmla="*/ 110 h 132"/>
                                    <a:gd name="T72" fmla="*/ 38 w 66"/>
                                    <a:gd name="T73" fmla="*/ 122 h 132"/>
                                    <a:gd name="T74" fmla="*/ 30 w 66"/>
                                    <a:gd name="T75" fmla="*/ 28 h 132"/>
                                    <a:gd name="T76" fmla="*/ 26 w 66"/>
                                    <a:gd name="T77" fmla="*/ 28 h 132"/>
                                    <a:gd name="T78" fmla="*/ 22 w 66"/>
                                    <a:gd name="T79" fmla="*/ 32 h 132"/>
                                    <a:gd name="T80" fmla="*/ 20 w 66"/>
                                    <a:gd name="T81" fmla="*/ 40 h 132"/>
                                    <a:gd name="T82" fmla="*/ 20 w 66"/>
                                    <a:gd name="T83" fmla="*/ 44 h 132"/>
                                    <a:gd name="T84" fmla="*/ 26 w 66"/>
                                    <a:gd name="T85" fmla="*/ 52 h 132"/>
                                    <a:gd name="T86" fmla="*/ 30 w 66"/>
                                    <a:gd name="T87" fmla="*/ 28 h 132"/>
                                    <a:gd name="T88" fmla="*/ 38 w 66"/>
                                    <a:gd name="T89" fmla="*/ 104 h 132"/>
                                    <a:gd name="T90" fmla="*/ 48 w 66"/>
                                    <a:gd name="T91" fmla="*/ 98 h 132"/>
                                    <a:gd name="T92" fmla="*/ 48 w 66"/>
                                    <a:gd name="T93" fmla="*/ 92 h 132"/>
                                    <a:gd name="T94" fmla="*/ 44 w 66"/>
                                    <a:gd name="T95" fmla="*/ 80 h 132"/>
                                    <a:gd name="T96" fmla="*/ 38 w 66"/>
                                    <a:gd name="T97" fmla="*/ 7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 h="132">
                                      <a:moveTo>
                                        <a:pt x="38" y="128"/>
                                      </a:moveTo>
                                      <a:lnTo>
                                        <a:pt x="38" y="128"/>
                                      </a:lnTo>
                                      <a:lnTo>
                                        <a:pt x="38" y="130"/>
                                      </a:lnTo>
                                      <a:lnTo>
                                        <a:pt x="36" y="132"/>
                                      </a:lnTo>
                                      <a:lnTo>
                                        <a:pt x="32" y="132"/>
                                      </a:lnTo>
                                      <a:lnTo>
                                        <a:pt x="32" y="132"/>
                                      </a:lnTo>
                                      <a:lnTo>
                                        <a:pt x="30" y="130"/>
                                      </a:lnTo>
                                      <a:lnTo>
                                        <a:pt x="28" y="128"/>
                                      </a:lnTo>
                                      <a:lnTo>
                                        <a:pt x="28" y="122"/>
                                      </a:lnTo>
                                      <a:lnTo>
                                        <a:pt x="28" y="122"/>
                                      </a:lnTo>
                                      <a:lnTo>
                                        <a:pt x="14" y="120"/>
                                      </a:lnTo>
                                      <a:lnTo>
                                        <a:pt x="4" y="116"/>
                                      </a:lnTo>
                                      <a:lnTo>
                                        <a:pt x="4" y="116"/>
                                      </a:lnTo>
                                      <a:lnTo>
                                        <a:pt x="0" y="112"/>
                                      </a:lnTo>
                                      <a:lnTo>
                                        <a:pt x="2" y="112"/>
                                      </a:lnTo>
                                      <a:lnTo>
                                        <a:pt x="6" y="98"/>
                                      </a:lnTo>
                                      <a:lnTo>
                                        <a:pt x="6" y="98"/>
                                      </a:lnTo>
                                      <a:lnTo>
                                        <a:pt x="8" y="96"/>
                                      </a:lnTo>
                                      <a:lnTo>
                                        <a:pt x="8" y="96"/>
                                      </a:lnTo>
                                      <a:lnTo>
                                        <a:pt x="10" y="98"/>
                                      </a:lnTo>
                                      <a:lnTo>
                                        <a:pt x="10" y="98"/>
                                      </a:lnTo>
                                      <a:lnTo>
                                        <a:pt x="16" y="100"/>
                                      </a:lnTo>
                                      <a:lnTo>
                                        <a:pt x="28" y="104"/>
                                      </a:lnTo>
                                      <a:lnTo>
                                        <a:pt x="28" y="72"/>
                                      </a:lnTo>
                                      <a:lnTo>
                                        <a:pt x="26" y="72"/>
                                      </a:lnTo>
                                      <a:lnTo>
                                        <a:pt x="26" y="72"/>
                                      </a:lnTo>
                                      <a:lnTo>
                                        <a:pt x="18" y="68"/>
                                      </a:lnTo>
                                      <a:lnTo>
                                        <a:pt x="10" y="62"/>
                                      </a:lnTo>
                                      <a:lnTo>
                                        <a:pt x="4" y="54"/>
                                      </a:lnTo>
                                      <a:lnTo>
                                        <a:pt x="2" y="48"/>
                                      </a:lnTo>
                                      <a:lnTo>
                                        <a:pt x="0" y="42"/>
                                      </a:lnTo>
                                      <a:lnTo>
                                        <a:pt x="0" y="42"/>
                                      </a:lnTo>
                                      <a:lnTo>
                                        <a:pt x="2" y="30"/>
                                      </a:lnTo>
                                      <a:lnTo>
                                        <a:pt x="6" y="22"/>
                                      </a:lnTo>
                                      <a:lnTo>
                                        <a:pt x="6" y="22"/>
                                      </a:lnTo>
                                      <a:lnTo>
                                        <a:pt x="12" y="18"/>
                                      </a:lnTo>
                                      <a:lnTo>
                                        <a:pt x="16" y="14"/>
                                      </a:lnTo>
                                      <a:lnTo>
                                        <a:pt x="28" y="12"/>
                                      </a:lnTo>
                                      <a:lnTo>
                                        <a:pt x="28" y="4"/>
                                      </a:lnTo>
                                      <a:lnTo>
                                        <a:pt x="28" y="4"/>
                                      </a:lnTo>
                                      <a:lnTo>
                                        <a:pt x="30" y="2"/>
                                      </a:lnTo>
                                      <a:lnTo>
                                        <a:pt x="32" y="0"/>
                                      </a:lnTo>
                                      <a:lnTo>
                                        <a:pt x="36" y="0"/>
                                      </a:lnTo>
                                      <a:lnTo>
                                        <a:pt x="36" y="0"/>
                                      </a:lnTo>
                                      <a:lnTo>
                                        <a:pt x="38" y="2"/>
                                      </a:lnTo>
                                      <a:lnTo>
                                        <a:pt x="38" y="4"/>
                                      </a:lnTo>
                                      <a:lnTo>
                                        <a:pt x="38" y="12"/>
                                      </a:lnTo>
                                      <a:lnTo>
                                        <a:pt x="38" y="12"/>
                                      </a:lnTo>
                                      <a:lnTo>
                                        <a:pt x="54" y="14"/>
                                      </a:lnTo>
                                      <a:lnTo>
                                        <a:pt x="62" y="18"/>
                                      </a:lnTo>
                                      <a:lnTo>
                                        <a:pt x="62" y="18"/>
                                      </a:lnTo>
                                      <a:lnTo>
                                        <a:pt x="62" y="18"/>
                                      </a:lnTo>
                                      <a:lnTo>
                                        <a:pt x="64" y="20"/>
                                      </a:lnTo>
                                      <a:lnTo>
                                        <a:pt x="64" y="22"/>
                                      </a:lnTo>
                                      <a:lnTo>
                                        <a:pt x="58" y="34"/>
                                      </a:lnTo>
                                      <a:lnTo>
                                        <a:pt x="58" y="34"/>
                                      </a:lnTo>
                                      <a:lnTo>
                                        <a:pt x="56" y="34"/>
                                      </a:lnTo>
                                      <a:lnTo>
                                        <a:pt x="56" y="34"/>
                                      </a:lnTo>
                                      <a:lnTo>
                                        <a:pt x="54" y="32"/>
                                      </a:lnTo>
                                      <a:lnTo>
                                        <a:pt x="54" y="32"/>
                                      </a:lnTo>
                                      <a:lnTo>
                                        <a:pt x="48" y="30"/>
                                      </a:lnTo>
                                      <a:lnTo>
                                        <a:pt x="38" y="28"/>
                                      </a:lnTo>
                                      <a:lnTo>
                                        <a:pt x="38" y="58"/>
                                      </a:lnTo>
                                      <a:lnTo>
                                        <a:pt x="42" y="58"/>
                                      </a:lnTo>
                                      <a:lnTo>
                                        <a:pt x="42" y="58"/>
                                      </a:lnTo>
                                      <a:lnTo>
                                        <a:pt x="52" y="64"/>
                                      </a:lnTo>
                                      <a:lnTo>
                                        <a:pt x="60" y="70"/>
                                      </a:lnTo>
                                      <a:lnTo>
                                        <a:pt x="64" y="78"/>
                                      </a:lnTo>
                                      <a:lnTo>
                                        <a:pt x="66" y="90"/>
                                      </a:lnTo>
                                      <a:lnTo>
                                        <a:pt x="66" y="90"/>
                                      </a:lnTo>
                                      <a:lnTo>
                                        <a:pt x="64" y="102"/>
                                      </a:lnTo>
                                      <a:lnTo>
                                        <a:pt x="60" y="110"/>
                                      </a:lnTo>
                                      <a:lnTo>
                                        <a:pt x="50" y="118"/>
                                      </a:lnTo>
                                      <a:lnTo>
                                        <a:pt x="38" y="122"/>
                                      </a:lnTo>
                                      <a:lnTo>
                                        <a:pt x="38" y="128"/>
                                      </a:lnTo>
                                      <a:close/>
                                      <a:moveTo>
                                        <a:pt x="30" y="28"/>
                                      </a:moveTo>
                                      <a:lnTo>
                                        <a:pt x="30" y="28"/>
                                      </a:lnTo>
                                      <a:lnTo>
                                        <a:pt x="26" y="28"/>
                                      </a:lnTo>
                                      <a:lnTo>
                                        <a:pt x="22" y="32"/>
                                      </a:lnTo>
                                      <a:lnTo>
                                        <a:pt x="22" y="32"/>
                                      </a:lnTo>
                                      <a:lnTo>
                                        <a:pt x="20" y="36"/>
                                      </a:lnTo>
                                      <a:lnTo>
                                        <a:pt x="20" y="40"/>
                                      </a:lnTo>
                                      <a:lnTo>
                                        <a:pt x="20" y="40"/>
                                      </a:lnTo>
                                      <a:lnTo>
                                        <a:pt x="20" y="44"/>
                                      </a:lnTo>
                                      <a:lnTo>
                                        <a:pt x="22" y="48"/>
                                      </a:lnTo>
                                      <a:lnTo>
                                        <a:pt x="26" y="52"/>
                                      </a:lnTo>
                                      <a:lnTo>
                                        <a:pt x="30" y="54"/>
                                      </a:lnTo>
                                      <a:lnTo>
                                        <a:pt x="30" y="28"/>
                                      </a:lnTo>
                                      <a:close/>
                                      <a:moveTo>
                                        <a:pt x="38" y="104"/>
                                      </a:moveTo>
                                      <a:lnTo>
                                        <a:pt x="38" y="104"/>
                                      </a:lnTo>
                                      <a:lnTo>
                                        <a:pt x="44" y="100"/>
                                      </a:lnTo>
                                      <a:lnTo>
                                        <a:pt x="48" y="98"/>
                                      </a:lnTo>
                                      <a:lnTo>
                                        <a:pt x="48" y="92"/>
                                      </a:lnTo>
                                      <a:lnTo>
                                        <a:pt x="48" y="92"/>
                                      </a:lnTo>
                                      <a:lnTo>
                                        <a:pt x="48" y="86"/>
                                      </a:lnTo>
                                      <a:lnTo>
                                        <a:pt x="44" y="80"/>
                                      </a:lnTo>
                                      <a:lnTo>
                                        <a:pt x="38" y="76"/>
                                      </a:lnTo>
                                      <a:lnTo>
                                        <a:pt x="38" y="76"/>
                                      </a:lnTo>
                                      <a:lnTo>
                                        <a:pt x="38" y="10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4" name="Freeform 224"/>
                              <wps:cNvSpPr>
                                <a:spLocks noEditPoints="1"/>
                              </wps:cNvSpPr>
                              <wps:spPr bwMode="auto">
                                <a:xfrm>
                                  <a:off x="15875" y="127000"/>
                                  <a:ext cx="50800" cy="101600"/>
                                </a:xfrm>
                                <a:custGeom>
                                  <a:avLst/>
                                  <a:gdLst>
                                    <a:gd name="T0" fmla="*/ 20 w 32"/>
                                    <a:gd name="T1" fmla="*/ 62 h 64"/>
                                    <a:gd name="T2" fmla="*/ 18 w 32"/>
                                    <a:gd name="T3" fmla="*/ 64 h 64"/>
                                    <a:gd name="T4" fmla="*/ 16 w 32"/>
                                    <a:gd name="T5" fmla="*/ 64 h 64"/>
                                    <a:gd name="T6" fmla="*/ 14 w 32"/>
                                    <a:gd name="T7" fmla="*/ 62 h 64"/>
                                    <a:gd name="T8" fmla="*/ 14 w 32"/>
                                    <a:gd name="T9" fmla="*/ 58 h 64"/>
                                    <a:gd name="T10" fmla="*/ 2 w 32"/>
                                    <a:gd name="T11" fmla="*/ 56 h 64"/>
                                    <a:gd name="T12" fmla="*/ 2 w 32"/>
                                    <a:gd name="T13" fmla="*/ 54 h 64"/>
                                    <a:gd name="T14" fmla="*/ 4 w 32"/>
                                    <a:gd name="T15" fmla="*/ 46 h 64"/>
                                    <a:gd name="T16" fmla="*/ 6 w 32"/>
                                    <a:gd name="T17" fmla="*/ 46 h 64"/>
                                    <a:gd name="T18" fmla="*/ 14 w 32"/>
                                    <a:gd name="T19" fmla="*/ 50 h 64"/>
                                    <a:gd name="T20" fmla="*/ 12 w 32"/>
                                    <a:gd name="T21" fmla="*/ 34 h 64"/>
                                    <a:gd name="T22" fmla="*/ 6 w 32"/>
                                    <a:gd name="T23" fmla="*/ 30 h 64"/>
                                    <a:gd name="T24" fmla="*/ 0 w 32"/>
                                    <a:gd name="T25" fmla="*/ 20 h 64"/>
                                    <a:gd name="T26" fmla="*/ 2 w 32"/>
                                    <a:gd name="T27" fmla="*/ 16 h 64"/>
                                    <a:gd name="T28" fmla="*/ 4 w 32"/>
                                    <a:gd name="T29" fmla="*/ 12 h 64"/>
                                    <a:gd name="T30" fmla="*/ 14 w 32"/>
                                    <a:gd name="T31" fmla="*/ 6 h 64"/>
                                    <a:gd name="T32" fmla="*/ 14 w 32"/>
                                    <a:gd name="T33" fmla="*/ 2 h 64"/>
                                    <a:gd name="T34" fmla="*/ 16 w 32"/>
                                    <a:gd name="T35" fmla="*/ 0 h 64"/>
                                    <a:gd name="T36" fmla="*/ 18 w 32"/>
                                    <a:gd name="T37" fmla="*/ 0 h 64"/>
                                    <a:gd name="T38" fmla="*/ 20 w 32"/>
                                    <a:gd name="T39" fmla="*/ 2 h 64"/>
                                    <a:gd name="T40" fmla="*/ 20 w 32"/>
                                    <a:gd name="T41" fmla="*/ 6 h 64"/>
                                    <a:gd name="T42" fmla="*/ 30 w 32"/>
                                    <a:gd name="T43" fmla="*/ 8 h 64"/>
                                    <a:gd name="T44" fmla="*/ 30 w 32"/>
                                    <a:gd name="T45" fmla="*/ 10 h 64"/>
                                    <a:gd name="T46" fmla="*/ 28 w 32"/>
                                    <a:gd name="T47" fmla="*/ 16 h 64"/>
                                    <a:gd name="T48" fmla="*/ 28 w 32"/>
                                    <a:gd name="T49" fmla="*/ 16 h 64"/>
                                    <a:gd name="T50" fmla="*/ 26 w 32"/>
                                    <a:gd name="T51" fmla="*/ 16 h 64"/>
                                    <a:gd name="T52" fmla="*/ 20 w 32"/>
                                    <a:gd name="T53" fmla="*/ 28 h 64"/>
                                    <a:gd name="T54" fmla="*/ 20 w 32"/>
                                    <a:gd name="T55" fmla="*/ 28 h 64"/>
                                    <a:gd name="T56" fmla="*/ 32 w 32"/>
                                    <a:gd name="T57" fmla="*/ 38 h 64"/>
                                    <a:gd name="T58" fmla="*/ 32 w 32"/>
                                    <a:gd name="T59" fmla="*/ 44 h 64"/>
                                    <a:gd name="T60" fmla="*/ 28 w 32"/>
                                    <a:gd name="T61" fmla="*/ 54 h 64"/>
                                    <a:gd name="T62" fmla="*/ 20 w 32"/>
                                    <a:gd name="T63" fmla="*/ 58 h 64"/>
                                    <a:gd name="T64" fmla="*/ 14 w 32"/>
                                    <a:gd name="T65" fmla="*/ 14 h 64"/>
                                    <a:gd name="T66" fmla="*/ 12 w 32"/>
                                    <a:gd name="T67" fmla="*/ 16 h 64"/>
                                    <a:gd name="T68" fmla="*/ 10 w 32"/>
                                    <a:gd name="T69" fmla="*/ 20 h 64"/>
                                    <a:gd name="T70" fmla="*/ 12 w 32"/>
                                    <a:gd name="T71" fmla="*/ 24 h 64"/>
                                    <a:gd name="T72" fmla="*/ 14 w 32"/>
                                    <a:gd name="T73" fmla="*/ 14 h 64"/>
                                    <a:gd name="T74" fmla="*/ 18 w 32"/>
                                    <a:gd name="T75" fmla="*/ 50 h 64"/>
                                    <a:gd name="T76" fmla="*/ 22 w 32"/>
                                    <a:gd name="T77" fmla="*/ 46 h 64"/>
                                    <a:gd name="T78" fmla="*/ 24 w 32"/>
                                    <a:gd name="T79" fmla="*/ 44 h 64"/>
                                    <a:gd name="T80" fmla="*/ 22 w 32"/>
                                    <a:gd name="T81" fmla="*/ 38 h 64"/>
                                    <a:gd name="T82" fmla="*/ 18 w 32"/>
                                    <a:gd name="T83"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 h="64">
                                      <a:moveTo>
                                        <a:pt x="20" y="62"/>
                                      </a:moveTo>
                                      <a:lnTo>
                                        <a:pt x="20" y="62"/>
                                      </a:lnTo>
                                      <a:lnTo>
                                        <a:pt x="18" y="62"/>
                                      </a:lnTo>
                                      <a:lnTo>
                                        <a:pt x="18" y="64"/>
                                      </a:lnTo>
                                      <a:lnTo>
                                        <a:pt x="16" y="64"/>
                                      </a:lnTo>
                                      <a:lnTo>
                                        <a:pt x="16" y="64"/>
                                      </a:lnTo>
                                      <a:lnTo>
                                        <a:pt x="14" y="62"/>
                                      </a:lnTo>
                                      <a:lnTo>
                                        <a:pt x="14" y="62"/>
                                      </a:lnTo>
                                      <a:lnTo>
                                        <a:pt x="14" y="58"/>
                                      </a:lnTo>
                                      <a:lnTo>
                                        <a:pt x="14" y="58"/>
                                      </a:lnTo>
                                      <a:lnTo>
                                        <a:pt x="6" y="58"/>
                                      </a:lnTo>
                                      <a:lnTo>
                                        <a:pt x="2" y="56"/>
                                      </a:lnTo>
                                      <a:lnTo>
                                        <a:pt x="2" y="54"/>
                                      </a:lnTo>
                                      <a:lnTo>
                                        <a:pt x="2" y="54"/>
                                      </a:lnTo>
                                      <a:lnTo>
                                        <a:pt x="4" y="48"/>
                                      </a:lnTo>
                                      <a:lnTo>
                                        <a:pt x="4" y="46"/>
                                      </a:lnTo>
                                      <a:lnTo>
                                        <a:pt x="6" y="46"/>
                                      </a:lnTo>
                                      <a:lnTo>
                                        <a:pt x="6" y="46"/>
                                      </a:lnTo>
                                      <a:lnTo>
                                        <a:pt x="8" y="48"/>
                                      </a:lnTo>
                                      <a:lnTo>
                                        <a:pt x="14" y="50"/>
                                      </a:lnTo>
                                      <a:lnTo>
                                        <a:pt x="14" y="36"/>
                                      </a:lnTo>
                                      <a:lnTo>
                                        <a:pt x="12" y="34"/>
                                      </a:lnTo>
                                      <a:lnTo>
                                        <a:pt x="12" y="34"/>
                                      </a:lnTo>
                                      <a:lnTo>
                                        <a:pt x="6" y="30"/>
                                      </a:lnTo>
                                      <a:lnTo>
                                        <a:pt x="2" y="26"/>
                                      </a:lnTo>
                                      <a:lnTo>
                                        <a:pt x="0" y="20"/>
                                      </a:lnTo>
                                      <a:lnTo>
                                        <a:pt x="0" y="20"/>
                                      </a:lnTo>
                                      <a:lnTo>
                                        <a:pt x="2" y="16"/>
                                      </a:lnTo>
                                      <a:lnTo>
                                        <a:pt x="4" y="12"/>
                                      </a:lnTo>
                                      <a:lnTo>
                                        <a:pt x="4" y="12"/>
                                      </a:lnTo>
                                      <a:lnTo>
                                        <a:pt x="8" y="8"/>
                                      </a:lnTo>
                                      <a:lnTo>
                                        <a:pt x="14" y="6"/>
                                      </a:lnTo>
                                      <a:lnTo>
                                        <a:pt x="14" y="2"/>
                                      </a:lnTo>
                                      <a:lnTo>
                                        <a:pt x="14" y="2"/>
                                      </a:lnTo>
                                      <a:lnTo>
                                        <a:pt x="14" y="2"/>
                                      </a:lnTo>
                                      <a:lnTo>
                                        <a:pt x="16" y="0"/>
                                      </a:lnTo>
                                      <a:lnTo>
                                        <a:pt x="18" y="0"/>
                                      </a:lnTo>
                                      <a:lnTo>
                                        <a:pt x="18" y="0"/>
                                      </a:lnTo>
                                      <a:lnTo>
                                        <a:pt x="18" y="2"/>
                                      </a:lnTo>
                                      <a:lnTo>
                                        <a:pt x="20" y="2"/>
                                      </a:lnTo>
                                      <a:lnTo>
                                        <a:pt x="20" y="6"/>
                                      </a:lnTo>
                                      <a:lnTo>
                                        <a:pt x="20" y="6"/>
                                      </a:lnTo>
                                      <a:lnTo>
                                        <a:pt x="26" y="8"/>
                                      </a:lnTo>
                                      <a:lnTo>
                                        <a:pt x="30" y="8"/>
                                      </a:lnTo>
                                      <a:lnTo>
                                        <a:pt x="30" y="8"/>
                                      </a:lnTo>
                                      <a:lnTo>
                                        <a:pt x="30" y="10"/>
                                      </a:lnTo>
                                      <a:lnTo>
                                        <a:pt x="30" y="12"/>
                                      </a:lnTo>
                                      <a:lnTo>
                                        <a:pt x="28" y="16"/>
                                      </a:lnTo>
                                      <a:lnTo>
                                        <a:pt x="28" y="16"/>
                                      </a:lnTo>
                                      <a:lnTo>
                                        <a:pt x="28" y="16"/>
                                      </a:lnTo>
                                      <a:lnTo>
                                        <a:pt x="26" y="16"/>
                                      </a:lnTo>
                                      <a:lnTo>
                                        <a:pt x="26" y="16"/>
                                      </a:lnTo>
                                      <a:lnTo>
                                        <a:pt x="20" y="14"/>
                                      </a:lnTo>
                                      <a:lnTo>
                                        <a:pt x="20" y="28"/>
                                      </a:lnTo>
                                      <a:lnTo>
                                        <a:pt x="20" y="28"/>
                                      </a:lnTo>
                                      <a:lnTo>
                                        <a:pt x="20" y="28"/>
                                      </a:lnTo>
                                      <a:lnTo>
                                        <a:pt x="28" y="34"/>
                                      </a:lnTo>
                                      <a:lnTo>
                                        <a:pt x="32" y="38"/>
                                      </a:lnTo>
                                      <a:lnTo>
                                        <a:pt x="32" y="44"/>
                                      </a:lnTo>
                                      <a:lnTo>
                                        <a:pt x="32" y="44"/>
                                      </a:lnTo>
                                      <a:lnTo>
                                        <a:pt x="32" y="48"/>
                                      </a:lnTo>
                                      <a:lnTo>
                                        <a:pt x="28" y="54"/>
                                      </a:lnTo>
                                      <a:lnTo>
                                        <a:pt x="24" y="56"/>
                                      </a:lnTo>
                                      <a:lnTo>
                                        <a:pt x="20" y="58"/>
                                      </a:lnTo>
                                      <a:lnTo>
                                        <a:pt x="20" y="62"/>
                                      </a:lnTo>
                                      <a:close/>
                                      <a:moveTo>
                                        <a:pt x="14" y="14"/>
                                      </a:moveTo>
                                      <a:lnTo>
                                        <a:pt x="14" y="14"/>
                                      </a:lnTo>
                                      <a:lnTo>
                                        <a:pt x="12" y="16"/>
                                      </a:lnTo>
                                      <a:lnTo>
                                        <a:pt x="12" y="16"/>
                                      </a:lnTo>
                                      <a:lnTo>
                                        <a:pt x="10" y="20"/>
                                      </a:lnTo>
                                      <a:lnTo>
                                        <a:pt x="10" y="20"/>
                                      </a:lnTo>
                                      <a:lnTo>
                                        <a:pt x="12" y="24"/>
                                      </a:lnTo>
                                      <a:lnTo>
                                        <a:pt x="14" y="26"/>
                                      </a:lnTo>
                                      <a:lnTo>
                                        <a:pt x="14" y="14"/>
                                      </a:lnTo>
                                      <a:close/>
                                      <a:moveTo>
                                        <a:pt x="18" y="50"/>
                                      </a:moveTo>
                                      <a:lnTo>
                                        <a:pt x="18" y="50"/>
                                      </a:lnTo>
                                      <a:lnTo>
                                        <a:pt x="22" y="48"/>
                                      </a:lnTo>
                                      <a:lnTo>
                                        <a:pt x="22" y="46"/>
                                      </a:lnTo>
                                      <a:lnTo>
                                        <a:pt x="24" y="44"/>
                                      </a:lnTo>
                                      <a:lnTo>
                                        <a:pt x="24" y="44"/>
                                      </a:lnTo>
                                      <a:lnTo>
                                        <a:pt x="24" y="40"/>
                                      </a:lnTo>
                                      <a:lnTo>
                                        <a:pt x="22" y="38"/>
                                      </a:lnTo>
                                      <a:lnTo>
                                        <a:pt x="18" y="36"/>
                                      </a:lnTo>
                                      <a:lnTo>
                                        <a:pt x="18" y="36"/>
                                      </a:lnTo>
                                      <a:lnTo>
                                        <a:pt x="18"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225"/>
                              <wps:cNvSpPr>
                                <a:spLocks noEditPoints="1"/>
                              </wps:cNvSpPr>
                              <wps:spPr bwMode="auto">
                                <a:xfrm>
                                  <a:off x="254000" y="0"/>
                                  <a:ext cx="50800" cy="98425"/>
                                </a:xfrm>
                                <a:custGeom>
                                  <a:avLst/>
                                  <a:gdLst>
                                    <a:gd name="T0" fmla="*/ 18 w 32"/>
                                    <a:gd name="T1" fmla="*/ 60 h 62"/>
                                    <a:gd name="T2" fmla="*/ 16 w 32"/>
                                    <a:gd name="T3" fmla="*/ 62 h 62"/>
                                    <a:gd name="T4" fmla="*/ 16 w 32"/>
                                    <a:gd name="T5" fmla="*/ 62 h 62"/>
                                    <a:gd name="T6" fmla="*/ 14 w 32"/>
                                    <a:gd name="T7" fmla="*/ 60 h 62"/>
                                    <a:gd name="T8" fmla="*/ 14 w 32"/>
                                    <a:gd name="T9" fmla="*/ 56 h 62"/>
                                    <a:gd name="T10" fmla="*/ 2 w 32"/>
                                    <a:gd name="T11" fmla="*/ 54 h 62"/>
                                    <a:gd name="T12" fmla="*/ 0 w 32"/>
                                    <a:gd name="T13" fmla="*/ 52 h 62"/>
                                    <a:gd name="T14" fmla="*/ 4 w 32"/>
                                    <a:gd name="T15" fmla="*/ 46 h 62"/>
                                    <a:gd name="T16" fmla="*/ 4 w 32"/>
                                    <a:gd name="T17" fmla="*/ 46 h 62"/>
                                    <a:gd name="T18" fmla="*/ 14 w 32"/>
                                    <a:gd name="T19" fmla="*/ 48 h 62"/>
                                    <a:gd name="T20" fmla="*/ 12 w 32"/>
                                    <a:gd name="T21" fmla="*/ 34 h 62"/>
                                    <a:gd name="T22" fmla="*/ 4 w 32"/>
                                    <a:gd name="T23" fmla="*/ 28 h 62"/>
                                    <a:gd name="T24" fmla="*/ 0 w 32"/>
                                    <a:gd name="T25" fmla="*/ 20 h 62"/>
                                    <a:gd name="T26" fmla="*/ 2 w 32"/>
                                    <a:gd name="T27" fmla="*/ 14 h 62"/>
                                    <a:gd name="T28" fmla="*/ 4 w 32"/>
                                    <a:gd name="T29" fmla="*/ 10 h 62"/>
                                    <a:gd name="T30" fmla="*/ 14 w 32"/>
                                    <a:gd name="T31" fmla="*/ 4 h 62"/>
                                    <a:gd name="T32" fmla="*/ 14 w 32"/>
                                    <a:gd name="T33" fmla="*/ 0 h 62"/>
                                    <a:gd name="T34" fmla="*/ 16 w 32"/>
                                    <a:gd name="T35" fmla="*/ 0 h 62"/>
                                    <a:gd name="T36" fmla="*/ 16 w 32"/>
                                    <a:gd name="T37" fmla="*/ 0 h 62"/>
                                    <a:gd name="T38" fmla="*/ 18 w 32"/>
                                    <a:gd name="T39" fmla="*/ 0 h 62"/>
                                    <a:gd name="T40" fmla="*/ 18 w 32"/>
                                    <a:gd name="T41" fmla="*/ 4 h 62"/>
                                    <a:gd name="T42" fmla="*/ 30 w 32"/>
                                    <a:gd name="T43" fmla="*/ 8 h 62"/>
                                    <a:gd name="T44" fmla="*/ 30 w 32"/>
                                    <a:gd name="T45" fmla="*/ 10 h 62"/>
                                    <a:gd name="T46" fmla="*/ 28 w 32"/>
                                    <a:gd name="T47" fmla="*/ 14 h 62"/>
                                    <a:gd name="T48" fmla="*/ 26 w 32"/>
                                    <a:gd name="T49" fmla="*/ 16 h 62"/>
                                    <a:gd name="T50" fmla="*/ 26 w 32"/>
                                    <a:gd name="T51" fmla="*/ 14 h 62"/>
                                    <a:gd name="T52" fmla="*/ 18 w 32"/>
                                    <a:gd name="T53" fmla="*/ 26 h 62"/>
                                    <a:gd name="T54" fmla="*/ 20 w 32"/>
                                    <a:gd name="T55" fmla="*/ 28 h 62"/>
                                    <a:gd name="T56" fmla="*/ 30 w 32"/>
                                    <a:gd name="T57" fmla="*/ 36 h 62"/>
                                    <a:gd name="T58" fmla="*/ 32 w 32"/>
                                    <a:gd name="T59" fmla="*/ 42 h 62"/>
                                    <a:gd name="T60" fmla="*/ 28 w 32"/>
                                    <a:gd name="T61" fmla="*/ 52 h 62"/>
                                    <a:gd name="T62" fmla="*/ 18 w 32"/>
                                    <a:gd name="T63" fmla="*/ 56 h 62"/>
                                    <a:gd name="T64" fmla="*/ 14 w 32"/>
                                    <a:gd name="T65" fmla="*/ 12 h 62"/>
                                    <a:gd name="T66" fmla="*/ 10 w 32"/>
                                    <a:gd name="T67" fmla="*/ 14 h 62"/>
                                    <a:gd name="T68" fmla="*/ 10 w 32"/>
                                    <a:gd name="T69" fmla="*/ 18 h 62"/>
                                    <a:gd name="T70" fmla="*/ 10 w 32"/>
                                    <a:gd name="T71" fmla="*/ 22 h 62"/>
                                    <a:gd name="T72" fmla="*/ 14 w 32"/>
                                    <a:gd name="T73" fmla="*/ 12 h 62"/>
                                    <a:gd name="T74" fmla="*/ 18 w 32"/>
                                    <a:gd name="T75" fmla="*/ 48 h 62"/>
                                    <a:gd name="T76" fmla="*/ 22 w 32"/>
                                    <a:gd name="T77" fmla="*/ 46 h 62"/>
                                    <a:gd name="T78" fmla="*/ 22 w 32"/>
                                    <a:gd name="T79" fmla="*/ 42 h 62"/>
                                    <a:gd name="T80" fmla="*/ 20 w 32"/>
                                    <a:gd name="T81" fmla="*/ 38 h 62"/>
                                    <a:gd name="T82" fmla="*/ 18 w 32"/>
                                    <a:gd name="T83" fmla="*/ 3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 h="62">
                                      <a:moveTo>
                                        <a:pt x="18" y="60"/>
                                      </a:moveTo>
                                      <a:lnTo>
                                        <a:pt x="18" y="60"/>
                                      </a:lnTo>
                                      <a:lnTo>
                                        <a:pt x="18" y="62"/>
                                      </a:lnTo>
                                      <a:lnTo>
                                        <a:pt x="16" y="62"/>
                                      </a:lnTo>
                                      <a:lnTo>
                                        <a:pt x="16" y="62"/>
                                      </a:lnTo>
                                      <a:lnTo>
                                        <a:pt x="16" y="62"/>
                                      </a:lnTo>
                                      <a:lnTo>
                                        <a:pt x="14" y="62"/>
                                      </a:lnTo>
                                      <a:lnTo>
                                        <a:pt x="14" y="60"/>
                                      </a:lnTo>
                                      <a:lnTo>
                                        <a:pt x="14" y="56"/>
                                      </a:lnTo>
                                      <a:lnTo>
                                        <a:pt x="14" y="56"/>
                                      </a:lnTo>
                                      <a:lnTo>
                                        <a:pt x="6" y="56"/>
                                      </a:lnTo>
                                      <a:lnTo>
                                        <a:pt x="2" y="54"/>
                                      </a:lnTo>
                                      <a:lnTo>
                                        <a:pt x="0" y="52"/>
                                      </a:lnTo>
                                      <a:lnTo>
                                        <a:pt x="0" y="52"/>
                                      </a:lnTo>
                                      <a:lnTo>
                                        <a:pt x="2" y="46"/>
                                      </a:lnTo>
                                      <a:lnTo>
                                        <a:pt x="4" y="46"/>
                                      </a:lnTo>
                                      <a:lnTo>
                                        <a:pt x="4" y="46"/>
                                      </a:lnTo>
                                      <a:lnTo>
                                        <a:pt x="4" y="46"/>
                                      </a:lnTo>
                                      <a:lnTo>
                                        <a:pt x="8" y="48"/>
                                      </a:lnTo>
                                      <a:lnTo>
                                        <a:pt x="14" y="48"/>
                                      </a:lnTo>
                                      <a:lnTo>
                                        <a:pt x="14" y="34"/>
                                      </a:lnTo>
                                      <a:lnTo>
                                        <a:pt x="12" y="34"/>
                                      </a:lnTo>
                                      <a:lnTo>
                                        <a:pt x="12" y="34"/>
                                      </a:lnTo>
                                      <a:lnTo>
                                        <a:pt x="4" y="28"/>
                                      </a:lnTo>
                                      <a:lnTo>
                                        <a:pt x="2" y="24"/>
                                      </a:lnTo>
                                      <a:lnTo>
                                        <a:pt x="0" y="20"/>
                                      </a:lnTo>
                                      <a:lnTo>
                                        <a:pt x="0" y="20"/>
                                      </a:lnTo>
                                      <a:lnTo>
                                        <a:pt x="2" y="14"/>
                                      </a:lnTo>
                                      <a:lnTo>
                                        <a:pt x="4" y="10"/>
                                      </a:lnTo>
                                      <a:lnTo>
                                        <a:pt x="4" y="10"/>
                                      </a:lnTo>
                                      <a:lnTo>
                                        <a:pt x="8" y="6"/>
                                      </a:lnTo>
                                      <a:lnTo>
                                        <a:pt x="14" y="4"/>
                                      </a:lnTo>
                                      <a:lnTo>
                                        <a:pt x="14" y="0"/>
                                      </a:lnTo>
                                      <a:lnTo>
                                        <a:pt x="14" y="0"/>
                                      </a:lnTo>
                                      <a:lnTo>
                                        <a:pt x="14" y="0"/>
                                      </a:lnTo>
                                      <a:lnTo>
                                        <a:pt x="16" y="0"/>
                                      </a:lnTo>
                                      <a:lnTo>
                                        <a:pt x="16" y="0"/>
                                      </a:lnTo>
                                      <a:lnTo>
                                        <a:pt x="16" y="0"/>
                                      </a:lnTo>
                                      <a:lnTo>
                                        <a:pt x="18" y="0"/>
                                      </a:lnTo>
                                      <a:lnTo>
                                        <a:pt x="18" y="0"/>
                                      </a:lnTo>
                                      <a:lnTo>
                                        <a:pt x="18" y="4"/>
                                      </a:lnTo>
                                      <a:lnTo>
                                        <a:pt x="18" y="4"/>
                                      </a:lnTo>
                                      <a:lnTo>
                                        <a:pt x="26" y="6"/>
                                      </a:lnTo>
                                      <a:lnTo>
                                        <a:pt x="30" y="8"/>
                                      </a:lnTo>
                                      <a:lnTo>
                                        <a:pt x="30" y="8"/>
                                      </a:lnTo>
                                      <a:lnTo>
                                        <a:pt x="30" y="10"/>
                                      </a:lnTo>
                                      <a:lnTo>
                                        <a:pt x="30" y="10"/>
                                      </a:lnTo>
                                      <a:lnTo>
                                        <a:pt x="28" y="14"/>
                                      </a:lnTo>
                                      <a:lnTo>
                                        <a:pt x="26" y="16"/>
                                      </a:lnTo>
                                      <a:lnTo>
                                        <a:pt x="26" y="16"/>
                                      </a:lnTo>
                                      <a:lnTo>
                                        <a:pt x="26" y="14"/>
                                      </a:lnTo>
                                      <a:lnTo>
                                        <a:pt x="26" y="14"/>
                                      </a:lnTo>
                                      <a:lnTo>
                                        <a:pt x="18" y="12"/>
                                      </a:lnTo>
                                      <a:lnTo>
                                        <a:pt x="18" y="26"/>
                                      </a:lnTo>
                                      <a:lnTo>
                                        <a:pt x="20" y="28"/>
                                      </a:lnTo>
                                      <a:lnTo>
                                        <a:pt x="20" y="28"/>
                                      </a:lnTo>
                                      <a:lnTo>
                                        <a:pt x="28" y="32"/>
                                      </a:lnTo>
                                      <a:lnTo>
                                        <a:pt x="30" y="36"/>
                                      </a:lnTo>
                                      <a:lnTo>
                                        <a:pt x="32" y="42"/>
                                      </a:lnTo>
                                      <a:lnTo>
                                        <a:pt x="32" y="42"/>
                                      </a:lnTo>
                                      <a:lnTo>
                                        <a:pt x="30" y="48"/>
                                      </a:lnTo>
                                      <a:lnTo>
                                        <a:pt x="28" y="52"/>
                                      </a:lnTo>
                                      <a:lnTo>
                                        <a:pt x="24" y="56"/>
                                      </a:lnTo>
                                      <a:lnTo>
                                        <a:pt x="18" y="56"/>
                                      </a:lnTo>
                                      <a:lnTo>
                                        <a:pt x="18" y="60"/>
                                      </a:lnTo>
                                      <a:close/>
                                      <a:moveTo>
                                        <a:pt x="14" y="12"/>
                                      </a:moveTo>
                                      <a:lnTo>
                                        <a:pt x="14" y="12"/>
                                      </a:lnTo>
                                      <a:lnTo>
                                        <a:pt x="10" y="14"/>
                                      </a:lnTo>
                                      <a:lnTo>
                                        <a:pt x="10" y="14"/>
                                      </a:lnTo>
                                      <a:lnTo>
                                        <a:pt x="10" y="18"/>
                                      </a:lnTo>
                                      <a:lnTo>
                                        <a:pt x="10" y="18"/>
                                      </a:lnTo>
                                      <a:lnTo>
                                        <a:pt x="10" y="22"/>
                                      </a:lnTo>
                                      <a:lnTo>
                                        <a:pt x="14" y="24"/>
                                      </a:lnTo>
                                      <a:lnTo>
                                        <a:pt x="14" y="12"/>
                                      </a:lnTo>
                                      <a:close/>
                                      <a:moveTo>
                                        <a:pt x="18" y="48"/>
                                      </a:moveTo>
                                      <a:lnTo>
                                        <a:pt x="18" y="48"/>
                                      </a:lnTo>
                                      <a:lnTo>
                                        <a:pt x="20" y="48"/>
                                      </a:lnTo>
                                      <a:lnTo>
                                        <a:pt x="22" y="46"/>
                                      </a:lnTo>
                                      <a:lnTo>
                                        <a:pt x="22" y="42"/>
                                      </a:lnTo>
                                      <a:lnTo>
                                        <a:pt x="22" y="42"/>
                                      </a:lnTo>
                                      <a:lnTo>
                                        <a:pt x="22" y="40"/>
                                      </a:lnTo>
                                      <a:lnTo>
                                        <a:pt x="20" y="38"/>
                                      </a:lnTo>
                                      <a:lnTo>
                                        <a:pt x="18" y="36"/>
                                      </a:lnTo>
                                      <a:lnTo>
                                        <a:pt x="18" y="36"/>
                                      </a:lnTo>
                                      <a:lnTo>
                                        <a:pt x="18"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226"/>
                              <wps:cNvSpPr>
                                <a:spLocks noEditPoints="1"/>
                              </wps:cNvSpPr>
                              <wps:spPr bwMode="auto">
                                <a:xfrm>
                                  <a:off x="523875" y="117475"/>
                                  <a:ext cx="139700" cy="279400"/>
                                </a:xfrm>
                                <a:custGeom>
                                  <a:avLst/>
                                  <a:gdLst>
                                    <a:gd name="T0" fmla="*/ 50 w 88"/>
                                    <a:gd name="T1" fmla="*/ 172 h 176"/>
                                    <a:gd name="T2" fmla="*/ 48 w 88"/>
                                    <a:gd name="T3" fmla="*/ 176 h 176"/>
                                    <a:gd name="T4" fmla="*/ 42 w 88"/>
                                    <a:gd name="T5" fmla="*/ 176 h 176"/>
                                    <a:gd name="T6" fmla="*/ 38 w 88"/>
                                    <a:gd name="T7" fmla="*/ 176 h 176"/>
                                    <a:gd name="T8" fmla="*/ 36 w 88"/>
                                    <a:gd name="T9" fmla="*/ 172 h 176"/>
                                    <a:gd name="T10" fmla="*/ 36 w 88"/>
                                    <a:gd name="T11" fmla="*/ 162 h 176"/>
                                    <a:gd name="T12" fmla="*/ 16 w 88"/>
                                    <a:gd name="T13" fmla="*/ 160 h 176"/>
                                    <a:gd name="T14" fmla="*/ 2 w 88"/>
                                    <a:gd name="T15" fmla="*/ 154 h 176"/>
                                    <a:gd name="T16" fmla="*/ 0 w 88"/>
                                    <a:gd name="T17" fmla="*/ 150 h 176"/>
                                    <a:gd name="T18" fmla="*/ 6 w 88"/>
                                    <a:gd name="T19" fmla="*/ 130 h 176"/>
                                    <a:gd name="T20" fmla="*/ 8 w 88"/>
                                    <a:gd name="T21" fmla="*/ 130 h 176"/>
                                    <a:gd name="T22" fmla="*/ 10 w 88"/>
                                    <a:gd name="T23" fmla="*/ 130 h 176"/>
                                    <a:gd name="T24" fmla="*/ 20 w 88"/>
                                    <a:gd name="T25" fmla="*/ 134 h 176"/>
                                    <a:gd name="T26" fmla="*/ 36 w 88"/>
                                    <a:gd name="T27" fmla="*/ 138 h 176"/>
                                    <a:gd name="T28" fmla="*/ 32 w 88"/>
                                    <a:gd name="T29" fmla="*/ 96 h 176"/>
                                    <a:gd name="T30" fmla="*/ 22 w 88"/>
                                    <a:gd name="T31" fmla="*/ 90 h 176"/>
                                    <a:gd name="T32" fmla="*/ 6 w 88"/>
                                    <a:gd name="T33" fmla="*/ 78 h 176"/>
                                    <a:gd name="T34" fmla="*/ 0 w 88"/>
                                    <a:gd name="T35" fmla="*/ 64 h 176"/>
                                    <a:gd name="T36" fmla="*/ 0 w 88"/>
                                    <a:gd name="T37" fmla="*/ 56 h 176"/>
                                    <a:gd name="T38" fmla="*/ 2 w 88"/>
                                    <a:gd name="T39" fmla="*/ 40 h 176"/>
                                    <a:gd name="T40" fmla="*/ 8 w 88"/>
                                    <a:gd name="T41" fmla="*/ 30 h 176"/>
                                    <a:gd name="T42" fmla="*/ 20 w 88"/>
                                    <a:gd name="T43" fmla="*/ 20 h 176"/>
                                    <a:gd name="T44" fmla="*/ 36 w 88"/>
                                    <a:gd name="T45" fmla="*/ 14 h 176"/>
                                    <a:gd name="T46" fmla="*/ 36 w 88"/>
                                    <a:gd name="T47" fmla="*/ 4 h 176"/>
                                    <a:gd name="T48" fmla="*/ 38 w 88"/>
                                    <a:gd name="T49" fmla="*/ 0 h 176"/>
                                    <a:gd name="T50" fmla="*/ 46 w 88"/>
                                    <a:gd name="T51" fmla="*/ 0 h 176"/>
                                    <a:gd name="T52" fmla="*/ 48 w 88"/>
                                    <a:gd name="T53" fmla="*/ 0 h 176"/>
                                    <a:gd name="T54" fmla="*/ 50 w 88"/>
                                    <a:gd name="T55" fmla="*/ 4 h 176"/>
                                    <a:gd name="T56" fmla="*/ 50 w 88"/>
                                    <a:gd name="T57" fmla="*/ 14 h 176"/>
                                    <a:gd name="T58" fmla="*/ 70 w 88"/>
                                    <a:gd name="T59" fmla="*/ 18 h 176"/>
                                    <a:gd name="T60" fmla="*/ 80 w 88"/>
                                    <a:gd name="T61" fmla="*/ 22 h 176"/>
                                    <a:gd name="T62" fmla="*/ 84 w 88"/>
                                    <a:gd name="T63" fmla="*/ 28 h 176"/>
                                    <a:gd name="T64" fmla="*/ 84 w 88"/>
                                    <a:gd name="T65" fmla="*/ 30 h 176"/>
                                    <a:gd name="T66" fmla="*/ 76 w 88"/>
                                    <a:gd name="T67" fmla="*/ 44 h 176"/>
                                    <a:gd name="T68" fmla="*/ 74 w 88"/>
                                    <a:gd name="T69" fmla="*/ 46 h 176"/>
                                    <a:gd name="T70" fmla="*/ 70 w 88"/>
                                    <a:gd name="T71" fmla="*/ 44 h 176"/>
                                    <a:gd name="T72" fmla="*/ 62 w 88"/>
                                    <a:gd name="T73" fmla="*/ 40 h 176"/>
                                    <a:gd name="T74" fmla="*/ 50 w 88"/>
                                    <a:gd name="T75" fmla="*/ 76 h 176"/>
                                    <a:gd name="T76" fmla="*/ 54 w 88"/>
                                    <a:gd name="T77" fmla="*/ 78 h 176"/>
                                    <a:gd name="T78" fmla="*/ 78 w 88"/>
                                    <a:gd name="T79" fmla="*/ 94 h 176"/>
                                    <a:gd name="T80" fmla="*/ 84 w 88"/>
                                    <a:gd name="T81" fmla="*/ 106 h 176"/>
                                    <a:gd name="T82" fmla="*/ 88 w 88"/>
                                    <a:gd name="T83" fmla="*/ 120 h 176"/>
                                    <a:gd name="T84" fmla="*/ 88 w 88"/>
                                    <a:gd name="T85" fmla="*/ 128 h 176"/>
                                    <a:gd name="T86" fmla="*/ 82 w 88"/>
                                    <a:gd name="T87" fmla="*/ 142 h 176"/>
                                    <a:gd name="T88" fmla="*/ 72 w 88"/>
                                    <a:gd name="T89" fmla="*/ 152 h 176"/>
                                    <a:gd name="T90" fmla="*/ 58 w 88"/>
                                    <a:gd name="T91" fmla="*/ 160 h 176"/>
                                    <a:gd name="T92" fmla="*/ 50 w 88"/>
                                    <a:gd name="T93" fmla="*/ 172 h 176"/>
                                    <a:gd name="T94" fmla="*/ 38 w 88"/>
                                    <a:gd name="T95" fmla="*/ 36 h 176"/>
                                    <a:gd name="T96" fmla="*/ 28 w 88"/>
                                    <a:gd name="T97" fmla="*/ 42 h 176"/>
                                    <a:gd name="T98" fmla="*/ 24 w 88"/>
                                    <a:gd name="T99" fmla="*/ 48 h 176"/>
                                    <a:gd name="T100" fmla="*/ 24 w 88"/>
                                    <a:gd name="T101" fmla="*/ 54 h 176"/>
                                    <a:gd name="T102" fmla="*/ 28 w 88"/>
                                    <a:gd name="T103" fmla="*/ 64 h 176"/>
                                    <a:gd name="T104" fmla="*/ 38 w 88"/>
                                    <a:gd name="T105" fmla="*/ 72 h 176"/>
                                    <a:gd name="T106" fmla="*/ 48 w 88"/>
                                    <a:gd name="T107" fmla="*/ 138 h 176"/>
                                    <a:gd name="T108" fmla="*/ 52 w 88"/>
                                    <a:gd name="T109" fmla="*/ 138 h 176"/>
                                    <a:gd name="T110" fmla="*/ 62 w 88"/>
                                    <a:gd name="T111" fmla="*/ 130 h 176"/>
                                    <a:gd name="T112" fmla="*/ 64 w 88"/>
                                    <a:gd name="T113" fmla="*/ 122 h 176"/>
                                    <a:gd name="T114" fmla="*/ 58 w 88"/>
                                    <a:gd name="T115" fmla="*/ 108 h 176"/>
                                    <a:gd name="T116" fmla="*/ 50 w 88"/>
                                    <a:gd name="T117" fmla="*/ 102 h 176"/>
                                    <a:gd name="T118" fmla="*/ 48 w 88"/>
                                    <a:gd name="T119" fmla="*/ 13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 h="176">
                                      <a:moveTo>
                                        <a:pt x="50" y="172"/>
                                      </a:moveTo>
                                      <a:lnTo>
                                        <a:pt x="50" y="172"/>
                                      </a:lnTo>
                                      <a:lnTo>
                                        <a:pt x="50" y="174"/>
                                      </a:lnTo>
                                      <a:lnTo>
                                        <a:pt x="48" y="176"/>
                                      </a:lnTo>
                                      <a:lnTo>
                                        <a:pt x="46" y="176"/>
                                      </a:lnTo>
                                      <a:lnTo>
                                        <a:pt x="42" y="176"/>
                                      </a:lnTo>
                                      <a:lnTo>
                                        <a:pt x="42" y="176"/>
                                      </a:lnTo>
                                      <a:lnTo>
                                        <a:pt x="38" y="176"/>
                                      </a:lnTo>
                                      <a:lnTo>
                                        <a:pt x="38" y="174"/>
                                      </a:lnTo>
                                      <a:lnTo>
                                        <a:pt x="36" y="172"/>
                                      </a:lnTo>
                                      <a:lnTo>
                                        <a:pt x="36" y="162"/>
                                      </a:lnTo>
                                      <a:lnTo>
                                        <a:pt x="36" y="162"/>
                                      </a:lnTo>
                                      <a:lnTo>
                                        <a:pt x="26" y="162"/>
                                      </a:lnTo>
                                      <a:lnTo>
                                        <a:pt x="16" y="160"/>
                                      </a:lnTo>
                                      <a:lnTo>
                                        <a:pt x="2" y="154"/>
                                      </a:lnTo>
                                      <a:lnTo>
                                        <a:pt x="2" y="154"/>
                                      </a:lnTo>
                                      <a:lnTo>
                                        <a:pt x="0" y="152"/>
                                      </a:lnTo>
                                      <a:lnTo>
                                        <a:pt x="0" y="150"/>
                                      </a:lnTo>
                                      <a:lnTo>
                                        <a:pt x="0" y="148"/>
                                      </a:lnTo>
                                      <a:lnTo>
                                        <a:pt x="6" y="130"/>
                                      </a:lnTo>
                                      <a:lnTo>
                                        <a:pt x="6" y="130"/>
                                      </a:lnTo>
                                      <a:lnTo>
                                        <a:pt x="8" y="130"/>
                                      </a:lnTo>
                                      <a:lnTo>
                                        <a:pt x="8" y="130"/>
                                      </a:lnTo>
                                      <a:lnTo>
                                        <a:pt x="10" y="130"/>
                                      </a:lnTo>
                                      <a:lnTo>
                                        <a:pt x="10" y="130"/>
                                      </a:lnTo>
                                      <a:lnTo>
                                        <a:pt x="20" y="134"/>
                                      </a:lnTo>
                                      <a:lnTo>
                                        <a:pt x="28" y="138"/>
                                      </a:lnTo>
                                      <a:lnTo>
                                        <a:pt x="36" y="138"/>
                                      </a:lnTo>
                                      <a:lnTo>
                                        <a:pt x="36" y="96"/>
                                      </a:lnTo>
                                      <a:lnTo>
                                        <a:pt x="32" y="96"/>
                                      </a:lnTo>
                                      <a:lnTo>
                                        <a:pt x="32" y="96"/>
                                      </a:lnTo>
                                      <a:lnTo>
                                        <a:pt x="22" y="90"/>
                                      </a:lnTo>
                                      <a:lnTo>
                                        <a:pt x="10" y="82"/>
                                      </a:lnTo>
                                      <a:lnTo>
                                        <a:pt x="6" y="78"/>
                                      </a:lnTo>
                                      <a:lnTo>
                                        <a:pt x="2" y="72"/>
                                      </a:lnTo>
                                      <a:lnTo>
                                        <a:pt x="0" y="64"/>
                                      </a:lnTo>
                                      <a:lnTo>
                                        <a:pt x="0" y="56"/>
                                      </a:lnTo>
                                      <a:lnTo>
                                        <a:pt x="0" y="56"/>
                                      </a:lnTo>
                                      <a:lnTo>
                                        <a:pt x="0" y="48"/>
                                      </a:lnTo>
                                      <a:lnTo>
                                        <a:pt x="2" y="40"/>
                                      </a:lnTo>
                                      <a:lnTo>
                                        <a:pt x="8" y="30"/>
                                      </a:lnTo>
                                      <a:lnTo>
                                        <a:pt x="8" y="30"/>
                                      </a:lnTo>
                                      <a:lnTo>
                                        <a:pt x="14" y="24"/>
                                      </a:lnTo>
                                      <a:lnTo>
                                        <a:pt x="20" y="20"/>
                                      </a:lnTo>
                                      <a:lnTo>
                                        <a:pt x="28" y="16"/>
                                      </a:lnTo>
                                      <a:lnTo>
                                        <a:pt x="36" y="14"/>
                                      </a:lnTo>
                                      <a:lnTo>
                                        <a:pt x="36" y="4"/>
                                      </a:lnTo>
                                      <a:lnTo>
                                        <a:pt x="36" y="4"/>
                                      </a:lnTo>
                                      <a:lnTo>
                                        <a:pt x="38" y="0"/>
                                      </a:lnTo>
                                      <a:lnTo>
                                        <a:pt x="38" y="0"/>
                                      </a:lnTo>
                                      <a:lnTo>
                                        <a:pt x="42" y="0"/>
                                      </a:lnTo>
                                      <a:lnTo>
                                        <a:pt x="46" y="0"/>
                                      </a:lnTo>
                                      <a:lnTo>
                                        <a:pt x="46" y="0"/>
                                      </a:lnTo>
                                      <a:lnTo>
                                        <a:pt x="48" y="0"/>
                                      </a:lnTo>
                                      <a:lnTo>
                                        <a:pt x="50" y="0"/>
                                      </a:lnTo>
                                      <a:lnTo>
                                        <a:pt x="50" y="4"/>
                                      </a:lnTo>
                                      <a:lnTo>
                                        <a:pt x="50" y="14"/>
                                      </a:lnTo>
                                      <a:lnTo>
                                        <a:pt x="50" y="14"/>
                                      </a:lnTo>
                                      <a:lnTo>
                                        <a:pt x="62" y="16"/>
                                      </a:lnTo>
                                      <a:lnTo>
                                        <a:pt x="70" y="18"/>
                                      </a:lnTo>
                                      <a:lnTo>
                                        <a:pt x="80" y="22"/>
                                      </a:lnTo>
                                      <a:lnTo>
                                        <a:pt x="80" y="22"/>
                                      </a:lnTo>
                                      <a:lnTo>
                                        <a:pt x="82" y="24"/>
                                      </a:lnTo>
                                      <a:lnTo>
                                        <a:pt x="84" y="28"/>
                                      </a:lnTo>
                                      <a:lnTo>
                                        <a:pt x="84" y="28"/>
                                      </a:lnTo>
                                      <a:lnTo>
                                        <a:pt x="84" y="30"/>
                                      </a:lnTo>
                                      <a:lnTo>
                                        <a:pt x="76" y="44"/>
                                      </a:lnTo>
                                      <a:lnTo>
                                        <a:pt x="76" y="44"/>
                                      </a:lnTo>
                                      <a:lnTo>
                                        <a:pt x="76" y="44"/>
                                      </a:lnTo>
                                      <a:lnTo>
                                        <a:pt x="74" y="46"/>
                                      </a:lnTo>
                                      <a:lnTo>
                                        <a:pt x="74" y="46"/>
                                      </a:lnTo>
                                      <a:lnTo>
                                        <a:pt x="70" y="44"/>
                                      </a:lnTo>
                                      <a:lnTo>
                                        <a:pt x="70" y="44"/>
                                      </a:lnTo>
                                      <a:lnTo>
                                        <a:pt x="62" y="40"/>
                                      </a:lnTo>
                                      <a:lnTo>
                                        <a:pt x="50" y="36"/>
                                      </a:lnTo>
                                      <a:lnTo>
                                        <a:pt x="50" y="76"/>
                                      </a:lnTo>
                                      <a:lnTo>
                                        <a:pt x="54" y="78"/>
                                      </a:lnTo>
                                      <a:lnTo>
                                        <a:pt x="54" y="78"/>
                                      </a:lnTo>
                                      <a:lnTo>
                                        <a:pt x="66" y="86"/>
                                      </a:lnTo>
                                      <a:lnTo>
                                        <a:pt x="78" y="94"/>
                                      </a:lnTo>
                                      <a:lnTo>
                                        <a:pt x="82" y="100"/>
                                      </a:lnTo>
                                      <a:lnTo>
                                        <a:pt x="84" y="106"/>
                                      </a:lnTo>
                                      <a:lnTo>
                                        <a:pt x="86" y="112"/>
                                      </a:lnTo>
                                      <a:lnTo>
                                        <a:pt x="88" y="120"/>
                                      </a:lnTo>
                                      <a:lnTo>
                                        <a:pt x="88" y="120"/>
                                      </a:lnTo>
                                      <a:lnTo>
                                        <a:pt x="88" y="128"/>
                                      </a:lnTo>
                                      <a:lnTo>
                                        <a:pt x="86" y="136"/>
                                      </a:lnTo>
                                      <a:lnTo>
                                        <a:pt x="82" y="142"/>
                                      </a:lnTo>
                                      <a:lnTo>
                                        <a:pt x="78" y="148"/>
                                      </a:lnTo>
                                      <a:lnTo>
                                        <a:pt x="72" y="152"/>
                                      </a:lnTo>
                                      <a:lnTo>
                                        <a:pt x="66" y="158"/>
                                      </a:lnTo>
                                      <a:lnTo>
                                        <a:pt x="58" y="160"/>
                                      </a:lnTo>
                                      <a:lnTo>
                                        <a:pt x="50" y="162"/>
                                      </a:lnTo>
                                      <a:lnTo>
                                        <a:pt x="50" y="172"/>
                                      </a:lnTo>
                                      <a:close/>
                                      <a:moveTo>
                                        <a:pt x="38" y="36"/>
                                      </a:moveTo>
                                      <a:lnTo>
                                        <a:pt x="38" y="36"/>
                                      </a:lnTo>
                                      <a:lnTo>
                                        <a:pt x="34" y="38"/>
                                      </a:lnTo>
                                      <a:lnTo>
                                        <a:pt x="28" y="42"/>
                                      </a:lnTo>
                                      <a:lnTo>
                                        <a:pt x="28" y="42"/>
                                      </a:lnTo>
                                      <a:lnTo>
                                        <a:pt x="24" y="48"/>
                                      </a:lnTo>
                                      <a:lnTo>
                                        <a:pt x="24" y="54"/>
                                      </a:lnTo>
                                      <a:lnTo>
                                        <a:pt x="24" y="54"/>
                                      </a:lnTo>
                                      <a:lnTo>
                                        <a:pt x="24" y="60"/>
                                      </a:lnTo>
                                      <a:lnTo>
                                        <a:pt x="28" y="64"/>
                                      </a:lnTo>
                                      <a:lnTo>
                                        <a:pt x="32" y="68"/>
                                      </a:lnTo>
                                      <a:lnTo>
                                        <a:pt x="38" y="72"/>
                                      </a:lnTo>
                                      <a:lnTo>
                                        <a:pt x="38" y="36"/>
                                      </a:lnTo>
                                      <a:close/>
                                      <a:moveTo>
                                        <a:pt x="48" y="138"/>
                                      </a:moveTo>
                                      <a:lnTo>
                                        <a:pt x="48" y="138"/>
                                      </a:lnTo>
                                      <a:lnTo>
                                        <a:pt x="52" y="138"/>
                                      </a:lnTo>
                                      <a:lnTo>
                                        <a:pt x="58" y="134"/>
                                      </a:lnTo>
                                      <a:lnTo>
                                        <a:pt x="62" y="130"/>
                                      </a:lnTo>
                                      <a:lnTo>
                                        <a:pt x="64" y="122"/>
                                      </a:lnTo>
                                      <a:lnTo>
                                        <a:pt x="64" y="122"/>
                                      </a:lnTo>
                                      <a:lnTo>
                                        <a:pt x="62" y="114"/>
                                      </a:lnTo>
                                      <a:lnTo>
                                        <a:pt x="58" y="108"/>
                                      </a:lnTo>
                                      <a:lnTo>
                                        <a:pt x="52" y="104"/>
                                      </a:lnTo>
                                      <a:lnTo>
                                        <a:pt x="50" y="102"/>
                                      </a:lnTo>
                                      <a:lnTo>
                                        <a:pt x="48" y="102"/>
                                      </a:lnTo>
                                      <a:lnTo>
                                        <a:pt x="48" y="1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reeform 227"/>
                              <wps:cNvSpPr>
                                <a:spLocks noEditPoints="1"/>
                              </wps:cNvSpPr>
                              <wps:spPr bwMode="auto">
                                <a:xfrm>
                                  <a:off x="0" y="247650"/>
                                  <a:ext cx="155575" cy="314325"/>
                                </a:xfrm>
                                <a:custGeom>
                                  <a:avLst/>
                                  <a:gdLst>
                                    <a:gd name="T0" fmla="*/ 56 w 98"/>
                                    <a:gd name="T1" fmla="*/ 194 h 198"/>
                                    <a:gd name="T2" fmla="*/ 54 w 98"/>
                                    <a:gd name="T3" fmla="*/ 198 h 198"/>
                                    <a:gd name="T4" fmla="*/ 46 w 98"/>
                                    <a:gd name="T5" fmla="*/ 198 h 198"/>
                                    <a:gd name="T6" fmla="*/ 44 w 98"/>
                                    <a:gd name="T7" fmla="*/ 198 h 198"/>
                                    <a:gd name="T8" fmla="*/ 42 w 98"/>
                                    <a:gd name="T9" fmla="*/ 194 h 198"/>
                                    <a:gd name="T10" fmla="*/ 42 w 98"/>
                                    <a:gd name="T11" fmla="*/ 184 h 198"/>
                                    <a:gd name="T12" fmla="*/ 18 w 98"/>
                                    <a:gd name="T13" fmla="*/ 180 h 198"/>
                                    <a:gd name="T14" fmla="*/ 4 w 98"/>
                                    <a:gd name="T15" fmla="*/ 174 h 198"/>
                                    <a:gd name="T16" fmla="*/ 0 w 98"/>
                                    <a:gd name="T17" fmla="*/ 170 h 198"/>
                                    <a:gd name="T18" fmla="*/ 8 w 98"/>
                                    <a:gd name="T19" fmla="*/ 148 h 198"/>
                                    <a:gd name="T20" fmla="*/ 10 w 98"/>
                                    <a:gd name="T21" fmla="*/ 146 h 198"/>
                                    <a:gd name="T22" fmla="*/ 12 w 98"/>
                                    <a:gd name="T23" fmla="*/ 148 h 198"/>
                                    <a:gd name="T24" fmla="*/ 22 w 98"/>
                                    <a:gd name="T25" fmla="*/ 152 h 198"/>
                                    <a:gd name="T26" fmla="*/ 42 w 98"/>
                                    <a:gd name="T27" fmla="*/ 158 h 198"/>
                                    <a:gd name="T28" fmla="*/ 38 w 98"/>
                                    <a:gd name="T29" fmla="*/ 108 h 198"/>
                                    <a:gd name="T30" fmla="*/ 24 w 98"/>
                                    <a:gd name="T31" fmla="*/ 102 h 198"/>
                                    <a:gd name="T32" fmla="*/ 8 w 98"/>
                                    <a:gd name="T33" fmla="*/ 88 h 198"/>
                                    <a:gd name="T34" fmla="*/ 0 w 98"/>
                                    <a:gd name="T35" fmla="*/ 74 h 198"/>
                                    <a:gd name="T36" fmla="*/ 0 w 98"/>
                                    <a:gd name="T37" fmla="*/ 62 h 198"/>
                                    <a:gd name="T38" fmla="*/ 2 w 98"/>
                                    <a:gd name="T39" fmla="*/ 46 h 198"/>
                                    <a:gd name="T40" fmla="*/ 8 w 98"/>
                                    <a:gd name="T41" fmla="*/ 34 h 198"/>
                                    <a:gd name="T42" fmla="*/ 22 w 98"/>
                                    <a:gd name="T43" fmla="*/ 22 h 198"/>
                                    <a:gd name="T44" fmla="*/ 42 w 98"/>
                                    <a:gd name="T45" fmla="*/ 16 h 198"/>
                                    <a:gd name="T46" fmla="*/ 42 w 98"/>
                                    <a:gd name="T47" fmla="*/ 6 h 198"/>
                                    <a:gd name="T48" fmla="*/ 44 w 98"/>
                                    <a:gd name="T49" fmla="*/ 0 h 198"/>
                                    <a:gd name="T50" fmla="*/ 52 w 98"/>
                                    <a:gd name="T51" fmla="*/ 0 h 198"/>
                                    <a:gd name="T52" fmla="*/ 54 w 98"/>
                                    <a:gd name="T53" fmla="*/ 0 h 198"/>
                                    <a:gd name="T54" fmla="*/ 56 w 98"/>
                                    <a:gd name="T55" fmla="*/ 6 h 198"/>
                                    <a:gd name="T56" fmla="*/ 56 w 98"/>
                                    <a:gd name="T57" fmla="*/ 16 h 198"/>
                                    <a:gd name="T58" fmla="*/ 80 w 98"/>
                                    <a:gd name="T59" fmla="*/ 20 h 198"/>
                                    <a:gd name="T60" fmla="*/ 90 w 98"/>
                                    <a:gd name="T61" fmla="*/ 26 h 198"/>
                                    <a:gd name="T62" fmla="*/ 94 w 98"/>
                                    <a:gd name="T63" fmla="*/ 32 h 198"/>
                                    <a:gd name="T64" fmla="*/ 94 w 98"/>
                                    <a:gd name="T65" fmla="*/ 34 h 198"/>
                                    <a:gd name="T66" fmla="*/ 86 w 98"/>
                                    <a:gd name="T67" fmla="*/ 50 h 198"/>
                                    <a:gd name="T68" fmla="*/ 84 w 98"/>
                                    <a:gd name="T69" fmla="*/ 52 h 198"/>
                                    <a:gd name="T70" fmla="*/ 80 w 98"/>
                                    <a:gd name="T71" fmla="*/ 50 h 198"/>
                                    <a:gd name="T72" fmla="*/ 70 w 98"/>
                                    <a:gd name="T73" fmla="*/ 46 h 198"/>
                                    <a:gd name="T74" fmla="*/ 56 w 98"/>
                                    <a:gd name="T75" fmla="*/ 86 h 198"/>
                                    <a:gd name="T76" fmla="*/ 60 w 98"/>
                                    <a:gd name="T77" fmla="*/ 88 h 198"/>
                                    <a:gd name="T78" fmla="*/ 88 w 98"/>
                                    <a:gd name="T79" fmla="*/ 106 h 198"/>
                                    <a:gd name="T80" fmla="*/ 96 w 98"/>
                                    <a:gd name="T81" fmla="*/ 120 h 198"/>
                                    <a:gd name="T82" fmla="*/ 98 w 98"/>
                                    <a:gd name="T83" fmla="*/ 136 h 198"/>
                                    <a:gd name="T84" fmla="*/ 98 w 98"/>
                                    <a:gd name="T85" fmla="*/ 144 h 198"/>
                                    <a:gd name="T86" fmla="*/ 92 w 98"/>
                                    <a:gd name="T87" fmla="*/ 160 h 198"/>
                                    <a:gd name="T88" fmla="*/ 82 w 98"/>
                                    <a:gd name="T89" fmla="*/ 172 h 198"/>
                                    <a:gd name="T90" fmla="*/ 66 w 98"/>
                                    <a:gd name="T91" fmla="*/ 180 h 198"/>
                                    <a:gd name="T92" fmla="*/ 56 w 98"/>
                                    <a:gd name="T93" fmla="*/ 194 h 198"/>
                                    <a:gd name="T94" fmla="*/ 44 w 98"/>
                                    <a:gd name="T95" fmla="*/ 42 h 198"/>
                                    <a:gd name="T96" fmla="*/ 32 w 98"/>
                                    <a:gd name="T97" fmla="*/ 48 h 198"/>
                                    <a:gd name="T98" fmla="*/ 28 w 98"/>
                                    <a:gd name="T99" fmla="*/ 54 h 198"/>
                                    <a:gd name="T100" fmla="*/ 26 w 98"/>
                                    <a:gd name="T101" fmla="*/ 62 h 198"/>
                                    <a:gd name="T102" fmla="*/ 32 w 98"/>
                                    <a:gd name="T103" fmla="*/ 74 h 198"/>
                                    <a:gd name="T104" fmla="*/ 44 w 98"/>
                                    <a:gd name="T105" fmla="*/ 82 h 198"/>
                                    <a:gd name="T106" fmla="*/ 54 w 98"/>
                                    <a:gd name="T107" fmla="*/ 158 h 198"/>
                                    <a:gd name="T108" fmla="*/ 60 w 98"/>
                                    <a:gd name="T109" fmla="*/ 156 h 198"/>
                                    <a:gd name="T110" fmla="*/ 70 w 98"/>
                                    <a:gd name="T111" fmla="*/ 146 h 198"/>
                                    <a:gd name="T112" fmla="*/ 72 w 98"/>
                                    <a:gd name="T113" fmla="*/ 138 h 198"/>
                                    <a:gd name="T114" fmla="*/ 66 w 98"/>
                                    <a:gd name="T115" fmla="*/ 122 h 198"/>
                                    <a:gd name="T116" fmla="*/ 56 w 98"/>
                                    <a:gd name="T117" fmla="*/ 116 h 198"/>
                                    <a:gd name="T118" fmla="*/ 54 w 98"/>
                                    <a:gd name="T119" fmla="*/ 15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 h="198">
                                      <a:moveTo>
                                        <a:pt x="56" y="194"/>
                                      </a:moveTo>
                                      <a:lnTo>
                                        <a:pt x="56" y="194"/>
                                      </a:lnTo>
                                      <a:lnTo>
                                        <a:pt x="56" y="198"/>
                                      </a:lnTo>
                                      <a:lnTo>
                                        <a:pt x="54" y="198"/>
                                      </a:lnTo>
                                      <a:lnTo>
                                        <a:pt x="52" y="198"/>
                                      </a:lnTo>
                                      <a:lnTo>
                                        <a:pt x="46" y="198"/>
                                      </a:lnTo>
                                      <a:lnTo>
                                        <a:pt x="46" y="198"/>
                                      </a:lnTo>
                                      <a:lnTo>
                                        <a:pt x="44" y="198"/>
                                      </a:lnTo>
                                      <a:lnTo>
                                        <a:pt x="42" y="198"/>
                                      </a:lnTo>
                                      <a:lnTo>
                                        <a:pt x="42" y="194"/>
                                      </a:lnTo>
                                      <a:lnTo>
                                        <a:pt x="42" y="184"/>
                                      </a:lnTo>
                                      <a:lnTo>
                                        <a:pt x="42" y="184"/>
                                      </a:lnTo>
                                      <a:lnTo>
                                        <a:pt x="30" y="182"/>
                                      </a:lnTo>
                                      <a:lnTo>
                                        <a:pt x="18" y="180"/>
                                      </a:lnTo>
                                      <a:lnTo>
                                        <a:pt x="4" y="174"/>
                                      </a:lnTo>
                                      <a:lnTo>
                                        <a:pt x="4" y="174"/>
                                      </a:lnTo>
                                      <a:lnTo>
                                        <a:pt x="0" y="172"/>
                                      </a:lnTo>
                                      <a:lnTo>
                                        <a:pt x="0" y="170"/>
                                      </a:lnTo>
                                      <a:lnTo>
                                        <a:pt x="0" y="168"/>
                                      </a:lnTo>
                                      <a:lnTo>
                                        <a:pt x="8" y="148"/>
                                      </a:lnTo>
                                      <a:lnTo>
                                        <a:pt x="8" y="148"/>
                                      </a:lnTo>
                                      <a:lnTo>
                                        <a:pt x="10" y="146"/>
                                      </a:lnTo>
                                      <a:lnTo>
                                        <a:pt x="10" y="146"/>
                                      </a:lnTo>
                                      <a:lnTo>
                                        <a:pt x="12" y="148"/>
                                      </a:lnTo>
                                      <a:lnTo>
                                        <a:pt x="12" y="148"/>
                                      </a:lnTo>
                                      <a:lnTo>
                                        <a:pt x="22" y="152"/>
                                      </a:lnTo>
                                      <a:lnTo>
                                        <a:pt x="32" y="156"/>
                                      </a:lnTo>
                                      <a:lnTo>
                                        <a:pt x="42" y="158"/>
                                      </a:lnTo>
                                      <a:lnTo>
                                        <a:pt x="42" y="110"/>
                                      </a:lnTo>
                                      <a:lnTo>
                                        <a:pt x="38" y="108"/>
                                      </a:lnTo>
                                      <a:lnTo>
                                        <a:pt x="38" y="108"/>
                                      </a:lnTo>
                                      <a:lnTo>
                                        <a:pt x="24" y="102"/>
                                      </a:lnTo>
                                      <a:lnTo>
                                        <a:pt x="12" y="94"/>
                                      </a:lnTo>
                                      <a:lnTo>
                                        <a:pt x="8" y="88"/>
                                      </a:lnTo>
                                      <a:lnTo>
                                        <a:pt x="2" y="82"/>
                                      </a:lnTo>
                                      <a:lnTo>
                                        <a:pt x="0" y="74"/>
                                      </a:lnTo>
                                      <a:lnTo>
                                        <a:pt x="0" y="62"/>
                                      </a:lnTo>
                                      <a:lnTo>
                                        <a:pt x="0" y="62"/>
                                      </a:lnTo>
                                      <a:lnTo>
                                        <a:pt x="0" y="54"/>
                                      </a:lnTo>
                                      <a:lnTo>
                                        <a:pt x="2" y="46"/>
                                      </a:lnTo>
                                      <a:lnTo>
                                        <a:pt x="8" y="34"/>
                                      </a:lnTo>
                                      <a:lnTo>
                                        <a:pt x="8" y="34"/>
                                      </a:lnTo>
                                      <a:lnTo>
                                        <a:pt x="16" y="28"/>
                                      </a:lnTo>
                                      <a:lnTo>
                                        <a:pt x="22" y="22"/>
                                      </a:lnTo>
                                      <a:lnTo>
                                        <a:pt x="32" y="20"/>
                                      </a:lnTo>
                                      <a:lnTo>
                                        <a:pt x="42" y="16"/>
                                      </a:lnTo>
                                      <a:lnTo>
                                        <a:pt x="42" y="6"/>
                                      </a:lnTo>
                                      <a:lnTo>
                                        <a:pt x="42" y="6"/>
                                      </a:lnTo>
                                      <a:lnTo>
                                        <a:pt x="42" y="2"/>
                                      </a:lnTo>
                                      <a:lnTo>
                                        <a:pt x="44" y="0"/>
                                      </a:lnTo>
                                      <a:lnTo>
                                        <a:pt x="46" y="0"/>
                                      </a:lnTo>
                                      <a:lnTo>
                                        <a:pt x="52" y="0"/>
                                      </a:lnTo>
                                      <a:lnTo>
                                        <a:pt x="52" y="0"/>
                                      </a:lnTo>
                                      <a:lnTo>
                                        <a:pt x="54" y="0"/>
                                      </a:lnTo>
                                      <a:lnTo>
                                        <a:pt x="56" y="2"/>
                                      </a:lnTo>
                                      <a:lnTo>
                                        <a:pt x="56" y="6"/>
                                      </a:lnTo>
                                      <a:lnTo>
                                        <a:pt x="56" y="16"/>
                                      </a:lnTo>
                                      <a:lnTo>
                                        <a:pt x="56" y="16"/>
                                      </a:lnTo>
                                      <a:lnTo>
                                        <a:pt x="70" y="18"/>
                                      </a:lnTo>
                                      <a:lnTo>
                                        <a:pt x="80" y="20"/>
                                      </a:lnTo>
                                      <a:lnTo>
                                        <a:pt x="90" y="26"/>
                                      </a:lnTo>
                                      <a:lnTo>
                                        <a:pt x="90" y="26"/>
                                      </a:lnTo>
                                      <a:lnTo>
                                        <a:pt x="94" y="28"/>
                                      </a:lnTo>
                                      <a:lnTo>
                                        <a:pt x="94" y="32"/>
                                      </a:lnTo>
                                      <a:lnTo>
                                        <a:pt x="94" y="32"/>
                                      </a:lnTo>
                                      <a:lnTo>
                                        <a:pt x="94" y="34"/>
                                      </a:lnTo>
                                      <a:lnTo>
                                        <a:pt x="86" y="50"/>
                                      </a:lnTo>
                                      <a:lnTo>
                                        <a:pt x="86" y="50"/>
                                      </a:lnTo>
                                      <a:lnTo>
                                        <a:pt x="86" y="52"/>
                                      </a:lnTo>
                                      <a:lnTo>
                                        <a:pt x="84" y="52"/>
                                      </a:lnTo>
                                      <a:lnTo>
                                        <a:pt x="84" y="52"/>
                                      </a:lnTo>
                                      <a:lnTo>
                                        <a:pt x="80" y="50"/>
                                      </a:lnTo>
                                      <a:lnTo>
                                        <a:pt x="80" y="50"/>
                                      </a:lnTo>
                                      <a:lnTo>
                                        <a:pt x="70" y="46"/>
                                      </a:lnTo>
                                      <a:lnTo>
                                        <a:pt x="56" y="42"/>
                                      </a:lnTo>
                                      <a:lnTo>
                                        <a:pt x="56" y="86"/>
                                      </a:lnTo>
                                      <a:lnTo>
                                        <a:pt x="60" y="88"/>
                                      </a:lnTo>
                                      <a:lnTo>
                                        <a:pt x="60" y="88"/>
                                      </a:lnTo>
                                      <a:lnTo>
                                        <a:pt x="76" y="96"/>
                                      </a:lnTo>
                                      <a:lnTo>
                                        <a:pt x="88" y="106"/>
                                      </a:lnTo>
                                      <a:lnTo>
                                        <a:pt x="92" y="112"/>
                                      </a:lnTo>
                                      <a:lnTo>
                                        <a:pt x="96" y="120"/>
                                      </a:lnTo>
                                      <a:lnTo>
                                        <a:pt x="98" y="126"/>
                                      </a:lnTo>
                                      <a:lnTo>
                                        <a:pt x="98" y="136"/>
                                      </a:lnTo>
                                      <a:lnTo>
                                        <a:pt x="98" y="136"/>
                                      </a:lnTo>
                                      <a:lnTo>
                                        <a:pt x="98" y="144"/>
                                      </a:lnTo>
                                      <a:lnTo>
                                        <a:pt x="96" y="152"/>
                                      </a:lnTo>
                                      <a:lnTo>
                                        <a:pt x="92" y="160"/>
                                      </a:lnTo>
                                      <a:lnTo>
                                        <a:pt x="88" y="166"/>
                                      </a:lnTo>
                                      <a:lnTo>
                                        <a:pt x="82" y="172"/>
                                      </a:lnTo>
                                      <a:lnTo>
                                        <a:pt x="74" y="178"/>
                                      </a:lnTo>
                                      <a:lnTo>
                                        <a:pt x="66" y="180"/>
                                      </a:lnTo>
                                      <a:lnTo>
                                        <a:pt x="56" y="184"/>
                                      </a:lnTo>
                                      <a:lnTo>
                                        <a:pt x="56" y="194"/>
                                      </a:lnTo>
                                      <a:close/>
                                      <a:moveTo>
                                        <a:pt x="44" y="42"/>
                                      </a:moveTo>
                                      <a:lnTo>
                                        <a:pt x="44" y="42"/>
                                      </a:lnTo>
                                      <a:lnTo>
                                        <a:pt x="38" y="44"/>
                                      </a:lnTo>
                                      <a:lnTo>
                                        <a:pt x="32" y="48"/>
                                      </a:lnTo>
                                      <a:lnTo>
                                        <a:pt x="32" y="48"/>
                                      </a:lnTo>
                                      <a:lnTo>
                                        <a:pt x="28" y="54"/>
                                      </a:lnTo>
                                      <a:lnTo>
                                        <a:pt x="26" y="62"/>
                                      </a:lnTo>
                                      <a:lnTo>
                                        <a:pt x="26" y="62"/>
                                      </a:lnTo>
                                      <a:lnTo>
                                        <a:pt x="28" y="68"/>
                                      </a:lnTo>
                                      <a:lnTo>
                                        <a:pt x="32" y="74"/>
                                      </a:lnTo>
                                      <a:lnTo>
                                        <a:pt x="36" y="78"/>
                                      </a:lnTo>
                                      <a:lnTo>
                                        <a:pt x="44" y="82"/>
                                      </a:lnTo>
                                      <a:lnTo>
                                        <a:pt x="44" y="42"/>
                                      </a:lnTo>
                                      <a:close/>
                                      <a:moveTo>
                                        <a:pt x="54" y="158"/>
                                      </a:moveTo>
                                      <a:lnTo>
                                        <a:pt x="54" y="158"/>
                                      </a:lnTo>
                                      <a:lnTo>
                                        <a:pt x="60" y="156"/>
                                      </a:lnTo>
                                      <a:lnTo>
                                        <a:pt x="64" y="152"/>
                                      </a:lnTo>
                                      <a:lnTo>
                                        <a:pt x="70" y="146"/>
                                      </a:lnTo>
                                      <a:lnTo>
                                        <a:pt x="72" y="138"/>
                                      </a:lnTo>
                                      <a:lnTo>
                                        <a:pt x="72" y="138"/>
                                      </a:lnTo>
                                      <a:lnTo>
                                        <a:pt x="70" y="128"/>
                                      </a:lnTo>
                                      <a:lnTo>
                                        <a:pt x="66" y="122"/>
                                      </a:lnTo>
                                      <a:lnTo>
                                        <a:pt x="60" y="118"/>
                                      </a:lnTo>
                                      <a:lnTo>
                                        <a:pt x="56" y="116"/>
                                      </a:lnTo>
                                      <a:lnTo>
                                        <a:pt x="54" y="116"/>
                                      </a:lnTo>
                                      <a:lnTo>
                                        <a:pt x="54" y="1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91E5EE" id="Group 2" o:spid="_x0000_s1026" style="position:absolute;margin-left:-.25pt;margin-top:.1pt;width:34.95pt;height:28.65pt;z-index:251724800" coordsize="774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eADEAAL6CAQAOAAAAZHJzL2Uyb0RvYy54bWzsfW1vZTeO5vcF9j8Y/rhAunzum+8tdDLA&#10;dHcaC/TMNtBe7GfH5XrBVNke24nTM9j/vqRI6pBXpCinbnaCmfMlxynTPNRDiqKkRzq//4efv3w+&#10;++n28enT/d2359PvLs7Pbu9u7t99uvvw7fn/vvr+m/352dPz9d2768/3d7ffnv/99un8H7777//t&#10;9y8Pb29X9x/vP7+7fTwDJXdPb18evj3/+Pz88PbNm6ebj7dfrp9+d/9wewe/fH//+OX6Gf738cOb&#10;d4/XL6D9y+c3q4uL3ZuX+8d3D4/3N7dPT/Cvf6Rfnn9X9L9/f3vz/L/ev3+6fT77/O052PZc/vtY&#10;/vsD/vfNd7+/fvvh8frh46cbNuP6F1jx5frTHby0qvrj9fP12Y+PnxpVXz7dPN4/3b9//t3N/Zc3&#10;9+/ff7q5LW2A1kwXR6358+P9jw+lLR/evnx4qDABtEc4/WK1N//8018fzz69+/Z8tTs/u7v+Aj4q&#10;rz1bITYvDx/egsifHx/+9vDXR2og/PiX+5t/eYJfvzn+Pf7/h1n45/ePX/CPoJ1nPxfQ/15Bv/35&#10;+ewG/nGzWe932/OzG/jVerfeb7fklJuP4Lnmr24+/on/7vJyc3kBLsW/2623F/AzWnT9Vl76dP/5&#10;07vvP33+jBaUgLr9w+fHs5+uIRSub25u7553xWWff/zyT/fv6N93oIaDAv4ZDSjiG/lnUF81lZep&#10;lxQwauNfHiCgn2afPX2dz/728frhtoTCEzpEfHYpPvv+8fYWe8nZ6pL8VsTEaU/ksbO7+z+9+/T8&#10;1/tPd89gz1QAQ0NBI4ni/zyBp89+eAFMIBauf3y+LygJquzK1Xq6vASvAfiby92KfSY+XR22K/wt&#10;+ma7v1zDz9Y3Nz8+Pf/59r4Ex/VPf3l6hl9D53kHP9EPHIpX4OD3Xz5Dl/wfb86mi93Zy9m036Ey&#10;lBahSQmtd5uzj2frS+naVWilhA57X9FayYAKX9FGCe1XviJoezU7VAQdrgpdBhaBg6vMerfyLYIc&#10;W4W2AUYHJbPeBE2bNNyBRZNBe7XzTZo03Bc+SJOBe9oHmjTe0yZQpQFfXUZGacThfX4wachXlwHk&#10;k8Z8FVmlQV9dRoGpQY/iYKVRXx0Cq1YadYhft4ErDfvqIlKlYY8aCP1+jrwpbKCGPegwkLaUpnXg&#10;wJVBPWieBn26CCJ9rUGPQmGtQY/yylpjvgkiYa0x3wSQrzXkUSCsDeRR6zTi+yAO1hryIDbXGvAw&#10;a2rEA4s2Bu8okW804IFJG413OCRsNODrAPCNBnzaBjhtNOJR5txoxKeo62005PA+d6DaaMynKA42&#10;GvRdoGprUIfhw00IW436IYB9a2DfBslzq2E/BL14a2DfRKo07FHC2xrYo7DaatgBUBf2rYE9Gmi2&#10;GvZpF7RwZ3EPksJO4z5B73Lt2hng95EuDfwqyp87g3yoSyO/isqgnYEesqMbWzsN/XoKOuLOYB+N&#10;NjuN/Xod4AWV3zySRPXZpYY+iohLjfwuCNNLDTwg6vrwUuMe9R0smGsZF3XDS436NujQlxr0CULZ&#10;N0qDDhnE9d+lxnyKMN+PYL4fwXyvMZ8gXlyr9hr01SHIfnuN+rQOWrjXsIdFGkw6ZudM6yDa9xr4&#10;FTjaBX6vgZ+ggvbbqJFfwRtdXQeN/HQR2HXQ0K8mlbVgQltnXdcfZSJ28/Mdz8Tgp7NrXMu5KLPA&#10;h/snnJLjtAymdlc0g7x+C1I4IwuEwaUovOY5YF8YfIbCMmHsC4NTULhMeaElfWFAHYUPQ2bgTAil&#10;YbZDM9e+bpzuFPGxRk7cymmsmRO3cxprKM5NijFjTV1xU2GKMdJUnGOgdphGDIlzU2mJIHUSrkIV&#10;7WNNxQlBER9rKlb9KA6F/YjtWNoX8bGmYv1exMe8uuamQh0+ZAw3dT3WVCy40RgoqUe0Y1VdxMea&#10;ipVzER9rKlbHRXysqVgBF/GxpmKVi+JQx440FSvZIj7WVKxWi/hYU7EiLeJjTcWqs4iPNRULSxSH&#10;0nGkqVg7FvGxpmJ5WMTHmooVYBEfayoWeUV8rKlYx6E4lGojTcVirYiPNRUrsiI+1lQsu4r4WFMv&#10;ualQPY3YjuUTaocKaUicmwpV0JA4NxUKnSFxbirUMkPi3NT9WFOxXsGmQkWitNOwwCXHI2zaHG/X&#10;PJ6fwXbND/g3128frp+xUpEfz15gKRvrs4+wgQBRg//+5f6n26v7IvGMBQusE5T3whIqv3eW+HzX&#10;l5Tfy/PhSOOGNcrv5Xkst0/kyE28cg2IiB55kr4D4Z2JYY0JOJ9KjCIu1UbOXUNPJ+eK6fKkJnDv&#10;gJX6MTFxmWiRp9UGI9jISxMxTt+wQt7VxmP3Gp69l3Iltoa6oyfGvoLa5+ulOIqgSuvpYkeBfV8v&#10;xbEBNW1PF5e8sDZ/EjHqzjBd62sjZGEV/xRiK8I2e+mgGJdQK5il9nDjER8muV0x7lOwMzAkdtF/&#10;KY+9sDnQ10ZhlIlxOTclTeA+NSWAMLyw29C1jeNtSpIMxdEENWHPCRTiU9LbCY1pqFNlUvzGuqkt&#10;OU+elPvIetoQDUcMnspmeFFXSeDihJZI8TQrAZU7QJKQOf4T6GVI6buRpQCQnrNfJdXPZlzY9SMV&#10;l7xgqO6bzuN533KuDU4gBCtJA0ZJVdVvn0j1oRKpxDkiBlPzng9HxThSYebe1cYzzKQomHi6BYHd&#10;1cbZFZSeRIw8lXS2iWcwUN/0X8ppILNtUIwSVC26JXvJk7KY4HZIcGN4UzHKw4ekpTzzPpEYj3HJ&#10;8DsNivHCUzISTrxyBwmk61Oe+0BeGxFDb3Tl6siaADwqx0tPEyTL7nt5IWaCVNiVg8EJ8ylsqPXl&#10;eMVglWUcTuKrpKTGuqXk8WSoKlNVzPfQnm47cEo7JMfvhbTS18fVWhZVvDSyyvBjnGFTr/9e9ts6&#10;w49XLLPJ0sQFIGwA9t8rU/6kwKhDRRP3N5/vn24B0nY5gYfs2qOixYRjOcl78uQZLDkw6ca8fJZ4&#10;j3Nk0kfGpCRD9uNUumVSqvKqK6Ldi1IRg+RxCjFOBcnMmmtM2N7svpTH7QlWs3u2sdOzOUUUG3HU&#10;1aKsjjJR3LWSEnHy5JGX962y2eUEfbfkoiT6YDOT5ZJcxHVXNpWeeCBcwVJzD3LYkOVc2ffguBy3&#10;F8br/ns5p2aVoeCSFZqCM+xrdd8rfoMKoCsnZTzsIJ5UrkagxJNELcxCcXm2cKPrOi0u7yrCL3Ck&#10;kZYNBuEiJ/737p7/oUxi8V+AScxLvMgpLkz6fz9A6r/4x9Xhm+93+8tvNt9vtt8cLi/231xMh388&#10;7C42h80fv/+/uPw7bd5+/PTu3e3dXz7d3Qqrf9qMMbD5fAHx8QuvHxeYgdC8LSvLivANXPDHDz9U&#10;TjlyxGsSNGJA4797V5r78fb63Z/45+frT5/p5zfW4gIeNFueBQhglxM1G0n5T29/uH/3d6Bpw8kL&#10;ONLw8f7x387PXuAUw7fnT//64/Xj7fnZ5/95BxTvw7TBYfW5/M9me4kV46P+zQ/6N3c/fvnDPbDj&#10;gS1wfXcDWr89f5Yf//BMpybg2AL49S93f3u4QUH01cPj0/PVz//n+vHhDH+EPwLj//leKOvXb4Xh&#10;jcFRZaF1c0P4f4AwT8379ZnzMIGh0w4zc770ObSp0uHBwydnzkNuFuZ8CaoSFxjkeBhigmUtIc4z&#10;xZ76rdDvdT8SWBWFY+bEg6MrmQgIpy9ntP4T0eanQkrloU0LQSKseoD+4+nRZBzQAEQVRw8k6FkP&#10;0lRaezQRJ9QDA8ysx2+XJuGE7QL/Z3o0AQcpP267cHWtKiqswbZhhjIPY1qgSUPtt8ww5qcV8osc&#10;qHHiVU1C1pNjkcG6kPg9RRpspCk5igzYF5FFGm0/iCaDdqQI81dt2uS3zVDlp1CTRrsQwNvGGaY8&#10;ktFcuHE+Um0C53owGaI8ELJ9RRpucK6rSOMdKtJwRyhpvIHc6FqEZVptmt8yy5EPWoZlXNXje80y&#10;5IMkgmVe1RPYoyM76rS41VD1+IFt2PGroPMbenwQRMDXmd9VqHdOT8NBuhoUxFBDjvf0aKAjPTpf&#10;BzGNa/OzPX4oGl584HhDiw+GIUOKj+zRER3pMUAHigwjvvBn225v+PCFPesgjRPVilAhBzuKDNIB&#10;RDh/ThXpoF5FinRQlxMIjkU6fURRbZjwhdjtKNJgF7q5gxHOq+em+f3VkOALv9hTpMEu/OnWop0G&#10;O7RIgx3EER5GrVYDa9jNjIb9Xk79OBZpsMvxIa9pOrLL4T1HkQa78PEdRbg6Uc0O3G9o7/sg6Rva&#10;O5zp8oYhw3qnQ1aeSRrtyCSNdjjGWtq7n7Et6z1yHO7uVZiCCLCkdxByQwDXhaumINcazntkEq4E&#10;VUXQKT3ADeM9GtZwBXpW5Pc3Q3cvp5kcxxm2O+Qb1yId3dADfIw02lHTdHRvA0WG5x6AbVju5UiU&#10;0zRYuZgxgvZ7TTvoVDJFYzbsQylN/hh5GIpu2IOaNQWD0kHDPZVTm17rNN6RJo13OWfiKII+rWwK&#10;+sl0oc8VlMMvrqoByKeLEHNYNViOKDhnMHDmCftDyxGF5nQKr6IuRxQaZHid/ApOEdO6Uv9YC86T&#10;MMSWIwrHB6B4I/8KjuGOALkcUYgOh/FW5BWU7yNA8qbzFRTpQ+IcwHAMdUgchk+MdzhpOiLOG4LL&#10;EYUmz/Dm5tV/niMK4elGLCgxZqBoHIkZrBqL+FgAY2lYxMcCmBmAV4exAC5VHqrHSm7Eeig8yR6s&#10;19Qf4A5fPTP6Sw5wwKQXz29g+YhbSvPG9kM5bSEcocrlmAVkBzIQlF/L80isvy+K63sADxe1ZXOS&#10;zopYbTyqnkqMIE61iViffsM76LjzTf4S0+VJgAyKcWWVaRPqF2jtvZRbkGx2n1KKSmakKfTsEqk+&#10;ZNQzYYOhq2tMiuMs0TUmxfOCzLBRMX5pwvKS+EmIBiyWUP34VO9JpJixTotqYQ9mMJKDS+TLhPxO&#10;4QpLn3mEJQxACsOEbTQkRDYlKYBaB7tZPcOHhISd0seAPTMWMWPh17edg29IqJ+4OOH328eDxwmE&#10;ePTr28RC/dbJODqkKsFcqHr9NzKJMPEykxsTOtMppbh2T8J9TEqYsP1RZVCK+2oyqgxJMfYJIXlQ&#10;aiiHcHzBvnEvibBUkkj5fNBJpPhYJ7izZxd7qNJ6pUSSJ5VKHBMJxZbZ5clhBSx7scCsvDF5lTz5&#10;lYNiXLgkHZebiaTOHhqMGVyc0xWTlJKMLiIGT/tSYQ62RT/n6/r+qOY/lhPs5EkYclEBwvb9R1KE&#10;dNIYoaD3Ux8Xywk3FCktEALJoaFBKeqkyckitj6pPhgvyA49vBj7pNyJPBT7HgkR2DHquBE5vxEU&#10;f8qTvM/rdbDB2G2OjGlJIV7FBrUNiSWpQo4ODfXGhKfNoI1JzT4QSMVtUE4vZF8AYSH7/sbJvrDj&#10;eUz2LQtkvz7Zd7cvF2FDKoOj+TzMF3Z7ofvuDnvcGcBrsoGouj/NNdnlQjkaTjSR12zVIr+OjuNr&#10;ERg9ZvoA8hBaLXqXtty712qBEXTWgiSEVoveFQ+0wESzainMulaL3hHf+y2CxYtMi94Nh+siPVxw&#10;daCq8VtkKL7lQskWGBh7ZjXIPGibZAi+5RprR40G2PcS3Cs3v6lcUuqo0QgHajTCkRoNMRJznEZp&#10;iAM1ltiLZIpWjyH2FhpU2yqsuaqrgLnh6tFBDNfPei7HGmnW4/vckHoL792xR6McqNEoF+Kao0aj&#10;7IfOSqNcqOGtGsPn9X1u+LyF+uKoMSD75hg+L3CQPZBxGWUG2Xe6ue/a756GzRvkCkPnDazRGK8C&#10;dDTIvhqsrWqjglxsqLyBGo1xpEYHsh/H0ItmayC4vP5giLyBqyyR13e5IfIWtnwbOljFVnQKrajt&#10;5+Zq68K/bfUYHm85l9LqMTxecKgXgobGG+BjLrVe+TFoWLyFn+bYo7NyYfE67TL5wveXuc66UGYd&#10;PRrncpbAsUcHc6ECtnoMhbfQ5Vo9hsIb5FPc5p/97ncuw+At/D3HHh3PhXfr2KNxLkcbHD0aZ+BT&#10;ev3C3F1dzlo4egzOvr/MvdVBoYKLShWfwrhs22XYu5DnvHg25N1yHMnRo9NGEM+4MFXtKdcwO3o0&#10;zsGIY4i7kT1mAPT7l6HtRvjoeA7wMaTdIMkb0m5QZxjObtDfDWc3qHsMZTfSo3Eu34Bp49AwdstV&#10;162/zO3UhWjr6DHx7PcLuOpxjg0gmUocwkx4IWouRE2YzF5BqU6rhn1+Ia+QLkTNhkDFO4wLUbNB&#10;BitRDDGoNkdCbCFqhsxLKDkQyOUu6WNyL+/dXcEpp5EQ4028q7p81096fBPbFZxXGtIOIzK66b/s&#10;XdJQVnwdtxAqIeQWQrHjUQv5apZ6iWa00XQsJ5sh8qR9JpHq75rxDhyVX9A+0SFP1gVzJvD8SaSY&#10;bJNsWotUn8ggUv1drTEpCu6M6VVwSLblCaxEiFIe9EDqeYK3PAn3ISGIKfBNci/R6YRo0EteNyQ0&#10;RnVj7yWECZZK9pthDxexgpG4h/qgFLk5IcXxC/sBSpoScgzFQsJQHRKi1yUMJwqYuuktcSlPis8h&#10;oUrv7IPO/W9EqI8mh8KQUH8LmycFiRCBcAohCpZEEwn1Wye5vwvmkBCfuwIf9nqMUB/6Vg1KUXgm&#10;1+5VEk/XLiY+gh971otUn0MzKMXuSd44JjXUUdmNEPW9NrIUNKIrRZ0QHPX1UjxvpMWfsLLgmEgy&#10;MtZNkLcTnhBLJQyg10n18WLrE0o3I5GVFhQTsJzXxZ6ljusGIcK03DXma9X4CKtKGjuqnGR6eVLG&#10;5/MUSY8alOL47vc73KsG3ycD36AUxVHGvCMkkvH4GFfBqeMJenutZEJPHMmJZnmSJ3AHFeu+foQK&#10;K+44Xo50EcawNdKLPdE1JJWx9cj6pEcLP7D/xldJVfQFAfEXpKiFQgYgLBSy3zaFDPv9EYWMeMm/&#10;OoVsu9nJMc3NetoTU3ymkO1X20ohI7IZJZOvujCybCDB1jio0vwwTSHjK0joOmctBEmtbhwW3kKr&#10;R+8/woXQsIHE10JrPZCOZz24EdXq0ftioR4Yumc9yMBp9ej9x7BdUKRlevS+WPn4tdOshkvWmmO4&#10;ZOXL154ejTPyMRw9GudCs/P0aJx9mA2brHDbPD0a50CPxjnUo3HG/XSnXRrnSI8hlMEmt6fIEMro&#10;+honnjXQZee5tchcFFk+++sg1FLKHEU6pOkuJMciDXXQMg01Xc7k6NFQ+yFkSGV07VSrp2GVte2y&#10;rLJy8ZijRyNdOAeOIh3TdCOno0jHdOB7wysrl045egzQPtKGWIZ74Y7ncRI75w4/qM01kUgJc/Tg&#10;xKfqCXK0oZYF9uA0PtVjgI4M0kAXNlfrMcsuiyzSSAOFyOutll4WuMzyywJFOn8UnoiDtSGYFaJR&#10;2zRLMAvGMfizGexIkQa7MGk8iwbA3ur8AaOvG0Z4sCtzv+GYFY6QZ5GO60JecTDSYBdymKOoZZm1&#10;igzLrLBOPEUa7K2f0yzNLIgjPCNXMSoXqTkWabAvg8i2F0X6fd8SzYLsiIdfq0VB5zdMs6gCsVQz&#10;P6sZqlnkfsM1C0ZGc1HkKgDbks18jPBW9Nr8KLJbtlnrNXNNJASt20UM3azQ1hxFOrLpwtF2CLF8&#10;Mx9swzeLBmtDOCuEztYiQziL6hnLOPMrNXNJJN0y7TTNpBHfa4ZyBneJumDDpuTs2sLBdZqmwabr&#10;qluLYKd0VhRgZC+JDNxvLomMFOmcrcGG2fxCg1tocLBKuNDgGvYWr2ZewfEQWqfoc2UWGlzE3lpo&#10;cBEyfJ/F1XbsDjSsPbGvLjS4hQb3X/e+Qihavo5kByVbucAPqjKPZcf7Znh/IOX9aBuuEZQdI3ma&#10;fTj80B3pk1/Lk8Rkm55qRWik/FqeLAazPcgBPKH8ajGAomhLbBMxgURskifbRmLJd2qZNJNIMSko&#10;keIXJmaVNjbfgbO2U2pNCIwklDATyUEJu+90QjC1AQ8mrxsS4i3yjIZAmCcXcrCTk01e3iI/iRRb&#10;n2wYExAJC5BamBBTKBag6ut16lcIwZp7TxN3+/5m/pAQAwWP3vvYgQmvi6X6pr9GKDGKGpiwj8jH&#10;JxDiBN+3iYX6ENShoov5mJQw2/pm8WGSjCUH6xmY//vW4wIzSiXBx7oSKXIhjHa96GMO1qDU2BsT&#10;Ker02RuHpJgTmfRoia6+HyW8+njxXDVhyY1JMWeNFrbCAoMndbBA3/MjR05yMR4WZDiG9ZEYlOIx&#10;ut/92fpkJGdGZ3LbFXsoqVRq3z5upNCLHGIeB5v8RVSHcn6FR88VPNYmQcnU9qQbDEpxV+93PKYC&#10;Qmz2rH+dVD8ohb7fDxEZtfqpMcK+41VKk7V+Cr16JCflqjx5ckEYJzUbJ6SkSBSpfotfJZWRD8n6&#10;JD3w9X4J+fBVUhV9QVP8BfluIfkBCAvJ7zdO8gOC2zHJrxxk/9VJfrvd4YDXScGAvdpvL2kqNZP8&#10;5JvReFHc6uKAjD/K61/H8kN6BB0p08Q7w/IjMgKNI1oIRtG6G1u27Fo9en+MP3rc6oFcNevB7dFW&#10;j974DfXA9KTqKRt2rR5NieJvJ7f2wPiQ6dE7kXCHLu5ptnoMzQ83WVt7DM2PvzLnKNJII6HBUWSQ&#10;JlKUo0hDjbu1jiIN9aHwEBw9GuoggjTURENw9Gioy0eKHYM01pFBhulXrnxrFRmmH9Bpfadh3ZF5&#10;31D9iPTRts1Q/QoJ1jFJgx0q0mAHIK002uV6GCcecSCfm+Z633D9iKnTtgwr7qrHD0fD9aOPZzp6&#10;NNR+NJob5KJ+hhuE1Z7CGWyRNlQ/4ns5BmmkgwxiuH5RP7NkP7+DGLJfYUW0Blmyn58aDdkvCGpL&#10;9vOh3ugMEunRSJcb11qkDdcvapcGOtKjQzoC2lD9IO69jGavkgsyGs6nawwFigzVL4ohnEzPivys&#10;314m5/RWc5tc+d5xi7Wh+hE1tw0iQ/UrXxd2FGmwQ0U6fwAx2QMbNlzn5hOzqrXIUP0C9xuqX1SB&#10;2BvlfPcbqh/xsh2LdGAXql+LkfkmNH3K2VGkI7t8N9tRpMEm7rqjSIMNF4d5YFuqX9BnDdUPbtTz&#10;FBmq31Suf3Qi0nD9ArcZrl9YGRmyX+ExtihZsl/QbQ3ZLxhkDdkviiRD9oOBxkVpJLYt2c+H25L9&#10;Ar9Zsl+gSOdsYg22kWTIfgFGhuxHxFpHkY7twGuG7BeBbcl+/vBoLpiDuY9frRm2X+GMt4Fk2H5R&#10;AWnYfpEijTadyWlBwm/71fxfqN6ORbrsI2qlo8ig7YNkPghdrormbgsLDQv/cOEfwlLBwj9c+Idw&#10;Ud4Y1ZJ3B6+ghqe1pT4zc+EfLvzDK/4g2/K95CbPYCmIGRjKvZHehAVfER/rq1jWFfGxvoqXAxfx&#10;sRsHsUQr4mMEWqzDUBxqrZGm/kd8LxlKoq9jN0IdV9iNUKq57EZCDFaVGYJo/5E3v2dB2SqTJ29A&#10;sj5YbSNI5dfyZDHy61z3ya/lyWIUXKcSI3dnn4XjncOspVWsv1M9KMYb2hMsCfdwo97TftfKwjYm&#10;xWhkxK/SRbKvj5E74RvePeOHhCh+EvbEkJBQRvtGDUpxvCZfOxRnZ9xesj8huADpArPTSaSAq4W6&#10;kv13xiLZWafoSoiV1HETAhJFICzz9qJmSIhelyQdwjPhxQwJCWcyCS0Omj6BQmKmjwJLDanqCzHz&#10;qP86GC0wXvrJiKkfpxCi8ExsIqGkdSSUJLU6mHUjD9eyAYSEDYmruSjVj4WTSpFdyVDB30pNwp2P&#10;HCW85UEpivdM15gUtZEWmKAIkgFOnlQfsIcSKea+JtmBYwI6Wi8bsVRCUWdO7kmkmOeYkKL4LFhz&#10;W5nFi2MiIX5hyQgRnRx+GJTiPlRPz4hB8iRHsvmwiN9Fn/mjU9LZavceSihtoSfsr5aDKclTgiSs&#10;lmnUSoKJR/hMige3fmOYeZh0BWQcgGshc/eCnKVgH/d0Uv20zdYn9QLjBT2iZxf7KClQjj0p8djx&#10;PQ8ttbgLnX8sKLrlSTHPy1bZF7Q5eyW1tUj1oXmVVL1XXsyWpzE/o5oSFsm95dxhx6Tak3PiMxgn&#10;FrYmgLCwNX/bbM0VsqyO6Jr4b5DVfnW+5rTFj/WWinV1eXF8J+P2Aq9ppM/6Xky7Ot39KrZmuWCH&#10;BiZNxNRszUL+ohJHi8DIV3clgbryctZq0bubhd7QagGwZy3ISWi16K3NQAsURbMWpJG0WjRDImgR&#10;pMNMi96vL8yPtkU4Ua9qcNu/tcVwNIE/8/HMUaPxDdRofMu1fo4aDbCPjLmIsXxw1lGjEfbdNGmE&#10;IzUDEE8GY6QytOZgEVQxLvy8FmRDziwEJEePBtlvlmFmAkXBNUeDjLwKxxodxdDpXDUaZN/lhpVZ&#10;vqPrNEqD7LvckDILE65Vg0XYjLGvx5Ay/TgGKHI1OpCR+uxYoyEudNwWY8PI9CHGZZG5UUHW0oEc&#10;qNEQBynUsDH9RhkyZqDGkDF9iC0X048/w8VE6lMLMda8FZtCxmkhNlTMwupy9GiMC+fV0aMxDuIY&#10;C+JqT6RHJ4tAjyFiFrZSa48lYvowGx5m4C3Lw/RxxoWRuV2+uwwNs5CeWpwNC7Pck+i0S+MMBDvP&#10;77iAVO2J9GicCy2stcdwMAN/GQ5mMGQZCmaAc0vBdOzROJfb9lp8DAMTZDx8cDGl4hMMNuauxSAO&#10;zVWLhXXv2KNxhrZ79hj6ZWCPoV+u/HYZ8mWAjyVfBnoMzn5ONdRLuEHTbZfGuRAmW3wM8zIoMizx&#10;0h+44LN3s0+DeLa8S388NrzLoH8Z2mVQKZs7FsutjxTPMGFcWHcL6w6WBRfWXcOGgfSAc+Xl1r8G&#10;mYV1F9LoYJDBmIGbqGmdus9H5M215da/JsSwCkEgodIYARKLjSI+RkX7z/fxWxjJv44shtkOvjcL&#10;dYHHFeNtoUoPifY/juVk30CetH8glJT+joVI9beP+AqPWs/Im+TJb6R+mUlBqQlRVFspOuTJul4j&#10;lewDM/crkSLjEyHqAcktPCzUh3RIiECASXRvP46F+luO1DqgZvc0DQnBTBPcl9gkkPd3OFkq2S1l&#10;MlBCexiTohbCslgPBnJNcicPpU7oij1NQ0L0OuhiPU3k5IR2MyRE/uuHFDumbxILJfmFbDqFEPmu&#10;Dzins9MJ9Q3nTDwk1AdTcno3CHh/vu873ng/nVDCGeH3JaHJ/Lokyk8qRfGSvXFMijoyRHyvj0o0&#10;9KE/qRR15iQ18hwLSAA961kKph2nk+q/kb2dEElwLxcGnGzMJQ9lwzdJNbWHEBxaQhInuer5qCY7&#10;lpNqRp5c1Qzleh7KkshlMjGEU89fg1I85PV9z21MBsYIiQ7GFMX16qIQ4yM5wVaehPEg1YlanBRE&#10;HHtJn3idVN9fQjPr9xwe5rLCibNDf+RhXRV9QVP8tZB+qH8tpJ/fOukHtucb0k85Bverk35W2w1S&#10;fXCcKt17vp9NEX4O+w1c5EbB9FV8n2D/wfB9yvZMqUtDvo/PldDb+MSxabTAgDzvpflaNFMi0AKF&#10;16wl2OFRInBHCWw4NbZAisu06G0iIuo0Wl7N9ym7aK0aGFSqNf6m8KTxLVdqtG3CEbSq8ZFx+D6t&#10;NRrhQI3eWqatuFbNAMSG71MuCGtbhXVvbVWw5enwfRp7cISsevxmGb4P7by3ajTIvq/w2sX6JtrI&#10;bdVokP39Rcv38SMHS+H6qqBROo6JttFY82q+j28NTgWqNcGusrmDze+bMC1RavxE0fJ92kZpiCPa&#10;kA7kwBoNcZBCDd/HV2P4PoEaw/fxIf5lfJ8Gm1/I92n1aIwD3kf7ldW2k1u+j+9ye/Na4ek09rye&#10;7+PDbPg+gbcs3yewR4dywGdx+D5tuzTOAT/LfGCVeAStHh3MQ3yfwl5r9Lye7xPoMRnD549Yvo+P&#10;M+wdqJThJ0LL9wns0ThHPB2dM4g31OKjcY70mMRc+FmNHsv38Ycby/fx2/V6vk+gx+Ds+8vwfYJB&#10;3d605o9/Dt+nxUfjHPGGNM7l9tA2/1i+j4+zw/dp7PmFfJ+iZ+H7/Hx3tvB9YC648H0aygGvMi98&#10;nwaZhe+z8H2u+ND3FXCRaaGoT21abtmKYuYkt2ydjO/j3w0l3BvZEUj2PaBW7+70QAkFYw7VRGC5&#10;rOPL03J0pFKR38rzV5CCUnPALpZK2khSyV4g70AlUjBDALMSIZjWoFB/X4y3HvuQDgnR65JNKcLg&#10;/5sQhdUY32dMKtmuHmPyjEkRVrC61us5hDqdDw47Dvkv2W0dEqLXQZD2bCLDE+rFkBCnhe7buMf0&#10;TWKhoR56CiHqoImm0wkRTsnrXiGUgMndqusW5vv092//o/g+faSEydNHgRuYMB1eJzX2xr4Uj8wJ&#10;p4mlEj4E7nvAGJLloDEpihqYRPVyB0dEwg4Qvk+ii4ekRIqsT9I/x0RyvcwY30dYC/2+cVxhSZUj&#10;3IaY7yPtDWsyzr0iJ5rlyXUU4ZLkeuboDEr1xzLRNSQFW2m9OOKEnwyMLNX0lQ7GnPvExhDjIznB&#10;Vp7M9xmLvaHSSrhDfVxeJ5XkSbI+4eZxHCc9+lVSTV8Vf0EFtFzyAyAsfJ/fOt8Har+G71PGg1+d&#10;77NdrestP9PlBnZKII/OpJ9pfYCrf+ian9XlAbhBnGe/ivYDR65fzugTyprTo2k/E30tju750kKQ&#10;/eqGfvmOSatHE1Mm+mpIqwdGvVkPbve0ejRpItQDrqt6yjeDWj1mdy6yB0aIWQ9uN7d69K5RiI8h&#10;AJWvVraKzI0/U2E1QfvI8x/ecShe4by0mlTYCo4mg3VhNnmaNNg+1oYGNJW7GDxFGu0giAza5XC/&#10;p0jD7aNtmEBwEziQthxFhguEu48tRoYKFCsyaPttM2ygWJNBO9BkYps+iNZGAE5XagQEsWQ5QeXS&#10;AQ8mjXfZ5Xdw0vFNX9RsTTK8oLK92ioy9wAdAscZZpAfAYYYRN8xcwzSaPtgG2YQfVjN0aOxDvTo&#10;0C78PwdpvCCx+szva4YbtAnwMewgP7ANOSjqIIYeVPgmrcPMdUCFnuY0zBKEfI/ZC4GQSOMp0kgH&#10;UW0YQpEejXSQ+g1DKEDaMISAuujlEHMjUKRHZ5BgaDQMoUiPjuhgqDYMoQAfWJCeIzHSo0O6MFcc&#10;h8FRmFnRpd83zHcZgR7let5whOC7ZB7S5k4gSDC+Ig31Hsk9bVAbklChbjpNMyyhSJHO1VE3M9cC&#10;QY3hWqTBpq/ptXnI3At0GTRNZ+pCtnWaZohCgdcMUSiyyDCFoFjxmmZuBopSmvkqYxCQhioU1WqA&#10;2hyQ5UOhrfsNVygaPMzlQCDkNk2DfQj6mmELBXFk2ELTBdLWHLcZvtDeN8ncDwQfIgk06TwSadKx&#10;DddrB5o03ns/AsyHGSf6JHMb3eCn2XMwxfAAt19mpI9FtprMlxnL52vbGDBfZoQ7Uv3WmU8zBmF5&#10;MHV2NDcy32YMRqSDRrxwMp0ggI+qzDAVEq3TOJNNgkQJd1ErRX42OegAL+w8xyK8+zrVNF3oKWQ4&#10;iYAb5pUqP8SnC414VLThBdOzqgDx6UJDHvkOOqRSFQzf04UGfYqq7elCw14+99v6b7rQuMe6zIQy&#10;SL+TnVFGgxR+G2iGC0D1ut9kDpbwJ3bb/jfham0tdIMOONlp5UWQX/ArSUqXXxhM5krZ6SKIePzi&#10;wKwr8uPR5FLZBet1yx1rC+cS9tkWzmXDLFw4lxFLbOFcRsjgNBR703LHGh7pxcX9h/uns58BkYVz&#10;GcXMSTiX5Yo17/jA8mXTCHecd2Bfhe++03Z+nzSMs4siPvYR1zKHQHmcJ4zohyKPXoCzgbE/gKKU&#10;3iDn4/stKFU//cFYk0tpT38w2GjmUVxhjT7UBizSyxugEB/7A2k0VNtjf8BuxpJ67A/Y0RPUzeoP&#10;oFb+ulsMcTkAbjHE+aZ3jSGuzAISsNfGb434HY2gEDvkSQSPKtbnbAGhgV7bpwQBb3ZIjNzJc2qA&#10;TGySJ9nGH6LLxPj7S8Ni/ZYCDcQCLDbJk2wTsYQRPihWSXjiVXmZPOmlOCdE5ydkdUY3IVaPSXG4&#10;JbQykZKteDFbnmQ+SzXkGCvFbYRdNepW8lt5kq4xKY7aRNeYlJC/EmWDYkxcnBK6tjA9EwqThNmY&#10;WPJ9Yp7RnESK2VzJ1xgZM1jnzV2efP6RorpmRwkaeepATK5SpWhNjjC8QigJezI8+WohRWoSgUNC&#10;Y/RDodf2+6IEaX9skBgdSr+nECIc+qbz2NEX4nEoEaKMdAqhEcN53O6/joX6YEoFcAopGA1pgOp2&#10;ZL4ZG1Yle92dJzwJjXZQiuxKyLY8CUrI5K+SSroqFHmIF6yU9JA4qRQVxskBJ75dPJOi7JdZPyTF&#10;kZPkP45VSCU9vFiKFujD6hK/MgTYJ+PJmBSfLE0+Oopbq/BG2BLrWY+7nVjkVV6jjF3ypDGMwxBn&#10;a11tXCg1DPIjbWQabJz2tb1SLOnhUsQlTWBAIA33WsroTsk4i1v3CG9S0bJH4YOT3ZciDwS1JRW5&#10;5NhktiBiTfki9PH2SAUPYLVHRNPBYzlxvzwpqPBSKWhOUkbyeJ/4Y1CK81EfZjm20u85r5JKPMbW&#10;JzUil8qwatmLTMa+8eoR9hRK1ZPy29j3Mimv7oqc3wiKbnmS9/E+Jwzmqk9+LU8W45hPpi5SCyRD&#10;INKN8KXJOD8qxk2A8rbnEem2sCndFWNt9aPZAoQ8GRAa4XBprqdNvDAo1nhBAgFGtOUMCYCwnCH5&#10;rZ8hAWZIc4akLK/+6mdIqEeuNpc7GFOhU6rjI9vtFhl1NzjOTZv1aW6NBerzyxl95V6fDNHcn4mI&#10;cq0QJJmZNIIElFZEE3+mQ6FmtEKQSKuewtltRTTrJ9QDVdmsx7fHUH4ie2CYmPUgr621x9B9Inxw&#10;dShTZMk+wDYEImH7OsP1KRcWOjIGa2Dk+poM2G7bLM8HaKu+Io02snwciwzaQFv1FWm4kUDmKDJw&#10;E62tlcI1nwp3uZXPkTGBTXRbR0pHdrmU1pExcIc2abjLEQtHkwlu4kg6UhpvoGR6ONnzI+Ur5k4w&#10;YYVYcSo8O+dtBnHierVSUCHNmlZ+jzMHSJjp5WjSiPtBYE6QAAXWDSacB9S2+VFpTpBE0Y1rfpke&#10;Hd107stpl8bad5o9QVKYxK2e5gSJI6JDm04hOUIa5yAe7QmSQs1zFGmgg3C0J0iilmmkI0UGat/z&#10;WKRWjwH93esf7QmStmE4la16Ct3TkdFQB2kN5ySzHt+e9gSJ8y4NdDBamxMkAc72BIk/6ps7Zsu3&#10;jp30YU6QlIMfjtE6fRCnvRUyJ0jgaJnnMXuCJGgaTtgq1DAYu4p0uoZDc272wLlaqkhn66ibmRMk&#10;ex9s82FpoKr7FumoLmcRHBw12NHwYU6QBF4zJ0gii3AZqmJUjqK0FtkTJIHX7AkSHyNzggRwdDHC&#10;VeZqERwM8NxvTpBEgwcuxFVF5ZCF0zQNNh/8aKXMERI4fumZZI+QRJ3EHCGBgtXVpGN7onMIjk0m&#10;uANNOrgnOkTkaNKAH/xRzR4hoeMajiaDeKDJIE6U/1aTOUKy8xG3R0iiCtkeIQk0GcSj+t8cIQmG&#10;JHOEhE7aOI3TgJcTv46MHiOjchT+bI7wchbFUaTxpnMfrdDRERIfJXuEJCqRCjGsdrugdfYISVS1&#10;2SMkAeL2CAmcgHKTij1CUs6leSho0GHJPdKlYQ8y1NEREjqS7LzSTCqD/Ht0hCSa5tgjJOUEl/dC&#10;E+t0TMYT0+kl6IBHR0joRKinS8d7UPMcHSGJqhV7hCTyoz1Cov0Iy3XLEZLlCAmsuS1HSJYjJOdX&#10;MDmmrZI+F3k5QhLR0pcjJBEyyxGSCJnlCEmEDE5WcGyCM+0jaQlnJEV87HDBcoSkHIrAXThI997x&#10;o+UIiQo7qJW/7ggJTAXKERJ4ukdIYFoA0Qv7kRzsEW2Ex5hZUGgP8mT6g+hLyBTUaXgpFBopWuTJ&#10;2qgrZmJy0oSmPaG2UbEx2+RASvZSaYIALC2UJ7VUtAGTj7wvv5bnq8RwEwm9mpDo+RrTCcaC7ktJ&#10;GSwufr0UG5bQn0SqbxdLJYQriH+EAvYyetaPScl5joQLOyrGoZGYxufdshbw6YqMy8gstSk5yyDx&#10;mFAeRQxa3EOXSW+Y2U8gxtS+jGLFuNXMJj1JntSjyPF0/UiYOchRSW+icEx6CQkl1M9XCA2d60rC&#10;lSBIGHxDQnwmDXbDe27mSE1IfhyoCQlZArDPGmap0wkl5D4aQfp9gkejvhCzME8hNGITD/L91rFQ&#10;H0wpF04h9bojIn2scE8DhoPkSwKDUgRpEu08P4Bw7vWJ10n1R2I4eYBtJLJbmNNeJ9W3ns8fJDT6&#10;QSnyUGb9kBRHTpL/OFYhSfQ8xFLJsQ7cgAfsk/FkTIqP+iRnL/GMOBY4ydkPntXi/kSvlTw9zc5+&#10;4KwCX5r1IxZreOx2DBZtg2LJGSNpQhKNAkjC/Rd4gX7Qw00O6iSFLZ+lmpKDRnLgJCnMJckmkwYR&#10;ayohIZG3J0l4rbV2iWhWeCwnfpUn1Vhc/iV+4wE/qYbHpPjERlYdUaJMqjE+j59JUagnkxG2PikS&#10;kSkHvSsJEsY+qUojD8W+51Nu82mnyPmNoHhdnuR9TnbZjEMOdSTdVoqBJKcjpQYTVHNwwto2KkZZ&#10;HS4A7SYB6bZJZSuAJGdepdsm32wSLwyKNRM6CQQoFJaTJADCcpLkF58kefPy8OHty4eH734POH54&#10;vH74+Onmj9fP1/r/4eeXh7e3q/uP95/f3T5+9/8AAAD//wMAUEsDBBQABgAIAAAAIQCHuCVj3AAA&#10;AAQBAAAPAAAAZHJzL2Rvd25yZXYueG1sTI5BS8NAEIXvgv9hGcFbu0k1VWMmpRT1VARbQbxNk2kS&#10;mp0N2W2S/nvXkx4f7/G9L1tNplUD966xghDPI1AshS0bqRA+96+zR1DOk5TUWmGECztY5ddXGaWl&#10;HeWDh52vVICISwmh9r5LtXZFzYbc3HYsoTva3pAPsa902dMY4KbViyhaakONhIeaOt7UXJx2Z4Pw&#10;NtK4votfhu3puLl875P3r23MiLc30/oZlOfJ/43hVz+oQx6cDvYspVMtwiwJQ4QFqFAun+5BHRCS&#10;hwR0nun/8vkPAAAA//8DAFBLAQItABQABgAIAAAAIQC2gziS/gAAAOEBAAATAAAAAAAAAAAAAAAA&#10;AAAAAABbQ29udGVudF9UeXBlc10ueG1sUEsBAi0AFAAGAAgAAAAhADj9If/WAAAAlAEAAAsAAAAA&#10;AAAAAAAAAAAALwEAAF9yZWxzLy5yZWxzUEsBAi0AFAAGAAgAAAAhAE6lu54AMQAAvoIBAA4AAAAA&#10;AAAAAAAAAAAALgIAAGRycy9lMm9Eb2MueG1sUEsBAi0AFAAGAAgAAAAhAIe4JWPcAAAABAEAAA8A&#10;AAAAAAAAAAAAAAAAWjMAAGRycy9kb3ducmV2LnhtbFBLBQYAAAAABAAEAPMAAABjNAAAAAA=&#10;">
                      <v:shape id="Freeform 27" o:spid="_x0000_s1027" style="position:absolute;left:2317;top:476;width:2953;height:5874;visibility:visible;mso-wrap-style:square;v-text-anchor:top" coordsize="1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04wwAAANsAAAAPAAAAZHJzL2Rvd25yZXYueG1sRI9Bi8Iw&#10;FITvwv6H8Bb2pukK6lKNIrKiFw9W9+Dt0TzbYvMSmtR2/70RBI/DzHzDLFa9qcWdGl9ZVvA9SkAQ&#10;51ZXXCg4n7bDHxA+IGusLZOCf/KwWn4MFphq2/GR7lkoRISwT1FBGYJLpfR5SQb9yDri6F1tYzBE&#10;2RRSN9hFuKnlOEmm0mDFcaFER5uS8lvWGgWdO/TZ8XLd1h3Zv7bduPPvbqLU12e/noMI1Id3+NXe&#10;awXjGTy/xB8glw8AAAD//wMAUEsBAi0AFAAGAAgAAAAhANvh9svuAAAAhQEAABMAAAAAAAAAAAAA&#10;AAAAAAAAAFtDb250ZW50X1R5cGVzXS54bWxQSwECLQAUAAYACAAAACEAWvQsW78AAAAVAQAACwAA&#10;AAAAAAAAAAAAAAAfAQAAX3JlbHMvLnJlbHNQSwECLQAUAAYACAAAACEAb7zNOMMAAADbAAAADwAA&#10;AAAAAAAAAAAAAAAHAgAAZHJzL2Rvd25yZXYueG1sUEsFBgAAAAADAAMAtwAAAPcCAAAAAA==&#10;" path="m106,362r,l106,364r,4l104,370r-6,l88,370r,l82,370r-2,-2l78,364r,-2l78,342r,l56,340,36,336,18,330,8,326r,l4,322,,318r,l2,314,14,276r,l16,274r2,-2l18,272r6,2l24,274r20,10l60,290r18,2l78,204r-8,-2l70,202,48,190,36,184,24,174,14,164,6,152,2,136,,118r,l2,100,6,86,10,74,18,64r,l30,52,44,42,60,36,78,32r,-22l78,10r,-4l80,4,82,2,88,,98,r,l104,2r2,2l106,6r,4l106,32r,l130,34r20,6l162,44r8,6l170,50r4,2l176,56r2,4l178,60r-2,2l162,94r,l160,96r-2,l158,96,148,92r,l132,84,120,82,106,78r,84l114,166r,l142,180r12,8l164,198r8,12l180,222r4,14l186,254r,l184,270r-4,14l174,298r-10,14l154,322r-14,8l124,338r-18,4l106,362xm82,78r,l74,82r-6,2l62,88r,l58,94r-4,6l52,106r,8l52,114r2,12l60,138r10,8l82,152r,-74xm104,292r,l112,290r10,-6l126,280r4,-6l132,266r2,-8l134,258r-2,-10l130,240r-4,-6l122,228r-10,-8l104,216r,l104,292xe" filled="f" stroked="f">
                        <v:path arrowok="t" o:connecttype="custom" o:connectlocs="168275,577850;155575,587375;130175,587375;123825,574675;88900,539750;12700,517525;0,504825;22225,438150;28575,431800;38100,434975;123825,463550;111125,320675;38100,276225;3175,215900;3175,158750;28575,101600;69850,66675;123825,15875;127000,6350;155575,0;168275,6350;168275,50800;238125,63500;269875,79375;282575,95250;257175,149225;250825,152400;234950,146050;168275,123825;180975,263525;260350,314325;292100,374650;292100,428625;260350,495300;196850,536575;130175,123825;107950,133350;92075,149225;82550,180975;95250,219075;130175,123825;177800,460375;206375,434975;212725,409575;200025,371475;165100,342900" o:connectangles="0,0,0,0,0,0,0,0,0,0,0,0,0,0,0,0,0,0,0,0,0,0,0,0,0,0,0,0,0,0,0,0,0,0,0,0,0,0,0,0,0,0,0,0,0,0"/>
                        <o:lock v:ext="edit" verticies="t"/>
                      </v:shape>
                      <v:shape id="Freeform 28" o:spid="_x0000_s1028" style="position:absolute;left:1047;top:95;width:1175;height:2318;visibility:visible;mso-wrap-style:square;v-text-anchor:top" coordsize="7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XMwQAAANsAAAAPAAAAZHJzL2Rvd25yZXYueG1sRE/Pa8Iw&#10;FL4L/g/hCbvZ1MLKVhtFxI16GUx38fZonm2xeSlJVrv99ctB2PHj+11uJ9OLkZzvLCtYJSkI4trq&#10;jhsFX+e35QsIH5A19pZJwQ952G7msxILbe/8SeMpNCKGsC9QQRvCUEjp65YM+sQOxJG7WmcwROga&#10;qR3eY7jpZZamuTTYcWxocaB9S/Xt9G0UTHn2m1aVeb2873A0h/w4fOyflXpaTLs1iEBT+Bc/3JVW&#10;kMWx8Uv8AXLzBwAA//8DAFBLAQItABQABgAIAAAAIQDb4fbL7gAAAIUBAAATAAAAAAAAAAAAAAAA&#10;AAAAAABbQ29udGVudF9UeXBlc10ueG1sUEsBAi0AFAAGAAgAAAAhAFr0LFu/AAAAFQEAAAsAAAAA&#10;AAAAAAAAAAAAHwEAAF9yZWxzLy5yZWxzUEsBAi0AFAAGAAgAAAAhANpHlczBAAAA2wAAAA8AAAAA&#10;AAAAAAAAAAAABwIAAGRycy9kb3ducmV2LnhtbFBLBQYAAAAAAwADALcAAAD1AgAAAAA=&#10;" path="m42,142r,l42,146r-4,l34,146r,l32,146r,-4l32,134r,l22,134r-8,-2l2,128r,l2,128,,126r,-2l6,108r,l8,108r,l10,108r,l18,112r14,4l32,80r-4,l28,80,18,74,10,68,6,64,2,60,,54,,46r,l2,34,6,24r,l12,20r6,-4l32,12r,-8l32,4r,-2l34,r4,l38,r4,2l42,4r,8l42,12r10,2l58,16r10,4l68,20r,l70,24r,l64,36r,l62,38r,l58,36r,l52,34,42,30r,34l44,64r,l56,70r8,8l70,88r2,6l74,100r,l70,112r-6,10l56,130r-14,4l42,142xm32,30r,l28,32r-4,2l24,34r-2,6l20,44r,l22,50r2,4l28,58r4,2l32,30xm40,116r,l48,112r4,-4l52,102r,l52,94,48,90,42,84r-2,l40,116xe" filled="f" stroked="f">
                        <v:path arrowok="t" o:connecttype="custom" o:connectlocs="66675,225425;60325,231775;53975,231775;50800,225425;50800,212725;22225,209550;3175,203200;0,200025;9525,171450;12700,171450;15875,171450;28575,177800;50800,127000;44450,127000;15875,107950;3175,95250;0,73025;3175,53975;9525,38100;28575,25400;50800,6350;50800,3175;60325,0;66675,3175;66675,19050;82550,22225;107950,31750;107950,31750;111125,38100;101600,57150;98425,60325;92075,57150;66675,47625;69850,101600;88900,111125;111125,139700;117475,158750;111125,177800;88900,206375;66675,225425;50800,47625;38100,53975;34925,63500;31750,69850;38100,85725;50800,95250;63500,184150;76200,177800;82550,161925;82550,149225;66675,133350;63500,184150" o:connectangles="0,0,0,0,0,0,0,0,0,0,0,0,0,0,0,0,0,0,0,0,0,0,0,0,0,0,0,0,0,0,0,0,0,0,0,0,0,0,0,0,0,0,0,0,0,0,0,0,0,0,0,0"/>
                        <o:lock v:ext="edit" verticies="t"/>
                      </v:shape>
                      <v:shape id="Freeform 29" o:spid="_x0000_s1029" style="position:absolute;left:1682;top:2921;width:699;height:1428;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cfwQAAANsAAAAPAAAAZHJzL2Rvd25yZXYueG1sRI/disIw&#10;FITvF3yHcATv1kSFslaj+ENhrxZWfYBDc2yLyUlpYlvffrOwsJfDzHzDbPejs6KnLjSeNSzmCgRx&#10;6U3DlYbbtXj/ABEiskHrmTS8KMB+N3nbYm78wN/UX2IlEoRDjhrqGNtcylDW5DDMfUucvLvvHMYk&#10;u0qaDocEd1Yulcqkw4bTQo0tnWoqH5en02CxjdegjqM807H5QlesVGa1nk3HwwZEpDH+h//an0bD&#10;cg2/X9IPkLsfAAAA//8DAFBLAQItABQABgAIAAAAIQDb4fbL7gAAAIUBAAATAAAAAAAAAAAAAAAA&#10;AAAAAABbQ29udGVudF9UeXBlc10ueG1sUEsBAi0AFAAGAAgAAAAhAFr0LFu/AAAAFQEAAAsAAAAA&#10;AAAAAAAAAAAAHwEAAF9yZWxzLy5yZWxzUEsBAi0AFAAGAAgAAAAhAPBbZx/BAAAA2wAAAA8AAAAA&#10;AAAAAAAAAAAABwIAAGRycy9kb3ducmV2LnhtbFBLBQYAAAAAAwADALcAAAD1AgAAAAA=&#10;" path="m26,86r,l26,88r-2,2l22,90r,l18,88r,-2l18,82r,l8,80,2,78r,l,76r,l4,66r,l4,66r2,l6,66r4,2l18,70r,-20l16,48r,l12,46,6,42,2,36,,28r,l2,20,4,16r,l10,10,18,8r,-6l18,2,18,r4,l24,r,l26,r,2l26,8r,l36,10r4,2l40,12r2,2l42,14r-4,8l38,24r,l36,22r,l32,20,26,18r,20l28,40r,l34,44r6,4l44,54r,6l44,60r,8l40,74r-6,6l26,82r,4xm20,18r,l14,22r,l12,24r,4l12,28r2,4l20,36r,-18xm24,70r,l30,68r2,-2l32,62r,l32,58,30,54,24,52r,l24,70xe" filled="f" stroked="f">
                        <v:path arrowok="t" o:connecttype="custom" o:connectlocs="41275,136525;38100,142875;34925,142875;28575,136525;28575,130175;3175,123825;0,120650;6350,104775;6350,104775;9525,104775;28575,111125;25400,76200;19050,73025;3175,57150;0,44450;6350,25400;15875,15875;28575,3175;28575,0;38100,0;41275,0;41275,12700;57150,15875;63500,19050;66675,22225;60325,38100;57150,34925;50800,31750;41275,60325;44450,63500;63500,76200;69850,95250;69850,107950;53975,127000;41275,136525;31750,28575;22225,34925;19050,44450;22225,50800;31750,28575;38100,111125;50800,104775;50800,98425;47625,85725;38100,82550" o:connectangles="0,0,0,0,0,0,0,0,0,0,0,0,0,0,0,0,0,0,0,0,0,0,0,0,0,0,0,0,0,0,0,0,0,0,0,0,0,0,0,0,0,0,0,0,0"/>
                        <o:lock v:ext="edit" verticies="t"/>
                      </v:shape>
                      <v:shape id="Freeform 30" o:spid="_x0000_s1030" style="position:absolute;left:5461;top:4318;width:825;height:1682;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r7wQAAANsAAAAPAAAAZHJzL2Rvd25yZXYueG1sRE9NawIx&#10;EL0L/Q9hCt402wpFV6NUq0UFD7Ueehw2083qZrJsosZ/bw6Cx8f7nsyircWFWl85VvDWz0AQF05X&#10;XCo4/K56QxA+IGusHZOCG3mYTV86E8y1u/IPXfahFCmEfY4KTAhNLqUvDFn0fdcQJ+7ftRZDgm0p&#10;dYvXFG5r+Z5lH9JixanBYEMLQ8Vpf7YKdsdtrDdmGefD47c9jb7OVP2RUt3X+DkGESiGp/jhXmsF&#10;g7Q+fUk/QE7vAAAA//8DAFBLAQItABQABgAIAAAAIQDb4fbL7gAAAIUBAAATAAAAAAAAAAAAAAAA&#10;AAAAAABbQ29udGVudF9UeXBlc10ueG1sUEsBAi0AFAAGAAgAAAAhAFr0LFu/AAAAFQEAAAsAAAAA&#10;AAAAAAAAAAAAHwEAAF9yZWxzLy5yZWxzUEsBAi0AFAAGAAgAAAAhAC2JqvvBAAAA2wAAAA8AAAAA&#10;AAAAAAAAAAAABwIAAGRycy9kb3ducmV2LnhtbFBLBQYAAAAAAwADALcAAAD1AgAAAAA=&#10;" path="m30,102r,l30,104r-4,2l24,106r,l22,104r,-2l22,96r,l10,96,2,92r,l,90,,88,4,78r,l4,78r2,l6,78r6,2l22,84r,-26l20,58r,l12,54,6,50,2,44,,34r,l,24,4,18r,l12,12,22,10r,-6l22,4r,-2l24,r2,l26,r4,2l30,4r,6l30,10r12,2l48,14r,l50,18r-2,l44,26r,l44,28r,l42,26r,l36,24,30,22r,24l32,48r,l40,52r6,4l50,64r2,8l52,72r-2,8l46,88r-8,6l30,96r,6xm22,22r,l20,24r-4,2l16,26r-2,2l14,32r,l14,36r2,4l22,44r,-22xm28,84r,l34,80r2,-2l36,74r,l36,68,34,64,28,62r,l28,84xe" filled="f" stroked="f">
                        <v:path arrowok="t" o:connecttype="custom" o:connectlocs="47625,161925;41275,168275;38100,168275;34925,161925;34925,152400;3175,146050;0,142875;6350,123825;6350,123825;9525,123825;34925,133350;31750,92075;19050,85725;3175,69850;0,53975;6350,28575;19050,19050;34925,6350;34925,3175;41275,0;47625,3175;47625,15875;66675,19050;76200,22225;76200,28575;69850,41275;69850,44450;66675,41275;47625,34925;50800,76200;63500,82550;79375,101600;82550,114300;73025,139700;47625,152400;34925,34925;31750,38100;25400,41275;22225,50800;22225,57150;34925,69850;44450,133350;53975,127000;57150,117475;57150,107950;44450,98425;44450,133350" o:connectangles="0,0,0,0,0,0,0,0,0,0,0,0,0,0,0,0,0,0,0,0,0,0,0,0,0,0,0,0,0,0,0,0,0,0,0,0,0,0,0,0,0,0,0,0,0,0,0"/>
                        <o:lock v:ext="edit" verticies="t"/>
                      </v:shape>
                      <v:shape id="Freeform 31" o:spid="_x0000_s1031" style="position:absolute;left:6699;top:2857;width:1048;height:2096;visibility:visible;mso-wrap-style:square;v-text-anchor:top" coordsize="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5gwQAAANsAAAAPAAAAZHJzL2Rvd25yZXYueG1sRI9BawIx&#10;FITvBf9DeEJvNasFLVujiFjoxYOrF2+P5LlZ3bwsSarbf28EweMwM98w82XvWnGlEBvPCsajAgSx&#10;9qbhWsFh//PxBSImZIOtZ1LwTxGWi8HbHEvjb7yja5VqkSEcS1RgU+pKKaO25DCOfEecvZMPDlOW&#10;oZYm4C3DXSsnRTGVDhvOCxY7WlvSl+rPKXB6ZsOp3Z43qHcNX6rpcbJFpd6H/eobRKI+vcLP9q9R&#10;8DmGx5f8A+TiDgAA//8DAFBLAQItABQABgAIAAAAIQDb4fbL7gAAAIUBAAATAAAAAAAAAAAAAAAA&#10;AAAAAABbQ29udGVudF9UeXBlc10ueG1sUEsBAi0AFAAGAAgAAAAhAFr0LFu/AAAAFQEAAAsAAAAA&#10;AAAAAAAAAAAAHwEAAF9yZWxzLy5yZWxzUEsBAi0AFAAGAAgAAAAhAOKMbmDBAAAA2wAAAA8AAAAA&#10;AAAAAAAAAAAABwIAAGRycy9kb3ducmV2LnhtbFBLBQYAAAAAAwADALcAAAD1AgAAAAA=&#10;" path="m38,128r,l38,130r-2,2l32,132r,l30,130r-2,-2l28,122r,l14,120,4,116r,l,112r2,l6,98r,l8,96r,l10,98r,l16,100r12,4l28,72r-2,l26,72,18,68,10,62,4,54,2,48,,42r,l2,30,6,22r,l12,18r4,-4l28,12r,-8l28,4,30,2,32,r4,l36,r2,2l38,4r,8l38,12r16,2l62,18r,l62,18r2,2l64,22,58,34r,l56,34r,l54,32r,l48,30,38,28r,30l42,58r,l52,64r8,6l64,78r2,12l66,90r-2,12l60,110r-10,8l38,122r,6xm30,28r,l26,28r-4,4l22,32r-2,4l20,40r,l20,44r2,4l26,52r4,2l30,28xm38,104r,l44,100r4,-2l48,92r,l48,86,44,80,38,76r,l38,104xe" filled="f" stroked="f">
                        <v:path arrowok="t" o:connecttype="custom" o:connectlocs="60325,203200;57150,209550;50800,209550;44450,203200;44450,193675;6350,184150;0,177800;9525,155575;12700,152400;15875,155575;25400,158750;44450,114300;41275,114300;15875,98425;3175,76200;0,66675;9525,34925;19050,28575;44450,19050;44450,6350;50800,0;57150,0;60325,6350;60325,19050;98425,28575;98425,28575;101600,34925;92075,53975;88900,53975;85725,50800;60325,44450;66675,92075;82550,101600;101600,123825;104775,142875;95250,174625;60325,193675;47625,44450;41275,44450;34925,50800;31750,63500;31750,69850;41275,82550;47625,44450;60325,165100;76200,155575;76200,146050;69850,127000;60325,120650" o:connectangles="0,0,0,0,0,0,0,0,0,0,0,0,0,0,0,0,0,0,0,0,0,0,0,0,0,0,0,0,0,0,0,0,0,0,0,0,0,0,0,0,0,0,0,0,0,0,0,0,0"/>
                        <o:lock v:ext="edit" verticies="t"/>
                      </v:shape>
                      <v:shape id="Freeform 224" o:spid="_x0000_s1032" style="position:absolute;left:158;top:1270;width:508;height:1016;visibility:visible;mso-wrap-style:square;v-text-anchor:top" coordsize="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DzxQAAANwAAAAPAAAAZHJzL2Rvd25yZXYueG1sRI9BawIx&#10;FITvBf9DeEIvRbNuSymrUURqqV62VS/eHsnrZunmZdmkuv57IxQ8DjPzDTNb9K4RJ+pC7VnBZJyB&#10;INbe1FwpOOzXozcQISIbbDyTggsFWMwHDzMsjD/zN512sRIJwqFABTbGtpAyaEsOw9i3xMn78Z3D&#10;mGRXSdPhOcFdI/Mse5UOa04LFltaWdK/uz+noPxabjfr/KN8ei4JrTts9Ls+KvU47JdTEJH6eA//&#10;tz+Ngjx/gduZdATk/AoAAP//AwBQSwECLQAUAAYACAAAACEA2+H2y+4AAACFAQAAEwAAAAAAAAAA&#10;AAAAAAAAAAAAW0NvbnRlbnRfVHlwZXNdLnhtbFBLAQItABQABgAIAAAAIQBa9CxbvwAAABUBAAAL&#10;AAAAAAAAAAAAAAAAAB8BAABfcmVscy8ucmVsc1BLAQItABQABgAIAAAAIQDMe9DzxQAAANwAAAAP&#10;AAAAAAAAAAAAAAAAAAcCAABkcnMvZG93bnJldi54bWxQSwUGAAAAAAMAAwC3AAAA+QIAAAAA&#10;" path="m20,62r,l18,62r,2l16,64r,l14,62r,l14,58r,l6,58,2,56r,-2l2,54,4,48r,-2l6,46r,l8,48r6,2l14,36,12,34r,l6,30,2,26,,20r,l2,16,4,12r,l8,8,14,6r,-4l14,2r,l16,r2,l18,r,2l20,2r,4l20,6r6,2l30,8r,l30,10r,2l28,16r,l28,16r-2,l26,16,20,14r,14l20,28r,l28,34r4,4l32,44r,l32,48r-4,6l24,56r-4,2l20,62xm14,14r,l12,16r,l10,20r,l12,24r2,2l14,14xm18,50r,l22,48r,-2l24,44r,l24,40,22,38,18,36r,l18,50xe" filled="f" stroked="f">
                        <v:path arrowok="t" o:connecttype="custom" o:connectlocs="31750,98425;28575,101600;25400,101600;22225,98425;22225,92075;3175,88900;3175,85725;6350,73025;9525,73025;22225,79375;19050,53975;9525,47625;0,31750;3175,25400;6350,19050;22225,9525;22225,3175;25400,0;28575,0;31750,3175;31750,9525;47625,12700;47625,15875;44450,25400;44450,25400;41275,25400;31750,44450;31750,44450;50800,60325;50800,69850;44450,85725;31750,92075;22225,22225;19050,25400;15875,31750;19050,38100;22225,22225;28575,79375;34925,73025;38100,69850;34925,60325;28575,57150" o:connectangles="0,0,0,0,0,0,0,0,0,0,0,0,0,0,0,0,0,0,0,0,0,0,0,0,0,0,0,0,0,0,0,0,0,0,0,0,0,0,0,0,0,0"/>
                        <o:lock v:ext="edit" verticies="t"/>
                      </v:shape>
                      <v:shape id="Freeform 225" o:spid="_x0000_s1033" style="position:absolute;left:2540;width:508;height:984;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dtxgAAANwAAAAPAAAAZHJzL2Rvd25yZXYueG1sRI9Ba8JA&#10;FITvhf6H5RV6042plhpdxZbWtocgieL5kX0mwezbkF01/vuuIPQ4zMw3zHzZm0acqXO1ZQWjYQSC&#10;uLC65lLBbvs1eAPhPLLGxjIpuJKD5eLxYY6JthfO6Jz7UgQIuwQVVN63iZSuqMigG9qWOHgH2xn0&#10;QXal1B1eAtw0Mo6iV2mw5rBQYUsfFRXH/GQUjN+j33Wb8vR785lNbbp/OY03rNTzU7+agfDU+//w&#10;vf2jFcTxBG5nwhGQiz8AAAD//wMAUEsBAi0AFAAGAAgAAAAhANvh9svuAAAAhQEAABMAAAAAAAAA&#10;AAAAAAAAAAAAAFtDb250ZW50X1R5cGVzXS54bWxQSwECLQAUAAYACAAAACEAWvQsW78AAAAVAQAA&#10;CwAAAAAAAAAAAAAAAAAfAQAAX3JlbHMvLnJlbHNQSwECLQAUAAYACAAAACEA/Q2nbcYAAADcAAAA&#10;DwAAAAAAAAAAAAAAAAAHAgAAZHJzL2Rvd25yZXYueG1sUEsFBgAAAAADAAMAtwAAAPoCAAAAAA==&#10;" path="m18,60r,l18,62r-2,l16,62r,l14,62r,-2l14,56r,l6,56,2,54,,52r,l2,46r2,l4,46r,l8,48r6,l14,34r-2,l12,34,4,28,2,24,,20r,l2,14,4,10r,l8,6,14,4,14,r,l14,r2,l16,r,l18,r,l18,4r,l26,6r4,2l30,8r,2l30,10r-2,4l26,16r,l26,14r,l18,12r,14l20,28r,l28,32r2,4l32,42r,l30,48r-2,4l24,56r-6,l18,60xm14,12r,l10,14r,l10,18r,l10,22r4,2l14,12xm18,48r,l20,48r2,-2l22,42r,l22,40,20,38,18,36r,l18,48xe" filled="f" stroked="f">
                        <v:path arrowok="t" o:connecttype="custom" o:connectlocs="28575,95250;25400,98425;25400,98425;22225,95250;22225,88900;3175,85725;0,82550;6350,73025;6350,73025;22225,76200;19050,53975;6350,44450;0,31750;3175,22225;6350,15875;22225,6350;22225,0;25400,0;25400,0;28575,0;28575,6350;47625,12700;47625,15875;44450,22225;41275,25400;41275,22225;28575,41275;31750,44450;47625,57150;50800,66675;44450,82550;28575,88900;22225,19050;15875,22225;15875,28575;15875,34925;22225,19050;28575,76200;34925,73025;34925,66675;31750,60325;28575,57150" o:connectangles="0,0,0,0,0,0,0,0,0,0,0,0,0,0,0,0,0,0,0,0,0,0,0,0,0,0,0,0,0,0,0,0,0,0,0,0,0,0,0,0,0,0"/>
                        <o:lock v:ext="edit" verticies="t"/>
                      </v:shape>
                      <v:shape id="Freeform 226" o:spid="_x0000_s1034" style="position:absolute;left:5238;top:1174;width:1397;height:2794;visibility:visible;mso-wrap-style:square;v-text-anchor:top" coordsize="8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WDxQAAANwAAAAPAAAAZHJzL2Rvd25yZXYueG1sRI9bawIx&#10;FITfC/0P4RR806yLiN2alVJQBOmDF0ofD5uzl3ZzEpKoq7++KRT6OMzMN8xyNZheXMiHzrKC6SQD&#10;QVxZ3XGj4HRcjxcgQkTW2FsmBTcKsCofH5ZYaHvlPV0OsREJwqFABW2MrpAyVC0ZDBPriJNXW28w&#10;JukbqT1eE9z0Ms+yuTTYcVpo0dFbS9X34WwUuMoFln7/Pt19+t1X/Ww394+ZUqOn4fUFRKQh/of/&#10;2lutIM/n8HsmHQFZ/gAAAP//AwBQSwECLQAUAAYACAAAACEA2+H2y+4AAACFAQAAEwAAAAAAAAAA&#10;AAAAAAAAAAAAW0NvbnRlbnRfVHlwZXNdLnhtbFBLAQItABQABgAIAAAAIQBa9CxbvwAAABUBAAAL&#10;AAAAAAAAAAAAAAAAAB8BAABfcmVscy8ucmVsc1BLAQItABQABgAIAAAAIQBKpmWDxQAAANwAAAAP&#10;AAAAAAAAAAAAAAAAAAcCAABkcnMvZG93bnJldi54bWxQSwUGAAAAAAMAAwC3AAAA+QIAAAAA&#10;" path="m50,172r,l50,174r-2,2l46,176r-4,l42,176r-4,l38,174r-2,-2l36,162r,l26,162,16,160,2,154r,l,152r,-2l,148,6,130r,l8,130r,l10,130r,l20,134r8,4l36,138r,-42l32,96r,l22,90,10,82,6,78,2,72,,64,,56r,l,48,2,40,8,30r,l14,24r6,-4l28,16r8,-2l36,4r,l38,r,l42,r4,l46,r2,l50,r,4l50,14r,l62,16r8,2l80,22r,l82,24r2,4l84,28r,2l76,44r,l76,44r-2,2l74,46,70,44r,l62,40,50,36r,40l54,78r,l66,86r12,8l82,100r2,6l86,112r2,8l88,120r,8l86,136r-4,6l78,148r-6,4l66,158r-8,2l50,162r,10xm38,36r,l34,38r-6,4l28,42r-4,6l24,54r,l24,60r4,4l32,68r6,4l38,36xm48,138r,l52,138r6,-4l62,130r2,-8l64,122r-2,-8l58,108r-6,-4l50,102r-2,l48,138xe" filled="f" stroked="f">
                        <v:path arrowok="t" o:connecttype="custom" o:connectlocs="79375,273050;76200,279400;66675,279400;60325,279400;57150,273050;57150,257175;25400,254000;3175,244475;0,238125;9525,206375;12700,206375;15875,206375;31750,212725;57150,219075;50800,152400;34925,142875;9525,123825;0,101600;0,88900;3175,63500;12700,47625;31750,31750;57150,22225;57150,6350;60325,0;73025,0;76200,0;79375,6350;79375,22225;111125,28575;127000,34925;133350,44450;133350,47625;120650,69850;117475,73025;111125,69850;98425,63500;79375,120650;85725,123825;123825,149225;133350,168275;139700,190500;139700,203200;130175,225425;114300,241300;92075,254000;79375,273050;60325,57150;44450,66675;38100,76200;38100,85725;44450,101600;60325,114300;76200,219075;82550,219075;98425,206375;101600,193675;92075,171450;79375,161925;76200,219075" o:connectangles="0,0,0,0,0,0,0,0,0,0,0,0,0,0,0,0,0,0,0,0,0,0,0,0,0,0,0,0,0,0,0,0,0,0,0,0,0,0,0,0,0,0,0,0,0,0,0,0,0,0,0,0,0,0,0,0,0,0,0,0"/>
                        <o:lock v:ext="edit" verticies="t"/>
                      </v:shape>
                      <v:shape id="Freeform 227" o:spid="_x0000_s1035" style="position:absolute;top:2476;width:1555;height:3143;visibility:visible;mso-wrap-style:square;v-text-anchor:top" coordsize="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oWwwAAANwAAAAPAAAAZHJzL2Rvd25yZXYueG1sRI9Bi8Iw&#10;FITvgv8hPMGLaGoPq1SjiCB4060Li7dH82yrzUtpYlv/vVlY8DjMzDfMetubSrTUuNKygvksAkGc&#10;WV1yruDncpguQTiPrLGyTApe5GC7GQ7WmGjb8Te1qc9FgLBLUEHhfZ1I6bKCDLqZrYmDd7ONQR9k&#10;k0vdYBfgppJxFH1JgyWHhQJr2heUPdKnUZDesevj36duX4vd6WIm5+ukPSs1HvW7FQhPvf+E/9tH&#10;rSCOF/B3JhwBuXkDAAD//wMAUEsBAi0AFAAGAAgAAAAhANvh9svuAAAAhQEAABMAAAAAAAAAAAAA&#10;AAAAAAAAAFtDb250ZW50X1R5cGVzXS54bWxQSwECLQAUAAYACAAAACEAWvQsW78AAAAVAQAACwAA&#10;AAAAAAAAAAAAAAAfAQAAX3JlbHMvLnJlbHNQSwECLQAUAAYACAAAACEA16FKFsMAAADcAAAADwAA&#10;AAAAAAAAAAAAAAAHAgAAZHJzL2Rvd25yZXYueG1sUEsFBgAAAAADAAMAtwAAAPcCAAAAAA==&#10;" path="m56,194r,l56,198r-2,l52,198r-6,l46,198r-2,l42,198r,-4l42,184r,l30,182,18,180,4,174r,l,172r,-2l,168,8,148r,l10,146r,l12,148r,l22,152r10,4l42,158r,-48l38,108r,l24,102,12,94,8,88,2,82,,74,,62r,l,54,2,46,8,34r,l16,28r6,-6l32,20,42,16,42,6r,l42,2,44,r2,l52,r,l54,r2,2l56,6r,10l56,16r14,2l80,20r10,6l90,26r4,2l94,32r,l94,34,86,50r,l86,52r-2,l84,52,80,50r,l70,46,56,42r,44l60,88r,l76,96r12,10l92,112r4,8l98,126r,10l98,136r,8l96,152r-4,8l88,166r-6,6l74,178r-8,2l56,184r,10xm44,42r,l38,44r-6,4l32,48r-4,6l26,62r,l28,68r4,6l36,78r8,4l44,42xm54,158r,l60,156r4,-4l70,146r2,-8l72,138,70,128r-4,-6l60,118r-4,-2l54,116r,42xe" filled="f" stroked="f">
                        <v:path arrowok="t" o:connecttype="custom" o:connectlocs="88900,307975;85725,314325;73025,314325;69850,314325;66675,307975;66675,292100;28575,285750;6350,276225;0,269875;12700,234950;15875,231775;19050,234950;34925,241300;66675,250825;60325,171450;38100,161925;12700,139700;0,117475;0,98425;3175,73025;12700,53975;34925,34925;66675,25400;66675,9525;69850,0;82550,0;85725,0;88900,9525;88900,25400;127000,31750;142875,41275;149225,50800;149225,53975;136525,79375;133350,82550;127000,79375;111125,73025;88900,136525;95250,139700;139700,168275;152400,190500;155575,215900;155575,228600;146050,254000;130175,273050;104775,285750;88900,307975;69850,66675;50800,76200;44450,85725;41275,98425;50800,117475;69850,130175;85725,250825;95250,247650;111125,231775;114300,219075;104775,193675;88900,184150;85725,250825" o:connectangles="0,0,0,0,0,0,0,0,0,0,0,0,0,0,0,0,0,0,0,0,0,0,0,0,0,0,0,0,0,0,0,0,0,0,0,0,0,0,0,0,0,0,0,0,0,0,0,0,0,0,0,0,0,0,0,0,0,0,0,0"/>
                        <o:lock v:ext="edit" verticies="t"/>
                      </v:shape>
                    </v:group>
                  </w:pict>
                </mc:Fallback>
              </mc:AlternateContent>
            </w:r>
          </w:p>
        </w:tc>
        <w:tc>
          <w:tcPr>
            <w:tcW w:w="1559" w:type="dxa"/>
            <w:tcBorders>
              <w:top w:val="single" w:sz="4" w:space="0" w:color="A6A6A6" w:themeColor="background1" w:themeShade="A6"/>
              <w:bottom w:val="single" w:sz="4" w:space="0" w:color="A6A6A6" w:themeColor="background1" w:themeShade="A6"/>
            </w:tcBorders>
          </w:tcPr>
          <w:p w14:paraId="67A49DA8" w14:textId="77777777" w:rsidR="00391C97" w:rsidRPr="007E5633" w:rsidRDefault="00391C97" w:rsidP="000A7BA9">
            <w:pPr>
              <w:pStyle w:val="af4"/>
              <w:rPr>
                <w:b/>
                <w:szCs w:val="20"/>
                <w:lang w:val="uk-UA"/>
              </w:rPr>
            </w:pPr>
            <w:r w:rsidRPr="007E5633">
              <w:rPr>
                <w:b/>
                <w:szCs w:val="20"/>
                <w:lang w:val="uk-UA"/>
              </w:rPr>
              <w:t>Капітал</w:t>
            </w:r>
          </w:p>
        </w:tc>
        <w:tc>
          <w:tcPr>
            <w:tcW w:w="4253" w:type="dxa"/>
            <w:tcBorders>
              <w:top w:val="single" w:sz="4" w:space="0" w:color="A6A6A6" w:themeColor="background1" w:themeShade="A6"/>
              <w:bottom w:val="single" w:sz="4" w:space="0" w:color="A6A6A6" w:themeColor="background1" w:themeShade="A6"/>
            </w:tcBorders>
          </w:tcPr>
          <w:p w14:paraId="314123E1" w14:textId="77777777" w:rsidR="00391C97" w:rsidRPr="007E5633" w:rsidRDefault="00391C97" w:rsidP="000A7BA9">
            <w:pPr>
              <w:pStyle w:val="af4"/>
              <w:rPr>
                <w:szCs w:val="20"/>
                <w:lang w:val="uk-UA"/>
              </w:rPr>
            </w:pPr>
            <w:r w:rsidRPr="007E5633">
              <w:rPr>
                <w:szCs w:val="20"/>
                <w:lang w:val="uk-UA"/>
              </w:rPr>
              <w:t>Інформація про джерела капіталу, джерела та наявність приватних фінансових ресурсів, відповідних угод та контрактів про залучений капітал, засоби переказу фінансових ресурсів</w:t>
            </w:r>
          </w:p>
        </w:tc>
        <w:tc>
          <w:tcPr>
            <w:tcW w:w="3969" w:type="dxa"/>
            <w:tcBorders>
              <w:top w:val="single" w:sz="4" w:space="0" w:color="A6A6A6" w:themeColor="background1" w:themeShade="A6"/>
              <w:bottom w:val="single" w:sz="4" w:space="0" w:color="A6A6A6" w:themeColor="background1" w:themeShade="A6"/>
            </w:tcBorders>
          </w:tcPr>
          <w:p w14:paraId="2B0A2D28" w14:textId="77777777" w:rsidR="00391C97" w:rsidRPr="007E5633" w:rsidRDefault="00391C97" w:rsidP="000A7BA9">
            <w:pPr>
              <w:pStyle w:val="af4"/>
              <w:rPr>
                <w:szCs w:val="20"/>
                <w:lang w:val="uk-UA"/>
              </w:rPr>
            </w:pPr>
            <w:r w:rsidRPr="007E5633">
              <w:rPr>
                <w:szCs w:val="20"/>
                <w:lang w:val="uk-UA"/>
              </w:rPr>
              <w:t>information on the sources of capital, origin and availability of used private financial resources, relevant agreements and contracts regarding raised capital, means of transferring financial resources</w:t>
            </w:r>
          </w:p>
        </w:tc>
      </w:tr>
      <w:tr w:rsidR="00391C97" w:rsidRPr="007E5633" w14:paraId="6805A62A" w14:textId="77777777" w:rsidTr="00B83D6C">
        <w:tc>
          <w:tcPr>
            <w:tcW w:w="959" w:type="dxa"/>
            <w:tcBorders>
              <w:top w:val="single" w:sz="4" w:space="0" w:color="A6A6A6" w:themeColor="background1" w:themeShade="A6"/>
              <w:bottom w:val="single" w:sz="4" w:space="0" w:color="A6A6A6" w:themeColor="background1" w:themeShade="A6"/>
            </w:tcBorders>
          </w:tcPr>
          <w:p w14:paraId="1A3D6919" w14:textId="77777777" w:rsidR="00391C97" w:rsidRPr="007E5633" w:rsidRDefault="008C252E" w:rsidP="000A7BA9">
            <w:pPr>
              <w:pStyle w:val="af4"/>
              <w:rPr>
                <w:szCs w:val="20"/>
                <w:lang w:val="uk-UA"/>
              </w:rPr>
            </w:pPr>
            <w:r>
              <w:rPr>
                <w:noProof/>
                <w:szCs w:val="20"/>
                <w:lang w:val="en-US"/>
              </w:rPr>
              <mc:AlternateContent>
                <mc:Choice Requires="wps">
                  <w:drawing>
                    <wp:anchor distT="0" distB="0" distL="114300" distR="114300" simplePos="0" relativeHeight="251722752" behindDoc="0" locked="0" layoutInCell="1" allowOverlap="1" wp14:anchorId="05D83522" wp14:editId="527B0209">
                      <wp:simplePos x="0" y="0"/>
                      <wp:positionH relativeFrom="column">
                        <wp:posOffset>-3175</wp:posOffset>
                      </wp:positionH>
                      <wp:positionV relativeFrom="paragraph">
                        <wp:posOffset>2540</wp:posOffset>
                      </wp:positionV>
                      <wp:extent cx="438785" cy="462915"/>
                      <wp:effectExtent l="0" t="0" r="0" b="0"/>
                      <wp:wrapNone/>
                      <wp:docPr id="234" name="Freeform 48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785" cy="462915"/>
                              </a:xfrm>
                              <a:custGeom>
                                <a:avLst/>
                                <a:gdLst>
                                  <a:gd name="T0" fmla="*/ 248 w 360"/>
                                  <a:gd name="T1" fmla="*/ 8 h 380"/>
                                  <a:gd name="T2" fmla="*/ 274 w 360"/>
                                  <a:gd name="T3" fmla="*/ 0 h 380"/>
                                  <a:gd name="T4" fmla="*/ 298 w 360"/>
                                  <a:gd name="T5" fmla="*/ 28 h 380"/>
                                  <a:gd name="T6" fmla="*/ 280 w 360"/>
                                  <a:gd name="T7" fmla="*/ 56 h 380"/>
                                  <a:gd name="T8" fmla="*/ 258 w 360"/>
                                  <a:gd name="T9" fmla="*/ 56 h 380"/>
                                  <a:gd name="T10" fmla="*/ 240 w 360"/>
                                  <a:gd name="T11" fmla="*/ 28 h 380"/>
                                  <a:gd name="T12" fmla="*/ 344 w 360"/>
                                  <a:gd name="T13" fmla="*/ 88 h 380"/>
                                  <a:gd name="T14" fmla="*/ 288 w 360"/>
                                  <a:gd name="T15" fmla="*/ 68 h 380"/>
                                  <a:gd name="T16" fmla="*/ 214 w 360"/>
                                  <a:gd name="T17" fmla="*/ 70 h 380"/>
                                  <a:gd name="T18" fmla="*/ 194 w 360"/>
                                  <a:gd name="T19" fmla="*/ 90 h 380"/>
                                  <a:gd name="T20" fmla="*/ 224 w 360"/>
                                  <a:gd name="T21" fmla="*/ 114 h 380"/>
                                  <a:gd name="T22" fmla="*/ 248 w 360"/>
                                  <a:gd name="T23" fmla="*/ 166 h 380"/>
                                  <a:gd name="T24" fmla="*/ 234 w 360"/>
                                  <a:gd name="T25" fmla="*/ 208 h 380"/>
                                  <a:gd name="T26" fmla="*/ 278 w 360"/>
                                  <a:gd name="T27" fmla="*/ 214 h 380"/>
                                  <a:gd name="T28" fmla="*/ 310 w 360"/>
                                  <a:gd name="T29" fmla="*/ 244 h 380"/>
                                  <a:gd name="T30" fmla="*/ 332 w 360"/>
                                  <a:gd name="T31" fmla="*/ 200 h 380"/>
                                  <a:gd name="T32" fmla="*/ 348 w 360"/>
                                  <a:gd name="T33" fmla="*/ 208 h 380"/>
                                  <a:gd name="T34" fmla="*/ 360 w 360"/>
                                  <a:gd name="T35" fmla="*/ 190 h 380"/>
                                  <a:gd name="T36" fmla="*/ 102 w 360"/>
                                  <a:gd name="T37" fmla="*/ 56 h 380"/>
                                  <a:gd name="T38" fmla="*/ 120 w 360"/>
                                  <a:gd name="T39" fmla="*/ 28 h 380"/>
                                  <a:gd name="T40" fmla="*/ 98 w 360"/>
                                  <a:gd name="T41" fmla="*/ 0 h 380"/>
                                  <a:gd name="T42" fmla="*/ 70 w 360"/>
                                  <a:gd name="T43" fmla="*/ 8 h 380"/>
                                  <a:gd name="T44" fmla="*/ 62 w 360"/>
                                  <a:gd name="T45" fmla="*/ 34 h 380"/>
                                  <a:gd name="T46" fmla="*/ 92 w 360"/>
                                  <a:gd name="T47" fmla="*/ 58 h 380"/>
                                  <a:gd name="T48" fmla="*/ 50 w 360"/>
                                  <a:gd name="T49" fmla="*/ 244 h 380"/>
                                  <a:gd name="T50" fmla="*/ 74 w 360"/>
                                  <a:gd name="T51" fmla="*/ 218 h 380"/>
                                  <a:gd name="T52" fmla="*/ 126 w 360"/>
                                  <a:gd name="T53" fmla="*/ 208 h 380"/>
                                  <a:gd name="T54" fmla="*/ 112 w 360"/>
                                  <a:gd name="T55" fmla="*/ 166 h 380"/>
                                  <a:gd name="T56" fmla="*/ 128 w 360"/>
                                  <a:gd name="T57" fmla="*/ 122 h 380"/>
                                  <a:gd name="T58" fmla="*/ 166 w 360"/>
                                  <a:gd name="T59" fmla="*/ 90 h 380"/>
                                  <a:gd name="T60" fmla="*/ 154 w 360"/>
                                  <a:gd name="T61" fmla="*/ 74 h 380"/>
                                  <a:gd name="T62" fmla="*/ 72 w 360"/>
                                  <a:gd name="T63" fmla="*/ 68 h 380"/>
                                  <a:gd name="T64" fmla="*/ 20 w 360"/>
                                  <a:gd name="T65" fmla="*/ 80 h 380"/>
                                  <a:gd name="T66" fmla="*/ 0 w 360"/>
                                  <a:gd name="T67" fmla="*/ 190 h 380"/>
                                  <a:gd name="T68" fmla="*/ 12 w 360"/>
                                  <a:gd name="T69" fmla="*/ 208 h 380"/>
                                  <a:gd name="T70" fmla="*/ 28 w 360"/>
                                  <a:gd name="T71" fmla="*/ 200 h 380"/>
                                  <a:gd name="T72" fmla="*/ 170 w 360"/>
                                  <a:gd name="T73" fmla="*/ 118 h 380"/>
                                  <a:gd name="T74" fmla="*/ 136 w 360"/>
                                  <a:gd name="T75" fmla="*/ 146 h 380"/>
                                  <a:gd name="T76" fmla="*/ 136 w 360"/>
                                  <a:gd name="T77" fmla="*/ 184 h 380"/>
                                  <a:gd name="T78" fmla="*/ 170 w 360"/>
                                  <a:gd name="T79" fmla="*/ 214 h 380"/>
                                  <a:gd name="T80" fmla="*/ 208 w 360"/>
                                  <a:gd name="T81" fmla="*/ 206 h 380"/>
                                  <a:gd name="T82" fmla="*/ 228 w 360"/>
                                  <a:gd name="T83" fmla="*/ 166 h 380"/>
                                  <a:gd name="T84" fmla="*/ 214 w 360"/>
                                  <a:gd name="T85" fmla="*/ 132 h 380"/>
                                  <a:gd name="T86" fmla="*/ 296 w 360"/>
                                  <a:gd name="T87" fmla="*/ 260 h 380"/>
                                  <a:gd name="T88" fmla="*/ 288 w 360"/>
                                  <a:gd name="T89" fmla="*/ 246 h 380"/>
                                  <a:gd name="T90" fmla="*/ 180 w 360"/>
                                  <a:gd name="T91" fmla="*/ 278 h 380"/>
                                  <a:gd name="T92" fmla="*/ 82 w 360"/>
                                  <a:gd name="T93" fmla="*/ 236 h 380"/>
                                  <a:gd name="T94" fmla="*/ 64 w 360"/>
                                  <a:gd name="T95" fmla="*/ 260 h 380"/>
                                  <a:gd name="T96" fmla="*/ 106 w 360"/>
                                  <a:gd name="T97" fmla="*/ 304 h 380"/>
                                  <a:gd name="T98" fmla="*/ 146 w 360"/>
                                  <a:gd name="T99" fmla="*/ 378 h 380"/>
                                  <a:gd name="T100" fmla="*/ 214 w 360"/>
                                  <a:gd name="T101" fmla="*/ 378 h 380"/>
                                  <a:gd name="T102" fmla="*/ 264 w 360"/>
                                  <a:gd name="T103" fmla="*/ 362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0" h="380">
                                    <a:moveTo>
                                      <a:pt x="240" y="28"/>
                                    </a:moveTo>
                                    <a:lnTo>
                                      <a:pt x="240" y="28"/>
                                    </a:lnTo>
                                    <a:lnTo>
                                      <a:pt x="240" y="22"/>
                                    </a:lnTo>
                                    <a:lnTo>
                                      <a:pt x="242" y="18"/>
                                    </a:lnTo>
                                    <a:lnTo>
                                      <a:pt x="248" y="8"/>
                                    </a:lnTo>
                                    <a:lnTo>
                                      <a:pt x="258" y="2"/>
                                    </a:lnTo>
                                    <a:lnTo>
                                      <a:pt x="262" y="0"/>
                                    </a:lnTo>
                                    <a:lnTo>
                                      <a:pt x="268" y="0"/>
                                    </a:lnTo>
                                    <a:lnTo>
                                      <a:pt x="268" y="0"/>
                                    </a:lnTo>
                                    <a:lnTo>
                                      <a:pt x="274" y="0"/>
                                    </a:lnTo>
                                    <a:lnTo>
                                      <a:pt x="280" y="2"/>
                                    </a:lnTo>
                                    <a:lnTo>
                                      <a:pt x="290" y="8"/>
                                    </a:lnTo>
                                    <a:lnTo>
                                      <a:pt x="296" y="18"/>
                                    </a:lnTo>
                                    <a:lnTo>
                                      <a:pt x="298" y="22"/>
                                    </a:lnTo>
                                    <a:lnTo>
                                      <a:pt x="298" y="28"/>
                                    </a:lnTo>
                                    <a:lnTo>
                                      <a:pt x="298" y="28"/>
                                    </a:lnTo>
                                    <a:lnTo>
                                      <a:pt x="298" y="34"/>
                                    </a:lnTo>
                                    <a:lnTo>
                                      <a:pt x="296" y="40"/>
                                    </a:lnTo>
                                    <a:lnTo>
                                      <a:pt x="290" y="50"/>
                                    </a:lnTo>
                                    <a:lnTo>
                                      <a:pt x="280" y="56"/>
                                    </a:lnTo>
                                    <a:lnTo>
                                      <a:pt x="274" y="58"/>
                                    </a:lnTo>
                                    <a:lnTo>
                                      <a:pt x="268" y="58"/>
                                    </a:lnTo>
                                    <a:lnTo>
                                      <a:pt x="268" y="58"/>
                                    </a:lnTo>
                                    <a:lnTo>
                                      <a:pt x="262" y="58"/>
                                    </a:lnTo>
                                    <a:lnTo>
                                      <a:pt x="258" y="56"/>
                                    </a:lnTo>
                                    <a:lnTo>
                                      <a:pt x="248" y="50"/>
                                    </a:lnTo>
                                    <a:lnTo>
                                      <a:pt x="242" y="40"/>
                                    </a:lnTo>
                                    <a:lnTo>
                                      <a:pt x="240" y="34"/>
                                    </a:lnTo>
                                    <a:lnTo>
                                      <a:pt x="240" y="28"/>
                                    </a:lnTo>
                                    <a:lnTo>
                                      <a:pt x="240" y="28"/>
                                    </a:lnTo>
                                    <a:close/>
                                    <a:moveTo>
                                      <a:pt x="360" y="190"/>
                                    </a:moveTo>
                                    <a:lnTo>
                                      <a:pt x="344" y="90"/>
                                    </a:lnTo>
                                    <a:lnTo>
                                      <a:pt x="344" y="90"/>
                                    </a:lnTo>
                                    <a:lnTo>
                                      <a:pt x="344" y="88"/>
                                    </a:lnTo>
                                    <a:lnTo>
                                      <a:pt x="344" y="88"/>
                                    </a:lnTo>
                                    <a:lnTo>
                                      <a:pt x="340" y="80"/>
                                    </a:lnTo>
                                    <a:lnTo>
                                      <a:pt x="332" y="74"/>
                                    </a:lnTo>
                                    <a:lnTo>
                                      <a:pt x="324" y="70"/>
                                    </a:lnTo>
                                    <a:lnTo>
                                      <a:pt x="314" y="68"/>
                                    </a:lnTo>
                                    <a:lnTo>
                                      <a:pt x="288" y="68"/>
                                    </a:lnTo>
                                    <a:lnTo>
                                      <a:pt x="270" y="102"/>
                                    </a:lnTo>
                                    <a:lnTo>
                                      <a:pt x="250" y="68"/>
                                    </a:lnTo>
                                    <a:lnTo>
                                      <a:pt x="222" y="68"/>
                                    </a:lnTo>
                                    <a:lnTo>
                                      <a:pt x="222" y="68"/>
                                    </a:lnTo>
                                    <a:lnTo>
                                      <a:pt x="214" y="70"/>
                                    </a:lnTo>
                                    <a:lnTo>
                                      <a:pt x="206" y="74"/>
                                    </a:lnTo>
                                    <a:lnTo>
                                      <a:pt x="198" y="80"/>
                                    </a:lnTo>
                                    <a:lnTo>
                                      <a:pt x="194" y="88"/>
                                    </a:lnTo>
                                    <a:lnTo>
                                      <a:pt x="194" y="88"/>
                                    </a:lnTo>
                                    <a:lnTo>
                                      <a:pt x="194" y="90"/>
                                    </a:lnTo>
                                    <a:lnTo>
                                      <a:pt x="192" y="98"/>
                                    </a:lnTo>
                                    <a:lnTo>
                                      <a:pt x="192" y="98"/>
                                    </a:lnTo>
                                    <a:lnTo>
                                      <a:pt x="204" y="102"/>
                                    </a:lnTo>
                                    <a:lnTo>
                                      <a:pt x="214" y="106"/>
                                    </a:lnTo>
                                    <a:lnTo>
                                      <a:pt x="224" y="114"/>
                                    </a:lnTo>
                                    <a:lnTo>
                                      <a:pt x="232" y="122"/>
                                    </a:lnTo>
                                    <a:lnTo>
                                      <a:pt x="240" y="132"/>
                                    </a:lnTo>
                                    <a:lnTo>
                                      <a:pt x="244" y="142"/>
                                    </a:lnTo>
                                    <a:lnTo>
                                      <a:pt x="248" y="154"/>
                                    </a:lnTo>
                                    <a:lnTo>
                                      <a:pt x="248" y="166"/>
                                    </a:lnTo>
                                    <a:lnTo>
                                      <a:pt x="248" y="166"/>
                                    </a:lnTo>
                                    <a:lnTo>
                                      <a:pt x="248" y="178"/>
                                    </a:lnTo>
                                    <a:lnTo>
                                      <a:pt x="246" y="188"/>
                                    </a:lnTo>
                                    <a:lnTo>
                                      <a:pt x="240" y="198"/>
                                    </a:lnTo>
                                    <a:lnTo>
                                      <a:pt x="234" y="208"/>
                                    </a:lnTo>
                                    <a:lnTo>
                                      <a:pt x="250" y="208"/>
                                    </a:lnTo>
                                    <a:lnTo>
                                      <a:pt x="250" y="208"/>
                                    </a:lnTo>
                                    <a:lnTo>
                                      <a:pt x="260" y="208"/>
                                    </a:lnTo>
                                    <a:lnTo>
                                      <a:pt x="270" y="210"/>
                                    </a:lnTo>
                                    <a:lnTo>
                                      <a:pt x="278" y="214"/>
                                    </a:lnTo>
                                    <a:lnTo>
                                      <a:pt x="286" y="218"/>
                                    </a:lnTo>
                                    <a:lnTo>
                                      <a:pt x="294" y="222"/>
                                    </a:lnTo>
                                    <a:lnTo>
                                      <a:pt x="300" y="228"/>
                                    </a:lnTo>
                                    <a:lnTo>
                                      <a:pt x="306" y="236"/>
                                    </a:lnTo>
                                    <a:lnTo>
                                      <a:pt x="310" y="244"/>
                                    </a:lnTo>
                                    <a:lnTo>
                                      <a:pt x="308" y="118"/>
                                    </a:lnTo>
                                    <a:lnTo>
                                      <a:pt x="318" y="118"/>
                                    </a:lnTo>
                                    <a:lnTo>
                                      <a:pt x="330" y="196"/>
                                    </a:lnTo>
                                    <a:lnTo>
                                      <a:pt x="330" y="196"/>
                                    </a:lnTo>
                                    <a:lnTo>
                                      <a:pt x="332" y="200"/>
                                    </a:lnTo>
                                    <a:lnTo>
                                      <a:pt x="336" y="204"/>
                                    </a:lnTo>
                                    <a:lnTo>
                                      <a:pt x="340" y="208"/>
                                    </a:lnTo>
                                    <a:lnTo>
                                      <a:pt x="346" y="208"/>
                                    </a:lnTo>
                                    <a:lnTo>
                                      <a:pt x="346" y="208"/>
                                    </a:lnTo>
                                    <a:lnTo>
                                      <a:pt x="348" y="208"/>
                                    </a:lnTo>
                                    <a:lnTo>
                                      <a:pt x="348" y="208"/>
                                    </a:lnTo>
                                    <a:lnTo>
                                      <a:pt x="354" y="206"/>
                                    </a:lnTo>
                                    <a:lnTo>
                                      <a:pt x="358" y="202"/>
                                    </a:lnTo>
                                    <a:lnTo>
                                      <a:pt x="360" y="196"/>
                                    </a:lnTo>
                                    <a:lnTo>
                                      <a:pt x="360" y="190"/>
                                    </a:lnTo>
                                    <a:lnTo>
                                      <a:pt x="360" y="190"/>
                                    </a:lnTo>
                                    <a:close/>
                                    <a:moveTo>
                                      <a:pt x="92" y="58"/>
                                    </a:moveTo>
                                    <a:lnTo>
                                      <a:pt x="92" y="58"/>
                                    </a:lnTo>
                                    <a:lnTo>
                                      <a:pt x="98" y="58"/>
                                    </a:lnTo>
                                    <a:lnTo>
                                      <a:pt x="102" y="56"/>
                                    </a:lnTo>
                                    <a:lnTo>
                                      <a:pt x="112" y="50"/>
                                    </a:lnTo>
                                    <a:lnTo>
                                      <a:pt x="118" y="40"/>
                                    </a:lnTo>
                                    <a:lnTo>
                                      <a:pt x="120" y="34"/>
                                    </a:lnTo>
                                    <a:lnTo>
                                      <a:pt x="120" y="28"/>
                                    </a:lnTo>
                                    <a:lnTo>
                                      <a:pt x="120" y="28"/>
                                    </a:lnTo>
                                    <a:lnTo>
                                      <a:pt x="120" y="22"/>
                                    </a:lnTo>
                                    <a:lnTo>
                                      <a:pt x="118" y="18"/>
                                    </a:lnTo>
                                    <a:lnTo>
                                      <a:pt x="112" y="8"/>
                                    </a:lnTo>
                                    <a:lnTo>
                                      <a:pt x="102" y="2"/>
                                    </a:lnTo>
                                    <a:lnTo>
                                      <a:pt x="98" y="0"/>
                                    </a:lnTo>
                                    <a:lnTo>
                                      <a:pt x="92" y="0"/>
                                    </a:lnTo>
                                    <a:lnTo>
                                      <a:pt x="92" y="0"/>
                                    </a:lnTo>
                                    <a:lnTo>
                                      <a:pt x="86" y="0"/>
                                    </a:lnTo>
                                    <a:lnTo>
                                      <a:pt x="80" y="2"/>
                                    </a:lnTo>
                                    <a:lnTo>
                                      <a:pt x="70" y="8"/>
                                    </a:lnTo>
                                    <a:lnTo>
                                      <a:pt x="64" y="18"/>
                                    </a:lnTo>
                                    <a:lnTo>
                                      <a:pt x="62" y="22"/>
                                    </a:lnTo>
                                    <a:lnTo>
                                      <a:pt x="62" y="28"/>
                                    </a:lnTo>
                                    <a:lnTo>
                                      <a:pt x="62" y="28"/>
                                    </a:lnTo>
                                    <a:lnTo>
                                      <a:pt x="62" y="34"/>
                                    </a:lnTo>
                                    <a:lnTo>
                                      <a:pt x="64" y="40"/>
                                    </a:lnTo>
                                    <a:lnTo>
                                      <a:pt x="70" y="50"/>
                                    </a:lnTo>
                                    <a:lnTo>
                                      <a:pt x="80" y="56"/>
                                    </a:lnTo>
                                    <a:lnTo>
                                      <a:pt x="86" y="58"/>
                                    </a:lnTo>
                                    <a:lnTo>
                                      <a:pt x="92" y="58"/>
                                    </a:lnTo>
                                    <a:lnTo>
                                      <a:pt x="92" y="58"/>
                                    </a:lnTo>
                                    <a:close/>
                                    <a:moveTo>
                                      <a:pt x="30" y="196"/>
                                    </a:moveTo>
                                    <a:lnTo>
                                      <a:pt x="42" y="118"/>
                                    </a:lnTo>
                                    <a:lnTo>
                                      <a:pt x="52" y="118"/>
                                    </a:lnTo>
                                    <a:lnTo>
                                      <a:pt x="50" y="244"/>
                                    </a:lnTo>
                                    <a:lnTo>
                                      <a:pt x="50" y="244"/>
                                    </a:lnTo>
                                    <a:lnTo>
                                      <a:pt x="54" y="236"/>
                                    </a:lnTo>
                                    <a:lnTo>
                                      <a:pt x="60" y="228"/>
                                    </a:lnTo>
                                    <a:lnTo>
                                      <a:pt x="66" y="222"/>
                                    </a:lnTo>
                                    <a:lnTo>
                                      <a:pt x="74" y="218"/>
                                    </a:lnTo>
                                    <a:lnTo>
                                      <a:pt x="82" y="214"/>
                                    </a:lnTo>
                                    <a:lnTo>
                                      <a:pt x="90" y="210"/>
                                    </a:lnTo>
                                    <a:lnTo>
                                      <a:pt x="100" y="208"/>
                                    </a:lnTo>
                                    <a:lnTo>
                                      <a:pt x="110" y="208"/>
                                    </a:lnTo>
                                    <a:lnTo>
                                      <a:pt x="126" y="208"/>
                                    </a:lnTo>
                                    <a:lnTo>
                                      <a:pt x="126" y="208"/>
                                    </a:lnTo>
                                    <a:lnTo>
                                      <a:pt x="120" y="198"/>
                                    </a:lnTo>
                                    <a:lnTo>
                                      <a:pt x="114" y="188"/>
                                    </a:lnTo>
                                    <a:lnTo>
                                      <a:pt x="112" y="178"/>
                                    </a:lnTo>
                                    <a:lnTo>
                                      <a:pt x="112" y="166"/>
                                    </a:lnTo>
                                    <a:lnTo>
                                      <a:pt x="112" y="166"/>
                                    </a:lnTo>
                                    <a:lnTo>
                                      <a:pt x="112" y="154"/>
                                    </a:lnTo>
                                    <a:lnTo>
                                      <a:pt x="116" y="142"/>
                                    </a:lnTo>
                                    <a:lnTo>
                                      <a:pt x="120" y="132"/>
                                    </a:lnTo>
                                    <a:lnTo>
                                      <a:pt x="128" y="122"/>
                                    </a:lnTo>
                                    <a:lnTo>
                                      <a:pt x="136" y="114"/>
                                    </a:lnTo>
                                    <a:lnTo>
                                      <a:pt x="146" y="106"/>
                                    </a:lnTo>
                                    <a:lnTo>
                                      <a:pt x="156" y="102"/>
                                    </a:lnTo>
                                    <a:lnTo>
                                      <a:pt x="168" y="98"/>
                                    </a:lnTo>
                                    <a:lnTo>
                                      <a:pt x="166" y="90"/>
                                    </a:lnTo>
                                    <a:lnTo>
                                      <a:pt x="166" y="90"/>
                                    </a:lnTo>
                                    <a:lnTo>
                                      <a:pt x="166" y="88"/>
                                    </a:lnTo>
                                    <a:lnTo>
                                      <a:pt x="166" y="88"/>
                                    </a:lnTo>
                                    <a:lnTo>
                                      <a:pt x="162" y="80"/>
                                    </a:lnTo>
                                    <a:lnTo>
                                      <a:pt x="154" y="74"/>
                                    </a:lnTo>
                                    <a:lnTo>
                                      <a:pt x="146" y="70"/>
                                    </a:lnTo>
                                    <a:lnTo>
                                      <a:pt x="138" y="68"/>
                                    </a:lnTo>
                                    <a:lnTo>
                                      <a:pt x="110" y="68"/>
                                    </a:lnTo>
                                    <a:lnTo>
                                      <a:pt x="90" y="102"/>
                                    </a:lnTo>
                                    <a:lnTo>
                                      <a:pt x="72" y="68"/>
                                    </a:lnTo>
                                    <a:lnTo>
                                      <a:pt x="46" y="68"/>
                                    </a:lnTo>
                                    <a:lnTo>
                                      <a:pt x="46" y="68"/>
                                    </a:lnTo>
                                    <a:lnTo>
                                      <a:pt x="36" y="70"/>
                                    </a:lnTo>
                                    <a:lnTo>
                                      <a:pt x="28" y="74"/>
                                    </a:lnTo>
                                    <a:lnTo>
                                      <a:pt x="20" y="80"/>
                                    </a:lnTo>
                                    <a:lnTo>
                                      <a:pt x="16" y="88"/>
                                    </a:lnTo>
                                    <a:lnTo>
                                      <a:pt x="16" y="88"/>
                                    </a:lnTo>
                                    <a:lnTo>
                                      <a:pt x="16" y="90"/>
                                    </a:lnTo>
                                    <a:lnTo>
                                      <a:pt x="0" y="190"/>
                                    </a:lnTo>
                                    <a:lnTo>
                                      <a:pt x="0" y="190"/>
                                    </a:lnTo>
                                    <a:lnTo>
                                      <a:pt x="0" y="196"/>
                                    </a:lnTo>
                                    <a:lnTo>
                                      <a:pt x="2" y="202"/>
                                    </a:lnTo>
                                    <a:lnTo>
                                      <a:pt x="6" y="206"/>
                                    </a:lnTo>
                                    <a:lnTo>
                                      <a:pt x="12" y="208"/>
                                    </a:lnTo>
                                    <a:lnTo>
                                      <a:pt x="12" y="208"/>
                                    </a:lnTo>
                                    <a:lnTo>
                                      <a:pt x="14" y="208"/>
                                    </a:lnTo>
                                    <a:lnTo>
                                      <a:pt x="14" y="208"/>
                                    </a:lnTo>
                                    <a:lnTo>
                                      <a:pt x="20" y="208"/>
                                    </a:lnTo>
                                    <a:lnTo>
                                      <a:pt x="24" y="204"/>
                                    </a:lnTo>
                                    <a:lnTo>
                                      <a:pt x="28" y="200"/>
                                    </a:lnTo>
                                    <a:lnTo>
                                      <a:pt x="30" y="196"/>
                                    </a:lnTo>
                                    <a:lnTo>
                                      <a:pt x="30" y="196"/>
                                    </a:lnTo>
                                    <a:close/>
                                    <a:moveTo>
                                      <a:pt x="180" y="118"/>
                                    </a:moveTo>
                                    <a:lnTo>
                                      <a:pt x="180" y="118"/>
                                    </a:lnTo>
                                    <a:lnTo>
                                      <a:pt x="170" y="118"/>
                                    </a:lnTo>
                                    <a:lnTo>
                                      <a:pt x="162" y="120"/>
                                    </a:lnTo>
                                    <a:lnTo>
                                      <a:pt x="152" y="126"/>
                                    </a:lnTo>
                                    <a:lnTo>
                                      <a:pt x="146" y="132"/>
                                    </a:lnTo>
                                    <a:lnTo>
                                      <a:pt x="140" y="138"/>
                                    </a:lnTo>
                                    <a:lnTo>
                                      <a:pt x="136" y="146"/>
                                    </a:lnTo>
                                    <a:lnTo>
                                      <a:pt x="132" y="156"/>
                                    </a:lnTo>
                                    <a:lnTo>
                                      <a:pt x="132" y="166"/>
                                    </a:lnTo>
                                    <a:lnTo>
                                      <a:pt x="132" y="166"/>
                                    </a:lnTo>
                                    <a:lnTo>
                                      <a:pt x="132" y="176"/>
                                    </a:lnTo>
                                    <a:lnTo>
                                      <a:pt x="136" y="184"/>
                                    </a:lnTo>
                                    <a:lnTo>
                                      <a:pt x="140" y="194"/>
                                    </a:lnTo>
                                    <a:lnTo>
                                      <a:pt x="146" y="200"/>
                                    </a:lnTo>
                                    <a:lnTo>
                                      <a:pt x="152" y="206"/>
                                    </a:lnTo>
                                    <a:lnTo>
                                      <a:pt x="162" y="210"/>
                                    </a:lnTo>
                                    <a:lnTo>
                                      <a:pt x="170" y="214"/>
                                    </a:lnTo>
                                    <a:lnTo>
                                      <a:pt x="180" y="214"/>
                                    </a:lnTo>
                                    <a:lnTo>
                                      <a:pt x="180" y="214"/>
                                    </a:lnTo>
                                    <a:lnTo>
                                      <a:pt x="190" y="214"/>
                                    </a:lnTo>
                                    <a:lnTo>
                                      <a:pt x="200" y="210"/>
                                    </a:lnTo>
                                    <a:lnTo>
                                      <a:pt x="208" y="206"/>
                                    </a:lnTo>
                                    <a:lnTo>
                                      <a:pt x="214" y="200"/>
                                    </a:lnTo>
                                    <a:lnTo>
                                      <a:pt x="220" y="194"/>
                                    </a:lnTo>
                                    <a:lnTo>
                                      <a:pt x="224" y="184"/>
                                    </a:lnTo>
                                    <a:lnTo>
                                      <a:pt x="228" y="176"/>
                                    </a:lnTo>
                                    <a:lnTo>
                                      <a:pt x="228" y="166"/>
                                    </a:lnTo>
                                    <a:lnTo>
                                      <a:pt x="228" y="166"/>
                                    </a:lnTo>
                                    <a:lnTo>
                                      <a:pt x="228" y="156"/>
                                    </a:lnTo>
                                    <a:lnTo>
                                      <a:pt x="224" y="146"/>
                                    </a:lnTo>
                                    <a:lnTo>
                                      <a:pt x="220" y="138"/>
                                    </a:lnTo>
                                    <a:lnTo>
                                      <a:pt x="214" y="132"/>
                                    </a:lnTo>
                                    <a:lnTo>
                                      <a:pt x="208" y="126"/>
                                    </a:lnTo>
                                    <a:lnTo>
                                      <a:pt x="200" y="120"/>
                                    </a:lnTo>
                                    <a:lnTo>
                                      <a:pt x="190" y="118"/>
                                    </a:lnTo>
                                    <a:lnTo>
                                      <a:pt x="180" y="118"/>
                                    </a:lnTo>
                                    <a:close/>
                                    <a:moveTo>
                                      <a:pt x="296" y="260"/>
                                    </a:moveTo>
                                    <a:lnTo>
                                      <a:pt x="296" y="260"/>
                                    </a:lnTo>
                                    <a:lnTo>
                                      <a:pt x="294" y="258"/>
                                    </a:lnTo>
                                    <a:lnTo>
                                      <a:pt x="294" y="258"/>
                                    </a:lnTo>
                                    <a:lnTo>
                                      <a:pt x="292" y="252"/>
                                    </a:lnTo>
                                    <a:lnTo>
                                      <a:pt x="288" y="246"/>
                                    </a:lnTo>
                                    <a:lnTo>
                                      <a:pt x="278" y="236"/>
                                    </a:lnTo>
                                    <a:lnTo>
                                      <a:pt x="266" y="230"/>
                                    </a:lnTo>
                                    <a:lnTo>
                                      <a:pt x="250" y="228"/>
                                    </a:lnTo>
                                    <a:lnTo>
                                      <a:pt x="210" y="228"/>
                                    </a:lnTo>
                                    <a:lnTo>
                                      <a:pt x="180" y="278"/>
                                    </a:lnTo>
                                    <a:lnTo>
                                      <a:pt x="150" y="228"/>
                                    </a:lnTo>
                                    <a:lnTo>
                                      <a:pt x="110" y="228"/>
                                    </a:lnTo>
                                    <a:lnTo>
                                      <a:pt x="110" y="228"/>
                                    </a:lnTo>
                                    <a:lnTo>
                                      <a:pt x="94" y="230"/>
                                    </a:lnTo>
                                    <a:lnTo>
                                      <a:pt x="82" y="236"/>
                                    </a:lnTo>
                                    <a:lnTo>
                                      <a:pt x="72" y="246"/>
                                    </a:lnTo>
                                    <a:lnTo>
                                      <a:pt x="68" y="252"/>
                                    </a:lnTo>
                                    <a:lnTo>
                                      <a:pt x="66" y="258"/>
                                    </a:lnTo>
                                    <a:lnTo>
                                      <a:pt x="66" y="258"/>
                                    </a:lnTo>
                                    <a:lnTo>
                                      <a:pt x="64" y="260"/>
                                    </a:lnTo>
                                    <a:lnTo>
                                      <a:pt x="52" y="336"/>
                                    </a:lnTo>
                                    <a:lnTo>
                                      <a:pt x="52" y="336"/>
                                    </a:lnTo>
                                    <a:lnTo>
                                      <a:pt x="72" y="352"/>
                                    </a:lnTo>
                                    <a:lnTo>
                                      <a:pt x="96" y="362"/>
                                    </a:lnTo>
                                    <a:lnTo>
                                      <a:pt x="106" y="304"/>
                                    </a:lnTo>
                                    <a:lnTo>
                                      <a:pt x="118" y="304"/>
                                    </a:lnTo>
                                    <a:lnTo>
                                      <a:pt x="114" y="370"/>
                                    </a:lnTo>
                                    <a:lnTo>
                                      <a:pt x="114" y="370"/>
                                    </a:lnTo>
                                    <a:lnTo>
                                      <a:pt x="130" y="374"/>
                                    </a:lnTo>
                                    <a:lnTo>
                                      <a:pt x="146" y="378"/>
                                    </a:lnTo>
                                    <a:lnTo>
                                      <a:pt x="162" y="380"/>
                                    </a:lnTo>
                                    <a:lnTo>
                                      <a:pt x="180" y="380"/>
                                    </a:lnTo>
                                    <a:lnTo>
                                      <a:pt x="180" y="380"/>
                                    </a:lnTo>
                                    <a:lnTo>
                                      <a:pt x="196" y="380"/>
                                    </a:lnTo>
                                    <a:lnTo>
                                      <a:pt x="214" y="378"/>
                                    </a:lnTo>
                                    <a:lnTo>
                                      <a:pt x="230" y="374"/>
                                    </a:lnTo>
                                    <a:lnTo>
                                      <a:pt x="246" y="370"/>
                                    </a:lnTo>
                                    <a:lnTo>
                                      <a:pt x="242" y="304"/>
                                    </a:lnTo>
                                    <a:lnTo>
                                      <a:pt x="254" y="304"/>
                                    </a:lnTo>
                                    <a:lnTo>
                                      <a:pt x="264" y="362"/>
                                    </a:lnTo>
                                    <a:lnTo>
                                      <a:pt x="264" y="362"/>
                                    </a:lnTo>
                                    <a:lnTo>
                                      <a:pt x="288" y="350"/>
                                    </a:lnTo>
                                    <a:lnTo>
                                      <a:pt x="308" y="336"/>
                                    </a:lnTo>
                                    <a:lnTo>
                                      <a:pt x="296" y="260"/>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EEC0B" id="Freeform 4851" o:spid="_x0000_s1026" style="position:absolute;margin-left:-.25pt;margin-top:.2pt;width:34.55pt;height:3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hRGgwAAHdGAAAOAAAAZHJzL2Uyb0RvYy54bWysXF1v28oRfS/Q/0Do8QKNtUuKkow49yG3&#10;KQqktwHios+0RMVCJVEl6Y/013dmd4Ze2pyd9YXyENrW8ezOmdnZM0uaH399Ph6yx7rt9s3pZmY+&#10;zGdZfdo02/3px83sX7df/rKaZV1fnbbVoTnVN7OfdTf79dOf//Tx6Xxd2+a+OWzrNgMjp+766Xwz&#10;u+/78/XVVbe5r49V96E51yf4cNe0x6qHb9sfV9u2egLrx8OVnc/Lq6em3Z7bZlN3Hfz0N//h7JOz&#10;v9vVm/6fu11X99nhZgZz693/rfv/Dv+/+vSxuv7RVuf7/YamUf2BWRyr/QkGHUz9VvVV9tDu35g6&#10;7jdt0zW7/sOmOV41u91+UzsfwBszf+XN9/vqXDtfgJzuPNDUXc7s5vfHb222397MbF7MslN1hCB9&#10;aesaKc+K1cIgRU/n7hqQ38/fWnSyO39tNv/pslPz1+2+/9bsTz1MySGvRlD8poNfyu6e/tFswXL1&#10;0DeOp+dde0RTwED27MLxcwhH/dxnG/hhka+Wq8Us28BHRWnXZoFzuaqu+Zc3D13/t7pxhqrHr13v&#10;o7mFr1wstuTPLUR+dzxAYH+5ymyxyp6yvOTYDyATgFbZfZav3kBsALHLYtpOHoDm03aA6Zf5rIX5&#10;gOcvIGFC5Qgzn57QMgAtyukZwTJ9GWwhzGgdgCRDZsy1MCUTkm0F50xId14IdJuQ75VkasQ4oKYz&#10;IKS8lEyNODfSrELSl0IamJB1s5ZMhbSvBVN2RLsVTNmQdgNzn87ykHdxudiQd1MKeWVHxOfSvELi&#10;7Vxg3o6YXwpBtCHzVvQxpD43QprakHoLGTjJVx5yn+d2OrnykHvYugRbIfe5VKrykHuRLyzow6KG&#10;gifMK+TeSPmVh9ybueRjyL1UIfKQemOlaY2oFzKiCJmX6mgREi/QXoS0w3KdLA9FyLo0o5DzUqCp&#10;CCmHNTGZVUXI+FqyNCJcmlNI+EJybsS3lOqLkHBpAwTN8JJ31gizWoSUG1tOc74IORczfRGyboxA&#10;1iKkXaxYi5B3A3vTZC4sQuKNtdMxXITM44jTtkLqpQUIeuWFVLMQCmkZUg/xmcysMmR+KZBVhsRL&#10;e2EZ8i6t5DKkfSUswDJkXUjRcsS5SNSIc8m7kHIxrZYh51ImLEPKxbq+DDk3UoVZhqQbaeUsQ9ZN&#10;LmTVMqTdFML+vAx5l22NmF8JebUcMS/6OKJe2p9Be7+kOwZocuWsxtwLPq5C7q0Ux9WIe0nPrELu&#10;UV1Mz2vEPSiCyXW4Crm3ayGOq5B7C7v4tK2QeysJ3NWIeykn1iH3BlbspI/rEfegxibntQ65Xwmr&#10;cR1SbyGhp02F1JcC8+uQeZGtdci8mQvMr0Pm87mQ9euQeVxn02yFzOcSW2YeUi+ml5mH3EesheRb&#10;iTIzD+nPQbQM9EOv/YO76eqeG+zN84k6bPgqq/CkZ+6a+nPTYTOP7Ta07Lf+QKC6BhS24wIY5ojg&#10;nHr7OBhSAMF8EBAHQ5ARvEyyDFFE8DoJjE0uoqGN9ScS8YlgI+vgaU4a8nI471Csk58mzVFsOt1k&#10;0lzFxhLh0DqmuGrJVegOk+Dkqk2LKHaAbjJprlpyFdq4lMlgH4fWoVNLgnPmprmK3ZiznuYqNlwO&#10;nuYqNlUOnuYqNk4Ih94oxVVsjxw8zdWCXIU+J8k6uVqkuVqQq0Waq9iy4Nz9SSZUtPhqwrbEwdNc&#10;xc7DwdNcxebCwdNcxf7BwdNcxR4B4dAFpPCOfYCDp7mKYt/B01xFRe/gaa6W5GqZ5ipKc7QO6jvF&#10;VZTfDp7mKipsB09zFUW0g6e5ijrZwdNcRSmMcBC7Ka6i2nXwNFdR0Dp4mquoWR08zdUVuQrCM2Xu&#10;qDzROmjLJDi5CvoxCU6ugkZMgpOrIAOT4OTqOs1VJ/XQVxRzKfbh0M2Tg3ot+AVf0UiQtXDD6/Wt&#10;rnaWwa2uO/yd6vpc9ajj+Mvs6WaGt0Kye7hCouHPj81jfds4RI9yztJmAbupH/YFcDhFgfwxX89j&#10;e5bs8cd8ZZj3F/SKH5Y/5ivDPO8KiiqpMiRVRHffB3jlkfhKI1KpugiKKo1ii0qAMntaPQoT2PtA&#10;3mm0YlsDMNBzUfYZpg1K1tJgIJXig3oXIC/jMF9NQABEYUQubM1RGEUKEikKo+S4FMyvAc0aZbfm&#10;AiknjRBSexq9VBa0YL2uHryY+MrL2AdrKDL88ebQdDUw/rYuubqFmQx570MiFSa4d+iSeQCycb76&#10;ObwTBntbLBPYmgrzjkMWRq3lPhMgC6MwvN8GnIA8isKoxYRkjcHgHMlZ02AkxnCHipojKa6Zox7y&#10;QjByVWHEzn1NUfg1VO+UaMG9XEecEvt3wpT0NXjWBrGHKcaikAizc++CGlTiF07RosNayky46xzH&#10;UaLDPZU4juqKAXzMXbhr61gxUNXiOJ/rcGslDQf9TZK9VBx0BXF7vG9rOF9PMFOj9ug8As7W4zha&#10;tBfDUZOq2qOiYuGsLeoHdVNwWBrHUecC9yPjOFq6Vsm/HI9qnUCK28upsMCxdnRceAbB24N8jfmb&#10;Q7xwXLg7FMfB50k4OvUyoAuj4ybjfBWCO2GKPZ/PWGei47J+UPI0x/vlGI+L4Tx/ur1EHJ0U4UYT&#10;9Ze0nFU20xf1o9ij9faiklj08JXEj4iTFRhtOIM6lfTXaxyPzFc/A9paB2v8KV89ittgRevCQwAu&#10;HRSti6sIswaSLBYUeErFwRSty7A3IvaVC2QtFRbfuNgFpR4wIfGqwezGh6RIxTmjoF8ARJU7bimp&#10;RaY9Jc4BnXMqfNJRgbJLMEoZkUpmEkrJQZq9ktBEhLI60jpjCo+ybhNrAK3a10zINejNtiQVIepq&#10;tX2Tzv9VWNpuzeJJ2dR5b1A0AksnpXDQybumYOhAQxNEdJ6s6Ss6fNLkGh97atuqYTmkbOfw4FjS&#10;tp+O84HV5DO2MU5eaS0e7UNGkfdcnuEhsfhOxPZScUo7Ywy1FUp7xFub1m7BA3OeF6UwwqNGHqfI&#10;dnigwuMU2WTozprWrho4VcC4Kd0RhsHB4pvOO2FartCgKswXSe0MgoqKdqJBBCvnI4ZuMCuHMrxs&#10;FRgVCy1YdNdOMUYOXARFWamQQTmuMEsqTwuTTzQ15i4d01DKOREXuHhqvw8VL1okb5SOxhOh9UdU&#10;/9T9g8d8rSReSXFfxVVraTDW9cqeRSdhWudLWaY20hypeAze6CQmQpZW8Oifr72DFJa01VskW+cr&#10;NW+kOzV1ZUg3464T7ctYrYEKiOJ4F1EOC81wqKikDe9eYDc6Lh9mat0q47Rd/b04eDIhPj/aXeEp&#10;gCiOeYHDsTiOF3Fa3NTFzv2TcggID1S7TNVEKufpxXCD6o3zgmsY5YSmjrEOOZyidnD+Hhfn2VJF&#10;whsNsbgNh/NKHsDD025co+TVgFPy+d04ZR0NfijrcuAFVE2UF1b5St3guGGXEbVHeaDWNRZIQ+Xl&#10;OspXqqdvKjR/Lld1eNDc5w50k36uUlV/i2TrfPWzsHxkrhwBpONo84bqHmUT5JBbBVq0+RaB0l5b&#10;0t8W9srouNzVw2qI4riHVXBDVdJ6xMRxWYTj6orNLxXH4VVo4YMChWUS9VYJGsh5F1slBzhkSuql&#10;wqisDkuDE52vPuFJdeSKp4kwIiRXPKVlC8/nx4NK95vg7xXiOCgtSLCO85zkSk/EByIqjoRornRP&#10;3PjDXzfE/SCJQH+tLz61xYvsYjiOh9Lf8Vat+YFFx8VD4QXXjccpRYrOO7X4WjomUHF0sKzlH/yZ&#10;iZ+fkqf8bEmunEHz/U5tscmbFW+FkBr49KN7g8TwGCQ+PRm8RaJrDvvtl/3hgA8cuZeQ1J8PbfZY&#10;wetDqs2mPvWle0by8HCEF1r4n5dz+Ic5Cg8MPhzhdSP+xwX/GIYYLLnBR4Mc3N/GnBoclIs1moKX&#10;YPi/t3Fv1MCXaPjXcNw125/wQg145Qq8y+S+af83y57g9SU3s+6/D1Vbz7LD30/wMo61KVCz9+6b&#10;YrFEIdiGn9yFn5wejp8bcBH+rKg6bcDqzaznLz/3/nUp8L4SYO3r6ft5g0Cc47nt+tvnf1ftOcMv&#10;4Zdg1r83/NqS6ppfyoHUD1jgAN8L4h2hb+DtJo4aehMLvj4l/N6hXt4X8+n/AAAA//8DAFBLAwQU&#10;AAYACAAAACEAOpw4wN0AAAAEAQAADwAAAGRycy9kb3ducmV2LnhtbEyOTU/CQBRF9yb+h8kjcWNg&#10;qkDF2ldi8IMVIaDuh86jrXbe1M5Ai7+ecaXLm3tz7knnvanFkVpXWUa4GUUgiHOrKy4Q3t9ehjMQ&#10;zivWqrZMCCdyMM8uL1KVaNvxho5bX4gAYZcohNL7JpHS5SUZ5Ua2IQ7d3rZG+RDbQupWdQFuankb&#10;RbE0quLwUKqGFiXlX9uDQfg21+71edUtn+5PP9PJ+oObz8US8WrQPz6A8NT7vzH86gd1yILTzh5Y&#10;O1EjDKdhiDABEcp4FoPYIdyNxyCzVP6Xz84AAAD//wMAUEsBAi0AFAAGAAgAAAAhALaDOJL+AAAA&#10;4QEAABMAAAAAAAAAAAAAAAAAAAAAAFtDb250ZW50X1R5cGVzXS54bWxQSwECLQAUAAYACAAAACEA&#10;OP0h/9YAAACUAQAACwAAAAAAAAAAAAAAAAAvAQAAX3JlbHMvLnJlbHNQSwECLQAUAAYACAAAACEA&#10;byEoURoMAAB3RgAADgAAAAAAAAAAAAAAAAAuAgAAZHJzL2Uyb0RvYy54bWxQSwECLQAUAAYACAAA&#10;ACEAOpw4wN0AAAAEAQAADwAAAAAAAAAAAAAAAAB0DgAAZHJzL2Rvd25yZXYueG1sUEsFBgAAAAAE&#10;AAQA8wAAAH4PAAAAAA==&#10;" path="m240,28r,l240,22r2,-4l248,8,258,2,262,r6,l268,r6,l280,2r10,6l296,18r2,4l298,28r,l298,34r-2,6l290,50r-10,6l274,58r-6,l268,58r-6,l258,56,248,50,242,40r-2,-6l240,28r,xm360,190l344,90r,l344,88r,l340,80r-8,-6l324,70,314,68r-26,l270,102,250,68r-28,l222,68r-8,2l206,74r-8,6l194,88r,l194,90r-2,8l192,98r12,4l214,106r10,8l232,122r8,10l244,142r4,12l248,166r,l248,178r-2,10l240,198r-6,10l250,208r,l260,208r10,2l278,214r8,4l294,222r6,6l306,236r4,8l308,118r10,l330,196r,l332,200r4,4l340,208r6,l346,208r2,l348,208r6,-2l358,202r2,-6l360,190r,xm92,58r,l98,58r4,-2l112,50r6,-10l120,34r,-6l120,28r,-6l118,18,112,8,102,2,98,,92,r,l86,,80,2,70,8,64,18r-2,4l62,28r,l62,34r2,6l70,50r10,6l86,58r6,l92,58xm30,196l42,118r10,l50,244r,l54,236r6,-8l66,222r8,-4l82,214r8,-4l100,208r10,l126,208r,l120,198r-6,-10l112,178r,-12l112,166r,-12l116,142r4,-10l128,122r8,-8l146,106r10,-4l168,98r-2,-8l166,90r,-2l166,88r-4,-8l154,74r-8,-4l138,68r-28,l90,102,72,68r-26,l46,68,36,70r-8,4l20,80r-4,8l16,88r,2l,190r,l,196r2,6l6,206r6,2l12,208r2,l14,208r6,l24,204r4,-4l30,196r,xm180,118r,l170,118r-8,2l152,126r-6,6l140,138r-4,8l132,156r,10l132,166r,10l136,184r4,10l146,200r6,6l162,210r8,4l180,214r,l190,214r10,-4l208,206r6,-6l220,194r4,-10l228,176r,-10l228,166r,-10l224,146r-4,-8l214,132r-6,-6l200,120r-10,-2l180,118xm296,260r,l294,258r,l292,252r-4,-6l278,236r-12,-6l250,228r-40,l180,278,150,228r-40,l110,228r-16,2l82,236,72,246r-4,6l66,258r,l64,260,52,336r,l72,352r24,10l106,304r12,l114,370r,l130,374r16,4l162,380r18,l180,380r16,l214,378r16,-4l246,370r-4,-66l254,304r10,58l264,362r24,-12l308,336,296,260xe" fillcolor="#fabf8f [1945]" stroked="f">
                      <v:path arrowok="t" o:connecttype="custom" o:connectlocs="302274,9746;333964,0;363216,34110;341277,68219;314463,68219;292523,34110;419283,107201;351028,82837;260833,85274;236456,109638;273022,138875;302274,202221;285210,253385;338840,260694;377843,297240;404657,243639;424159,253385;438785,231458;124322,68219;146262,34110;119447,0;85319,9746;75569,41419;112134,70655;60942,297240;90195,265567;153575,253385;136511,202221;156012,148620;202329,109638;187702,90147;87757,82837;24377,97456;0,231458;14626,253385;34128,243639;207204,143747;165763,177857;165763,224148;207204,260694;253520,250949;277897,202221;260833,160802;360779,316731;351028,299677;219393,338659;99945,287495;78006,316731;129198,370332;177952,460479;260833,460479;321776,440987" o:connectangles="0,0,0,0,0,0,0,0,0,0,0,0,0,0,0,0,0,0,0,0,0,0,0,0,0,0,0,0,0,0,0,0,0,0,0,0,0,0,0,0,0,0,0,0,0,0,0,0,0,0,0,0"/>
                      <o:lock v:ext="edit" verticies="t"/>
                    </v:shape>
                  </w:pict>
                </mc:Fallback>
              </mc:AlternateContent>
            </w:r>
          </w:p>
        </w:tc>
        <w:tc>
          <w:tcPr>
            <w:tcW w:w="1559" w:type="dxa"/>
            <w:tcBorders>
              <w:top w:val="single" w:sz="4" w:space="0" w:color="A6A6A6" w:themeColor="background1" w:themeShade="A6"/>
              <w:bottom w:val="single" w:sz="4" w:space="0" w:color="A6A6A6" w:themeColor="background1" w:themeShade="A6"/>
            </w:tcBorders>
          </w:tcPr>
          <w:p w14:paraId="40F59C47" w14:textId="77777777" w:rsidR="00391C97" w:rsidRPr="007E5633" w:rsidRDefault="00391C97" w:rsidP="000A7BA9">
            <w:pPr>
              <w:pStyle w:val="af4"/>
              <w:rPr>
                <w:b/>
                <w:szCs w:val="20"/>
                <w:lang w:val="uk-UA"/>
              </w:rPr>
            </w:pPr>
            <w:r w:rsidRPr="007E5633">
              <w:rPr>
                <w:b/>
                <w:szCs w:val="20"/>
                <w:lang w:val="uk-UA"/>
              </w:rPr>
              <w:t>Акціонери</w:t>
            </w:r>
          </w:p>
        </w:tc>
        <w:tc>
          <w:tcPr>
            <w:tcW w:w="4253" w:type="dxa"/>
            <w:tcBorders>
              <w:top w:val="single" w:sz="4" w:space="0" w:color="A6A6A6" w:themeColor="background1" w:themeShade="A6"/>
              <w:bottom w:val="single" w:sz="4" w:space="0" w:color="A6A6A6" w:themeColor="background1" w:themeShade="A6"/>
            </w:tcBorders>
          </w:tcPr>
          <w:p w14:paraId="2979327A" w14:textId="77777777" w:rsidR="00391C97" w:rsidRPr="007E5633" w:rsidRDefault="00391C97" w:rsidP="000A7BA9">
            <w:pPr>
              <w:pStyle w:val="af4"/>
              <w:rPr>
                <w:szCs w:val="20"/>
                <w:lang w:val="uk-UA"/>
              </w:rPr>
            </w:pPr>
            <w:r w:rsidRPr="007E5633">
              <w:rPr>
                <w:szCs w:val="20"/>
                <w:lang w:val="uk-UA"/>
              </w:rPr>
              <w:t>Список осіб, які мають прямі чи непрямі значні частки, сума цих часток; для непрямої участі: ім'я особи, через яку утримується частка, та ім'я кінцевого власника</w:t>
            </w:r>
          </w:p>
        </w:tc>
        <w:tc>
          <w:tcPr>
            <w:tcW w:w="3969" w:type="dxa"/>
            <w:tcBorders>
              <w:top w:val="single" w:sz="4" w:space="0" w:color="A6A6A6" w:themeColor="background1" w:themeShade="A6"/>
              <w:bottom w:val="single" w:sz="4" w:space="0" w:color="A6A6A6" w:themeColor="background1" w:themeShade="A6"/>
            </w:tcBorders>
          </w:tcPr>
          <w:p w14:paraId="29922E44" w14:textId="77777777" w:rsidR="00391C97" w:rsidRPr="007E5633" w:rsidRDefault="00391C97" w:rsidP="000A7BA9">
            <w:pPr>
              <w:pStyle w:val="af4"/>
              <w:rPr>
                <w:szCs w:val="20"/>
                <w:lang w:val="uk-UA"/>
              </w:rPr>
            </w:pPr>
            <w:r w:rsidRPr="007E5633">
              <w:rPr>
                <w:szCs w:val="20"/>
                <w:lang w:val="uk-UA"/>
              </w:rPr>
              <w:t>list of persons with a direct or indirect qualifying holding, the amount of these holdings, for indirect holding: the name of the person through which the stake is held and the name of the final holder</w:t>
            </w:r>
          </w:p>
        </w:tc>
      </w:tr>
      <w:tr w:rsidR="00391C97" w:rsidRPr="007E5633" w14:paraId="00F34AA0" w14:textId="77777777" w:rsidTr="00B83D6C">
        <w:tc>
          <w:tcPr>
            <w:tcW w:w="959" w:type="dxa"/>
            <w:tcBorders>
              <w:top w:val="single" w:sz="4" w:space="0" w:color="A6A6A6" w:themeColor="background1" w:themeShade="A6"/>
              <w:bottom w:val="single" w:sz="4" w:space="0" w:color="A6A6A6" w:themeColor="background1" w:themeShade="A6"/>
            </w:tcBorders>
          </w:tcPr>
          <w:p w14:paraId="3BC493B1" w14:textId="77777777" w:rsidR="00391C97" w:rsidRPr="007E5633" w:rsidRDefault="008C252E" w:rsidP="000A7BA9">
            <w:pPr>
              <w:pStyle w:val="af4"/>
              <w:rPr>
                <w:szCs w:val="20"/>
                <w:lang w:val="uk-UA"/>
              </w:rPr>
            </w:pPr>
            <w:r>
              <w:rPr>
                <w:noProof/>
                <w:szCs w:val="20"/>
                <w:lang w:val="en-US"/>
              </w:rPr>
              <mc:AlternateContent>
                <mc:Choice Requires="wps">
                  <w:drawing>
                    <wp:anchor distT="0" distB="0" distL="114300" distR="114300" simplePos="0" relativeHeight="251723776" behindDoc="0" locked="0" layoutInCell="1" allowOverlap="1" wp14:anchorId="540A054F" wp14:editId="1F7A9313">
                      <wp:simplePos x="0" y="0"/>
                      <wp:positionH relativeFrom="column">
                        <wp:posOffset>-3175</wp:posOffset>
                      </wp:positionH>
                      <wp:positionV relativeFrom="paragraph">
                        <wp:posOffset>4445</wp:posOffset>
                      </wp:positionV>
                      <wp:extent cx="501650" cy="270510"/>
                      <wp:effectExtent l="0" t="0" r="0" b="0"/>
                      <wp:wrapNone/>
                      <wp:docPr id="149" name="Freeform 48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1650" cy="270510"/>
                              </a:xfrm>
                              <a:custGeom>
                                <a:avLst/>
                                <a:gdLst>
                                  <a:gd name="T0" fmla="*/ 300 w 404"/>
                                  <a:gd name="T1" fmla="*/ 166 h 218"/>
                                  <a:gd name="T2" fmla="*/ 288 w 404"/>
                                  <a:gd name="T3" fmla="*/ 172 h 218"/>
                                  <a:gd name="T4" fmla="*/ 272 w 404"/>
                                  <a:gd name="T5" fmla="*/ 184 h 218"/>
                                  <a:gd name="T6" fmla="*/ 252 w 404"/>
                                  <a:gd name="T7" fmla="*/ 170 h 218"/>
                                  <a:gd name="T8" fmla="*/ 244 w 404"/>
                                  <a:gd name="T9" fmla="*/ 186 h 218"/>
                                  <a:gd name="T10" fmla="*/ 232 w 404"/>
                                  <a:gd name="T11" fmla="*/ 188 h 218"/>
                                  <a:gd name="T12" fmla="*/ 226 w 404"/>
                                  <a:gd name="T13" fmla="*/ 188 h 218"/>
                                  <a:gd name="T14" fmla="*/ 216 w 404"/>
                                  <a:gd name="T15" fmla="*/ 166 h 218"/>
                                  <a:gd name="T16" fmla="*/ 192 w 404"/>
                                  <a:gd name="T17" fmla="*/ 154 h 218"/>
                                  <a:gd name="T18" fmla="*/ 178 w 404"/>
                                  <a:gd name="T19" fmla="*/ 142 h 218"/>
                                  <a:gd name="T20" fmla="*/ 160 w 404"/>
                                  <a:gd name="T21" fmla="*/ 138 h 218"/>
                                  <a:gd name="T22" fmla="*/ 134 w 404"/>
                                  <a:gd name="T23" fmla="*/ 120 h 218"/>
                                  <a:gd name="T24" fmla="*/ 106 w 404"/>
                                  <a:gd name="T25" fmla="*/ 136 h 218"/>
                                  <a:gd name="T26" fmla="*/ 74 w 404"/>
                                  <a:gd name="T27" fmla="*/ 124 h 218"/>
                                  <a:gd name="T28" fmla="*/ 94 w 404"/>
                                  <a:gd name="T29" fmla="*/ 42 h 218"/>
                                  <a:gd name="T30" fmla="*/ 138 w 404"/>
                                  <a:gd name="T31" fmla="*/ 38 h 218"/>
                                  <a:gd name="T32" fmla="*/ 134 w 404"/>
                                  <a:gd name="T33" fmla="*/ 66 h 218"/>
                                  <a:gd name="T34" fmla="*/ 150 w 404"/>
                                  <a:gd name="T35" fmla="*/ 88 h 218"/>
                                  <a:gd name="T36" fmla="*/ 178 w 404"/>
                                  <a:gd name="T37" fmla="*/ 92 h 218"/>
                                  <a:gd name="T38" fmla="*/ 288 w 404"/>
                                  <a:gd name="T39" fmla="*/ 92 h 218"/>
                                  <a:gd name="T40" fmla="*/ 294 w 404"/>
                                  <a:gd name="T41" fmla="*/ 100 h 218"/>
                                  <a:gd name="T42" fmla="*/ 320 w 404"/>
                                  <a:gd name="T43" fmla="*/ 144 h 218"/>
                                  <a:gd name="T44" fmla="*/ 134 w 404"/>
                                  <a:gd name="T45" fmla="*/ 132 h 218"/>
                                  <a:gd name="T46" fmla="*/ 118 w 404"/>
                                  <a:gd name="T47" fmla="*/ 142 h 218"/>
                                  <a:gd name="T48" fmla="*/ 102 w 404"/>
                                  <a:gd name="T49" fmla="*/ 190 h 218"/>
                                  <a:gd name="T50" fmla="*/ 118 w 404"/>
                                  <a:gd name="T51" fmla="*/ 198 h 218"/>
                                  <a:gd name="T52" fmla="*/ 130 w 404"/>
                                  <a:gd name="T53" fmla="*/ 204 h 218"/>
                                  <a:gd name="T54" fmla="*/ 146 w 404"/>
                                  <a:gd name="T55" fmla="*/ 214 h 218"/>
                                  <a:gd name="T56" fmla="*/ 162 w 404"/>
                                  <a:gd name="T57" fmla="*/ 204 h 218"/>
                                  <a:gd name="T58" fmla="*/ 174 w 404"/>
                                  <a:gd name="T59" fmla="*/ 216 h 218"/>
                                  <a:gd name="T60" fmla="*/ 188 w 404"/>
                                  <a:gd name="T61" fmla="*/ 218 h 218"/>
                                  <a:gd name="T62" fmla="*/ 208 w 404"/>
                                  <a:gd name="T63" fmla="*/ 194 h 218"/>
                                  <a:gd name="T64" fmla="*/ 202 w 404"/>
                                  <a:gd name="T65" fmla="*/ 168 h 218"/>
                                  <a:gd name="T66" fmla="*/ 182 w 404"/>
                                  <a:gd name="T67" fmla="*/ 170 h 218"/>
                                  <a:gd name="T68" fmla="*/ 172 w 404"/>
                                  <a:gd name="T69" fmla="*/ 152 h 218"/>
                                  <a:gd name="T70" fmla="*/ 156 w 404"/>
                                  <a:gd name="T71" fmla="*/ 150 h 218"/>
                                  <a:gd name="T72" fmla="*/ 146 w 404"/>
                                  <a:gd name="T73" fmla="*/ 138 h 218"/>
                                  <a:gd name="T74" fmla="*/ 378 w 404"/>
                                  <a:gd name="T75" fmla="*/ 0 h 218"/>
                                  <a:gd name="T76" fmla="*/ 394 w 404"/>
                                  <a:gd name="T77" fmla="*/ 160 h 218"/>
                                  <a:gd name="T78" fmla="*/ 402 w 404"/>
                                  <a:gd name="T79" fmla="*/ 70 h 218"/>
                                  <a:gd name="T80" fmla="*/ 26 w 404"/>
                                  <a:gd name="T81" fmla="*/ 0 h 218"/>
                                  <a:gd name="T82" fmla="*/ 0 w 404"/>
                                  <a:gd name="T83" fmla="*/ 96 h 218"/>
                                  <a:gd name="T84" fmla="*/ 18 w 404"/>
                                  <a:gd name="T85" fmla="*/ 178 h 218"/>
                                  <a:gd name="T86" fmla="*/ 96 w 404"/>
                                  <a:gd name="T87" fmla="*/ 154 h 218"/>
                                  <a:gd name="T88" fmla="*/ 68 w 404"/>
                                  <a:gd name="T89" fmla="*/ 142 h 218"/>
                                  <a:gd name="T90" fmla="*/ 74 w 404"/>
                                  <a:gd name="T91" fmla="*/ 170 h 218"/>
                                  <a:gd name="T92" fmla="*/ 88 w 404"/>
                                  <a:gd name="T93" fmla="*/ 172 h 218"/>
                                  <a:gd name="T94" fmla="*/ 306 w 404"/>
                                  <a:gd name="T95" fmla="*/ 34 h 218"/>
                                  <a:gd name="T96" fmla="*/ 230 w 404"/>
                                  <a:gd name="T97" fmla="*/ 8 h 218"/>
                                  <a:gd name="T98" fmla="*/ 192 w 404"/>
                                  <a:gd name="T99" fmla="*/ 2 h 218"/>
                                  <a:gd name="T100" fmla="*/ 190 w 404"/>
                                  <a:gd name="T101" fmla="*/ 0 h 218"/>
                                  <a:gd name="T102" fmla="*/ 182 w 404"/>
                                  <a:gd name="T103" fmla="*/ 2 h 218"/>
                                  <a:gd name="T104" fmla="*/ 148 w 404"/>
                                  <a:gd name="T105" fmla="*/ 44 h 218"/>
                                  <a:gd name="T106" fmla="*/ 156 w 404"/>
                                  <a:gd name="T107" fmla="*/ 78 h 218"/>
                                  <a:gd name="T108" fmla="*/ 180 w 404"/>
                                  <a:gd name="T109" fmla="*/ 78 h 218"/>
                                  <a:gd name="T110" fmla="*/ 292 w 404"/>
                                  <a:gd name="T111" fmla="*/ 82 h 218"/>
                                  <a:gd name="T112" fmla="*/ 304 w 404"/>
                                  <a:gd name="T113" fmla="*/ 94 h 218"/>
                                  <a:gd name="T114" fmla="*/ 328 w 404"/>
                                  <a:gd name="T115" fmla="*/ 11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4" h="218">
                                    <a:moveTo>
                                      <a:pt x="310" y="162"/>
                                    </a:moveTo>
                                    <a:lnTo>
                                      <a:pt x="310" y="162"/>
                                    </a:lnTo>
                                    <a:lnTo>
                                      <a:pt x="306" y="164"/>
                                    </a:lnTo>
                                    <a:lnTo>
                                      <a:pt x="300" y="166"/>
                                    </a:lnTo>
                                    <a:lnTo>
                                      <a:pt x="300" y="166"/>
                                    </a:lnTo>
                                    <a:lnTo>
                                      <a:pt x="296" y="164"/>
                                    </a:lnTo>
                                    <a:lnTo>
                                      <a:pt x="290" y="162"/>
                                    </a:lnTo>
                                    <a:lnTo>
                                      <a:pt x="290" y="162"/>
                                    </a:lnTo>
                                    <a:lnTo>
                                      <a:pt x="290" y="168"/>
                                    </a:lnTo>
                                    <a:lnTo>
                                      <a:pt x="288" y="172"/>
                                    </a:lnTo>
                                    <a:lnTo>
                                      <a:pt x="286" y="176"/>
                                    </a:lnTo>
                                    <a:lnTo>
                                      <a:pt x="282" y="180"/>
                                    </a:lnTo>
                                    <a:lnTo>
                                      <a:pt x="282" y="180"/>
                                    </a:lnTo>
                                    <a:lnTo>
                                      <a:pt x="276" y="182"/>
                                    </a:lnTo>
                                    <a:lnTo>
                                      <a:pt x="272" y="184"/>
                                    </a:lnTo>
                                    <a:lnTo>
                                      <a:pt x="272" y="184"/>
                                    </a:lnTo>
                                    <a:lnTo>
                                      <a:pt x="262" y="180"/>
                                    </a:lnTo>
                                    <a:lnTo>
                                      <a:pt x="258" y="178"/>
                                    </a:lnTo>
                                    <a:lnTo>
                                      <a:pt x="256" y="174"/>
                                    </a:lnTo>
                                    <a:lnTo>
                                      <a:pt x="252" y="170"/>
                                    </a:lnTo>
                                    <a:lnTo>
                                      <a:pt x="252" y="170"/>
                                    </a:lnTo>
                                    <a:lnTo>
                                      <a:pt x="250" y="178"/>
                                    </a:lnTo>
                                    <a:lnTo>
                                      <a:pt x="248" y="182"/>
                                    </a:lnTo>
                                    <a:lnTo>
                                      <a:pt x="244" y="186"/>
                                    </a:lnTo>
                                    <a:lnTo>
                                      <a:pt x="244" y="186"/>
                                    </a:lnTo>
                                    <a:lnTo>
                                      <a:pt x="238" y="188"/>
                                    </a:lnTo>
                                    <a:lnTo>
                                      <a:pt x="234" y="188"/>
                                    </a:lnTo>
                                    <a:lnTo>
                                      <a:pt x="234" y="188"/>
                                    </a:lnTo>
                                    <a:lnTo>
                                      <a:pt x="232" y="188"/>
                                    </a:lnTo>
                                    <a:lnTo>
                                      <a:pt x="232" y="188"/>
                                    </a:lnTo>
                                    <a:lnTo>
                                      <a:pt x="230" y="188"/>
                                    </a:lnTo>
                                    <a:lnTo>
                                      <a:pt x="230" y="188"/>
                                    </a:lnTo>
                                    <a:lnTo>
                                      <a:pt x="228" y="188"/>
                                    </a:lnTo>
                                    <a:lnTo>
                                      <a:pt x="228" y="188"/>
                                    </a:lnTo>
                                    <a:lnTo>
                                      <a:pt x="226" y="188"/>
                                    </a:lnTo>
                                    <a:lnTo>
                                      <a:pt x="222" y="188"/>
                                    </a:lnTo>
                                    <a:lnTo>
                                      <a:pt x="222" y="188"/>
                                    </a:lnTo>
                                    <a:lnTo>
                                      <a:pt x="222" y="176"/>
                                    </a:lnTo>
                                    <a:lnTo>
                                      <a:pt x="222" y="176"/>
                                    </a:lnTo>
                                    <a:lnTo>
                                      <a:pt x="216" y="166"/>
                                    </a:lnTo>
                                    <a:lnTo>
                                      <a:pt x="208" y="158"/>
                                    </a:lnTo>
                                    <a:lnTo>
                                      <a:pt x="208" y="158"/>
                                    </a:lnTo>
                                    <a:lnTo>
                                      <a:pt x="200" y="156"/>
                                    </a:lnTo>
                                    <a:lnTo>
                                      <a:pt x="192" y="154"/>
                                    </a:lnTo>
                                    <a:lnTo>
                                      <a:pt x="192" y="154"/>
                                    </a:lnTo>
                                    <a:lnTo>
                                      <a:pt x="190" y="154"/>
                                    </a:lnTo>
                                    <a:lnTo>
                                      <a:pt x="190" y="154"/>
                                    </a:lnTo>
                                    <a:lnTo>
                                      <a:pt x="186" y="146"/>
                                    </a:lnTo>
                                    <a:lnTo>
                                      <a:pt x="178" y="142"/>
                                    </a:lnTo>
                                    <a:lnTo>
                                      <a:pt x="178" y="142"/>
                                    </a:lnTo>
                                    <a:lnTo>
                                      <a:pt x="170" y="138"/>
                                    </a:lnTo>
                                    <a:lnTo>
                                      <a:pt x="162" y="138"/>
                                    </a:lnTo>
                                    <a:lnTo>
                                      <a:pt x="162" y="138"/>
                                    </a:lnTo>
                                    <a:lnTo>
                                      <a:pt x="160" y="138"/>
                                    </a:lnTo>
                                    <a:lnTo>
                                      <a:pt x="160" y="138"/>
                                    </a:lnTo>
                                    <a:lnTo>
                                      <a:pt x="156" y="130"/>
                                    </a:lnTo>
                                    <a:lnTo>
                                      <a:pt x="148" y="124"/>
                                    </a:lnTo>
                                    <a:lnTo>
                                      <a:pt x="148" y="124"/>
                                    </a:lnTo>
                                    <a:lnTo>
                                      <a:pt x="142" y="122"/>
                                    </a:lnTo>
                                    <a:lnTo>
                                      <a:pt x="134" y="120"/>
                                    </a:lnTo>
                                    <a:lnTo>
                                      <a:pt x="134" y="120"/>
                                    </a:lnTo>
                                    <a:lnTo>
                                      <a:pt x="126" y="122"/>
                                    </a:lnTo>
                                    <a:lnTo>
                                      <a:pt x="118" y="124"/>
                                    </a:lnTo>
                                    <a:lnTo>
                                      <a:pt x="112" y="130"/>
                                    </a:lnTo>
                                    <a:lnTo>
                                      <a:pt x="106" y="136"/>
                                    </a:lnTo>
                                    <a:lnTo>
                                      <a:pt x="102" y="144"/>
                                    </a:lnTo>
                                    <a:lnTo>
                                      <a:pt x="80" y="132"/>
                                    </a:lnTo>
                                    <a:lnTo>
                                      <a:pt x="80" y="132"/>
                                    </a:lnTo>
                                    <a:lnTo>
                                      <a:pt x="76" y="128"/>
                                    </a:lnTo>
                                    <a:lnTo>
                                      <a:pt x="74" y="124"/>
                                    </a:lnTo>
                                    <a:lnTo>
                                      <a:pt x="72" y="120"/>
                                    </a:lnTo>
                                    <a:lnTo>
                                      <a:pt x="74" y="114"/>
                                    </a:lnTo>
                                    <a:lnTo>
                                      <a:pt x="92" y="46"/>
                                    </a:lnTo>
                                    <a:lnTo>
                                      <a:pt x="92" y="46"/>
                                    </a:lnTo>
                                    <a:lnTo>
                                      <a:pt x="94" y="42"/>
                                    </a:lnTo>
                                    <a:lnTo>
                                      <a:pt x="98" y="38"/>
                                    </a:lnTo>
                                    <a:lnTo>
                                      <a:pt x="102" y="36"/>
                                    </a:lnTo>
                                    <a:lnTo>
                                      <a:pt x="106" y="36"/>
                                    </a:lnTo>
                                    <a:lnTo>
                                      <a:pt x="140" y="34"/>
                                    </a:lnTo>
                                    <a:lnTo>
                                      <a:pt x="138" y="38"/>
                                    </a:lnTo>
                                    <a:lnTo>
                                      <a:pt x="138" y="38"/>
                                    </a:lnTo>
                                    <a:lnTo>
                                      <a:pt x="134" y="46"/>
                                    </a:lnTo>
                                    <a:lnTo>
                                      <a:pt x="132" y="52"/>
                                    </a:lnTo>
                                    <a:lnTo>
                                      <a:pt x="132" y="60"/>
                                    </a:lnTo>
                                    <a:lnTo>
                                      <a:pt x="134" y="66"/>
                                    </a:lnTo>
                                    <a:lnTo>
                                      <a:pt x="134" y="66"/>
                                    </a:lnTo>
                                    <a:lnTo>
                                      <a:pt x="136" y="72"/>
                                    </a:lnTo>
                                    <a:lnTo>
                                      <a:pt x="140" y="78"/>
                                    </a:lnTo>
                                    <a:lnTo>
                                      <a:pt x="144" y="84"/>
                                    </a:lnTo>
                                    <a:lnTo>
                                      <a:pt x="150" y="88"/>
                                    </a:lnTo>
                                    <a:lnTo>
                                      <a:pt x="150" y="88"/>
                                    </a:lnTo>
                                    <a:lnTo>
                                      <a:pt x="158" y="92"/>
                                    </a:lnTo>
                                    <a:lnTo>
                                      <a:pt x="168" y="92"/>
                                    </a:lnTo>
                                    <a:lnTo>
                                      <a:pt x="168" y="92"/>
                                    </a:lnTo>
                                    <a:lnTo>
                                      <a:pt x="178" y="92"/>
                                    </a:lnTo>
                                    <a:lnTo>
                                      <a:pt x="186" y="88"/>
                                    </a:lnTo>
                                    <a:lnTo>
                                      <a:pt x="194" y="82"/>
                                    </a:lnTo>
                                    <a:lnTo>
                                      <a:pt x="198" y="74"/>
                                    </a:lnTo>
                                    <a:lnTo>
                                      <a:pt x="212" y="52"/>
                                    </a:lnTo>
                                    <a:lnTo>
                                      <a:pt x="288" y="92"/>
                                    </a:lnTo>
                                    <a:lnTo>
                                      <a:pt x="288" y="92"/>
                                    </a:lnTo>
                                    <a:lnTo>
                                      <a:pt x="290" y="94"/>
                                    </a:lnTo>
                                    <a:lnTo>
                                      <a:pt x="294" y="98"/>
                                    </a:lnTo>
                                    <a:lnTo>
                                      <a:pt x="294" y="98"/>
                                    </a:lnTo>
                                    <a:lnTo>
                                      <a:pt x="294" y="100"/>
                                    </a:lnTo>
                                    <a:lnTo>
                                      <a:pt x="294" y="100"/>
                                    </a:lnTo>
                                    <a:lnTo>
                                      <a:pt x="296" y="100"/>
                                    </a:lnTo>
                                    <a:lnTo>
                                      <a:pt x="318" y="136"/>
                                    </a:lnTo>
                                    <a:lnTo>
                                      <a:pt x="318" y="136"/>
                                    </a:lnTo>
                                    <a:lnTo>
                                      <a:pt x="320" y="144"/>
                                    </a:lnTo>
                                    <a:lnTo>
                                      <a:pt x="320" y="150"/>
                                    </a:lnTo>
                                    <a:lnTo>
                                      <a:pt x="316" y="158"/>
                                    </a:lnTo>
                                    <a:lnTo>
                                      <a:pt x="310" y="162"/>
                                    </a:lnTo>
                                    <a:lnTo>
                                      <a:pt x="310" y="162"/>
                                    </a:lnTo>
                                    <a:close/>
                                    <a:moveTo>
                                      <a:pt x="134" y="132"/>
                                    </a:moveTo>
                                    <a:lnTo>
                                      <a:pt x="134" y="132"/>
                                    </a:lnTo>
                                    <a:lnTo>
                                      <a:pt x="128" y="132"/>
                                    </a:lnTo>
                                    <a:lnTo>
                                      <a:pt x="124" y="134"/>
                                    </a:lnTo>
                                    <a:lnTo>
                                      <a:pt x="120" y="138"/>
                                    </a:lnTo>
                                    <a:lnTo>
                                      <a:pt x="118" y="142"/>
                                    </a:lnTo>
                                    <a:lnTo>
                                      <a:pt x="102" y="170"/>
                                    </a:lnTo>
                                    <a:lnTo>
                                      <a:pt x="102" y="170"/>
                                    </a:lnTo>
                                    <a:lnTo>
                                      <a:pt x="98" y="176"/>
                                    </a:lnTo>
                                    <a:lnTo>
                                      <a:pt x="100" y="184"/>
                                    </a:lnTo>
                                    <a:lnTo>
                                      <a:pt x="102" y="190"/>
                                    </a:lnTo>
                                    <a:lnTo>
                                      <a:pt x="108" y="194"/>
                                    </a:lnTo>
                                    <a:lnTo>
                                      <a:pt x="108" y="194"/>
                                    </a:lnTo>
                                    <a:lnTo>
                                      <a:pt x="112" y="196"/>
                                    </a:lnTo>
                                    <a:lnTo>
                                      <a:pt x="118" y="198"/>
                                    </a:lnTo>
                                    <a:lnTo>
                                      <a:pt x="118" y="198"/>
                                    </a:lnTo>
                                    <a:lnTo>
                                      <a:pt x="122" y="196"/>
                                    </a:lnTo>
                                    <a:lnTo>
                                      <a:pt x="128" y="194"/>
                                    </a:lnTo>
                                    <a:lnTo>
                                      <a:pt x="128" y="194"/>
                                    </a:lnTo>
                                    <a:lnTo>
                                      <a:pt x="128" y="198"/>
                                    </a:lnTo>
                                    <a:lnTo>
                                      <a:pt x="130" y="204"/>
                                    </a:lnTo>
                                    <a:lnTo>
                                      <a:pt x="132" y="208"/>
                                    </a:lnTo>
                                    <a:lnTo>
                                      <a:pt x="138" y="212"/>
                                    </a:lnTo>
                                    <a:lnTo>
                                      <a:pt x="138" y="212"/>
                                    </a:lnTo>
                                    <a:lnTo>
                                      <a:pt x="142" y="214"/>
                                    </a:lnTo>
                                    <a:lnTo>
                                      <a:pt x="146" y="214"/>
                                    </a:lnTo>
                                    <a:lnTo>
                                      <a:pt x="146" y="214"/>
                                    </a:lnTo>
                                    <a:lnTo>
                                      <a:pt x="152" y="214"/>
                                    </a:lnTo>
                                    <a:lnTo>
                                      <a:pt x="156" y="212"/>
                                    </a:lnTo>
                                    <a:lnTo>
                                      <a:pt x="160" y="208"/>
                                    </a:lnTo>
                                    <a:lnTo>
                                      <a:pt x="162" y="204"/>
                                    </a:lnTo>
                                    <a:lnTo>
                                      <a:pt x="166" y="200"/>
                                    </a:lnTo>
                                    <a:lnTo>
                                      <a:pt x="166" y="200"/>
                                    </a:lnTo>
                                    <a:lnTo>
                                      <a:pt x="168" y="208"/>
                                    </a:lnTo>
                                    <a:lnTo>
                                      <a:pt x="170" y="212"/>
                                    </a:lnTo>
                                    <a:lnTo>
                                      <a:pt x="174" y="216"/>
                                    </a:lnTo>
                                    <a:lnTo>
                                      <a:pt x="174" y="216"/>
                                    </a:lnTo>
                                    <a:lnTo>
                                      <a:pt x="178" y="218"/>
                                    </a:lnTo>
                                    <a:lnTo>
                                      <a:pt x="184" y="218"/>
                                    </a:lnTo>
                                    <a:lnTo>
                                      <a:pt x="184" y="218"/>
                                    </a:lnTo>
                                    <a:lnTo>
                                      <a:pt x="188" y="218"/>
                                    </a:lnTo>
                                    <a:lnTo>
                                      <a:pt x="192" y="216"/>
                                    </a:lnTo>
                                    <a:lnTo>
                                      <a:pt x="196" y="212"/>
                                    </a:lnTo>
                                    <a:lnTo>
                                      <a:pt x="200" y="208"/>
                                    </a:lnTo>
                                    <a:lnTo>
                                      <a:pt x="208" y="194"/>
                                    </a:lnTo>
                                    <a:lnTo>
                                      <a:pt x="208" y="194"/>
                                    </a:lnTo>
                                    <a:lnTo>
                                      <a:pt x="210" y="188"/>
                                    </a:lnTo>
                                    <a:lnTo>
                                      <a:pt x="210" y="180"/>
                                    </a:lnTo>
                                    <a:lnTo>
                                      <a:pt x="206" y="174"/>
                                    </a:lnTo>
                                    <a:lnTo>
                                      <a:pt x="202" y="168"/>
                                    </a:lnTo>
                                    <a:lnTo>
                                      <a:pt x="202" y="168"/>
                                    </a:lnTo>
                                    <a:lnTo>
                                      <a:pt x="196" y="166"/>
                                    </a:lnTo>
                                    <a:lnTo>
                                      <a:pt x="192" y="166"/>
                                    </a:lnTo>
                                    <a:lnTo>
                                      <a:pt x="192" y="166"/>
                                    </a:lnTo>
                                    <a:lnTo>
                                      <a:pt x="186" y="168"/>
                                    </a:lnTo>
                                    <a:lnTo>
                                      <a:pt x="182" y="170"/>
                                    </a:lnTo>
                                    <a:lnTo>
                                      <a:pt x="182" y="170"/>
                                    </a:lnTo>
                                    <a:lnTo>
                                      <a:pt x="180" y="164"/>
                                    </a:lnTo>
                                    <a:lnTo>
                                      <a:pt x="180" y="160"/>
                                    </a:lnTo>
                                    <a:lnTo>
                                      <a:pt x="176" y="156"/>
                                    </a:lnTo>
                                    <a:lnTo>
                                      <a:pt x="172" y="152"/>
                                    </a:lnTo>
                                    <a:lnTo>
                                      <a:pt x="172" y="152"/>
                                    </a:lnTo>
                                    <a:lnTo>
                                      <a:pt x="168" y="150"/>
                                    </a:lnTo>
                                    <a:lnTo>
                                      <a:pt x="162" y="150"/>
                                    </a:lnTo>
                                    <a:lnTo>
                                      <a:pt x="162" y="150"/>
                                    </a:lnTo>
                                    <a:lnTo>
                                      <a:pt x="156" y="150"/>
                                    </a:lnTo>
                                    <a:lnTo>
                                      <a:pt x="152" y="152"/>
                                    </a:lnTo>
                                    <a:lnTo>
                                      <a:pt x="152" y="152"/>
                                    </a:lnTo>
                                    <a:lnTo>
                                      <a:pt x="152" y="148"/>
                                    </a:lnTo>
                                    <a:lnTo>
                                      <a:pt x="150" y="142"/>
                                    </a:lnTo>
                                    <a:lnTo>
                                      <a:pt x="146" y="138"/>
                                    </a:lnTo>
                                    <a:lnTo>
                                      <a:pt x="142" y="134"/>
                                    </a:lnTo>
                                    <a:lnTo>
                                      <a:pt x="142" y="134"/>
                                    </a:lnTo>
                                    <a:lnTo>
                                      <a:pt x="138" y="132"/>
                                    </a:lnTo>
                                    <a:lnTo>
                                      <a:pt x="134" y="132"/>
                                    </a:lnTo>
                                    <a:close/>
                                    <a:moveTo>
                                      <a:pt x="378" y="0"/>
                                    </a:moveTo>
                                    <a:lnTo>
                                      <a:pt x="316" y="18"/>
                                    </a:lnTo>
                                    <a:lnTo>
                                      <a:pt x="366" y="184"/>
                                    </a:lnTo>
                                    <a:lnTo>
                                      <a:pt x="386" y="178"/>
                                    </a:lnTo>
                                    <a:lnTo>
                                      <a:pt x="386" y="178"/>
                                    </a:lnTo>
                                    <a:lnTo>
                                      <a:pt x="394" y="160"/>
                                    </a:lnTo>
                                    <a:lnTo>
                                      <a:pt x="398" y="140"/>
                                    </a:lnTo>
                                    <a:lnTo>
                                      <a:pt x="402" y="118"/>
                                    </a:lnTo>
                                    <a:lnTo>
                                      <a:pt x="404" y="96"/>
                                    </a:lnTo>
                                    <a:lnTo>
                                      <a:pt x="404" y="96"/>
                                    </a:lnTo>
                                    <a:lnTo>
                                      <a:pt x="402" y="70"/>
                                    </a:lnTo>
                                    <a:lnTo>
                                      <a:pt x="398" y="46"/>
                                    </a:lnTo>
                                    <a:lnTo>
                                      <a:pt x="390" y="22"/>
                                    </a:lnTo>
                                    <a:lnTo>
                                      <a:pt x="378" y="0"/>
                                    </a:lnTo>
                                    <a:lnTo>
                                      <a:pt x="378" y="0"/>
                                    </a:lnTo>
                                    <a:close/>
                                    <a:moveTo>
                                      <a:pt x="26" y="0"/>
                                    </a:moveTo>
                                    <a:lnTo>
                                      <a:pt x="26" y="0"/>
                                    </a:lnTo>
                                    <a:lnTo>
                                      <a:pt x="14" y="22"/>
                                    </a:lnTo>
                                    <a:lnTo>
                                      <a:pt x="6" y="46"/>
                                    </a:lnTo>
                                    <a:lnTo>
                                      <a:pt x="2" y="70"/>
                                    </a:lnTo>
                                    <a:lnTo>
                                      <a:pt x="0" y="96"/>
                                    </a:lnTo>
                                    <a:lnTo>
                                      <a:pt x="0" y="96"/>
                                    </a:lnTo>
                                    <a:lnTo>
                                      <a:pt x="2" y="118"/>
                                    </a:lnTo>
                                    <a:lnTo>
                                      <a:pt x="6" y="140"/>
                                    </a:lnTo>
                                    <a:lnTo>
                                      <a:pt x="10" y="160"/>
                                    </a:lnTo>
                                    <a:lnTo>
                                      <a:pt x="18" y="178"/>
                                    </a:lnTo>
                                    <a:lnTo>
                                      <a:pt x="40" y="184"/>
                                    </a:lnTo>
                                    <a:lnTo>
                                      <a:pt x="88" y="18"/>
                                    </a:lnTo>
                                    <a:lnTo>
                                      <a:pt x="26" y="0"/>
                                    </a:lnTo>
                                    <a:close/>
                                    <a:moveTo>
                                      <a:pt x="90" y="164"/>
                                    </a:moveTo>
                                    <a:lnTo>
                                      <a:pt x="96" y="154"/>
                                    </a:lnTo>
                                    <a:lnTo>
                                      <a:pt x="74" y="142"/>
                                    </a:lnTo>
                                    <a:lnTo>
                                      <a:pt x="74" y="142"/>
                                    </a:lnTo>
                                    <a:lnTo>
                                      <a:pt x="70" y="138"/>
                                    </a:lnTo>
                                    <a:lnTo>
                                      <a:pt x="68" y="142"/>
                                    </a:lnTo>
                                    <a:lnTo>
                                      <a:pt x="68" y="142"/>
                                    </a:lnTo>
                                    <a:lnTo>
                                      <a:pt x="64" y="150"/>
                                    </a:lnTo>
                                    <a:lnTo>
                                      <a:pt x="66" y="158"/>
                                    </a:lnTo>
                                    <a:lnTo>
                                      <a:pt x="68" y="164"/>
                                    </a:lnTo>
                                    <a:lnTo>
                                      <a:pt x="74" y="170"/>
                                    </a:lnTo>
                                    <a:lnTo>
                                      <a:pt x="74" y="170"/>
                                    </a:lnTo>
                                    <a:lnTo>
                                      <a:pt x="80" y="172"/>
                                    </a:lnTo>
                                    <a:lnTo>
                                      <a:pt x="84" y="172"/>
                                    </a:lnTo>
                                    <a:lnTo>
                                      <a:pt x="84" y="172"/>
                                    </a:lnTo>
                                    <a:lnTo>
                                      <a:pt x="88" y="172"/>
                                    </a:lnTo>
                                    <a:lnTo>
                                      <a:pt x="88" y="172"/>
                                    </a:lnTo>
                                    <a:lnTo>
                                      <a:pt x="90" y="164"/>
                                    </a:lnTo>
                                    <a:lnTo>
                                      <a:pt x="90" y="164"/>
                                    </a:lnTo>
                                    <a:close/>
                                    <a:moveTo>
                                      <a:pt x="328" y="106"/>
                                    </a:moveTo>
                                    <a:lnTo>
                                      <a:pt x="306" y="34"/>
                                    </a:lnTo>
                                    <a:lnTo>
                                      <a:pt x="306" y="34"/>
                                    </a:lnTo>
                                    <a:lnTo>
                                      <a:pt x="304" y="30"/>
                                    </a:lnTo>
                                    <a:lnTo>
                                      <a:pt x="300" y="26"/>
                                    </a:lnTo>
                                    <a:lnTo>
                                      <a:pt x="296" y="24"/>
                                    </a:lnTo>
                                    <a:lnTo>
                                      <a:pt x="292" y="22"/>
                                    </a:lnTo>
                                    <a:lnTo>
                                      <a:pt x="230" y="8"/>
                                    </a:lnTo>
                                    <a:lnTo>
                                      <a:pt x="230" y="8"/>
                                    </a:lnTo>
                                    <a:lnTo>
                                      <a:pt x="230" y="8"/>
                                    </a:lnTo>
                                    <a:lnTo>
                                      <a:pt x="194" y="2"/>
                                    </a:lnTo>
                                    <a:lnTo>
                                      <a:pt x="194" y="2"/>
                                    </a:lnTo>
                                    <a:lnTo>
                                      <a:pt x="192" y="2"/>
                                    </a:lnTo>
                                    <a:lnTo>
                                      <a:pt x="192" y="2"/>
                                    </a:lnTo>
                                    <a:lnTo>
                                      <a:pt x="192" y="2"/>
                                    </a:lnTo>
                                    <a:lnTo>
                                      <a:pt x="192" y="2"/>
                                    </a:lnTo>
                                    <a:lnTo>
                                      <a:pt x="192" y="0"/>
                                    </a:lnTo>
                                    <a:lnTo>
                                      <a:pt x="190" y="0"/>
                                    </a:lnTo>
                                    <a:lnTo>
                                      <a:pt x="190" y="0"/>
                                    </a:lnTo>
                                    <a:lnTo>
                                      <a:pt x="190" y="0"/>
                                    </a:lnTo>
                                    <a:lnTo>
                                      <a:pt x="188" y="0"/>
                                    </a:lnTo>
                                    <a:lnTo>
                                      <a:pt x="188" y="0"/>
                                    </a:lnTo>
                                    <a:lnTo>
                                      <a:pt x="182" y="2"/>
                                    </a:lnTo>
                                    <a:lnTo>
                                      <a:pt x="176" y="4"/>
                                    </a:lnTo>
                                    <a:lnTo>
                                      <a:pt x="170" y="8"/>
                                    </a:lnTo>
                                    <a:lnTo>
                                      <a:pt x="166" y="12"/>
                                    </a:lnTo>
                                    <a:lnTo>
                                      <a:pt x="148" y="44"/>
                                    </a:lnTo>
                                    <a:lnTo>
                                      <a:pt x="148" y="44"/>
                                    </a:lnTo>
                                    <a:lnTo>
                                      <a:pt x="144" y="54"/>
                                    </a:lnTo>
                                    <a:lnTo>
                                      <a:pt x="146" y="62"/>
                                    </a:lnTo>
                                    <a:lnTo>
                                      <a:pt x="150" y="72"/>
                                    </a:lnTo>
                                    <a:lnTo>
                                      <a:pt x="156" y="78"/>
                                    </a:lnTo>
                                    <a:lnTo>
                                      <a:pt x="156" y="78"/>
                                    </a:lnTo>
                                    <a:lnTo>
                                      <a:pt x="162" y="80"/>
                                    </a:lnTo>
                                    <a:lnTo>
                                      <a:pt x="168" y="80"/>
                                    </a:lnTo>
                                    <a:lnTo>
                                      <a:pt x="168" y="80"/>
                                    </a:lnTo>
                                    <a:lnTo>
                                      <a:pt x="174" y="80"/>
                                    </a:lnTo>
                                    <a:lnTo>
                                      <a:pt x="180" y="78"/>
                                    </a:lnTo>
                                    <a:lnTo>
                                      <a:pt x="184" y="74"/>
                                    </a:lnTo>
                                    <a:lnTo>
                                      <a:pt x="188" y="68"/>
                                    </a:lnTo>
                                    <a:lnTo>
                                      <a:pt x="208" y="36"/>
                                    </a:lnTo>
                                    <a:lnTo>
                                      <a:pt x="292" y="82"/>
                                    </a:lnTo>
                                    <a:lnTo>
                                      <a:pt x="292" y="82"/>
                                    </a:lnTo>
                                    <a:lnTo>
                                      <a:pt x="298" y="86"/>
                                    </a:lnTo>
                                    <a:lnTo>
                                      <a:pt x="304" y="90"/>
                                    </a:lnTo>
                                    <a:lnTo>
                                      <a:pt x="304" y="90"/>
                                    </a:lnTo>
                                    <a:lnTo>
                                      <a:pt x="304" y="94"/>
                                    </a:lnTo>
                                    <a:lnTo>
                                      <a:pt x="304" y="94"/>
                                    </a:lnTo>
                                    <a:lnTo>
                                      <a:pt x="306" y="94"/>
                                    </a:lnTo>
                                    <a:lnTo>
                                      <a:pt x="324" y="124"/>
                                    </a:lnTo>
                                    <a:lnTo>
                                      <a:pt x="324" y="124"/>
                                    </a:lnTo>
                                    <a:lnTo>
                                      <a:pt x="326" y="120"/>
                                    </a:lnTo>
                                    <a:lnTo>
                                      <a:pt x="328" y="116"/>
                                    </a:lnTo>
                                    <a:lnTo>
                                      <a:pt x="330" y="110"/>
                                    </a:lnTo>
                                    <a:lnTo>
                                      <a:pt x="328" y="106"/>
                                    </a:lnTo>
                                    <a:lnTo>
                                      <a:pt x="328" y="106"/>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C2E6A" id="Freeform 4831" o:spid="_x0000_s1026" style="position:absolute;margin-left:-.25pt;margin-top:.35pt;width:39.5pt;height:2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wi0gwAAAlOAAAOAAAAZHJzL2Uyb0RvYy54bWzEXF1v28oRfS/Q/0DosUBjLalPI859yG2K&#10;AultgKToMyPJsVBJVCU5dvrre2Y5Iy1tzs6kENo8hLZ1NLtzdna+luTbX563m+L76nBcN7u7QXgz&#10;HBSr3aJZrnff7gZ///Lhj7NBcTzVu2W9aXaru8GP1XHwy7vf/+7t0/52VTYPzWa5OhQQsjvePu3v&#10;Bg+n0/725ua4eFht6+ObZr/a4cP75rCtT/j18O1meaifIH27uSmHw8nNU3NY7g/NYnU84q+/th8O&#10;3kX59/erxelv9/fH1anY3A0wt1P8/xD//0r/37x7W99+O9T7h/WCp1H/F7PY1usdBj2L+rU+1cXj&#10;Yf1K1Ha9ODTH5v70ZtFsb5r7+/ViFXWANmH4QpvPD/V+FXUBOcf9mabj9cQufvv+6VCsl1i70XxQ&#10;7OotFunDYbUiyovRrApE0dP+eAvk5/2nAyl53H9sFv88FrvmT8v16VOz3p0wpYi86UDplyO+VHx9&#10;+muzhOT68dREnp7vD1sSBQaK57gcP87LsXo+FQv8cTwMkzEWbYGPyulwHOJy3dS38uXF4/H051UT&#10;BdXfPx5P7Wou8VNciyXr8wVC7rcbLOwfbopqOCyeitFwxGt/BoUEFCaT4qEow+wlqExA5WzWL6lK&#10;QGFa9ksaJaASoN45jRNQmI36JU0SUDlWJE0TUJgO+yVhs555Kkej/jnBTM6gMFN4wlpdUGWlTCp0&#10;OAedvZyHDunlpH9aocO6KqtDe9BkdXjXbCGkxIe5pmOH+bGyhrC0C19hqhhW6HA/UiyrTLkPE8Xc&#10;yw73lcJ9mXIfKsUkyg73pWJdZcp9GCrclx3uK8W+ypT7qTatDvWlQn2ZUj/XRKXMa8RXHeJBae+e&#10;hku9LLXGe+XivUp518y06tA+VsyhSmnXdk+Vsq5aaZXSjm3Ru6mrlHXdk6a0a6JGKe2ltoKjlPaA&#10;INA7rVHKewVL7l3CUcp7gKPsl9UhXts7o5T4AE/ZL6vDfFBMa5QyHzQzHaXUh6HitygduPj5ucIX&#10;xecLSpvXuMP9XPE145T7UCncj1Puy6HC/bjD/UjxNeOU+zJosjrcTxS+xin3+rw63GuOa5xyXyJK&#10;9drEpMO9loxMUu6R0SiyUu7LoWJfk5T7gJ3WP6+U+1Kzr0nKfZho8+pwP1O4n6Tcq9nNpMu9Jivl&#10;PiCd6tVx2uF+rNjXNOU+wPX2y0q5D5qtTjvca3FjmnJfaXnENOVem1XKfKV51WmHeeQa/RqmzI80&#10;i5imzKspakq8lgvOUt6VOc1S1hVfM0s5nyvbcJZSrnnAWco4Rc5enmYp5xivN/jMOpRrCeUspRy7&#10;q19UyrgaL+Yp5ZrLmqeUq1twnpKueax5yrpaP81T2istm5ynvCME99I+T2kvtcAzT3lXFnCesq6W&#10;BPOUdsXBIENJIyvib+8KhmHKu2LqiPGpLM2LhmFKvDqvlPcwUiwrDFPitQwJRUA6Mc2NhmFKvbZ5&#10;wrBD/kxlLGVfFdYtYNXirlPBgthe+wqdCrZCztK/lp0SVouuIaQLUJXaAoR0AUKaQ6CD8k16JPWD&#10;tE0Wzzvum+Cnoqb+3TC2avbNkVo01ERBI+ZL2+apb4GiJosChsERuKL+CcbLg6EQgccuMCyGwFMX&#10;GBZB4LkLTEtOaKypZ9a0qBHuU5KWLcJ9alJzIcJ9ilL/IMJ9qlKLgOBoAnhUpS5AhPtUpUI/wn2q&#10;Ui0f4T5VqV6PcJ+qVJQTvO1kmrZIhXeE+1Sl4jrCfapSAR3hPlWpSI5wn6pUCBMcpa5nVanWjXCf&#10;qiNWFQWrSzqriprUBWdVUXZ64FR30txRWbrgrCqKRxecVUV96IKzqigBXXBWFVWeB05lHqmKQs4F&#10;Z1VRq7ngrCrKMRecVUXF5YKzqhOfqlRVkaqomzzSp6wqSiMXnFVF9eOCs6oocVxwVhVVjAc+Y1VR&#10;qrjgrCoqEhecVUXZ4YKzqigtXHBWdeZTleoHWlWUCB7pVCNEuE9VqgMi3Kcq5foR7lOVEvoI96ka&#10;s3bCU17uUTam5u0XfOoGHFzFGVGG7RuBNaYs2vcF1jkMnUpfEien0ufUCRmva0rn5AlZbfKFNppz&#10;2nrAYe/LY97DoMAx71f6Tn27r0+U7cqPxdPdgI4BiwccLyJ/or9vm++rL01EnCjprVi1MCl53Ati&#10;s8sj5XO57luJVPJgwcMkHkBCA/lcroJrdw1OInlk+VyuP4cr2fCtcUverReNZTy5tuP+PC6epar6&#10;4gig5QVOvV1hGU+uPC71SIi/aZ6Xkvo7hIOjzctz4jBeK8+YHwclnNbmx/XiYHkuPcbCn8HzWPgz&#10;5kfd+MizwZ8bx/Y8NeZHpxNx3QyeOR3FCXSeZy+Oc+0AO8zaC2f818PJ+lrjenHMs6mHE8fllqmv&#10;Gyf7yNCXa057XCcvIs/yG14cF+iWf8ZZSmvP2J9Zu3LjeN2wj3Py0HzkcfP73I+TcS15Tpz48ZGh&#10;B/xF9AeoVrP6unE8P+z3rDzxu1fDecd14sSPo7+R1UP8KZoy18GxXWGfZOWJn0Sr6So47hIFa1zu&#10;hAVLX85Bcc6cn5/ka2jdZPWgHjvFLcSbHI7rPhz0XwMmSQmcb25QOhWkuRmcSEpiLJlIQ1KeG5Qd&#10;kLG/nahWAcMHcLFm7VheKXNB20BlwbjpBnPPkRE4vbDm5oUxH4ZNcjMTKVp+bq3potGUh7WDGgUJ&#10;bhKLxmbCWnqNdD8wvUbWSLuOLNxIunEE38Ly28UNa0MTTDjLG913gLldCcZxzpLG4dXIAnEPR0uI&#10;oQLvLOz8nKYl+1TD3qTUM1TwwrhghSbZubGm0OSKMOr3eMTZOM6KDXmVRDfDK7lxfBBkRS3cCRft&#10;hHZGTt9KsmIj233dV5EqX67c3XjVf5HPF5vmuMJUXvdsxAFdQqzWs3mNFOlybWcRpLYxgjbF1xhn&#10;rWAgbFrRQFbbiHvSRMRtF9nV8eJ4t1stFml2Wq2O87DYqTnjiQf4lKYYW9mNkxQPra/suEKz4RuC&#10;FyclpDWumJWl70/j8j6OUl4yU9ykmOeF0wcqYbP8cdJC7v8qOD6YxA2ZeXlILaMe18JxK8scl0sv&#10;U18+uTP541LTXA+kVO26GfvIjWsTE3N+fCxn6suFAW5Yza+bG8fzw77L2hXdgUf2fDWcc1wkMO24&#10;hr7cerf4w/NsvL55fc8tJcNvuHESZI1ksTzj8vZXSslspYtSMiNBzq0vbiGOvOAm4SwunI84rPUQ&#10;eVfCSSvLmp8cSVhh2o3jpMw4SqIjELJTPAqU50+6CVZrUfoERp6PWzfbcS0cF0hWcklHUlEPIwl1&#10;46SFZsnjuICbwfP8/SwOrbmc3UsZihtz8ziOg9RjyMrjuEpp71VwHPcvibakzXLl9Jk7Aq9xehKP&#10;W9fjWovFain8ueDIq15xSLRS1Uq2stFvcOO46rS2XiUpN9oduaXBvfPtFjBCXTzXxpY3MlA3rB3V&#10;8FuihNHxq7hgNxq5Ly1AbEquXCC+sBP5VLcs7iMLz5phvYCJXLmyZXPikd+fbdZmsOJiuPXjxqK6&#10;QD4z4qaEYZSSFljhpd3RePjBMPHWwo1WHnKVGAvywpRV1K3jfPeDuEjNPiTXwINmuQ3Lqa7lwr0w&#10;DuSGo5d4asQNL4ybGkaUFA9rdH5kUCNnEUIMl+OESQJkNJu5jqC8JbemXpjYuyHNB3tlmOKJ5Np6&#10;JBWmmzweIWi3EtL2Vm3N5vGUTUQa+YMb1hqWcQCH9zXEQbGVc4si9zcZR1yl1Gz5RcFDQHFQw7tc&#10;ESWd+Py8vKjWvVuy/l8oib1iunLloMo2/D9EcTAxRnSiXKxyqZUPHtTPpSCXt0K6AyWGQmO5+UYA&#10;43waT3RFaSas3bxG+MPTrFEaKrfc5pVKx3C8gQs2I4PwwricNG4QpK5DXATDOpwwjljWoByxLE05&#10;FEFoll62XEwxB5N+kXG2JC4UXYqsNPa0Jozpzbt3PDQXVwG+ITfoz8LyvJ2lWbDWyI12XCWnQ0aI&#10;8uNk3xucSHw32rIVR7OAfD7Lscg75wviv+XKpZmKk1wENwPTPdnxCcHzzdl0T3fyXqdjs1kvP6w3&#10;Gzrqi68FW73fHIrvNV7oVS8Wq91pEu/c3jxu8Yqp9u+TIf6RDri5+nGLF4C1fx7JnzHEWVIcvDPI&#10;Jj7XuGtoUOGBROG1VO2zkvEdV/Raq/bFWF+b5Q+84govQcPbxR6aw78HxRNeKHY3OP7rsT6sBsXm&#10;Lzu8HmuOM1a481P8ZTSe0hngIf3ka/rJ7nH7voGKeLq33i0g9W5wkh/fn9oXmOENYmDt4+7zfkFA&#10;muP+cDx9ef5HfdgX9CO+hFn/1siLxOpbeU0WUX/GggN6U1erCP+C941FavjdaPRCs/T3iLq8we3d&#10;fwAAAP//AwBQSwMEFAAGAAgAAAAhAA2nyMDaAAAABAEAAA8AAABkcnMvZG93bnJldi54bWxMjsFO&#10;wzAQRO9I/IO1SNxah5bSErKpEDQSBw4l9APcZIkD8TqK3TT8PcsJjqMZvXnZdnKdGmkIrWeEm3kC&#10;irjydcsNwuG9mG1AhWi4Np1nQvimANv88iIzae3P/EZjGRslEA6pQbAx9qnWobLkTJj7nli6Dz84&#10;EyUOja4Hcxa46/QiSe60My3LgzU9PVmqvsqTQyjH3edr5Je9v2+LYrG3h/J5tUO8vpoeH0BFmuLf&#10;GH71RR1ycTr6E9dBdQizlQwR1qCkXG8kHRFul0vQeab/y+c/AAAA//8DAFBLAQItABQABgAIAAAA&#10;IQC2gziS/gAAAOEBAAATAAAAAAAAAAAAAAAAAAAAAABbQ29udGVudF9UeXBlc10ueG1sUEsBAi0A&#10;FAAGAAgAAAAhADj9If/WAAAAlAEAAAsAAAAAAAAAAAAAAAAALwEAAF9yZWxzLy5yZWxzUEsBAi0A&#10;FAAGAAgAAAAhAPVbnCLSDAAACU4AAA4AAAAAAAAAAAAAAAAALgIAAGRycy9lMm9Eb2MueG1sUEsB&#10;Ai0AFAAGAAgAAAAhAA2nyMDaAAAABAEAAA8AAAAAAAAAAAAAAAAALA8AAGRycy9kb3ducmV2Lnht&#10;bFBLBQYAAAAABAAEAPMAAAAzEAAAAAA=&#10;" path="m310,162r,l306,164r-6,2l300,166r-4,-2l290,162r,l290,168r-2,4l286,176r-4,4l282,180r-6,2l272,184r,l262,180r-4,-2l256,174r-4,-4l252,170r-2,8l248,182r-4,4l244,186r-6,2l234,188r,l232,188r,l230,188r,l228,188r,l226,188r-4,l222,188r,-12l222,176r-6,-10l208,158r,l200,156r-8,-2l192,154r-2,l190,154r-4,-8l178,142r,l170,138r-8,l162,138r-2,l160,138r-4,-8l148,124r,l142,122r-8,-2l134,120r-8,2l118,124r-6,6l106,136r-4,8l80,132r,l76,128r-2,-4l72,120r2,-6l92,46r,l94,42r4,-4l102,36r4,l140,34r-2,4l138,38r-4,8l132,52r,8l134,66r,l136,72r4,6l144,84r6,4l150,88r8,4l168,92r,l178,92r8,-4l194,82r4,-8l212,52r76,40l288,92r2,2l294,98r,l294,100r,l296,100r22,36l318,136r2,8l320,150r-4,8l310,162r,xm134,132r,l128,132r-4,2l120,138r-2,4l102,170r,l98,176r2,8l102,190r6,4l108,194r4,2l118,198r,l122,196r6,-2l128,194r,4l130,204r2,4l138,212r,l142,214r4,l146,214r6,l156,212r4,-4l162,204r4,-4l166,200r2,8l170,212r4,4l174,216r4,2l184,218r,l188,218r4,-2l196,212r4,-4l208,194r,l210,188r,-8l206,174r-4,-6l202,168r-6,-2l192,166r,l186,168r-4,2l182,170r-2,-6l180,160r-4,-4l172,152r,l168,150r-6,l162,150r-6,l152,152r,l152,148r-2,-6l146,138r-4,-4l142,134r-4,-2l134,132xm378,l316,18r50,166l386,178r,l394,160r4,-20l402,118r2,-22l404,96,402,70,398,46,390,22,378,r,xm26,r,l14,22,6,46,2,70,,96r,l2,118r4,22l10,160r8,18l40,184,88,18,26,xm90,164r6,-10l74,142r,l70,138r-2,4l68,142r-4,8l66,158r2,6l74,170r,l80,172r4,l84,172r4,l88,172r2,-8l90,164xm328,106l306,34r,l304,30r-4,-4l296,24r-4,-2l230,8r,l230,8,194,2r,l192,2r,l192,2r,l192,r-2,l190,r,l188,r,l182,2r-6,2l170,8r-4,4l148,44r,l144,54r2,8l150,72r6,6l156,78r6,2l168,80r,l174,80r6,-2l184,74r4,-6l208,36r84,46l292,82r6,4l304,90r,l304,94r,l306,94r18,30l324,124r2,-4l328,116r2,-6l328,106r,xe" fillcolor="#fabf8f [1945]" stroked="f">
                      <v:path arrowok="t" o:connecttype="custom" o:connectlocs="372512,205985;357612,213430;337745,228320;312910,210948;302977,230802;288076,233284;280626,233284;268209,205985;238408,191094;221024,176204;198673,171240;166389,148905;131621,168759;91886,153868;116721,52117;171356,47153;166389,81898;186256,109197;221024,114160;357612,114160;365062,124087;397347,178686;166389,163795;146522,176204;126654,235766;146522,245693;161422,253138;181289,265547;201157,253138;216057,268028;233441,270510;258275,240729;250825,208466;225991,210948;213574,188612;193706,186131;181289,171240;469366,0;489233,198539;499167,86861;32284,0;0,119124;22351,220875;119204,191094;84436,176204;91886,210948;109270,213430;379963,42190;285593,9927;238408,2482;235925,0;225991,2482;183773,54598;193706,96788;223507,96788;362579,101751;377479,116642;407280,143941" o:connectangles="0,0,0,0,0,0,0,0,0,0,0,0,0,0,0,0,0,0,0,0,0,0,0,0,0,0,0,0,0,0,0,0,0,0,0,0,0,0,0,0,0,0,0,0,0,0,0,0,0,0,0,0,0,0,0,0,0,0"/>
                      <o:lock v:ext="edit" verticies="t"/>
                    </v:shape>
                  </w:pict>
                </mc:Fallback>
              </mc:AlternateContent>
            </w:r>
          </w:p>
        </w:tc>
        <w:tc>
          <w:tcPr>
            <w:tcW w:w="1559" w:type="dxa"/>
            <w:tcBorders>
              <w:top w:val="single" w:sz="4" w:space="0" w:color="A6A6A6" w:themeColor="background1" w:themeShade="A6"/>
              <w:bottom w:val="single" w:sz="4" w:space="0" w:color="A6A6A6" w:themeColor="background1" w:themeShade="A6"/>
            </w:tcBorders>
          </w:tcPr>
          <w:p w14:paraId="7F62BF7E" w14:textId="77777777" w:rsidR="00391C97" w:rsidRPr="007E5633" w:rsidRDefault="00391C97" w:rsidP="000A7BA9">
            <w:pPr>
              <w:pStyle w:val="af4"/>
              <w:rPr>
                <w:b/>
                <w:szCs w:val="20"/>
                <w:lang w:val="uk-UA"/>
              </w:rPr>
            </w:pPr>
            <w:r w:rsidRPr="007E5633">
              <w:rPr>
                <w:b/>
                <w:szCs w:val="20"/>
                <w:lang w:val="uk-UA"/>
              </w:rPr>
              <w:t>Орган управління</w:t>
            </w:r>
          </w:p>
        </w:tc>
        <w:tc>
          <w:tcPr>
            <w:tcW w:w="4253" w:type="dxa"/>
            <w:tcBorders>
              <w:top w:val="single" w:sz="4" w:space="0" w:color="A6A6A6" w:themeColor="background1" w:themeShade="A6"/>
              <w:bottom w:val="single" w:sz="4" w:space="0" w:color="A6A6A6" w:themeColor="background1" w:themeShade="A6"/>
            </w:tcBorders>
          </w:tcPr>
          <w:p w14:paraId="0A594EF2" w14:textId="77777777" w:rsidR="00391C97" w:rsidRPr="007E5633" w:rsidRDefault="00391C97" w:rsidP="000A7BA9">
            <w:pPr>
              <w:pStyle w:val="af4"/>
              <w:rPr>
                <w:szCs w:val="20"/>
                <w:lang w:val="uk-UA"/>
              </w:rPr>
            </w:pPr>
            <w:r w:rsidRPr="007E5633">
              <w:rPr>
                <w:szCs w:val="20"/>
                <w:lang w:val="uk-UA"/>
              </w:rPr>
              <w:t>Для членів органу управління та осіб, які фактично керують бізнесом: особисті дані (ім'я, дата і місце народження, особистий національний ідентифікаційний номер, контактні дані), посада, біографічні дані, документація, що стосується репутації та досвіду особи, рекомендаційні листи, кримінальні справи та інформація про кримінальні розслідування та судові розгляди, по роках і місяцях перелік керівних та некерівних посад</w:t>
            </w:r>
          </w:p>
        </w:tc>
        <w:tc>
          <w:tcPr>
            <w:tcW w:w="3969" w:type="dxa"/>
            <w:tcBorders>
              <w:top w:val="single" w:sz="4" w:space="0" w:color="A6A6A6" w:themeColor="background1" w:themeShade="A6"/>
              <w:bottom w:val="single" w:sz="4" w:space="0" w:color="A6A6A6" w:themeColor="background1" w:themeShade="A6"/>
            </w:tcBorders>
          </w:tcPr>
          <w:p w14:paraId="1F364B4B" w14:textId="77777777" w:rsidR="00391C97" w:rsidRPr="007E5633" w:rsidRDefault="00391C97" w:rsidP="000A7BA9">
            <w:pPr>
              <w:pStyle w:val="af4"/>
              <w:rPr>
                <w:szCs w:val="20"/>
                <w:lang w:val="uk-UA"/>
              </w:rPr>
            </w:pPr>
            <w:r w:rsidRPr="007E5633">
              <w:rPr>
                <w:szCs w:val="20"/>
                <w:lang w:val="uk-UA"/>
              </w:rPr>
              <w:t>for members of the management body and persons effectively directing the business: personal details (name, date and place of birth, personal national identification number, contact data), appointed position, curriculum vitae, documentation relating to person's reputation and experience, letters of recommendation,  criminal records and information on criminal investigations and proceedings, annual and monthly time indications, list of executive and non-executive positions held</w:t>
            </w:r>
          </w:p>
        </w:tc>
      </w:tr>
      <w:tr w:rsidR="00391C97" w:rsidRPr="007E5633" w14:paraId="64EDA0C8" w14:textId="77777777" w:rsidTr="00B83D6C">
        <w:tc>
          <w:tcPr>
            <w:tcW w:w="959" w:type="dxa"/>
            <w:tcBorders>
              <w:top w:val="single" w:sz="4" w:space="0" w:color="A6A6A6" w:themeColor="background1" w:themeShade="A6"/>
              <w:bottom w:val="single" w:sz="4" w:space="0" w:color="A6A6A6" w:themeColor="background1" w:themeShade="A6"/>
            </w:tcBorders>
          </w:tcPr>
          <w:p w14:paraId="10828F74" w14:textId="77777777" w:rsidR="00391C97" w:rsidRPr="007E5633" w:rsidRDefault="008C252E" w:rsidP="000A7BA9">
            <w:pPr>
              <w:pStyle w:val="af4"/>
              <w:rPr>
                <w:szCs w:val="20"/>
                <w:lang w:val="uk-UA"/>
              </w:rPr>
            </w:pPr>
            <w:r>
              <w:rPr>
                <w:noProof/>
                <w:szCs w:val="20"/>
                <w:lang w:val="en-US"/>
              </w:rPr>
              <mc:AlternateContent>
                <mc:Choice Requires="wps">
                  <w:drawing>
                    <wp:anchor distT="0" distB="0" distL="114300" distR="114300" simplePos="0" relativeHeight="251720704" behindDoc="0" locked="0" layoutInCell="1" allowOverlap="1" wp14:anchorId="3C68FE8B" wp14:editId="22F9EEA5">
                      <wp:simplePos x="0" y="0"/>
                      <wp:positionH relativeFrom="column">
                        <wp:posOffset>-3175</wp:posOffset>
                      </wp:positionH>
                      <wp:positionV relativeFrom="paragraph">
                        <wp:posOffset>635</wp:posOffset>
                      </wp:positionV>
                      <wp:extent cx="433705" cy="337185"/>
                      <wp:effectExtent l="0" t="0" r="4445" b="5715"/>
                      <wp:wrapNone/>
                      <wp:docPr id="257" name="Freeform 49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3705" cy="337185"/>
                              </a:xfrm>
                              <a:custGeom>
                                <a:avLst/>
                                <a:gdLst>
                                  <a:gd name="T0" fmla="*/ 348 w 360"/>
                                  <a:gd name="T1" fmla="*/ 0 h 280"/>
                                  <a:gd name="T2" fmla="*/ 8 w 360"/>
                                  <a:gd name="T3" fmla="*/ 0 h 280"/>
                                  <a:gd name="T4" fmla="*/ 0 w 360"/>
                                  <a:gd name="T5" fmla="*/ 8 h 280"/>
                                  <a:gd name="T6" fmla="*/ 8 w 360"/>
                                  <a:gd name="T7" fmla="*/ 242 h 280"/>
                                  <a:gd name="T8" fmla="*/ 180 w 360"/>
                                  <a:gd name="T9" fmla="*/ 280 h 280"/>
                                  <a:gd name="T10" fmla="*/ 358 w 360"/>
                                  <a:gd name="T11" fmla="*/ 238 h 280"/>
                                  <a:gd name="T12" fmla="*/ 360 w 360"/>
                                  <a:gd name="T13" fmla="*/ 4 h 280"/>
                                  <a:gd name="T14" fmla="*/ 20 w 360"/>
                                  <a:gd name="T15" fmla="*/ 224 h 280"/>
                                  <a:gd name="T16" fmla="*/ 200 w 360"/>
                                  <a:gd name="T17" fmla="*/ 54 h 280"/>
                                  <a:gd name="T18" fmla="*/ 334 w 360"/>
                                  <a:gd name="T19" fmla="*/ 26 h 280"/>
                                  <a:gd name="T20" fmla="*/ 338 w 360"/>
                                  <a:gd name="T21" fmla="*/ 36 h 280"/>
                                  <a:gd name="T22" fmla="*/ 204 w 360"/>
                                  <a:gd name="T23" fmla="*/ 72 h 280"/>
                                  <a:gd name="T24" fmla="*/ 196 w 360"/>
                                  <a:gd name="T25" fmla="*/ 72 h 280"/>
                                  <a:gd name="T26" fmla="*/ 194 w 360"/>
                                  <a:gd name="T27" fmla="*/ 58 h 280"/>
                                  <a:gd name="T28" fmla="*/ 200 w 360"/>
                                  <a:gd name="T29" fmla="*/ 90 h 280"/>
                                  <a:gd name="T30" fmla="*/ 270 w 360"/>
                                  <a:gd name="T31" fmla="*/ 76 h 280"/>
                                  <a:gd name="T32" fmla="*/ 274 w 360"/>
                                  <a:gd name="T33" fmla="*/ 86 h 280"/>
                                  <a:gd name="T34" fmla="*/ 204 w 360"/>
                                  <a:gd name="T35" fmla="*/ 108 h 280"/>
                                  <a:gd name="T36" fmla="*/ 196 w 360"/>
                                  <a:gd name="T37" fmla="*/ 106 h 280"/>
                                  <a:gd name="T38" fmla="*/ 194 w 360"/>
                                  <a:gd name="T39" fmla="*/ 94 h 280"/>
                                  <a:gd name="T40" fmla="*/ 340 w 360"/>
                                  <a:gd name="T41" fmla="*/ 168 h 280"/>
                                  <a:gd name="T42" fmla="*/ 336 w 360"/>
                                  <a:gd name="T43" fmla="*/ 174 h 280"/>
                                  <a:gd name="T44" fmla="*/ 326 w 360"/>
                                  <a:gd name="T45" fmla="*/ 172 h 280"/>
                                  <a:gd name="T46" fmla="*/ 284 w 360"/>
                                  <a:gd name="T47" fmla="*/ 192 h 280"/>
                                  <a:gd name="T48" fmla="*/ 210 w 360"/>
                                  <a:gd name="T49" fmla="*/ 242 h 280"/>
                                  <a:gd name="T50" fmla="*/ 196 w 360"/>
                                  <a:gd name="T51" fmla="*/ 246 h 280"/>
                                  <a:gd name="T52" fmla="*/ 192 w 360"/>
                                  <a:gd name="T53" fmla="*/ 236 h 280"/>
                                  <a:gd name="T54" fmla="*/ 234 w 360"/>
                                  <a:gd name="T55" fmla="*/ 156 h 280"/>
                                  <a:gd name="T56" fmla="*/ 280 w 360"/>
                                  <a:gd name="T57" fmla="*/ 170 h 280"/>
                                  <a:gd name="T58" fmla="*/ 290 w 360"/>
                                  <a:gd name="T59" fmla="*/ 134 h 280"/>
                                  <a:gd name="T60" fmla="*/ 298 w 360"/>
                                  <a:gd name="T61" fmla="*/ 124 h 280"/>
                                  <a:gd name="T62" fmla="*/ 336 w 360"/>
                                  <a:gd name="T63" fmla="*/ 124 h 280"/>
                                  <a:gd name="T64" fmla="*/ 340 w 360"/>
                                  <a:gd name="T65" fmla="*/ 168 h 280"/>
                                  <a:gd name="T66" fmla="*/ 46 w 360"/>
                                  <a:gd name="T67" fmla="*/ 68 h 280"/>
                                  <a:gd name="T68" fmla="*/ 38 w 360"/>
                                  <a:gd name="T69" fmla="*/ 60 h 280"/>
                                  <a:gd name="T70" fmla="*/ 42 w 360"/>
                                  <a:gd name="T71" fmla="*/ 50 h 280"/>
                                  <a:gd name="T72" fmla="*/ 140 w 360"/>
                                  <a:gd name="T73" fmla="*/ 68 h 280"/>
                                  <a:gd name="T74" fmla="*/ 148 w 360"/>
                                  <a:gd name="T75" fmla="*/ 80 h 280"/>
                                  <a:gd name="T76" fmla="*/ 138 w 360"/>
                                  <a:gd name="T77" fmla="*/ 88 h 280"/>
                                  <a:gd name="T78" fmla="*/ 70 w 360"/>
                                  <a:gd name="T79" fmla="*/ 126 h 280"/>
                                  <a:gd name="T80" fmla="*/ 44 w 360"/>
                                  <a:gd name="T81" fmla="*/ 142 h 280"/>
                                  <a:gd name="T82" fmla="*/ 38 w 360"/>
                                  <a:gd name="T83" fmla="*/ 168 h 280"/>
                                  <a:gd name="T84" fmla="*/ 50 w 360"/>
                                  <a:gd name="T85" fmla="*/ 202 h 280"/>
                                  <a:gd name="T86" fmla="*/ 78 w 360"/>
                                  <a:gd name="T87" fmla="*/ 218 h 280"/>
                                  <a:gd name="T88" fmla="*/ 98 w 360"/>
                                  <a:gd name="T89" fmla="*/ 212 h 280"/>
                                  <a:gd name="T90" fmla="*/ 116 w 360"/>
                                  <a:gd name="T91" fmla="*/ 186 h 280"/>
                                  <a:gd name="T92" fmla="*/ 128 w 360"/>
                                  <a:gd name="T93" fmla="*/ 166 h 280"/>
                                  <a:gd name="T94" fmla="*/ 116 w 360"/>
                                  <a:gd name="T95" fmla="*/ 132 h 280"/>
                                  <a:gd name="T96" fmla="*/ 88 w 360"/>
                                  <a:gd name="T97" fmla="*/ 11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280">
                                    <a:moveTo>
                                      <a:pt x="356" y="2"/>
                                    </a:moveTo>
                                    <a:lnTo>
                                      <a:pt x="356" y="2"/>
                                    </a:lnTo>
                                    <a:lnTo>
                                      <a:pt x="352" y="0"/>
                                    </a:lnTo>
                                    <a:lnTo>
                                      <a:pt x="348" y="0"/>
                                    </a:lnTo>
                                    <a:lnTo>
                                      <a:pt x="180" y="38"/>
                                    </a:lnTo>
                                    <a:lnTo>
                                      <a:pt x="12" y="0"/>
                                    </a:lnTo>
                                    <a:lnTo>
                                      <a:pt x="12" y="0"/>
                                    </a:lnTo>
                                    <a:lnTo>
                                      <a:pt x="8" y="0"/>
                                    </a:lnTo>
                                    <a:lnTo>
                                      <a:pt x="4" y="2"/>
                                    </a:lnTo>
                                    <a:lnTo>
                                      <a:pt x="4" y="2"/>
                                    </a:lnTo>
                                    <a:lnTo>
                                      <a:pt x="0" y="4"/>
                                    </a:lnTo>
                                    <a:lnTo>
                                      <a:pt x="0" y="8"/>
                                    </a:lnTo>
                                    <a:lnTo>
                                      <a:pt x="0" y="232"/>
                                    </a:lnTo>
                                    <a:lnTo>
                                      <a:pt x="0" y="232"/>
                                    </a:lnTo>
                                    <a:lnTo>
                                      <a:pt x="2" y="238"/>
                                    </a:lnTo>
                                    <a:lnTo>
                                      <a:pt x="8" y="242"/>
                                    </a:lnTo>
                                    <a:lnTo>
                                      <a:pt x="178" y="280"/>
                                    </a:lnTo>
                                    <a:lnTo>
                                      <a:pt x="178" y="280"/>
                                    </a:lnTo>
                                    <a:lnTo>
                                      <a:pt x="180" y="280"/>
                                    </a:lnTo>
                                    <a:lnTo>
                                      <a:pt x="180" y="280"/>
                                    </a:lnTo>
                                    <a:lnTo>
                                      <a:pt x="182" y="280"/>
                                    </a:lnTo>
                                    <a:lnTo>
                                      <a:pt x="352" y="242"/>
                                    </a:lnTo>
                                    <a:lnTo>
                                      <a:pt x="352" y="242"/>
                                    </a:lnTo>
                                    <a:lnTo>
                                      <a:pt x="358" y="238"/>
                                    </a:lnTo>
                                    <a:lnTo>
                                      <a:pt x="360" y="232"/>
                                    </a:lnTo>
                                    <a:lnTo>
                                      <a:pt x="360" y="8"/>
                                    </a:lnTo>
                                    <a:lnTo>
                                      <a:pt x="360" y="8"/>
                                    </a:lnTo>
                                    <a:lnTo>
                                      <a:pt x="360" y="4"/>
                                    </a:lnTo>
                                    <a:lnTo>
                                      <a:pt x="356" y="2"/>
                                    </a:lnTo>
                                    <a:lnTo>
                                      <a:pt x="356" y="2"/>
                                    </a:lnTo>
                                    <a:close/>
                                    <a:moveTo>
                                      <a:pt x="170" y="258"/>
                                    </a:moveTo>
                                    <a:lnTo>
                                      <a:pt x="20" y="224"/>
                                    </a:lnTo>
                                    <a:lnTo>
                                      <a:pt x="20" y="22"/>
                                    </a:lnTo>
                                    <a:lnTo>
                                      <a:pt x="170" y="56"/>
                                    </a:lnTo>
                                    <a:lnTo>
                                      <a:pt x="170" y="258"/>
                                    </a:lnTo>
                                    <a:close/>
                                    <a:moveTo>
                                      <a:pt x="200" y="54"/>
                                    </a:moveTo>
                                    <a:lnTo>
                                      <a:pt x="326" y="24"/>
                                    </a:lnTo>
                                    <a:lnTo>
                                      <a:pt x="326" y="24"/>
                                    </a:lnTo>
                                    <a:lnTo>
                                      <a:pt x="330" y="24"/>
                                    </a:lnTo>
                                    <a:lnTo>
                                      <a:pt x="334" y="26"/>
                                    </a:lnTo>
                                    <a:lnTo>
                                      <a:pt x="336" y="28"/>
                                    </a:lnTo>
                                    <a:lnTo>
                                      <a:pt x="338" y="32"/>
                                    </a:lnTo>
                                    <a:lnTo>
                                      <a:pt x="338" y="32"/>
                                    </a:lnTo>
                                    <a:lnTo>
                                      <a:pt x="338" y="36"/>
                                    </a:lnTo>
                                    <a:lnTo>
                                      <a:pt x="336" y="40"/>
                                    </a:lnTo>
                                    <a:lnTo>
                                      <a:pt x="334" y="42"/>
                                    </a:lnTo>
                                    <a:lnTo>
                                      <a:pt x="330" y="44"/>
                                    </a:lnTo>
                                    <a:lnTo>
                                      <a:pt x="204" y="72"/>
                                    </a:lnTo>
                                    <a:lnTo>
                                      <a:pt x="204" y="72"/>
                                    </a:lnTo>
                                    <a:lnTo>
                                      <a:pt x="202" y="74"/>
                                    </a:lnTo>
                                    <a:lnTo>
                                      <a:pt x="202" y="74"/>
                                    </a:lnTo>
                                    <a:lnTo>
                                      <a:pt x="196" y="72"/>
                                    </a:lnTo>
                                    <a:lnTo>
                                      <a:pt x="192" y="66"/>
                                    </a:lnTo>
                                    <a:lnTo>
                                      <a:pt x="192" y="66"/>
                                    </a:lnTo>
                                    <a:lnTo>
                                      <a:pt x="192" y="62"/>
                                    </a:lnTo>
                                    <a:lnTo>
                                      <a:pt x="194" y="58"/>
                                    </a:lnTo>
                                    <a:lnTo>
                                      <a:pt x="196" y="56"/>
                                    </a:lnTo>
                                    <a:lnTo>
                                      <a:pt x="200" y="54"/>
                                    </a:lnTo>
                                    <a:lnTo>
                                      <a:pt x="200" y="54"/>
                                    </a:lnTo>
                                    <a:close/>
                                    <a:moveTo>
                                      <a:pt x="200" y="90"/>
                                    </a:moveTo>
                                    <a:lnTo>
                                      <a:pt x="262" y="74"/>
                                    </a:lnTo>
                                    <a:lnTo>
                                      <a:pt x="262" y="74"/>
                                    </a:lnTo>
                                    <a:lnTo>
                                      <a:pt x="266" y="74"/>
                                    </a:lnTo>
                                    <a:lnTo>
                                      <a:pt x="270" y="76"/>
                                    </a:lnTo>
                                    <a:lnTo>
                                      <a:pt x="274" y="78"/>
                                    </a:lnTo>
                                    <a:lnTo>
                                      <a:pt x="274" y="82"/>
                                    </a:lnTo>
                                    <a:lnTo>
                                      <a:pt x="274" y="82"/>
                                    </a:lnTo>
                                    <a:lnTo>
                                      <a:pt x="274" y="86"/>
                                    </a:lnTo>
                                    <a:lnTo>
                                      <a:pt x="274" y="90"/>
                                    </a:lnTo>
                                    <a:lnTo>
                                      <a:pt x="270" y="92"/>
                                    </a:lnTo>
                                    <a:lnTo>
                                      <a:pt x="268" y="94"/>
                                    </a:lnTo>
                                    <a:lnTo>
                                      <a:pt x="204" y="108"/>
                                    </a:lnTo>
                                    <a:lnTo>
                                      <a:pt x="204" y="108"/>
                                    </a:lnTo>
                                    <a:lnTo>
                                      <a:pt x="202" y="108"/>
                                    </a:lnTo>
                                    <a:lnTo>
                                      <a:pt x="202" y="108"/>
                                    </a:lnTo>
                                    <a:lnTo>
                                      <a:pt x="196" y="106"/>
                                    </a:lnTo>
                                    <a:lnTo>
                                      <a:pt x="192" y="102"/>
                                    </a:lnTo>
                                    <a:lnTo>
                                      <a:pt x="192" y="102"/>
                                    </a:lnTo>
                                    <a:lnTo>
                                      <a:pt x="192" y="98"/>
                                    </a:lnTo>
                                    <a:lnTo>
                                      <a:pt x="194" y="94"/>
                                    </a:lnTo>
                                    <a:lnTo>
                                      <a:pt x="196" y="90"/>
                                    </a:lnTo>
                                    <a:lnTo>
                                      <a:pt x="200" y="90"/>
                                    </a:lnTo>
                                    <a:lnTo>
                                      <a:pt x="200" y="90"/>
                                    </a:lnTo>
                                    <a:close/>
                                    <a:moveTo>
                                      <a:pt x="340" y="168"/>
                                    </a:moveTo>
                                    <a:lnTo>
                                      <a:pt x="340" y="168"/>
                                    </a:lnTo>
                                    <a:lnTo>
                                      <a:pt x="340" y="172"/>
                                    </a:lnTo>
                                    <a:lnTo>
                                      <a:pt x="336" y="174"/>
                                    </a:lnTo>
                                    <a:lnTo>
                                      <a:pt x="336" y="174"/>
                                    </a:lnTo>
                                    <a:lnTo>
                                      <a:pt x="332" y="176"/>
                                    </a:lnTo>
                                    <a:lnTo>
                                      <a:pt x="332" y="176"/>
                                    </a:lnTo>
                                    <a:lnTo>
                                      <a:pt x="330" y="174"/>
                                    </a:lnTo>
                                    <a:lnTo>
                                      <a:pt x="326" y="172"/>
                                    </a:lnTo>
                                    <a:lnTo>
                                      <a:pt x="316" y="162"/>
                                    </a:lnTo>
                                    <a:lnTo>
                                      <a:pt x="288" y="190"/>
                                    </a:lnTo>
                                    <a:lnTo>
                                      <a:pt x="288" y="190"/>
                                    </a:lnTo>
                                    <a:lnTo>
                                      <a:pt x="284" y="192"/>
                                    </a:lnTo>
                                    <a:lnTo>
                                      <a:pt x="278" y="192"/>
                                    </a:lnTo>
                                    <a:lnTo>
                                      <a:pt x="246" y="178"/>
                                    </a:lnTo>
                                    <a:lnTo>
                                      <a:pt x="210" y="242"/>
                                    </a:lnTo>
                                    <a:lnTo>
                                      <a:pt x="210" y="242"/>
                                    </a:lnTo>
                                    <a:lnTo>
                                      <a:pt x="206" y="246"/>
                                    </a:lnTo>
                                    <a:lnTo>
                                      <a:pt x="200" y="248"/>
                                    </a:lnTo>
                                    <a:lnTo>
                                      <a:pt x="200" y="248"/>
                                    </a:lnTo>
                                    <a:lnTo>
                                      <a:pt x="196" y="246"/>
                                    </a:lnTo>
                                    <a:lnTo>
                                      <a:pt x="196" y="246"/>
                                    </a:lnTo>
                                    <a:lnTo>
                                      <a:pt x="194" y="244"/>
                                    </a:lnTo>
                                    <a:lnTo>
                                      <a:pt x="192" y="240"/>
                                    </a:lnTo>
                                    <a:lnTo>
                                      <a:pt x="192" y="236"/>
                                    </a:lnTo>
                                    <a:lnTo>
                                      <a:pt x="192" y="234"/>
                                    </a:lnTo>
                                    <a:lnTo>
                                      <a:pt x="232" y="160"/>
                                    </a:lnTo>
                                    <a:lnTo>
                                      <a:pt x="232" y="160"/>
                                    </a:lnTo>
                                    <a:lnTo>
                                      <a:pt x="234" y="156"/>
                                    </a:lnTo>
                                    <a:lnTo>
                                      <a:pt x="238" y="154"/>
                                    </a:lnTo>
                                    <a:lnTo>
                                      <a:pt x="242" y="154"/>
                                    </a:lnTo>
                                    <a:lnTo>
                                      <a:pt x="246" y="154"/>
                                    </a:lnTo>
                                    <a:lnTo>
                                      <a:pt x="280" y="170"/>
                                    </a:lnTo>
                                    <a:lnTo>
                                      <a:pt x="302" y="148"/>
                                    </a:lnTo>
                                    <a:lnTo>
                                      <a:pt x="292" y="138"/>
                                    </a:lnTo>
                                    <a:lnTo>
                                      <a:pt x="292" y="138"/>
                                    </a:lnTo>
                                    <a:lnTo>
                                      <a:pt x="290" y="134"/>
                                    </a:lnTo>
                                    <a:lnTo>
                                      <a:pt x="290" y="128"/>
                                    </a:lnTo>
                                    <a:lnTo>
                                      <a:pt x="290" y="128"/>
                                    </a:lnTo>
                                    <a:lnTo>
                                      <a:pt x="292" y="126"/>
                                    </a:lnTo>
                                    <a:lnTo>
                                      <a:pt x="298" y="124"/>
                                    </a:lnTo>
                                    <a:lnTo>
                                      <a:pt x="298" y="124"/>
                                    </a:lnTo>
                                    <a:lnTo>
                                      <a:pt x="332" y="124"/>
                                    </a:lnTo>
                                    <a:lnTo>
                                      <a:pt x="332" y="124"/>
                                    </a:lnTo>
                                    <a:lnTo>
                                      <a:pt x="336" y="124"/>
                                    </a:lnTo>
                                    <a:lnTo>
                                      <a:pt x="338" y="126"/>
                                    </a:lnTo>
                                    <a:lnTo>
                                      <a:pt x="340" y="128"/>
                                    </a:lnTo>
                                    <a:lnTo>
                                      <a:pt x="340" y="132"/>
                                    </a:lnTo>
                                    <a:lnTo>
                                      <a:pt x="340" y="168"/>
                                    </a:lnTo>
                                    <a:close/>
                                    <a:moveTo>
                                      <a:pt x="138" y="88"/>
                                    </a:moveTo>
                                    <a:lnTo>
                                      <a:pt x="138" y="88"/>
                                    </a:lnTo>
                                    <a:lnTo>
                                      <a:pt x="136" y="88"/>
                                    </a:lnTo>
                                    <a:lnTo>
                                      <a:pt x="46" y="68"/>
                                    </a:lnTo>
                                    <a:lnTo>
                                      <a:pt x="46" y="68"/>
                                    </a:lnTo>
                                    <a:lnTo>
                                      <a:pt x="42" y="66"/>
                                    </a:lnTo>
                                    <a:lnTo>
                                      <a:pt x="40" y="62"/>
                                    </a:lnTo>
                                    <a:lnTo>
                                      <a:pt x="38" y="60"/>
                                    </a:lnTo>
                                    <a:lnTo>
                                      <a:pt x="38" y="56"/>
                                    </a:lnTo>
                                    <a:lnTo>
                                      <a:pt x="38" y="56"/>
                                    </a:lnTo>
                                    <a:lnTo>
                                      <a:pt x="40" y="52"/>
                                    </a:lnTo>
                                    <a:lnTo>
                                      <a:pt x="42" y="50"/>
                                    </a:lnTo>
                                    <a:lnTo>
                                      <a:pt x="46" y="48"/>
                                    </a:lnTo>
                                    <a:lnTo>
                                      <a:pt x="50" y="48"/>
                                    </a:lnTo>
                                    <a:lnTo>
                                      <a:pt x="140" y="68"/>
                                    </a:lnTo>
                                    <a:lnTo>
                                      <a:pt x="140" y="68"/>
                                    </a:lnTo>
                                    <a:lnTo>
                                      <a:pt x="144" y="70"/>
                                    </a:lnTo>
                                    <a:lnTo>
                                      <a:pt x="146" y="72"/>
                                    </a:lnTo>
                                    <a:lnTo>
                                      <a:pt x="148" y="76"/>
                                    </a:lnTo>
                                    <a:lnTo>
                                      <a:pt x="148" y="80"/>
                                    </a:lnTo>
                                    <a:lnTo>
                                      <a:pt x="148" y="80"/>
                                    </a:lnTo>
                                    <a:lnTo>
                                      <a:pt x="144" y="86"/>
                                    </a:lnTo>
                                    <a:lnTo>
                                      <a:pt x="138" y="88"/>
                                    </a:lnTo>
                                    <a:lnTo>
                                      <a:pt x="138" y="88"/>
                                    </a:lnTo>
                                    <a:close/>
                                    <a:moveTo>
                                      <a:pt x="78" y="172"/>
                                    </a:moveTo>
                                    <a:lnTo>
                                      <a:pt x="78" y="126"/>
                                    </a:lnTo>
                                    <a:lnTo>
                                      <a:pt x="78" y="126"/>
                                    </a:lnTo>
                                    <a:lnTo>
                                      <a:pt x="70" y="126"/>
                                    </a:lnTo>
                                    <a:lnTo>
                                      <a:pt x="62" y="128"/>
                                    </a:lnTo>
                                    <a:lnTo>
                                      <a:pt x="56" y="132"/>
                                    </a:lnTo>
                                    <a:lnTo>
                                      <a:pt x="50" y="136"/>
                                    </a:lnTo>
                                    <a:lnTo>
                                      <a:pt x="44" y="142"/>
                                    </a:lnTo>
                                    <a:lnTo>
                                      <a:pt x="42" y="150"/>
                                    </a:lnTo>
                                    <a:lnTo>
                                      <a:pt x="40" y="158"/>
                                    </a:lnTo>
                                    <a:lnTo>
                                      <a:pt x="38" y="168"/>
                                    </a:lnTo>
                                    <a:lnTo>
                                      <a:pt x="38" y="168"/>
                                    </a:lnTo>
                                    <a:lnTo>
                                      <a:pt x="40" y="176"/>
                                    </a:lnTo>
                                    <a:lnTo>
                                      <a:pt x="42" y="186"/>
                                    </a:lnTo>
                                    <a:lnTo>
                                      <a:pt x="44" y="194"/>
                                    </a:lnTo>
                                    <a:lnTo>
                                      <a:pt x="50" y="202"/>
                                    </a:lnTo>
                                    <a:lnTo>
                                      <a:pt x="56" y="208"/>
                                    </a:lnTo>
                                    <a:lnTo>
                                      <a:pt x="62" y="212"/>
                                    </a:lnTo>
                                    <a:lnTo>
                                      <a:pt x="70" y="216"/>
                                    </a:lnTo>
                                    <a:lnTo>
                                      <a:pt x="78" y="218"/>
                                    </a:lnTo>
                                    <a:lnTo>
                                      <a:pt x="78" y="218"/>
                                    </a:lnTo>
                                    <a:lnTo>
                                      <a:pt x="84" y="218"/>
                                    </a:lnTo>
                                    <a:lnTo>
                                      <a:pt x="92" y="216"/>
                                    </a:lnTo>
                                    <a:lnTo>
                                      <a:pt x="98" y="212"/>
                                    </a:lnTo>
                                    <a:lnTo>
                                      <a:pt x="104" y="208"/>
                                    </a:lnTo>
                                    <a:lnTo>
                                      <a:pt x="110" y="202"/>
                                    </a:lnTo>
                                    <a:lnTo>
                                      <a:pt x="114" y="194"/>
                                    </a:lnTo>
                                    <a:lnTo>
                                      <a:pt x="116" y="186"/>
                                    </a:lnTo>
                                    <a:lnTo>
                                      <a:pt x="116" y="176"/>
                                    </a:lnTo>
                                    <a:lnTo>
                                      <a:pt x="78" y="172"/>
                                    </a:lnTo>
                                    <a:close/>
                                    <a:moveTo>
                                      <a:pt x="128" y="166"/>
                                    </a:moveTo>
                                    <a:lnTo>
                                      <a:pt x="128" y="166"/>
                                    </a:lnTo>
                                    <a:lnTo>
                                      <a:pt x="126" y="156"/>
                                    </a:lnTo>
                                    <a:lnTo>
                                      <a:pt x="124" y="146"/>
                                    </a:lnTo>
                                    <a:lnTo>
                                      <a:pt x="122" y="138"/>
                                    </a:lnTo>
                                    <a:lnTo>
                                      <a:pt x="116" y="132"/>
                                    </a:lnTo>
                                    <a:lnTo>
                                      <a:pt x="110" y="126"/>
                                    </a:lnTo>
                                    <a:lnTo>
                                      <a:pt x="104" y="120"/>
                                    </a:lnTo>
                                    <a:lnTo>
                                      <a:pt x="96" y="116"/>
                                    </a:lnTo>
                                    <a:lnTo>
                                      <a:pt x="88" y="114"/>
                                    </a:lnTo>
                                    <a:lnTo>
                                      <a:pt x="88" y="160"/>
                                    </a:lnTo>
                                    <a:lnTo>
                                      <a:pt x="128" y="166"/>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613AE" id="Freeform 4959" o:spid="_x0000_s1026" style="position:absolute;margin-left:-.25pt;margin-top:.05pt;width:34.15pt;height:2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eIuwoAAOA6AAAOAAAAZHJzL2Uyb0RvYy54bWysW11v28oRfS/Q/0Do8QKNtUvqy4hzH3Kb&#10;okB6GyAu7jMj0bFQSVRJOnb66++Z3RlqZWt2N4HzENrS8XDmzMfO7JJvf33a74pvTddv28PNxLyZ&#10;TormsG4328PXm8l/bj/8bTkp+qE+bOpde2huJt+bfvLru7/+5e3j8bqx7X272zRdASGH/vrxeDO5&#10;H4bj9dVVv75v9nX/pj02B3x513b7esCv3derTVc/Qvp+d2Wn0/nVY9ttjl27bvoen/7mv5y8c/Lv&#10;7pr18O+7u74Zit3NBLoN7v/O/f+F/r9697a+/trVx/vtmtWof0KLfb094KajqN/qoS4euu0LUfvt&#10;umv79m54s273V+3d3XbdOBtgjZk+s+bzfX1snC0gpz+ONPWvJ3b9+7dPXbHd3EzsbDEpDvUeTvrQ&#10;NQ1RXlSr2Yooejz210B+Pn7qyMj++LFd/7cvDu3fN9vhU7s9DFDJEPLqDEq/9Pij4svjv9oNJNcP&#10;Q+t4errr9iQKDBRPzh3fR3c0T0OxxodVWS6ms0mxxlf40Sxn7g71tfzx+qEf/tG0TlD97WM/eG9u&#10;8JPzxYbtuYXn7/Y7OPaXq6KslsVjUc7F9yPIBKBpcV/Y5QuIDSCKlDKAKFKqM8hFXWD1qPDysi7z&#10;M8hFKXDoKMVW9rIcJOgIMsvpZW5WAQi8XJZkzmieKQSZkGdbKtaZkGo467JaJmS7UrQK6baaoJBw&#10;azVRIeeoPopSIe0zTVRIe1lWiqgz3ueXDbRntIPQi7FgQ9pLTVTIup0qWtmQ9YUSVjak3azmilYh&#10;76qokHaz0rQ6o10JKxvSrnrQhrSvlGgvQ9rtQgmGMqR9odBentG+UAwsQ9qXmqiQdtWDZUi7mSpk&#10;lee8Ky4sQ97NVNMrJF71YXlGvJI6VUh8WSnEVyHxZq6YWIXMl0iLi7lThcwb+Ofi4lCF1JdWk3VG&#10;vRbyVUi9XSoRUZ1Rv1IysQqpt0bjK6ReXSxmIfdqVs9C7m2lhMQs5N5A+4vcz0LurVa4ZiH3Viun&#10;szPuZ5pe59wrfFG3dFo3kf4XY2J2xj1KyWUbQ+4NtL8oCx3L6Y52pdT5eci90Vayeci9GvfzkHtd&#10;Vsi9mo/zM+61fJyH3CNwLtI1D6lXJYXMa4viPCQeTcZF3hch7+iiLuq0CGmfaZJC1o1WuRYh65p5&#10;i5B0o7W0i5B0rW1bhJwbjapFSPpSKaeLkHRtSVyEpBvUyYuso/k+RXulFMBlyLpRO9yQds2+Zci6&#10;ul4sQ9rh5ouxgDnlpLqdKmV5GdK+ULJ5GbJujUL7MqRdKwzLkHZrFK1WIe3GKBm4OuNd60VWIe/G&#10;KiauzolXwmEVEq/rFTJvSs3GkHmE8kUnrkLmjQlq8hWmfBkx63uZOtdPBx478VNR0/bH1E26x7an&#10;CZdmUMyxt35Krq+BohlVAYM5Apc88MbBoIbAMh3HwbCdwIssyYgrArs9AJgdl0zjH6Ex4NFGQBLO&#10;NmKGy4KzlSbPTMN2mjxDDVtq8kylkYtMxVCVo7tlUzE4ZcHZVJtnqmVTbZ6pNAI53fNMpTGH4Bhk&#10;cnSnUcbB80wt2VQMJFnS2VTMHFlwNhVjRQ6cBgvSHaNDFpxNxXSQBWdTqzxTaQJwyuSZSk2+g+eZ&#10;Sn08wdGp5+hOrbqD55lK3biD55k6Y1PRUmcpw6b6rclknaG2mZRBY5wjnTpjB88zdc6mor3Nks6m&#10;ooXNgrOp6FNz4NSpku5oRrPgbCoaziw4m4qmMgvOpqJxzIKzqegOc+DUHpKp6ACz4GwqurwsOJs6&#10;7jjHVz5q5ZwyeaZSu+bgeaZSS0ZwNF05ulPX5eB5plJj5eB5Xl2xqWiPAmV8EnL/0+HQ5flxSzcp&#10;cNzyhf6mvj7WA7VN8mPxiO19ytJ7HELAr/T5vv3W3LYOMVD3VHKNsHzX0/e7Qwwn38r1yNI8R25/&#10;H7rLt3JlFNfUOApb5o7AcsmqiRC5emG0nw2aE7JyQD544oK8T4Us0USuXqMcjDetilrmMXHrPcai&#10;OfBBI5rI1WuUh/Ic4eAgKsuzhH2sKMrQwAq38FGPGgrZOA6GpLxsHFsLfIy5khfolL35OOYlwbJL&#10;W+Iv4VnBxX32Y6h4VD4vGBJpcuUUf1ZW5Nv1ru0bV6tOhYbzmNdYi50975ETQv7aI3lGwGFS1HUj&#10;LIoyfFvoG4sDgZ20E510i3AK4nIATVvcIGxp+2QRoMiWK3OaCePBIkEPjsb8TeOGYwuTEznKT4l4&#10;pnxPhesPwvJ0w3gR851YmihZJfOG04aYNBz9OEsX8QKYDfN1CLuO8ZtmwXBukKMbjgQcDHvCsZv+&#10;KCxOCI6m3E3H9JbgliuXATYhkY8vckukyFVKxbMUlK/TWYvm0JOjliEeaFKuy4Wx6xKBwOUKW8sx&#10;11naxUY6YhXOgS3jrhNpubA83UaCxSdyZdexpYjVqAlzX3gQXVEYZy2OZF8J51MoLS8PJ5mLY96o&#10;fpKTZhqn5UdxqzgtkrwJlsWKlGt5YfxZmJ68OCRzcY9jBqZRy96XSAk/ufKiKxIT9V7WSRxiRx2Y&#10;j+PASWR6yfuCJoljZlL6cZNhUvbyPrBBeYsmHs/kJuXsbJyvbBTg0fvyAJLE8XYgDSJRebwJnxoE&#10;8BiAi8AkDonuBiTcP3pfzhWLmfk1cJKieHggKi8f5/1hE22TFCSbaNZGHPrOmL0nXDzfaIAino1/&#10;LFEdRPNxHH+pBoU7XTN2/1JX5MrLHD0oQ/olcT5ekjgegGlgifFXYgFx903FFfeKOL6OyrPZOK5D&#10;GD9i+lnUC6cfTlVeB8f2or7F5fl+Ag9lvApurM8Jefk4joOkPLEjbu+4DiZ4HnGpCU/Wy3EFlnjX&#10;V22KLfI1lgDvGm3RfgEU2XL1OWV4Zh3lyddy9TCu/C8U/SmUj67ERMXcJJZMZiNRsBiVKEN5KNYL&#10;e12x1OBKhROuKMrHZ6Ks8DFZAoUneVxgJFyUDeOhKG6A4bhINEB4NMjplui7BJbYZ8yGeRNwLhLz&#10;QXaePMs7iXw9VaWrGsnRUlWAiXKbC5PFIG43j9p4IiZKD3LGLS2JUsYxStUkRjY9nUoLeGJ7aVzn&#10;49En5TOxTcJ5fZpzxHVy5emFF4FEAslNE7EsJiSiTwhJDItMLx7jitLLzrKJwZ1dj8evotJ4U8Fi&#10;eon5lMMSz4W9BoyebUOEpKRxB5XSDaO6lxa31PCOR4o4IwNLwg94UsvHecKteITM4xJRMuISQScV&#10;Yqw4EuF6kaL8dyk5LsdalXqJFOly5Y5CpuLEcktdoy8G8fgy/OBSqqseSUqUKnEiHvqMBqwEhcHh&#10;SCz+eROWbh+DycyO0MiBJToa3RniakxvdMTtnoEbz7rxYfi6Wt/utpsP292Ozrjd247N+11XfKvx&#10;nmK9XjeHYe4OwncPe7w55z+fT/GPTMCJ9cMe7zX6jyv5GLcYJbmbn91k5543PLR0U6GBROFtO/8M&#10;o3t1j97W8+/7fWk33/HmHt7txEuT9233/0nxiPckbyb9/x7qrpkUu38e8NbfylRUlwf3SzVb0HlW&#10;F37zJfzm8LB/38JEPD9aH9aQejMZ5Mf3g38vEy9GgrWPh8/HNQHdQwBdP9w+/VF3x+KIH/FH0Pr3&#10;Vt6PrK/l7T+ifsTy24jeEP4Fr1E6aviVT3pPM/zdoU4vpr77EwAA//8DAFBLAwQUAAYACAAAACEA&#10;ExYEfNwAAAAEAQAADwAAAGRycy9kb3ducmV2LnhtbEyPzU7DMBCE70i8g7VIXFDrtChJFeJU/IgT&#10;EiotEtdtvCShsR3Zbpq+PdsTHGdnNPNtuZ5ML0byoXNWwWKegCBbO93ZRsHn7nW2AhEiWo29s6Tg&#10;TAHW1fVViYV2J/tB4zY2gktsKFBBG+NQSBnqlgyGuRvIsvftvMHI0jdSezxxuenlMkkyabCzvNDi&#10;QM8t1Yft0SjIcZHm/vCWrc5f7+PTxr38yLudUrc30+MDiEhT/AvDBZ/RoWKmvTtaHUSvYJZy8HIW&#10;bGY5v7FXkN4vQVal/A9f/QIAAP//AwBQSwECLQAUAAYACAAAACEAtoM4kv4AAADhAQAAEwAAAAAA&#10;AAAAAAAAAAAAAAAAW0NvbnRlbnRfVHlwZXNdLnhtbFBLAQItABQABgAIAAAAIQA4/SH/1gAAAJQB&#10;AAALAAAAAAAAAAAAAAAAAC8BAABfcmVscy8ucmVsc1BLAQItABQABgAIAAAAIQDRoxeIuwoAAOA6&#10;AAAOAAAAAAAAAAAAAAAAAC4CAABkcnMvZTJvRG9jLnhtbFBLAQItABQABgAIAAAAIQATFgR83AAA&#10;AAQBAAAPAAAAAAAAAAAAAAAAABUNAABkcnMvZG93bnJldi54bWxQSwUGAAAAAAQABADzAAAAHg4A&#10;AAAA&#10;" path="m356,2r,l352,r-4,l180,38,12,r,l8,,4,2r,l,4,,8,,232r,l2,238r6,4l178,280r,l180,280r,l182,280,352,242r,l358,238r2,-6l360,8r,l360,4,356,2r,xm170,258l20,224,20,22,170,56r,202xm200,54l326,24r,l330,24r4,2l336,28r2,4l338,32r,4l336,40r-2,2l330,44,204,72r,l202,74r,l196,72r-4,-6l192,66r,-4l194,58r2,-2l200,54r,xm200,90l262,74r,l266,74r4,2l274,78r,4l274,82r,4l274,90r-4,2l268,94r-64,14l204,108r-2,l202,108r-6,-2l192,102r,l192,98r2,-4l196,90r4,l200,90xm340,168r,l340,172r-4,2l336,174r-4,2l332,176r-2,-2l326,172,316,162r-28,28l288,190r-4,2l278,192,246,178r-36,64l210,242r-4,4l200,248r,l196,246r,l194,244r-2,-4l192,236r,-2l232,160r,l234,156r4,-2l242,154r4,l280,170r22,-22l292,138r,l290,134r,-6l290,128r2,-2l298,124r,l332,124r,l336,124r2,2l340,128r,4l340,168xm138,88r,l136,88,46,68r,l42,66,40,62,38,60r,-4l38,56r2,-4l42,50r4,-2l50,48r90,20l140,68r4,2l146,72r2,4l148,80r,l144,86r-6,2l138,88xm78,172r,-46l78,126r-8,l62,128r-6,4l50,136r-6,6l42,150r-2,8l38,168r,l40,176r2,10l44,194r6,8l56,208r6,4l70,216r8,2l78,218r6,l92,216r6,-4l104,208r6,-6l114,194r2,-8l116,176,78,172xm128,166r,l126,156r-2,-10l122,138r-6,-6l110,126r-6,-6l96,116r-8,-2l88,160r40,6xe" fillcolor="#fabf8f [1945]" stroked="f">
                      <v:path arrowok="t" o:connecttype="custom" o:connectlocs="419248,0;9638,0;0,9634;9638,291424;216853,337185;431296,286607;433705,4817;24095,269748;240947,65029;402382,31310;407201,43352;245766,86705;236128,86705;233719,69845;240947,108381;325279,91522;330098,103564;245766,130057;236128,127649;233719,113198;409610,202311;404791,209536;392744,207128;342145,231213;252995,291424;236128,296241;231309,284199;281908,187860;337326,204719;349373,161367;359011,149325;404791,149325;409610,202311;55418,81888;45780,72254;50599,60212;168663,81888;178301,96339;166254,105972;84332,151733;53008,171001;45780,202311;60237,243255;93969,262523;118064,255297;139749,223987;154206,199903;139749,158959;106017,137282" o:connectangles="0,0,0,0,0,0,0,0,0,0,0,0,0,0,0,0,0,0,0,0,0,0,0,0,0,0,0,0,0,0,0,0,0,0,0,0,0,0,0,0,0,0,0,0,0,0,0,0,0"/>
                      <o:lock v:ext="edit" verticies="t"/>
                    </v:shape>
                  </w:pict>
                </mc:Fallback>
              </mc:AlternateContent>
            </w:r>
          </w:p>
        </w:tc>
        <w:tc>
          <w:tcPr>
            <w:tcW w:w="1559" w:type="dxa"/>
            <w:tcBorders>
              <w:top w:val="single" w:sz="4" w:space="0" w:color="A6A6A6" w:themeColor="background1" w:themeShade="A6"/>
              <w:bottom w:val="single" w:sz="4" w:space="0" w:color="A6A6A6" w:themeColor="background1" w:themeShade="A6"/>
            </w:tcBorders>
          </w:tcPr>
          <w:p w14:paraId="7BC618E0" w14:textId="77777777" w:rsidR="00391C97" w:rsidRPr="007E5633" w:rsidRDefault="00391C97" w:rsidP="000A7BA9">
            <w:pPr>
              <w:pStyle w:val="af4"/>
              <w:rPr>
                <w:b/>
                <w:szCs w:val="20"/>
                <w:lang w:val="uk-UA"/>
              </w:rPr>
            </w:pPr>
            <w:r w:rsidRPr="007E5633">
              <w:rPr>
                <w:b/>
                <w:szCs w:val="20"/>
                <w:lang w:val="uk-UA"/>
              </w:rPr>
              <w:t>Фінансові показники</w:t>
            </w:r>
          </w:p>
        </w:tc>
        <w:tc>
          <w:tcPr>
            <w:tcW w:w="4253" w:type="dxa"/>
            <w:tcBorders>
              <w:top w:val="single" w:sz="4" w:space="0" w:color="A6A6A6" w:themeColor="background1" w:themeShade="A6"/>
              <w:bottom w:val="single" w:sz="4" w:space="0" w:color="A6A6A6" w:themeColor="background1" w:themeShade="A6"/>
            </w:tcBorders>
          </w:tcPr>
          <w:p w14:paraId="79B53681" w14:textId="77777777" w:rsidR="00391C97" w:rsidRPr="007E5633" w:rsidRDefault="00391C97" w:rsidP="000A7BA9">
            <w:pPr>
              <w:pStyle w:val="af4"/>
              <w:rPr>
                <w:szCs w:val="20"/>
                <w:lang w:val="uk-UA"/>
              </w:rPr>
            </w:pPr>
            <w:r w:rsidRPr="007E5633">
              <w:rPr>
                <w:szCs w:val="20"/>
                <w:lang w:val="uk-UA"/>
              </w:rPr>
              <w:t>Прогноз балансу та звіту про прибутки та збитки на індивідуальному та груповому рівнях (якщо застосовується), припущення щодо прогнозу, пояснення цифр для активних суб'єктів: фінансові звіти за останні три фінансові періоди</w:t>
            </w:r>
          </w:p>
        </w:tc>
        <w:tc>
          <w:tcPr>
            <w:tcW w:w="3969" w:type="dxa"/>
            <w:tcBorders>
              <w:top w:val="single" w:sz="4" w:space="0" w:color="A6A6A6" w:themeColor="background1" w:themeShade="A6"/>
              <w:bottom w:val="single" w:sz="4" w:space="0" w:color="A6A6A6" w:themeColor="background1" w:themeShade="A6"/>
            </w:tcBorders>
          </w:tcPr>
          <w:p w14:paraId="37F8F577" w14:textId="77777777" w:rsidR="00391C97" w:rsidRPr="007E5633" w:rsidRDefault="00391C97" w:rsidP="000A7BA9">
            <w:pPr>
              <w:pStyle w:val="af4"/>
              <w:rPr>
                <w:szCs w:val="20"/>
                <w:lang w:val="uk-UA"/>
              </w:rPr>
            </w:pPr>
            <w:r w:rsidRPr="007E5633">
              <w:rPr>
                <w:szCs w:val="20"/>
                <w:lang w:val="uk-UA"/>
              </w:rPr>
              <w:t>forecast balance sheet and income statement at an individual and at group level (if applicable), assumptions for the forecast, explanations of the figures, for already active entities: financial statements for the last three financial periods</w:t>
            </w:r>
          </w:p>
        </w:tc>
      </w:tr>
      <w:tr w:rsidR="00391C97" w:rsidRPr="007E5633" w14:paraId="6773DCC1" w14:textId="77777777" w:rsidTr="00B83D6C">
        <w:tc>
          <w:tcPr>
            <w:tcW w:w="959" w:type="dxa"/>
            <w:tcBorders>
              <w:top w:val="single" w:sz="4" w:space="0" w:color="A6A6A6" w:themeColor="background1" w:themeShade="A6"/>
            </w:tcBorders>
          </w:tcPr>
          <w:p w14:paraId="0B3E0E99" w14:textId="77777777" w:rsidR="00391C97" w:rsidRPr="007E5633" w:rsidRDefault="008C252E" w:rsidP="000A7BA9">
            <w:pPr>
              <w:pStyle w:val="af4"/>
              <w:rPr>
                <w:szCs w:val="20"/>
                <w:lang w:val="uk-UA"/>
              </w:rPr>
            </w:pPr>
            <w:r>
              <w:rPr>
                <w:noProof/>
                <w:szCs w:val="20"/>
                <w:lang w:val="en-US"/>
              </w:rPr>
              <mc:AlternateContent>
                <mc:Choice Requires="wps">
                  <w:drawing>
                    <wp:anchor distT="0" distB="0" distL="114300" distR="114300" simplePos="0" relativeHeight="251721728" behindDoc="0" locked="0" layoutInCell="1" allowOverlap="1" wp14:anchorId="6944E2BE" wp14:editId="12BB72B6">
                      <wp:simplePos x="0" y="0"/>
                      <wp:positionH relativeFrom="column">
                        <wp:posOffset>-3175</wp:posOffset>
                      </wp:positionH>
                      <wp:positionV relativeFrom="paragraph">
                        <wp:posOffset>635</wp:posOffset>
                      </wp:positionV>
                      <wp:extent cx="428625" cy="378460"/>
                      <wp:effectExtent l="0" t="0" r="9525" b="2540"/>
                      <wp:wrapNone/>
                      <wp:docPr id="247" name="Freeform 49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8625" cy="378460"/>
                              </a:xfrm>
                              <a:custGeom>
                                <a:avLst/>
                                <a:gdLst>
                                  <a:gd name="T0" fmla="*/ 36 w 356"/>
                                  <a:gd name="T1" fmla="*/ 242 h 314"/>
                                  <a:gd name="T2" fmla="*/ 34 w 356"/>
                                  <a:gd name="T3" fmla="*/ 104 h 314"/>
                                  <a:gd name="T4" fmla="*/ 44 w 356"/>
                                  <a:gd name="T5" fmla="*/ 94 h 314"/>
                                  <a:gd name="T6" fmla="*/ 72 w 356"/>
                                  <a:gd name="T7" fmla="*/ 98 h 314"/>
                                  <a:gd name="T8" fmla="*/ 76 w 356"/>
                                  <a:gd name="T9" fmla="*/ 236 h 314"/>
                                  <a:gd name="T10" fmla="*/ 66 w 356"/>
                                  <a:gd name="T11" fmla="*/ 246 h 314"/>
                                  <a:gd name="T12" fmla="*/ 32 w 356"/>
                                  <a:gd name="T13" fmla="*/ 274 h 314"/>
                                  <a:gd name="T14" fmla="*/ 316 w 356"/>
                                  <a:gd name="T15" fmla="*/ 280 h 314"/>
                                  <a:gd name="T16" fmla="*/ 324 w 356"/>
                                  <a:gd name="T17" fmla="*/ 274 h 314"/>
                                  <a:gd name="T18" fmla="*/ 322 w 356"/>
                                  <a:gd name="T19" fmla="*/ 262 h 314"/>
                                  <a:gd name="T20" fmla="*/ 40 w 356"/>
                                  <a:gd name="T21" fmla="*/ 260 h 314"/>
                                  <a:gd name="T22" fmla="*/ 30 w 356"/>
                                  <a:gd name="T23" fmla="*/ 270 h 314"/>
                                  <a:gd name="T24" fmla="*/ 152 w 356"/>
                                  <a:gd name="T25" fmla="*/ 244 h 314"/>
                                  <a:gd name="T26" fmla="*/ 158 w 356"/>
                                  <a:gd name="T27" fmla="*/ 104 h 314"/>
                                  <a:gd name="T28" fmla="*/ 152 w 356"/>
                                  <a:gd name="T29" fmla="*/ 96 h 314"/>
                                  <a:gd name="T30" fmla="*/ 122 w 356"/>
                                  <a:gd name="T31" fmla="*/ 96 h 314"/>
                                  <a:gd name="T32" fmla="*/ 116 w 356"/>
                                  <a:gd name="T33" fmla="*/ 236 h 314"/>
                                  <a:gd name="T34" fmla="*/ 122 w 356"/>
                                  <a:gd name="T35" fmla="*/ 244 h 314"/>
                                  <a:gd name="T36" fmla="*/ 6 w 356"/>
                                  <a:gd name="T37" fmla="*/ 72 h 314"/>
                                  <a:gd name="T38" fmla="*/ 12 w 356"/>
                                  <a:gd name="T39" fmla="*/ 60 h 314"/>
                                  <a:gd name="T40" fmla="*/ 174 w 356"/>
                                  <a:gd name="T41" fmla="*/ 0 h 314"/>
                                  <a:gd name="T42" fmla="*/ 176 w 356"/>
                                  <a:gd name="T43" fmla="*/ 0 h 314"/>
                                  <a:gd name="T44" fmla="*/ 180 w 356"/>
                                  <a:gd name="T45" fmla="*/ 0 h 314"/>
                                  <a:gd name="T46" fmla="*/ 182 w 356"/>
                                  <a:gd name="T47" fmla="*/ 0 h 314"/>
                                  <a:gd name="T48" fmla="*/ 342 w 356"/>
                                  <a:gd name="T49" fmla="*/ 60 h 314"/>
                                  <a:gd name="T50" fmla="*/ 350 w 356"/>
                                  <a:gd name="T51" fmla="*/ 74 h 314"/>
                                  <a:gd name="T52" fmla="*/ 340 w 356"/>
                                  <a:gd name="T53" fmla="*/ 80 h 314"/>
                                  <a:gd name="T54" fmla="*/ 16 w 356"/>
                                  <a:gd name="T55" fmla="*/ 80 h 314"/>
                                  <a:gd name="T56" fmla="*/ 8 w 356"/>
                                  <a:gd name="T57" fmla="*/ 74 h 314"/>
                                  <a:gd name="T58" fmla="*/ 160 w 356"/>
                                  <a:gd name="T59" fmla="*/ 42 h 314"/>
                                  <a:gd name="T60" fmla="*/ 178 w 356"/>
                                  <a:gd name="T61" fmla="*/ 60 h 314"/>
                                  <a:gd name="T62" fmla="*/ 194 w 356"/>
                                  <a:gd name="T63" fmla="*/ 50 h 314"/>
                                  <a:gd name="T64" fmla="*/ 190 w 356"/>
                                  <a:gd name="T65" fmla="*/ 30 h 314"/>
                                  <a:gd name="T66" fmla="*/ 170 w 356"/>
                                  <a:gd name="T67" fmla="*/ 26 h 314"/>
                                  <a:gd name="T68" fmla="*/ 160 w 356"/>
                                  <a:gd name="T69" fmla="*/ 42 h 314"/>
                                  <a:gd name="T70" fmla="*/ 6 w 356"/>
                                  <a:gd name="T71" fmla="*/ 294 h 314"/>
                                  <a:gd name="T72" fmla="*/ 0 w 356"/>
                                  <a:gd name="T73" fmla="*/ 304 h 314"/>
                                  <a:gd name="T74" fmla="*/ 10 w 356"/>
                                  <a:gd name="T75" fmla="*/ 314 h 314"/>
                                  <a:gd name="T76" fmla="*/ 352 w 356"/>
                                  <a:gd name="T77" fmla="*/ 312 h 314"/>
                                  <a:gd name="T78" fmla="*/ 354 w 356"/>
                                  <a:gd name="T79" fmla="*/ 300 h 314"/>
                                  <a:gd name="T80" fmla="*/ 346 w 356"/>
                                  <a:gd name="T81" fmla="*/ 294 h 314"/>
                                  <a:gd name="T82" fmla="*/ 238 w 356"/>
                                  <a:gd name="T83" fmla="*/ 242 h 314"/>
                                  <a:gd name="T84" fmla="*/ 240 w 356"/>
                                  <a:gd name="T85" fmla="*/ 104 h 314"/>
                                  <a:gd name="T86" fmla="*/ 230 w 356"/>
                                  <a:gd name="T87" fmla="*/ 94 h 314"/>
                                  <a:gd name="T88" fmla="*/ 200 w 356"/>
                                  <a:gd name="T89" fmla="*/ 98 h 314"/>
                                  <a:gd name="T90" fmla="*/ 198 w 356"/>
                                  <a:gd name="T91" fmla="*/ 236 h 314"/>
                                  <a:gd name="T92" fmla="*/ 208 w 356"/>
                                  <a:gd name="T93" fmla="*/ 246 h 314"/>
                                  <a:gd name="T94" fmla="*/ 316 w 356"/>
                                  <a:gd name="T95" fmla="*/ 244 h 314"/>
                                  <a:gd name="T96" fmla="*/ 322 w 356"/>
                                  <a:gd name="T97" fmla="*/ 104 h 314"/>
                                  <a:gd name="T98" fmla="*/ 316 w 356"/>
                                  <a:gd name="T99" fmla="*/ 96 h 314"/>
                                  <a:gd name="T100" fmla="*/ 286 w 356"/>
                                  <a:gd name="T101" fmla="*/ 96 h 314"/>
                                  <a:gd name="T102" fmla="*/ 280 w 356"/>
                                  <a:gd name="T103" fmla="*/ 236 h 314"/>
                                  <a:gd name="T104" fmla="*/ 286 w 356"/>
                                  <a:gd name="T105" fmla="*/ 24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6" h="314">
                                    <a:moveTo>
                                      <a:pt x="44" y="246"/>
                                    </a:moveTo>
                                    <a:lnTo>
                                      <a:pt x="44" y="246"/>
                                    </a:lnTo>
                                    <a:lnTo>
                                      <a:pt x="40" y="244"/>
                                    </a:lnTo>
                                    <a:lnTo>
                                      <a:pt x="36" y="242"/>
                                    </a:lnTo>
                                    <a:lnTo>
                                      <a:pt x="34" y="240"/>
                                    </a:lnTo>
                                    <a:lnTo>
                                      <a:pt x="34" y="236"/>
                                    </a:lnTo>
                                    <a:lnTo>
                                      <a:pt x="34" y="104"/>
                                    </a:lnTo>
                                    <a:lnTo>
                                      <a:pt x="34" y="104"/>
                                    </a:lnTo>
                                    <a:lnTo>
                                      <a:pt x="34" y="100"/>
                                    </a:lnTo>
                                    <a:lnTo>
                                      <a:pt x="36" y="98"/>
                                    </a:lnTo>
                                    <a:lnTo>
                                      <a:pt x="40" y="96"/>
                                    </a:lnTo>
                                    <a:lnTo>
                                      <a:pt x="44" y="94"/>
                                    </a:lnTo>
                                    <a:lnTo>
                                      <a:pt x="66" y="94"/>
                                    </a:lnTo>
                                    <a:lnTo>
                                      <a:pt x="66" y="94"/>
                                    </a:lnTo>
                                    <a:lnTo>
                                      <a:pt x="70" y="96"/>
                                    </a:lnTo>
                                    <a:lnTo>
                                      <a:pt x="72" y="98"/>
                                    </a:lnTo>
                                    <a:lnTo>
                                      <a:pt x="76" y="100"/>
                                    </a:lnTo>
                                    <a:lnTo>
                                      <a:pt x="76" y="104"/>
                                    </a:lnTo>
                                    <a:lnTo>
                                      <a:pt x="76" y="236"/>
                                    </a:lnTo>
                                    <a:lnTo>
                                      <a:pt x="76" y="236"/>
                                    </a:lnTo>
                                    <a:lnTo>
                                      <a:pt x="76" y="240"/>
                                    </a:lnTo>
                                    <a:lnTo>
                                      <a:pt x="72" y="242"/>
                                    </a:lnTo>
                                    <a:lnTo>
                                      <a:pt x="70" y="244"/>
                                    </a:lnTo>
                                    <a:lnTo>
                                      <a:pt x="66" y="246"/>
                                    </a:lnTo>
                                    <a:lnTo>
                                      <a:pt x="44" y="246"/>
                                    </a:lnTo>
                                    <a:close/>
                                    <a:moveTo>
                                      <a:pt x="30" y="270"/>
                                    </a:moveTo>
                                    <a:lnTo>
                                      <a:pt x="30" y="270"/>
                                    </a:lnTo>
                                    <a:lnTo>
                                      <a:pt x="32" y="274"/>
                                    </a:lnTo>
                                    <a:lnTo>
                                      <a:pt x="34" y="276"/>
                                    </a:lnTo>
                                    <a:lnTo>
                                      <a:pt x="36" y="278"/>
                                    </a:lnTo>
                                    <a:lnTo>
                                      <a:pt x="40" y="280"/>
                                    </a:lnTo>
                                    <a:lnTo>
                                      <a:pt x="316" y="280"/>
                                    </a:lnTo>
                                    <a:lnTo>
                                      <a:pt x="316" y="280"/>
                                    </a:lnTo>
                                    <a:lnTo>
                                      <a:pt x="320" y="278"/>
                                    </a:lnTo>
                                    <a:lnTo>
                                      <a:pt x="322" y="276"/>
                                    </a:lnTo>
                                    <a:lnTo>
                                      <a:pt x="324" y="274"/>
                                    </a:lnTo>
                                    <a:lnTo>
                                      <a:pt x="326" y="270"/>
                                    </a:lnTo>
                                    <a:lnTo>
                                      <a:pt x="326" y="270"/>
                                    </a:lnTo>
                                    <a:lnTo>
                                      <a:pt x="324" y="266"/>
                                    </a:lnTo>
                                    <a:lnTo>
                                      <a:pt x="322" y="262"/>
                                    </a:lnTo>
                                    <a:lnTo>
                                      <a:pt x="320" y="260"/>
                                    </a:lnTo>
                                    <a:lnTo>
                                      <a:pt x="316" y="260"/>
                                    </a:lnTo>
                                    <a:lnTo>
                                      <a:pt x="40" y="260"/>
                                    </a:lnTo>
                                    <a:lnTo>
                                      <a:pt x="40" y="260"/>
                                    </a:lnTo>
                                    <a:lnTo>
                                      <a:pt x="36" y="260"/>
                                    </a:lnTo>
                                    <a:lnTo>
                                      <a:pt x="34" y="262"/>
                                    </a:lnTo>
                                    <a:lnTo>
                                      <a:pt x="32" y="266"/>
                                    </a:lnTo>
                                    <a:lnTo>
                                      <a:pt x="30" y="270"/>
                                    </a:lnTo>
                                    <a:lnTo>
                                      <a:pt x="30" y="270"/>
                                    </a:lnTo>
                                    <a:close/>
                                    <a:moveTo>
                                      <a:pt x="148" y="246"/>
                                    </a:moveTo>
                                    <a:lnTo>
                                      <a:pt x="148" y="246"/>
                                    </a:lnTo>
                                    <a:lnTo>
                                      <a:pt x="152" y="244"/>
                                    </a:lnTo>
                                    <a:lnTo>
                                      <a:pt x="156" y="242"/>
                                    </a:lnTo>
                                    <a:lnTo>
                                      <a:pt x="158" y="240"/>
                                    </a:lnTo>
                                    <a:lnTo>
                                      <a:pt x="158" y="236"/>
                                    </a:lnTo>
                                    <a:lnTo>
                                      <a:pt x="158" y="104"/>
                                    </a:lnTo>
                                    <a:lnTo>
                                      <a:pt x="158" y="104"/>
                                    </a:lnTo>
                                    <a:lnTo>
                                      <a:pt x="158" y="100"/>
                                    </a:lnTo>
                                    <a:lnTo>
                                      <a:pt x="156" y="98"/>
                                    </a:lnTo>
                                    <a:lnTo>
                                      <a:pt x="152" y="96"/>
                                    </a:lnTo>
                                    <a:lnTo>
                                      <a:pt x="148" y="94"/>
                                    </a:lnTo>
                                    <a:lnTo>
                                      <a:pt x="126" y="94"/>
                                    </a:lnTo>
                                    <a:lnTo>
                                      <a:pt x="126" y="94"/>
                                    </a:lnTo>
                                    <a:lnTo>
                                      <a:pt x="122" y="96"/>
                                    </a:lnTo>
                                    <a:lnTo>
                                      <a:pt x="118" y="98"/>
                                    </a:lnTo>
                                    <a:lnTo>
                                      <a:pt x="116" y="100"/>
                                    </a:lnTo>
                                    <a:lnTo>
                                      <a:pt x="116" y="104"/>
                                    </a:lnTo>
                                    <a:lnTo>
                                      <a:pt x="116" y="236"/>
                                    </a:lnTo>
                                    <a:lnTo>
                                      <a:pt x="116" y="236"/>
                                    </a:lnTo>
                                    <a:lnTo>
                                      <a:pt x="116" y="240"/>
                                    </a:lnTo>
                                    <a:lnTo>
                                      <a:pt x="118" y="242"/>
                                    </a:lnTo>
                                    <a:lnTo>
                                      <a:pt x="122" y="244"/>
                                    </a:lnTo>
                                    <a:lnTo>
                                      <a:pt x="126" y="246"/>
                                    </a:lnTo>
                                    <a:lnTo>
                                      <a:pt x="148" y="246"/>
                                    </a:lnTo>
                                    <a:close/>
                                    <a:moveTo>
                                      <a:pt x="6" y="72"/>
                                    </a:moveTo>
                                    <a:lnTo>
                                      <a:pt x="6" y="72"/>
                                    </a:lnTo>
                                    <a:lnTo>
                                      <a:pt x="6" y="68"/>
                                    </a:lnTo>
                                    <a:lnTo>
                                      <a:pt x="8" y="64"/>
                                    </a:lnTo>
                                    <a:lnTo>
                                      <a:pt x="10" y="62"/>
                                    </a:lnTo>
                                    <a:lnTo>
                                      <a:pt x="12" y="60"/>
                                    </a:lnTo>
                                    <a:lnTo>
                                      <a:pt x="174" y="0"/>
                                    </a:lnTo>
                                    <a:lnTo>
                                      <a:pt x="174" y="0"/>
                                    </a:lnTo>
                                    <a:lnTo>
                                      <a:pt x="174" y="0"/>
                                    </a:lnTo>
                                    <a:lnTo>
                                      <a:pt x="174" y="0"/>
                                    </a:lnTo>
                                    <a:lnTo>
                                      <a:pt x="176" y="0"/>
                                    </a:lnTo>
                                    <a:lnTo>
                                      <a:pt x="176" y="0"/>
                                    </a:lnTo>
                                    <a:lnTo>
                                      <a:pt x="176" y="0"/>
                                    </a:lnTo>
                                    <a:lnTo>
                                      <a:pt x="176" y="0"/>
                                    </a:lnTo>
                                    <a:lnTo>
                                      <a:pt x="178" y="0"/>
                                    </a:lnTo>
                                    <a:lnTo>
                                      <a:pt x="178" y="0"/>
                                    </a:lnTo>
                                    <a:lnTo>
                                      <a:pt x="180" y="0"/>
                                    </a:lnTo>
                                    <a:lnTo>
                                      <a:pt x="180" y="0"/>
                                    </a:lnTo>
                                    <a:lnTo>
                                      <a:pt x="180" y="0"/>
                                    </a:lnTo>
                                    <a:lnTo>
                                      <a:pt x="180" y="0"/>
                                    </a:lnTo>
                                    <a:lnTo>
                                      <a:pt x="182" y="0"/>
                                    </a:lnTo>
                                    <a:lnTo>
                                      <a:pt x="182" y="0"/>
                                    </a:lnTo>
                                    <a:lnTo>
                                      <a:pt x="182" y="0"/>
                                    </a:lnTo>
                                    <a:lnTo>
                                      <a:pt x="182" y="0"/>
                                    </a:lnTo>
                                    <a:lnTo>
                                      <a:pt x="342" y="60"/>
                                    </a:lnTo>
                                    <a:lnTo>
                                      <a:pt x="342" y="60"/>
                                    </a:lnTo>
                                    <a:lnTo>
                                      <a:pt x="348" y="64"/>
                                    </a:lnTo>
                                    <a:lnTo>
                                      <a:pt x="350" y="70"/>
                                    </a:lnTo>
                                    <a:lnTo>
                                      <a:pt x="350" y="70"/>
                                    </a:lnTo>
                                    <a:lnTo>
                                      <a:pt x="350" y="74"/>
                                    </a:lnTo>
                                    <a:lnTo>
                                      <a:pt x="346" y="76"/>
                                    </a:lnTo>
                                    <a:lnTo>
                                      <a:pt x="344" y="80"/>
                                    </a:lnTo>
                                    <a:lnTo>
                                      <a:pt x="340" y="80"/>
                                    </a:lnTo>
                                    <a:lnTo>
                                      <a:pt x="340" y="80"/>
                                    </a:lnTo>
                                    <a:lnTo>
                                      <a:pt x="340" y="80"/>
                                    </a:lnTo>
                                    <a:lnTo>
                                      <a:pt x="178" y="80"/>
                                    </a:lnTo>
                                    <a:lnTo>
                                      <a:pt x="178" y="80"/>
                                    </a:lnTo>
                                    <a:lnTo>
                                      <a:pt x="16" y="80"/>
                                    </a:lnTo>
                                    <a:lnTo>
                                      <a:pt x="16" y="80"/>
                                    </a:lnTo>
                                    <a:lnTo>
                                      <a:pt x="12" y="80"/>
                                    </a:lnTo>
                                    <a:lnTo>
                                      <a:pt x="10" y="78"/>
                                    </a:lnTo>
                                    <a:lnTo>
                                      <a:pt x="8" y="74"/>
                                    </a:lnTo>
                                    <a:lnTo>
                                      <a:pt x="6" y="72"/>
                                    </a:lnTo>
                                    <a:lnTo>
                                      <a:pt x="6" y="72"/>
                                    </a:lnTo>
                                    <a:close/>
                                    <a:moveTo>
                                      <a:pt x="160" y="42"/>
                                    </a:moveTo>
                                    <a:lnTo>
                                      <a:pt x="160" y="42"/>
                                    </a:lnTo>
                                    <a:lnTo>
                                      <a:pt x="162" y="50"/>
                                    </a:lnTo>
                                    <a:lnTo>
                                      <a:pt x="166" y="54"/>
                                    </a:lnTo>
                                    <a:lnTo>
                                      <a:pt x="170" y="58"/>
                                    </a:lnTo>
                                    <a:lnTo>
                                      <a:pt x="178" y="60"/>
                                    </a:lnTo>
                                    <a:lnTo>
                                      <a:pt x="178" y="60"/>
                                    </a:lnTo>
                                    <a:lnTo>
                                      <a:pt x="184" y="58"/>
                                    </a:lnTo>
                                    <a:lnTo>
                                      <a:pt x="190" y="54"/>
                                    </a:lnTo>
                                    <a:lnTo>
                                      <a:pt x="194" y="50"/>
                                    </a:lnTo>
                                    <a:lnTo>
                                      <a:pt x="196" y="42"/>
                                    </a:lnTo>
                                    <a:lnTo>
                                      <a:pt x="196" y="42"/>
                                    </a:lnTo>
                                    <a:lnTo>
                                      <a:pt x="194" y="36"/>
                                    </a:lnTo>
                                    <a:lnTo>
                                      <a:pt x="190" y="30"/>
                                    </a:lnTo>
                                    <a:lnTo>
                                      <a:pt x="184" y="26"/>
                                    </a:lnTo>
                                    <a:lnTo>
                                      <a:pt x="178" y="24"/>
                                    </a:lnTo>
                                    <a:lnTo>
                                      <a:pt x="178" y="24"/>
                                    </a:lnTo>
                                    <a:lnTo>
                                      <a:pt x="170" y="26"/>
                                    </a:lnTo>
                                    <a:lnTo>
                                      <a:pt x="166" y="30"/>
                                    </a:lnTo>
                                    <a:lnTo>
                                      <a:pt x="162" y="36"/>
                                    </a:lnTo>
                                    <a:lnTo>
                                      <a:pt x="160" y="42"/>
                                    </a:lnTo>
                                    <a:lnTo>
                                      <a:pt x="160" y="42"/>
                                    </a:lnTo>
                                    <a:close/>
                                    <a:moveTo>
                                      <a:pt x="346" y="294"/>
                                    </a:moveTo>
                                    <a:lnTo>
                                      <a:pt x="10" y="294"/>
                                    </a:lnTo>
                                    <a:lnTo>
                                      <a:pt x="10" y="294"/>
                                    </a:lnTo>
                                    <a:lnTo>
                                      <a:pt x="6" y="294"/>
                                    </a:lnTo>
                                    <a:lnTo>
                                      <a:pt x="4" y="298"/>
                                    </a:lnTo>
                                    <a:lnTo>
                                      <a:pt x="2" y="300"/>
                                    </a:lnTo>
                                    <a:lnTo>
                                      <a:pt x="0" y="304"/>
                                    </a:lnTo>
                                    <a:lnTo>
                                      <a:pt x="0" y="304"/>
                                    </a:lnTo>
                                    <a:lnTo>
                                      <a:pt x="2" y="308"/>
                                    </a:lnTo>
                                    <a:lnTo>
                                      <a:pt x="4" y="312"/>
                                    </a:lnTo>
                                    <a:lnTo>
                                      <a:pt x="6" y="314"/>
                                    </a:lnTo>
                                    <a:lnTo>
                                      <a:pt x="10" y="314"/>
                                    </a:lnTo>
                                    <a:lnTo>
                                      <a:pt x="346" y="314"/>
                                    </a:lnTo>
                                    <a:lnTo>
                                      <a:pt x="346" y="314"/>
                                    </a:lnTo>
                                    <a:lnTo>
                                      <a:pt x="350" y="314"/>
                                    </a:lnTo>
                                    <a:lnTo>
                                      <a:pt x="352" y="312"/>
                                    </a:lnTo>
                                    <a:lnTo>
                                      <a:pt x="354" y="308"/>
                                    </a:lnTo>
                                    <a:lnTo>
                                      <a:pt x="356" y="304"/>
                                    </a:lnTo>
                                    <a:lnTo>
                                      <a:pt x="356" y="304"/>
                                    </a:lnTo>
                                    <a:lnTo>
                                      <a:pt x="354" y="300"/>
                                    </a:lnTo>
                                    <a:lnTo>
                                      <a:pt x="352" y="298"/>
                                    </a:lnTo>
                                    <a:lnTo>
                                      <a:pt x="350" y="294"/>
                                    </a:lnTo>
                                    <a:lnTo>
                                      <a:pt x="346" y="294"/>
                                    </a:lnTo>
                                    <a:lnTo>
                                      <a:pt x="346" y="294"/>
                                    </a:lnTo>
                                    <a:close/>
                                    <a:moveTo>
                                      <a:pt x="230" y="246"/>
                                    </a:moveTo>
                                    <a:lnTo>
                                      <a:pt x="230" y="246"/>
                                    </a:lnTo>
                                    <a:lnTo>
                                      <a:pt x="234" y="244"/>
                                    </a:lnTo>
                                    <a:lnTo>
                                      <a:pt x="238" y="242"/>
                                    </a:lnTo>
                                    <a:lnTo>
                                      <a:pt x="240" y="240"/>
                                    </a:lnTo>
                                    <a:lnTo>
                                      <a:pt x="240" y="236"/>
                                    </a:lnTo>
                                    <a:lnTo>
                                      <a:pt x="240" y="104"/>
                                    </a:lnTo>
                                    <a:lnTo>
                                      <a:pt x="240" y="104"/>
                                    </a:lnTo>
                                    <a:lnTo>
                                      <a:pt x="240" y="100"/>
                                    </a:lnTo>
                                    <a:lnTo>
                                      <a:pt x="238" y="98"/>
                                    </a:lnTo>
                                    <a:lnTo>
                                      <a:pt x="234" y="96"/>
                                    </a:lnTo>
                                    <a:lnTo>
                                      <a:pt x="230" y="94"/>
                                    </a:lnTo>
                                    <a:lnTo>
                                      <a:pt x="208" y="94"/>
                                    </a:lnTo>
                                    <a:lnTo>
                                      <a:pt x="208" y="94"/>
                                    </a:lnTo>
                                    <a:lnTo>
                                      <a:pt x="204" y="96"/>
                                    </a:lnTo>
                                    <a:lnTo>
                                      <a:pt x="200" y="98"/>
                                    </a:lnTo>
                                    <a:lnTo>
                                      <a:pt x="198" y="100"/>
                                    </a:lnTo>
                                    <a:lnTo>
                                      <a:pt x="198" y="104"/>
                                    </a:lnTo>
                                    <a:lnTo>
                                      <a:pt x="198" y="236"/>
                                    </a:lnTo>
                                    <a:lnTo>
                                      <a:pt x="198" y="236"/>
                                    </a:lnTo>
                                    <a:lnTo>
                                      <a:pt x="198" y="240"/>
                                    </a:lnTo>
                                    <a:lnTo>
                                      <a:pt x="200" y="242"/>
                                    </a:lnTo>
                                    <a:lnTo>
                                      <a:pt x="204" y="244"/>
                                    </a:lnTo>
                                    <a:lnTo>
                                      <a:pt x="208" y="246"/>
                                    </a:lnTo>
                                    <a:lnTo>
                                      <a:pt x="230" y="246"/>
                                    </a:lnTo>
                                    <a:close/>
                                    <a:moveTo>
                                      <a:pt x="312" y="246"/>
                                    </a:moveTo>
                                    <a:lnTo>
                                      <a:pt x="312" y="246"/>
                                    </a:lnTo>
                                    <a:lnTo>
                                      <a:pt x="316" y="244"/>
                                    </a:lnTo>
                                    <a:lnTo>
                                      <a:pt x="320" y="242"/>
                                    </a:lnTo>
                                    <a:lnTo>
                                      <a:pt x="322" y="240"/>
                                    </a:lnTo>
                                    <a:lnTo>
                                      <a:pt x="322" y="236"/>
                                    </a:lnTo>
                                    <a:lnTo>
                                      <a:pt x="322" y="104"/>
                                    </a:lnTo>
                                    <a:lnTo>
                                      <a:pt x="322" y="104"/>
                                    </a:lnTo>
                                    <a:lnTo>
                                      <a:pt x="322" y="100"/>
                                    </a:lnTo>
                                    <a:lnTo>
                                      <a:pt x="320" y="98"/>
                                    </a:lnTo>
                                    <a:lnTo>
                                      <a:pt x="316" y="96"/>
                                    </a:lnTo>
                                    <a:lnTo>
                                      <a:pt x="312" y="94"/>
                                    </a:lnTo>
                                    <a:lnTo>
                                      <a:pt x="290" y="94"/>
                                    </a:lnTo>
                                    <a:lnTo>
                                      <a:pt x="290" y="94"/>
                                    </a:lnTo>
                                    <a:lnTo>
                                      <a:pt x="286" y="96"/>
                                    </a:lnTo>
                                    <a:lnTo>
                                      <a:pt x="284" y="98"/>
                                    </a:lnTo>
                                    <a:lnTo>
                                      <a:pt x="280" y="100"/>
                                    </a:lnTo>
                                    <a:lnTo>
                                      <a:pt x="280" y="104"/>
                                    </a:lnTo>
                                    <a:lnTo>
                                      <a:pt x="280" y="236"/>
                                    </a:lnTo>
                                    <a:lnTo>
                                      <a:pt x="280" y="236"/>
                                    </a:lnTo>
                                    <a:lnTo>
                                      <a:pt x="280" y="240"/>
                                    </a:lnTo>
                                    <a:lnTo>
                                      <a:pt x="284" y="242"/>
                                    </a:lnTo>
                                    <a:lnTo>
                                      <a:pt x="286" y="244"/>
                                    </a:lnTo>
                                    <a:lnTo>
                                      <a:pt x="290" y="246"/>
                                    </a:lnTo>
                                    <a:lnTo>
                                      <a:pt x="312" y="246"/>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1E9BE" id="Freeform 4903" o:spid="_x0000_s1026" style="position:absolute;margin-left:-.25pt;margin-top:.05pt;width:33.75pt;height:2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MMzAoAADQ/AAAOAAAAZHJzL2Uyb0RvYy54bWzEW9+P28gNfi/Q/0Hw4wGNPZIs24ts7iHX&#10;FAXSa4Bscc9aW84atSVX0v5I//ojZ0h5tDaHswcjl4do1/6Ww+8bcoYcSe9/fjnsk6eq7XZNfTsx&#10;72aTpKrXzWZXf7ud/Ofu09+Wk6Try3pT7pu6up18r7rJzx/++pf3z8ebKm0emv2mahMwUnc3z8fb&#10;yUPfH2+m0279UB3K7l1zrGr4ctu0h7KHX9tv001bPoP1w36azmbF9LlpN8e2WVddB5/+4r6cfLD2&#10;t9tq3f97u+2qPtnfTsC33v7f2v/v8f/ph/flzbe2PD7s1uRG+Qe8OJS7GgYdTP1S9mXy2O7OTB12&#10;67bpmm3/bt0cps12u1tXlgOwMbNXbL4+lMfKcgFxuuMgU3c9s+tfn760yW5zO0nzxSSpywNM0qe2&#10;qlDyJF/NMpTo+djdAPLr8UuLJLvj52b93y6pm79vdv2XZlf34JJB5HQExV86+KPk/vlfzQYsl499&#10;Y3V62bYHNAUKJC92Or4P01G99MkaPszTZZHOJ8kavsoWy7yw0zUtb/iP149d/4+qsYbKp89d72Zz&#10;Az/ZudgQnzuY+e1hDxP70zTJiuQ5yeYFTf2AMR4mzdPkIclM/hqUeqAsv2wo8zBmll82lHugXDAE&#10;1AevV4KdwsMs0ssOwbye7Cwv+wNpOmAWgkIrD5OCjBcVMr7WhWDJjMWWTI3UFsgZX+50IcgEM3ni&#10;lxnJLV/xdDkTGPqaZ6kwecZXXfbL1z1LJY4j5QspNn3l89nlWEhHyhcCxXSkvGRqrLxkylfezAWG&#10;mOZD/KWQEBdjK/WVN/OlQNFXXkzA1Fde9stXfiXEaeYLb6RJzHzlRVO+8EaK02ykvJSJ2Uh50a0o&#10;5TNfeSF7Ml93WIsuTmE2kl2IhsxXXYrRfKQ6JP7FVT33VRdCNB+JLq1+uS+6ZGkkOSwgl33yJZcs&#10;+YKbpSAUbtlD2kiWfMUz2Ngu+xQj+dyXPJsL9Oa+5NKCPPc1z6TVau5rLq3H85HoQnDOfc1FS77o&#10;wuoy9yUX2fmaG4jgi5rPfc2ligOKntMUm4XgVeFrLmVM4WtuoKK46FXhaw5zfDGNi5HmK4Fg4Yue&#10;SaZ80c1CMuXLngoLcRElexEj+8KXXYiphS96KlVoC191gd3C1zyTasbFSHTJ1EhzI+ykC1/0TNqV&#10;F77omRGW9IWvejYXwmrhq57NhGBY+rJnuSD8Mkr4pS98mgmZs/SlF+v+pS99Ki1XS197sfJY+tqn&#10;kBYX03Dpay/F1tKXHtphwZQv/UpoAFa+8gZQF71ajZSXKo/VSPmZZGusvJDTK195sXJf+cqL9ePK&#10;V16stle+8uIsrnzpZb9G0gsUzczXHprey9qbmS++VEGa2Uh8qQYx0Nif9pVAN+fLH3BN1B/a9W/c&#10;kJcP3KOvX2pq0uGnpMTDopk9Fzg2HZ4HYMcOXf+dO1MobwCFHb0ABsYItkcVMF4YDIQQPLenFRoY&#10;AgbBiygwRASCV1Fg7JMRDa0wHptojhjiCO1uFJxYmjiahnhC0xplnZiaOKopUYXeM8Y6Np+oTBpH&#10;NSWq0EJGWSeqaRxVbBOtM3FUsRVEODR7Mc5kHLlxVLGjs9bjqGLTZuFxVLE1s/A4qth/IRw6rBiq&#10;2GRZeBzVnKjmcVRzogoNUZQzRDWPo4p9D/oOnU2MdextLDyOKvYvFh5HFU4uHTyO6pyoQrMR4zu2&#10;G+gMNBRRcKIKTUMUnKhCYxAFJ6pFHFUs/63vcVSxxEc4lPExzmAdb+FxVLFYt/A4qliQW3gcVay5&#10;LTyOKpbVCIfCOYYqVs4WHkcVi2MLj6OK9a+Fx1HFGtfC46hiHYtwqFRjqGKpauFxVLEatfA4qlhw&#10;WngcVawpLTyOqq0bEY+VYQxZWxu6P4ijC9Wv88jMRoRduUIVXAs32V7fXmsnCdxeu0evyptj2WPh&#10;xz8mz3A7B1exB7jCwTx+fmieqrvGInqs/2j5T2Fdd8ROgH0dBPLXfD06ey4qoDMge/w1Xx2Mdkxo&#10;A8Mwpwr0gVEwsOpI8GB8pUGdNdT6mjDFNxeZEHGhMWmPhzAOohwByI0QqqARr4GipVvxi1ZshSOt&#10;vJhMIfcHWNh/gkFDFWMtFqYEGhHVwpZU05KAJuqUexyufKWU4iR4zXS9b7oKpDzPaqqOU3DESS1l&#10;9RmQh+YrZY5bvOHuWlBsKptTmJvQDHPyw94aglFOwO3BIAyOBOzSeTUcdVGp4h4ca7hxNbbUN6ni&#10;4U032DNOk8ZzwFeei1gcxQ2EWUjmgQecWodxtLQPTwewX3wl/3g+FBxP73VgHFOKNY5QlaubCk06&#10;UmRIM1aCr6SIBJMT2OSuQjmtDVIGnyN5cL46J+DOq+Ok7MyG2h5tjYO7wmQvnJ4DTlmoGaftzm/H&#10;af7RdhlejFg+ZSfk2VC2aEO5fi2Ym1rNN+NmTNmm4Wa4nVhtnz7hwpsC47Qt+M04Za82RFcNZF7H&#10;tcTg9XkolTnB+EqJdpa6/L2c7k5xqC7cAizl+isY2+WrG9+BoEUPLeYuEuDmYghEJ6fKWkkHpsrC&#10;a6hNV5LxT0A5vTS/fjzKTZHmVxSKTiUUW38Cyq1bml8/GgXPbtgVUAnpaFhUssFTHnZQrZZ4Iyyc&#10;4XDj1w2qlIh0SqBV4lTS/VAYPKlhKSiDxsKcHpqxOJSLIs0WTXvMeq20XzSXvIvwtsBXf3sYthr+&#10;Ut6b4KkaK/BwVCPtTmdAts1X2h/x6RjocyCQg5sPdcdwaB+EUa8N1WgYRkmoDErBpGS+oYNYbVA6&#10;ItUo0FmnJgiUd6jbMA8sK19J3liY6w61qpwowDlBUF4SBEqkIIzkhY74KjDqq5RBKZA0ChSWmiCv&#10;s4HV5ysH+auk4a/lPOO1GJ5vInXERCPeA5CN85V8iIO5qDqNykb46ozRWYLSO7jMhoeOgvPr/IKn&#10;r66A4hHD6U+xDqVqKO6cEvQyApy8swJ8HcmqwXg6r4ajjV+1R30+PEUWJAvPj9nlJJuFpbM3EGDZ&#10;0aYrHsfjhoMEnpWz/qVKyHHdpAUwz8cfx8mpC8+WOV+H1lBK3XMkBxdfXZClfFClNKXwtB2NHJ5t&#10;vINiDxeVpnnAKcsg47TTmrfjwlHBfJWgYPmUExGeDWUhTSFFULxrwVwCaL7hs2o4aDg94QFCC1NP&#10;awZceNVle+ppDdmLxmmBR3S105qUbpRq91Z4zk4HqJxgfOVE48R4XUXI6Y5Lq0sm/hsp3c+RPDpf&#10;nRfDPQwl3TO+N6EUgcOZvqL6gFPSnXFaur8dF0535qskAcunpBTPhpbHVPNeCUZPYSi+pVRBK0zx&#10;JheGnpbuJ1w43RmnpfGbcUrgMV013Uk9Nd1pzrR05xA4x3G6Q92Hj1HYJ0WH5ynwMQzvFdiu2e82&#10;n3b7Pd57tW9QVx/3bfJUwrvP5Xpd1X1hH7bYPx7gbVz3eTGDf1iRQV35eIB3pd3HOX8MQwyW7OCj&#10;Qfb2qdy6wUG5hEVT8Aave9LXvg6MbwC7d4jvm813eBsY3heHF7Efmvb/k+QZ3r2+nXT/eyzbapLs&#10;/1nDm8Qrk8NEJb39JZ8vcHlp/W/u/W/qx8PHBijC09FlvQart5Oef/zYu3e94WVrUO1z/fW4RiD6&#10;eGy7/u7lt7I9Jvgj/BF4/WvD71yXN/xGMUo/YOkNZ0eEfoFXs6009Bo5vvvt/25Rp5fdP/wOAAD/&#10;/wMAUEsDBBQABgAIAAAAIQBE9+qO3AAAAAQBAAAPAAAAZHJzL2Rvd25yZXYueG1sTI9BS8NAEIXv&#10;gv9hGcGLtBsDTW2aTRFReygI1oLXbXbMhmRnY3bTxn/v9KTHN+/x3jfFZnKdOOEQGk8K7ucJCKTK&#10;m4ZqBYePl9kDiBA1Gd15QgU/GGBTXl8VOjf+TO942sdacAmFXCuwMfa5lKGy6HSY+x6JvS8/OB1Z&#10;DrU0gz5zuetkmiSZdLohXrC6xyeLVbsfnYLxLq3b7fPna/a9xR2m6cHu3lqlbm+mxzWIiFP8C8MF&#10;n9GhZKajH8kE0SmYLTh4OQs2syX/dVSwWC1BloX8D1/+AgAA//8DAFBLAQItABQABgAIAAAAIQC2&#10;gziS/gAAAOEBAAATAAAAAAAAAAAAAAAAAAAAAABbQ29udGVudF9UeXBlc10ueG1sUEsBAi0AFAAG&#10;AAgAAAAhADj9If/WAAAAlAEAAAsAAAAAAAAAAAAAAAAALwEAAF9yZWxzLy5yZWxzUEsBAi0AFAAG&#10;AAgAAAAhAJkwUwzMCgAAND8AAA4AAAAAAAAAAAAAAAAALgIAAGRycy9lMm9Eb2MueG1sUEsBAi0A&#10;FAAGAAgAAAAhAET36o7cAAAABAEAAA8AAAAAAAAAAAAAAAAAJg0AAGRycy9kb3ducmV2LnhtbFBL&#10;BQYAAAAABAAEAPMAAAAvDgAAAAA=&#10;" path="m44,246r,l40,244r-4,-2l34,240r,-4l34,104r,l34,100r2,-2l40,96r4,-2l66,94r,l70,96r2,2l76,100r,4l76,236r,l76,240r-4,2l70,244r-4,2l44,246xm30,270r,l32,274r2,2l36,278r4,2l316,280r,l320,278r2,-2l324,274r2,-4l326,270r-2,-4l322,262r-2,-2l316,260r-276,l40,260r-4,l34,262r-2,4l30,270r,xm148,246r,l152,244r4,-2l158,240r,-4l158,104r,l158,100r-2,-2l152,96r-4,-2l126,94r,l122,96r-4,2l116,100r,4l116,236r,l116,240r2,2l122,244r4,2l148,246xm6,72r,l6,68,8,64r2,-2l12,60,174,r,l174,r,l176,r,l176,r,l178,r,l180,r,l180,r,l182,r,l182,r,l342,60r,l348,64r2,6l350,70r,4l346,76r-2,4l340,80r,l340,80r-162,l178,80,16,80r,l12,80,10,78,8,74,6,72r,xm160,42r,l162,50r4,4l170,58r8,2l178,60r6,-2l190,54r4,-4l196,42r,l194,36r-4,-6l184,26r-6,-2l178,24r-8,2l166,30r-4,6l160,42r,xm346,294r-336,l10,294r-4,l4,298r-2,2l,304r,l2,308r2,4l6,314r4,l346,314r,l350,314r2,-2l354,308r2,-4l356,304r-2,-4l352,298r-2,-4l346,294r,xm230,246r,l234,244r4,-2l240,240r,-4l240,104r,l240,100r-2,-2l234,96r-4,-2l208,94r,l204,96r-4,2l198,100r,4l198,236r,l198,240r2,2l204,244r4,2l230,246xm312,246r,l316,244r4,-2l322,240r,-4l322,104r,l322,100r-2,-2l316,96r-4,-2l290,94r,l286,96r-2,2l280,100r,4l280,236r,l280,240r4,2l286,244r4,2l312,246xe" fillcolor="#fabf8f [1945]" stroked="f">
                      <v:path arrowok="t" o:connecttype="custom" o:connectlocs="43344,291679;40936,125350;52976,113297;86688,118118;91504,284448;79464,296501;38528,330249;380465,337480;390097,330249;387689,315785;48160,313375;36120,325427;183008,294090;190232,125350;183008,115708;146888,115708;139664,284448;146888,294090;7224,86781;14448,72317;209496,0;211904,0;216721,0;219129,0;411769,72317;421401,89191;409361,96423;19264,96423;9632,89191;192640,50622;214312,72317;233577,60264;228761,36159;204680,31337;192640,50622;7224,354354;0,366407;12040,378460;423809,376049;426217,361586;416585,354354;286553,291679;288961,125350;276921,113297;240801,118118;238393,284448;250433,296501;380465,294090;387689,125350;380465,115708;344345,115708;337121,284448;344345,294090" o:connectangles="0,0,0,0,0,0,0,0,0,0,0,0,0,0,0,0,0,0,0,0,0,0,0,0,0,0,0,0,0,0,0,0,0,0,0,0,0,0,0,0,0,0,0,0,0,0,0,0,0,0,0,0,0"/>
                      <o:lock v:ext="edit" verticies="t"/>
                    </v:shape>
                  </w:pict>
                </mc:Fallback>
              </mc:AlternateContent>
            </w:r>
          </w:p>
        </w:tc>
        <w:tc>
          <w:tcPr>
            <w:tcW w:w="1559" w:type="dxa"/>
            <w:tcBorders>
              <w:top w:val="single" w:sz="4" w:space="0" w:color="A6A6A6" w:themeColor="background1" w:themeShade="A6"/>
            </w:tcBorders>
          </w:tcPr>
          <w:p w14:paraId="66C2B34F" w14:textId="77777777" w:rsidR="00391C97" w:rsidRPr="007E5633" w:rsidRDefault="00391C97" w:rsidP="000A7BA9">
            <w:pPr>
              <w:pStyle w:val="af4"/>
              <w:rPr>
                <w:b/>
                <w:szCs w:val="20"/>
                <w:lang w:val="uk-UA"/>
              </w:rPr>
            </w:pPr>
            <w:r w:rsidRPr="007E5633">
              <w:rPr>
                <w:b/>
                <w:szCs w:val="20"/>
                <w:lang w:val="uk-UA"/>
              </w:rPr>
              <w:t>Організація</w:t>
            </w:r>
          </w:p>
        </w:tc>
        <w:tc>
          <w:tcPr>
            <w:tcW w:w="4253" w:type="dxa"/>
            <w:tcBorders>
              <w:top w:val="single" w:sz="4" w:space="0" w:color="A6A6A6" w:themeColor="background1" w:themeShade="A6"/>
            </w:tcBorders>
          </w:tcPr>
          <w:p w14:paraId="5665D296" w14:textId="77777777" w:rsidR="00391C97" w:rsidRPr="007E5633" w:rsidRDefault="00391C97" w:rsidP="000A7BA9">
            <w:pPr>
              <w:pStyle w:val="af4"/>
              <w:rPr>
                <w:szCs w:val="20"/>
                <w:lang w:val="uk-UA"/>
              </w:rPr>
            </w:pPr>
            <w:r w:rsidRPr="007E5633">
              <w:rPr>
                <w:szCs w:val="20"/>
                <w:lang w:val="uk-UA"/>
              </w:rPr>
              <w:t>Програми первинної діяльності на наступні три роки (включаючи каталог пропонованих послуг та продуктів, очікувана кількість клієнтів), організаційна структура, системи внутрішнього контролю, рамки управління ризиками, принципи та політика бухгалтерського обліку, підхід до управлінського обліку, зарплатна політика, політика управління персоналом, опис ІТ-архітектури, підхід до нормативної звітності, перелік функцій, що передаються стороннім організаціям, плани підтримування безперервності бізнесу, політика ведення обліку та збереження документації</w:t>
            </w:r>
          </w:p>
        </w:tc>
        <w:tc>
          <w:tcPr>
            <w:tcW w:w="3969" w:type="dxa"/>
            <w:tcBorders>
              <w:top w:val="single" w:sz="4" w:space="0" w:color="A6A6A6" w:themeColor="background1" w:themeShade="A6"/>
            </w:tcBorders>
          </w:tcPr>
          <w:p w14:paraId="1B4CAC1F" w14:textId="77777777" w:rsidR="00391C97" w:rsidRPr="007E5633" w:rsidRDefault="00391C97" w:rsidP="000A7BA9">
            <w:pPr>
              <w:pStyle w:val="af4"/>
              <w:rPr>
                <w:szCs w:val="20"/>
                <w:lang w:val="uk-UA"/>
              </w:rPr>
            </w:pPr>
            <w:r w:rsidRPr="007E5633">
              <w:rPr>
                <w:szCs w:val="20"/>
                <w:lang w:val="uk-UA"/>
              </w:rPr>
              <w:t>a programme of initial operations for the following three years (including catalog of offered services and products, expected number of customers), organisational structure, internal control systems, risk management framework, accounting principles and policies, approach to management accounting, remuneration policy, personnel management policy, description of IT architecture, approach to regulatory reporting, list of outsourced functions, business continuity plans, record-keeping and record retention policies</w:t>
            </w:r>
          </w:p>
        </w:tc>
      </w:tr>
    </w:tbl>
    <w:p w14:paraId="62E8BA7E" w14:textId="77777777" w:rsidR="00A61BEE" w:rsidRPr="007E5633" w:rsidRDefault="00391C97" w:rsidP="00A61BEE">
      <w:pPr>
        <w:pStyle w:val="af4"/>
        <w:rPr>
          <w:sz w:val="22"/>
          <w:szCs w:val="22"/>
          <w:lang w:val="uk-UA"/>
        </w:rPr>
      </w:pPr>
      <w:r w:rsidRPr="007E5633">
        <w:rPr>
          <w:sz w:val="22"/>
          <w:szCs w:val="22"/>
          <w:lang w:val="uk-UA"/>
        </w:rPr>
        <w:t>Джерело</w:t>
      </w:r>
      <w:r w:rsidR="00A61BEE" w:rsidRPr="007E5633">
        <w:rPr>
          <w:sz w:val="22"/>
          <w:szCs w:val="22"/>
          <w:lang w:val="uk-UA"/>
        </w:rPr>
        <w:t>: PwC</w:t>
      </w:r>
    </w:p>
    <w:p w14:paraId="15476092" w14:textId="77777777" w:rsidR="00391C97" w:rsidRPr="007E5633" w:rsidRDefault="00391C97" w:rsidP="00391C97">
      <w:pPr>
        <w:pStyle w:val="af4"/>
        <w:rPr>
          <w:sz w:val="22"/>
          <w:szCs w:val="22"/>
          <w:lang w:val="uk-UA"/>
        </w:rPr>
      </w:pPr>
      <w:bookmarkStart w:id="52" w:name="_Toc526775015"/>
      <w:r w:rsidRPr="007E5633">
        <w:rPr>
          <w:sz w:val="22"/>
          <w:szCs w:val="22"/>
          <w:lang w:val="uk-UA"/>
        </w:rPr>
        <w:lastRenderedPageBreak/>
        <w:t>Заявник повинен бути поінформований про результат процесу отримання ліцензії протягом шести місяців з моменту подання повного пакета заявки до NCA, тому для заявника дуже важливо зібрати необхідну документацію з максимальною обережністю.</w:t>
      </w:r>
    </w:p>
    <w:p w14:paraId="6E5090FC" w14:textId="77777777" w:rsidR="00391C97" w:rsidRPr="007E5633" w:rsidRDefault="00391C97" w:rsidP="00391C97">
      <w:pPr>
        <w:pStyle w:val="af4"/>
        <w:rPr>
          <w:sz w:val="22"/>
          <w:szCs w:val="22"/>
          <w:lang w:val="uk-UA"/>
        </w:rPr>
      </w:pPr>
      <w:r w:rsidRPr="007E5633">
        <w:rPr>
          <w:sz w:val="22"/>
          <w:szCs w:val="22"/>
          <w:lang w:val="uk-UA"/>
        </w:rPr>
        <w:t>Держави-члени MIFID II зобов'язані мати загальнодоступний та регулярно оновлюваний реєстр усіх інвестиційних фірм, який містить інформацію про послуги або види діяльності, по яких інвестиційна фірма отримала ліцензію. ESMA повинна бути повідомлена про кожну видану ліцензію.</w:t>
      </w:r>
    </w:p>
    <w:p w14:paraId="23D70C7C" w14:textId="77777777" w:rsidR="00A61BEE" w:rsidRPr="007E5633" w:rsidRDefault="00391C97" w:rsidP="00912D9A">
      <w:pPr>
        <w:pStyle w:val="FSHeader1"/>
        <w:keepNext w:val="0"/>
        <w:pageBreakBefore w:val="0"/>
        <w:numPr>
          <w:ilvl w:val="2"/>
          <w:numId w:val="27"/>
        </w:numPr>
        <w:tabs>
          <w:tab w:val="left" w:pos="709"/>
        </w:tabs>
        <w:spacing w:after="120"/>
        <w:rPr>
          <w:rFonts w:ascii="Arial" w:hAnsi="Arial" w:cs="Arial"/>
          <w:color w:val="auto"/>
          <w:sz w:val="22"/>
          <w:szCs w:val="22"/>
          <w:lang w:val="uk-UA"/>
        </w:rPr>
      </w:pPr>
      <w:bookmarkStart w:id="53" w:name="_Toc533093911"/>
      <w:bookmarkEnd w:id="52"/>
      <w:r w:rsidRPr="007E5633">
        <w:rPr>
          <w:rFonts w:ascii="Arial" w:hAnsi="Arial" w:cs="Arial"/>
          <w:color w:val="auto"/>
          <w:sz w:val="22"/>
          <w:szCs w:val="22"/>
          <w:lang w:val="uk-UA"/>
        </w:rPr>
        <w:t>Процедура авторизації (ліцензування) для багатосторонніх торговельних платформ (MTF) та організованих торгових платформ (OTF)</w:t>
      </w:r>
      <w:bookmarkEnd w:id="53"/>
    </w:p>
    <w:p w14:paraId="0C06AB1F" w14:textId="77777777" w:rsidR="00391C97" w:rsidRPr="007E5633" w:rsidRDefault="00391C97" w:rsidP="00391C97">
      <w:pPr>
        <w:pStyle w:val="af4"/>
        <w:rPr>
          <w:sz w:val="22"/>
          <w:szCs w:val="22"/>
          <w:lang w:val="uk-UA"/>
        </w:rPr>
      </w:pPr>
      <w:r w:rsidRPr="007E5633">
        <w:rPr>
          <w:sz w:val="22"/>
          <w:szCs w:val="22"/>
          <w:lang w:val="uk-UA"/>
        </w:rPr>
        <w:t>Відповідно до Розділу А (8-9) Додатка I MiFID II, функціонування MTF та OTF є інвестиційною діяльністю, яка потребує отримання ліцензії. Загалом процес ліцензування для цих двох типів торговельних майданчиків організований таким же чином. Вимоги, специфічні тільки для MTF або OTF, описані в розділах 1.2.1 та 1.2.2 відповідно.</w:t>
      </w:r>
    </w:p>
    <w:p w14:paraId="76DF6EF8" w14:textId="77777777" w:rsidR="00391C97" w:rsidRPr="007E5633" w:rsidRDefault="00391C97" w:rsidP="00391C97">
      <w:pPr>
        <w:pStyle w:val="af4"/>
        <w:rPr>
          <w:sz w:val="22"/>
          <w:szCs w:val="22"/>
          <w:lang w:val="uk-UA"/>
        </w:rPr>
      </w:pPr>
      <w:r w:rsidRPr="007E5633">
        <w:rPr>
          <w:sz w:val="22"/>
          <w:szCs w:val="22"/>
          <w:lang w:val="uk-UA"/>
        </w:rPr>
        <w:t>Принципово, процедура авторизації (ліцензування) операторів MTF / OTF визначена в MiFID II (Директива 2014/65 / ЄС Європейського Парламенту та Ради від 15 травня 2014 р. Про ринки фінансових інструментів та внесення змін до Директиви 2002/92 / ЄС та Директиви 2011/61 / ЄС), тому вона є однаковою в усіх державах-членах Європейського Союзу. Документація, яка повинна бути подана у складі заяви, вказана в ITS19 (Commission Implementing Regulation (EU) 2016/824 від 25 травня 2016 р., яка визначає імплементаційні технічні стандарти стосовно змісту та формату опису функціонування багатосторонніх торговельних платформ та організованих торговельних платформ та повідомлення Європейському органу з цінних паперів та ринків (ESMA) відповідно до Директиви 2014/65 / ЄС Європейського Парламенту та Ради з ринків фінансових інструментів). Заявку на отримання ліцензії обробляє компетентний національний орган. Список національних регуляторів можна знайти на офіційній веб-сторінці Європейського органу з цінних паперів та ринків (ESMA).</w:t>
      </w:r>
    </w:p>
    <w:p w14:paraId="74B10E76" w14:textId="77777777" w:rsidR="00391C97" w:rsidRPr="007E5633" w:rsidRDefault="00391C97" w:rsidP="00391C97">
      <w:pPr>
        <w:pStyle w:val="af4"/>
        <w:rPr>
          <w:sz w:val="22"/>
          <w:szCs w:val="22"/>
          <w:lang w:val="uk-UA"/>
        </w:rPr>
      </w:pPr>
      <w:r w:rsidRPr="007E5633">
        <w:rPr>
          <w:sz w:val="22"/>
          <w:szCs w:val="22"/>
          <w:lang w:val="uk-UA"/>
        </w:rPr>
        <w:t>Коли ліцензія надається, національний орган повідомляє Європейський орган з цінних паперів та ринків (ESMA) про ліцензію відповідного оператора в якості MTF або OTF. ESMA робить запис у офіційному реєстрі, який є загальнодоступним.</w:t>
      </w:r>
    </w:p>
    <w:p w14:paraId="4784B423" w14:textId="77777777" w:rsidR="00391C97" w:rsidRPr="007E5633" w:rsidRDefault="00391C97" w:rsidP="00391C97">
      <w:pPr>
        <w:pStyle w:val="af4"/>
        <w:rPr>
          <w:sz w:val="22"/>
          <w:szCs w:val="22"/>
          <w:lang w:val="uk-UA"/>
        </w:rPr>
      </w:pPr>
      <w:r w:rsidRPr="007E5633">
        <w:rPr>
          <w:sz w:val="22"/>
          <w:szCs w:val="22"/>
          <w:lang w:val="uk-UA"/>
        </w:rPr>
        <w:t>Відповідно до статті 6 Регламенту ЄС (2016/824 від 25 травня 2016 року), інвестиційна фірма, що подається на ліцензію на організацію MTF або OTF, надає своєму компетентному органу таку інформацію:</w:t>
      </w:r>
    </w:p>
    <w:p w14:paraId="48FF7283" w14:textId="77777777" w:rsidR="00391C97" w:rsidRPr="007E5633" w:rsidRDefault="00391C97" w:rsidP="00391C97">
      <w:pPr>
        <w:pStyle w:val="af4"/>
        <w:rPr>
          <w:sz w:val="22"/>
          <w:szCs w:val="22"/>
          <w:lang w:val="uk-UA"/>
        </w:rPr>
      </w:pPr>
      <w:r w:rsidRPr="007E5633">
        <w:rPr>
          <w:sz w:val="22"/>
          <w:szCs w:val="22"/>
          <w:lang w:val="uk-UA"/>
        </w:rPr>
        <w:t>a. класи активів фінансових інструментів, що торгуються на MTF або OTF;</w:t>
      </w:r>
    </w:p>
    <w:p w14:paraId="0AD8F697" w14:textId="77777777" w:rsidR="00391C97" w:rsidRPr="007E5633" w:rsidRDefault="00391C97" w:rsidP="00391C97">
      <w:pPr>
        <w:pStyle w:val="af4"/>
        <w:rPr>
          <w:sz w:val="22"/>
          <w:szCs w:val="22"/>
          <w:lang w:val="uk-UA"/>
        </w:rPr>
      </w:pPr>
      <w:r w:rsidRPr="007E5633">
        <w:rPr>
          <w:sz w:val="22"/>
          <w:szCs w:val="22"/>
          <w:lang w:val="uk-UA"/>
        </w:rPr>
        <w:t>б. правила та процедури здійснення торгівлі фінансовими інструментами, а також відомості про механізми публікації, що використовуються для надання такої інформації громадськості;</w:t>
      </w:r>
    </w:p>
    <w:p w14:paraId="4078C104" w14:textId="77777777" w:rsidR="00391C97" w:rsidRPr="007E5633" w:rsidRDefault="00391C97" w:rsidP="00391C97">
      <w:pPr>
        <w:pStyle w:val="af4"/>
        <w:rPr>
          <w:sz w:val="22"/>
          <w:szCs w:val="22"/>
          <w:lang w:val="uk-UA"/>
        </w:rPr>
      </w:pPr>
      <w:r w:rsidRPr="007E5633">
        <w:rPr>
          <w:sz w:val="22"/>
          <w:szCs w:val="22"/>
          <w:lang w:val="uk-UA"/>
        </w:rPr>
        <w:t>в. правила та процедури, що забезпечують об'єктивний та недискримінаційний доступ до торговельних установ разом із деталями щодо механізмів публікації, що використовуються для надання такої інформації громадськості;</w:t>
      </w:r>
    </w:p>
    <w:p w14:paraId="73919F33" w14:textId="77777777" w:rsidR="00391C97" w:rsidRPr="007E5633" w:rsidRDefault="00391C97" w:rsidP="00391C97">
      <w:pPr>
        <w:pStyle w:val="af4"/>
        <w:rPr>
          <w:sz w:val="22"/>
          <w:szCs w:val="22"/>
          <w:lang w:val="uk-UA"/>
        </w:rPr>
      </w:pPr>
      <w:r w:rsidRPr="007E5633">
        <w:rPr>
          <w:sz w:val="22"/>
          <w:szCs w:val="22"/>
          <w:lang w:val="uk-UA"/>
        </w:rPr>
        <w:t>г. заходи та процедури, щоб забезпечити доступність достатньої інформації для користувачів MTF або OTF для формування інвестиційного рішення з урахуванням як характеру користувачів, так і класів фінансових інструментів, що торгуються;</w:t>
      </w:r>
    </w:p>
    <w:p w14:paraId="3495652F" w14:textId="77777777" w:rsidR="00391C97" w:rsidRPr="007E5633" w:rsidRDefault="00391C97" w:rsidP="00391C97">
      <w:pPr>
        <w:pStyle w:val="af4"/>
        <w:rPr>
          <w:sz w:val="22"/>
          <w:szCs w:val="22"/>
          <w:lang w:val="uk-UA"/>
        </w:rPr>
      </w:pPr>
      <w:r w:rsidRPr="007E5633">
        <w:rPr>
          <w:sz w:val="22"/>
          <w:szCs w:val="22"/>
          <w:lang w:val="uk-UA"/>
        </w:rPr>
        <w:lastRenderedPageBreak/>
        <w:t>д. системи, процедури та домовленості щодо забезпечення відповідності умовам, викладеним у статтях 48 та 49 MIFID II (Стаття 48. Стійкість системи, автоматичні вимикачі та електронна торгівля. Стаття 49. Гранульованість подання котирувань);</w:t>
      </w:r>
    </w:p>
    <w:p w14:paraId="62578713" w14:textId="77777777" w:rsidR="00391C97" w:rsidRPr="007E5633" w:rsidRDefault="00391C97" w:rsidP="00391C97">
      <w:pPr>
        <w:pStyle w:val="af4"/>
        <w:rPr>
          <w:sz w:val="22"/>
          <w:szCs w:val="22"/>
          <w:lang w:val="uk-UA"/>
        </w:rPr>
      </w:pPr>
      <w:r w:rsidRPr="007E5633">
        <w:rPr>
          <w:sz w:val="22"/>
          <w:szCs w:val="22"/>
          <w:lang w:val="uk-UA"/>
        </w:rPr>
        <w:t>е. докладний опис будь-яких заходів, спрямованих на полегшення забезпечення ліквідності системи, такі як схеми створення ринків (market making);</w:t>
      </w:r>
    </w:p>
    <w:p w14:paraId="52E5DD49" w14:textId="77777777" w:rsidR="00391C97" w:rsidRPr="007E5633" w:rsidRDefault="00391C97" w:rsidP="00391C97">
      <w:pPr>
        <w:pStyle w:val="af4"/>
        <w:rPr>
          <w:sz w:val="22"/>
          <w:szCs w:val="22"/>
          <w:lang w:val="uk-UA"/>
        </w:rPr>
      </w:pPr>
      <w:r w:rsidRPr="007E5633">
        <w:rPr>
          <w:sz w:val="22"/>
          <w:szCs w:val="22"/>
          <w:lang w:val="uk-UA"/>
        </w:rPr>
        <w:t>є. механізми та процедури контролю за транзакціями, як того вимагає стаття 31 MIFID II;</w:t>
      </w:r>
    </w:p>
    <w:p w14:paraId="57671D3F" w14:textId="77777777" w:rsidR="00391C97" w:rsidRPr="007E5633" w:rsidRDefault="00391C97" w:rsidP="00391C97">
      <w:pPr>
        <w:pStyle w:val="af4"/>
        <w:rPr>
          <w:sz w:val="22"/>
          <w:szCs w:val="22"/>
          <w:lang w:val="uk-UA"/>
        </w:rPr>
      </w:pPr>
      <w:r w:rsidRPr="007E5633">
        <w:rPr>
          <w:sz w:val="22"/>
          <w:szCs w:val="22"/>
          <w:lang w:val="uk-UA"/>
        </w:rPr>
        <w:t>ж. правила та процедури призупинення та зняття фінансових інструментів з торгівлі, як того вимагає стаття 32 MIFID II;</w:t>
      </w:r>
    </w:p>
    <w:p w14:paraId="29D9F106" w14:textId="77777777" w:rsidR="00391C97" w:rsidRPr="007E5633" w:rsidRDefault="00391C97" w:rsidP="00391C97">
      <w:pPr>
        <w:pStyle w:val="af4"/>
        <w:rPr>
          <w:sz w:val="22"/>
          <w:szCs w:val="22"/>
          <w:lang w:val="uk-UA"/>
        </w:rPr>
      </w:pPr>
      <w:r w:rsidRPr="007E5633">
        <w:rPr>
          <w:sz w:val="22"/>
          <w:szCs w:val="22"/>
          <w:lang w:val="uk-UA"/>
        </w:rPr>
        <w:t>з. заходи щодо дотримання вимог про прозорість перед торгами та після торгів, що застосовуються до фінансових інструментів, що торгуються, та функціонування торгівлі на MTF або OTF; ця інформація повинна супроводжуватися інформацією про будь-які наміри щодо використання відмов (винятків) згідно з статтями 4 та 9 Регламенту (ЄС) № 600/2014 та відкладеною публікацією відповідно до статей 7 та 11 цього Регламенту;</w:t>
      </w:r>
    </w:p>
    <w:p w14:paraId="290045AD" w14:textId="77777777" w:rsidR="00391C97" w:rsidRPr="007E5633" w:rsidRDefault="00391C97" w:rsidP="00391C97">
      <w:pPr>
        <w:pStyle w:val="af4"/>
        <w:rPr>
          <w:sz w:val="22"/>
          <w:szCs w:val="22"/>
          <w:lang w:val="uk-UA"/>
        </w:rPr>
      </w:pPr>
      <w:r w:rsidRPr="007E5633">
        <w:rPr>
          <w:sz w:val="22"/>
          <w:szCs w:val="22"/>
          <w:lang w:val="uk-UA"/>
        </w:rPr>
        <w:t>і. механізми ефективного врегулювання транзакцій, здійснених за його системами, та забезпечення того, щоб користувачі усвідомлювали свою відповідну відповідальність у цьому відношенні;</w:t>
      </w:r>
    </w:p>
    <w:p w14:paraId="0A7DD72A" w14:textId="77777777" w:rsidR="00391C97" w:rsidRPr="007E5633" w:rsidRDefault="00391C97" w:rsidP="00391C97">
      <w:pPr>
        <w:pStyle w:val="af4"/>
        <w:rPr>
          <w:sz w:val="22"/>
          <w:szCs w:val="22"/>
          <w:lang w:val="uk-UA"/>
        </w:rPr>
      </w:pPr>
      <w:r w:rsidRPr="007E5633">
        <w:rPr>
          <w:sz w:val="22"/>
          <w:szCs w:val="22"/>
          <w:lang w:val="uk-UA"/>
        </w:rPr>
        <w:t>й. список членів або учасників MTF або OTF, якими він керує.</w:t>
      </w:r>
    </w:p>
    <w:p w14:paraId="18B42D84" w14:textId="77777777" w:rsidR="00391C97" w:rsidRPr="007E5633" w:rsidRDefault="00391C97" w:rsidP="00391C97">
      <w:pPr>
        <w:pStyle w:val="af4"/>
        <w:rPr>
          <w:sz w:val="22"/>
          <w:szCs w:val="22"/>
          <w:lang w:val="uk-UA"/>
        </w:rPr>
      </w:pPr>
      <w:r w:rsidRPr="007E5633">
        <w:rPr>
          <w:sz w:val="22"/>
          <w:szCs w:val="22"/>
          <w:lang w:val="uk-UA"/>
        </w:rPr>
        <w:t>Крім того, компетентному органу повинна бути надана детальна документація, що описує функціонування торговельної системи, із зазначенням:</w:t>
      </w:r>
    </w:p>
    <w:p w14:paraId="5342F0D3" w14:textId="77777777" w:rsidR="00391C97" w:rsidRPr="007E5633" w:rsidRDefault="00391C97" w:rsidP="00391C97">
      <w:pPr>
        <w:pStyle w:val="af4"/>
        <w:rPr>
          <w:sz w:val="22"/>
          <w:szCs w:val="22"/>
          <w:lang w:val="uk-UA"/>
        </w:rPr>
      </w:pPr>
      <w:r w:rsidRPr="007E5633">
        <w:rPr>
          <w:sz w:val="22"/>
          <w:szCs w:val="22"/>
          <w:lang w:val="uk-UA"/>
        </w:rPr>
        <w:t>a. чи представляє система голосовий, електронний або гібридний тип майданчика;</w:t>
      </w:r>
    </w:p>
    <w:p w14:paraId="4A1DC09E" w14:textId="77777777" w:rsidR="00391C97" w:rsidRPr="007E5633" w:rsidRDefault="00391C97" w:rsidP="00391C97">
      <w:pPr>
        <w:pStyle w:val="af4"/>
        <w:rPr>
          <w:sz w:val="22"/>
          <w:szCs w:val="22"/>
          <w:lang w:val="uk-UA"/>
        </w:rPr>
      </w:pPr>
      <w:r w:rsidRPr="007E5633">
        <w:rPr>
          <w:sz w:val="22"/>
          <w:szCs w:val="22"/>
          <w:lang w:val="uk-UA"/>
        </w:rPr>
        <w:t>б. у випадку електронної або гібридної торговельної системи характер будь-якого алгоритму чи програми, що використовується для визначення відповідності (matching) та виконання торговельних інтересів;</w:t>
      </w:r>
    </w:p>
    <w:p w14:paraId="727351CD" w14:textId="77777777" w:rsidR="00391C97" w:rsidRPr="007E5633" w:rsidRDefault="00391C97" w:rsidP="00391C97">
      <w:pPr>
        <w:pStyle w:val="af4"/>
        <w:rPr>
          <w:sz w:val="22"/>
          <w:szCs w:val="22"/>
          <w:lang w:val="uk-UA"/>
        </w:rPr>
      </w:pPr>
      <w:r w:rsidRPr="007E5633">
        <w:rPr>
          <w:sz w:val="22"/>
          <w:szCs w:val="22"/>
          <w:lang w:val="uk-UA"/>
        </w:rPr>
        <w:t>в. у випадку системи голосової торгівлі, правила та протоколи, які використовуються для визначення відповідності (matching) та виконання торговельних інтересів;</w:t>
      </w:r>
    </w:p>
    <w:p w14:paraId="4D160E99" w14:textId="77777777" w:rsidR="00391C97" w:rsidRPr="007E5633" w:rsidRDefault="00391C97" w:rsidP="00391C97">
      <w:pPr>
        <w:pStyle w:val="af4"/>
        <w:rPr>
          <w:sz w:val="22"/>
          <w:szCs w:val="22"/>
          <w:lang w:val="uk-UA"/>
        </w:rPr>
      </w:pPr>
      <w:r w:rsidRPr="007E5633">
        <w:rPr>
          <w:sz w:val="22"/>
          <w:szCs w:val="22"/>
          <w:lang w:val="uk-UA"/>
        </w:rPr>
        <w:t>г. опис, що пояснює, яким чином торгова система задовольняє кожен елемент визначення MTF або OTF.</w:t>
      </w:r>
    </w:p>
    <w:p w14:paraId="623AD76D" w14:textId="77777777" w:rsidR="00391C97" w:rsidRPr="007E5633" w:rsidRDefault="00391C97" w:rsidP="00391C97">
      <w:pPr>
        <w:pStyle w:val="af4"/>
        <w:rPr>
          <w:sz w:val="22"/>
          <w:szCs w:val="22"/>
          <w:lang w:val="uk-UA"/>
        </w:rPr>
      </w:pPr>
      <w:r w:rsidRPr="007E5633">
        <w:rPr>
          <w:sz w:val="22"/>
          <w:szCs w:val="22"/>
          <w:lang w:val="uk-UA"/>
        </w:rPr>
        <w:t>У сфері аутсорсингу, деталізація заходів, пов'язаних з управлінням, експлуатацією та наглядом за MTF або OTF, компетентний національний орган повинен бути поінформований про:</w:t>
      </w:r>
    </w:p>
    <w:p w14:paraId="06675442" w14:textId="77777777" w:rsidR="00391C97" w:rsidRPr="007E5633" w:rsidRDefault="00391C97" w:rsidP="00391C97">
      <w:pPr>
        <w:pStyle w:val="af4"/>
        <w:rPr>
          <w:sz w:val="22"/>
          <w:szCs w:val="22"/>
          <w:lang w:val="uk-UA"/>
        </w:rPr>
      </w:pPr>
      <w:r w:rsidRPr="007E5633">
        <w:rPr>
          <w:sz w:val="22"/>
          <w:szCs w:val="22"/>
          <w:lang w:val="uk-UA"/>
        </w:rPr>
        <w:t>е. організаційні заходи для визначення ризиків, пов'язаних із цими зовнішніми заходами, та моніторингом діяльності, що здійснюється на зовнішньому рівні;</w:t>
      </w:r>
    </w:p>
    <w:p w14:paraId="45180B6B" w14:textId="77777777" w:rsidR="00391C97" w:rsidRPr="007E5633" w:rsidRDefault="00391C97" w:rsidP="00391C97">
      <w:pPr>
        <w:pStyle w:val="af4"/>
        <w:rPr>
          <w:sz w:val="22"/>
          <w:szCs w:val="22"/>
          <w:lang w:val="uk-UA"/>
        </w:rPr>
      </w:pPr>
      <w:r w:rsidRPr="007E5633">
        <w:rPr>
          <w:sz w:val="22"/>
          <w:szCs w:val="22"/>
          <w:lang w:val="uk-UA"/>
        </w:rPr>
        <w:t>є. договір між інвестиційною компанією та суб'єктом господарювання, що надає послуги аутсорсингу, в яких намічені характер, сфера дії, цілі та угоди про рівень обслуговування.</w:t>
      </w:r>
    </w:p>
    <w:p w14:paraId="467ADE7D" w14:textId="77777777" w:rsidR="00391C97" w:rsidRPr="007E5633" w:rsidRDefault="00391C97" w:rsidP="00391C97">
      <w:pPr>
        <w:pStyle w:val="af4"/>
        <w:rPr>
          <w:sz w:val="22"/>
          <w:szCs w:val="22"/>
          <w:lang w:val="uk-UA"/>
        </w:rPr>
      </w:pPr>
      <w:r w:rsidRPr="007E5633">
        <w:rPr>
          <w:sz w:val="22"/>
          <w:szCs w:val="22"/>
          <w:lang w:val="uk-UA"/>
        </w:rPr>
        <w:t>У комплекті документів до заявки на отримання ліцензії також додається:</w:t>
      </w:r>
    </w:p>
    <w:p w14:paraId="72B63A59" w14:textId="77777777" w:rsidR="00391C97" w:rsidRPr="007E5633" w:rsidRDefault="00391C97" w:rsidP="00391C97">
      <w:pPr>
        <w:pStyle w:val="af4"/>
        <w:rPr>
          <w:sz w:val="22"/>
          <w:szCs w:val="22"/>
          <w:lang w:val="uk-UA"/>
        </w:rPr>
      </w:pPr>
      <w:r w:rsidRPr="007E5633">
        <w:rPr>
          <w:sz w:val="22"/>
          <w:szCs w:val="22"/>
          <w:lang w:val="uk-UA"/>
        </w:rPr>
        <w:t>ж. інформація про те, як і в яких випадках функціонування системи MTF або OTF призведе до будь-яких можливих конфліктів між інтересами MTF або OTF, його оператором або його власниками та належним функціонуванням MTF або OTF.</w:t>
      </w:r>
    </w:p>
    <w:p w14:paraId="53E95979" w14:textId="77777777" w:rsidR="00391C97" w:rsidRPr="007E5633" w:rsidRDefault="00391C97" w:rsidP="00391C97">
      <w:pPr>
        <w:pStyle w:val="af4"/>
        <w:rPr>
          <w:sz w:val="22"/>
          <w:szCs w:val="22"/>
          <w:lang w:val="uk-UA"/>
        </w:rPr>
      </w:pPr>
      <w:r w:rsidRPr="007E5633">
        <w:rPr>
          <w:sz w:val="22"/>
          <w:szCs w:val="22"/>
          <w:lang w:val="uk-UA"/>
        </w:rPr>
        <w:lastRenderedPageBreak/>
        <w:t>з.</w:t>
      </w:r>
      <w:r w:rsidR="007E5633">
        <w:rPr>
          <w:sz w:val="22"/>
          <w:szCs w:val="22"/>
          <w:lang w:val="uk-UA"/>
        </w:rPr>
        <w:t xml:space="preserve"> </w:t>
      </w:r>
      <w:r w:rsidRPr="007E5633">
        <w:rPr>
          <w:sz w:val="22"/>
          <w:szCs w:val="22"/>
          <w:lang w:val="uk-UA"/>
        </w:rPr>
        <w:t>процедури та домовленості щодо відповідності вимогам, викладеним у частині 4 статті 18 MIFID II, тобто механізм чіткого визначення та управління можливими несприятливими наслідками конфлікту інтересів</w:t>
      </w:r>
    </w:p>
    <w:p w14:paraId="3A1A5B96" w14:textId="77777777" w:rsidR="00391C97" w:rsidRPr="007E5633" w:rsidRDefault="00391C97" w:rsidP="00391C97">
      <w:pPr>
        <w:pStyle w:val="af4"/>
        <w:rPr>
          <w:sz w:val="22"/>
          <w:szCs w:val="22"/>
          <w:lang w:val="uk-UA"/>
        </w:rPr>
      </w:pPr>
      <w:r w:rsidRPr="007E5633">
        <w:rPr>
          <w:sz w:val="22"/>
          <w:szCs w:val="22"/>
          <w:lang w:val="uk-UA"/>
        </w:rPr>
        <w:t>і. інформація про будь-які посилання на або участь у регульованому ринку, MTF, OTF або систематичний внутрішній розпорядник, який належить одному оператору;</w:t>
      </w:r>
    </w:p>
    <w:p w14:paraId="20386129" w14:textId="77777777" w:rsidR="00A6241E" w:rsidRPr="007E5633" w:rsidRDefault="00A6241E" w:rsidP="00912D9A">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54" w:name="_Toc533093912"/>
      <w:r w:rsidRPr="007E5633">
        <w:rPr>
          <w:rFonts w:ascii="Arial" w:hAnsi="Arial" w:cs="Arial"/>
          <w:color w:val="auto"/>
          <w:sz w:val="22"/>
          <w:szCs w:val="22"/>
          <w:lang w:val="uk-UA"/>
        </w:rPr>
        <w:t>Критерії авторизації</w:t>
      </w:r>
      <w:r w:rsidR="00FA15CD">
        <w:rPr>
          <w:rFonts w:ascii="Arial" w:hAnsi="Arial" w:cs="Arial"/>
          <w:color w:val="auto"/>
          <w:sz w:val="22"/>
          <w:szCs w:val="22"/>
          <w:lang w:val="uk-UA"/>
        </w:rPr>
        <w:t xml:space="preserve"> (ліцензування)</w:t>
      </w:r>
      <w:r w:rsidRPr="007E5633">
        <w:rPr>
          <w:rFonts w:ascii="Arial" w:hAnsi="Arial" w:cs="Arial"/>
          <w:color w:val="auto"/>
          <w:sz w:val="22"/>
          <w:szCs w:val="22"/>
          <w:lang w:val="uk-UA"/>
        </w:rPr>
        <w:t>, специфічні для MTF</w:t>
      </w:r>
      <w:bookmarkEnd w:id="54"/>
    </w:p>
    <w:p w14:paraId="2DF4294D" w14:textId="77777777" w:rsidR="00A6241E" w:rsidRPr="007E5633" w:rsidRDefault="00A6241E" w:rsidP="00A6241E">
      <w:pPr>
        <w:pStyle w:val="af4"/>
        <w:rPr>
          <w:sz w:val="22"/>
          <w:szCs w:val="22"/>
          <w:lang w:val="uk-UA"/>
        </w:rPr>
      </w:pPr>
      <w:r w:rsidRPr="007E5633">
        <w:rPr>
          <w:sz w:val="22"/>
          <w:szCs w:val="22"/>
          <w:lang w:val="uk-UA"/>
        </w:rPr>
        <w:t>Для забезпечення відповідності вимогам, викладеним у статті 19 (3) MIFID II, оператора багатофункціональної торговельної платформи в заявку на авторизацію (ліцензію) включено таке:</w:t>
      </w:r>
    </w:p>
    <w:p w14:paraId="0AE14CC9" w14:textId="77777777" w:rsidR="00A6241E" w:rsidRPr="007E5633" w:rsidRDefault="00A6241E" w:rsidP="00A6241E">
      <w:pPr>
        <w:pStyle w:val="af4"/>
        <w:rPr>
          <w:sz w:val="22"/>
          <w:szCs w:val="22"/>
          <w:lang w:val="uk-UA"/>
        </w:rPr>
      </w:pPr>
      <w:r w:rsidRPr="007E5633">
        <w:rPr>
          <w:sz w:val="22"/>
          <w:szCs w:val="22"/>
          <w:lang w:val="uk-UA"/>
        </w:rPr>
        <w:t>a. опис заходів та систем, що впроваджуються для управління ризиками, на які наражається оператор, виявлення всіх суттєвих ризиків для його функціонування та впровадження ефективних заходів для пом'якшення цих ризиків;</w:t>
      </w:r>
    </w:p>
    <w:p w14:paraId="004B7E62" w14:textId="77777777" w:rsidR="00A6241E" w:rsidRPr="007E5633" w:rsidRDefault="00A6241E" w:rsidP="00A6241E">
      <w:pPr>
        <w:pStyle w:val="af4"/>
        <w:rPr>
          <w:sz w:val="22"/>
          <w:szCs w:val="22"/>
          <w:lang w:val="uk-UA"/>
        </w:rPr>
      </w:pPr>
      <w:r w:rsidRPr="007E5633">
        <w:rPr>
          <w:sz w:val="22"/>
          <w:szCs w:val="22"/>
          <w:lang w:val="uk-UA"/>
        </w:rPr>
        <w:t>б опис заходів, здійснених для сприяння ефективному та своєчасному завершенню операцій, що виконуються в рамках систем оператора;</w:t>
      </w:r>
    </w:p>
    <w:p w14:paraId="6B3C3464" w14:textId="77777777" w:rsidR="00A6241E" w:rsidRPr="007E5633" w:rsidRDefault="00A6241E" w:rsidP="00A6241E">
      <w:pPr>
        <w:pStyle w:val="af4"/>
        <w:rPr>
          <w:sz w:val="22"/>
          <w:szCs w:val="22"/>
          <w:lang w:val="uk-UA"/>
        </w:rPr>
      </w:pPr>
      <w:r w:rsidRPr="007E5633">
        <w:rPr>
          <w:sz w:val="22"/>
          <w:szCs w:val="22"/>
          <w:lang w:val="uk-UA"/>
        </w:rPr>
        <w:t>в враховуючи характер і ступінь укладених на ринку операцій, а також діапазон і ступінь ризиків, на які оператор наражається, опис фінансових ресурсів, які вважаються достатніми для сприяння його належному функціонуванню.</w:t>
      </w:r>
    </w:p>
    <w:p w14:paraId="7FB2C268" w14:textId="77777777" w:rsidR="00A61BEE" w:rsidRPr="007E5633" w:rsidRDefault="00F54B60" w:rsidP="00912D9A">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55" w:name="_Toc533093913"/>
      <w:r w:rsidRPr="007E5633">
        <w:rPr>
          <w:rFonts w:ascii="Arial" w:hAnsi="Arial" w:cs="Arial"/>
          <w:color w:val="auto"/>
          <w:sz w:val="22"/>
          <w:szCs w:val="22"/>
          <w:lang w:val="uk-UA"/>
        </w:rPr>
        <w:t>Критерії авторизації (ліцензування), специфічні для OTF</w:t>
      </w:r>
      <w:bookmarkEnd w:id="55"/>
    </w:p>
    <w:p w14:paraId="07D91588" w14:textId="77777777" w:rsidR="00F54B60" w:rsidRPr="007E5633" w:rsidRDefault="00F54B60" w:rsidP="00F54B60">
      <w:pPr>
        <w:pStyle w:val="af4"/>
        <w:rPr>
          <w:sz w:val="22"/>
          <w:szCs w:val="22"/>
          <w:lang w:val="uk-UA"/>
        </w:rPr>
      </w:pPr>
      <w:bookmarkStart w:id="56" w:name="_Toc526775016"/>
      <w:r w:rsidRPr="007E5633">
        <w:rPr>
          <w:sz w:val="22"/>
          <w:szCs w:val="22"/>
          <w:lang w:val="uk-UA"/>
        </w:rPr>
        <w:t>У відповідності зі статтею 6 Регламенту про здійснення 2016/824 від 25 травня 2016 року, крім інформації, наданої в розділі 1.2, інвестиційна компанія, яка вимагає дозволу на запуск OTF, надає своєму компетентному органу таку інформацію:</w:t>
      </w:r>
    </w:p>
    <w:p w14:paraId="2E1BBEBA" w14:textId="77777777" w:rsidR="00F54B60" w:rsidRPr="007E5633" w:rsidRDefault="00F54B60" w:rsidP="00F54B60">
      <w:pPr>
        <w:pStyle w:val="af4"/>
        <w:rPr>
          <w:sz w:val="22"/>
          <w:szCs w:val="22"/>
          <w:lang w:val="uk-UA"/>
        </w:rPr>
      </w:pPr>
      <w:r w:rsidRPr="007E5633">
        <w:rPr>
          <w:sz w:val="22"/>
          <w:szCs w:val="22"/>
          <w:lang w:val="uk-UA"/>
        </w:rPr>
        <w:t>a. інформація про те, чи інша інвестиційна фірма бере на себе зобов'язання здійснити market making на своєму OTF на незалежній основі відповідно до MIFID II (Стаття 20 (5) MIFID II);</w:t>
      </w:r>
    </w:p>
    <w:p w14:paraId="7970A183" w14:textId="77777777" w:rsidR="00F54B60" w:rsidRPr="007E5633" w:rsidRDefault="00F54B60" w:rsidP="00F54B60">
      <w:pPr>
        <w:pStyle w:val="af4"/>
        <w:rPr>
          <w:sz w:val="22"/>
          <w:szCs w:val="22"/>
          <w:lang w:val="uk-UA"/>
        </w:rPr>
      </w:pPr>
      <w:r w:rsidRPr="007E5633">
        <w:rPr>
          <w:sz w:val="22"/>
          <w:szCs w:val="22"/>
          <w:lang w:val="uk-UA"/>
        </w:rPr>
        <w:t>б. докладний опис того, як і за яких обставин він виконує замовлення на OTF на власний розсуд у відповідності до вимог MIFID II (Стаття 20 (6) MIFID II);</w:t>
      </w:r>
    </w:p>
    <w:p w14:paraId="70F1046A" w14:textId="77777777" w:rsidR="00F54B60" w:rsidRPr="007E5633" w:rsidRDefault="00F54B60" w:rsidP="00F54B60">
      <w:pPr>
        <w:pStyle w:val="af4"/>
        <w:rPr>
          <w:sz w:val="22"/>
          <w:szCs w:val="22"/>
          <w:lang w:val="uk-UA"/>
        </w:rPr>
      </w:pPr>
      <w:r w:rsidRPr="007E5633">
        <w:rPr>
          <w:sz w:val="22"/>
          <w:szCs w:val="22"/>
          <w:lang w:val="uk-UA"/>
        </w:rPr>
        <w:t>в. правила, процедури та протоколи, які дозволяють оператору направляти торговий інтерес учасника або учасника поза OTF;</w:t>
      </w:r>
    </w:p>
    <w:p w14:paraId="69435103" w14:textId="77777777" w:rsidR="00F54B60" w:rsidRPr="007E5633" w:rsidRDefault="00F54B60" w:rsidP="00F54B60">
      <w:pPr>
        <w:pStyle w:val="af4"/>
        <w:rPr>
          <w:sz w:val="22"/>
          <w:szCs w:val="22"/>
          <w:lang w:val="uk-UA"/>
        </w:rPr>
      </w:pPr>
      <w:r w:rsidRPr="007E5633">
        <w:rPr>
          <w:sz w:val="22"/>
          <w:szCs w:val="22"/>
          <w:lang w:val="uk-UA"/>
        </w:rPr>
        <w:t>г. опис використання matched principal trading, яка відповідає вимогам MIFID II (Стаття 20 (7) MIFID II);</w:t>
      </w:r>
    </w:p>
    <w:p w14:paraId="5687DFB1" w14:textId="77777777" w:rsidR="00F54B60" w:rsidRPr="007E5633" w:rsidRDefault="00F54B60" w:rsidP="00F54B60">
      <w:pPr>
        <w:pStyle w:val="af4"/>
        <w:rPr>
          <w:sz w:val="22"/>
          <w:szCs w:val="22"/>
          <w:lang w:val="uk-UA"/>
        </w:rPr>
      </w:pPr>
      <w:r w:rsidRPr="007E5633">
        <w:rPr>
          <w:sz w:val="22"/>
          <w:szCs w:val="22"/>
          <w:lang w:val="uk-UA"/>
        </w:rPr>
        <w:t>д. правила та процедури, що забезпечують дотримання положень щодо захисту інвесторів, викладених у MIFID II (Статті 24, 25, 27 та 28 МІФІД II), для операцій, укладених на OTF, коли ці правила застосовні до відповідного оператора у зв'язку з користувачем OTF.</w:t>
      </w:r>
    </w:p>
    <w:p w14:paraId="359D6FF4" w14:textId="77777777" w:rsidR="00A61BEE" w:rsidRPr="007E5633" w:rsidRDefault="00F54B60" w:rsidP="00912D9A">
      <w:pPr>
        <w:pStyle w:val="FSHeader1"/>
        <w:keepNext w:val="0"/>
        <w:pageBreakBefore w:val="0"/>
        <w:numPr>
          <w:ilvl w:val="2"/>
          <w:numId w:val="27"/>
        </w:numPr>
        <w:tabs>
          <w:tab w:val="left" w:pos="709"/>
        </w:tabs>
        <w:spacing w:after="120"/>
        <w:rPr>
          <w:rFonts w:ascii="Arial" w:hAnsi="Arial" w:cs="Arial"/>
          <w:color w:val="auto"/>
          <w:sz w:val="22"/>
          <w:szCs w:val="22"/>
          <w:lang w:val="uk-UA"/>
        </w:rPr>
      </w:pPr>
      <w:bookmarkStart w:id="57" w:name="_Toc533093914"/>
      <w:bookmarkEnd w:id="56"/>
      <w:r w:rsidRPr="007E5633">
        <w:rPr>
          <w:rFonts w:ascii="Arial" w:hAnsi="Arial" w:cs="Arial"/>
          <w:color w:val="auto"/>
          <w:sz w:val="22"/>
          <w:szCs w:val="22"/>
          <w:lang w:val="uk-UA"/>
        </w:rPr>
        <w:t>Регульовані ринки</w:t>
      </w:r>
      <w:bookmarkEnd w:id="57"/>
    </w:p>
    <w:p w14:paraId="73DCB7A2" w14:textId="77777777" w:rsidR="00F54B60" w:rsidRPr="007E5633" w:rsidRDefault="00F54B60" w:rsidP="00F54B60">
      <w:pPr>
        <w:pStyle w:val="af4"/>
        <w:rPr>
          <w:sz w:val="22"/>
          <w:szCs w:val="22"/>
          <w:lang w:val="uk-UA"/>
        </w:rPr>
      </w:pPr>
      <w:r w:rsidRPr="007E5633">
        <w:rPr>
          <w:sz w:val="22"/>
          <w:szCs w:val="22"/>
          <w:lang w:val="uk-UA"/>
        </w:rPr>
        <w:t>Нормативний ландшафт для регульованих ринків (РМ) вважається найбільш складним, включаючи сферу ліцензування, тому для заявників бажано тісне співробітництво з NCA, оскільки регулятор може окреслити належні наступні кроки.</w:t>
      </w:r>
    </w:p>
    <w:p w14:paraId="757DB371" w14:textId="77777777" w:rsidR="00F54B60" w:rsidRPr="007E5633" w:rsidRDefault="00F54B60" w:rsidP="00F54B60">
      <w:pPr>
        <w:pStyle w:val="af4"/>
        <w:rPr>
          <w:sz w:val="22"/>
          <w:szCs w:val="22"/>
          <w:lang w:val="uk-UA"/>
        </w:rPr>
      </w:pPr>
      <w:r w:rsidRPr="007E5633">
        <w:rPr>
          <w:sz w:val="22"/>
          <w:szCs w:val="22"/>
          <w:lang w:val="uk-UA"/>
        </w:rPr>
        <w:t xml:space="preserve">Відповідно до статті 44 MIFID II, регульований ринок є системою, що потребує попереднього ліцензування. Однак слід підкреслити, що, хоча процес ліцензування для інших торгових майданчиків детально описаний у відповідних нормативних актах, не існує спеціальних технічних заходів щодо впровадження, пов'язаних із RM. Для ліцензійних заяв за умовами MiFID II доступні лише дві форми: одна для інвестиційних </w:t>
      </w:r>
      <w:r w:rsidRPr="007E5633">
        <w:rPr>
          <w:sz w:val="22"/>
          <w:szCs w:val="22"/>
          <w:lang w:val="uk-UA"/>
        </w:rPr>
        <w:lastRenderedPageBreak/>
        <w:t>фірм та одна для DRSP. На перший погляд, це виглядає вражаюче, але в реєстрі ESMA існує 120 регульованих ринків та 12 048 інвестиційних фірм</w:t>
      </w:r>
      <w:r w:rsidRPr="007E5633">
        <w:rPr>
          <w:rStyle w:val="aa"/>
          <w:sz w:val="22"/>
          <w:szCs w:val="22"/>
          <w:lang w:val="uk-UA"/>
        </w:rPr>
        <w:footnoteReference w:id="4"/>
      </w:r>
      <w:r w:rsidRPr="007E5633">
        <w:rPr>
          <w:sz w:val="22"/>
          <w:szCs w:val="22"/>
          <w:lang w:val="uk-UA"/>
        </w:rPr>
        <w:t>.</w:t>
      </w:r>
    </w:p>
    <w:p w14:paraId="7259DDF9" w14:textId="77777777" w:rsidR="00F54B60" w:rsidRPr="007E5633" w:rsidRDefault="00F54B60" w:rsidP="00F54B60">
      <w:pPr>
        <w:pStyle w:val="af4"/>
        <w:rPr>
          <w:sz w:val="22"/>
          <w:szCs w:val="22"/>
          <w:lang w:val="uk-UA"/>
        </w:rPr>
      </w:pPr>
      <w:r w:rsidRPr="007E5633">
        <w:rPr>
          <w:sz w:val="22"/>
          <w:szCs w:val="22"/>
          <w:lang w:val="uk-UA"/>
        </w:rPr>
        <w:t>Загалом, компетентний орган надаватиме ліцензію лише у випадку задоволення відповідності оператора ринку та систем регульованого ринку вимогам MIFID II. За MIFID II, під ринковим оператором розуміється особа або особи, які управляють бізнесом регульованого ринку та можуть бути самі регульованим ринком.</w:t>
      </w:r>
    </w:p>
    <w:p w14:paraId="7CA59742" w14:textId="77777777" w:rsidR="00F54B60" w:rsidRPr="007E5633" w:rsidRDefault="00F54B60" w:rsidP="00F54B60">
      <w:pPr>
        <w:pStyle w:val="af4"/>
        <w:rPr>
          <w:sz w:val="22"/>
          <w:szCs w:val="22"/>
          <w:lang w:val="uk-UA"/>
        </w:rPr>
      </w:pPr>
      <w:r w:rsidRPr="007E5633">
        <w:rPr>
          <w:sz w:val="22"/>
          <w:szCs w:val="22"/>
          <w:lang w:val="uk-UA"/>
        </w:rPr>
        <w:t>Регульований ринок може бути створений як окрема компанія, або може бути створений іншою організацією залежно від внутрішнього регулювання. Одним із прикладів, специфічних для енергетичного ринку, є Польща, де регульований ринок може бути встановлений товарною біржею, але лише для обмеженого обсягу інструментів. Там ми маємо режим подвійного врядування, причому регульований ринок експлуатується іншим суб'єктом, який має свій власний наглядовий режим. У такому випадку NCA слід визначити, як розподіляються різні зобов'язання, що накладаються на оператора ринку в MIFID II між регульованим ринком та оператором ринку.</w:t>
      </w:r>
    </w:p>
    <w:p w14:paraId="77A8BE47" w14:textId="77777777" w:rsidR="00F54B60" w:rsidRPr="007E5633" w:rsidRDefault="00F54B60" w:rsidP="00F54B60">
      <w:pPr>
        <w:pStyle w:val="af4"/>
        <w:rPr>
          <w:sz w:val="22"/>
          <w:szCs w:val="22"/>
          <w:lang w:val="uk-UA"/>
        </w:rPr>
      </w:pPr>
      <w:r w:rsidRPr="007E5633">
        <w:rPr>
          <w:sz w:val="22"/>
          <w:szCs w:val="22"/>
          <w:lang w:val="uk-UA"/>
        </w:rPr>
        <w:t>Без упередження щодо будь-яких відповідних положень MAD та MAR, норми публічного права, яке регулює торгівлю, що проводиться в рамках систем регульованого ринку, встановлюються державою-членом ЄС, де працює даний регульований ринок.</w:t>
      </w:r>
    </w:p>
    <w:p w14:paraId="1F989B03" w14:textId="77777777" w:rsidR="00F54B60" w:rsidRPr="007E5633" w:rsidRDefault="00F54B60" w:rsidP="00F54B60">
      <w:pPr>
        <w:pStyle w:val="af4"/>
        <w:rPr>
          <w:sz w:val="22"/>
          <w:szCs w:val="22"/>
          <w:lang w:val="uk-UA"/>
        </w:rPr>
      </w:pPr>
      <w:r w:rsidRPr="007E5633">
        <w:rPr>
          <w:sz w:val="22"/>
          <w:szCs w:val="22"/>
          <w:lang w:val="uk-UA"/>
        </w:rPr>
        <w:t>Загальний підхід до процедури авторизації полягає в тому, що NCA повинен бути переконаний, що заявник може виконати всі вимоги щодо регульованого ринку. Вибрані вимоги MIFID II для регульованих ринків коротко описані в нижче.</w:t>
      </w:r>
    </w:p>
    <w:p w14:paraId="3C7F8740" w14:textId="77777777" w:rsidR="00A61BEE" w:rsidRPr="007E5633" w:rsidRDefault="00F54B6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58" w:name="_Toc533093915"/>
      <w:r w:rsidRPr="007E5633">
        <w:rPr>
          <w:rFonts w:ascii="Arial" w:hAnsi="Arial" w:cs="Arial"/>
          <w:color w:val="auto"/>
          <w:sz w:val="22"/>
          <w:szCs w:val="22"/>
          <w:lang w:val="uk-UA"/>
        </w:rPr>
        <w:t>Організаційні вимоги</w:t>
      </w:r>
      <w:bookmarkEnd w:id="58"/>
    </w:p>
    <w:p w14:paraId="03746ED5" w14:textId="77777777" w:rsidR="00F54B60" w:rsidRPr="007E5633" w:rsidRDefault="00F54B60" w:rsidP="00F54B60">
      <w:pPr>
        <w:jc w:val="both"/>
        <w:rPr>
          <w:rFonts w:ascii="Arial" w:hAnsi="Arial" w:cs="Arial"/>
          <w:lang w:val="uk-UA"/>
        </w:rPr>
      </w:pPr>
      <w:r w:rsidRPr="007E5633">
        <w:rPr>
          <w:rFonts w:ascii="Arial" w:hAnsi="Arial" w:cs="Arial"/>
          <w:lang w:val="uk-UA"/>
        </w:rPr>
        <w:t>Заявник, який прагне отримати ліцензію на регульованому ринку, має підтвердити, що:</w:t>
      </w:r>
    </w:p>
    <w:p w14:paraId="24CC86EC"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стратегія управління конфліктами інтересів розробляється таким чином, що дозволяє чітко визначати та управляти потенційними несприятливими наслідками для членів або учасників RM будь-якого конфлікту інтересів між регульованим ринком, його власниками, його оператором ринку та належним функціонуванням регульованого ринку;</w:t>
      </w:r>
    </w:p>
    <w:p w14:paraId="5560BF49"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встановлена структура управління ризиками є достатньою для ризику, на який RM буде наражатися;</w:t>
      </w:r>
    </w:p>
    <w:p w14:paraId="7B972C28"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здійснені заходи щодо відповідного управління технічними операціями системи, включаючи встановлення ефективних механізмів непередбачених обставин для подолання ризиків від перебоїв у системах;</w:t>
      </w:r>
    </w:p>
    <w:p w14:paraId="7185F629"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встановлені об'єктивні критерії для ефективного виконання замовлень та встановлені прозорі та недискреційні правила та процедури, що дозволяють здійснювати чесну і впорядковану торгівлю;</w:t>
      </w:r>
    </w:p>
    <w:p w14:paraId="3B417802"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забезпечується ефективне та своєчасне завершення операцій, здійснених її системами;</w:t>
      </w:r>
    </w:p>
    <w:p w14:paraId="59A5BAF8" w14:textId="77777777" w:rsidR="00F54B60" w:rsidRPr="007E5633" w:rsidRDefault="00F54B60" w:rsidP="0042516F">
      <w:pPr>
        <w:pStyle w:val="a4"/>
        <w:numPr>
          <w:ilvl w:val="0"/>
          <w:numId w:val="24"/>
        </w:numPr>
        <w:ind w:left="426"/>
        <w:jc w:val="both"/>
        <w:rPr>
          <w:rFonts w:ascii="Arial" w:hAnsi="Arial" w:cs="Arial"/>
          <w:lang w:val="uk-UA"/>
        </w:rPr>
      </w:pPr>
      <w:r w:rsidRPr="007E5633">
        <w:rPr>
          <w:rFonts w:ascii="Arial" w:hAnsi="Arial" w:cs="Arial"/>
          <w:lang w:val="uk-UA"/>
        </w:rPr>
        <w:t>наявні фінансові ресурси є достатніми у світлі характеру та обсягу укладених операцій, а також діапазону та ступеня ризиків, на які наражається RM.</w:t>
      </w:r>
    </w:p>
    <w:p w14:paraId="4602988E" w14:textId="77777777" w:rsidR="003A7E00" w:rsidRPr="007E5633" w:rsidRDefault="003A7E00">
      <w:pPr>
        <w:suppressAutoHyphens w:val="0"/>
        <w:rPr>
          <w:rFonts w:ascii="Arial" w:eastAsia="Times New Roman" w:hAnsi="Arial" w:cs="Arial"/>
          <w:b/>
          <w:lang w:val="uk-UA" w:eastAsia="de-DE"/>
        </w:rPr>
      </w:pPr>
      <w:r w:rsidRPr="007E5633">
        <w:rPr>
          <w:rFonts w:ascii="Arial" w:hAnsi="Arial" w:cs="Arial"/>
          <w:lang w:val="uk-UA"/>
        </w:rPr>
        <w:br w:type="page"/>
      </w:r>
    </w:p>
    <w:p w14:paraId="6CA35EF8" w14:textId="77777777" w:rsidR="00A61BEE" w:rsidRPr="007E5633" w:rsidRDefault="003A7E0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59" w:name="_Toc533093916"/>
      <w:r w:rsidRPr="007E5633">
        <w:rPr>
          <w:rFonts w:ascii="Arial" w:hAnsi="Arial" w:cs="Arial"/>
          <w:color w:val="auto"/>
          <w:sz w:val="22"/>
          <w:szCs w:val="22"/>
          <w:lang w:val="uk-UA"/>
        </w:rPr>
        <w:lastRenderedPageBreak/>
        <w:t>Вимоги до торговельної системи</w:t>
      </w:r>
      <w:bookmarkEnd w:id="59"/>
      <w:r w:rsidRPr="007E5633">
        <w:rPr>
          <w:rFonts w:ascii="Arial" w:hAnsi="Arial" w:cs="Arial"/>
          <w:color w:val="auto"/>
          <w:sz w:val="22"/>
          <w:szCs w:val="22"/>
          <w:lang w:val="uk-UA"/>
        </w:rPr>
        <w:t xml:space="preserve"> </w:t>
      </w:r>
    </w:p>
    <w:p w14:paraId="527F32B3" w14:textId="77777777" w:rsidR="003A7E00" w:rsidRPr="007E5633" w:rsidRDefault="003A7E00" w:rsidP="003A7E00">
      <w:pPr>
        <w:jc w:val="both"/>
        <w:rPr>
          <w:rFonts w:ascii="Arial" w:hAnsi="Arial" w:cs="Arial"/>
          <w:lang w:val="uk-UA"/>
        </w:rPr>
      </w:pPr>
      <w:r w:rsidRPr="007E5633">
        <w:rPr>
          <w:rFonts w:ascii="Arial" w:hAnsi="Arial" w:cs="Arial"/>
          <w:lang w:val="uk-UA"/>
        </w:rPr>
        <w:t>Потенційний RM повинен продемонструвати, що не тільки на етапі подання заявки, але і на постійній основі:</w:t>
      </w:r>
    </w:p>
    <w:p w14:paraId="74C8D85D" w14:textId="77777777" w:rsidR="000322E5" w:rsidRPr="007E5633" w:rsidRDefault="003A7E00" w:rsidP="000D248B">
      <w:pPr>
        <w:pStyle w:val="a4"/>
        <w:numPr>
          <w:ilvl w:val="0"/>
          <w:numId w:val="49"/>
        </w:numPr>
        <w:ind w:left="567"/>
        <w:jc w:val="both"/>
        <w:rPr>
          <w:rFonts w:ascii="Arial" w:hAnsi="Arial" w:cs="Arial"/>
          <w:lang w:val="uk-UA"/>
        </w:rPr>
      </w:pPr>
      <w:r w:rsidRPr="007E5633">
        <w:rPr>
          <w:rFonts w:ascii="Arial" w:hAnsi="Arial" w:cs="Arial"/>
          <w:lang w:val="uk-UA"/>
        </w:rPr>
        <w:t>наявні ефективні системи, процедури та механізми, що забезпечують стійкість його торговельних систем;</w:t>
      </w:r>
    </w:p>
    <w:p w14:paraId="582151BC" w14:textId="77777777" w:rsidR="003A7E00" w:rsidRPr="007E5633" w:rsidRDefault="003A7E00" w:rsidP="000D248B">
      <w:pPr>
        <w:pStyle w:val="a4"/>
        <w:numPr>
          <w:ilvl w:val="0"/>
          <w:numId w:val="49"/>
        </w:numPr>
        <w:ind w:left="567"/>
        <w:jc w:val="both"/>
        <w:rPr>
          <w:rFonts w:ascii="Arial" w:hAnsi="Arial" w:cs="Arial"/>
          <w:lang w:val="uk-UA"/>
        </w:rPr>
      </w:pPr>
      <w:r w:rsidRPr="007E5633">
        <w:rPr>
          <w:rFonts w:ascii="Arial" w:hAnsi="Arial" w:cs="Arial"/>
          <w:lang w:val="uk-UA"/>
        </w:rPr>
        <w:t>забезпечена достатня потужність для вирішення піковими замовленнями та обсягами повідомлень;</w:t>
      </w:r>
    </w:p>
    <w:p w14:paraId="11496D25" w14:textId="77777777" w:rsidR="003A7E00" w:rsidRPr="007E5633" w:rsidRDefault="003A7E00" w:rsidP="000D248B">
      <w:pPr>
        <w:pStyle w:val="a4"/>
        <w:numPr>
          <w:ilvl w:val="0"/>
          <w:numId w:val="49"/>
        </w:numPr>
        <w:ind w:left="567"/>
        <w:jc w:val="both"/>
        <w:rPr>
          <w:rFonts w:ascii="Arial" w:hAnsi="Arial" w:cs="Arial"/>
          <w:lang w:val="uk-UA"/>
        </w:rPr>
      </w:pPr>
      <w:r w:rsidRPr="007E5633">
        <w:rPr>
          <w:rFonts w:ascii="Arial" w:hAnsi="Arial" w:cs="Arial"/>
          <w:lang w:val="uk-UA"/>
        </w:rPr>
        <w:t>буде забезпечена впорядкована торгівля, навіть в умовах суворого ринкового стресу;</w:t>
      </w:r>
    </w:p>
    <w:p w14:paraId="48ECE1BC" w14:textId="77777777" w:rsidR="003A7E00" w:rsidRPr="007E5633" w:rsidRDefault="003A7E00" w:rsidP="000D248B">
      <w:pPr>
        <w:pStyle w:val="a4"/>
        <w:numPr>
          <w:ilvl w:val="0"/>
          <w:numId w:val="49"/>
        </w:numPr>
        <w:ind w:left="567"/>
        <w:jc w:val="both"/>
        <w:rPr>
          <w:rFonts w:ascii="Arial" w:hAnsi="Arial" w:cs="Arial"/>
          <w:lang w:val="uk-UA"/>
        </w:rPr>
      </w:pPr>
      <w:r w:rsidRPr="007E5633">
        <w:rPr>
          <w:rFonts w:ascii="Arial" w:hAnsi="Arial" w:cs="Arial"/>
          <w:lang w:val="uk-UA"/>
        </w:rPr>
        <w:t>здійснюються ефективні механізми безперервності бізнесу.</w:t>
      </w:r>
    </w:p>
    <w:p w14:paraId="429CB31A" w14:textId="77777777" w:rsidR="003A7E00" w:rsidRPr="007E5633" w:rsidRDefault="003A7E00" w:rsidP="003A7E00">
      <w:pPr>
        <w:jc w:val="both"/>
        <w:rPr>
          <w:rFonts w:ascii="Arial" w:hAnsi="Arial" w:cs="Arial"/>
          <w:lang w:val="uk-UA"/>
        </w:rPr>
      </w:pPr>
      <w:r w:rsidRPr="007E5633">
        <w:rPr>
          <w:rFonts w:ascii="Arial" w:hAnsi="Arial" w:cs="Arial"/>
          <w:lang w:val="uk-UA"/>
        </w:rPr>
        <w:t>Письмові угоди з усіма інвестиційними фірмами, які реалізують стратегію market making на ринку, що регулюється, повинні бути включені до пакету заявки.</w:t>
      </w:r>
    </w:p>
    <w:p w14:paraId="108FC311" w14:textId="77777777" w:rsidR="003A7E00" w:rsidRPr="007E5633" w:rsidRDefault="003A7E00" w:rsidP="003A7E00">
      <w:pPr>
        <w:jc w:val="both"/>
        <w:rPr>
          <w:rFonts w:ascii="Arial" w:hAnsi="Arial" w:cs="Arial"/>
          <w:lang w:val="uk-UA"/>
        </w:rPr>
      </w:pPr>
      <w:r w:rsidRPr="007E5633">
        <w:rPr>
          <w:rFonts w:ascii="Arial" w:hAnsi="Arial" w:cs="Arial"/>
          <w:lang w:val="uk-UA"/>
        </w:rPr>
        <w:t>Потенційний RM повинен продемонструвати наявність ефективних систем, процедур та заходів для відхилення замовлень, які перевищують заздалегідь встановлені порогові та цінові пороги, або є явно помилковими. Також може бути можливим тимчасове припинення чи обмеження торгівлі у випадку значного руху цін по фінансовому інструменту на цьому ринку або на пов’язаному ринку. NCA перевірить, чи правильно калібровані параметри для припинення торгівлі.</w:t>
      </w:r>
    </w:p>
    <w:p w14:paraId="763B15C0" w14:textId="77777777" w:rsidR="003A7E00" w:rsidRPr="007E5633" w:rsidRDefault="003A7E00" w:rsidP="003A7E00">
      <w:pPr>
        <w:jc w:val="both"/>
        <w:rPr>
          <w:rFonts w:ascii="Arial" w:hAnsi="Arial" w:cs="Arial"/>
          <w:lang w:val="uk-UA"/>
        </w:rPr>
      </w:pPr>
      <w:r w:rsidRPr="007E5633">
        <w:rPr>
          <w:rFonts w:ascii="Arial" w:hAnsi="Arial" w:cs="Arial"/>
          <w:lang w:val="uk-UA"/>
        </w:rPr>
        <w:t>У випадку алгоритмічної торгівлі, RM повинен мати можливість забезпечити відповідне середовище для тестування, а також надання учасникам можливості для проведення тестування. За жодних обставин алгоритмічні торгові системи не можуть створювати або сприяти некондиційним умовам торгівлі на ринку.</w:t>
      </w:r>
    </w:p>
    <w:p w14:paraId="53BE57E4" w14:textId="77777777" w:rsidR="003A7E00" w:rsidRPr="007E5633" w:rsidRDefault="003A7E00" w:rsidP="003A7E00">
      <w:pPr>
        <w:jc w:val="both"/>
        <w:rPr>
          <w:rFonts w:ascii="Arial" w:hAnsi="Arial" w:cs="Arial"/>
          <w:lang w:val="uk-UA"/>
        </w:rPr>
      </w:pPr>
      <w:r w:rsidRPr="007E5633">
        <w:rPr>
          <w:rFonts w:ascii="Arial" w:hAnsi="Arial" w:cs="Arial"/>
          <w:lang w:val="uk-UA"/>
        </w:rPr>
        <w:t>У процесі ліцензування RM також має надавати документацію стосовно надання прямого електронного доступу (DEA). DEA дозволяє особі безпосередньо отримати доступ до торговельного майданчика, використовуючи торговельний код інвестиційної компанії, або безпосередньо розміщувати замовлення за допомогою автоматизованої маршрутизації замовлень ("AOR") інвестиційної компанії. Це дає клієнту повний контроль над точною часткою секунди, в якій розміщується замовлення, і «термін життя» замовлення, а також дискрецій щодо того, який брокер або торговий майданчик розміщують замовлення.</w:t>
      </w:r>
    </w:p>
    <w:p w14:paraId="483EAA75" w14:textId="77777777" w:rsidR="003A7E00" w:rsidRPr="007E5633" w:rsidRDefault="003A7E00" w:rsidP="003A7E00">
      <w:pPr>
        <w:jc w:val="both"/>
        <w:rPr>
          <w:rFonts w:ascii="Arial" w:hAnsi="Arial" w:cs="Arial"/>
          <w:lang w:val="uk-UA"/>
        </w:rPr>
      </w:pPr>
      <w:r w:rsidRPr="007E5633">
        <w:rPr>
          <w:rFonts w:ascii="Arial" w:hAnsi="Arial" w:cs="Arial"/>
          <w:lang w:val="uk-UA"/>
        </w:rPr>
        <w:t>NCA також буде здійснювати контроль над структурою комісійних. Їх прозорість, справедливість, недискримінаційність та не стимулюючий характер будуть розглянуті.</w:t>
      </w:r>
    </w:p>
    <w:p w14:paraId="271E222C" w14:textId="77777777" w:rsidR="003A7E00" w:rsidRPr="007E5633" w:rsidRDefault="003A7E00" w:rsidP="003A7E00">
      <w:pPr>
        <w:jc w:val="both"/>
        <w:rPr>
          <w:rFonts w:ascii="Arial" w:hAnsi="Arial" w:cs="Arial"/>
          <w:highlight w:val="red"/>
          <w:lang w:val="uk-UA"/>
        </w:rPr>
      </w:pPr>
      <w:r w:rsidRPr="007E5633">
        <w:rPr>
          <w:rFonts w:ascii="Arial" w:hAnsi="Arial" w:cs="Arial"/>
          <w:lang w:val="uk-UA"/>
        </w:rPr>
        <w:t>Що стосується надання даних на вимогу NCA, заявник, який бажає отримати ліцензію на RM, повинен гарантувати, що зможе зафіксувати замовлення, сформовані алгоритмічною торгівлею та обмінюватися даними, що відносяться до реєстру замовлень (або, можливо, надають доступ до реєстру замовлень до NCA).</w:t>
      </w:r>
    </w:p>
    <w:p w14:paraId="4A11B964" w14:textId="77777777" w:rsidR="00A61BEE" w:rsidRPr="007E5633" w:rsidRDefault="00FA15CD"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60" w:name="_Toc533093917"/>
      <w:r>
        <w:rPr>
          <w:rFonts w:ascii="Arial" w:hAnsi="Arial" w:cs="Arial"/>
          <w:color w:val="auto"/>
          <w:sz w:val="22"/>
          <w:szCs w:val="22"/>
          <w:lang w:val="uk-UA"/>
        </w:rPr>
        <w:t>Вимоги до торгівельних</w:t>
      </w:r>
      <w:r w:rsidR="003A7E00" w:rsidRPr="007E5633">
        <w:rPr>
          <w:rFonts w:ascii="Arial" w:hAnsi="Arial" w:cs="Arial"/>
          <w:color w:val="auto"/>
          <w:sz w:val="22"/>
          <w:szCs w:val="22"/>
          <w:lang w:val="uk-UA"/>
        </w:rPr>
        <w:t xml:space="preserve"> </w:t>
      </w:r>
      <w:bookmarkEnd w:id="60"/>
      <w:r>
        <w:rPr>
          <w:rFonts w:ascii="Arial" w:hAnsi="Arial" w:cs="Arial"/>
          <w:color w:val="auto"/>
          <w:sz w:val="22"/>
          <w:szCs w:val="22"/>
          <w:lang w:val="uk-UA"/>
        </w:rPr>
        <w:t>майданчиків</w:t>
      </w:r>
    </w:p>
    <w:p w14:paraId="25020F24" w14:textId="77777777" w:rsidR="003A7E00" w:rsidRPr="007E5633" w:rsidRDefault="003A7E00" w:rsidP="003A7E00">
      <w:pPr>
        <w:jc w:val="both"/>
        <w:rPr>
          <w:rFonts w:ascii="Arial" w:hAnsi="Arial" w:cs="Arial"/>
          <w:lang w:val="uk-UA"/>
        </w:rPr>
      </w:pPr>
      <w:r w:rsidRPr="007E5633">
        <w:rPr>
          <w:rFonts w:ascii="Arial" w:hAnsi="Arial" w:cs="Arial"/>
          <w:lang w:val="uk-UA"/>
        </w:rPr>
        <w:t xml:space="preserve">Компетентний орган вимагатиме від RM прийняття режиму встановлення гранульованості подання котирувань (tick size) акцій, депозитарних розписок, біржових фондів, сертифікатів та будь-яких інших фінансових інструментів у межах відповідного нормативного технічного стандарту. Регулювання tick size має на меті створення рівних умов між різними торговельними майданчиками в ЄС, регулюючи мінімальний приріст цін, який може використовуватися даним торговим майданчиком. За RTS 11, мінімальний tick size, що застосовується до акцій та депозитарних розписок, </w:t>
      </w:r>
      <w:r w:rsidRPr="007E5633">
        <w:rPr>
          <w:rFonts w:ascii="Arial" w:hAnsi="Arial" w:cs="Arial"/>
          <w:lang w:val="uk-UA"/>
        </w:rPr>
        <w:lastRenderedPageBreak/>
        <w:t>калібрується до середньоденної кількості операцій (ADNT) на найбільш ліквідному ринку в ЄС.</w:t>
      </w:r>
    </w:p>
    <w:p w14:paraId="5B0B9B70" w14:textId="77777777" w:rsidR="00A61BEE" w:rsidRPr="007E5633" w:rsidRDefault="003A7E00" w:rsidP="00A61BEE">
      <w:pPr>
        <w:jc w:val="both"/>
        <w:rPr>
          <w:rFonts w:ascii="Arial" w:hAnsi="Arial" w:cs="Arial"/>
          <w:shd w:val="clear" w:color="auto" w:fill="FFFFFF"/>
          <w:lang w:val="uk-UA"/>
        </w:rPr>
      </w:pPr>
      <w:r w:rsidRPr="007E5633">
        <w:rPr>
          <w:rFonts w:ascii="Arial" w:hAnsi="Arial" w:cs="Arial"/>
          <w:lang w:val="uk-UA"/>
        </w:rPr>
        <w:t>Заявник, який бажає розпочати регульований ринок</w:t>
      </w:r>
      <w:r w:rsidR="00FA15CD">
        <w:rPr>
          <w:rFonts w:ascii="Arial" w:hAnsi="Arial" w:cs="Arial"/>
          <w:lang w:val="uk-UA"/>
        </w:rPr>
        <w:t xml:space="preserve"> (майданчик)</w:t>
      </w:r>
      <w:r w:rsidRPr="007E5633">
        <w:rPr>
          <w:rFonts w:ascii="Arial" w:hAnsi="Arial" w:cs="Arial"/>
          <w:lang w:val="uk-UA"/>
        </w:rPr>
        <w:t>, також зобов'язаний синхронізувати бізнес-годинник із членами та учасниками RM. Бізнес-годинник використовується для реєстрації дати та часу будь-яких повідомлень, що підлягають обговоренню.</w:t>
      </w:r>
    </w:p>
    <w:p w14:paraId="6756FCD7" w14:textId="77777777" w:rsidR="00A61BEE" w:rsidRPr="007E5633" w:rsidRDefault="003A7E0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61" w:name="_Toc533093918"/>
      <w:r w:rsidRPr="007E5633">
        <w:rPr>
          <w:rFonts w:ascii="Arial" w:hAnsi="Arial" w:cs="Arial"/>
          <w:color w:val="auto"/>
          <w:sz w:val="22"/>
          <w:szCs w:val="22"/>
          <w:lang w:val="uk-UA"/>
        </w:rPr>
        <w:t xml:space="preserve">Доступ до регульованого </w:t>
      </w:r>
      <w:bookmarkEnd w:id="61"/>
      <w:r w:rsidR="00FA15CD">
        <w:rPr>
          <w:rFonts w:ascii="Arial" w:hAnsi="Arial" w:cs="Arial"/>
          <w:color w:val="auto"/>
          <w:sz w:val="22"/>
          <w:szCs w:val="22"/>
          <w:lang w:val="uk-UA"/>
        </w:rPr>
        <w:t>майданчика</w:t>
      </w:r>
    </w:p>
    <w:p w14:paraId="0F2EA631" w14:textId="77777777" w:rsidR="00A61BEE" w:rsidRPr="007E5633" w:rsidRDefault="003A7E00" w:rsidP="00A61BEE">
      <w:pPr>
        <w:jc w:val="both"/>
        <w:rPr>
          <w:rFonts w:ascii="Arial" w:hAnsi="Arial" w:cs="Arial"/>
          <w:lang w:val="uk-UA"/>
        </w:rPr>
      </w:pPr>
      <w:r w:rsidRPr="007E5633">
        <w:rPr>
          <w:rFonts w:ascii="Arial" w:hAnsi="Arial" w:cs="Arial"/>
          <w:lang w:val="uk-UA"/>
        </w:rPr>
        <w:t>Відповідно до вимоги MIFID II, повинні бути встановлені, впроваджені та підтримувані прозорі та недискримінаційні правила, що ґрунтуються на об'єктивних критеріях, що регулюють доступ або статус регульованого ринку</w:t>
      </w:r>
      <w:r w:rsidR="00FA15CD">
        <w:rPr>
          <w:rFonts w:ascii="Arial" w:hAnsi="Arial" w:cs="Arial"/>
          <w:lang w:val="uk-UA"/>
        </w:rPr>
        <w:t xml:space="preserve"> (майданчика)</w:t>
      </w:r>
      <w:r w:rsidRPr="007E5633">
        <w:rPr>
          <w:rFonts w:ascii="Arial" w:hAnsi="Arial" w:cs="Arial"/>
          <w:lang w:val="uk-UA"/>
        </w:rPr>
        <w:t>. NCA буде аналізувати вищезгадані правила з урахуванням критеріїв, викладених у статті 53 MIFID II.</w:t>
      </w:r>
      <w:r w:rsidR="00A61BEE" w:rsidRPr="007E5633">
        <w:rPr>
          <w:rFonts w:ascii="Arial" w:hAnsi="Arial" w:cs="Arial"/>
          <w:lang w:val="uk-UA"/>
        </w:rPr>
        <w:t xml:space="preserve"> </w:t>
      </w:r>
    </w:p>
    <w:p w14:paraId="0BAA505D" w14:textId="77777777" w:rsidR="00A61BEE" w:rsidRPr="007E5633" w:rsidRDefault="003A7E0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62" w:name="_Toc533093919"/>
      <w:r w:rsidRPr="007E5633">
        <w:rPr>
          <w:rFonts w:ascii="Arial" w:hAnsi="Arial" w:cs="Arial"/>
          <w:color w:val="auto"/>
          <w:sz w:val="22"/>
          <w:szCs w:val="22"/>
          <w:lang w:val="uk-UA"/>
        </w:rPr>
        <w:t>Прийом, зупинення та зняття фінансових інструментів з торгівлі</w:t>
      </w:r>
      <w:bookmarkEnd w:id="62"/>
    </w:p>
    <w:p w14:paraId="1FD9B9DB" w14:textId="77777777" w:rsidR="003A7E00" w:rsidRPr="007E5633" w:rsidRDefault="003A7E00" w:rsidP="003A7E00">
      <w:pPr>
        <w:jc w:val="both"/>
        <w:rPr>
          <w:rFonts w:ascii="Arial" w:hAnsi="Arial" w:cs="Arial"/>
          <w:lang w:val="uk-UA"/>
        </w:rPr>
      </w:pPr>
      <w:r w:rsidRPr="007E5633">
        <w:rPr>
          <w:rFonts w:ascii="Arial" w:hAnsi="Arial" w:cs="Arial"/>
          <w:lang w:val="uk-UA"/>
        </w:rPr>
        <w:t>Потенційний RM повинен мати чіткі та прозорі правила щодо допуску фінансових інструментів до торгівлі. Ці правила повинні гарантувати, що будь-які фінансові інструменти, допущені до торгівлі на регульованому ринку, можуть торгуватися справедливо, належним чином та ефективно, а у випадку цінних паперів, що підлягають обігу, їх можна буде вільно передати. RM також зобов'язаний проводити періодичний огляд відповідності вимогам допуску. Угоди в цій області повинні бути представлені NCA на етапі ліцензування.</w:t>
      </w:r>
    </w:p>
    <w:p w14:paraId="7EBBD7A1" w14:textId="77777777" w:rsidR="003A7E00" w:rsidRPr="007E5633" w:rsidRDefault="003A7E00" w:rsidP="003A7E00">
      <w:pPr>
        <w:jc w:val="both"/>
        <w:rPr>
          <w:rFonts w:ascii="Arial" w:hAnsi="Arial" w:cs="Arial"/>
          <w:lang w:val="uk-UA"/>
        </w:rPr>
      </w:pPr>
      <w:r w:rsidRPr="007E5633">
        <w:rPr>
          <w:rFonts w:ascii="Arial" w:hAnsi="Arial" w:cs="Arial"/>
          <w:lang w:val="uk-UA"/>
        </w:rPr>
        <w:t>Оператор ринку може призупинити або припинити торгівлю фінансовим інструментом, який більше не відповідає правилам регульованого ринку, за винятком випадків, коли таке призупинення чи відкликання може призвести до значної шкоди інтересам інвесторів або належного функціонування ринку. Очевидно, що в такому випадку деривативи, пов'язані з призупиненим або вилученим фінансовим інструментом, також припиняються або видаляються з ринку.</w:t>
      </w:r>
    </w:p>
    <w:p w14:paraId="074C29DD" w14:textId="77777777" w:rsidR="00A61BEE" w:rsidRPr="007E5633" w:rsidRDefault="003A7E00" w:rsidP="00A61BEE">
      <w:pPr>
        <w:jc w:val="both"/>
        <w:rPr>
          <w:rFonts w:ascii="Arial" w:hAnsi="Arial" w:cs="Arial"/>
          <w:lang w:val="uk-UA"/>
        </w:rPr>
      </w:pPr>
      <w:r w:rsidRPr="007E5633">
        <w:rPr>
          <w:rFonts w:ascii="Arial" w:hAnsi="Arial" w:cs="Arial"/>
          <w:lang w:val="uk-UA"/>
        </w:rPr>
        <w:t>Такі рішення повинні бути оприлюднені та передані NCA.</w:t>
      </w:r>
    </w:p>
    <w:p w14:paraId="0FEEA5D5" w14:textId="77777777" w:rsidR="00A61BEE" w:rsidRPr="007E5633" w:rsidRDefault="003A7E0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63" w:name="_Toc533093920"/>
      <w:r w:rsidRPr="007E5633">
        <w:rPr>
          <w:rFonts w:ascii="Arial" w:hAnsi="Arial" w:cs="Arial"/>
          <w:color w:val="auto"/>
          <w:sz w:val="22"/>
          <w:szCs w:val="22"/>
          <w:lang w:val="uk-UA"/>
        </w:rPr>
        <w:t>Моніторинг відповідності</w:t>
      </w:r>
      <w:bookmarkEnd w:id="63"/>
    </w:p>
    <w:p w14:paraId="515C85BD" w14:textId="77777777" w:rsidR="003A7E00" w:rsidRPr="007E5633" w:rsidRDefault="003A7E00" w:rsidP="003A7E00">
      <w:pPr>
        <w:jc w:val="both"/>
        <w:rPr>
          <w:rFonts w:ascii="Arial" w:hAnsi="Arial" w:cs="Arial"/>
          <w:lang w:val="uk-UA"/>
        </w:rPr>
      </w:pPr>
      <w:r w:rsidRPr="007E5633">
        <w:rPr>
          <w:rFonts w:ascii="Arial" w:hAnsi="Arial" w:cs="Arial"/>
          <w:lang w:val="uk-UA"/>
        </w:rPr>
        <w:t>У сфері моніторингу дотримання вимогам заявник повинен надати ефективні заходи та процедури, що стосуються практики протидії зловживання ринком, включаючи інсайдерську торгівлю. NCA повинно бути доведено, що необхідні ресурси для ефективного моніторингу дотримання є доступними. Більш детальну інформацію про звітність щодо зловживання ринком можна знайти в розділі 3.5.3</w:t>
      </w:r>
    </w:p>
    <w:p w14:paraId="658387B0" w14:textId="77777777" w:rsidR="003A7E00" w:rsidRPr="007E5633" w:rsidRDefault="003A7E00" w:rsidP="003A7E00">
      <w:pPr>
        <w:jc w:val="both"/>
        <w:rPr>
          <w:rFonts w:ascii="Arial" w:hAnsi="Arial" w:cs="Arial"/>
          <w:lang w:val="uk-UA"/>
        </w:rPr>
      </w:pPr>
      <w:r w:rsidRPr="007E5633">
        <w:rPr>
          <w:rFonts w:ascii="Arial" w:hAnsi="Arial" w:cs="Arial"/>
          <w:lang w:val="uk-UA"/>
        </w:rPr>
        <w:t>Крім того, RM повинен повідомляти NCA кожен раз, коли відбулося суттєве порушення правил чи про неорганізовані умови торгівлі чи поведінки.</w:t>
      </w:r>
    </w:p>
    <w:p w14:paraId="01F95796" w14:textId="77777777" w:rsidR="00A61BEE" w:rsidRPr="007E5633" w:rsidRDefault="003A7E00" w:rsidP="00912D9A">
      <w:pPr>
        <w:pStyle w:val="FSHeader1"/>
        <w:keepNext w:val="0"/>
        <w:pageBreakBefore w:val="0"/>
        <w:numPr>
          <w:ilvl w:val="3"/>
          <w:numId w:val="27"/>
        </w:numPr>
        <w:tabs>
          <w:tab w:val="left" w:pos="709"/>
        </w:tabs>
        <w:spacing w:after="120"/>
        <w:rPr>
          <w:rFonts w:ascii="Arial" w:hAnsi="Arial" w:cs="Arial"/>
          <w:color w:val="auto"/>
          <w:sz w:val="22"/>
          <w:szCs w:val="22"/>
          <w:lang w:val="uk-UA"/>
        </w:rPr>
      </w:pPr>
      <w:bookmarkStart w:id="64" w:name="_Toc533093921"/>
      <w:r w:rsidRPr="007E5633">
        <w:rPr>
          <w:rFonts w:ascii="Arial" w:hAnsi="Arial" w:cs="Arial"/>
          <w:color w:val="auto"/>
          <w:sz w:val="22"/>
          <w:szCs w:val="22"/>
          <w:lang w:val="uk-UA"/>
        </w:rPr>
        <w:t>Орган управління</w:t>
      </w:r>
      <w:bookmarkEnd w:id="64"/>
    </w:p>
    <w:p w14:paraId="55A1D781" w14:textId="77777777" w:rsidR="003A7E00" w:rsidRPr="007E5633" w:rsidRDefault="003A7E00" w:rsidP="003A7E00">
      <w:pPr>
        <w:jc w:val="both"/>
        <w:rPr>
          <w:rFonts w:ascii="Arial" w:hAnsi="Arial" w:cs="Arial"/>
          <w:lang w:val="uk-UA"/>
        </w:rPr>
      </w:pPr>
      <w:r w:rsidRPr="007E5633">
        <w:rPr>
          <w:rFonts w:ascii="Arial" w:hAnsi="Arial" w:cs="Arial"/>
          <w:lang w:val="uk-UA"/>
        </w:rPr>
        <w:t>Крім того, на етапі подання заявки приділяється значна увага керівній команді потенційного RM. Загалом, усі члени органу управління будь-якого оператора ринку повинні завжди мати достатньо добру репутацію, мати достатні знання, навички та досвід для виконання своїх обов'язків. MIFIDII також стверджує, що загальний склад органу управління повинен відображати достатньо широкий спектр досвіду. Існує три основні вимоги, які повинні бути виконані, і це обов'язково буде проаналізовано NCA:</w:t>
      </w:r>
    </w:p>
    <w:p w14:paraId="3CD54AAE"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 xml:space="preserve">орган управління повинен мати достатньо часу для виконання своїх функцій. На практиці одночасно така особа не може мати більше чотирьох директорських посад, на яких вона реально не керує </w:t>
      </w:r>
      <w:r w:rsidR="007E5633" w:rsidRPr="007E5633">
        <w:rPr>
          <w:rFonts w:ascii="Arial" w:hAnsi="Arial" w:cs="Arial"/>
          <w:lang w:val="uk-UA"/>
        </w:rPr>
        <w:t>колективами</w:t>
      </w:r>
      <w:r w:rsidRPr="007E5633">
        <w:rPr>
          <w:rFonts w:ascii="Arial" w:hAnsi="Arial" w:cs="Arial"/>
          <w:lang w:val="uk-UA"/>
        </w:rPr>
        <w:t xml:space="preserve">, або однієї керівної посади директора, де вона керує </w:t>
      </w:r>
      <w:r w:rsidR="007E5633" w:rsidRPr="007E5633">
        <w:rPr>
          <w:rFonts w:ascii="Arial" w:hAnsi="Arial" w:cs="Arial"/>
          <w:lang w:val="uk-UA"/>
        </w:rPr>
        <w:t>колективами</w:t>
      </w:r>
      <w:r w:rsidRPr="007E5633">
        <w:rPr>
          <w:rFonts w:ascii="Arial" w:hAnsi="Arial" w:cs="Arial"/>
          <w:lang w:val="uk-UA"/>
        </w:rPr>
        <w:t xml:space="preserve">, та двома посадами директорами, на яких </w:t>
      </w:r>
      <w:r w:rsidRPr="007E5633">
        <w:rPr>
          <w:rFonts w:ascii="Arial" w:hAnsi="Arial" w:cs="Arial"/>
          <w:lang w:val="uk-UA"/>
        </w:rPr>
        <w:lastRenderedPageBreak/>
        <w:t>вона не керує колективами. Часові зобов'язання повинні бути оцінені з урахуванням індивідуальних обставин і характеру, масштабу та складності діяльності оператора ринку;</w:t>
      </w:r>
    </w:p>
    <w:p w14:paraId="5D9EC562"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орган управління повинен мати адекватні колективні знання, навички та досвід, щоб мати змогу зрозуміти діяльність оператора ринку, включаючи основні ризики;</w:t>
      </w:r>
    </w:p>
    <w:p w14:paraId="2F072814"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орган управління повинен діяти чесно, прозоро та незалежно, щоб ефективно оцінювати та оскаржувати рішення керівництва, де це необхідно, та ефективно контролювати та контролювати прийняття рішень.</w:t>
      </w:r>
    </w:p>
    <w:p w14:paraId="40995B30" w14:textId="77777777" w:rsidR="003A7E00" w:rsidRPr="007E5633" w:rsidRDefault="003A7E00" w:rsidP="003A7E00">
      <w:pPr>
        <w:jc w:val="both"/>
        <w:rPr>
          <w:rFonts w:ascii="Arial" w:hAnsi="Arial" w:cs="Arial"/>
          <w:lang w:val="uk-UA"/>
        </w:rPr>
      </w:pPr>
      <w:r w:rsidRPr="007E5633">
        <w:rPr>
          <w:rFonts w:ascii="Arial" w:hAnsi="Arial" w:cs="Arial"/>
          <w:lang w:val="uk-UA"/>
        </w:rPr>
        <w:t>Дані, які слід включити до пакета заявки стосовно органу управління, будуть подібними до зазначених у відповідному розділі, присвяченому ліцензуванню інвестиційної фірми.</w:t>
      </w:r>
    </w:p>
    <w:p w14:paraId="564C04B2" w14:textId="77777777" w:rsidR="003A7E00" w:rsidRPr="007E5633" w:rsidRDefault="003A7E00" w:rsidP="003A7E00">
      <w:pPr>
        <w:jc w:val="both"/>
        <w:rPr>
          <w:rFonts w:ascii="Arial" w:hAnsi="Arial" w:cs="Arial"/>
          <w:lang w:val="uk-UA"/>
        </w:rPr>
      </w:pPr>
      <w:r w:rsidRPr="007E5633">
        <w:rPr>
          <w:rFonts w:ascii="Arial" w:hAnsi="Arial" w:cs="Arial"/>
          <w:lang w:val="uk-UA"/>
        </w:rPr>
        <w:t>Важливо також пам'ятати, що NCA має право відкликати видану ліцензію, коли суб'єкт господарювання:</w:t>
      </w:r>
    </w:p>
    <w:p w14:paraId="3D5D0CB6"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не використовує ліцензію протягом 12 місяців, відмовляється від ліцензії або не працює протягом попередніх шести місяців, якщо відповідна держава-член не передбачила, що ліцензія може втратити силу у таких випадках,</w:t>
      </w:r>
    </w:p>
    <w:p w14:paraId="35BD791C"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подав в складі заявки неправдиві свідчення/дані, а ліцензію було надано на основі таких неправдивих даних,</w:t>
      </w:r>
    </w:p>
    <w:p w14:paraId="40DBFC97" w14:textId="77777777" w:rsidR="003A7E00" w:rsidRPr="007E5633" w:rsidRDefault="003A7E00" w:rsidP="000D248B">
      <w:pPr>
        <w:pStyle w:val="a4"/>
        <w:numPr>
          <w:ilvl w:val="0"/>
          <w:numId w:val="50"/>
        </w:numPr>
        <w:jc w:val="both"/>
        <w:rPr>
          <w:rFonts w:ascii="Arial" w:hAnsi="Arial" w:cs="Arial"/>
          <w:lang w:val="uk-UA"/>
        </w:rPr>
      </w:pPr>
      <w:r w:rsidRPr="007E5633">
        <w:rPr>
          <w:rFonts w:ascii="Arial" w:hAnsi="Arial" w:cs="Arial"/>
          <w:lang w:val="uk-UA"/>
        </w:rPr>
        <w:t>більше не відповідає умовам надання ліцензії,</w:t>
      </w:r>
    </w:p>
    <w:p w14:paraId="52760964" w14:textId="77777777" w:rsidR="00FA15CD" w:rsidRDefault="003A7E00" w:rsidP="00FA15CD">
      <w:pPr>
        <w:pStyle w:val="a4"/>
        <w:numPr>
          <w:ilvl w:val="0"/>
          <w:numId w:val="50"/>
        </w:numPr>
        <w:jc w:val="both"/>
        <w:rPr>
          <w:rFonts w:ascii="Arial" w:hAnsi="Arial" w:cs="Arial"/>
          <w:lang w:val="uk-UA"/>
        </w:rPr>
      </w:pPr>
      <w:r w:rsidRPr="007E5633">
        <w:rPr>
          <w:rFonts w:ascii="Arial" w:hAnsi="Arial" w:cs="Arial"/>
          <w:lang w:val="uk-UA"/>
        </w:rPr>
        <w:t xml:space="preserve">серйозно і систематично порушував положення, </w:t>
      </w:r>
      <w:r w:rsidR="00FA15CD">
        <w:rPr>
          <w:rFonts w:ascii="Arial" w:hAnsi="Arial" w:cs="Arial"/>
          <w:lang w:val="uk-UA"/>
        </w:rPr>
        <w:t>прийняті відповідно до MIFID ІІ,</w:t>
      </w:r>
    </w:p>
    <w:p w14:paraId="155327AF" w14:textId="77777777" w:rsidR="003A7E00" w:rsidRPr="00FA15CD" w:rsidRDefault="003A7E00" w:rsidP="00FA15CD">
      <w:pPr>
        <w:pStyle w:val="a4"/>
        <w:numPr>
          <w:ilvl w:val="0"/>
          <w:numId w:val="50"/>
        </w:numPr>
        <w:jc w:val="both"/>
        <w:rPr>
          <w:rFonts w:ascii="Arial" w:hAnsi="Arial" w:cs="Arial"/>
          <w:lang w:val="uk-UA"/>
        </w:rPr>
      </w:pPr>
      <w:r w:rsidRPr="00FA15CD">
        <w:rPr>
          <w:rFonts w:ascii="Arial" w:hAnsi="Arial" w:cs="Arial"/>
          <w:lang w:val="uk-UA"/>
        </w:rPr>
        <w:t>потрапляє в будь-яке з випадків, коли національне законодавство передбачає вилучення ліцензії.</w:t>
      </w:r>
    </w:p>
    <w:p w14:paraId="32261CB2" w14:textId="77777777" w:rsidR="00E4309C" w:rsidRPr="007E5633" w:rsidRDefault="003A7E00" w:rsidP="003A7E00">
      <w:pPr>
        <w:jc w:val="both"/>
        <w:rPr>
          <w:rFonts w:ascii="Arial" w:hAnsi="Arial" w:cs="Arial"/>
          <w:lang w:val="uk-UA"/>
        </w:rPr>
      </w:pPr>
      <w:r w:rsidRPr="007E5633">
        <w:rPr>
          <w:rFonts w:ascii="Arial" w:hAnsi="Arial" w:cs="Arial"/>
          <w:lang w:val="uk-UA"/>
        </w:rPr>
        <w:t>NCA повідомляє ESMA у разі вилучення ліцензії. Після отримання такої інформації ESMA оновлює свій реєстр регульованих ринків.</w:t>
      </w:r>
      <w:r w:rsidR="00605236" w:rsidRPr="007E5633">
        <w:rPr>
          <w:rFonts w:ascii="Arial" w:hAnsi="Arial" w:cs="Arial"/>
          <w:lang w:val="uk-UA"/>
        </w:rPr>
        <w:t xml:space="preserve">  </w:t>
      </w:r>
    </w:p>
    <w:p w14:paraId="7B27B45F" w14:textId="77777777" w:rsidR="00E4309C" w:rsidRPr="007E5633" w:rsidRDefault="003A7E00" w:rsidP="00912D9A">
      <w:pPr>
        <w:pStyle w:val="FSHeader1"/>
        <w:keepNext w:val="0"/>
        <w:pageBreakBefore w:val="0"/>
        <w:numPr>
          <w:ilvl w:val="1"/>
          <w:numId w:val="27"/>
        </w:numPr>
        <w:spacing w:after="120"/>
        <w:ind w:left="434" w:hanging="434"/>
        <w:rPr>
          <w:rFonts w:ascii="Arial" w:hAnsi="Arial" w:cs="Arial"/>
          <w:sz w:val="26"/>
          <w:szCs w:val="26"/>
          <w:lang w:val="uk-UA"/>
        </w:rPr>
      </w:pPr>
      <w:bookmarkStart w:id="65" w:name="_Toc526775017"/>
      <w:bookmarkStart w:id="66" w:name="_Toc533093922"/>
      <w:r w:rsidRPr="007E5633">
        <w:rPr>
          <w:rFonts w:ascii="Arial" w:hAnsi="Arial" w:cs="Arial"/>
          <w:sz w:val="26"/>
          <w:szCs w:val="26"/>
          <w:lang w:val="uk-UA"/>
        </w:rPr>
        <w:t>Аналіз системи ліцензування для трейдерів</w:t>
      </w:r>
      <w:bookmarkEnd w:id="65"/>
      <w:bookmarkEnd w:id="66"/>
      <w:r w:rsidR="00A61BEE" w:rsidRPr="007E5633">
        <w:rPr>
          <w:rFonts w:ascii="Arial" w:hAnsi="Arial" w:cs="Arial"/>
          <w:sz w:val="26"/>
          <w:szCs w:val="26"/>
          <w:lang w:val="uk-UA"/>
        </w:rPr>
        <w:t xml:space="preserve"> </w:t>
      </w:r>
    </w:p>
    <w:p w14:paraId="3D3FAD4D" w14:textId="77777777" w:rsidR="00E4309C" w:rsidRPr="007E5633" w:rsidRDefault="003A7E00" w:rsidP="00912D9A">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67" w:name="_Toc526775018"/>
      <w:bookmarkStart w:id="68" w:name="_Toc533093923"/>
      <w:r w:rsidRPr="007E5633">
        <w:rPr>
          <w:rFonts w:ascii="Arial" w:hAnsi="Arial" w:cs="Arial"/>
          <w:color w:val="auto"/>
          <w:sz w:val="22"/>
          <w:szCs w:val="22"/>
          <w:lang w:val="uk-UA"/>
        </w:rPr>
        <w:t>Фізична торгівля</w:t>
      </w:r>
      <w:bookmarkEnd w:id="67"/>
      <w:bookmarkEnd w:id="68"/>
    </w:p>
    <w:p w14:paraId="4EE84880" w14:textId="77777777" w:rsidR="003A7E00" w:rsidRPr="007E5633" w:rsidRDefault="003A7E00" w:rsidP="003A7E00">
      <w:pPr>
        <w:spacing w:line="240" w:lineRule="auto"/>
        <w:jc w:val="both"/>
        <w:rPr>
          <w:rFonts w:ascii="Arial" w:eastAsia="Times New Roman" w:hAnsi="Arial" w:cs="Arial"/>
          <w:lang w:val="uk-UA"/>
        </w:rPr>
      </w:pPr>
      <w:r w:rsidRPr="007E5633">
        <w:rPr>
          <w:rFonts w:ascii="Arial" w:eastAsia="Times New Roman" w:hAnsi="Arial" w:cs="Arial"/>
          <w:lang w:val="uk-UA"/>
        </w:rPr>
        <w:t>В результаті чіткого відходження секторів електроенергії та природного газу від загального принципу свободи надання послуг в ЄС</w:t>
      </w:r>
      <w:r w:rsidRPr="007E5633">
        <w:rPr>
          <w:rStyle w:val="aa"/>
          <w:rFonts w:ascii="Arial" w:eastAsia="Times New Roman" w:hAnsi="Arial" w:cs="Arial"/>
          <w:lang w:val="uk-UA"/>
        </w:rPr>
        <w:footnoteReference w:id="5"/>
      </w:r>
      <w:r w:rsidRPr="007E5633">
        <w:rPr>
          <w:rFonts w:ascii="Arial" w:eastAsia="Times New Roman" w:hAnsi="Arial" w:cs="Arial"/>
          <w:lang w:val="uk-UA"/>
        </w:rPr>
        <w:t>, нормативна база для доступу до оптової торгівлі енергоносіями належить до компетенції держав-членів. Отже, ринки фізичної енергії в ЄС залишаються предметом національної законодавчої та нормативної бази, що регулює енергетичний сектор у кожній країні.</w:t>
      </w:r>
    </w:p>
    <w:p w14:paraId="4032350F" w14:textId="77777777" w:rsidR="003A7E00" w:rsidRPr="007E5633" w:rsidRDefault="003A7E00" w:rsidP="003A7E00">
      <w:pPr>
        <w:spacing w:line="240" w:lineRule="auto"/>
        <w:jc w:val="both"/>
        <w:rPr>
          <w:rFonts w:ascii="Arial" w:eastAsia="Times New Roman" w:hAnsi="Arial" w:cs="Arial"/>
          <w:lang w:val="uk-UA"/>
        </w:rPr>
      </w:pPr>
      <w:r w:rsidRPr="007E5633">
        <w:rPr>
          <w:rFonts w:ascii="Arial" w:eastAsia="Times New Roman" w:hAnsi="Arial" w:cs="Arial"/>
          <w:lang w:val="uk-UA"/>
        </w:rPr>
        <w:t>Такий недолік узгодженої загальноєвропейської системи доступу до оптової торгівлі електроенергією та газом визначається як головна перешкода для забезпечення цілісності торгівлі енергією в ЄС, що перешкоджає створенню єдиного енергетичного ринку. Справді, Рада Європейських регуляторів енергетики ("CEER") у своїй Заключній консультації щодо впровадження загальноєвропейського паспорту оптової торгівлі енергією</w:t>
      </w:r>
      <w:r w:rsidRPr="007E5633">
        <w:rPr>
          <w:rStyle w:val="aa"/>
          <w:rFonts w:ascii="Arial" w:eastAsia="Times New Roman" w:hAnsi="Arial" w:cs="Arial"/>
          <w:lang w:val="uk-UA"/>
        </w:rPr>
        <w:footnoteReference w:id="6"/>
      </w:r>
      <w:r w:rsidRPr="007E5633">
        <w:rPr>
          <w:rFonts w:ascii="Arial" w:eastAsia="Times New Roman" w:hAnsi="Arial" w:cs="Arial"/>
          <w:lang w:val="uk-UA"/>
        </w:rPr>
        <w:t xml:space="preserve"> зазначила: "В даний час існує безліч правил та режимів стосовно доступу для торгових компаній до оптових ринків енергії. Це створює серйозне адміністративне навантаження та перешкоди для більшої конкуренції на оптових енергетичних ринках. Кілька сучасних вимог щодо ліцензування в європейських країнах сприймаються як серйозні бар'єри для входу на ринок, особливо для торгових компаній, які хочуть бути </w:t>
      </w:r>
      <w:r w:rsidRPr="007E5633">
        <w:rPr>
          <w:rFonts w:ascii="Arial" w:eastAsia="Times New Roman" w:hAnsi="Arial" w:cs="Arial"/>
          <w:lang w:val="uk-UA"/>
        </w:rPr>
        <w:lastRenderedPageBreak/>
        <w:t>активними в кількох країнах-членах. Крім того, оскільки існують країни-члени, які не мають вимог щодо доступу, слід зазначити, що на цих ринках неможливо гарантувати мінімальні перевірки торговельних компаній. Відсутній послідовний огляд того, хто насправді діє на ринку. "</w:t>
      </w:r>
    </w:p>
    <w:p w14:paraId="612A6321" w14:textId="77777777" w:rsidR="003A7E00" w:rsidRPr="007E5633" w:rsidRDefault="003A7E00" w:rsidP="003A7E00">
      <w:pPr>
        <w:spacing w:line="240" w:lineRule="auto"/>
        <w:jc w:val="both"/>
        <w:rPr>
          <w:rFonts w:ascii="Arial" w:eastAsia="Times New Roman" w:hAnsi="Arial" w:cs="Arial"/>
          <w:lang w:val="uk-UA"/>
        </w:rPr>
      </w:pPr>
      <w:r w:rsidRPr="007E5633">
        <w:rPr>
          <w:rFonts w:ascii="Arial" w:eastAsia="Times New Roman" w:hAnsi="Arial" w:cs="Arial"/>
          <w:lang w:val="uk-UA"/>
        </w:rPr>
        <w:t>Рекомендації CEER щодо паспорту оптової торгівлі енергією в Європі ще не розглянуті відповідними установами ЄС, і, як наслідок, трейдери енергією, які передбачають проведення фізичної торгівлі на оптових ринках електроенергії або газу Європейського Союзу або Енергетичного співтовариства все ще стикається з труднощами, пов'язаними з різноманітністю різних режимів доступу до регулювання.</w:t>
      </w:r>
    </w:p>
    <w:p w14:paraId="3229CB4C" w14:textId="77777777" w:rsidR="003A7E00" w:rsidRPr="007E5633" w:rsidRDefault="003A7E00" w:rsidP="003A7E00">
      <w:pPr>
        <w:spacing w:line="240" w:lineRule="auto"/>
        <w:jc w:val="both"/>
        <w:rPr>
          <w:rFonts w:ascii="Arial" w:eastAsia="Times New Roman" w:hAnsi="Arial" w:cs="Arial"/>
          <w:lang w:val="uk-UA"/>
        </w:rPr>
      </w:pPr>
      <w:r w:rsidRPr="007E5633">
        <w:rPr>
          <w:rFonts w:ascii="Arial" w:eastAsia="Times New Roman" w:hAnsi="Arial" w:cs="Arial"/>
          <w:lang w:val="uk-UA"/>
        </w:rPr>
        <w:t>Наприклад, для участі у оптовій діяльності в Угорщині іноземні юридичні особи, зареєстровані в державі-члені EU/EEA, можуть безпосередньо звертатися за ліцензією на оптову торгівлю та утримувати її за умови, що вони законно та ефективно здійснюють торгівлю електроенергією або газом у своїй країні реєстрації. Проте суб'єкти господарювання, які розташовані в країнах, які не є членами EU/EEA (наприклад, у Швейцарії), можуть отримати ліцензію на оптову торгівлю за умови, що вони створюють місцеву корпорацію в Угорщині. З іншого боку, відповідно до законів Польщі, наприклад, Швейцарія класифікується як "привілейована юрисдикція", і швейцарські компанії можуть безпосередньо звертатися за наданням ліцензії на оптову торгівлю без необхідності створення місцевої компанії.</w:t>
      </w:r>
    </w:p>
    <w:p w14:paraId="0868E214" w14:textId="6AEE4681" w:rsidR="00E4309C" w:rsidRPr="007E5633" w:rsidRDefault="003A7E00" w:rsidP="00F43976">
      <w:pPr>
        <w:pStyle w:val="af1"/>
        <w:jc w:val="left"/>
        <w:rPr>
          <w:rFonts w:cs="Arial"/>
          <w:sz w:val="22"/>
          <w:szCs w:val="22"/>
          <w:lang w:val="uk-UA"/>
        </w:rPr>
      </w:pPr>
      <w:bookmarkStart w:id="69" w:name="_Toc533094040"/>
      <w:r w:rsidRPr="007E5633">
        <w:rPr>
          <w:rFonts w:cs="Arial"/>
          <w:iCs w:val="0"/>
          <w:sz w:val="22"/>
          <w:szCs w:val="22"/>
          <w:lang w:val="uk-UA"/>
        </w:rPr>
        <w:t>Схема</w:t>
      </w:r>
      <w:r w:rsidR="00F43976" w:rsidRPr="007E5633">
        <w:rPr>
          <w:rFonts w:cs="Arial"/>
          <w:sz w:val="22"/>
          <w:szCs w:val="22"/>
          <w:lang w:val="uk-UA"/>
        </w:rPr>
        <w:t xml:space="preserve"> </w:t>
      </w:r>
      <w:r w:rsidR="00622EE2" w:rsidRPr="007E5633">
        <w:rPr>
          <w:rFonts w:cs="Arial"/>
          <w:sz w:val="22"/>
          <w:szCs w:val="22"/>
          <w:lang w:val="uk-UA"/>
        </w:rPr>
        <w:fldChar w:fldCharType="begin"/>
      </w:r>
      <w:r w:rsidR="00F43976"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13</w:t>
      </w:r>
      <w:r w:rsidR="00622EE2" w:rsidRPr="007E5633">
        <w:rPr>
          <w:rFonts w:cs="Arial"/>
          <w:sz w:val="22"/>
          <w:szCs w:val="22"/>
          <w:lang w:val="uk-UA"/>
        </w:rPr>
        <w:fldChar w:fldCharType="end"/>
      </w:r>
      <w:r w:rsidR="00F43976" w:rsidRPr="007E5633">
        <w:rPr>
          <w:rFonts w:cs="Arial"/>
          <w:sz w:val="22"/>
          <w:szCs w:val="22"/>
          <w:lang w:val="uk-UA"/>
        </w:rPr>
        <w:t xml:space="preserve">:  </w:t>
      </w:r>
      <w:r w:rsidRPr="007E5633">
        <w:rPr>
          <w:rFonts w:cs="Arial"/>
          <w:sz w:val="22"/>
          <w:szCs w:val="22"/>
          <w:lang w:val="uk-UA"/>
        </w:rPr>
        <w:t>Ліцензійні вимоги щодо оптової торгівлі газом на території ЄС</w:t>
      </w:r>
      <w:bookmarkEnd w:id="69"/>
    </w:p>
    <w:p w14:paraId="3AB5C6F9" w14:textId="77777777" w:rsidR="00E4309C" w:rsidRPr="007E5633" w:rsidRDefault="00E4309C" w:rsidP="00E4309C">
      <w:pPr>
        <w:spacing w:after="240" w:line="240" w:lineRule="auto"/>
        <w:jc w:val="both"/>
        <w:rPr>
          <w:rFonts w:ascii="Arial" w:eastAsia="Times New Roman" w:hAnsi="Arial" w:cs="Arial"/>
          <w:lang w:val="uk-UA"/>
        </w:rPr>
      </w:pPr>
      <w:r w:rsidRPr="007E5633">
        <w:rPr>
          <w:rFonts w:ascii="Arial" w:eastAsia="Times New Roman" w:hAnsi="Arial" w:cs="Arial"/>
          <w:noProof/>
          <w:lang w:val="en-US"/>
        </w:rPr>
        <w:drawing>
          <wp:inline distT="0" distB="0" distL="0" distR="0" wp14:anchorId="3C2C61DF" wp14:editId="0DB372DE">
            <wp:extent cx="4070673" cy="2615609"/>
            <wp:effectExtent l="19050" t="19050" r="25400"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68937" cy="2614494"/>
                    </a:xfrm>
                    <a:prstGeom prst="rect">
                      <a:avLst/>
                    </a:prstGeom>
                    <a:noFill/>
                    <a:ln w="6350" cmpd="sng">
                      <a:solidFill>
                        <a:srgbClr val="000000"/>
                      </a:solidFill>
                      <a:miter lim="800000"/>
                      <a:headEnd/>
                      <a:tailEnd/>
                    </a:ln>
                    <a:effectLst/>
                  </pic:spPr>
                </pic:pic>
              </a:graphicData>
            </a:graphic>
          </wp:inline>
        </w:drawing>
      </w:r>
    </w:p>
    <w:p w14:paraId="6A9F10A7" w14:textId="77777777" w:rsidR="00F43976" w:rsidRPr="007E5633" w:rsidRDefault="00F43976" w:rsidP="00F43976">
      <w:pPr>
        <w:pStyle w:val="af1"/>
        <w:jc w:val="left"/>
        <w:rPr>
          <w:rFonts w:cs="Arial"/>
          <w:sz w:val="22"/>
          <w:szCs w:val="22"/>
          <w:lang w:val="uk-UA"/>
        </w:rPr>
      </w:pPr>
    </w:p>
    <w:p w14:paraId="734EBA78" w14:textId="77777777" w:rsidR="003A7E00" w:rsidRPr="007E5633" w:rsidRDefault="003A7E00">
      <w:pPr>
        <w:suppressAutoHyphens w:val="0"/>
        <w:rPr>
          <w:rFonts w:ascii="Arial" w:eastAsia="Times New Roman" w:hAnsi="Arial" w:cs="Arial"/>
          <w:b/>
          <w:lang w:val="uk-UA"/>
        </w:rPr>
      </w:pPr>
      <w:r w:rsidRPr="007E5633">
        <w:rPr>
          <w:rFonts w:ascii="Arial" w:hAnsi="Arial" w:cs="Arial"/>
          <w:iCs/>
          <w:lang w:val="uk-UA"/>
        </w:rPr>
        <w:br w:type="page"/>
      </w:r>
    </w:p>
    <w:p w14:paraId="2E548BB3" w14:textId="51982F5A" w:rsidR="00E4309C" w:rsidRPr="007E5633" w:rsidRDefault="003A7E00" w:rsidP="00F43976">
      <w:pPr>
        <w:pStyle w:val="af1"/>
        <w:jc w:val="left"/>
        <w:rPr>
          <w:rFonts w:cs="Arial"/>
          <w:sz w:val="22"/>
          <w:szCs w:val="22"/>
          <w:lang w:val="uk-UA"/>
        </w:rPr>
      </w:pPr>
      <w:bookmarkStart w:id="70" w:name="_Toc533094041"/>
      <w:r w:rsidRPr="007E5633">
        <w:rPr>
          <w:rFonts w:cs="Arial"/>
          <w:iCs w:val="0"/>
          <w:sz w:val="22"/>
          <w:szCs w:val="22"/>
          <w:lang w:val="uk-UA"/>
        </w:rPr>
        <w:lastRenderedPageBreak/>
        <w:t>Схема</w:t>
      </w:r>
      <w:r w:rsidRPr="007E5633">
        <w:rPr>
          <w:rFonts w:cs="Arial"/>
          <w:sz w:val="22"/>
          <w:szCs w:val="22"/>
          <w:lang w:val="uk-UA"/>
        </w:rPr>
        <w:t xml:space="preserve"> </w:t>
      </w:r>
      <w:r w:rsidR="00622EE2" w:rsidRPr="007E5633">
        <w:rPr>
          <w:rFonts w:cs="Arial"/>
          <w:sz w:val="22"/>
          <w:szCs w:val="22"/>
          <w:lang w:val="uk-UA"/>
        </w:rPr>
        <w:fldChar w:fldCharType="begin"/>
      </w:r>
      <w:r w:rsidR="00F43976"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14</w:t>
      </w:r>
      <w:r w:rsidR="00622EE2" w:rsidRPr="007E5633">
        <w:rPr>
          <w:rFonts w:cs="Arial"/>
          <w:sz w:val="22"/>
          <w:szCs w:val="22"/>
          <w:lang w:val="uk-UA"/>
        </w:rPr>
        <w:fldChar w:fldCharType="end"/>
      </w:r>
      <w:r w:rsidR="00F43976" w:rsidRPr="007E5633">
        <w:rPr>
          <w:rFonts w:cs="Arial"/>
          <w:sz w:val="22"/>
          <w:szCs w:val="22"/>
          <w:lang w:val="uk-UA"/>
        </w:rPr>
        <w:t xml:space="preserve">:  </w:t>
      </w:r>
      <w:r w:rsidRPr="007E5633">
        <w:rPr>
          <w:rFonts w:cs="Arial"/>
          <w:sz w:val="22"/>
          <w:szCs w:val="22"/>
          <w:lang w:val="uk-UA"/>
        </w:rPr>
        <w:t>Вимоги щодо ліцензування оптової торгівлі енергією на території ЄС</w:t>
      </w:r>
      <w:bookmarkEnd w:id="70"/>
    </w:p>
    <w:p w14:paraId="7C802079" w14:textId="77777777" w:rsidR="00E4309C" w:rsidRPr="007E5633" w:rsidRDefault="00E4309C" w:rsidP="00E4309C">
      <w:pPr>
        <w:spacing w:line="240" w:lineRule="auto"/>
        <w:rPr>
          <w:rFonts w:ascii="Arial" w:hAnsi="Arial" w:cs="Arial"/>
          <w:lang w:val="uk-UA"/>
        </w:rPr>
      </w:pPr>
      <w:r w:rsidRPr="007E5633">
        <w:rPr>
          <w:rFonts w:ascii="Arial" w:hAnsi="Arial" w:cs="Arial"/>
          <w:noProof/>
          <w:lang w:val="en-US"/>
        </w:rPr>
        <w:drawing>
          <wp:inline distT="0" distB="0" distL="0" distR="0" wp14:anchorId="384A73BC" wp14:editId="1B46B8E8">
            <wp:extent cx="4349363" cy="2832143"/>
            <wp:effectExtent l="19050" t="19050" r="13335" b="254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5088" cy="2822847"/>
                    </a:xfrm>
                    <a:prstGeom prst="rect">
                      <a:avLst/>
                    </a:prstGeom>
                    <a:noFill/>
                    <a:ln w="6350" cmpd="sng">
                      <a:solidFill>
                        <a:srgbClr val="000000"/>
                      </a:solidFill>
                      <a:miter lim="800000"/>
                      <a:headEnd/>
                      <a:tailEnd/>
                    </a:ln>
                    <a:effectLst/>
                  </pic:spPr>
                </pic:pic>
              </a:graphicData>
            </a:graphic>
          </wp:inline>
        </w:drawing>
      </w:r>
    </w:p>
    <w:p w14:paraId="5A6AC8FA" w14:textId="77777777" w:rsidR="00E4309C" w:rsidRPr="007E5633" w:rsidRDefault="003A7E00" w:rsidP="00726718">
      <w:pPr>
        <w:pStyle w:val="NormalGTP"/>
        <w:ind w:firstLine="720"/>
        <w:rPr>
          <w:rFonts w:cs="Arial"/>
          <w:b/>
          <w:noProof w:val="0"/>
          <w:sz w:val="24"/>
          <w:szCs w:val="24"/>
          <w:lang w:val="uk-UA"/>
        </w:rPr>
      </w:pPr>
      <w:r w:rsidRPr="007E5633">
        <w:rPr>
          <w:rFonts w:cs="Arial"/>
          <w:b/>
          <w:noProof w:val="0"/>
          <w:sz w:val="24"/>
          <w:szCs w:val="24"/>
          <w:lang w:val="uk-UA"/>
        </w:rPr>
        <w:t>Фінансова торгівля</w:t>
      </w:r>
    </w:p>
    <w:p w14:paraId="4DAD04F2" w14:textId="77777777" w:rsidR="003A7E00" w:rsidRPr="007E5633" w:rsidRDefault="003A7E00" w:rsidP="003A7E00">
      <w:pPr>
        <w:pStyle w:val="af4"/>
        <w:rPr>
          <w:sz w:val="22"/>
          <w:szCs w:val="22"/>
          <w:lang w:val="uk-UA"/>
        </w:rPr>
      </w:pPr>
      <w:bookmarkStart w:id="71" w:name="_Toc526775020"/>
      <w:r w:rsidRPr="007E5633">
        <w:rPr>
          <w:sz w:val="22"/>
          <w:szCs w:val="22"/>
          <w:lang w:val="uk-UA"/>
        </w:rPr>
        <w:t xml:space="preserve">На відміну від торгівлі фізичною енергією, доступ до похідних (фінансових інструментів) частини оптових енергетичних ринків широко охоплюється регулюванням, що регулює фінансові ринки і яке в основному гармонізоване в усьому ЄС. Важливою особливістю цього правила є паспорт, оскільки це передбачено в MiFID II (Директива 2014/65 / ЄС Європейського Парламенту та Ради від 15 травня 2014 р. Про ринки фінансових інструментів та внесення змін до Директиви 2002/92 / ЄС та Директиви 2011/61 / ЄС (переглянута)), і це стосується концепції "єдиної ліцензії", яка дає можливість компаніям </w:t>
      </w:r>
      <w:r w:rsidRPr="007E5633">
        <w:rPr>
          <w:rFonts w:eastAsia="Times New Roman"/>
          <w:sz w:val="22"/>
          <w:szCs w:val="22"/>
          <w:lang w:val="uk-UA"/>
        </w:rPr>
        <w:t>EU/EEA</w:t>
      </w:r>
      <w:r w:rsidRPr="007E5633">
        <w:rPr>
          <w:sz w:val="22"/>
          <w:szCs w:val="22"/>
          <w:lang w:val="uk-UA"/>
        </w:rPr>
        <w:t xml:space="preserve"> надавати свої послуги у всіх країнах </w:t>
      </w:r>
      <w:r w:rsidRPr="007E5633">
        <w:rPr>
          <w:rFonts w:eastAsia="Times New Roman"/>
          <w:sz w:val="22"/>
          <w:szCs w:val="22"/>
          <w:lang w:val="uk-UA"/>
        </w:rPr>
        <w:t>EU/EEA</w:t>
      </w:r>
      <w:r w:rsidRPr="007E5633">
        <w:rPr>
          <w:sz w:val="22"/>
          <w:szCs w:val="22"/>
          <w:lang w:val="uk-UA"/>
        </w:rPr>
        <w:t xml:space="preserve">. Відповідно, компанія, ліцензована як інвестиційна фірма в державі-члені </w:t>
      </w:r>
      <w:r w:rsidRPr="007E5633">
        <w:rPr>
          <w:rFonts w:eastAsia="Times New Roman"/>
          <w:sz w:val="22"/>
          <w:szCs w:val="22"/>
          <w:lang w:val="uk-UA"/>
        </w:rPr>
        <w:t>EU/EEA</w:t>
      </w:r>
      <w:r w:rsidRPr="007E5633">
        <w:rPr>
          <w:sz w:val="22"/>
          <w:szCs w:val="22"/>
          <w:lang w:val="uk-UA"/>
        </w:rPr>
        <w:t xml:space="preserve">, також має право пропонувати послуги на транскордонній основі або через філію в будь-якій іншій країні </w:t>
      </w:r>
      <w:r w:rsidRPr="007E5633">
        <w:rPr>
          <w:rFonts w:eastAsia="Times New Roman"/>
          <w:sz w:val="22"/>
          <w:szCs w:val="22"/>
          <w:lang w:val="uk-UA"/>
        </w:rPr>
        <w:t xml:space="preserve">EU/EEA </w:t>
      </w:r>
      <w:r w:rsidRPr="007E5633">
        <w:rPr>
          <w:sz w:val="22"/>
          <w:szCs w:val="22"/>
          <w:lang w:val="uk-UA"/>
        </w:rPr>
        <w:t>без отримання дозволу будь-якого національного регулятора фінансового ринку, крім як від регулятора його юрисдикції.</w:t>
      </w:r>
    </w:p>
    <w:p w14:paraId="01A3A7DC" w14:textId="77777777" w:rsidR="003A7E00" w:rsidRPr="007E5633" w:rsidRDefault="003A7E00" w:rsidP="003A7E00">
      <w:pPr>
        <w:pStyle w:val="af4"/>
        <w:rPr>
          <w:sz w:val="22"/>
          <w:szCs w:val="22"/>
          <w:lang w:val="uk-UA"/>
        </w:rPr>
      </w:pPr>
      <w:r w:rsidRPr="007E5633">
        <w:rPr>
          <w:sz w:val="22"/>
          <w:szCs w:val="22"/>
          <w:lang w:val="uk-UA"/>
        </w:rPr>
        <w:t xml:space="preserve">Відповідно до MiFID II, "інвестиційна фірма" - це будь-яка юридична особа, чия постійна діяльність </w:t>
      </w:r>
      <w:r w:rsidR="007E5633" w:rsidRPr="007E5633">
        <w:rPr>
          <w:sz w:val="22"/>
          <w:szCs w:val="22"/>
          <w:lang w:val="uk-UA"/>
        </w:rPr>
        <w:t>пов’язана</w:t>
      </w:r>
      <w:r w:rsidRPr="007E5633">
        <w:rPr>
          <w:sz w:val="22"/>
          <w:szCs w:val="22"/>
          <w:lang w:val="uk-UA"/>
        </w:rPr>
        <w:t xml:space="preserve"> з наданням однієї або кількох інвестиційних послуг третім особам та / або здійснення однієї або кількох інвестиційних видів діяльності на професійній основі:</w:t>
      </w:r>
    </w:p>
    <w:p w14:paraId="7E6B64A1" w14:textId="77777777" w:rsidR="003A7E00" w:rsidRPr="007E5633" w:rsidRDefault="003A7E00" w:rsidP="000D248B">
      <w:pPr>
        <w:pStyle w:val="af4"/>
        <w:numPr>
          <w:ilvl w:val="0"/>
          <w:numId w:val="51"/>
        </w:numPr>
        <w:rPr>
          <w:sz w:val="22"/>
          <w:szCs w:val="22"/>
          <w:lang w:val="uk-UA"/>
        </w:rPr>
      </w:pPr>
      <w:r w:rsidRPr="007E5633">
        <w:rPr>
          <w:sz w:val="22"/>
          <w:szCs w:val="22"/>
          <w:lang w:val="uk-UA"/>
        </w:rPr>
        <w:t>прийом та передача замовлень стосовно одного або кількох фінансових інструментів;</w:t>
      </w:r>
    </w:p>
    <w:p w14:paraId="79008027" w14:textId="77777777" w:rsidR="003A7E00" w:rsidRPr="007E5633" w:rsidRDefault="003A7E00" w:rsidP="000D248B">
      <w:pPr>
        <w:pStyle w:val="af4"/>
        <w:numPr>
          <w:ilvl w:val="0"/>
          <w:numId w:val="51"/>
        </w:numPr>
        <w:rPr>
          <w:sz w:val="22"/>
          <w:szCs w:val="22"/>
          <w:lang w:val="uk-UA"/>
        </w:rPr>
      </w:pPr>
      <w:r w:rsidRPr="007E5633">
        <w:rPr>
          <w:sz w:val="22"/>
          <w:szCs w:val="22"/>
          <w:lang w:val="uk-UA"/>
        </w:rPr>
        <w:t>виконання замовлень від імені клієнтів;</w:t>
      </w:r>
    </w:p>
    <w:p w14:paraId="234153BA" w14:textId="77777777" w:rsidR="003A7E00" w:rsidRPr="007E5633" w:rsidRDefault="003A7E00" w:rsidP="000D248B">
      <w:pPr>
        <w:pStyle w:val="af4"/>
        <w:numPr>
          <w:ilvl w:val="0"/>
          <w:numId w:val="51"/>
        </w:numPr>
        <w:rPr>
          <w:sz w:val="22"/>
          <w:szCs w:val="22"/>
          <w:lang w:val="uk-UA"/>
        </w:rPr>
      </w:pPr>
      <w:r w:rsidRPr="007E5633">
        <w:rPr>
          <w:sz w:val="22"/>
          <w:szCs w:val="22"/>
          <w:lang w:val="uk-UA"/>
        </w:rPr>
        <w:t>торгівля з власного рахунку;</w:t>
      </w:r>
    </w:p>
    <w:p w14:paraId="1C35CE47" w14:textId="77777777" w:rsidR="003A7E00" w:rsidRPr="007E5633" w:rsidRDefault="003A7E00" w:rsidP="000D248B">
      <w:pPr>
        <w:pStyle w:val="af4"/>
        <w:numPr>
          <w:ilvl w:val="0"/>
          <w:numId w:val="51"/>
        </w:numPr>
        <w:rPr>
          <w:sz w:val="22"/>
          <w:szCs w:val="22"/>
          <w:lang w:val="uk-UA"/>
        </w:rPr>
      </w:pPr>
      <w:r w:rsidRPr="007E5633">
        <w:rPr>
          <w:sz w:val="22"/>
          <w:szCs w:val="22"/>
          <w:lang w:val="uk-UA"/>
        </w:rPr>
        <w:t>управління портфелем;</w:t>
      </w:r>
    </w:p>
    <w:p w14:paraId="57374D1D" w14:textId="77777777" w:rsidR="003A7E00" w:rsidRPr="007E5633" w:rsidRDefault="003A7E00" w:rsidP="000D248B">
      <w:pPr>
        <w:pStyle w:val="af4"/>
        <w:numPr>
          <w:ilvl w:val="0"/>
          <w:numId w:val="51"/>
        </w:numPr>
        <w:rPr>
          <w:sz w:val="22"/>
          <w:szCs w:val="22"/>
          <w:lang w:val="uk-UA"/>
        </w:rPr>
      </w:pPr>
      <w:r w:rsidRPr="007E5633">
        <w:rPr>
          <w:sz w:val="22"/>
          <w:szCs w:val="22"/>
          <w:lang w:val="uk-UA"/>
        </w:rPr>
        <w:t>консультації з питань інвестицій;</w:t>
      </w:r>
    </w:p>
    <w:p w14:paraId="7F962AC5" w14:textId="77777777" w:rsidR="003A7E00" w:rsidRPr="007E5633" w:rsidRDefault="003A7E00" w:rsidP="000D248B">
      <w:pPr>
        <w:pStyle w:val="af4"/>
        <w:numPr>
          <w:ilvl w:val="0"/>
          <w:numId w:val="51"/>
        </w:numPr>
        <w:rPr>
          <w:sz w:val="22"/>
          <w:szCs w:val="22"/>
          <w:lang w:val="uk-UA"/>
        </w:rPr>
      </w:pPr>
      <w:r w:rsidRPr="007E5633">
        <w:rPr>
          <w:sz w:val="22"/>
          <w:szCs w:val="22"/>
          <w:lang w:val="uk-UA"/>
        </w:rPr>
        <w:t>андеррайтинг фінансових інструментів та / або розміщення фінансових інструментів на основі твердого зобов'язання;</w:t>
      </w:r>
    </w:p>
    <w:p w14:paraId="3EF3D495" w14:textId="77777777" w:rsidR="003A7E00" w:rsidRPr="007E5633" w:rsidRDefault="003A7E00" w:rsidP="000D248B">
      <w:pPr>
        <w:pStyle w:val="af4"/>
        <w:numPr>
          <w:ilvl w:val="0"/>
          <w:numId w:val="51"/>
        </w:numPr>
        <w:rPr>
          <w:sz w:val="22"/>
          <w:szCs w:val="22"/>
          <w:lang w:val="uk-UA"/>
        </w:rPr>
      </w:pPr>
      <w:r w:rsidRPr="007E5633">
        <w:rPr>
          <w:sz w:val="22"/>
          <w:szCs w:val="22"/>
          <w:lang w:val="uk-UA"/>
        </w:rPr>
        <w:t>розміщення фінансових інструментів без твердого зобов'язання;</w:t>
      </w:r>
    </w:p>
    <w:p w14:paraId="2B2F2C46" w14:textId="77777777" w:rsidR="003A7E00" w:rsidRPr="007E5633" w:rsidRDefault="003A7E00" w:rsidP="000D248B">
      <w:pPr>
        <w:pStyle w:val="af4"/>
        <w:numPr>
          <w:ilvl w:val="0"/>
          <w:numId w:val="51"/>
        </w:numPr>
        <w:rPr>
          <w:sz w:val="22"/>
          <w:szCs w:val="22"/>
          <w:lang w:val="uk-UA"/>
        </w:rPr>
      </w:pPr>
      <w:r w:rsidRPr="007E5633">
        <w:rPr>
          <w:sz w:val="22"/>
          <w:szCs w:val="22"/>
          <w:lang w:val="uk-UA"/>
        </w:rPr>
        <w:t>функціонування MTF;</w:t>
      </w:r>
    </w:p>
    <w:p w14:paraId="4BC25298" w14:textId="77777777" w:rsidR="003A7E00" w:rsidRPr="007E5633" w:rsidRDefault="003A7E00" w:rsidP="000D248B">
      <w:pPr>
        <w:pStyle w:val="af4"/>
        <w:numPr>
          <w:ilvl w:val="0"/>
          <w:numId w:val="51"/>
        </w:numPr>
        <w:rPr>
          <w:sz w:val="22"/>
          <w:szCs w:val="22"/>
          <w:lang w:val="uk-UA"/>
        </w:rPr>
      </w:pPr>
      <w:r w:rsidRPr="007E5633">
        <w:rPr>
          <w:sz w:val="22"/>
          <w:szCs w:val="22"/>
          <w:lang w:val="uk-UA"/>
        </w:rPr>
        <w:lastRenderedPageBreak/>
        <w:t xml:space="preserve">функціонування </w:t>
      </w:r>
      <w:r w:rsidRPr="007E5633">
        <w:rPr>
          <w:rFonts w:eastAsia="Times New Roman"/>
          <w:sz w:val="22"/>
          <w:szCs w:val="22"/>
          <w:lang w:val="uk-UA"/>
        </w:rPr>
        <w:t>OTF</w:t>
      </w:r>
      <w:r w:rsidRPr="007E5633">
        <w:rPr>
          <w:sz w:val="22"/>
          <w:szCs w:val="22"/>
          <w:lang w:val="uk-UA"/>
        </w:rPr>
        <w:t>.</w:t>
      </w:r>
    </w:p>
    <w:p w14:paraId="78E770E6" w14:textId="77777777" w:rsidR="003A7E00" w:rsidRPr="007E5633" w:rsidRDefault="003A7E00" w:rsidP="003A7E00">
      <w:pPr>
        <w:pStyle w:val="af4"/>
        <w:rPr>
          <w:sz w:val="22"/>
          <w:szCs w:val="22"/>
          <w:lang w:val="uk-UA"/>
        </w:rPr>
      </w:pPr>
      <w:r w:rsidRPr="007E5633">
        <w:rPr>
          <w:sz w:val="22"/>
          <w:szCs w:val="22"/>
          <w:lang w:val="uk-UA"/>
        </w:rPr>
        <w:t>MiFID II приніс розширений асортимент товарних деривативів у межах сфери його застосування (крім продуктів, що вилучаються REMIT), і збільшив кількість суб'єктів торгівлі, що торгують товарними похідними інструментами, які повинні бути охоплені вимогами щодо отримання ліцензій, а також зменшувати кількість винятків з правил, що раніше були доступними для компаній за попереднім режимом MiFID I. Відповідно до MiFID II, фірма може отримати вигоду від конкретної "звільнення від ліцензії, якщо певна ліцензована діяльність для неї є допоміжною", якщо можна довести, що її діяльність, пов'язана з похідними інструментами</w:t>
      </w:r>
      <w:r w:rsidR="008F44DB" w:rsidRPr="008F44DB">
        <w:rPr>
          <w:sz w:val="22"/>
          <w:szCs w:val="22"/>
          <w:lang w:val="uk-UA"/>
        </w:rPr>
        <w:t xml:space="preserve"> </w:t>
      </w:r>
      <w:r w:rsidR="008F44DB">
        <w:rPr>
          <w:sz w:val="22"/>
          <w:szCs w:val="22"/>
          <w:lang w:val="uk-UA"/>
        </w:rPr>
        <w:t xml:space="preserve">від </w:t>
      </w:r>
      <w:r w:rsidR="008F44DB" w:rsidRPr="008F44DB">
        <w:rPr>
          <w:sz w:val="22"/>
          <w:szCs w:val="22"/>
          <w:lang w:val="uk-UA"/>
        </w:rPr>
        <w:t>товарних контрактів</w:t>
      </w:r>
      <w:r w:rsidRPr="007E5633">
        <w:rPr>
          <w:sz w:val="22"/>
          <w:szCs w:val="22"/>
          <w:lang w:val="uk-UA"/>
        </w:rPr>
        <w:t>, є додатковою частиною її основного бізнесу, за умови, що фірма не використовує високочастотну алгоритмічну торговельну методику та не належить до групи, яка має основні види діяльності в сфері інвестиційних послуг або банківських послуг, або діє як маркет-мейкер у відношенні товарних деривативів. Фірма може використовувати цю пільгу, якщо її діяльність належить до таких категорій:</w:t>
      </w:r>
    </w:p>
    <w:p w14:paraId="61E32608" w14:textId="77777777" w:rsidR="003A7E00" w:rsidRPr="007E5633" w:rsidRDefault="003A7E00" w:rsidP="000D248B">
      <w:pPr>
        <w:pStyle w:val="af4"/>
        <w:numPr>
          <w:ilvl w:val="0"/>
          <w:numId w:val="51"/>
        </w:numPr>
        <w:rPr>
          <w:sz w:val="22"/>
          <w:szCs w:val="22"/>
          <w:lang w:val="uk-UA"/>
        </w:rPr>
      </w:pPr>
      <w:r w:rsidRPr="007E5633">
        <w:rPr>
          <w:sz w:val="22"/>
          <w:szCs w:val="22"/>
          <w:lang w:val="uk-UA"/>
        </w:rPr>
        <w:t>фірма здійснює торгівлю за свій рахунок товарними похідними інструментами, але не здійснює торгівлю за власний рахунок при виконанні замовлень клієнта; або</w:t>
      </w:r>
    </w:p>
    <w:p w14:paraId="6236F21F" w14:textId="77777777" w:rsidR="003A7E00" w:rsidRPr="007E5633" w:rsidRDefault="003A7E00" w:rsidP="000D248B">
      <w:pPr>
        <w:pStyle w:val="af4"/>
        <w:numPr>
          <w:ilvl w:val="0"/>
          <w:numId w:val="51"/>
        </w:numPr>
        <w:rPr>
          <w:sz w:val="22"/>
          <w:szCs w:val="22"/>
          <w:lang w:val="uk-UA"/>
        </w:rPr>
      </w:pPr>
      <w:r w:rsidRPr="007E5633">
        <w:rPr>
          <w:sz w:val="22"/>
          <w:szCs w:val="22"/>
          <w:lang w:val="uk-UA"/>
        </w:rPr>
        <w:t xml:space="preserve">вона надає послуги з інвестування в деривативи </w:t>
      </w:r>
      <w:r w:rsidR="005F3F2A">
        <w:rPr>
          <w:sz w:val="22"/>
          <w:szCs w:val="22"/>
          <w:lang w:val="uk-UA"/>
        </w:rPr>
        <w:t xml:space="preserve">від товарних контрактів </w:t>
      </w:r>
      <w:r w:rsidRPr="007E5633">
        <w:rPr>
          <w:sz w:val="22"/>
          <w:szCs w:val="22"/>
          <w:lang w:val="uk-UA"/>
        </w:rPr>
        <w:t>(крім операцій за власний рахунок) клієнтам або постачальникам основного бізнесу.</w:t>
      </w:r>
    </w:p>
    <w:p w14:paraId="70F37AB5" w14:textId="77777777" w:rsidR="003A7E00" w:rsidRPr="007E5633" w:rsidRDefault="003A7E00" w:rsidP="003A7E00">
      <w:pPr>
        <w:pStyle w:val="af4"/>
        <w:rPr>
          <w:sz w:val="22"/>
          <w:szCs w:val="22"/>
          <w:lang w:val="uk-UA"/>
        </w:rPr>
      </w:pPr>
      <w:r w:rsidRPr="007E5633">
        <w:rPr>
          <w:sz w:val="22"/>
          <w:szCs w:val="22"/>
          <w:lang w:val="uk-UA"/>
        </w:rPr>
        <w:t>Для того, щоб дозволити зацікавленим особам визначити, чи є їх торгівельна діяльність допоміжною до їх основної діяльності, Європейська комісія в Делегованому регламенті (RTS 20: Delegated Regulation (ЄС) 2017/592 від 1 грудня 2016 року) розробила метод що складається з двох тестів: "Тест на частку ринку" та "Тест допоміжної діяльності на рівні групи". Якщо один із цих тестів є позитивним, звільнення від ліцензії по такій допоміжній діяльності не буде надано.</w:t>
      </w:r>
    </w:p>
    <w:p w14:paraId="47B75DBA" w14:textId="77777777" w:rsidR="003A7E00" w:rsidRPr="007E5633" w:rsidRDefault="003A7E00" w:rsidP="003A7E00">
      <w:pPr>
        <w:pStyle w:val="af4"/>
        <w:rPr>
          <w:sz w:val="22"/>
          <w:szCs w:val="22"/>
          <w:lang w:val="uk-UA"/>
        </w:rPr>
      </w:pPr>
      <w:r w:rsidRPr="007E5633">
        <w:rPr>
          <w:sz w:val="22"/>
          <w:szCs w:val="22"/>
          <w:lang w:val="uk-UA"/>
        </w:rPr>
        <w:t>Фірми, які розраховують на «пільгу допоміжної діяльності», повинні щорічно повідомляти свої національні компетентні органи ("NCAs") про те, що вони розраховують на пільгу та, на вимогу, повинні пояснити причину, по якій вони вважають, що відповідні види діяльності є допоміжними до їхнього основного бізнесу. Для того, щоб отримати право на пільгу допоміжної діяльності, діяльність, пов'язана з товарними похідними інструментами, повинна, окремо та сукупно, бути допоміжною основній діяльності групи компаній.</w:t>
      </w:r>
    </w:p>
    <w:p w14:paraId="609378AB" w14:textId="77777777" w:rsidR="003A7E00" w:rsidRPr="007E5633" w:rsidRDefault="003A7E00" w:rsidP="003A7E00">
      <w:pPr>
        <w:pStyle w:val="af4"/>
        <w:rPr>
          <w:sz w:val="22"/>
          <w:szCs w:val="22"/>
          <w:lang w:val="uk-UA"/>
        </w:rPr>
      </w:pPr>
      <w:r w:rsidRPr="007E5633">
        <w:rPr>
          <w:sz w:val="22"/>
          <w:szCs w:val="22"/>
          <w:lang w:val="uk-UA"/>
        </w:rPr>
        <w:t xml:space="preserve">Відповідно до інструкцій Європейського органу з цінних паперів та ринків ("ESMA") (Запитання та відповіді ESMA з питань похідних </w:t>
      </w:r>
      <w:r w:rsidR="008F44DB">
        <w:rPr>
          <w:sz w:val="22"/>
          <w:szCs w:val="22"/>
          <w:lang w:val="uk-UA"/>
        </w:rPr>
        <w:t xml:space="preserve">від </w:t>
      </w:r>
      <w:r w:rsidR="008F44DB" w:rsidRPr="008F44DB">
        <w:rPr>
          <w:sz w:val="22"/>
          <w:szCs w:val="22"/>
          <w:lang w:val="uk-UA"/>
        </w:rPr>
        <w:t xml:space="preserve">товарних контрактів </w:t>
      </w:r>
      <w:r w:rsidRPr="007E5633">
        <w:rPr>
          <w:sz w:val="22"/>
          <w:szCs w:val="22"/>
          <w:lang w:val="uk-UA"/>
        </w:rPr>
        <w:t>MiFID II та MiFIR, 27 березня 2018 р. | ESMA70-872942901-36), коли торгівельна діяльність людини збільшується до такої міри, що її більше не можна вважати допоміжною до її основної діяльності, відповідно до MiFID статті 2 (1) (j) II, фірма повинна звернутися до компетентного органу для отримання ліцензії. Фірми можуть бути непевними, чи зможуть вони скористатися пільгою, доки дані про розмір ринку не стануть доступними. Той, хто має обґрунтовані підстави вважати, що вони зможуть скористатися пільгу допоміжної діяльності, повинні повідомити про це. Якщо згодом ринкові дані покажуть, що це не так, фірмі, як очікується, буде потрібно подавати заявку на отримання ліцензії, як тільки це стане практично можливим.</w:t>
      </w:r>
    </w:p>
    <w:bookmarkEnd w:id="71"/>
    <w:p w14:paraId="148918A2" w14:textId="77777777" w:rsidR="000322E5" w:rsidRPr="007E5633" w:rsidRDefault="000322E5">
      <w:pPr>
        <w:suppressAutoHyphens w:val="0"/>
        <w:rPr>
          <w:rFonts w:ascii="Arial" w:eastAsia="Times New Roman" w:hAnsi="Arial" w:cs="Arial"/>
          <w:b/>
          <w:color w:val="31417A"/>
          <w:lang w:val="uk-UA" w:eastAsia="de-DE"/>
        </w:rPr>
      </w:pPr>
      <w:r w:rsidRPr="007E5633">
        <w:rPr>
          <w:rFonts w:ascii="Arial" w:hAnsi="Arial" w:cs="Arial"/>
          <w:lang w:val="uk-UA"/>
        </w:rPr>
        <w:br w:type="page"/>
      </w:r>
    </w:p>
    <w:p w14:paraId="6A82B087" w14:textId="77777777" w:rsidR="00E4309C" w:rsidRPr="007E5633" w:rsidRDefault="003A7E00" w:rsidP="00912D9A">
      <w:pPr>
        <w:pStyle w:val="FSHeader1"/>
        <w:keepNext w:val="0"/>
        <w:pageBreakBefore w:val="0"/>
        <w:numPr>
          <w:ilvl w:val="1"/>
          <w:numId w:val="27"/>
        </w:numPr>
        <w:spacing w:after="120"/>
        <w:ind w:left="434" w:hanging="434"/>
        <w:rPr>
          <w:rFonts w:ascii="Arial" w:hAnsi="Arial" w:cs="Arial"/>
          <w:sz w:val="26"/>
          <w:szCs w:val="26"/>
          <w:lang w:val="uk-UA"/>
        </w:rPr>
      </w:pPr>
      <w:bookmarkStart w:id="72" w:name="_Toc533093924"/>
      <w:r w:rsidRPr="007E5633">
        <w:rPr>
          <w:rFonts w:ascii="Arial" w:hAnsi="Arial" w:cs="Arial"/>
          <w:sz w:val="26"/>
          <w:szCs w:val="26"/>
          <w:lang w:val="uk-UA"/>
        </w:rPr>
        <w:lastRenderedPageBreak/>
        <w:t>Аналіз передачі права власності в торгівлі енергією</w:t>
      </w:r>
      <w:bookmarkEnd w:id="72"/>
    </w:p>
    <w:p w14:paraId="32BB154B" w14:textId="77777777" w:rsidR="00E4309C" w:rsidRPr="007E5633" w:rsidRDefault="003A7E00" w:rsidP="00912D9A">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73" w:name="_Toc533093925"/>
      <w:r w:rsidRPr="007E5633">
        <w:rPr>
          <w:rFonts w:ascii="Arial" w:hAnsi="Arial" w:cs="Arial"/>
          <w:color w:val="auto"/>
          <w:sz w:val="22"/>
          <w:szCs w:val="22"/>
          <w:lang w:val="uk-UA"/>
        </w:rPr>
        <w:t>Загальні положення</w:t>
      </w:r>
      <w:bookmarkEnd w:id="73"/>
    </w:p>
    <w:p w14:paraId="4E2CA773" w14:textId="77777777" w:rsidR="003A7E00" w:rsidRPr="007E5633" w:rsidRDefault="003A7E00" w:rsidP="003A7E00">
      <w:pPr>
        <w:pStyle w:val="af4"/>
        <w:rPr>
          <w:sz w:val="22"/>
          <w:szCs w:val="22"/>
          <w:lang w:val="uk-UA"/>
        </w:rPr>
      </w:pPr>
      <w:r w:rsidRPr="007E5633">
        <w:rPr>
          <w:sz w:val="22"/>
          <w:szCs w:val="22"/>
          <w:lang w:val="uk-UA"/>
        </w:rPr>
        <w:t>Ліквідний товарний ринок дуже автономний. Він спирається на стандартизацію та автоматизацію. Учасники ринку повинні керувати невід'ємними ризиками торгівлі за допомогою такої ж угоди в багатьох країнах.</w:t>
      </w:r>
    </w:p>
    <w:p w14:paraId="2220D260" w14:textId="5E534ACE" w:rsidR="00F43976" w:rsidRPr="007E5633" w:rsidRDefault="003A7E00" w:rsidP="00F43976">
      <w:pPr>
        <w:pStyle w:val="af1"/>
        <w:jc w:val="left"/>
        <w:rPr>
          <w:rFonts w:cs="Arial"/>
          <w:b w:val="0"/>
          <w:sz w:val="22"/>
          <w:szCs w:val="22"/>
          <w:lang w:val="uk-UA"/>
        </w:rPr>
      </w:pPr>
      <w:bookmarkStart w:id="74" w:name="_Toc533094042"/>
      <w:r w:rsidRPr="007E5633">
        <w:rPr>
          <w:rFonts w:cs="Arial"/>
          <w:sz w:val="22"/>
          <w:szCs w:val="22"/>
          <w:lang w:val="uk-UA"/>
        </w:rPr>
        <w:t>Схема</w:t>
      </w:r>
      <w:r w:rsidR="00F43976" w:rsidRPr="007E5633">
        <w:rPr>
          <w:rFonts w:cs="Arial"/>
          <w:sz w:val="22"/>
          <w:szCs w:val="22"/>
          <w:lang w:val="uk-UA"/>
        </w:rPr>
        <w:t xml:space="preserve"> </w:t>
      </w:r>
      <w:r w:rsidR="00622EE2" w:rsidRPr="007E5633">
        <w:rPr>
          <w:rFonts w:cs="Arial"/>
          <w:sz w:val="22"/>
          <w:szCs w:val="22"/>
          <w:lang w:val="uk-UA"/>
        </w:rPr>
        <w:fldChar w:fldCharType="begin"/>
      </w:r>
      <w:r w:rsidR="00F43976"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15</w:t>
      </w:r>
      <w:r w:rsidR="00622EE2" w:rsidRPr="007E5633">
        <w:rPr>
          <w:rFonts w:cs="Arial"/>
          <w:sz w:val="22"/>
          <w:szCs w:val="22"/>
          <w:lang w:val="uk-UA"/>
        </w:rPr>
        <w:fldChar w:fldCharType="end"/>
      </w:r>
      <w:r w:rsidR="00F43976" w:rsidRPr="007E5633">
        <w:rPr>
          <w:rFonts w:cs="Arial"/>
          <w:sz w:val="22"/>
          <w:szCs w:val="22"/>
          <w:lang w:val="uk-UA"/>
        </w:rPr>
        <w:t xml:space="preserve">: </w:t>
      </w:r>
      <w:r w:rsidRPr="007E5633">
        <w:rPr>
          <w:rFonts w:cs="Arial"/>
          <w:sz w:val="22"/>
          <w:szCs w:val="22"/>
          <w:lang w:val="uk-UA"/>
        </w:rPr>
        <w:t>Огляд існуючих основних варіантів укладання контрактів для торгівлі</w:t>
      </w:r>
      <w:bookmarkEnd w:id="74"/>
    </w:p>
    <w:p w14:paraId="6033806B" w14:textId="77777777" w:rsidR="00E4309C" w:rsidRPr="007E5633" w:rsidRDefault="00E4309C" w:rsidP="00E4309C">
      <w:pPr>
        <w:spacing w:line="240" w:lineRule="auto"/>
        <w:jc w:val="both"/>
        <w:rPr>
          <w:rFonts w:ascii="Arial" w:hAnsi="Arial" w:cs="Arial"/>
          <w:b/>
          <w:lang w:val="uk-UA"/>
        </w:rPr>
      </w:pPr>
      <w:r w:rsidRPr="007E5633">
        <w:rPr>
          <w:rFonts w:ascii="Arial" w:hAnsi="Arial" w:cs="Arial"/>
          <w:b/>
          <w:noProof/>
          <w:lang w:val="en-US"/>
        </w:rPr>
        <w:drawing>
          <wp:inline distT="0" distB="0" distL="0" distR="0" wp14:anchorId="03306C4F" wp14:editId="73B7C5DF">
            <wp:extent cx="5116579" cy="2579427"/>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41000"/>
                              </a14:imgEffect>
                            </a14:imgLayer>
                          </a14:imgProps>
                        </a:ext>
                        <a:ext uri="{28A0092B-C50C-407E-A947-70E740481C1C}">
                          <a14:useLocalDpi xmlns:a14="http://schemas.microsoft.com/office/drawing/2010/main" val="0"/>
                        </a:ext>
                      </a:extLst>
                    </a:blip>
                    <a:srcRect l="3848" t="22043" b="10215"/>
                    <a:stretch/>
                  </pic:blipFill>
                  <pic:spPr bwMode="auto">
                    <a:xfrm>
                      <a:off x="0" y="0"/>
                      <a:ext cx="5119637" cy="2580969"/>
                    </a:xfrm>
                    <a:prstGeom prst="rect">
                      <a:avLst/>
                    </a:prstGeom>
                    <a:noFill/>
                    <a:ln>
                      <a:noFill/>
                    </a:ln>
                    <a:extLst>
                      <a:ext uri="{53640926-AAD7-44D8-BBD7-CCE9431645EC}">
                        <a14:shadowObscured xmlns:a14="http://schemas.microsoft.com/office/drawing/2010/main"/>
                      </a:ext>
                    </a:extLst>
                  </pic:spPr>
                </pic:pic>
              </a:graphicData>
            </a:graphic>
          </wp:inline>
        </w:drawing>
      </w:r>
    </w:p>
    <w:p w14:paraId="32D27704" w14:textId="77777777" w:rsidR="00F43976" w:rsidRPr="007E5633" w:rsidRDefault="003A7E00" w:rsidP="00E4309C">
      <w:pPr>
        <w:spacing w:line="240" w:lineRule="auto"/>
        <w:jc w:val="both"/>
        <w:rPr>
          <w:rFonts w:ascii="Arial" w:hAnsi="Arial" w:cs="Arial"/>
          <w:i/>
          <w:lang w:val="uk-UA"/>
        </w:rPr>
      </w:pPr>
      <w:r w:rsidRPr="007E5633">
        <w:rPr>
          <w:rFonts w:ascii="Arial" w:hAnsi="Arial" w:cs="Arial"/>
          <w:i/>
          <w:lang w:val="uk-UA"/>
        </w:rPr>
        <w:t>Джерело:</w:t>
      </w:r>
      <w:r w:rsidR="00F43976" w:rsidRPr="007E5633">
        <w:rPr>
          <w:rFonts w:ascii="Arial" w:hAnsi="Arial" w:cs="Arial"/>
          <w:i/>
          <w:lang w:val="uk-UA"/>
        </w:rPr>
        <w:t xml:space="preserve"> Accenture Analysis</w:t>
      </w:r>
    </w:p>
    <w:p w14:paraId="4F2CAEBE" w14:textId="77777777" w:rsidR="005D70A9" w:rsidRPr="007E5633" w:rsidRDefault="005D70A9" w:rsidP="005D70A9">
      <w:pPr>
        <w:pStyle w:val="af4"/>
        <w:rPr>
          <w:sz w:val="22"/>
          <w:szCs w:val="22"/>
          <w:lang w:val="uk-UA"/>
        </w:rPr>
      </w:pPr>
      <w:r w:rsidRPr="007E5633">
        <w:rPr>
          <w:sz w:val="22"/>
          <w:szCs w:val="22"/>
          <w:lang w:val="uk-UA"/>
        </w:rPr>
        <w:t>Ринок позабіржових операцій спрощується через посередницькі майданчики (платформи), або ж через двосторонню торгівлю між учасниками ринку.</w:t>
      </w:r>
    </w:p>
    <w:p w14:paraId="00388425" w14:textId="77777777" w:rsidR="005D70A9" w:rsidRPr="007E5633" w:rsidRDefault="005D70A9" w:rsidP="005D70A9">
      <w:pPr>
        <w:pStyle w:val="af4"/>
        <w:rPr>
          <w:sz w:val="22"/>
          <w:szCs w:val="22"/>
          <w:lang w:val="uk-UA"/>
        </w:rPr>
      </w:pPr>
      <w:r w:rsidRPr="007E5633">
        <w:rPr>
          <w:sz w:val="22"/>
          <w:szCs w:val="22"/>
          <w:lang w:val="uk-UA"/>
        </w:rPr>
        <w:t>Фізичний позабіржовий ринок складає від 70 до 80% всієї торгівлі енергією в Європі, решта здійснюється через організовані ринкові майданчики, такі як біржі. Фінансовий ринок енергетичних продуктів в основному працює через енергетичні біржі, хоча брокери продовжують пропонувати ці продукти на своїх платформах і мають високу частку ринку.</w:t>
      </w:r>
    </w:p>
    <w:p w14:paraId="1332401C" w14:textId="77777777" w:rsidR="005D70A9" w:rsidRPr="007E5633" w:rsidRDefault="005D70A9" w:rsidP="005D70A9">
      <w:pPr>
        <w:pStyle w:val="af4"/>
        <w:rPr>
          <w:sz w:val="22"/>
          <w:szCs w:val="22"/>
          <w:lang w:val="uk-UA"/>
        </w:rPr>
      </w:pPr>
      <w:r w:rsidRPr="007E5633">
        <w:rPr>
          <w:sz w:val="22"/>
          <w:szCs w:val="22"/>
          <w:lang w:val="uk-UA"/>
        </w:rPr>
        <w:t>Викиди CO2 переважно торгуються через біржі, і з січня 2018 року вони були кваліфікованими як фінансові інструменти в рамках MiFID II.</w:t>
      </w:r>
    </w:p>
    <w:p w14:paraId="09D21C49" w14:textId="77777777" w:rsidR="005D70A9" w:rsidRPr="007E5633" w:rsidRDefault="005D70A9" w:rsidP="005D70A9">
      <w:pPr>
        <w:pStyle w:val="af4"/>
        <w:rPr>
          <w:sz w:val="22"/>
          <w:szCs w:val="22"/>
          <w:lang w:val="uk-UA"/>
        </w:rPr>
      </w:pPr>
      <w:r w:rsidRPr="007E5633">
        <w:rPr>
          <w:sz w:val="22"/>
          <w:szCs w:val="22"/>
          <w:lang w:val="uk-UA"/>
        </w:rPr>
        <w:t>Основні угоди EFET та ISDA є міжнародним доведеним стандартним рішенням у багатьох юрисдикціях для позабіржових ринків (Over the Counter Market), що охоплюють електроенергію, природний газ та викиди CO2. Як говорилося раніше, EFET та ISDA створюють робочі групу, які постійно розширюють продукти, охоплені цими головними шаблонами. Їх примусове виконання підтверджується юридичними висновками. Суттєвим для захисту сторін є сценарії неплатоспроможності та їх визнання в різних режимах неплатоспроможності.</w:t>
      </w:r>
    </w:p>
    <w:p w14:paraId="5C93E182" w14:textId="77777777" w:rsidR="005D70A9" w:rsidRPr="007E5633" w:rsidRDefault="005D70A9" w:rsidP="005D70A9">
      <w:pPr>
        <w:pStyle w:val="af4"/>
        <w:rPr>
          <w:sz w:val="22"/>
          <w:szCs w:val="22"/>
          <w:lang w:val="uk-UA"/>
        </w:rPr>
      </w:pPr>
      <w:r w:rsidRPr="007E5633">
        <w:rPr>
          <w:sz w:val="22"/>
          <w:szCs w:val="22"/>
          <w:lang w:val="uk-UA"/>
        </w:rPr>
        <w:t>EFET та ISDA працюють з рядом додатків, що робить їх доступними в різних місцях. Оскільки GA забезпечує загальну структуру, сторонам залишається вибір election sheets, підтвердження та адаптація документації до їхніх індивідуальних потреб.</w:t>
      </w:r>
    </w:p>
    <w:p w14:paraId="303F2514" w14:textId="77777777" w:rsidR="00E4309C" w:rsidRPr="007E5633" w:rsidRDefault="00E4309C" w:rsidP="00F43976">
      <w:pPr>
        <w:spacing w:line="240" w:lineRule="auto"/>
        <w:jc w:val="both"/>
        <w:rPr>
          <w:rFonts w:ascii="Arial" w:hAnsi="Arial" w:cs="Arial"/>
          <w:lang w:val="uk-UA"/>
        </w:rPr>
      </w:pPr>
    </w:p>
    <w:p w14:paraId="017E4F0E" w14:textId="77777777" w:rsidR="00B56599" w:rsidRPr="007E5633" w:rsidRDefault="00B56599" w:rsidP="00F43976">
      <w:pPr>
        <w:spacing w:line="240" w:lineRule="auto"/>
        <w:jc w:val="both"/>
        <w:rPr>
          <w:rFonts w:ascii="Arial" w:hAnsi="Arial" w:cs="Arial"/>
          <w:lang w:val="uk-UA"/>
        </w:rPr>
      </w:pPr>
    </w:p>
    <w:p w14:paraId="65AB76F1" w14:textId="77777777" w:rsidR="00B56599" w:rsidRPr="007E5633" w:rsidRDefault="00B56599" w:rsidP="00F43976">
      <w:pPr>
        <w:spacing w:line="240" w:lineRule="auto"/>
        <w:jc w:val="both"/>
        <w:rPr>
          <w:rFonts w:ascii="Arial" w:hAnsi="Arial" w:cs="Arial"/>
          <w:lang w:val="uk-UA"/>
        </w:rPr>
      </w:pPr>
    </w:p>
    <w:p w14:paraId="7DFEF7DB" w14:textId="3BC9D03C" w:rsidR="005D70A9" w:rsidRPr="007E5633" w:rsidRDefault="005D70A9" w:rsidP="005D70A9">
      <w:pPr>
        <w:pStyle w:val="af1"/>
        <w:jc w:val="left"/>
        <w:rPr>
          <w:rFonts w:cs="Arial"/>
          <w:sz w:val="22"/>
          <w:szCs w:val="22"/>
          <w:lang w:val="uk-UA"/>
        </w:rPr>
      </w:pPr>
      <w:bookmarkStart w:id="75" w:name="_Toc533094043"/>
      <w:r w:rsidRPr="007E5633">
        <w:rPr>
          <w:rFonts w:cs="Arial"/>
          <w:sz w:val="22"/>
          <w:szCs w:val="22"/>
          <w:lang w:val="uk-UA"/>
        </w:rPr>
        <w:t>Схема</w:t>
      </w:r>
      <w:r w:rsidR="00F43976" w:rsidRPr="007E5633">
        <w:rPr>
          <w:rFonts w:cs="Arial"/>
          <w:sz w:val="22"/>
          <w:szCs w:val="22"/>
          <w:lang w:val="uk-UA"/>
        </w:rPr>
        <w:t xml:space="preserve"> </w:t>
      </w:r>
      <w:r w:rsidR="00622EE2" w:rsidRPr="007E5633">
        <w:rPr>
          <w:rFonts w:cs="Arial"/>
          <w:sz w:val="22"/>
          <w:szCs w:val="22"/>
          <w:lang w:val="uk-UA"/>
        </w:rPr>
        <w:fldChar w:fldCharType="begin"/>
      </w:r>
      <w:r w:rsidR="00F43976"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16</w:t>
      </w:r>
      <w:r w:rsidR="00622EE2" w:rsidRPr="007E5633">
        <w:rPr>
          <w:rFonts w:cs="Arial"/>
          <w:sz w:val="22"/>
          <w:szCs w:val="22"/>
          <w:lang w:val="uk-UA"/>
        </w:rPr>
        <w:fldChar w:fldCharType="end"/>
      </w:r>
      <w:r w:rsidR="00F43976" w:rsidRPr="007E5633">
        <w:rPr>
          <w:rFonts w:cs="Arial"/>
          <w:sz w:val="22"/>
          <w:szCs w:val="22"/>
          <w:lang w:val="uk-UA"/>
        </w:rPr>
        <w:t xml:space="preserve">: </w:t>
      </w:r>
      <w:r w:rsidRPr="007E5633">
        <w:rPr>
          <w:rFonts w:cs="Arial"/>
          <w:sz w:val="22"/>
          <w:szCs w:val="22"/>
          <w:lang w:val="uk-UA"/>
        </w:rPr>
        <w:t>Генеральна угода EFET, контрактна структура</w:t>
      </w:r>
      <w:bookmarkEnd w:id="75"/>
    </w:p>
    <w:p w14:paraId="39777EFA"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r w:rsidRPr="007E5633">
        <w:rPr>
          <w:rFonts w:cs="Arial"/>
          <w:b w:val="0"/>
          <w:color w:val="auto"/>
          <w:lang w:val="en-US"/>
        </w:rPr>
        <w:lastRenderedPageBreak/>
        <w:drawing>
          <wp:anchor distT="0" distB="0" distL="114300" distR="114300" simplePos="0" relativeHeight="251683840" behindDoc="0" locked="0" layoutInCell="1" allowOverlap="1" wp14:anchorId="6C2EFE89" wp14:editId="61E7CEB8">
            <wp:simplePos x="0" y="0"/>
            <wp:positionH relativeFrom="column">
              <wp:posOffset>-26670</wp:posOffset>
            </wp:positionH>
            <wp:positionV relativeFrom="paragraph">
              <wp:posOffset>22225</wp:posOffset>
            </wp:positionV>
            <wp:extent cx="5334000" cy="292417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1030" b="6368"/>
                    <a:stretch/>
                  </pic:blipFill>
                  <pic:spPr bwMode="auto">
                    <a:xfrm>
                      <a:off x="0" y="0"/>
                      <a:ext cx="5334000" cy="2924175"/>
                    </a:xfrm>
                    <a:prstGeom prst="rect">
                      <a:avLst/>
                    </a:prstGeom>
                    <a:noFill/>
                    <a:ln>
                      <a:noFill/>
                    </a:ln>
                    <a:extLst>
                      <a:ext uri="{53640926-AAD7-44D8-BBD7-CCE9431645EC}">
                        <a14:shadowObscured xmlns:a14="http://schemas.microsoft.com/office/drawing/2010/main"/>
                      </a:ext>
                    </a:extLst>
                  </pic:spPr>
                </pic:pic>
              </a:graphicData>
            </a:graphic>
          </wp:anchor>
        </w:drawing>
      </w:r>
    </w:p>
    <w:p w14:paraId="384EFE62"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4981CCF8"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3A117FE"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26223335"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09133A1F"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41A95DC6"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97F5CB5"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4614552F"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514C637"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5904F329"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2DF15B2A"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F4329FC"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6EAE6636"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33941244"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528D7CDD"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8FC130A"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19731790"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6F5BBA3D" w14:textId="77777777" w:rsidR="007E1660" w:rsidRPr="007E5633" w:rsidRDefault="007E1660" w:rsidP="007E1660">
      <w:pPr>
        <w:pStyle w:val="1111GTP"/>
        <w:keepNext w:val="0"/>
        <w:keepLines w:val="0"/>
        <w:widowControl w:val="0"/>
        <w:numPr>
          <w:ilvl w:val="0"/>
          <w:numId w:val="0"/>
        </w:numPr>
        <w:spacing w:before="0" w:after="0" w:line="240" w:lineRule="auto"/>
        <w:jc w:val="both"/>
        <w:rPr>
          <w:rFonts w:cs="Arial"/>
          <w:b w:val="0"/>
          <w:noProof w:val="0"/>
          <w:color w:val="auto"/>
          <w:lang w:val="uk-UA"/>
        </w:rPr>
      </w:pPr>
    </w:p>
    <w:p w14:paraId="2D04A894" w14:textId="77777777" w:rsidR="005D70A9" w:rsidRPr="007E5633" w:rsidRDefault="005D70A9" w:rsidP="005D70A9">
      <w:pPr>
        <w:pStyle w:val="af4"/>
        <w:rPr>
          <w:sz w:val="22"/>
          <w:szCs w:val="22"/>
          <w:lang w:val="uk-UA"/>
        </w:rPr>
      </w:pPr>
      <w:r w:rsidRPr="007E5633">
        <w:rPr>
          <w:sz w:val="22"/>
          <w:szCs w:val="22"/>
          <w:lang w:val="uk-UA"/>
        </w:rPr>
        <w:t>Генеральна угода про газ в рамках EFET складається з ряду загальних положень та додатків. Додатки стосуються конкретних обставин на різних ринках постачання газу або віртуальних точках, як показано на схемі нижче:</w:t>
      </w:r>
    </w:p>
    <w:p w14:paraId="26C3F754" w14:textId="3F01D06A" w:rsidR="007E1660" w:rsidRPr="007E5633" w:rsidRDefault="005D70A9" w:rsidP="007E1660">
      <w:pPr>
        <w:pStyle w:val="af1"/>
        <w:jc w:val="left"/>
        <w:rPr>
          <w:rFonts w:cs="Arial"/>
          <w:sz w:val="22"/>
          <w:szCs w:val="22"/>
          <w:lang w:val="uk-UA"/>
        </w:rPr>
      </w:pPr>
      <w:bookmarkStart w:id="76" w:name="_Toc533094044"/>
      <w:r w:rsidRPr="007E5633">
        <w:rPr>
          <w:rFonts w:cs="Arial"/>
          <w:sz w:val="22"/>
          <w:szCs w:val="22"/>
          <w:lang w:val="uk-UA"/>
        </w:rPr>
        <w:t>Схема</w:t>
      </w:r>
      <w:r w:rsidR="007E1660" w:rsidRPr="007E5633">
        <w:rPr>
          <w:rFonts w:cs="Arial"/>
          <w:sz w:val="22"/>
          <w:szCs w:val="22"/>
          <w:lang w:val="uk-UA"/>
        </w:rPr>
        <w:t xml:space="preserve"> </w:t>
      </w:r>
      <w:r w:rsidR="00622EE2" w:rsidRPr="007E5633">
        <w:rPr>
          <w:rFonts w:cs="Arial"/>
          <w:sz w:val="22"/>
          <w:szCs w:val="22"/>
          <w:lang w:val="uk-UA"/>
        </w:rPr>
        <w:fldChar w:fldCharType="begin"/>
      </w:r>
      <w:r w:rsidR="007E1660"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17</w:t>
      </w:r>
      <w:r w:rsidR="00622EE2" w:rsidRPr="007E5633">
        <w:rPr>
          <w:rFonts w:cs="Arial"/>
          <w:sz w:val="22"/>
          <w:szCs w:val="22"/>
          <w:lang w:val="uk-UA"/>
        </w:rPr>
        <w:fldChar w:fldCharType="end"/>
      </w:r>
      <w:r w:rsidR="007E1660" w:rsidRPr="007E5633">
        <w:rPr>
          <w:rFonts w:cs="Arial"/>
          <w:sz w:val="22"/>
          <w:szCs w:val="22"/>
          <w:lang w:val="uk-UA"/>
        </w:rPr>
        <w:t xml:space="preserve">: </w:t>
      </w:r>
      <w:r w:rsidRPr="007E5633">
        <w:rPr>
          <w:rFonts w:cs="Arial"/>
          <w:sz w:val="22"/>
          <w:szCs w:val="22"/>
          <w:lang w:val="uk-UA"/>
        </w:rPr>
        <w:t>Рамковий договір EFET</w:t>
      </w:r>
      <w:bookmarkEnd w:id="76"/>
    </w:p>
    <w:p w14:paraId="46F428E2" w14:textId="77777777" w:rsidR="007E1660" w:rsidRPr="007E5633" w:rsidRDefault="00B56599" w:rsidP="007E1660">
      <w:pPr>
        <w:rPr>
          <w:rFonts w:ascii="Arial" w:hAnsi="Arial" w:cs="Arial"/>
          <w:lang w:val="uk-UA"/>
        </w:rPr>
      </w:pPr>
      <w:r w:rsidRPr="007E5633">
        <w:rPr>
          <w:rFonts w:ascii="Arial" w:hAnsi="Arial" w:cs="Arial"/>
          <w:b/>
          <w:noProof/>
          <w:lang w:val="en-US"/>
        </w:rPr>
        <w:drawing>
          <wp:anchor distT="0" distB="0" distL="114300" distR="114300" simplePos="0" relativeHeight="251685888" behindDoc="1" locked="0" layoutInCell="1" allowOverlap="1" wp14:anchorId="14F259EA" wp14:editId="30701D28">
            <wp:simplePos x="0" y="0"/>
            <wp:positionH relativeFrom="column">
              <wp:posOffset>8626</wp:posOffset>
            </wp:positionH>
            <wp:positionV relativeFrom="paragraph">
              <wp:posOffset>155120</wp:posOffset>
            </wp:positionV>
            <wp:extent cx="4627880" cy="2553335"/>
            <wp:effectExtent l="0" t="0" r="1270" b="0"/>
            <wp:wrapTight wrapText="bothSides">
              <wp:wrapPolygon edited="0">
                <wp:start x="0" y="0"/>
                <wp:lineTo x="0" y="21433"/>
                <wp:lineTo x="21517" y="21433"/>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242" b="7235"/>
                    <a:stretch/>
                  </pic:blipFill>
                  <pic:spPr bwMode="auto">
                    <a:xfrm>
                      <a:off x="0" y="0"/>
                      <a:ext cx="4627880" cy="2553335"/>
                    </a:xfrm>
                    <a:prstGeom prst="rect">
                      <a:avLst/>
                    </a:prstGeom>
                    <a:noFill/>
                    <a:ln>
                      <a:noFill/>
                    </a:ln>
                    <a:extLst>
                      <a:ext uri="{53640926-AAD7-44D8-BBD7-CCE9431645EC}">
                        <a14:shadowObscured xmlns:a14="http://schemas.microsoft.com/office/drawing/2010/main"/>
                      </a:ext>
                    </a:extLst>
                  </pic:spPr>
                </pic:pic>
              </a:graphicData>
            </a:graphic>
          </wp:anchor>
        </w:drawing>
      </w:r>
    </w:p>
    <w:p w14:paraId="1FD13800" w14:textId="77777777" w:rsidR="007E1660" w:rsidRPr="007E5633" w:rsidRDefault="007E1660" w:rsidP="007E1660">
      <w:pPr>
        <w:rPr>
          <w:rFonts w:ascii="Arial" w:hAnsi="Arial" w:cs="Arial"/>
          <w:lang w:val="uk-UA"/>
        </w:rPr>
      </w:pPr>
    </w:p>
    <w:p w14:paraId="385E1FEF" w14:textId="77777777" w:rsidR="007E1660" w:rsidRPr="007E5633" w:rsidRDefault="007E1660" w:rsidP="007E1660">
      <w:pPr>
        <w:rPr>
          <w:rFonts w:ascii="Arial" w:hAnsi="Arial" w:cs="Arial"/>
          <w:lang w:val="uk-UA"/>
        </w:rPr>
      </w:pPr>
    </w:p>
    <w:p w14:paraId="0DFBD5B1" w14:textId="77777777" w:rsidR="007E1660" w:rsidRPr="007E5633" w:rsidRDefault="007E1660" w:rsidP="007E1660">
      <w:pPr>
        <w:rPr>
          <w:rFonts w:ascii="Arial" w:hAnsi="Arial" w:cs="Arial"/>
          <w:lang w:val="uk-UA"/>
        </w:rPr>
      </w:pPr>
    </w:p>
    <w:p w14:paraId="11418DD1" w14:textId="77777777" w:rsidR="007E1660" w:rsidRPr="007E5633" w:rsidRDefault="007E1660" w:rsidP="007E1660">
      <w:pPr>
        <w:rPr>
          <w:rFonts w:ascii="Arial" w:hAnsi="Arial" w:cs="Arial"/>
          <w:lang w:val="uk-UA"/>
        </w:rPr>
      </w:pPr>
    </w:p>
    <w:p w14:paraId="1AEA4C57" w14:textId="77777777" w:rsidR="007E1660" w:rsidRPr="007E5633" w:rsidRDefault="007E1660" w:rsidP="007E1660">
      <w:pPr>
        <w:rPr>
          <w:rFonts w:ascii="Arial" w:hAnsi="Arial" w:cs="Arial"/>
          <w:lang w:val="uk-UA"/>
        </w:rPr>
      </w:pPr>
    </w:p>
    <w:p w14:paraId="297F6F09" w14:textId="77777777" w:rsidR="007E1660" w:rsidRPr="007E5633" w:rsidRDefault="007E1660" w:rsidP="007E1660">
      <w:pPr>
        <w:rPr>
          <w:rFonts w:ascii="Arial" w:hAnsi="Arial" w:cs="Arial"/>
          <w:lang w:val="uk-UA"/>
        </w:rPr>
      </w:pPr>
    </w:p>
    <w:p w14:paraId="18D38669" w14:textId="77777777" w:rsidR="007E1660" w:rsidRPr="007E5633" w:rsidRDefault="007E1660" w:rsidP="007E1660">
      <w:pPr>
        <w:rPr>
          <w:rFonts w:ascii="Arial" w:hAnsi="Arial" w:cs="Arial"/>
          <w:lang w:val="uk-UA"/>
        </w:rPr>
      </w:pPr>
    </w:p>
    <w:p w14:paraId="05D83155" w14:textId="77777777" w:rsidR="007E1660" w:rsidRPr="007E5633" w:rsidRDefault="007E1660" w:rsidP="007E1660">
      <w:pPr>
        <w:rPr>
          <w:rFonts w:ascii="Arial" w:hAnsi="Arial" w:cs="Arial"/>
          <w:lang w:val="uk-UA"/>
        </w:rPr>
      </w:pPr>
    </w:p>
    <w:p w14:paraId="51E92C6C" w14:textId="77777777" w:rsidR="007E1660" w:rsidRPr="007E5633" w:rsidRDefault="007E1660" w:rsidP="007E1660">
      <w:pPr>
        <w:rPr>
          <w:rFonts w:ascii="Arial" w:hAnsi="Arial" w:cs="Arial"/>
          <w:lang w:val="uk-UA"/>
        </w:rPr>
      </w:pPr>
    </w:p>
    <w:p w14:paraId="7959FAF4" w14:textId="77777777" w:rsidR="007E1660" w:rsidRPr="007E5633" w:rsidRDefault="007E1660" w:rsidP="007E1660">
      <w:pPr>
        <w:rPr>
          <w:rFonts w:ascii="Arial" w:hAnsi="Arial" w:cs="Arial"/>
          <w:lang w:val="uk-UA"/>
        </w:rPr>
      </w:pPr>
    </w:p>
    <w:p w14:paraId="0BFD6D09" w14:textId="77777777" w:rsidR="005D70A9" w:rsidRPr="007E5633" w:rsidRDefault="005D70A9" w:rsidP="005D70A9">
      <w:pPr>
        <w:pStyle w:val="af4"/>
        <w:rPr>
          <w:sz w:val="22"/>
          <w:szCs w:val="22"/>
          <w:lang w:val="uk-UA"/>
        </w:rPr>
      </w:pPr>
      <w:r w:rsidRPr="007E5633">
        <w:rPr>
          <w:sz w:val="22"/>
          <w:szCs w:val="22"/>
          <w:lang w:val="uk-UA"/>
        </w:rPr>
        <w:t>Окремі рішення призводять до затримки стандартизації продукції та створюють перешкоди для розвитку ринку. Стандартна продукція дозволяє створює ліквідність у торгівлю та ціноутворенні, оскільки ціноутворення є відображенням основних ризиків. Передача права власності на фізичні операції з електроенергії та газу передбачена у двосторонньому позабіржовому Договорі, виданому EFET</w:t>
      </w:r>
      <w:r w:rsidRPr="007E5633">
        <w:rPr>
          <w:rStyle w:val="aa"/>
          <w:sz w:val="22"/>
          <w:szCs w:val="22"/>
          <w:lang w:val="uk-UA"/>
        </w:rPr>
        <w:footnoteReference w:id="7"/>
      </w:r>
      <w:r w:rsidRPr="007E5633">
        <w:rPr>
          <w:sz w:val="22"/>
          <w:szCs w:val="22"/>
          <w:lang w:val="uk-UA"/>
        </w:rPr>
        <w:t>.</w:t>
      </w:r>
    </w:p>
    <w:p w14:paraId="144CB8A1" w14:textId="77777777" w:rsidR="005D70A9" w:rsidRPr="007E5633" w:rsidRDefault="005D70A9" w:rsidP="005D70A9">
      <w:pPr>
        <w:pStyle w:val="af4"/>
        <w:rPr>
          <w:sz w:val="22"/>
          <w:szCs w:val="22"/>
          <w:lang w:val="uk-UA"/>
        </w:rPr>
      </w:pPr>
      <w:r w:rsidRPr="007E5633">
        <w:rPr>
          <w:sz w:val="22"/>
          <w:szCs w:val="22"/>
          <w:lang w:val="uk-UA"/>
        </w:rPr>
        <w:lastRenderedPageBreak/>
        <w:t>Угоди EFET стали ринковим стандартом для фізичних поставок електроенергії та газу в ЄС. Ці контракти використовуються як основні для продуктів, розміщених на брокерських платформах та біржах.</w:t>
      </w:r>
    </w:p>
    <w:p w14:paraId="5E53C178" w14:textId="77777777" w:rsidR="005D70A9" w:rsidRPr="007E5633" w:rsidRDefault="005D70A9" w:rsidP="005D70A9">
      <w:pPr>
        <w:pStyle w:val="af4"/>
        <w:rPr>
          <w:sz w:val="22"/>
          <w:szCs w:val="22"/>
          <w:lang w:val="uk-UA"/>
        </w:rPr>
      </w:pPr>
      <w:r w:rsidRPr="007E5633">
        <w:rPr>
          <w:sz w:val="22"/>
          <w:szCs w:val="22"/>
          <w:lang w:val="uk-UA"/>
        </w:rPr>
        <w:t>Розділ 1 сфери застосування Угоди EFET Electricity Master Agreement визначає наступне:</w:t>
      </w:r>
    </w:p>
    <w:p w14:paraId="4E31EF49" w14:textId="77777777" w:rsidR="005D70A9" w:rsidRPr="007E5633" w:rsidRDefault="005D70A9" w:rsidP="005D70A9">
      <w:pPr>
        <w:pStyle w:val="af4"/>
        <w:rPr>
          <w:i/>
          <w:sz w:val="22"/>
          <w:szCs w:val="22"/>
          <w:lang w:val="uk-UA"/>
        </w:rPr>
      </w:pPr>
      <w:r w:rsidRPr="007E5633">
        <w:rPr>
          <w:i/>
          <w:sz w:val="22"/>
          <w:szCs w:val="22"/>
          <w:lang w:val="uk-UA"/>
        </w:rPr>
        <w:t>"Предмет Угоди: Ця Генеральна Угода (яка включає в себе додатки та виборчий лист ("Виборчий аркуш ") регулює всі операції, що Сторони укладають для покупки, продажу, постачання та прийняття електроенергії, включаючи варіанти на купівлю, продаж, постачання та прийом електроенергії (кожна така операція є "індивідуальним контрактом"). Усі окремі контракти та ця Генеральна угода складають єдину угоду між Сторонами (далі - "Угода") є невід'ємною частиною кожного індивідуального контракту "</w:t>
      </w:r>
    </w:p>
    <w:p w14:paraId="6CB5A36D" w14:textId="77777777" w:rsidR="005D70A9" w:rsidRPr="007E5633" w:rsidRDefault="005D70A9" w:rsidP="005D70A9">
      <w:pPr>
        <w:pStyle w:val="af4"/>
        <w:rPr>
          <w:sz w:val="22"/>
          <w:szCs w:val="22"/>
          <w:lang w:val="uk-UA"/>
        </w:rPr>
      </w:pPr>
      <w:r w:rsidRPr="007E5633">
        <w:rPr>
          <w:sz w:val="22"/>
          <w:szCs w:val="22"/>
          <w:lang w:val="uk-UA"/>
        </w:rPr>
        <w:t>Розділ 6 Основної угоди про електроенергію EFET передбачає передачу прав власності у такий спосіб:</w:t>
      </w:r>
    </w:p>
    <w:p w14:paraId="0F4B799F" w14:textId="77777777" w:rsidR="005D70A9" w:rsidRPr="007E5633" w:rsidRDefault="005D70A9" w:rsidP="005D70A9">
      <w:pPr>
        <w:pStyle w:val="af4"/>
        <w:rPr>
          <w:sz w:val="22"/>
          <w:szCs w:val="22"/>
          <w:lang w:val="uk-UA"/>
        </w:rPr>
      </w:pPr>
      <w:r w:rsidRPr="007E5633">
        <w:rPr>
          <w:sz w:val="22"/>
          <w:szCs w:val="22"/>
          <w:lang w:val="uk-UA"/>
        </w:rPr>
        <w:t>Доставка, вимірювання, передача та ризик</w:t>
      </w:r>
    </w:p>
    <w:p w14:paraId="5D858753" w14:textId="77777777" w:rsidR="005D70A9" w:rsidRPr="007E5633" w:rsidRDefault="005D70A9" w:rsidP="005D70A9">
      <w:pPr>
        <w:pStyle w:val="af4"/>
        <w:rPr>
          <w:sz w:val="22"/>
          <w:szCs w:val="22"/>
          <w:lang w:val="uk-UA"/>
        </w:rPr>
      </w:pPr>
      <w:r w:rsidRPr="007E5633">
        <w:rPr>
          <w:sz w:val="22"/>
          <w:szCs w:val="22"/>
          <w:lang w:val="uk-UA"/>
        </w:rPr>
        <w:t>"Сила струму/ частота/ напруга: електроенергія повинна поставлятися в силі струму, частоті та напрузі, що застосовуються на відповідному пункті доставки, узгодженому в індивідуальному контракті та відповідно до стандартів оператора мережі, відповідальної за точку доставки. Електроенергія доставляється відповідно до графіків постачання, зазначених у кожному окремому контракті.</w:t>
      </w:r>
    </w:p>
    <w:p w14:paraId="66A56EB1" w14:textId="77777777" w:rsidR="005D70A9" w:rsidRPr="007E5633" w:rsidRDefault="005D70A9" w:rsidP="005D70A9">
      <w:pPr>
        <w:pStyle w:val="af4"/>
        <w:rPr>
          <w:sz w:val="22"/>
          <w:szCs w:val="22"/>
          <w:lang w:val="uk-UA"/>
        </w:rPr>
      </w:pPr>
      <w:r w:rsidRPr="007E5633">
        <w:rPr>
          <w:sz w:val="22"/>
          <w:szCs w:val="22"/>
          <w:lang w:val="uk-UA"/>
        </w:rPr>
        <w:t>Передача прав власності: Доставка здійснюється шляхом надання обсягу по контракту на контрактній потужності на точці доставки. Доставка та отримання обсягу по контракту, а також переведення від Продавця до Покупця всіх прав власності без будь-яких небажаних претензій/обтяжень до неї, має відбуватися в пункті доставки ".</w:t>
      </w:r>
    </w:p>
    <w:p w14:paraId="73945995" w14:textId="77777777" w:rsidR="005D70A9" w:rsidRPr="007E5633" w:rsidRDefault="005D70A9" w:rsidP="005D70A9">
      <w:pPr>
        <w:pStyle w:val="af4"/>
        <w:rPr>
          <w:sz w:val="22"/>
          <w:szCs w:val="22"/>
          <w:lang w:val="uk-UA"/>
        </w:rPr>
      </w:pPr>
      <w:r w:rsidRPr="007E5633">
        <w:rPr>
          <w:sz w:val="22"/>
          <w:szCs w:val="22"/>
          <w:lang w:val="uk-UA"/>
        </w:rPr>
        <w:t xml:space="preserve">Оскільки угоди EFET є фізичними угодами, право власності переходить тоді, коли переходить ризик, тобто момент, коли товар доставляється в точку доставки. TSO виступає в якості агента продавця, оскільки TSO фізично транспортує газ або електроенергію до пункту доставки. У пункті доставки </w:t>
      </w:r>
      <w:r w:rsidR="000F2B19">
        <w:rPr>
          <w:sz w:val="22"/>
          <w:szCs w:val="22"/>
          <w:lang w:val="uk-UA"/>
        </w:rPr>
        <w:t>товар</w:t>
      </w:r>
      <w:r w:rsidRPr="007E5633">
        <w:rPr>
          <w:sz w:val="22"/>
          <w:szCs w:val="22"/>
          <w:lang w:val="uk-UA"/>
        </w:rPr>
        <w:t xml:space="preserve"> передається покупцеві, де TSO виступає в якості постачальника та одержувача </w:t>
      </w:r>
      <w:r w:rsidR="000F2B19">
        <w:rPr>
          <w:sz w:val="22"/>
          <w:szCs w:val="22"/>
          <w:lang w:val="uk-UA"/>
        </w:rPr>
        <w:t>товару</w:t>
      </w:r>
      <w:r w:rsidRPr="007E5633">
        <w:rPr>
          <w:sz w:val="22"/>
          <w:szCs w:val="22"/>
          <w:lang w:val="uk-UA"/>
        </w:rPr>
        <w:t>.</w:t>
      </w:r>
    </w:p>
    <w:p w14:paraId="1D3DAECE" w14:textId="77777777" w:rsidR="005D70A9" w:rsidRPr="007E5633" w:rsidRDefault="005D70A9" w:rsidP="005D70A9">
      <w:pPr>
        <w:pStyle w:val="af4"/>
        <w:rPr>
          <w:sz w:val="22"/>
          <w:szCs w:val="22"/>
          <w:lang w:val="uk-UA"/>
        </w:rPr>
      </w:pPr>
      <w:r w:rsidRPr="007E5633">
        <w:rPr>
          <w:sz w:val="22"/>
          <w:szCs w:val="22"/>
          <w:lang w:val="uk-UA"/>
        </w:rPr>
        <w:t>У контексті ISDA доставка здійснюється через оплату готівкою, а передача права власності здійснюється шляхом обміну номінаціями на оператора платформи. Як наслідок, фінансовий продукт ISDA не поділяє юридичну кваліфікацію фізичної доставки, яка діє згідно з Угодою EFET.</w:t>
      </w:r>
    </w:p>
    <w:p w14:paraId="6267CA1C" w14:textId="77777777" w:rsidR="005D70A9" w:rsidRPr="007E5633" w:rsidRDefault="005D70A9" w:rsidP="005D70A9">
      <w:pPr>
        <w:pStyle w:val="af4"/>
        <w:rPr>
          <w:sz w:val="22"/>
          <w:szCs w:val="22"/>
          <w:lang w:val="uk-UA"/>
        </w:rPr>
      </w:pPr>
      <w:r w:rsidRPr="007E5633">
        <w:rPr>
          <w:sz w:val="22"/>
          <w:szCs w:val="22"/>
          <w:lang w:val="uk-UA"/>
        </w:rPr>
        <w:t>Для завершених (оплачених) угод та торгівлі через біржу ситуація з ризиком є іншою; передача прав власності є іншою, оскільки кліринговий центр бере на себе зобов'язання з постачання перед обома контрагентами шляхом нововведення.</w:t>
      </w:r>
    </w:p>
    <w:p w14:paraId="42C173A1" w14:textId="77777777" w:rsidR="005D70A9" w:rsidRPr="007E5633" w:rsidRDefault="005D70A9" w:rsidP="005D70A9">
      <w:pPr>
        <w:pStyle w:val="af4"/>
        <w:rPr>
          <w:sz w:val="22"/>
          <w:szCs w:val="22"/>
          <w:lang w:val="uk-UA"/>
        </w:rPr>
      </w:pPr>
      <w:r w:rsidRPr="007E5633">
        <w:rPr>
          <w:sz w:val="22"/>
          <w:szCs w:val="22"/>
          <w:lang w:val="uk-UA"/>
        </w:rPr>
        <w:t>Передача права власності в фізичних біржових угодах та фінансових угодах на біржі здійснюється шляхом просто "натискання" на «здійснити угоду» на торговій платформі. Процедура оплати та розрахунків детально описана нижче.</w:t>
      </w:r>
    </w:p>
    <w:p w14:paraId="127DD111" w14:textId="77777777" w:rsidR="00E4309C" w:rsidRPr="007E5633" w:rsidRDefault="00E4309C" w:rsidP="00317B87">
      <w:pPr>
        <w:pStyle w:val="1111GTP"/>
        <w:keepNext w:val="0"/>
        <w:keepLines w:val="0"/>
        <w:widowControl w:val="0"/>
        <w:numPr>
          <w:ilvl w:val="0"/>
          <w:numId w:val="0"/>
        </w:numPr>
        <w:spacing w:after="120" w:line="240" w:lineRule="auto"/>
        <w:jc w:val="both"/>
        <w:rPr>
          <w:rFonts w:cs="Arial"/>
          <w:b w:val="0"/>
          <w:noProof w:val="0"/>
          <w:color w:val="auto"/>
          <w:lang w:val="uk-UA"/>
        </w:rPr>
      </w:pPr>
    </w:p>
    <w:p w14:paraId="7FCA2A07" w14:textId="77777777" w:rsidR="000322E5" w:rsidRPr="007E5633" w:rsidRDefault="000322E5">
      <w:pPr>
        <w:suppressAutoHyphens w:val="0"/>
        <w:rPr>
          <w:rFonts w:ascii="Arial" w:eastAsia="Times New Roman" w:hAnsi="Arial" w:cs="Arial"/>
          <w:b/>
          <w:iCs/>
          <w:lang w:val="uk-UA"/>
        </w:rPr>
      </w:pPr>
      <w:r w:rsidRPr="007E5633">
        <w:rPr>
          <w:rFonts w:cs="Arial"/>
          <w:lang w:val="uk-UA"/>
        </w:rPr>
        <w:br w:type="page"/>
      </w:r>
    </w:p>
    <w:p w14:paraId="09BB38DF" w14:textId="76ABB54C" w:rsidR="007E1660" w:rsidRPr="007E5633" w:rsidRDefault="005D70A9" w:rsidP="007E1660">
      <w:pPr>
        <w:pStyle w:val="af1"/>
        <w:widowControl w:val="0"/>
        <w:jc w:val="left"/>
        <w:rPr>
          <w:rFonts w:cs="Arial"/>
          <w:b w:val="0"/>
          <w:sz w:val="22"/>
          <w:szCs w:val="22"/>
          <w:lang w:val="uk-UA"/>
        </w:rPr>
      </w:pPr>
      <w:bookmarkStart w:id="77" w:name="_Toc533094045"/>
      <w:r w:rsidRPr="007E5633">
        <w:rPr>
          <w:rFonts w:cs="Arial"/>
          <w:sz w:val="22"/>
          <w:szCs w:val="22"/>
          <w:lang w:val="uk-UA"/>
        </w:rPr>
        <w:lastRenderedPageBreak/>
        <w:t xml:space="preserve">Схема </w:t>
      </w:r>
      <w:r w:rsidR="00622EE2" w:rsidRPr="007E5633">
        <w:rPr>
          <w:rFonts w:cs="Arial"/>
          <w:sz w:val="22"/>
          <w:szCs w:val="22"/>
          <w:lang w:val="uk-UA"/>
        </w:rPr>
        <w:fldChar w:fldCharType="begin"/>
      </w:r>
      <w:r w:rsidR="007E1660"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18</w:t>
      </w:r>
      <w:r w:rsidR="00622EE2" w:rsidRPr="007E5633">
        <w:rPr>
          <w:rFonts w:cs="Arial"/>
          <w:sz w:val="22"/>
          <w:szCs w:val="22"/>
          <w:lang w:val="uk-UA"/>
        </w:rPr>
        <w:fldChar w:fldCharType="end"/>
      </w:r>
      <w:r w:rsidR="007E1660" w:rsidRPr="007E5633">
        <w:rPr>
          <w:rFonts w:cs="Arial"/>
          <w:sz w:val="22"/>
          <w:szCs w:val="22"/>
          <w:lang w:val="uk-UA"/>
        </w:rPr>
        <w:t xml:space="preserve">: </w:t>
      </w:r>
      <w:r w:rsidRPr="007E5633">
        <w:rPr>
          <w:rFonts w:cs="Arial"/>
          <w:sz w:val="22"/>
          <w:szCs w:val="22"/>
          <w:lang w:val="uk-UA"/>
        </w:rPr>
        <w:t>Процес оплати та розрахунків</w:t>
      </w:r>
      <w:bookmarkEnd w:id="77"/>
      <w:r w:rsidRPr="007E5633">
        <w:rPr>
          <w:rFonts w:cs="Arial"/>
          <w:sz w:val="22"/>
          <w:szCs w:val="22"/>
          <w:lang w:val="uk-UA"/>
        </w:rPr>
        <w:t xml:space="preserve"> </w:t>
      </w:r>
    </w:p>
    <w:p w14:paraId="6E816CE5" w14:textId="77777777" w:rsidR="00E4309C" w:rsidRPr="007E5633" w:rsidRDefault="00E4309C" w:rsidP="007E1660">
      <w:pPr>
        <w:pStyle w:val="1111GTP"/>
        <w:keepNext w:val="0"/>
        <w:keepLines w:val="0"/>
        <w:widowControl w:val="0"/>
        <w:numPr>
          <w:ilvl w:val="0"/>
          <w:numId w:val="0"/>
        </w:numPr>
        <w:spacing w:after="360" w:line="240" w:lineRule="auto"/>
        <w:ind w:left="1134"/>
        <w:jc w:val="both"/>
        <w:rPr>
          <w:rFonts w:cs="Arial"/>
          <w:b w:val="0"/>
          <w:noProof w:val="0"/>
          <w:color w:val="auto"/>
          <w:lang w:val="uk-UA"/>
        </w:rPr>
      </w:pPr>
      <w:r w:rsidRPr="007E5633">
        <w:rPr>
          <w:rFonts w:cs="Arial"/>
          <w:b w:val="0"/>
          <w:color w:val="auto"/>
          <w:lang w:val="en-US"/>
        </w:rPr>
        <w:drawing>
          <wp:anchor distT="0" distB="0" distL="114300" distR="114300" simplePos="0" relativeHeight="251687936" behindDoc="1" locked="0" layoutInCell="1" allowOverlap="1" wp14:anchorId="581B5561" wp14:editId="2BA75FE1">
            <wp:simplePos x="0" y="0"/>
            <wp:positionH relativeFrom="column">
              <wp:posOffset>234315</wp:posOffset>
            </wp:positionH>
            <wp:positionV relativeFrom="paragraph">
              <wp:posOffset>125730</wp:posOffset>
            </wp:positionV>
            <wp:extent cx="5149215" cy="2000885"/>
            <wp:effectExtent l="0" t="0" r="0" b="0"/>
            <wp:wrapTight wrapText="bothSides">
              <wp:wrapPolygon edited="0">
                <wp:start x="0" y="0"/>
                <wp:lineTo x="0" y="21387"/>
                <wp:lineTo x="21496" y="21387"/>
                <wp:lineTo x="2149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5586" b="12162"/>
                    <a:stretch/>
                  </pic:blipFill>
                  <pic:spPr bwMode="auto">
                    <a:xfrm>
                      <a:off x="0" y="0"/>
                      <a:ext cx="5149215" cy="2000885"/>
                    </a:xfrm>
                    <a:prstGeom prst="rect">
                      <a:avLst/>
                    </a:prstGeom>
                    <a:noFill/>
                    <a:ln>
                      <a:noFill/>
                    </a:ln>
                    <a:extLst>
                      <a:ext uri="{53640926-AAD7-44D8-BBD7-CCE9431645EC}">
                        <a14:shadowObscured xmlns:a14="http://schemas.microsoft.com/office/drawing/2010/main"/>
                      </a:ext>
                    </a:extLst>
                  </pic:spPr>
                </pic:pic>
              </a:graphicData>
            </a:graphic>
          </wp:anchor>
        </w:drawing>
      </w:r>
    </w:p>
    <w:p w14:paraId="763B7BA2" w14:textId="77777777" w:rsidR="007E1660" w:rsidRPr="007E5633" w:rsidRDefault="005D70A9" w:rsidP="007E1660">
      <w:pPr>
        <w:pStyle w:val="1111GTP"/>
        <w:keepNext w:val="0"/>
        <w:keepLines w:val="0"/>
        <w:widowControl w:val="0"/>
        <w:numPr>
          <w:ilvl w:val="0"/>
          <w:numId w:val="0"/>
        </w:numPr>
        <w:spacing w:line="240" w:lineRule="auto"/>
        <w:jc w:val="both"/>
        <w:rPr>
          <w:rFonts w:cs="Arial"/>
          <w:b w:val="0"/>
          <w:i/>
          <w:noProof w:val="0"/>
          <w:color w:val="auto"/>
          <w:lang w:val="uk-UA"/>
        </w:rPr>
      </w:pPr>
      <w:r w:rsidRPr="007E5633">
        <w:rPr>
          <w:rFonts w:cs="Arial"/>
          <w:b w:val="0"/>
          <w:i/>
          <w:noProof w:val="0"/>
          <w:color w:val="auto"/>
          <w:lang w:val="uk-UA"/>
        </w:rPr>
        <w:t>Джерело:</w:t>
      </w:r>
      <w:r w:rsidR="000322E5" w:rsidRPr="007E5633">
        <w:rPr>
          <w:rFonts w:cs="Arial"/>
          <w:b w:val="0"/>
          <w:i/>
          <w:noProof w:val="0"/>
          <w:color w:val="auto"/>
          <w:lang w:val="uk-UA"/>
        </w:rPr>
        <w:t xml:space="preserve"> </w:t>
      </w:r>
      <w:r w:rsidR="007E1660" w:rsidRPr="007E5633">
        <w:rPr>
          <w:rFonts w:cs="Arial"/>
          <w:b w:val="0"/>
          <w:i/>
          <w:noProof w:val="0"/>
          <w:color w:val="auto"/>
          <w:lang w:val="uk-UA"/>
        </w:rPr>
        <w:t>European Commodity Clearing</w:t>
      </w:r>
      <w:r w:rsidR="000322E5" w:rsidRPr="007E5633">
        <w:rPr>
          <w:rFonts w:cs="Arial"/>
          <w:b w:val="0"/>
          <w:i/>
          <w:noProof w:val="0"/>
          <w:color w:val="auto"/>
          <w:lang w:val="uk-UA"/>
        </w:rPr>
        <w:t xml:space="preserve"> / Європейський товарообмін</w:t>
      </w:r>
      <w:r w:rsidR="000F2B19">
        <w:rPr>
          <w:rFonts w:cs="Arial"/>
          <w:b w:val="0"/>
          <w:i/>
          <w:noProof w:val="0"/>
          <w:color w:val="auto"/>
          <w:lang w:val="uk-UA"/>
        </w:rPr>
        <w:t xml:space="preserve"> (кліринг товарів)</w:t>
      </w:r>
    </w:p>
    <w:p w14:paraId="6302EC29" w14:textId="77777777" w:rsidR="005D70A9" w:rsidRPr="007E5633" w:rsidRDefault="005D70A9" w:rsidP="005D70A9">
      <w:pPr>
        <w:pStyle w:val="af4"/>
        <w:rPr>
          <w:sz w:val="22"/>
          <w:szCs w:val="22"/>
          <w:lang w:val="uk-UA"/>
        </w:rPr>
      </w:pPr>
      <w:r w:rsidRPr="007E5633">
        <w:rPr>
          <w:sz w:val="22"/>
          <w:szCs w:val="22"/>
          <w:lang w:val="uk-UA"/>
        </w:rPr>
        <w:t>На прикладі Європейської клірингової палати (ECC), яка є кліринговою установою в ряді країн та для ряду бірж, розподіл ризиків та передача прав власності можна пояснити схемами нижче. Ризики фізичної доставки, які виникли при включенні ECC Lux у ланцюжок доставки, будуть вирішені комплектом додаткових положень в Умовах клірингу (Clearing Conditions).</w:t>
      </w:r>
    </w:p>
    <w:p w14:paraId="022AD9E8" w14:textId="77777777" w:rsidR="005D70A9" w:rsidRPr="007E5633" w:rsidRDefault="005D70A9" w:rsidP="005D70A9">
      <w:pPr>
        <w:pStyle w:val="af4"/>
        <w:rPr>
          <w:sz w:val="22"/>
          <w:szCs w:val="22"/>
          <w:lang w:val="uk-UA"/>
        </w:rPr>
      </w:pPr>
      <w:r w:rsidRPr="007E5633">
        <w:rPr>
          <w:sz w:val="22"/>
          <w:szCs w:val="22"/>
          <w:lang w:val="uk-UA"/>
        </w:rPr>
        <w:t>ECC взяла на себе гарантію на всі зобов'язання, що виникають у торгівлі, які пройшли кліринг ECC, і буде, завдяки операційній домовленості/організації, завжди мати можливість покривати відповідальність ECC Lux щодо зобов'язань щодо фізичних поставок.</w:t>
      </w:r>
    </w:p>
    <w:p w14:paraId="40F65A2B" w14:textId="77777777" w:rsidR="005D70A9" w:rsidRPr="007E5633" w:rsidRDefault="005D70A9" w:rsidP="005D70A9">
      <w:pPr>
        <w:pStyle w:val="af4"/>
        <w:rPr>
          <w:sz w:val="22"/>
          <w:szCs w:val="22"/>
          <w:lang w:val="uk-UA"/>
        </w:rPr>
      </w:pPr>
      <w:r w:rsidRPr="007E5633">
        <w:rPr>
          <w:sz w:val="22"/>
          <w:szCs w:val="22"/>
          <w:lang w:val="uk-UA"/>
        </w:rPr>
        <w:t>Відповідальність ECC за неправильні номінації випливає із загальних норм цивільного законодавства Німеччини. Нова версія Клірингових умов передбачає, що ECC Lux пов'язаний умовами клірингу.</w:t>
      </w:r>
    </w:p>
    <w:p w14:paraId="45EE0900" w14:textId="77777777" w:rsidR="005D70A9" w:rsidRPr="007E5633" w:rsidRDefault="005D70A9" w:rsidP="005D70A9">
      <w:pPr>
        <w:pStyle w:val="af4"/>
        <w:rPr>
          <w:sz w:val="22"/>
          <w:szCs w:val="22"/>
          <w:lang w:val="uk-UA"/>
        </w:rPr>
      </w:pPr>
      <w:r w:rsidRPr="007E5633">
        <w:rPr>
          <w:sz w:val="22"/>
          <w:szCs w:val="22"/>
          <w:lang w:val="uk-UA"/>
        </w:rPr>
        <w:t>Контрактну ситуацію можна підсумувати наступним чином:</w:t>
      </w:r>
    </w:p>
    <w:p w14:paraId="57DC2CA0" w14:textId="7A14EF7A" w:rsidR="007E1660" w:rsidRPr="007E5633" w:rsidRDefault="005D70A9" w:rsidP="007E1660">
      <w:pPr>
        <w:pStyle w:val="af1"/>
        <w:jc w:val="left"/>
        <w:rPr>
          <w:rFonts w:cs="Arial"/>
          <w:b w:val="0"/>
          <w:sz w:val="22"/>
          <w:szCs w:val="22"/>
          <w:lang w:val="uk-UA"/>
        </w:rPr>
      </w:pPr>
      <w:bookmarkStart w:id="78" w:name="_Toc533094046"/>
      <w:r w:rsidRPr="007E5633">
        <w:rPr>
          <w:rFonts w:cs="Arial"/>
          <w:sz w:val="22"/>
          <w:szCs w:val="22"/>
          <w:lang w:val="uk-UA"/>
        </w:rPr>
        <w:t>Схема</w:t>
      </w:r>
      <w:r w:rsidR="007E1660" w:rsidRPr="007E5633">
        <w:rPr>
          <w:rFonts w:cs="Arial"/>
          <w:sz w:val="22"/>
          <w:szCs w:val="22"/>
          <w:lang w:val="uk-UA"/>
        </w:rPr>
        <w:t xml:space="preserve"> </w:t>
      </w:r>
      <w:r w:rsidR="00622EE2" w:rsidRPr="007E5633">
        <w:rPr>
          <w:rFonts w:cs="Arial"/>
          <w:sz w:val="22"/>
          <w:szCs w:val="22"/>
          <w:lang w:val="uk-UA"/>
        </w:rPr>
        <w:fldChar w:fldCharType="begin"/>
      </w:r>
      <w:r w:rsidR="007E1660"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19</w:t>
      </w:r>
      <w:r w:rsidR="00622EE2" w:rsidRPr="007E5633">
        <w:rPr>
          <w:rFonts w:cs="Arial"/>
          <w:sz w:val="22"/>
          <w:szCs w:val="22"/>
          <w:lang w:val="uk-UA"/>
        </w:rPr>
        <w:fldChar w:fldCharType="end"/>
      </w:r>
      <w:r w:rsidR="007E1660" w:rsidRPr="007E5633">
        <w:rPr>
          <w:rFonts w:cs="Arial"/>
          <w:sz w:val="22"/>
          <w:szCs w:val="22"/>
          <w:lang w:val="uk-UA"/>
        </w:rPr>
        <w:t xml:space="preserve">: </w:t>
      </w:r>
      <w:r w:rsidRPr="007E5633">
        <w:rPr>
          <w:rFonts w:cs="Arial"/>
          <w:sz w:val="22"/>
          <w:szCs w:val="22"/>
          <w:lang w:val="uk-UA"/>
        </w:rPr>
        <w:t>договірні відносини</w:t>
      </w:r>
      <w:bookmarkEnd w:id="78"/>
    </w:p>
    <w:p w14:paraId="34A8D7FB" w14:textId="77777777" w:rsidR="00E4309C" w:rsidRPr="007E5633" w:rsidRDefault="00E4309C" w:rsidP="007E1660">
      <w:pPr>
        <w:pStyle w:val="1111GTP"/>
        <w:keepNext w:val="0"/>
        <w:keepLines w:val="0"/>
        <w:widowControl w:val="0"/>
        <w:numPr>
          <w:ilvl w:val="0"/>
          <w:numId w:val="0"/>
        </w:numPr>
        <w:spacing w:line="240" w:lineRule="auto"/>
        <w:ind w:left="1134"/>
        <w:jc w:val="both"/>
        <w:rPr>
          <w:rFonts w:cs="Arial"/>
          <w:b w:val="0"/>
          <w:noProof w:val="0"/>
          <w:color w:val="auto"/>
          <w:lang w:val="uk-UA"/>
        </w:rPr>
      </w:pPr>
      <w:r w:rsidRPr="007E5633">
        <w:rPr>
          <w:rFonts w:cs="Arial"/>
          <w:b w:val="0"/>
          <w:color w:val="auto"/>
          <w:lang w:val="en-US"/>
        </w:rPr>
        <w:drawing>
          <wp:anchor distT="0" distB="0" distL="114300" distR="114300" simplePos="0" relativeHeight="251686912" behindDoc="0" locked="0" layoutInCell="1" allowOverlap="1" wp14:anchorId="4F15F4F5" wp14:editId="18633A04">
            <wp:simplePos x="0" y="0"/>
            <wp:positionH relativeFrom="column">
              <wp:posOffset>-52106</wp:posOffset>
            </wp:positionH>
            <wp:positionV relativeFrom="paragraph">
              <wp:posOffset>130810</wp:posOffset>
            </wp:positionV>
            <wp:extent cx="4994695" cy="1104181"/>
            <wp:effectExtent l="0" t="0" r="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301" b="42493"/>
                    <a:stretch/>
                  </pic:blipFill>
                  <pic:spPr bwMode="auto">
                    <a:xfrm>
                      <a:off x="0" y="0"/>
                      <a:ext cx="4994695" cy="1104181"/>
                    </a:xfrm>
                    <a:prstGeom prst="rect">
                      <a:avLst/>
                    </a:prstGeom>
                    <a:noFill/>
                    <a:ln>
                      <a:noFill/>
                    </a:ln>
                    <a:extLst>
                      <a:ext uri="{53640926-AAD7-44D8-BBD7-CCE9431645EC}">
                        <a14:shadowObscured xmlns:a14="http://schemas.microsoft.com/office/drawing/2010/main"/>
                      </a:ext>
                    </a:extLst>
                  </pic:spPr>
                </pic:pic>
              </a:graphicData>
            </a:graphic>
          </wp:anchor>
        </w:drawing>
      </w:r>
    </w:p>
    <w:p w14:paraId="4C729A90" w14:textId="77777777" w:rsidR="00E4309C" w:rsidRPr="007E5633" w:rsidRDefault="00E4309C" w:rsidP="007E1660">
      <w:pPr>
        <w:pStyle w:val="1111GTP"/>
        <w:keepNext w:val="0"/>
        <w:keepLines w:val="0"/>
        <w:widowControl w:val="0"/>
        <w:numPr>
          <w:ilvl w:val="0"/>
          <w:numId w:val="0"/>
        </w:numPr>
        <w:spacing w:line="240" w:lineRule="auto"/>
        <w:ind w:left="648" w:hanging="648"/>
        <w:jc w:val="both"/>
        <w:rPr>
          <w:rFonts w:cs="Arial"/>
          <w:b w:val="0"/>
          <w:noProof w:val="0"/>
          <w:color w:val="auto"/>
          <w:lang w:val="uk-UA"/>
        </w:rPr>
      </w:pPr>
    </w:p>
    <w:p w14:paraId="63A0731B" w14:textId="77777777" w:rsidR="007E1660" w:rsidRPr="007E5633" w:rsidRDefault="007E1660" w:rsidP="007E1660">
      <w:pPr>
        <w:pStyle w:val="1111GTP"/>
        <w:keepNext w:val="0"/>
        <w:keepLines w:val="0"/>
        <w:widowControl w:val="0"/>
        <w:numPr>
          <w:ilvl w:val="0"/>
          <w:numId w:val="0"/>
        </w:numPr>
        <w:spacing w:line="240" w:lineRule="auto"/>
        <w:ind w:left="648" w:hanging="648"/>
        <w:jc w:val="center"/>
        <w:rPr>
          <w:rFonts w:cs="Arial"/>
          <w:b w:val="0"/>
          <w:noProof w:val="0"/>
          <w:color w:val="auto"/>
          <w:lang w:val="uk-UA"/>
        </w:rPr>
      </w:pPr>
    </w:p>
    <w:p w14:paraId="1D6CC91F" w14:textId="77777777" w:rsidR="007E1660" w:rsidRPr="007E5633" w:rsidRDefault="007E1660" w:rsidP="007E1660">
      <w:pPr>
        <w:pStyle w:val="1111GTP"/>
        <w:keepNext w:val="0"/>
        <w:keepLines w:val="0"/>
        <w:widowControl w:val="0"/>
        <w:numPr>
          <w:ilvl w:val="0"/>
          <w:numId w:val="0"/>
        </w:numPr>
        <w:spacing w:line="240" w:lineRule="auto"/>
        <w:ind w:left="648" w:hanging="648"/>
        <w:jc w:val="center"/>
        <w:rPr>
          <w:rFonts w:cs="Arial"/>
          <w:b w:val="0"/>
          <w:noProof w:val="0"/>
          <w:color w:val="auto"/>
          <w:lang w:val="uk-UA"/>
        </w:rPr>
      </w:pPr>
    </w:p>
    <w:p w14:paraId="716C7CD4" w14:textId="77777777" w:rsidR="007E1660" w:rsidRPr="007E5633" w:rsidRDefault="007E1660" w:rsidP="007E1660">
      <w:pPr>
        <w:pStyle w:val="1111GTP"/>
        <w:keepNext w:val="0"/>
        <w:keepLines w:val="0"/>
        <w:widowControl w:val="0"/>
        <w:numPr>
          <w:ilvl w:val="0"/>
          <w:numId w:val="0"/>
        </w:numPr>
        <w:spacing w:line="240" w:lineRule="auto"/>
        <w:ind w:left="648" w:hanging="648"/>
        <w:jc w:val="center"/>
        <w:rPr>
          <w:rFonts w:cs="Arial"/>
          <w:b w:val="0"/>
          <w:noProof w:val="0"/>
          <w:color w:val="auto"/>
          <w:lang w:val="uk-UA"/>
        </w:rPr>
      </w:pPr>
    </w:p>
    <w:p w14:paraId="69FDD7A9" w14:textId="77777777" w:rsidR="007E1660" w:rsidRPr="007E5633" w:rsidRDefault="007E1660" w:rsidP="007E1660">
      <w:pPr>
        <w:pStyle w:val="1111GTP"/>
        <w:keepNext w:val="0"/>
        <w:keepLines w:val="0"/>
        <w:widowControl w:val="0"/>
        <w:numPr>
          <w:ilvl w:val="0"/>
          <w:numId w:val="0"/>
        </w:numPr>
        <w:spacing w:line="240" w:lineRule="auto"/>
        <w:ind w:left="648" w:hanging="648"/>
        <w:jc w:val="both"/>
        <w:rPr>
          <w:rFonts w:cs="Arial"/>
          <w:b w:val="0"/>
          <w:noProof w:val="0"/>
          <w:color w:val="auto"/>
          <w:lang w:val="uk-UA"/>
        </w:rPr>
      </w:pPr>
      <w:r w:rsidRPr="007E5633">
        <w:rPr>
          <w:rFonts w:cs="Arial"/>
          <w:b w:val="0"/>
          <w:color w:val="auto"/>
          <w:lang w:val="en-US"/>
        </w:rPr>
        <w:drawing>
          <wp:inline distT="0" distB="0" distL="0" distR="0" wp14:anchorId="31B56B38" wp14:editId="17DF0CED">
            <wp:extent cx="5689981" cy="586597"/>
            <wp:effectExtent l="0" t="0" r="0" b="4445"/>
            <wp:docPr id="26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4193" b="10788"/>
                    <a:stretch/>
                  </pic:blipFill>
                  <pic:spPr bwMode="auto">
                    <a:xfrm>
                      <a:off x="0" y="0"/>
                      <a:ext cx="5702585" cy="587896"/>
                    </a:xfrm>
                    <a:prstGeom prst="rect">
                      <a:avLst/>
                    </a:prstGeom>
                    <a:noFill/>
                    <a:ln>
                      <a:noFill/>
                    </a:ln>
                    <a:extLst>
                      <a:ext uri="{53640926-AAD7-44D8-BBD7-CCE9431645EC}">
                        <a14:shadowObscured xmlns:a14="http://schemas.microsoft.com/office/drawing/2010/main"/>
                      </a:ext>
                    </a:extLst>
                  </pic:spPr>
                </pic:pic>
              </a:graphicData>
            </a:graphic>
          </wp:inline>
        </w:drawing>
      </w:r>
    </w:p>
    <w:p w14:paraId="4A4757F8" w14:textId="77777777" w:rsidR="005D70A9" w:rsidRPr="007E5633" w:rsidRDefault="005D70A9" w:rsidP="005D70A9">
      <w:pPr>
        <w:pStyle w:val="af4"/>
        <w:rPr>
          <w:i/>
          <w:sz w:val="22"/>
          <w:szCs w:val="22"/>
          <w:lang w:val="uk-UA"/>
        </w:rPr>
      </w:pPr>
      <w:r w:rsidRPr="007E5633">
        <w:rPr>
          <w:i/>
          <w:sz w:val="22"/>
          <w:szCs w:val="22"/>
          <w:lang w:val="uk-UA"/>
        </w:rPr>
        <w:t xml:space="preserve">Джерело: </w:t>
      </w:r>
      <w:r w:rsidR="000322E5" w:rsidRPr="007E5633">
        <w:rPr>
          <w:i/>
          <w:lang w:val="uk-UA"/>
        </w:rPr>
        <w:t>European Commodity Clearing / Європейський товарообмін</w:t>
      </w:r>
      <w:r w:rsidR="000F2B19">
        <w:rPr>
          <w:i/>
          <w:lang w:val="uk-UA"/>
        </w:rPr>
        <w:t xml:space="preserve"> (кліринг товарів)</w:t>
      </w:r>
    </w:p>
    <w:p w14:paraId="2E069C50" w14:textId="77777777" w:rsidR="005D70A9" w:rsidRPr="007E5633" w:rsidRDefault="005D70A9" w:rsidP="005D70A9">
      <w:pPr>
        <w:pStyle w:val="af4"/>
        <w:rPr>
          <w:sz w:val="22"/>
          <w:szCs w:val="22"/>
          <w:lang w:val="uk-UA"/>
        </w:rPr>
      </w:pPr>
      <w:r w:rsidRPr="007E5633">
        <w:rPr>
          <w:sz w:val="22"/>
          <w:szCs w:val="22"/>
          <w:lang w:val="uk-UA"/>
        </w:rPr>
        <w:t xml:space="preserve">У разі закінчення терміну дії </w:t>
      </w:r>
      <w:r w:rsidR="000F2B19">
        <w:rPr>
          <w:sz w:val="22"/>
          <w:szCs w:val="22"/>
          <w:lang w:val="uk-UA"/>
        </w:rPr>
        <w:t>товарного</w:t>
      </w:r>
      <w:r w:rsidRPr="007E5633">
        <w:rPr>
          <w:sz w:val="22"/>
          <w:szCs w:val="22"/>
          <w:lang w:val="uk-UA"/>
        </w:rPr>
        <w:t xml:space="preserve"> ф’ючерса, зобов'язання по доставці на оплату та прийняття виникають і приймаються ECC як центральним контрагентом для розрахунків.</w:t>
      </w:r>
    </w:p>
    <w:p w14:paraId="4EA76D06" w14:textId="77777777" w:rsidR="005D70A9" w:rsidRPr="007E5633" w:rsidRDefault="005D70A9" w:rsidP="005D70A9">
      <w:pPr>
        <w:pStyle w:val="af4"/>
        <w:rPr>
          <w:sz w:val="22"/>
          <w:szCs w:val="22"/>
          <w:lang w:val="uk-UA"/>
        </w:rPr>
      </w:pPr>
      <w:r w:rsidRPr="007E5633">
        <w:rPr>
          <w:sz w:val="22"/>
          <w:szCs w:val="22"/>
          <w:lang w:val="uk-UA"/>
        </w:rPr>
        <w:t xml:space="preserve">Як показано в таблиці, згідно з умовами клірингу ECC, учасники торгів визначаються як Non-Clearing Members (NCM). Немає прямих договірних відносин між ECC та </w:t>
      </w:r>
      <w:r w:rsidRPr="007E5633">
        <w:rPr>
          <w:sz w:val="22"/>
          <w:szCs w:val="22"/>
          <w:lang w:val="uk-UA"/>
        </w:rPr>
        <w:lastRenderedPageBreak/>
        <w:t>некліринговим членом (NCM-Trader), але є прямий зв'язок між ECC та Clearing Member (CM), тобто, як правило, банк виступає в ролі платіжного агента для NCM-Trader.</w:t>
      </w:r>
    </w:p>
    <w:p w14:paraId="080E4F5B" w14:textId="77777777" w:rsidR="005D70A9" w:rsidRPr="007E5633" w:rsidRDefault="005D70A9" w:rsidP="005D70A9">
      <w:pPr>
        <w:pStyle w:val="af4"/>
        <w:rPr>
          <w:sz w:val="22"/>
          <w:szCs w:val="22"/>
          <w:lang w:val="uk-UA"/>
        </w:rPr>
      </w:pPr>
      <w:r w:rsidRPr="007E5633">
        <w:rPr>
          <w:sz w:val="22"/>
          <w:szCs w:val="22"/>
          <w:lang w:val="uk-UA"/>
        </w:rPr>
        <w:t>У той момент, коли закінчується ф’ючерс, ECC призначає вимоги, якими ECC володіє щодо Клірингового члена (Банк неклірингового члена), до ECC. Виникають обов'язки щодо доставки та зобов'язання сплатити та прийняти доставку до ECC.</w:t>
      </w:r>
    </w:p>
    <w:p w14:paraId="2807172C" w14:textId="77777777" w:rsidR="005D70A9" w:rsidRPr="007E5633" w:rsidRDefault="005D70A9" w:rsidP="005D70A9">
      <w:pPr>
        <w:pStyle w:val="af4"/>
        <w:rPr>
          <w:sz w:val="22"/>
          <w:szCs w:val="22"/>
          <w:lang w:val="uk-UA"/>
        </w:rPr>
      </w:pPr>
      <w:r w:rsidRPr="007E5633">
        <w:rPr>
          <w:sz w:val="22"/>
          <w:szCs w:val="22"/>
          <w:lang w:val="uk-UA"/>
        </w:rPr>
        <w:t>У той же час, кліринговий учасник (Банк неклірингового члена) призначає вимоги, які банк має до ECC. Відповідні зобов'язання з доставки та зобов'язання платити та приймати доставку до Клірингового члена накопичуються в ECC.</w:t>
      </w:r>
    </w:p>
    <w:p w14:paraId="3310C6E8" w14:textId="77777777" w:rsidR="005D70A9" w:rsidRPr="007E5633" w:rsidRDefault="005D70A9" w:rsidP="005D70A9">
      <w:pPr>
        <w:pStyle w:val="af4"/>
        <w:rPr>
          <w:sz w:val="22"/>
          <w:szCs w:val="22"/>
          <w:lang w:val="uk-UA"/>
        </w:rPr>
      </w:pPr>
      <w:r w:rsidRPr="007E5633">
        <w:rPr>
          <w:sz w:val="22"/>
          <w:szCs w:val="22"/>
          <w:lang w:val="uk-UA"/>
        </w:rPr>
        <w:t>ECC приєднується до цих зобов'язань Клірингового члена до Неклірингового члена замість Кліри</w:t>
      </w:r>
      <w:r w:rsidR="00FE3786">
        <w:rPr>
          <w:sz w:val="22"/>
          <w:szCs w:val="22"/>
          <w:lang w:val="uk-UA"/>
        </w:rPr>
        <w:t>нгового члена. Результатом цієї</w:t>
      </w:r>
      <w:r w:rsidRPr="007E5633">
        <w:rPr>
          <w:sz w:val="22"/>
          <w:szCs w:val="22"/>
          <w:lang w:val="uk-UA"/>
        </w:rPr>
        <w:t xml:space="preserve"> контрактної домовленості є те, що NCM-Trader зобов'язаний безпосередньо до ECC доставити або прийняти доставку товару, на якому базується ф’ючерс.</w:t>
      </w:r>
    </w:p>
    <w:p w14:paraId="25AB768B" w14:textId="77777777" w:rsidR="005D70A9" w:rsidRPr="007E5633" w:rsidRDefault="005D70A9" w:rsidP="005D70A9">
      <w:pPr>
        <w:pStyle w:val="af4"/>
        <w:rPr>
          <w:sz w:val="22"/>
          <w:szCs w:val="22"/>
          <w:lang w:val="uk-UA"/>
        </w:rPr>
      </w:pPr>
      <w:r w:rsidRPr="007E5633">
        <w:rPr>
          <w:sz w:val="22"/>
          <w:szCs w:val="22"/>
          <w:lang w:val="uk-UA"/>
        </w:rPr>
        <w:t>ECC зобов'язаний до Клірингового члена (його банку) доставити та прийняти доставку зазначеного товару.</w:t>
      </w:r>
    </w:p>
    <w:p w14:paraId="3DEF782E" w14:textId="52A4EED1" w:rsidR="007E1660" w:rsidRPr="007E5633" w:rsidRDefault="005D70A9" w:rsidP="007136EA">
      <w:pPr>
        <w:pStyle w:val="af1"/>
        <w:jc w:val="left"/>
        <w:rPr>
          <w:rFonts w:cs="Arial"/>
          <w:sz w:val="22"/>
          <w:szCs w:val="22"/>
          <w:lang w:val="uk-UA"/>
        </w:rPr>
      </w:pPr>
      <w:bookmarkStart w:id="79" w:name="_Toc533094047"/>
      <w:r w:rsidRPr="007E5633">
        <w:rPr>
          <w:rFonts w:cs="Arial"/>
          <w:sz w:val="22"/>
          <w:szCs w:val="22"/>
          <w:lang w:val="uk-UA"/>
        </w:rPr>
        <w:t>Схема</w:t>
      </w:r>
      <w:r w:rsidR="007E1660" w:rsidRPr="007E5633">
        <w:rPr>
          <w:rFonts w:cs="Arial"/>
          <w:sz w:val="22"/>
          <w:szCs w:val="22"/>
          <w:lang w:val="uk-UA"/>
        </w:rPr>
        <w:t xml:space="preserve"> </w:t>
      </w:r>
      <w:r w:rsidR="00622EE2" w:rsidRPr="007E5633">
        <w:rPr>
          <w:rFonts w:cs="Arial"/>
          <w:sz w:val="22"/>
          <w:szCs w:val="22"/>
          <w:lang w:val="uk-UA"/>
        </w:rPr>
        <w:fldChar w:fldCharType="begin"/>
      </w:r>
      <w:r w:rsidR="007E1660"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20</w:t>
      </w:r>
      <w:r w:rsidR="00622EE2" w:rsidRPr="007E5633">
        <w:rPr>
          <w:rFonts w:cs="Arial"/>
          <w:sz w:val="22"/>
          <w:szCs w:val="22"/>
          <w:lang w:val="uk-UA"/>
        </w:rPr>
        <w:fldChar w:fldCharType="end"/>
      </w:r>
      <w:r w:rsidR="007E1660" w:rsidRPr="007E5633">
        <w:rPr>
          <w:rFonts w:cs="Arial"/>
          <w:sz w:val="22"/>
          <w:szCs w:val="22"/>
          <w:lang w:val="uk-UA"/>
        </w:rPr>
        <w:t xml:space="preserve">: </w:t>
      </w:r>
      <w:r w:rsidRPr="007E5633">
        <w:rPr>
          <w:rFonts w:cs="Arial"/>
          <w:sz w:val="22"/>
          <w:szCs w:val="22"/>
          <w:lang w:val="uk-UA"/>
        </w:rPr>
        <w:t>ECC зобов'язується доставити та прийняти</w:t>
      </w:r>
      <w:bookmarkEnd w:id="79"/>
    </w:p>
    <w:p w14:paraId="26E253B4" w14:textId="77777777" w:rsidR="00E4309C" w:rsidRPr="007E5633" w:rsidRDefault="00E4309C" w:rsidP="007E1660">
      <w:pPr>
        <w:pStyle w:val="1111GTP"/>
        <w:keepNext w:val="0"/>
        <w:keepLines w:val="0"/>
        <w:widowControl w:val="0"/>
        <w:numPr>
          <w:ilvl w:val="0"/>
          <w:numId w:val="0"/>
        </w:numPr>
        <w:spacing w:line="240" w:lineRule="auto"/>
        <w:ind w:left="648" w:hanging="648"/>
        <w:jc w:val="center"/>
        <w:rPr>
          <w:rFonts w:cs="Arial"/>
          <w:b w:val="0"/>
          <w:noProof w:val="0"/>
          <w:color w:val="auto"/>
          <w:lang w:val="uk-UA"/>
        </w:rPr>
      </w:pPr>
      <w:r w:rsidRPr="007E5633">
        <w:rPr>
          <w:rFonts w:cs="Arial"/>
          <w:b w:val="0"/>
          <w:color w:val="auto"/>
          <w:lang w:val="en-US"/>
        </w:rPr>
        <w:drawing>
          <wp:inline distT="0" distB="0" distL="0" distR="0" wp14:anchorId="62FFA1CF" wp14:editId="03EF6782">
            <wp:extent cx="5234855" cy="2656936"/>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5661" b="6666"/>
                    <a:stretch/>
                  </pic:blipFill>
                  <pic:spPr bwMode="auto">
                    <a:xfrm>
                      <a:off x="0" y="0"/>
                      <a:ext cx="5234855" cy="2656936"/>
                    </a:xfrm>
                    <a:prstGeom prst="rect">
                      <a:avLst/>
                    </a:prstGeom>
                    <a:noFill/>
                    <a:ln>
                      <a:noFill/>
                    </a:ln>
                    <a:extLst>
                      <a:ext uri="{53640926-AAD7-44D8-BBD7-CCE9431645EC}">
                        <a14:shadowObscured xmlns:a14="http://schemas.microsoft.com/office/drawing/2010/main"/>
                      </a:ext>
                    </a:extLst>
                  </pic:spPr>
                </pic:pic>
              </a:graphicData>
            </a:graphic>
          </wp:inline>
        </w:drawing>
      </w:r>
    </w:p>
    <w:p w14:paraId="53B1F5CF" w14:textId="77777777" w:rsidR="005D70A9" w:rsidRPr="007E5633" w:rsidRDefault="005D70A9" w:rsidP="005D70A9">
      <w:pPr>
        <w:pStyle w:val="af4"/>
        <w:rPr>
          <w:i/>
          <w:sz w:val="22"/>
          <w:szCs w:val="22"/>
          <w:lang w:val="uk-UA"/>
        </w:rPr>
      </w:pPr>
      <w:r w:rsidRPr="007E5633">
        <w:rPr>
          <w:i/>
          <w:sz w:val="22"/>
          <w:szCs w:val="22"/>
          <w:lang w:val="uk-UA"/>
        </w:rPr>
        <w:t xml:space="preserve">Джерело: </w:t>
      </w:r>
      <w:bookmarkStart w:id="80" w:name="_Toc526775022"/>
      <w:r w:rsidR="000322E5" w:rsidRPr="007E5633">
        <w:rPr>
          <w:i/>
          <w:sz w:val="22"/>
          <w:szCs w:val="22"/>
          <w:lang w:val="uk-UA"/>
        </w:rPr>
        <w:t>European Commodity Clearing / Європейський товарообмін</w:t>
      </w:r>
      <w:r w:rsidR="000F2B19">
        <w:rPr>
          <w:i/>
          <w:sz w:val="22"/>
          <w:szCs w:val="22"/>
          <w:lang w:val="uk-UA"/>
        </w:rPr>
        <w:t xml:space="preserve"> (кліринг товарів)</w:t>
      </w:r>
    </w:p>
    <w:p w14:paraId="6D2FE2BC" w14:textId="77777777" w:rsidR="005D70A9" w:rsidRPr="007E5633" w:rsidRDefault="005D70A9" w:rsidP="005D70A9">
      <w:pPr>
        <w:pStyle w:val="af4"/>
        <w:rPr>
          <w:i/>
          <w:sz w:val="22"/>
          <w:szCs w:val="22"/>
          <w:lang w:val="uk-UA"/>
        </w:rPr>
      </w:pPr>
      <w:r w:rsidRPr="007E5633">
        <w:rPr>
          <w:bCs/>
          <w:sz w:val="22"/>
          <w:szCs w:val="22"/>
          <w:lang w:val="uk-UA"/>
        </w:rPr>
        <w:t>ECC гарантує Учасникам торгів фізичне виконання цих операцій згідно з розділом 3.4.4 (1) умов клірингу ECC.</w:t>
      </w:r>
    </w:p>
    <w:p w14:paraId="611A2CA6" w14:textId="77777777" w:rsidR="005D70A9" w:rsidRPr="007E5633" w:rsidRDefault="005D70A9" w:rsidP="007A2C78">
      <w:pPr>
        <w:jc w:val="both"/>
        <w:rPr>
          <w:rFonts w:ascii="Arial" w:hAnsi="Arial" w:cs="Arial"/>
          <w:lang w:val="uk-UA"/>
        </w:rPr>
      </w:pPr>
      <w:r w:rsidRPr="007E5633">
        <w:rPr>
          <w:rFonts w:ascii="Arial" w:hAnsi="Arial" w:cs="Arial"/>
          <w:lang w:val="uk-UA"/>
        </w:rPr>
        <w:t>Платежі учаснику торгів (некредитному члену) гарантуються ECC, доки сплата не покладається на Клірингового члена, який виступає в ролі платіжного агента Неклірингового члена відповідно до розділу 3.4.3 (2) Клірингових умов.</w:t>
      </w:r>
    </w:p>
    <w:p w14:paraId="442FBAF0" w14:textId="77777777" w:rsidR="00E4309C" w:rsidRPr="007E5633" w:rsidRDefault="005D70A9" w:rsidP="000D248B">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81" w:name="_Toc533093926"/>
      <w:bookmarkEnd w:id="80"/>
      <w:r w:rsidRPr="007E5633">
        <w:rPr>
          <w:rFonts w:ascii="Arial" w:hAnsi="Arial" w:cs="Arial"/>
          <w:color w:val="auto"/>
          <w:sz w:val="22"/>
          <w:szCs w:val="22"/>
          <w:lang w:val="uk-UA"/>
        </w:rPr>
        <w:t>Оплата в енергетичній торгівлі</w:t>
      </w:r>
      <w:bookmarkEnd w:id="81"/>
    </w:p>
    <w:p w14:paraId="762372D5" w14:textId="77777777" w:rsidR="00E4309C" w:rsidRPr="007E5633" w:rsidRDefault="005D70A9" w:rsidP="00773EED">
      <w:pPr>
        <w:pStyle w:val="FSHeader1"/>
        <w:keepNext w:val="0"/>
        <w:pageBreakBefore w:val="0"/>
        <w:numPr>
          <w:ilvl w:val="3"/>
          <w:numId w:val="27"/>
        </w:numPr>
        <w:spacing w:before="120" w:after="120"/>
        <w:rPr>
          <w:rFonts w:ascii="Arial" w:hAnsi="Arial" w:cs="Arial"/>
          <w:color w:val="auto"/>
          <w:sz w:val="22"/>
          <w:szCs w:val="22"/>
          <w:lang w:val="uk-UA"/>
        </w:rPr>
      </w:pPr>
      <w:bookmarkStart w:id="82" w:name="_Toc533093927"/>
      <w:r w:rsidRPr="007E5633">
        <w:rPr>
          <w:rFonts w:ascii="Arial" w:hAnsi="Arial" w:cs="Arial"/>
          <w:color w:val="auto"/>
          <w:sz w:val="22"/>
          <w:szCs w:val="22"/>
          <w:lang w:val="uk-UA"/>
        </w:rPr>
        <w:t>Фізичні неклірингові</w:t>
      </w:r>
      <w:bookmarkEnd w:id="82"/>
    </w:p>
    <w:p w14:paraId="48F959ED" w14:textId="77777777" w:rsidR="005D70A9" w:rsidRPr="007E5633" w:rsidRDefault="005D70A9" w:rsidP="005D70A9">
      <w:pPr>
        <w:pStyle w:val="af4"/>
        <w:rPr>
          <w:sz w:val="22"/>
          <w:szCs w:val="22"/>
          <w:lang w:val="uk-UA"/>
        </w:rPr>
      </w:pPr>
      <w:r w:rsidRPr="007E5633">
        <w:rPr>
          <w:sz w:val="22"/>
          <w:szCs w:val="22"/>
          <w:lang w:val="uk-UA"/>
        </w:rPr>
        <w:t xml:space="preserve">У фізичній позабіржовій торгівлі </w:t>
      </w:r>
      <w:r w:rsidR="005F3F2A" w:rsidRPr="005F3F2A">
        <w:rPr>
          <w:sz w:val="22"/>
          <w:szCs w:val="22"/>
          <w:lang w:val="uk-UA"/>
        </w:rPr>
        <w:t xml:space="preserve">товарними контрактами </w:t>
      </w:r>
      <w:r w:rsidRPr="007E5633">
        <w:rPr>
          <w:sz w:val="22"/>
          <w:szCs w:val="22"/>
          <w:lang w:val="uk-UA"/>
        </w:rPr>
        <w:t xml:space="preserve">оплата здійснюється двосторонніми платежами згідно з практикою в </w:t>
      </w:r>
      <w:r w:rsidRPr="007E5633">
        <w:rPr>
          <w:b/>
          <w:sz w:val="22"/>
          <w:szCs w:val="22"/>
          <w:lang w:val="uk-UA"/>
        </w:rPr>
        <w:t>European utility calendar</w:t>
      </w:r>
      <w:r w:rsidRPr="007E5633">
        <w:rPr>
          <w:sz w:val="22"/>
          <w:szCs w:val="22"/>
          <w:lang w:val="uk-UA"/>
        </w:rPr>
        <w:t>. Він дозволяє вимірювання та наближення поставлених обсягів за допомогою TSO. TSO передає дані про кількість доставки трейдерам як користувачів мережі. Продавці, базуючись на даних, наданих TSO, дозволяють виставляти рахунки іншим сторонам, які не можуть перевірити суми, що надаються, в якості покупців.</w:t>
      </w:r>
    </w:p>
    <w:p w14:paraId="20FBBF61" w14:textId="77777777" w:rsidR="00E4309C" w:rsidRPr="007E5633" w:rsidRDefault="005D70A9" w:rsidP="00912D9A">
      <w:pPr>
        <w:pStyle w:val="FSHeader1"/>
        <w:keepNext w:val="0"/>
        <w:pageBreakBefore w:val="0"/>
        <w:numPr>
          <w:ilvl w:val="4"/>
          <w:numId w:val="27"/>
        </w:numPr>
        <w:spacing w:after="120"/>
        <w:rPr>
          <w:rFonts w:ascii="Arial" w:hAnsi="Arial" w:cs="Arial"/>
          <w:color w:val="auto"/>
          <w:sz w:val="22"/>
          <w:szCs w:val="22"/>
          <w:lang w:val="uk-UA"/>
        </w:rPr>
      </w:pPr>
      <w:bookmarkStart w:id="83" w:name="_Toc533093928"/>
      <w:r w:rsidRPr="007E5633">
        <w:rPr>
          <w:rFonts w:ascii="Arial" w:hAnsi="Arial" w:cs="Arial"/>
          <w:color w:val="auto"/>
          <w:sz w:val="22"/>
          <w:szCs w:val="22"/>
          <w:lang w:val="uk-UA"/>
        </w:rPr>
        <w:lastRenderedPageBreak/>
        <w:t>Оплата та розрахунки по позабіржових угодах, що пройшли кліринг, або по біржових угодах</w:t>
      </w:r>
      <w:bookmarkEnd w:id="83"/>
    </w:p>
    <w:p w14:paraId="74E99D63" w14:textId="77777777" w:rsidR="00E4309C" w:rsidRPr="007E5633" w:rsidRDefault="00E4309C" w:rsidP="00E4309C">
      <w:pPr>
        <w:pStyle w:val="1111GTP"/>
        <w:numPr>
          <w:ilvl w:val="0"/>
          <w:numId w:val="0"/>
        </w:numPr>
        <w:spacing w:line="240" w:lineRule="auto"/>
        <w:ind w:left="648" w:hanging="222"/>
        <w:rPr>
          <w:rFonts w:cs="Arial"/>
          <w:noProof w:val="0"/>
          <w:color w:val="auto"/>
          <w:lang w:val="uk-UA"/>
        </w:rPr>
      </w:pPr>
      <w:r w:rsidRPr="007E5633">
        <w:rPr>
          <w:rFonts w:cs="Arial"/>
          <w:noProof w:val="0"/>
          <w:color w:val="auto"/>
          <w:lang w:val="uk-UA"/>
        </w:rPr>
        <w:t xml:space="preserve">(i) </w:t>
      </w:r>
      <w:r w:rsidR="005D70A9" w:rsidRPr="007E5633">
        <w:rPr>
          <w:rFonts w:cs="Arial"/>
          <w:noProof w:val="0"/>
          <w:color w:val="auto"/>
          <w:lang w:val="uk-UA"/>
        </w:rPr>
        <w:t>Кліринг угод</w:t>
      </w:r>
    </w:p>
    <w:p w14:paraId="4147E529" w14:textId="77777777" w:rsidR="005D70A9" w:rsidRPr="007E5633" w:rsidRDefault="005D70A9" w:rsidP="005D70A9">
      <w:pPr>
        <w:pStyle w:val="af4"/>
        <w:rPr>
          <w:sz w:val="22"/>
          <w:szCs w:val="22"/>
          <w:lang w:val="uk-UA"/>
        </w:rPr>
      </w:pPr>
      <w:bookmarkStart w:id="84" w:name="_Toc428388848"/>
      <w:r w:rsidRPr="007E5633">
        <w:rPr>
          <w:sz w:val="22"/>
          <w:szCs w:val="22"/>
          <w:lang w:val="uk-UA"/>
        </w:rPr>
        <w:t>Процес клірингу є фундаментальною перевагою на форвардних і ф'ючерсних ринках. Задовго до того, як угода здійснюється через кліринговий дім, клірингові фірми перевіряють фінансову спроможність обох сторін по угоді, незалежно від того, є вони великою установою або індивідуальним торговцем. Вони також забезпечують доступ до торгових платформ, де покупець і продавець погоджуються на ціну, кількість та термін дії контракту. Тоді, коли контракт погашається шляхом узгодження цих позицій (одна купує, один продає) разом, кліринговий центр гарантує, що і покупці, і продавці отримають платежі. Цей процес компенсації або «взаємозаліку» ліквідує кредитний ризик контрагента.</w:t>
      </w:r>
    </w:p>
    <w:p w14:paraId="7E2F3C05" w14:textId="77777777" w:rsidR="005D70A9" w:rsidRPr="007E5633" w:rsidRDefault="005D70A9" w:rsidP="005D70A9">
      <w:pPr>
        <w:pStyle w:val="af4"/>
        <w:rPr>
          <w:sz w:val="22"/>
          <w:szCs w:val="22"/>
          <w:lang w:val="uk-UA"/>
        </w:rPr>
      </w:pPr>
      <w:r w:rsidRPr="007E5633">
        <w:rPr>
          <w:sz w:val="22"/>
          <w:szCs w:val="22"/>
          <w:lang w:val="uk-UA"/>
        </w:rPr>
        <w:t>Клірингові центри (CCP для Центрального контрагента) надають клірингові та розрахункові послуги для спотової та ф'ючерсної торгівлі на біржі. Вони діють як нейтральний контрагент між кожним покупцем і продавцем, забезпечуючи надійність та цілісність кожної угоди. Оригінальний договір покупця / продавця ділиться на два контракти, тобто для кожної сторони, що підписує договір, контрагент замінюється кліринговою установою (на законних підставах утворюється новий контракт).</w:t>
      </w:r>
    </w:p>
    <w:p w14:paraId="751E7BC2" w14:textId="55F80752" w:rsidR="00E4309C" w:rsidRPr="007E5633" w:rsidRDefault="005D70A9" w:rsidP="007136EA">
      <w:pPr>
        <w:pStyle w:val="af1"/>
        <w:jc w:val="left"/>
        <w:rPr>
          <w:rFonts w:cs="Arial"/>
          <w:sz w:val="22"/>
          <w:szCs w:val="22"/>
          <w:lang w:val="uk-UA"/>
        </w:rPr>
      </w:pPr>
      <w:bookmarkStart w:id="85" w:name="_Toc533094048"/>
      <w:r w:rsidRPr="007E5633">
        <w:rPr>
          <w:rFonts w:cs="Arial"/>
          <w:sz w:val="22"/>
          <w:szCs w:val="22"/>
          <w:lang w:val="uk-UA"/>
        </w:rPr>
        <w:t xml:space="preserve">Схема </w:t>
      </w:r>
      <w:r w:rsidR="00622EE2" w:rsidRPr="007E5633">
        <w:rPr>
          <w:rFonts w:cs="Arial"/>
          <w:sz w:val="22"/>
          <w:szCs w:val="22"/>
          <w:lang w:val="uk-UA"/>
        </w:rPr>
        <w:fldChar w:fldCharType="begin"/>
      </w:r>
      <w:r w:rsidR="007136EA"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21</w:t>
      </w:r>
      <w:r w:rsidR="00622EE2" w:rsidRPr="007E5633">
        <w:rPr>
          <w:rFonts w:cs="Arial"/>
          <w:sz w:val="22"/>
          <w:szCs w:val="22"/>
          <w:lang w:val="uk-UA"/>
        </w:rPr>
        <w:fldChar w:fldCharType="end"/>
      </w:r>
      <w:r w:rsidR="007136EA" w:rsidRPr="007E5633">
        <w:rPr>
          <w:rFonts w:cs="Arial"/>
          <w:sz w:val="22"/>
          <w:szCs w:val="22"/>
          <w:lang w:val="uk-UA"/>
        </w:rPr>
        <w:t xml:space="preserve">: </w:t>
      </w:r>
      <w:bookmarkEnd w:id="84"/>
      <w:r w:rsidRPr="007E5633">
        <w:rPr>
          <w:rFonts w:cs="Arial"/>
          <w:sz w:val="22"/>
          <w:szCs w:val="22"/>
          <w:lang w:val="uk-UA"/>
        </w:rPr>
        <w:t xml:space="preserve">Процес передачі прав за зобов’язаннями по контракту та </w:t>
      </w:r>
      <w:r w:rsidR="007E5633" w:rsidRPr="007E5633">
        <w:rPr>
          <w:rFonts w:cs="Arial"/>
          <w:sz w:val="22"/>
          <w:szCs w:val="22"/>
          <w:lang w:val="uk-UA"/>
        </w:rPr>
        <w:t>процесу</w:t>
      </w:r>
      <w:r w:rsidRPr="007E5633">
        <w:rPr>
          <w:rFonts w:cs="Arial"/>
          <w:sz w:val="22"/>
          <w:szCs w:val="22"/>
          <w:lang w:val="uk-UA"/>
        </w:rPr>
        <w:t xml:space="preserve"> розрахунків (неттінг)</w:t>
      </w:r>
      <w:bookmarkEnd w:id="85"/>
    </w:p>
    <w:p w14:paraId="2D7EA9B4" w14:textId="77777777" w:rsidR="00E4309C" w:rsidRPr="007E5633" w:rsidRDefault="00E4309C" w:rsidP="00E4309C">
      <w:pPr>
        <w:spacing w:line="240" w:lineRule="auto"/>
        <w:rPr>
          <w:rFonts w:ascii="Arial" w:hAnsi="Arial" w:cs="Arial"/>
          <w:lang w:val="uk-UA"/>
        </w:rPr>
      </w:pPr>
      <w:r w:rsidRPr="007E5633">
        <w:rPr>
          <w:rFonts w:ascii="Arial" w:hAnsi="Arial" w:cs="Arial"/>
          <w:noProof/>
          <w:lang w:val="en-US"/>
        </w:rPr>
        <w:drawing>
          <wp:inline distT="0" distB="0" distL="0" distR="0" wp14:anchorId="12628985" wp14:editId="69427BFF">
            <wp:extent cx="5514975" cy="15240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4975" cy="1524000"/>
                    </a:xfrm>
                    <a:prstGeom prst="rect">
                      <a:avLst/>
                    </a:prstGeom>
                    <a:noFill/>
                    <a:ln>
                      <a:noFill/>
                    </a:ln>
                  </pic:spPr>
                </pic:pic>
              </a:graphicData>
            </a:graphic>
          </wp:inline>
        </w:drawing>
      </w:r>
    </w:p>
    <w:p w14:paraId="6F412B57" w14:textId="77777777" w:rsidR="005D70A9" w:rsidRPr="007E5633" w:rsidRDefault="005D70A9" w:rsidP="005D70A9">
      <w:pPr>
        <w:pStyle w:val="af4"/>
        <w:rPr>
          <w:sz w:val="22"/>
          <w:szCs w:val="22"/>
          <w:lang w:val="uk-UA"/>
        </w:rPr>
      </w:pPr>
      <w:r w:rsidRPr="007E5633">
        <w:rPr>
          <w:sz w:val="22"/>
          <w:szCs w:val="22"/>
          <w:lang w:val="uk-UA"/>
        </w:rPr>
        <w:t>Операторами європейських клірингових центрів на енергетичних ринках Європи виступають такі компанії:</w:t>
      </w:r>
    </w:p>
    <w:p w14:paraId="3228975A" w14:textId="77777777" w:rsidR="005D70A9" w:rsidRPr="007E5633" w:rsidRDefault="005D70A9" w:rsidP="0042516F">
      <w:pPr>
        <w:pStyle w:val="BulletGTP0"/>
        <w:numPr>
          <w:ilvl w:val="0"/>
          <w:numId w:val="11"/>
        </w:numPr>
        <w:spacing w:line="240" w:lineRule="auto"/>
        <w:rPr>
          <w:rFonts w:cs="Arial"/>
          <w:noProof w:val="0"/>
          <w:sz w:val="22"/>
          <w:lang w:val="uk-UA" w:eastAsia="en-GB"/>
        </w:rPr>
      </w:pPr>
      <w:r w:rsidRPr="007E5633">
        <w:rPr>
          <w:rFonts w:cs="Arial"/>
          <w:noProof w:val="0"/>
          <w:sz w:val="22"/>
          <w:lang w:val="uk-UA" w:eastAsia="en-GB"/>
        </w:rPr>
        <w:t>European Commodity Clearing (ECC)</w:t>
      </w:r>
    </w:p>
    <w:p w14:paraId="5A431D27" w14:textId="77777777" w:rsidR="005D70A9" w:rsidRPr="007E5633" w:rsidRDefault="005D70A9" w:rsidP="0042516F">
      <w:pPr>
        <w:pStyle w:val="BulletGTP0"/>
        <w:numPr>
          <w:ilvl w:val="0"/>
          <w:numId w:val="11"/>
        </w:numPr>
        <w:spacing w:line="240" w:lineRule="auto"/>
        <w:rPr>
          <w:rFonts w:cs="Arial"/>
          <w:noProof w:val="0"/>
          <w:sz w:val="22"/>
          <w:lang w:val="uk-UA" w:eastAsia="en-GB"/>
        </w:rPr>
      </w:pPr>
      <w:r w:rsidRPr="007E5633">
        <w:rPr>
          <w:rFonts w:cs="Arial"/>
          <w:noProof w:val="0"/>
          <w:sz w:val="22"/>
          <w:lang w:val="uk-UA" w:eastAsia="en-GB"/>
        </w:rPr>
        <w:t>APX Endex Clearing</w:t>
      </w:r>
    </w:p>
    <w:p w14:paraId="5BC2499E" w14:textId="77777777" w:rsidR="005D70A9" w:rsidRPr="007E5633" w:rsidRDefault="005D70A9" w:rsidP="0042516F">
      <w:pPr>
        <w:pStyle w:val="BulletGTP0"/>
        <w:numPr>
          <w:ilvl w:val="0"/>
          <w:numId w:val="11"/>
        </w:numPr>
        <w:spacing w:line="240" w:lineRule="auto"/>
        <w:rPr>
          <w:rFonts w:cs="Arial"/>
          <w:noProof w:val="0"/>
          <w:sz w:val="22"/>
          <w:lang w:val="uk-UA" w:eastAsia="en-GB"/>
        </w:rPr>
      </w:pPr>
      <w:r w:rsidRPr="007E5633">
        <w:rPr>
          <w:rFonts w:cs="Arial"/>
          <w:noProof w:val="0"/>
          <w:sz w:val="22"/>
          <w:lang w:val="uk-UA" w:eastAsia="en-GB"/>
        </w:rPr>
        <w:t>NOS Clearing ASA</w:t>
      </w:r>
    </w:p>
    <w:p w14:paraId="478F142E" w14:textId="77777777" w:rsidR="005D70A9" w:rsidRPr="007E5633" w:rsidRDefault="005D70A9" w:rsidP="0042516F">
      <w:pPr>
        <w:pStyle w:val="BulletGTP0"/>
        <w:numPr>
          <w:ilvl w:val="0"/>
          <w:numId w:val="11"/>
        </w:numPr>
        <w:spacing w:line="240" w:lineRule="auto"/>
        <w:rPr>
          <w:rFonts w:cs="Arial"/>
          <w:noProof w:val="0"/>
          <w:sz w:val="22"/>
          <w:lang w:val="uk-UA"/>
        </w:rPr>
      </w:pPr>
      <w:r w:rsidRPr="007E5633">
        <w:rPr>
          <w:rFonts w:cs="Arial"/>
          <w:noProof w:val="0"/>
          <w:sz w:val="22"/>
          <w:lang w:val="uk-UA"/>
        </w:rPr>
        <w:t>MEFF Sociedad Rectora de Productos Financieros</w:t>
      </w:r>
    </w:p>
    <w:p w14:paraId="5706041F" w14:textId="77777777" w:rsidR="005D70A9" w:rsidRPr="007E5633" w:rsidRDefault="005D70A9" w:rsidP="0042516F">
      <w:pPr>
        <w:pStyle w:val="BulletGTP0"/>
        <w:numPr>
          <w:ilvl w:val="0"/>
          <w:numId w:val="11"/>
        </w:numPr>
        <w:spacing w:line="240" w:lineRule="auto"/>
        <w:rPr>
          <w:rFonts w:cs="Arial"/>
          <w:noProof w:val="0"/>
          <w:sz w:val="22"/>
          <w:lang w:val="uk-UA" w:eastAsia="en-GB"/>
        </w:rPr>
      </w:pPr>
      <w:r w:rsidRPr="007E5633">
        <w:rPr>
          <w:rFonts w:cs="Arial"/>
          <w:noProof w:val="0"/>
          <w:sz w:val="22"/>
          <w:lang w:val="uk-UA" w:eastAsia="en-GB"/>
        </w:rPr>
        <w:t>Derivados S.A Sociedad Unipersonal</w:t>
      </w:r>
    </w:p>
    <w:p w14:paraId="1CD90A2E" w14:textId="77777777" w:rsidR="005D70A9" w:rsidRPr="007E5633" w:rsidRDefault="005D70A9" w:rsidP="0042516F">
      <w:pPr>
        <w:pStyle w:val="BulletGTP0"/>
        <w:numPr>
          <w:ilvl w:val="0"/>
          <w:numId w:val="11"/>
        </w:numPr>
        <w:spacing w:line="240" w:lineRule="auto"/>
        <w:rPr>
          <w:rFonts w:cs="Arial"/>
          <w:noProof w:val="0"/>
          <w:sz w:val="22"/>
          <w:lang w:val="uk-UA" w:eastAsia="en-GB"/>
        </w:rPr>
      </w:pPr>
      <w:r w:rsidRPr="007E5633">
        <w:rPr>
          <w:rFonts w:cs="Arial"/>
          <w:noProof w:val="0"/>
          <w:sz w:val="22"/>
          <w:lang w:val="uk-UA" w:eastAsia="en-GB"/>
        </w:rPr>
        <w:t>LCH Clearnet</w:t>
      </w:r>
    </w:p>
    <w:p w14:paraId="4D685649" w14:textId="77777777" w:rsidR="005D70A9" w:rsidRPr="007E5633" w:rsidRDefault="005D70A9" w:rsidP="005D70A9">
      <w:pPr>
        <w:pStyle w:val="af4"/>
        <w:rPr>
          <w:sz w:val="22"/>
          <w:szCs w:val="22"/>
          <w:lang w:val="uk-UA"/>
        </w:rPr>
      </w:pPr>
      <w:r w:rsidRPr="007E5633">
        <w:rPr>
          <w:sz w:val="22"/>
          <w:szCs w:val="22"/>
          <w:lang w:val="uk-UA"/>
        </w:rPr>
        <w:t>Також існують деякі енергетичні біржі, які забезпечують безпосередній кліринг на спотовому ринку, наприклад, GME Italy, BSP Slovenia.</w:t>
      </w:r>
    </w:p>
    <w:p w14:paraId="36C3049D" w14:textId="77777777" w:rsidR="005D70A9" w:rsidRPr="007E5633" w:rsidRDefault="005D70A9" w:rsidP="005D70A9">
      <w:pPr>
        <w:pStyle w:val="af4"/>
        <w:rPr>
          <w:sz w:val="22"/>
          <w:szCs w:val="22"/>
          <w:lang w:val="uk-UA"/>
        </w:rPr>
      </w:pPr>
      <w:r w:rsidRPr="007E5633">
        <w:rPr>
          <w:sz w:val="22"/>
          <w:szCs w:val="22"/>
          <w:lang w:val="uk-UA"/>
        </w:rPr>
        <w:t>Клірингові послуги доступні як для місцевих, так і для ф'ючерсних ринків:</w:t>
      </w:r>
    </w:p>
    <w:p w14:paraId="7294C98F" w14:textId="77777777" w:rsidR="005D70A9" w:rsidRPr="007E5633" w:rsidRDefault="005D70A9" w:rsidP="000D248B">
      <w:pPr>
        <w:pStyle w:val="af4"/>
        <w:numPr>
          <w:ilvl w:val="0"/>
          <w:numId w:val="52"/>
        </w:numPr>
        <w:rPr>
          <w:sz w:val="22"/>
          <w:szCs w:val="22"/>
          <w:lang w:val="uk-UA"/>
        </w:rPr>
      </w:pPr>
      <w:r w:rsidRPr="007E5633">
        <w:rPr>
          <w:sz w:val="22"/>
          <w:szCs w:val="22"/>
          <w:lang w:val="uk-UA"/>
        </w:rPr>
        <w:t>Спотовий кліринг (наприклад, система ECC)</w:t>
      </w:r>
    </w:p>
    <w:p w14:paraId="51055A93" w14:textId="77777777" w:rsidR="005D70A9" w:rsidRPr="007E5633" w:rsidRDefault="005D70A9" w:rsidP="000D248B">
      <w:pPr>
        <w:pStyle w:val="af4"/>
        <w:numPr>
          <w:ilvl w:val="0"/>
          <w:numId w:val="52"/>
        </w:numPr>
        <w:rPr>
          <w:sz w:val="22"/>
          <w:szCs w:val="22"/>
          <w:lang w:val="uk-UA"/>
        </w:rPr>
      </w:pPr>
      <w:r w:rsidRPr="007E5633">
        <w:rPr>
          <w:sz w:val="22"/>
          <w:szCs w:val="22"/>
          <w:lang w:val="uk-UA"/>
        </w:rPr>
        <w:t>Кліринг ринку ф'ючерсів (процесом margining)</w:t>
      </w:r>
    </w:p>
    <w:p w14:paraId="55709B55" w14:textId="77777777" w:rsidR="00E4309C" w:rsidRPr="007E5633" w:rsidRDefault="00E4309C" w:rsidP="00E4309C">
      <w:pPr>
        <w:pStyle w:val="1111GTP"/>
        <w:numPr>
          <w:ilvl w:val="0"/>
          <w:numId w:val="0"/>
        </w:numPr>
        <w:spacing w:line="240" w:lineRule="auto"/>
        <w:ind w:left="426"/>
        <w:rPr>
          <w:rFonts w:cs="Arial"/>
          <w:noProof w:val="0"/>
          <w:color w:val="auto"/>
          <w:lang w:val="uk-UA"/>
        </w:rPr>
      </w:pPr>
      <w:r w:rsidRPr="007E5633">
        <w:rPr>
          <w:rFonts w:cs="Arial"/>
          <w:noProof w:val="0"/>
          <w:color w:val="auto"/>
          <w:lang w:val="uk-UA"/>
        </w:rPr>
        <w:lastRenderedPageBreak/>
        <w:t xml:space="preserve">(ii) </w:t>
      </w:r>
      <w:r w:rsidR="005D70A9" w:rsidRPr="007E5633">
        <w:rPr>
          <w:rFonts w:cs="Arial"/>
          <w:noProof w:val="0"/>
          <w:color w:val="auto"/>
          <w:lang w:val="uk-UA"/>
        </w:rPr>
        <w:t xml:space="preserve">ECC - European Commodity Clearing </w:t>
      </w:r>
      <w:r w:rsidR="000F2B19">
        <w:rPr>
          <w:rFonts w:cs="Arial"/>
          <w:noProof w:val="0"/>
          <w:color w:val="auto"/>
          <w:lang w:val="uk-UA"/>
        </w:rPr>
        <w:t>(європейський кліринг товарів)</w:t>
      </w:r>
    </w:p>
    <w:p w14:paraId="5C03F53A" w14:textId="77777777" w:rsidR="005D70A9" w:rsidRPr="007E5633" w:rsidRDefault="005D70A9" w:rsidP="005D70A9">
      <w:pPr>
        <w:pStyle w:val="BulletGTP0"/>
        <w:spacing w:line="240" w:lineRule="auto"/>
        <w:rPr>
          <w:rFonts w:cs="Arial"/>
          <w:noProof w:val="0"/>
          <w:sz w:val="22"/>
          <w:lang w:val="uk-UA"/>
        </w:rPr>
      </w:pPr>
      <w:r w:rsidRPr="007E5633">
        <w:rPr>
          <w:rFonts w:cs="Arial"/>
          <w:noProof w:val="0"/>
          <w:sz w:val="22"/>
          <w:lang w:val="uk-UA"/>
        </w:rPr>
        <w:t>ECC надає клірингові та розрахункові послуги для декількох партнерських бірж по всій Європі (електроенергія та газ). ECC підтримує стандартизовані інтерфейси та процедури для підключення своїх партнерів. ECC виступає в якості клірингового центру для наступних газових бірж:</w:t>
      </w:r>
    </w:p>
    <w:p w14:paraId="1EE39ABF" w14:textId="77777777" w:rsidR="005D70A9" w:rsidRPr="007E5633" w:rsidRDefault="005D70A9" w:rsidP="005D70A9">
      <w:pPr>
        <w:pStyle w:val="BulletGTP0"/>
        <w:spacing w:line="240" w:lineRule="auto"/>
        <w:rPr>
          <w:rFonts w:cs="Arial"/>
          <w:noProof w:val="0"/>
          <w:sz w:val="22"/>
          <w:lang w:val="uk-UA"/>
        </w:rPr>
      </w:pPr>
      <w:r w:rsidRPr="007E5633">
        <w:rPr>
          <w:rFonts w:cs="Arial"/>
          <w:noProof w:val="0"/>
          <w:sz w:val="22"/>
          <w:lang w:val="uk-UA"/>
        </w:rPr>
        <w:t>•</w:t>
      </w:r>
      <w:r w:rsidRPr="007E5633">
        <w:rPr>
          <w:rFonts w:cs="Arial"/>
          <w:noProof w:val="0"/>
          <w:sz w:val="22"/>
          <w:lang w:val="uk-UA"/>
        </w:rPr>
        <w:tab/>
        <w:t>CEGH, EEX, EPEX SPOT, Gaspoint Nordic, HUPX, Powernext; PXE</w:t>
      </w:r>
    </w:p>
    <w:p w14:paraId="1CB461B6" w14:textId="77777777" w:rsidR="005D70A9" w:rsidRPr="007E5633" w:rsidRDefault="005D70A9" w:rsidP="005D70A9">
      <w:pPr>
        <w:pStyle w:val="BulletGTP0"/>
        <w:spacing w:line="240" w:lineRule="auto"/>
        <w:rPr>
          <w:rFonts w:cs="Arial"/>
          <w:noProof w:val="0"/>
          <w:sz w:val="22"/>
          <w:lang w:val="uk-UA"/>
        </w:rPr>
      </w:pPr>
      <w:r w:rsidRPr="007E5633">
        <w:rPr>
          <w:rFonts w:cs="Arial"/>
          <w:noProof w:val="0"/>
          <w:sz w:val="22"/>
          <w:lang w:val="uk-UA"/>
        </w:rPr>
        <w:t>На ринку, де є кліринг, платежі здійснюються за допомогою клірингових банків (клірингових членів-CM), платіжних агентів та центрального клірингового контрагента як розрахункового будинку. Платіж на біржах проходить готівкою або заставою, що залежить від вибору учасників ринку (NCM).</w:t>
      </w:r>
    </w:p>
    <w:p w14:paraId="4F15522A" w14:textId="77777777" w:rsidR="00E4309C" w:rsidRPr="007E5633" w:rsidRDefault="005D70A9" w:rsidP="00E4309C">
      <w:pPr>
        <w:pStyle w:val="BulletGTP0"/>
        <w:spacing w:line="240" w:lineRule="auto"/>
        <w:rPr>
          <w:rFonts w:cs="Arial"/>
          <w:noProof w:val="0"/>
          <w:sz w:val="22"/>
          <w:lang w:val="uk-UA"/>
        </w:rPr>
      </w:pPr>
      <w:r w:rsidRPr="007E5633">
        <w:rPr>
          <w:rFonts w:cs="Arial"/>
          <w:noProof w:val="0"/>
          <w:sz w:val="22"/>
          <w:lang w:val="uk-UA"/>
        </w:rPr>
        <w:t>Грошові кошти проходять через заставу готівкою або заставою, як показано нижче. Деталі надаються в умовах ЄКС, що проходять через заставу, резерву на касовій заставі, рахунки агента та розрахункові рахунки.</w:t>
      </w:r>
    </w:p>
    <w:p w14:paraId="7FFE074C" w14:textId="7CD412DD" w:rsidR="007136EA" w:rsidRPr="007E5633" w:rsidRDefault="005D70A9" w:rsidP="007136EA">
      <w:pPr>
        <w:pStyle w:val="af1"/>
        <w:jc w:val="left"/>
        <w:rPr>
          <w:rFonts w:cs="Arial"/>
          <w:sz w:val="22"/>
          <w:szCs w:val="22"/>
          <w:lang w:val="uk-UA"/>
        </w:rPr>
      </w:pPr>
      <w:bookmarkStart w:id="86" w:name="_Toc533094049"/>
      <w:r w:rsidRPr="007E5633">
        <w:rPr>
          <w:rFonts w:cs="Arial"/>
          <w:sz w:val="22"/>
          <w:szCs w:val="22"/>
          <w:lang w:val="uk-UA"/>
        </w:rPr>
        <w:t>Схема</w:t>
      </w:r>
      <w:r w:rsidR="007136EA" w:rsidRPr="007E5633">
        <w:rPr>
          <w:rFonts w:cs="Arial"/>
          <w:sz w:val="22"/>
          <w:szCs w:val="22"/>
          <w:lang w:val="uk-UA"/>
        </w:rPr>
        <w:t xml:space="preserve"> </w:t>
      </w:r>
      <w:r w:rsidR="00622EE2" w:rsidRPr="007E5633">
        <w:rPr>
          <w:rFonts w:cs="Arial"/>
          <w:sz w:val="22"/>
          <w:szCs w:val="22"/>
          <w:lang w:val="uk-UA"/>
        </w:rPr>
        <w:fldChar w:fldCharType="begin"/>
      </w:r>
      <w:r w:rsidR="007136EA"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22</w:t>
      </w:r>
      <w:r w:rsidR="00622EE2" w:rsidRPr="007E5633">
        <w:rPr>
          <w:rFonts w:cs="Arial"/>
          <w:sz w:val="22"/>
          <w:szCs w:val="22"/>
          <w:lang w:val="uk-UA"/>
        </w:rPr>
        <w:fldChar w:fldCharType="end"/>
      </w:r>
      <w:r w:rsidR="007136EA" w:rsidRPr="007E5633">
        <w:rPr>
          <w:rFonts w:cs="Arial"/>
          <w:sz w:val="22"/>
          <w:szCs w:val="22"/>
          <w:lang w:val="uk-UA"/>
        </w:rPr>
        <w:t xml:space="preserve">: </w:t>
      </w:r>
      <w:r w:rsidRPr="007E5633">
        <w:rPr>
          <w:rFonts w:cs="Arial"/>
          <w:sz w:val="22"/>
          <w:szCs w:val="22"/>
          <w:lang w:val="uk-UA"/>
        </w:rPr>
        <w:t>Умови ECC передачі застави - Огляд</w:t>
      </w:r>
      <w:bookmarkEnd w:id="86"/>
    </w:p>
    <w:p w14:paraId="4F6AD9FB" w14:textId="77777777" w:rsidR="00E4309C" w:rsidRPr="007E5633" w:rsidRDefault="00E4309C" w:rsidP="003F0114">
      <w:pPr>
        <w:pStyle w:val="BulletGTP0"/>
        <w:spacing w:line="240" w:lineRule="auto"/>
        <w:ind w:left="360"/>
        <w:jc w:val="center"/>
        <w:rPr>
          <w:rFonts w:cs="Arial"/>
          <w:noProof w:val="0"/>
          <w:sz w:val="22"/>
          <w:lang w:val="uk-UA"/>
        </w:rPr>
      </w:pPr>
      <w:r w:rsidRPr="007E5633">
        <w:rPr>
          <w:rFonts w:cs="Arial"/>
          <w:b/>
          <w:sz w:val="22"/>
          <w:lang w:val="en-US"/>
        </w:rPr>
        <w:drawing>
          <wp:inline distT="0" distB="0" distL="0" distR="0" wp14:anchorId="369BC6D2" wp14:editId="11273052">
            <wp:extent cx="4977364" cy="2320506"/>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814" b="7497"/>
                    <a:stretch/>
                  </pic:blipFill>
                  <pic:spPr bwMode="auto">
                    <a:xfrm>
                      <a:off x="0" y="0"/>
                      <a:ext cx="5001444" cy="2331733"/>
                    </a:xfrm>
                    <a:prstGeom prst="rect">
                      <a:avLst/>
                    </a:prstGeom>
                    <a:noFill/>
                    <a:ln>
                      <a:noFill/>
                    </a:ln>
                    <a:extLst>
                      <a:ext uri="{53640926-AAD7-44D8-BBD7-CCE9431645EC}">
                        <a14:shadowObscured xmlns:a14="http://schemas.microsoft.com/office/drawing/2010/main"/>
                      </a:ext>
                    </a:extLst>
                  </pic:spPr>
                </pic:pic>
              </a:graphicData>
            </a:graphic>
          </wp:inline>
        </w:drawing>
      </w:r>
    </w:p>
    <w:p w14:paraId="51395743" w14:textId="77777777" w:rsidR="007136EA" w:rsidRPr="007E5633" w:rsidRDefault="00D80663" w:rsidP="007136EA">
      <w:pPr>
        <w:pStyle w:val="1111GTP"/>
        <w:keepNext w:val="0"/>
        <w:keepLines w:val="0"/>
        <w:widowControl w:val="0"/>
        <w:numPr>
          <w:ilvl w:val="0"/>
          <w:numId w:val="0"/>
        </w:numPr>
        <w:spacing w:line="240" w:lineRule="auto"/>
        <w:jc w:val="both"/>
        <w:rPr>
          <w:rFonts w:cs="Arial"/>
          <w:b w:val="0"/>
          <w:i/>
          <w:noProof w:val="0"/>
          <w:color w:val="auto"/>
          <w:lang w:val="uk-UA"/>
        </w:rPr>
      </w:pPr>
      <w:r w:rsidRPr="007E5633">
        <w:rPr>
          <w:rFonts w:cs="Arial"/>
          <w:b w:val="0"/>
          <w:i/>
          <w:noProof w:val="0"/>
          <w:color w:val="auto"/>
          <w:lang w:val="uk-UA"/>
        </w:rPr>
        <w:t xml:space="preserve">Джерело: </w:t>
      </w:r>
      <w:r w:rsidR="000322E5" w:rsidRPr="007E5633">
        <w:rPr>
          <w:rFonts w:cs="Arial"/>
          <w:b w:val="0"/>
          <w:i/>
          <w:noProof w:val="0"/>
          <w:color w:val="auto"/>
          <w:lang w:val="uk-UA"/>
        </w:rPr>
        <w:t>European Commodity Clearing / Європейський товарообмін</w:t>
      </w:r>
      <w:r w:rsidR="000F2B19">
        <w:rPr>
          <w:rFonts w:cs="Arial"/>
          <w:b w:val="0"/>
          <w:i/>
          <w:noProof w:val="0"/>
          <w:color w:val="auto"/>
          <w:lang w:val="uk-UA"/>
        </w:rPr>
        <w:t xml:space="preserve"> (кліринг товарів)</w:t>
      </w:r>
    </w:p>
    <w:p w14:paraId="1FD58074" w14:textId="3469B6CA" w:rsidR="00E4309C" w:rsidRPr="007E5633" w:rsidRDefault="00D80663" w:rsidP="007136EA">
      <w:pPr>
        <w:pStyle w:val="af1"/>
        <w:jc w:val="left"/>
        <w:rPr>
          <w:rFonts w:cs="Arial"/>
          <w:sz w:val="22"/>
          <w:szCs w:val="22"/>
          <w:lang w:val="uk-UA"/>
        </w:rPr>
      </w:pPr>
      <w:bookmarkStart w:id="87" w:name="_Toc533094050"/>
      <w:r w:rsidRPr="007E5633">
        <w:rPr>
          <w:rFonts w:cs="Arial"/>
          <w:sz w:val="22"/>
          <w:szCs w:val="22"/>
          <w:lang w:val="uk-UA"/>
        </w:rPr>
        <w:t>Схема</w:t>
      </w:r>
      <w:r w:rsidR="007136EA" w:rsidRPr="007E5633">
        <w:rPr>
          <w:rFonts w:cs="Arial"/>
          <w:sz w:val="22"/>
          <w:szCs w:val="22"/>
          <w:lang w:val="uk-UA"/>
        </w:rPr>
        <w:t xml:space="preserve"> </w:t>
      </w:r>
      <w:r w:rsidR="00622EE2" w:rsidRPr="007E5633">
        <w:rPr>
          <w:rFonts w:cs="Arial"/>
          <w:sz w:val="22"/>
          <w:szCs w:val="22"/>
          <w:lang w:val="uk-UA"/>
        </w:rPr>
        <w:fldChar w:fldCharType="begin"/>
      </w:r>
      <w:r w:rsidR="007136EA"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23</w:t>
      </w:r>
      <w:r w:rsidR="00622EE2" w:rsidRPr="007E5633">
        <w:rPr>
          <w:rFonts w:cs="Arial"/>
          <w:sz w:val="22"/>
          <w:szCs w:val="22"/>
          <w:lang w:val="uk-UA"/>
        </w:rPr>
        <w:fldChar w:fldCharType="end"/>
      </w:r>
      <w:r w:rsidR="007136EA" w:rsidRPr="007E5633">
        <w:rPr>
          <w:rFonts w:cs="Arial"/>
          <w:sz w:val="22"/>
          <w:szCs w:val="22"/>
          <w:lang w:val="uk-UA"/>
        </w:rPr>
        <w:t xml:space="preserve">: </w:t>
      </w:r>
      <w:r w:rsidRPr="007E5633">
        <w:rPr>
          <w:rFonts w:cs="Arial"/>
          <w:sz w:val="22"/>
          <w:szCs w:val="22"/>
          <w:lang w:val="uk-UA"/>
        </w:rPr>
        <w:t>Умови ECC передачі застави - Детальний процес</w:t>
      </w:r>
      <w:bookmarkEnd w:id="87"/>
    </w:p>
    <w:p w14:paraId="5CADB72F" w14:textId="77777777" w:rsidR="007136EA" w:rsidRPr="007E5633" w:rsidRDefault="007136EA" w:rsidP="007136EA">
      <w:pPr>
        <w:rPr>
          <w:rFonts w:ascii="Arial" w:hAnsi="Arial" w:cs="Arial"/>
          <w:lang w:val="uk-UA"/>
        </w:rPr>
      </w:pPr>
      <w:r w:rsidRPr="007E5633">
        <w:rPr>
          <w:rFonts w:ascii="Arial" w:hAnsi="Arial" w:cs="Arial"/>
          <w:b/>
          <w:noProof/>
          <w:lang w:val="en-US"/>
        </w:rPr>
        <w:drawing>
          <wp:inline distT="0" distB="0" distL="0" distR="0" wp14:anchorId="27757EF3" wp14:editId="6193FCDA">
            <wp:extent cx="5469323" cy="22169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793" b="18460"/>
                    <a:stretch/>
                  </pic:blipFill>
                  <pic:spPr bwMode="auto">
                    <a:xfrm>
                      <a:off x="0" y="0"/>
                      <a:ext cx="5475541" cy="2219509"/>
                    </a:xfrm>
                    <a:prstGeom prst="rect">
                      <a:avLst/>
                    </a:prstGeom>
                    <a:noFill/>
                    <a:ln>
                      <a:noFill/>
                    </a:ln>
                    <a:extLst>
                      <a:ext uri="{53640926-AAD7-44D8-BBD7-CCE9431645EC}">
                        <a14:shadowObscured xmlns:a14="http://schemas.microsoft.com/office/drawing/2010/main"/>
                      </a:ext>
                    </a:extLst>
                  </pic:spPr>
                </pic:pic>
              </a:graphicData>
            </a:graphic>
          </wp:inline>
        </w:drawing>
      </w:r>
    </w:p>
    <w:p w14:paraId="0F596623" w14:textId="77777777" w:rsidR="00D80663" w:rsidRPr="007E5633" w:rsidRDefault="00D80663" w:rsidP="00D80663">
      <w:pPr>
        <w:pStyle w:val="af4"/>
        <w:rPr>
          <w:i/>
          <w:sz w:val="22"/>
          <w:szCs w:val="22"/>
          <w:lang w:val="uk-UA"/>
        </w:rPr>
      </w:pPr>
      <w:r w:rsidRPr="007E5633">
        <w:rPr>
          <w:i/>
          <w:sz w:val="22"/>
          <w:szCs w:val="22"/>
          <w:lang w:val="uk-UA"/>
        </w:rPr>
        <w:t xml:space="preserve">Джерело: </w:t>
      </w:r>
      <w:r w:rsidR="000322E5" w:rsidRPr="007E5633">
        <w:rPr>
          <w:i/>
          <w:sz w:val="22"/>
          <w:szCs w:val="22"/>
          <w:lang w:val="uk-UA"/>
        </w:rPr>
        <w:t>European Commodity Clearing / Європейський товарообмін</w:t>
      </w:r>
      <w:r w:rsidR="000F2B19">
        <w:rPr>
          <w:i/>
          <w:sz w:val="22"/>
          <w:szCs w:val="22"/>
          <w:lang w:val="uk-UA"/>
        </w:rPr>
        <w:t xml:space="preserve"> (кліринг товарів)</w:t>
      </w:r>
    </w:p>
    <w:p w14:paraId="73AFFAF1" w14:textId="77777777" w:rsidR="00E4309C" w:rsidRPr="007E5633" w:rsidRDefault="00E4309C" w:rsidP="00D80663">
      <w:pPr>
        <w:pStyle w:val="subtitleGTP"/>
        <w:spacing w:line="240" w:lineRule="auto"/>
        <w:ind w:left="426"/>
        <w:rPr>
          <w:noProof w:val="0"/>
          <w:color w:val="auto"/>
          <w:sz w:val="22"/>
          <w:szCs w:val="22"/>
          <w:lang w:val="uk-UA"/>
        </w:rPr>
      </w:pPr>
      <w:r w:rsidRPr="007E5633">
        <w:rPr>
          <w:noProof w:val="0"/>
          <w:color w:val="auto"/>
          <w:sz w:val="22"/>
          <w:szCs w:val="22"/>
          <w:lang w:val="uk-UA"/>
        </w:rPr>
        <w:t xml:space="preserve">(iii) </w:t>
      </w:r>
      <w:r w:rsidR="00D80663" w:rsidRPr="007E5633">
        <w:rPr>
          <w:noProof w:val="0"/>
          <w:color w:val="auto"/>
          <w:sz w:val="22"/>
          <w:szCs w:val="22"/>
          <w:lang w:val="uk-UA"/>
        </w:rPr>
        <w:t>Процес клірингу оплати</w:t>
      </w:r>
    </w:p>
    <w:p w14:paraId="413AF287"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Процес розрахунку ECC можна описати таким чином:</w:t>
      </w:r>
    </w:p>
    <w:p w14:paraId="0D76EC01"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lastRenderedPageBreak/>
        <w:t>Усі операції, що укладаються на спотових ринках EEX Partner Exchanges, імпортуються в систему клірингу ECC в SMSS негайно після здійснення торгів за допомогою існуючого ідентифікатора члена ECC (наприклад, ABCEX).</w:t>
      </w:r>
    </w:p>
    <w:p w14:paraId="2648965E"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Незважаючи на те, що система клірингу ECC називається SMSS ("Spot Market Clearing System"), обидва спотові та ф’ючерсні операції фактично проходять кліринг. Спотові торги на газ, електроенергію та сертифікати CO2 виконуються за системою ComServe (Deutsche Börse Group), тоді як ф’ючерсна торгівля здійснюється на M7, яку експлуатує Eurex (Deutsche Börse Group).</w:t>
      </w:r>
    </w:p>
    <w:p w14:paraId="49BD49DF"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Клірингова система опрацьовує Інструкції щодо розрахунків для періодів поставки до одного дня (календарний день для електроенергії, газовий день для газу). Тобто, коли години або дні торгуються в спотовому сегменті, вони йдуть в процес розрахунку як 1:1. У випадку ф’ючерсних торгів, торговельні файли надаються системою торгівлі ф’ючерсами на t + 1. Системи клірингу розбивають їх до щоденних поставок на прийом, виходячи з визначення календаря продукту. Наприклад, ф’ючерсна торгівля з фізичною доставкою, яка торгується 11 серпня з доставкою за грудень, розбита на 31 окрему Інструкцію щодо розрахунків. Кожного разу, коли торги скасовуються або оновлюються, відповідні Інструкції щодо розрахунків оновлюються відповідно.</w:t>
      </w:r>
    </w:p>
    <w:p w14:paraId="7DC7D2EA"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З точки зору маржиналізації, розрахунок маржі здійснюється за допомогою інструмента під назвою SPAN. SPAN використовується кількома кліринговими будинками. Програмне забезпечення використовує набір параметрів, який охоплює:</w:t>
      </w:r>
    </w:p>
    <w:p w14:paraId="75F35237"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Календарі товарів (наприклад, "P001DEC15" означає доставку газу до пункту доставки 001 з 01 грудня, з 06:00 до 01 січня, 06:00).</w:t>
      </w:r>
    </w:p>
    <w:p w14:paraId="12A607E3"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 xml:space="preserve">Файли параметрів ризику (залежно від часу до розрахунку, волатильності цін на </w:t>
      </w:r>
      <w:r w:rsidR="005F3F2A" w:rsidRPr="005F3F2A">
        <w:rPr>
          <w:rFonts w:cs="Arial"/>
          <w:noProof w:val="0"/>
          <w:sz w:val="22"/>
          <w:lang w:val="uk-UA"/>
        </w:rPr>
        <w:t>товарн</w:t>
      </w:r>
      <w:r w:rsidR="005F3F2A">
        <w:rPr>
          <w:rFonts w:cs="Arial"/>
          <w:noProof w:val="0"/>
          <w:sz w:val="22"/>
          <w:lang w:val="uk-UA"/>
        </w:rPr>
        <w:t>і</w:t>
      </w:r>
      <w:r w:rsidR="005F3F2A" w:rsidRPr="005F3F2A">
        <w:rPr>
          <w:rFonts w:cs="Arial"/>
          <w:noProof w:val="0"/>
          <w:sz w:val="22"/>
          <w:lang w:val="uk-UA"/>
        </w:rPr>
        <w:t xml:space="preserve"> контракти </w:t>
      </w:r>
      <w:r w:rsidRPr="007E5633">
        <w:rPr>
          <w:rFonts w:cs="Arial"/>
          <w:noProof w:val="0"/>
          <w:sz w:val="22"/>
          <w:lang w:val="uk-UA"/>
        </w:rPr>
        <w:t>т</w:t>
      </w:r>
      <w:r w:rsidR="005F3F2A">
        <w:rPr>
          <w:rFonts w:cs="Arial"/>
          <w:noProof w:val="0"/>
          <w:sz w:val="22"/>
          <w:lang w:val="uk-UA"/>
        </w:rPr>
        <w:t>ощо</w:t>
      </w:r>
      <w:r w:rsidRPr="007E5633">
        <w:rPr>
          <w:rFonts w:cs="Arial"/>
          <w:noProof w:val="0"/>
          <w:sz w:val="22"/>
          <w:lang w:val="uk-UA"/>
        </w:rPr>
        <w:t>)</w:t>
      </w:r>
      <w:r w:rsidR="005F3F2A">
        <w:rPr>
          <w:rFonts w:cs="Arial"/>
          <w:noProof w:val="0"/>
          <w:sz w:val="22"/>
          <w:lang w:val="uk-UA"/>
        </w:rPr>
        <w:t>.</w:t>
      </w:r>
    </w:p>
    <w:p w14:paraId="06894558"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Параметри експлуатації (наприклад, частота пробігів)</w:t>
      </w:r>
      <w:r w:rsidR="005F3F2A">
        <w:rPr>
          <w:rFonts w:cs="Arial"/>
          <w:noProof w:val="0"/>
          <w:sz w:val="22"/>
          <w:lang w:val="uk-UA"/>
        </w:rPr>
        <w:t>.</w:t>
      </w:r>
    </w:p>
    <w:p w14:paraId="5B35E515"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На заданій частоті, SPAN подаються усі Інструкції щодо розрахунків бази даних SMSS для розрахунку маржі варіації для учасників ринку. Усі платежі здійснюються у фіксовані часові платіжні проміжки та відповідно до платіжного календаря залежно від відповідної валюти:</w:t>
      </w:r>
    </w:p>
    <w:p w14:paraId="3DA24599"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Платежі в євро обробляються приблизно о 8 ранку CET до початку відкриття ринку у робочі дні TARGET2.</w:t>
      </w:r>
    </w:p>
    <w:p w14:paraId="1554D8CC"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Платежі овернайт в доларах США та GBP обробляються у встановлені часові проміжки по всіх валютних операційних днях, що вводяться в системи клірингу. Усі торги, укладені на спотових ринках партнерських бірж, імпортуються в SMSS після торгів.</w:t>
      </w:r>
    </w:p>
    <w:p w14:paraId="730DD842" w14:textId="77777777" w:rsidR="00277EBD" w:rsidRPr="007E5633" w:rsidRDefault="00277EBD">
      <w:pPr>
        <w:suppressAutoHyphens w:val="0"/>
        <w:rPr>
          <w:rFonts w:ascii="Arial" w:hAnsi="Arial" w:cs="Arial"/>
          <w:lang w:val="uk-UA"/>
        </w:rPr>
      </w:pPr>
      <w:bookmarkStart w:id="88" w:name="_Toc428388849"/>
      <w:r w:rsidRPr="007E5633">
        <w:rPr>
          <w:rFonts w:ascii="Arial" w:hAnsi="Arial" w:cs="Arial"/>
          <w:lang w:val="uk-UA"/>
        </w:rPr>
        <w:br w:type="page"/>
      </w:r>
    </w:p>
    <w:p w14:paraId="752E471F" w14:textId="16105C37" w:rsidR="00E4309C" w:rsidRPr="007E5633" w:rsidRDefault="00D80663" w:rsidP="007136EA">
      <w:pPr>
        <w:pStyle w:val="af1"/>
        <w:jc w:val="left"/>
        <w:rPr>
          <w:rFonts w:cs="Arial"/>
          <w:sz w:val="22"/>
          <w:szCs w:val="22"/>
          <w:lang w:val="uk-UA"/>
        </w:rPr>
      </w:pPr>
      <w:bookmarkStart w:id="89" w:name="_Toc533094051"/>
      <w:r w:rsidRPr="007E5633">
        <w:rPr>
          <w:rFonts w:cs="Arial"/>
          <w:sz w:val="22"/>
          <w:szCs w:val="22"/>
          <w:lang w:val="uk-UA"/>
        </w:rPr>
        <w:lastRenderedPageBreak/>
        <w:t>Схема</w:t>
      </w:r>
      <w:r w:rsidR="007136EA" w:rsidRPr="007E5633">
        <w:rPr>
          <w:rFonts w:cs="Arial"/>
          <w:sz w:val="22"/>
          <w:szCs w:val="22"/>
          <w:lang w:val="uk-UA"/>
        </w:rPr>
        <w:t xml:space="preserve"> </w:t>
      </w:r>
      <w:r w:rsidR="00622EE2" w:rsidRPr="007E5633">
        <w:rPr>
          <w:rFonts w:cs="Arial"/>
          <w:sz w:val="22"/>
          <w:szCs w:val="22"/>
          <w:lang w:val="uk-UA"/>
        </w:rPr>
        <w:fldChar w:fldCharType="begin"/>
      </w:r>
      <w:r w:rsidR="007136EA"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24</w:t>
      </w:r>
      <w:r w:rsidR="00622EE2" w:rsidRPr="007E5633">
        <w:rPr>
          <w:rFonts w:cs="Arial"/>
          <w:sz w:val="22"/>
          <w:szCs w:val="22"/>
          <w:lang w:val="uk-UA"/>
        </w:rPr>
        <w:fldChar w:fldCharType="end"/>
      </w:r>
      <w:r w:rsidR="007136EA" w:rsidRPr="007E5633">
        <w:rPr>
          <w:rFonts w:cs="Arial"/>
          <w:sz w:val="22"/>
          <w:szCs w:val="22"/>
          <w:lang w:val="uk-UA"/>
        </w:rPr>
        <w:t xml:space="preserve">: </w:t>
      </w:r>
      <w:bookmarkEnd w:id="88"/>
      <w:r w:rsidRPr="007E5633">
        <w:rPr>
          <w:rFonts w:cs="Arial"/>
          <w:sz w:val="22"/>
          <w:szCs w:val="22"/>
          <w:lang w:val="uk-UA"/>
        </w:rPr>
        <w:t>Графік щоденного клірингу</w:t>
      </w:r>
      <w:bookmarkEnd w:id="89"/>
    </w:p>
    <w:p w14:paraId="0B6B66E0" w14:textId="77777777" w:rsidR="00E4309C" w:rsidRPr="007E5633" w:rsidRDefault="00E4309C" w:rsidP="00E4309C">
      <w:pPr>
        <w:spacing w:line="240" w:lineRule="auto"/>
        <w:jc w:val="center"/>
        <w:rPr>
          <w:rFonts w:ascii="Arial" w:hAnsi="Arial" w:cs="Arial"/>
          <w:lang w:val="uk-UA"/>
        </w:rPr>
      </w:pPr>
      <w:r w:rsidRPr="007E5633">
        <w:rPr>
          <w:rFonts w:ascii="Arial" w:hAnsi="Arial" w:cs="Arial"/>
          <w:noProof/>
          <w:lang w:val="en-US"/>
        </w:rPr>
        <w:drawing>
          <wp:inline distT="0" distB="0" distL="0" distR="0" wp14:anchorId="05582977" wp14:editId="223B6DC9">
            <wp:extent cx="3899139" cy="4237605"/>
            <wp:effectExtent l="0" t="0" r="6350" b="0"/>
            <wp:docPr id="65" name="Picture 65" descr="http://www.ecc.de/blob/74450/34d23abadce6cc00159fb7da5ba97dbe/pic-financial-process-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cc.de/blob/74450/34d23abadce6cc00159fb7da5ba97dbe/pic-financial-process-data.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11445" cy="4250980"/>
                    </a:xfrm>
                    <a:prstGeom prst="rect">
                      <a:avLst/>
                    </a:prstGeom>
                    <a:noFill/>
                    <a:ln>
                      <a:noFill/>
                    </a:ln>
                  </pic:spPr>
                </pic:pic>
              </a:graphicData>
            </a:graphic>
          </wp:inline>
        </w:drawing>
      </w:r>
    </w:p>
    <w:p w14:paraId="32566788"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 xml:space="preserve">Фінансовий розрахунок відбувається в кожен робочий день ECC (з понеділка по п'ятницю, за винятком свят TARGET2). Торги розраховуються на одну чисту суму платежу по </w:t>
      </w:r>
      <w:r w:rsidR="00BD153C" w:rsidRPr="007E5633">
        <w:rPr>
          <w:rFonts w:cs="Arial"/>
          <w:noProof w:val="0"/>
          <w:sz w:val="22"/>
          <w:lang w:val="uk-UA"/>
        </w:rPr>
        <w:t>кожному</w:t>
      </w:r>
      <w:r w:rsidRPr="007E5633">
        <w:rPr>
          <w:rFonts w:cs="Arial"/>
          <w:noProof w:val="0"/>
          <w:sz w:val="22"/>
          <w:lang w:val="uk-UA"/>
        </w:rPr>
        <w:t xml:space="preserve"> кліринговому члену.</w:t>
      </w:r>
    </w:p>
    <w:p w14:paraId="37CEA32D"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Усі торги, які закінчуються до 16:00 на поточний день, сплачуються на наступний робочій день ECC (Payment Group EUR_1600). Торги, які завершуються після 16:00, сплачуються в робочий день ECC T + 2.</w:t>
      </w:r>
    </w:p>
    <w:p w14:paraId="0D56B5DD" w14:textId="77777777" w:rsidR="00D80663" w:rsidRPr="007E5633" w:rsidRDefault="00D80663" w:rsidP="00D80663">
      <w:pPr>
        <w:pStyle w:val="NormalGTP"/>
        <w:spacing w:line="240" w:lineRule="auto"/>
        <w:rPr>
          <w:rFonts w:cs="Arial"/>
          <w:noProof w:val="0"/>
          <w:sz w:val="22"/>
          <w:lang w:val="uk-UA"/>
        </w:rPr>
      </w:pPr>
      <w:r w:rsidRPr="007E5633">
        <w:rPr>
          <w:rFonts w:cs="Arial"/>
          <w:noProof w:val="0"/>
          <w:sz w:val="22"/>
          <w:lang w:val="uk-UA"/>
        </w:rPr>
        <w:t>Звітність: клірингові звіти надсилаються учасникам розрахунків щодня або їх можна отримати на веб-сайті EEC. Дати доставки та платежу відображаються у звітах ECC по операціях на спотовому ринку. Як альтернатива цьому, доступ до даних можна отримати через кабінет члена ECC.</w:t>
      </w:r>
    </w:p>
    <w:p w14:paraId="528BA1D2" w14:textId="77777777" w:rsidR="00E4309C" w:rsidRPr="007E5633" w:rsidRDefault="005923BA" w:rsidP="000D248B">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90" w:name="_Toc533093929"/>
      <w:r w:rsidRPr="007E5633">
        <w:rPr>
          <w:rFonts w:ascii="Arial" w:hAnsi="Arial" w:cs="Arial"/>
          <w:color w:val="auto"/>
          <w:sz w:val="22"/>
          <w:szCs w:val="22"/>
          <w:lang w:val="uk-UA"/>
        </w:rPr>
        <w:t>Управління кредитними ризиками в торгівлі</w:t>
      </w:r>
      <w:bookmarkEnd w:id="90"/>
    </w:p>
    <w:p w14:paraId="51CBDA84" w14:textId="77777777" w:rsidR="005923BA" w:rsidRPr="007E5633" w:rsidRDefault="005923BA" w:rsidP="005923BA">
      <w:pPr>
        <w:pStyle w:val="NormalGTP"/>
        <w:spacing w:line="240" w:lineRule="auto"/>
        <w:rPr>
          <w:rFonts w:cs="Arial"/>
          <w:noProof w:val="0"/>
          <w:sz w:val="22"/>
          <w:lang w:val="uk-UA"/>
        </w:rPr>
      </w:pPr>
      <w:r w:rsidRPr="007E5633">
        <w:rPr>
          <w:rFonts w:cs="Arial"/>
          <w:noProof w:val="0"/>
          <w:sz w:val="22"/>
          <w:lang w:val="uk-UA"/>
        </w:rPr>
        <w:t>На позабіржовому ринку кредитні ризики належать до невід'ємних ризиків в торгівлі. У позабіржовому секторі кредитний ризик несеться учасниками ринку за допомогою різних форм заставного забезпечення та операційного неттінгу. В рамках позабіржової торгівлі використовуються декілька методів для пом'якшення ризику контрагентів. Функція управління кредитним ризиком (Credit Risk Management function) в енергетичному секторі спрямована на захист компаній від потенційних збитків, спричинених дефолтом ділових партнерів.</w:t>
      </w:r>
    </w:p>
    <w:p w14:paraId="148AE301" w14:textId="77777777" w:rsidR="00277EBD" w:rsidRPr="007E5633" w:rsidRDefault="005923BA" w:rsidP="005923BA">
      <w:pPr>
        <w:pStyle w:val="NormalGTP"/>
        <w:spacing w:line="240" w:lineRule="auto"/>
        <w:rPr>
          <w:rFonts w:cs="Arial"/>
          <w:noProof w:val="0"/>
          <w:sz w:val="22"/>
          <w:lang w:val="uk-UA"/>
        </w:rPr>
      </w:pPr>
      <w:r w:rsidRPr="007E5633">
        <w:rPr>
          <w:rFonts w:cs="Arial"/>
          <w:noProof w:val="0"/>
          <w:sz w:val="22"/>
          <w:lang w:val="uk-UA"/>
        </w:rPr>
        <w:t>Функція управління кредитним ризиком (Credit Risk Management function) аналізує та встановлює обмеження (ліміти) стосовно контрагентів, контролює ризики (обсяг ризиків) щодо цих лімітів, охоплює небажані ризики за допомогою комбінації інструментів зменшення ризику, надає відповідні договірні структури та положення та виконує оцінку кредитного ризику.</w:t>
      </w:r>
    </w:p>
    <w:p w14:paraId="2F336A2B" w14:textId="1CBC691D" w:rsidR="005923BA" w:rsidRPr="007E5633" w:rsidRDefault="005923BA" w:rsidP="005923BA">
      <w:pPr>
        <w:pStyle w:val="af1"/>
        <w:jc w:val="left"/>
        <w:rPr>
          <w:rFonts w:cs="Arial"/>
          <w:sz w:val="22"/>
          <w:szCs w:val="22"/>
          <w:lang w:val="uk-UA"/>
        </w:rPr>
      </w:pPr>
      <w:bookmarkStart w:id="91" w:name="_Toc533094052"/>
      <w:r w:rsidRPr="007E5633">
        <w:rPr>
          <w:rFonts w:cs="Arial"/>
          <w:sz w:val="22"/>
          <w:szCs w:val="22"/>
          <w:lang w:val="uk-UA"/>
        </w:rPr>
        <w:lastRenderedPageBreak/>
        <w:t>Схема</w:t>
      </w:r>
      <w:r w:rsidR="00895CBB" w:rsidRPr="007E5633">
        <w:rPr>
          <w:rFonts w:cs="Arial"/>
          <w:sz w:val="22"/>
          <w:szCs w:val="22"/>
          <w:lang w:val="uk-UA"/>
        </w:rPr>
        <w:t xml:space="preserve"> </w:t>
      </w:r>
      <w:r w:rsidR="00622EE2" w:rsidRPr="007E5633">
        <w:rPr>
          <w:rFonts w:cs="Arial"/>
          <w:sz w:val="22"/>
          <w:szCs w:val="22"/>
          <w:lang w:val="uk-UA"/>
        </w:rPr>
        <w:fldChar w:fldCharType="begin"/>
      </w:r>
      <w:r w:rsidR="00895CBB"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25</w:t>
      </w:r>
      <w:r w:rsidR="00622EE2" w:rsidRPr="007E5633">
        <w:rPr>
          <w:rFonts w:cs="Arial"/>
          <w:sz w:val="22"/>
          <w:szCs w:val="22"/>
          <w:lang w:val="uk-UA"/>
        </w:rPr>
        <w:fldChar w:fldCharType="end"/>
      </w:r>
      <w:r w:rsidR="00895CBB" w:rsidRPr="007E5633">
        <w:rPr>
          <w:rFonts w:cs="Arial"/>
          <w:sz w:val="22"/>
          <w:szCs w:val="22"/>
          <w:lang w:val="uk-UA"/>
        </w:rPr>
        <w:t xml:space="preserve">: </w:t>
      </w:r>
      <w:r w:rsidR="000322E5" w:rsidRPr="007E5633">
        <w:rPr>
          <w:rFonts w:cs="Arial"/>
          <w:sz w:val="22"/>
          <w:szCs w:val="22"/>
          <w:lang w:val="uk-UA"/>
        </w:rPr>
        <w:t>Управління кредитним ризиком</w:t>
      </w:r>
      <w:bookmarkEnd w:id="91"/>
    </w:p>
    <w:p w14:paraId="627CAE10" w14:textId="77777777" w:rsidR="00895CBB" w:rsidRPr="007E5633" w:rsidRDefault="00DA09EF" w:rsidP="00E4309C">
      <w:pPr>
        <w:pStyle w:val="1111GTP"/>
        <w:numPr>
          <w:ilvl w:val="0"/>
          <w:numId w:val="0"/>
        </w:numPr>
        <w:spacing w:line="240" w:lineRule="auto"/>
        <w:jc w:val="both"/>
        <w:rPr>
          <w:rFonts w:cs="Arial"/>
          <w:b w:val="0"/>
          <w:noProof w:val="0"/>
          <w:color w:val="auto"/>
          <w:highlight w:val="yellow"/>
          <w:lang w:val="uk-UA"/>
        </w:rPr>
      </w:pPr>
      <w:r w:rsidRPr="007E5633">
        <w:rPr>
          <w:rFonts w:cs="Arial"/>
          <w:lang w:val="en-US"/>
        </w:rPr>
        <w:drawing>
          <wp:inline distT="0" distB="0" distL="0" distR="0" wp14:anchorId="5CEF6A4C" wp14:editId="67CDBAE0">
            <wp:extent cx="3234906" cy="2453398"/>
            <wp:effectExtent l="0" t="0" r="3810" b="4445"/>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5567" t="4609"/>
                    <a:stretch/>
                  </pic:blipFill>
                  <pic:spPr bwMode="auto">
                    <a:xfrm>
                      <a:off x="0" y="0"/>
                      <a:ext cx="3235119" cy="2453559"/>
                    </a:xfrm>
                    <a:prstGeom prst="rect">
                      <a:avLst/>
                    </a:prstGeom>
                    <a:ln>
                      <a:noFill/>
                    </a:ln>
                    <a:extLst>
                      <a:ext uri="{53640926-AAD7-44D8-BBD7-CCE9431645EC}">
                        <a14:shadowObscured xmlns:a14="http://schemas.microsoft.com/office/drawing/2010/main"/>
                      </a:ext>
                    </a:extLst>
                  </pic:spPr>
                </pic:pic>
              </a:graphicData>
            </a:graphic>
          </wp:inline>
        </w:drawing>
      </w:r>
    </w:p>
    <w:p w14:paraId="642E8FBA" w14:textId="77777777" w:rsidR="00E4309C" w:rsidRPr="007E5633" w:rsidRDefault="005923BA" w:rsidP="00E4309C">
      <w:pPr>
        <w:spacing w:line="240" w:lineRule="auto"/>
        <w:jc w:val="both"/>
        <w:rPr>
          <w:rFonts w:ascii="Arial" w:eastAsia="Times New Roman" w:hAnsi="Arial" w:cs="Arial"/>
          <w:b/>
          <w:bCs/>
          <w:highlight w:val="yellow"/>
          <w:lang w:val="uk-UA"/>
        </w:rPr>
      </w:pPr>
      <w:r w:rsidRPr="007E5633">
        <w:rPr>
          <w:rFonts w:ascii="Arial" w:hAnsi="Arial" w:cs="Arial"/>
          <w:lang w:val="uk-UA"/>
        </w:rPr>
        <w:t>Джерело: EFET</w:t>
      </w:r>
    </w:p>
    <w:p w14:paraId="694CAC55" w14:textId="77777777" w:rsidR="005923BA" w:rsidRPr="007E5633" w:rsidRDefault="005923BA" w:rsidP="005923BA">
      <w:pPr>
        <w:pStyle w:val="af4"/>
        <w:rPr>
          <w:sz w:val="22"/>
          <w:szCs w:val="22"/>
          <w:lang w:val="uk-UA"/>
        </w:rPr>
      </w:pPr>
      <w:r w:rsidRPr="007E5633">
        <w:rPr>
          <w:sz w:val="22"/>
          <w:szCs w:val="22"/>
          <w:lang w:val="uk-UA"/>
        </w:rPr>
        <w:t>На відміну від управління портфелем звичайного фінансового портфеля, купівля та продаж цінних паперів не можуть ефективно управляти портфелем енергетичної компанії. Оптимізація ризику здійснюється (регулюється) регулюванням рівнів ризику для різних видів підприємницької діяльності, в основному шляхом хеджування та зворотного (реверсного) хеджування.</w:t>
      </w:r>
    </w:p>
    <w:p w14:paraId="3D7C29F2" w14:textId="77777777" w:rsidR="005923BA" w:rsidRPr="007E5633" w:rsidRDefault="005923BA" w:rsidP="005923BA">
      <w:pPr>
        <w:pStyle w:val="af4"/>
        <w:rPr>
          <w:sz w:val="22"/>
          <w:szCs w:val="22"/>
          <w:lang w:val="uk-UA"/>
        </w:rPr>
      </w:pPr>
      <w:r w:rsidRPr="007E5633">
        <w:rPr>
          <w:sz w:val="22"/>
          <w:szCs w:val="22"/>
          <w:lang w:val="uk-UA"/>
        </w:rPr>
        <w:t>Управління ризиками передбачає оцінку компромісів. Загальною метою є досягнення максимальної прибутковості з мінімальною сумою ризику.</w:t>
      </w:r>
    </w:p>
    <w:p w14:paraId="5F62066C" w14:textId="77777777" w:rsidR="005923BA" w:rsidRPr="007E5633" w:rsidRDefault="005923BA" w:rsidP="005923BA">
      <w:pPr>
        <w:pStyle w:val="af4"/>
        <w:rPr>
          <w:sz w:val="22"/>
          <w:szCs w:val="22"/>
          <w:lang w:val="uk-UA"/>
        </w:rPr>
      </w:pPr>
      <w:r w:rsidRPr="007E5633">
        <w:rPr>
          <w:sz w:val="22"/>
          <w:szCs w:val="22"/>
          <w:lang w:val="uk-UA"/>
        </w:rPr>
        <w:t>Однак існує також компроміс між різними категоріями ризику. Зменшення однієї категорії ризику зазвичай призводить до додаткового ризику в одній або в декількох інших категоріях ризику. Завдання полягає у виборі серед альтернативних видів ризиків та способів управління цими ризиками.</w:t>
      </w:r>
    </w:p>
    <w:p w14:paraId="4E9D5173" w14:textId="77777777" w:rsidR="005923BA" w:rsidRPr="007E5633" w:rsidRDefault="005923BA" w:rsidP="005923BA">
      <w:pPr>
        <w:pStyle w:val="af4"/>
        <w:rPr>
          <w:sz w:val="22"/>
          <w:szCs w:val="22"/>
          <w:lang w:val="uk-UA"/>
        </w:rPr>
      </w:pPr>
      <w:r w:rsidRPr="007E5633">
        <w:rPr>
          <w:sz w:val="22"/>
          <w:szCs w:val="22"/>
          <w:lang w:val="uk-UA"/>
        </w:rPr>
        <w:t>Основні види ризику у позабіржовій торгівлі:</w:t>
      </w:r>
    </w:p>
    <w:p w14:paraId="044A780E" w14:textId="77777777" w:rsidR="005923BA" w:rsidRPr="007E5633" w:rsidRDefault="005923BA" w:rsidP="000D248B">
      <w:pPr>
        <w:pStyle w:val="af4"/>
        <w:numPr>
          <w:ilvl w:val="0"/>
          <w:numId w:val="53"/>
        </w:numPr>
        <w:spacing w:line="247" w:lineRule="auto"/>
        <w:textAlignment w:val="auto"/>
        <w:rPr>
          <w:sz w:val="22"/>
          <w:szCs w:val="22"/>
          <w:lang w:val="uk-UA"/>
        </w:rPr>
      </w:pPr>
      <w:r w:rsidRPr="007E5633">
        <w:rPr>
          <w:sz w:val="22"/>
          <w:szCs w:val="22"/>
          <w:lang w:val="uk-UA"/>
        </w:rPr>
        <w:t>Ринковий ризик</w:t>
      </w:r>
    </w:p>
    <w:p w14:paraId="37EC6B4E" w14:textId="77777777" w:rsidR="005923BA" w:rsidRPr="007E5633" w:rsidRDefault="005923BA" w:rsidP="000D248B">
      <w:pPr>
        <w:pStyle w:val="af4"/>
        <w:numPr>
          <w:ilvl w:val="0"/>
          <w:numId w:val="53"/>
        </w:numPr>
        <w:spacing w:line="247" w:lineRule="auto"/>
        <w:textAlignment w:val="auto"/>
        <w:rPr>
          <w:sz w:val="22"/>
          <w:szCs w:val="22"/>
          <w:lang w:val="uk-UA"/>
        </w:rPr>
      </w:pPr>
      <w:r w:rsidRPr="007E5633">
        <w:rPr>
          <w:sz w:val="22"/>
          <w:szCs w:val="22"/>
          <w:lang w:val="uk-UA"/>
        </w:rPr>
        <w:t>Кредитний ризик</w:t>
      </w:r>
    </w:p>
    <w:p w14:paraId="03DD6E59" w14:textId="77777777" w:rsidR="005923BA" w:rsidRPr="007E5633" w:rsidRDefault="005923BA" w:rsidP="000D248B">
      <w:pPr>
        <w:pStyle w:val="af4"/>
        <w:numPr>
          <w:ilvl w:val="0"/>
          <w:numId w:val="53"/>
        </w:numPr>
        <w:spacing w:line="247" w:lineRule="auto"/>
        <w:textAlignment w:val="auto"/>
        <w:rPr>
          <w:sz w:val="22"/>
          <w:szCs w:val="22"/>
          <w:lang w:val="uk-UA"/>
        </w:rPr>
      </w:pPr>
      <w:r w:rsidRPr="007E5633">
        <w:rPr>
          <w:sz w:val="22"/>
          <w:szCs w:val="22"/>
          <w:lang w:val="uk-UA"/>
        </w:rPr>
        <w:t>Операційний ризик</w:t>
      </w:r>
    </w:p>
    <w:p w14:paraId="60DF0C18" w14:textId="77777777" w:rsidR="005923BA" w:rsidRPr="007E5633" w:rsidRDefault="005923BA" w:rsidP="000D248B">
      <w:pPr>
        <w:pStyle w:val="af4"/>
        <w:numPr>
          <w:ilvl w:val="0"/>
          <w:numId w:val="53"/>
        </w:numPr>
        <w:spacing w:line="247" w:lineRule="auto"/>
        <w:textAlignment w:val="auto"/>
        <w:rPr>
          <w:sz w:val="22"/>
          <w:szCs w:val="22"/>
          <w:lang w:val="uk-UA"/>
        </w:rPr>
      </w:pPr>
      <w:r w:rsidRPr="007E5633">
        <w:rPr>
          <w:sz w:val="22"/>
          <w:szCs w:val="22"/>
          <w:lang w:val="uk-UA"/>
        </w:rPr>
        <w:t>Ризик (не)платоспроможності</w:t>
      </w:r>
    </w:p>
    <w:p w14:paraId="67DFE4A9" w14:textId="77777777" w:rsidR="00E4309C" w:rsidRPr="007E5633" w:rsidRDefault="005923BA" w:rsidP="00912D9A">
      <w:pPr>
        <w:pStyle w:val="FSHeader1"/>
        <w:keepNext w:val="0"/>
        <w:pageBreakBefore w:val="0"/>
        <w:numPr>
          <w:ilvl w:val="3"/>
          <w:numId w:val="27"/>
        </w:numPr>
        <w:spacing w:after="120"/>
        <w:rPr>
          <w:rFonts w:ascii="Arial" w:hAnsi="Arial" w:cs="Arial"/>
          <w:color w:val="auto"/>
          <w:sz w:val="22"/>
          <w:szCs w:val="22"/>
          <w:lang w:val="uk-UA"/>
        </w:rPr>
      </w:pPr>
      <w:bookmarkStart w:id="92" w:name="_Toc533093930"/>
      <w:r w:rsidRPr="007E5633">
        <w:rPr>
          <w:rFonts w:ascii="Arial" w:hAnsi="Arial" w:cs="Arial"/>
          <w:color w:val="auto"/>
          <w:sz w:val="22"/>
          <w:szCs w:val="22"/>
          <w:lang w:val="uk-UA"/>
        </w:rPr>
        <w:t>Ринковий ризик</w:t>
      </w:r>
      <w:bookmarkEnd w:id="92"/>
    </w:p>
    <w:p w14:paraId="13540F79"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Базельський комітет з банківського нагляду (Basel Committee on Banking Supervision) визначає ринковий ризик як "ризик втрат на балансових та позабалансових позиціях, що виникає внаслідок руху ринкових цін". Ринковий ризик - це сукупність наступних чотирьох факторів ризику.</w:t>
      </w:r>
    </w:p>
    <w:p w14:paraId="1AE253E6"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(1) ризик власного капіталу</w:t>
      </w:r>
    </w:p>
    <w:p w14:paraId="77B96835"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(2) ризик відсоткових ставок</w:t>
      </w:r>
    </w:p>
    <w:p w14:paraId="1EDFA84D"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(3) валютний ризик і</w:t>
      </w:r>
    </w:p>
    <w:p w14:paraId="05484CF2"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 xml:space="preserve">(4) </w:t>
      </w:r>
      <w:r w:rsidR="000F2B19">
        <w:rPr>
          <w:rFonts w:ascii="Arial" w:hAnsi="Arial" w:cs="Arial"/>
          <w:lang w:val="uk-UA"/>
        </w:rPr>
        <w:t>товарний</w:t>
      </w:r>
      <w:r w:rsidRPr="007E5633">
        <w:rPr>
          <w:rFonts w:ascii="Arial" w:hAnsi="Arial" w:cs="Arial"/>
          <w:lang w:val="uk-UA"/>
        </w:rPr>
        <w:t xml:space="preserve"> ризик.</w:t>
      </w:r>
    </w:p>
    <w:p w14:paraId="41BC9184"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lastRenderedPageBreak/>
        <w:t>У багатьох випадках існує тенденція порівнювати ринковий ризик при визначенні цінового ризику. Багато учасників енергетичного бізнесу мають позицію цінового ризику. Це означає, що вони піддаються ризику втрат унаслідок зниження цін (довга позиція) або руху цін вгору (коротка позиція).</w:t>
      </w:r>
    </w:p>
    <w:p w14:paraId="7A27583B"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Виробники енергії є власниками активів, тому, відповідно, перебувають у "довгій позиції". Це означає, що вони отримають вигоду від зростання цін на енергоносії та постраждають від зниження цін. Споживачі, відповідно, перебувають у «короткій позиції». Енерготрейдери не мають позиції «природного ризику». Вони повинні постійно моніторити та контролювати цю позицію, щоб отримувати прибуток.</w:t>
      </w:r>
    </w:p>
    <w:p w14:paraId="5270C31F"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Ціновий ризик, однак, не обмежується простими рухами вгору / вниз в цінах на енергію. Загальні (звичайні) цінові ризики пов'язані із величиною змін у цінових різницях або спредах. Наприклад, спред, що виникає через різницю в ціні між енергією в двох різних місцях (location-basis spread), спредів за часом / датами (різниця в цінах між форвардними цінами на різні форвардні дати - time/calendar spreads) та спреди по якості (різниця в цінах на енергопродукти однієї якості - quality spreads).</w:t>
      </w:r>
    </w:p>
    <w:p w14:paraId="4AFA677C" w14:textId="77777777" w:rsidR="005923BA" w:rsidRPr="007E5633" w:rsidRDefault="005923BA" w:rsidP="005923BA">
      <w:pPr>
        <w:spacing w:line="240" w:lineRule="auto"/>
        <w:jc w:val="both"/>
        <w:rPr>
          <w:rFonts w:ascii="Arial" w:hAnsi="Arial" w:cs="Arial"/>
          <w:highlight w:val="yellow"/>
          <w:lang w:val="uk-UA"/>
        </w:rPr>
      </w:pPr>
      <w:r w:rsidRPr="007E5633">
        <w:rPr>
          <w:rFonts w:ascii="Arial" w:hAnsi="Arial" w:cs="Arial"/>
          <w:lang w:val="uk-UA"/>
        </w:rPr>
        <w:t>Підприємства, що займаються торгівлею енергією (енерготрейдингом), є капіталомісткими та фінансуються за рахунок боргу, і можуть підпадати під значні ризики, пов’язані з волатильністю фінансових цін.</w:t>
      </w:r>
    </w:p>
    <w:p w14:paraId="0360D71E" w14:textId="77777777" w:rsidR="00E4309C" w:rsidRPr="007E5633" w:rsidRDefault="005923BA" w:rsidP="00912D9A">
      <w:pPr>
        <w:pStyle w:val="FSHeader1"/>
        <w:keepNext w:val="0"/>
        <w:pageBreakBefore w:val="0"/>
        <w:numPr>
          <w:ilvl w:val="3"/>
          <w:numId w:val="27"/>
        </w:numPr>
        <w:spacing w:after="120"/>
        <w:rPr>
          <w:rFonts w:ascii="Arial" w:hAnsi="Arial" w:cs="Arial"/>
          <w:color w:val="auto"/>
          <w:sz w:val="22"/>
          <w:szCs w:val="22"/>
          <w:lang w:val="uk-UA"/>
        </w:rPr>
      </w:pPr>
      <w:bookmarkStart w:id="93" w:name="_Toc533093931"/>
      <w:bookmarkStart w:id="94" w:name="_Toc526775027"/>
      <w:bookmarkStart w:id="95" w:name="_Toc526800256"/>
      <w:r w:rsidRPr="007E5633">
        <w:rPr>
          <w:rFonts w:ascii="Arial" w:hAnsi="Arial" w:cs="Arial"/>
          <w:color w:val="auto"/>
          <w:sz w:val="22"/>
          <w:szCs w:val="22"/>
          <w:lang w:val="uk-UA"/>
        </w:rPr>
        <w:t>Принципи управління кредитним ризиком у позабіржовій торгівлі енергією</w:t>
      </w:r>
      <w:bookmarkEnd w:id="93"/>
      <w:r w:rsidRPr="007E5633">
        <w:rPr>
          <w:rFonts w:ascii="Arial" w:hAnsi="Arial" w:cs="Arial"/>
          <w:color w:val="auto"/>
          <w:sz w:val="22"/>
          <w:szCs w:val="22"/>
          <w:lang w:val="uk-UA"/>
        </w:rPr>
        <w:t xml:space="preserve"> </w:t>
      </w:r>
      <w:bookmarkEnd w:id="94"/>
      <w:bookmarkEnd w:id="95"/>
    </w:p>
    <w:p w14:paraId="35294FEC"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Згідно з Базельським комітетом з банківського нагляду (Basel Committee on Banking Supervision), "кредитний ризик можна просто визначити як потенціал того, що контрагент не зможе виконати свої зобов'язання відповідно до узгоджених умов".</w:t>
      </w:r>
      <w:r w:rsidRPr="007E5633">
        <w:rPr>
          <w:rStyle w:val="aa"/>
          <w:rFonts w:ascii="Arial" w:hAnsi="Arial" w:cs="Arial"/>
          <w:lang w:val="uk-UA"/>
        </w:rPr>
        <w:footnoteReference w:id="8"/>
      </w:r>
      <w:r w:rsidRPr="007E5633">
        <w:rPr>
          <w:rFonts w:ascii="Arial" w:hAnsi="Arial" w:cs="Arial"/>
          <w:lang w:val="uk-UA"/>
        </w:rPr>
        <w:t xml:space="preserve"> Метою управління кредитними ризиками є максимізація прибутку, скоригованого на ризики, шляхом утримання обсягу кредитного ризику в прийнятних межах.</w:t>
      </w:r>
    </w:p>
    <w:p w14:paraId="0CEBE927"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Кредитний ризик відображає невизначеність спроможності контрагента виконувати свої зобов'язання.</w:t>
      </w:r>
    </w:p>
    <w:p w14:paraId="515C3D88"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Процес оцінки кредитних ризиків складається з оцінки економічного та фінансового стану контрагента на основі різних якісних та кількісних критеріїв. Роль кредитного аналітика полягає у формуванні незалежного бачення кредитоспроможності кожного контрагента в рамках портфеля.</w:t>
      </w:r>
    </w:p>
    <w:p w14:paraId="5AB1655E"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 xml:space="preserve">На оцінку кредитного ризику також можуть впливати інші фактори, такі як зміни у схемах торгівлі, поточні новини, ринкова інформація та такі дані, як оціночні ринкові рейтинги, які можуть надати дуже вагомих причин для виникнення іншого бачення щодо оцінки рівня ризику. Якщо у когось є достовірні аргументи для підтримки обґрунтування рейтингу, то йому можна бути впевненим у своєму висновку. Керівництво надасть підтримку у випадку, коли виникне очевидна необхідність повідомлення складного рішення торговій організації. Важливими параметрами для формування висновку щодо </w:t>
      </w:r>
      <w:r w:rsidR="00BD153C" w:rsidRPr="007E5633">
        <w:rPr>
          <w:rFonts w:ascii="Arial" w:hAnsi="Arial" w:cs="Arial"/>
          <w:lang w:val="uk-UA"/>
        </w:rPr>
        <w:t>кредитоспроможності</w:t>
      </w:r>
      <w:r w:rsidRPr="007E5633">
        <w:rPr>
          <w:rFonts w:ascii="Arial" w:hAnsi="Arial" w:cs="Arial"/>
          <w:lang w:val="uk-UA"/>
        </w:rPr>
        <w:t xml:space="preserve"> є:</w:t>
      </w:r>
    </w:p>
    <w:p w14:paraId="628AB49E"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Надійність у здатності генерувати позитивні чисті грошові потоки</w:t>
      </w:r>
    </w:p>
    <w:p w14:paraId="7E3FF9B2"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Надійність (безсумнівність) фінансової звітності</w:t>
      </w:r>
    </w:p>
    <w:p w14:paraId="775B1BDE"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Адекватність ліквідності (фінансова позиція, термін погашення)</w:t>
      </w:r>
    </w:p>
    <w:p w14:paraId="7D491DBD"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Строки погашення кредитів</w:t>
      </w:r>
    </w:p>
    <w:p w14:paraId="7906D2DE"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Достатня підтримка капіталу для виживання компанії у випадку зазнавання втрат</w:t>
      </w:r>
    </w:p>
    <w:p w14:paraId="15D48E8E"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lastRenderedPageBreak/>
        <w:t>Умовні зобов'язання (зобов'язання у випадку виникнення певних несприятливих умов)</w:t>
      </w:r>
    </w:p>
    <w:p w14:paraId="166D9376"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Ринкові показники</w:t>
      </w:r>
    </w:p>
    <w:p w14:paraId="04BEE05A" w14:textId="77777777" w:rsidR="005923BA" w:rsidRPr="007E5633" w:rsidRDefault="005923BA" w:rsidP="000D248B">
      <w:pPr>
        <w:pStyle w:val="a4"/>
        <w:numPr>
          <w:ilvl w:val="2"/>
          <w:numId w:val="54"/>
        </w:numPr>
        <w:spacing w:after="120" w:line="240" w:lineRule="auto"/>
        <w:ind w:left="850" w:hanging="425"/>
        <w:jc w:val="both"/>
        <w:rPr>
          <w:rFonts w:ascii="Arial" w:hAnsi="Arial" w:cs="Arial"/>
          <w:lang w:val="uk-UA"/>
        </w:rPr>
      </w:pPr>
      <w:r w:rsidRPr="007E5633">
        <w:rPr>
          <w:rFonts w:ascii="Arial" w:hAnsi="Arial" w:cs="Arial"/>
          <w:lang w:val="uk-UA"/>
        </w:rPr>
        <w:t>Репутація (історія платоспроможності та вчасності платежів, репутація керівництва, незавершені судові справи)</w:t>
      </w:r>
    </w:p>
    <w:p w14:paraId="29B17EF0"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На підставі процесу оцінювання кредитоспроможності, контрагент буде або схвалений або відхилений (операції з цим контрагентом не будуть допускатися).</w:t>
      </w:r>
    </w:p>
    <w:p w14:paraId="195F9767"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У разі затвердження, ліміти (кредитні лінії) будуть встановлені як щодо терміну (тривалості), так і щодо обсягу взаємин з таким контрагентом. Якщо контрагента відхилено, певні альтернативи щодо підсилення умов кредитування можуть бути зроблені, але вони залежатимуть від подальшого схвалення (наприклад, можуть вноситися грошові депозити, робитися гарантії від материнських компаній, надаватися акредитиви тощо).</w:t>
      </w:r>
    </w:p>
    <w:p w14:paraId="03401892" w14:textId="77777777" w:rsidR="005923BA" w:rsidRPr="007E5633" w:rsidRDefault="005923BA" w:rsidP="005923BA">
      <w:pPr>
        <w:spacing w:line="240" w:lineRule="auto"/>
        <w:jc w:val="both"/>
        <w:rPr>
          <w:rFonts w:ascii="Arial" w:hAnsi="Arial" w:cs="Arial"/>
          <w:lang w:val="uk-UA"/>
        </w:rPr>
      </w:pPr>
      <w:r w:rsidRPr="007E5633">
        <w:rPr>
          <w:rFonts w:ascii="Arial" w:hAnsi="Arial" w:cs="Arial"/>
          <w:lang w:val="uk-UA"/>
        </w:rPr>
        <w:t>Коли менеджери кредитного ризику в енергетичній галузі оцінюють ризик одного контрагента, вони несуть відповідальність за оптимізацію ризиків на трьох ключових етапах:</w:t>
      </w:r>
    </w:p>
    <w:p w14:paraId="4CFB5DD3" w14:textId="77777777" w:rsidR="00FF6B93" w:rsidRPr="007E5633" w:rsidRDefault="00FF6B93" w:rsidP="00FF6B93">
      <w:pPr>
        <w:pStyle w:val="af4"/>
        <w:ind w:left="66"/>
        <w:rPr>
          <w:sz w:val="22"/>
          <w:szCs w:val="22"/>
          <w:lang w:val="uk-UA"/>
        </w:rPr>
      </w:pPr>
      <w:r w:rsidRPr="007E5633">
        <w:rPr>
          <w:b/>
          <w:sz w:val="22"/>
          <w:szCs w:val="22"/>
          <w:u w:val="single"/>
          <w:lang w:val="uk-UA"/>
        </w:rPr>
        <w:t>(a) Профілактика (сукупність заходів до дати торгівлі).</w:t>
      </w:r>
      <w:r w:rsidRPr="007E5633">
        <w:rPr>
          <w:sz w:val="22"/>
          <w:szCs w:val="22"/>
          <w:lang w:val="uk-UA"/>
        </w:rPr>
        <w:t xml:space="preserve"> </w:t>
      </w:r>
    </w:p>
    <w:p w14:paraId="624B37C0" w14:textId="77777777" w:rsidR="00FF6B93" w:rsidRPr="007E5633" w:rsidRDefault="00FF6B93" w:rsidP="00FF6B93">
      <w:pPr>
        <w:pStyle w:val="af4"/>
        <w:ind w:left="66"/>
        <w:rPr>
          <w:sz w:val="22"/>
          <w:szCs w:val="22"/>
          <w:lang w:val="uk-UA"/>
        </w:rPr>
      </w:pPr>
      <w:r w:rsidRPr="007E5633">
        <w:rPr>
          <w:sz w:val="22"/>
          <w:szCs w:val="22"/>
          <w:lang w:val="uk-UA"/>
        </w:rPr>
        <w:t>При укладенні транзакції необхідно визначити відповідний кредитний ліміт для всіх контрагентів. Обмеження повинні бути відповідними до толерантності до ризику та характеру фірми, і вони можуть усунути довільне та суб'єктивне судження про ризики, на які йдуть трейдерами. Кредитні ліміти визначаються оцінкою за шкалою кредитної якості, яка може бути отримана шляхом аналізу фінансових даних контрагента, бізнес-стратегії та умов оплати, а також загальних трендів у галузевому секторі контрагента по всій країні. Кредитні ліміти також визначаються гарантіями, здійсненими в рамках транзакції, такими як цінні папери, гарантії, кредитні положення чи умови, а також умови оплати, включаючи неттінг платежів.</w:t>
      </w:r>
    </w:p>
    <w:p w14:paraId="7AA6B842" w14:textId="77777777" w:rsidR="00FF6B93" w:rsidRPr="007E5633" w:rsidRDefault="00FF6B93" w:rsidP="00FF6B93">
      <w:pPr>
        <w:pStyle w:val="af4"/>
        <w:rPr>
          <w:sz w:val="22"/>
          <w:szCs w:val="22"/>
          <w:lang w:val="uk-UA"/>
        </w:rPr>
      </w:pPr>
    </w:p>
    <w:p w14:paraId="68F7B150" w14:textId="77777777" w:rsidR="00FF6B93" w:rsidRPr="007E5633" w:rsidRDefault="00FF6B93" w:rsidP="00FF6B93">
      <w:pPr>
        <w:pStyle w:val="af4"/>
        <w:rPr>
          <w:b/>
          <w:sz w:val="22"/>
          <w:szCs w:val="22"/>
          <w:u w:val="single"/>
          <w:lang w:val="uk-UA"/>
        </w:rPr>
      </w:pPr>
      <w:r w:rsidRPr="007E5633">
        <w:rPr>
          <w:b/>
          <w:sz w:val="22"/>
          <w:szCs w:val="22"/>
          <w:u w:val="single"/>
          <w:lang w:val="uk-UA"/>
        </w:rPr>
        <w:t>(б) Моніторинг (сукупність заходів між датою торгівлі та оплатою).</w:t>
      </w:r>
    </w:p>
    <w:p w14:paraId="015A354A" w14:textId="77777777" w:rsidR="00FF6B93" w:rsidRPr="007E5633" w:rsidRDefault="00FF6B93" w:rsidP="00FF6B93">
      <w:pPr>
        <w:pStyle w:val="af4"/>
        <w:rPr>
          <w:sz w:val="22"/>
          <w:szCs w:val="22"/>
          <w:lang w:val="uk-UA"/>
        </w:rPr>
      </w:pPr>
      <w:r w:rsidRPr="007E5633">
        <w:rPr>
          <w:sz w:val="22"/>
          <w:szCs w:val="22"/>
          <w:lang w:val="uk-UA"/>
        </w:rPr>
        <w:t>Після встановлення кредитного ліміту та входження в транзакцію, моніторинг поведінки контрагентів та виконання ними зобов’язань є важливим для виявлення погіршення кредитоспроможності (якості кредиту). Такі заходи включають в себе моніторинг термінів оплати та доставки та моніторинг чіткості виконання ділових зобов’язань шляхом оцінки основних показників, ринкових умов та змін зовнішніх рейтингів (якщо такі є). Такі заходи можуть бути розширені шляхом моніторингу дисципліни платежів за кредитами.</w:t>
      </w:r>
    </w:p>
    <w:p w14:paraId="7CBB0895" w14:textId="77777777" w:rsidR="00FF6B93" w:rsidRPr="007E5633" w:rsidRDefault="00FF6B93" w:rsidP="00FF6B93">
      <w:pPr>
        <w:pStyle w:val="af4"/>
        <w:rPr>
          <w:sz w:val="22"/>
          <w:szCs w:val="22"/>
          <w:lang w:val="uk-UA"/>
        </w:rPr>
      </w:pPr>
      <w:r w:rsidRPr="007E5633">
        <w:rPr>
          <w:b/>
          <w:sz w:val="22"/>
          <w:szCs w:val="22"/>
          <w:u w:val="single"/>
          <w:lang w:val="uk-UA"/>
        </w:rPr>
        <w:t xml:space="preserve">(в) Реакція (сукупність заходів у разі невиконання зобов'язань або кредитної події). </w:t>
      </w:r>
      <w:r w:rsidRPr="007E5633">
        <w:rPr>
          <w:sz w:val="22"/>
          <w:szCs w:val="22"/>
          <w:lang w:val="uk-UA"/>
        </w:rPr>
        <w:t>У випадку дефолту та / або суттєвого погіршення кредитної якості контрагента, ризик-менеджери повинні скористатись методами, щоб або мінімізувати невиконані зобов'язання та / або максимально збільшити ймовірність повернення кредитних коштів (recovery of credit exposure). Це може включати комбінацію мінімізації відкритих позицій, припинення поставки та застосування гарантій, вбудованих у транзакцію.</w:t>
      </w:r>
    </w:p>
    <w:p w14:paraId="2E453EE2" w14:textId="77777777" w:rsidR="00E4309C" w:rsidRPr="007E5633" w:rsidRDefault="00FF6B93" w:rsidP="00912D9A">
      <w:pPr>
        <w:pStyle w:val="FSHeader1"/>
        <w:keepNext w:val="0"/>
        <w:pageBreakBefore w:val="0"/>
        <w:numPr>
          <w:ilvl w:val="3"/>
          <w:numId w:val="27"/>
        </w:numPr>
        <w:spacing w:after="120"/>
        <w:rPr>
          <w:rFonts w:ascii="Arial" w:hAnsi="Arial" w:cs="Arial"/>
          <w:color w:val="auto"/>
          <w:sz w:val="22"/>
          <w:szCs w:val="22"/>
          <w:lang w:val="uk-UA"/>
        </w:rPr>
      </w:pPr>
      <w:bookmarkStart w:id="96" w:name="_Toc526775028"/>
      <w:bookmarkStart w:id="97" w:name="_Toc526800257"/>
      <w:bookmarkStart w:id="98" w:name="_Toc533093932"/>
      <w:r w:rsidRPr="007E5633">
        <w:rPr>
          <w:rFonts w:ascii="Arial" w:hAnsi="Arial" w:cs="Arial"/>
          <w:color w:val="auto"/>
          <w:sz w:val="22"/>
          <w:szCs w:val="22"/>
          <w:lang w:val="uk-UA"/>
        </w:rPr>
        <w:t>Пом'якшення ризику неплатоспроможності</w:t>
      </w:r>
      <w:bookmarkEnd w:id="96"/>
      <w:bookmarkEnd w:id="97"/>
      <w:bookmarkEnd w:id="98"/>
    </w:p>
    <w:p w14:paraId="318A21C5" w14:textId="77777777" w:rsidR="00FF6B93" w:rsidRPr="007E5633" w:rsidRDefault="00FF6B93" w:rsidP="00FF6B93">
      <w:pPr>
        <w:pStyle w:val="af4"/>
        <w:rPr>
          <w:sz w:val="22"/>
          <w:szCs w:val="22"/>
          <w:lang w:val="uk-UA"/>
        </w:rPr>
      </w:pPr>
      <w:r w:rsidRPr="007E5633">
        <w:rPr>
          <w:sz w:val="22"/>
          <w:szCs w:val="22"/>
          <w:lang w:val="uk-UA"/>
        </w:rPr>
        <w:t xml:space="preserve">Ризики платоспроможності управляються різними способами зменшення ризику. Або контрагенти надають своїм трейдерам заставу, або погоджуються на неттінг платежів під час здійснення ними комерційної угоди. Якщо один контрагент стане </w:t>
      </w:r>
      <w:r w:rsidRPr="007E5633">
        <w:rPr>
          <w:sz w:val="22"/>
          <w:szCs w:val="22"/>
          <w:lang w:val="uk-UA"/>
        </w:rPr>
        <w:lastRenderedPageBreak/>
        <w:t>неплатоспроможним, то «ліквідаційний неттінг (взаємозалік)» є ефективним інструментом зменшення ризику.</w:t>
      </w:r>
    </w:p>
    <w:p w14:paraId="1B3E48DA" w14:textId="3024FF19" w:rsidR="00895CBB" w:rsidRPr="007E5633" w:rsidRDefault="00FF6B93" w:rsidP="00895CBB">
      <w:pPr>
        <w:pStyle w:val="af1"/>
        <w:jc w:val="left"/>
        <w:rPr>
          <w:rFonts w:cs="Arial"/>
          <w:sz w:val="22"/>
          <w:szCs w:val="22"/>
          <w:highlight w:val="yellow"/>
          <w:lang w:val="uk-UA"/>
        </w:rPr>
      </w:pPr>
      <w:bookmarkStart w:id="99" w:name="_Toc533094053"/>
      <w:r w:rsidRPr="007E5633">
        <w:rPr>
          <w:rFonts w:cs="Arial"/>
          <w:sz w:val="22"/>
          <w:szCs w:val="22"/>
          <w:lang w:val="uk-UA"/>
        </w:rPr>
        <w:t xml:space="preserve">Схема </w:t>
      </w:r>
      <w:r w:rsidR="00622EE2" w:rsidRPr="007E5633">
        <w:rPr>
          <w:rFonts w:cs="Arial"/>
          <w:sz w:val="22"/>
          <w:szCs w:val="22"/>
          <w:lang w:val="uk-UA"/>
        </w:rPr>
        <w:fldChar w:fldCharType="begin"/>
      </w:r>
      <w:r w:rsidR="00895CBB"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26</w:t>
      </w:r>
      <w:r w:rsidR="00622EE2" w:rsidRPr="007E5633">
        <w:rPr>
          <w:rFonts w:cs="Arial"/>
          <w:sz w:val="22"/>
          <w:szCs w:val="22"/>
          <w:lang w:val="uk-UA"/>
        </w:rPr>
        <w:fldChar w:fldCharType="end"/>
      </w:r>
      <w:r w:rsidR="00895CBB" w:rsidRPr="007E5633">
        <w:rPr>
          <w:rFonts w:cs="Arial"/>
          <w:sz w:val="22"/>
          <w:szCs w:val="22"/>
          <w:lang w:val="uk-UA"/>
        </w:rPr>
        <w:t xml:space="preserve">: </w:t>
      </w:r>
      <w:r w:rsidRPr="007E5633">
        <w:rPr>
          <w:rFonts w:cs="Arial"/>
          <w:sz w:val="22"/>
          <w:szCs w:val="22"/>
          <w:lang w:val="uk-UA"/>
        </w:rPr>
        <w:t>Методи пом'якшення кредитного ризику</w:t>
      </w:r>
      <w:bookmarkEnd w:id="99"/>
    </w:p>
    <w:p w14:paraId="3F7D9535" w14:textId="77777777" w:rsidR="00E4309C" w:rsidRPr="007E5633" w:rsidRDefault="00CA2917" w:rsidP="00E4309C">
      <w:pPr>
        <w:spacing w:line="240" w:lineRule="auto"/>
        <w:ind w:left="993"/>
        <w:jc w:val="both"/>
        <w:rPr>
          <w:rFonts w:ascii="Arial" w:hAnsi="Arial" w:cs="Arial"/>
          <w:highlight w:val="yellow"/>
          <w:lang w:val="uk-UA"/>
        </w:rPr>
      </w:pPr>
      <w:r w:rsidRPr="007E5633">
        <w:rPr>
          <w:rFonts w:ascii="Arial" w:hAnsi="Arial" w:cs="Arial"/>
          <w:noProof/>
          <w:highlight w:val="yellow"/>
          <w:lang w:val="en-US"/>
        </w:rPr>
        <w:drawing>
          <wp:inline distT="0" distB="0" distL="0" distR="0" wp14:anchorId="5A871856" wp14:editId="0BBD89D7">
            <wp:extent cx="4375999" cy="2286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7986"/>
                    <a:stretch/>
                  </pic:blipFill>
                  <pic:spPr bwMode="auto">
                    <a:xfrm>
                      <a:off x="0" y="0"/>
                      <a:ext cx="4380121" cy="2288153"/>
                    </a:xfrm>
                    <a:prstGeom prst="rect">
                      <a:avLst/>
                    </a:prstGeom>
                    <a:ln>
                      <a:noFill/>
                    </a:ln>
                    <a:extLst>
                      <a:ext uri="{53640926-AAD7-44D8-BBD7-CCE9431645EC}">
                        <a14:shadowObscured xmlns:a14="http://schemas.microsoft.com/office/drawing/2010/main"/>
                      </a:ext>
                    </a:extLst>
                  </pic:spPr>
                </pic:pic>
              </a:graphicData>
            </a:graphic>
          </wp:inline>
        </w:drawing>
      </w:r>
    </w:p>
    <w:p w14:paraId="4FD1ED11" w14:textId="77777777" w:rsidR="00FF6B93" w:rsidRPr="007E5633" w:rsidRDefault="00FF6B93" w:rsidP="00FF6B93">
      <w:pPr>
        <w:pStyle w:val="af4"/>
        <w:rPr>
          <w:i/>
          <w:sz w:val="22"/>
          <w:szCs w:val="22"/>
          <w:lang w:val="uk-UA"/>
        </w:rPr>
      </w:pPr>
      <w:r w:rsidRPr="007E5633">
        <w:rPr>
          <w:i/>
          <w:sz w:val="22"/>
          <w:szCs w:val="22"/>
          <w:lang w:val="uk-UA"/>
        </w:rPr>
        <w:t>Джерело: EFET</w:t>
      </w:r>
    </w:p>
    <w:p w14:paraId="438084B6" w14:textId="77777777" w:rsidR="00FF6B93" w:rsidRPr="007E5633" w:rsidRDefault="00FF6B93" w:rsidP="00FF6B93">
      <w:pPr>
        <w:pStyle w:val="af4"/>
        <w:rPr>
          <w:sz w:val="22"/>
          <w:szCs w:val="22"/>
          <w:lang w:val="uk-UA"/>
        </w:rPr>
      </w:pPr>
      <w:r w:rsidRPr="007E5633">
        <w:rPr>
          <w:sz w:val="22"/>
          <w:szCs w:val="22"/>
          <w:lang w:val="uk-UA"/>
        </w:rPr>
        <w:t>«Ліквідаційний неттінг» є ефективним інструментом управління ризиками, зокрема в країнах, які не мають кредитного рейтингу, такого як Україна. У країнах, де немає достатньої прозорості щодо кредитоспроможності контрагента, «ліквідаційний неттінг», взаємозалік (неттінг) за допомогою передачі прав за зобов’язаннями та розрахунковий неттінг мають подібний ефект.</w:t>
      </w:r>
    </w:p>
    <w:p w14:paraId="3470044C" w14:textId="77777777" w:rsidR="00FF6B93" w:rsidRPr="007E5633" w:rsidRDefault="00FF6B93" w:rsidP="00FF6B93">
      <w:pPr>
        <w:pStyle w:val="af4"/>
        <w:rPr>
          <w:sz w:val="22"/>
          <w:szCs w:val="22"/>
          <w:lang w:val="uk-UA"/>
        </w:rPr>
      </w:pPr>
      <w:r w:rsidRPr="007E5633">
        <w:rPr>
          <w:sz w:val="22"/>
          <w:szCs w:val="22"/>
          <w:lang w:val="uk-UA"/>
        </w:rPr>
        <w:t>«Ліквідаційний неттінг» (взаємозалік) має такі елементи:</w:t>
      </w:r>
    </w:p>
    <w:p w14:paraId="4861AAB4" w14:textId="4F087781" w:rsidR="00895CBB" w:rsidRPr="007E5633" w:rsidRDefault="00FF6B93" w:rsidP="00895CBB">
      <w:pPr>
        <w:pStyle w:val="af1"/>
        <w:jc w:val="left"/>
        <w:rPr>
          <w:rFonts w:cs="Arial"/>
          <w:sz w:val="22"/>
          <w:szCs w:val="22"/>
          <w:lang w:val="uk-UA"/>
        </w:rPr>
      </w:pPr>
      <w:bookmarkStart w:id="100" w:name="_Toc533094054"/>
      <w:r w:rsidRPr="007E5633">
        <w:rPr>
          <w:rFonts w:cs="Arial"/>
          <w:sz w:val="22"/>
          <w:szCs w:val="22"/>
          <w:lang w:val="uk-UA"/>
        </w:rPr>
        <w:t>Схема</w:t>
      </w:r>
      <w:r w:rsidR="00895CBB" w:rsidRPr="007E5633">
        <w:rPr>
          <w:rFonts w:cs="Arial"/>
          <w:sz w:val="22"/>
          <w:szCs w:val="22"/>
          <w:lang w:val="uk-UA"/>
        </w:rPr>
        <w:t xml:space="preserve"> </w:t>
      </w:r>
      <w:r w:rsidR="00622EE2" w:rsidRPr="007E5633">
        <w:rPr>
          <w:rFonts w:cs="Arial"/>
          <w:sz w:val="22"/>
          <w:szCs w:val="22"/>
          <w:lang w:val="uk-UA"/>
        </w:rPr>
        <w:fldChar w:fldCharType="begin"/>
      </w:r>
      <w:r w:rsidR="00895CBB"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27</w:t>
      </w:r>
      <w:r w:rsidR="00622EE2" w:rsidRPr="007E5633">
        <w:rPr>
          <w:rFonts w:cs="Arial"/>
          <w:sz w:val="22"/>
          <w:szCs w:val="22"/>
          <w:lang w:val="uk-UA"/>
        </w:rPr>
        <w:fldChar w:fldCharType="end"/>
      </w:r>
      <w:r w:rsidR="00895CBB" w:rsidRPr="007E5633">
        <w:rPr>
          <w:rFonts w:cs="Arial"/>
          <w:sz w:val="22"/>
          <w:szCs w:val="22"/>
          <w:lang w:val="uk-UA"/>
        </w:rPr>
        <w:t xml:space="preserve">: </w:t>
      </w:r>
      <w:r w:rsidRPr="007E5633">
        <w:rPr>
          <w:rFonts w:cs="Arial"/>
          <w:sz w:val="22"/>
          <w:szCs w:val="22"/>
          <w:lang w:val="uk-UA"/>
        </w:rPr>
        <w:t>«Ліквідаційний неттінг»</w:t>
      </w:r>
      <w:bookmarkEnd w:id="100"/>
    </w:p>
    <w:p w14:paraId="65DEA616" w14:textId="77777777" w:rsidR="00E4309C" w:rsidRPr="007E5633" w:rsidRDefault="00CA2917" w:rsidP="00E4309C">
      <w:pPr>
        <w:spacing w:line="240" w:lineRule="auto"/>
        <w:ind w:left="426"/>
        <w:jc w:val="both"/>
        <w:rPr>
          <w:rFonts w:ascii="Arial" w:hAnsi="Arial" w:cs="Arial"/>
          <w:highlight w:val="yellow"/>
          <w:lang w:val="uk-UA"/>
        </w:rPr>
      </w:pPr>
      <w:r w:rsidRPr="007E5633">
        <w:rPr>
          <w:rFonts w:ascii="Arial" w:hAnsi="Arial" w:cs="Arial"/>
          <w:noProof/>
          <w:lang w:val="en-US"/>
        </w:rPr>
        <w:drawing>
          <wp:inline distT="0" distB="0" distL="0" distR="0" wp14:anchorId="015DB47B" wp14:editId="02E18F14">
            <wp:extent cx="4546121" cy="1747324"/>
            <wp:effectExtent l="0" t="0" r="6985" b="57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t="16491"/>
                    <a:stretch/>
                  </pic:blipFill>
                  <pic:spPr bwMode="auto">
                    <a:xfrm>
                      <a:off x="0" y="0"/>
                      <a:ext cx="4547050" cy="1747681"/>
                    </a:xfrm>
                    <a:prstGeom prst="rect">
                      <a:avLst/>
                    </a:prstGeom>
                    <a:ln>
                      <a:noFill/>
                    </a:ln>
                    <a:extLst>
                      <a:ext uri="{53640926-AAD7-44D8-BBD7-CCE9431645EC}">
                        <a14:shadowObscured xmlns:a14="http://schemas.microsoft.com/office/drawing/2010/main"/>
                      </a:ext>
                    </a:extLst>
                  </pic:spPr>
                </pic:pic>
              </a:graphicData>
            </a:graphic>
          </wp:inline>
        </w:drawing>
      </w:r>
    </w:p>
    <w:p w14:paraId="29968D02" w14:textId="77777777" w:rsidR="00FF6B93" w:rsidRPr="007E5633" w:rsidRDefault="00FF6B93" w:rsidP="00FF6B93">
      <w:pPr>
        <w:pStyle w:val="af4"/>
        <w:rPr>
          <w:i/>
          <w:sz w:val="22"/>
          <w:szCs w:val="22"/>
          <w:lang w:val="uk-UA"/>
        </w:rPr>
      </w:pPr>
      <w:r w:rsidRPr="007E5633">
        <w:rPr>
          <w:i/>
          <w:sz w:val="22"/>
          <w:szCs w:val="22"/>
          <w:lang w:val="uk-UA"/>
        </w:rPr>
        <w:t>Джерело: EFET</w:t>
      </w:r>
    </w:p>
    <w:p w14:paraId="0FAC589A" w14:textId="77777777" w:rsidR="00FF6B93" w:rsidRPr="007E5633" w:rsidRDefault="00FF6B93" w:rsidP="00FF6B93">
      <w:pPr>
        <w:pStyle w:val="af4"/>
        <w:rPr>
          <w:sz w:val="22"/>
          <w:szCs w:val="22"/>
          <w:lang w:val="uk-UA"/>
        </w:rPr>
      </w:pPr>
      <w:r w:rsidRPr="007E5633">
        <w:rPr>
          <w:sz w:val="22"/>
          <w:szCs w:val="22"/>
          <w:lang w:val="uk-UA"/>
        </w:rPr>
        <w:t>Вплив «ліквідаційного неттінгу» - це ефективне зменшення ризику контрагента через заздалегідь визначену подію дефолту (MAC - Material Adverse Change, тобто Матеріальна негативна зміна обставин), що призводить до припинення торговельних відносин шляхом ринкового розрахунку прибутків та збитків, що веде до погашення (set-off).</w:t>
      </w:r>
    </w:p>
    <w:p w14:paraId="61CFBB60" w14:textId="77777777" w:rsidR="000322E5" w:rsidRPr="007E5633" w:rsidRDefault="000322E5">
      <w:pPr>
        <w:suppressAutoHyphens w:val="0"/>
        <w:rPr>
          <w:rFonts w:ascii="Arial" w:eastAsia="Times New Roman" w:hAnsi="Arial" w:cs="Arial"/>
          <w:b/>
          <w:color w:val="31417A"/>
          <w:lang w:val="uk-UA" w:eastAsia="de-DE"/>
        </w:rPr>
      </w:pPr>
      <w:bookmarkStart w:id="101" w:name="_Toc526775029"/>
      <w:r w:rsidRPr="007E5633">
        <w:rPr>
          <w:rFonts w:ascii="Arial" w:hAnsi="Arial" w:cs="Arial"/>
          <w:lang w:val="uk-UA"/>
        </w:rPr>
        <w:br w:type="page"/>
      </w:r>
    </w:p>
    <w:p w14:paraId="79542AE3" w14:textId="77777777" w:rsidR="00E4309C" w:rsidRPr="007E5633" w:rsidRDefault="00FF6B93" w:rsidP="00912D9A">
      <w:pPr>
        <w:pStyle w:val="FSHeader1"/>
        <w:keepNext w:val="0"/>
        <w:pageBreakBefore w:val="0"/>
        <w:numPr>
          <w:ilvl w:val="1"/>
          <w:numId w:val="27"/>
        </w:numPr>
        <w:spacing w:after="120"/>
        <w:ind w:left="434" w:hanging="434"/>
        <w:rPr>
          <w:rFonts w:ascii="Arial" w:hAnsi="Arial" w:cs="Arial"/>
          <w:sz w:val="26"/>
          <w:szCs w:val="26"/>
          <w:lang w:val="uk-UA"/>
        </w:rPr>
      </w:pPr>
      <w:bookmarkStart w:id="102" w:name="_Toc533093933"/>
      <w:r w:rsidRPr="007E5633">
        <w:rPr>
          <w:rFonts w:ascii="Arial" w:hAnsi="Arial" w:cs="Arial"/>
          <w:sz w:val="26"/>
          <w:szCs w:val="26"/>
          <w:lang w:val="uk-UA"/>
        </w:rPr>
        <w:lastRenderedPageBreak/>
        <w:t>Режими звітності щодо транзакцій</w:t>
      </w:r>
      <w:bookmarkEnd w:id="102"/>
      <w:r w:rsidRPr="007E5633">
        <w:rPr>
          <w:rFonts w:ascii="Arial" w:hAnsi="Arial" w:cs="Arial"/>
          <w:sz w:val="26"/>
          <w:szCs w:val="26"/>
          <w:lang w:val="uk-UA"/>
        </w:rPr>
        <w:t xml:space="preserve"> </w:t>
      </w:r>
      <w:bookmarkEnd w:id="101"/>
    </w:p>
    <w:p w14:paraId="2CFE3E94" w14:textId="77777777" w:rsidR="00A046FD" w:rsidRPr="007E5633" w:rsidRDefault="00FF6B93" w:rsidP="00912D9A">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03" w:name="_Toc533093934"/>
      <w:bookmarkStart w:id="104" w:name="_Toc427602895"/>
      <w:bookmarkStart w:id="105" w:name="_Toc428217575"/>
      <w:r w:rsidRPr="007E5633">
        <w:rPr>
          <w:rFonts w:ascii="Arial" w:hAnsi="Arial" w:cs="Arial"/>
          <w:color w:val="auto"/>
          <w:sz w:val="22"/>
          <w:szCs w:val="22"/>
          <w:lang w:val="uk-UA"/>
        </w:rPr>
        <w:t>Регуляторна звітність</w:t>
      </w:r>
      <w:bookmarkEnd w:id="103"/>
    </w:p>
    <w:p w14:paraId="30B36DD6" w14:textId="77777777" w:rsidR="00FF6B93" w:rsidRPr="007E5633" w:rsidRDefault="00FF6B93" w:rsidP="00FF6B93">
      <w:pPr>
        <w:pStyle w:val="af4"/>
        <w:rPr>
          <w:sz w:val="22"/>
          <w:szCs w:val="22"/>
          <w:lang w:val="uk-UA"/>
        </w:rPr>
      </w:pPr>
      <w:r w:rsidRPr="007E5633">
        <w:rPr>
          <w:sz w:val="22"/>
          <w:szCs w:val="22"/>
          <w:lang w:val="uk-UA"/>
        </w:rPr>
        <w:t>Обґрунтуванням запровадження та постійної еволюції режимів звітування про транзакції є виявлення та вивчення потенційних випадків зловживання ринком, моніторингу та забезпечення справедливого та впорядкованого функціонування ринків, а також моніторингу діяльності інвестиційних компаній, енерготрейдерів та інших учасників ринку.</w:t>
      </w:r>
    </w:p>
    <w:p w14:paraId="6E897BD0" w14:textId="77777777" w:rsidR="00FF6B93" w:rsidRPr="007E5633" w:rsidRDefault="00FF6B93" w:rsidP="00FF6B93">
      <w:pPr>
        <w:pStyle w:val="af4"/>
        <w:rPr>
          <w:sz w:val="22"/>
          <w:szCs w:val="22"/>
          <w:lang w:val="uk-UA"/>
        </w:rPr>
      </w:pPr>
      <w:r w:rsidRPr="007E5633">
        <w:rPr>
          <w:sz w:val="22"/>
          <w:szCs w:val="22"/>
          <w:lang w:val="uk-UA"/>
        </w:rPr>
        <w:t>З точки зору оцінки ситуації в Україні, з нинішнього регуляторного ландшафту було виділено три основні напрямки.</w:t>
      </w:r>
    </w:p>
    <w:p w14:paraId="2B5FC8EF" w14:textId="23AC89C1" w:rsidR="00895CBB" w:rsidRPr="007E5633" w:rsidRDefault="00FF6B93" w:rsidP="00895CBB">
      <w:pPr>
        <w:pStyle w:val="af1"/>
        <w:jc w:val="left"/>
        <w:rPr>
          <w:rFonts w:cs="Arial"/>
          <w:sz w:val="22"/>
          <w:szCs w:val="22"/>
          <w:lang w:val="uk-UA"/>
        </w:rPr>
      </w:pPr>
      <w:bookmarkStart w:id="106" w:name="_Toc533094055"/>
      <w:r w:rsidRPr="007E5633">
        <w:rPr>
          <w:rFonts w:cs="Arial"/>
          <w:sz w:val="22"/>
          <w:szCs w:val="22"/>
          <w:lang w:val="uk-UA"/>
        </w:rPr>
        <w:t>Схема</w:t>
      </w:r>
      <w:r w:rsidR="00895CBB" w:rsidRPr="007E5633">
        <w:rPr>
          <w:rFonts w:cs="Arial"/>
          <w:sz w:val="22"/>
          <w:szCs w:val="22"/>
          <w:lang w:val="uk-UA"/>
        </w:rPr>
        <w:t xml:space="preserve"> </w:t>
      </w:r>
      <w:r w:rsidR="00622EE2" w:rsidRPr="007E5633">
        <w:rPr>
          <w:rFonts w:cs="Arial"/>
          <w:sz w:val="22"/>
          <w:szCs w:val="22"/>
          <w:lang w:val="uk-UA"/>
        </w:rPr>
        <w:fldChar w:fldCharType="begin"/>
      </w:r>
      <w:r w:rsidR="00895CBB"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28</w:t>
      </w:r>
      <w:r w:rsidR="00622EE2" w:rsidRPr="007E5633">
        <w:rPr>
          <w:rFonts w:cs="Arial"/>
          <w:sz w:val="22"/>
          <w:szCs w:val="22"/>
          <w:lang w:val="uk-UA"/>
        </w:rPr>
        <w:fldChar w:fldCharType="end"/>
      </w:r>
      <w:r w:rsidR="00895CBB" w:rsidRPr="007E5633">
        <w:rPr>
          <w:rFonts w:cs="Arial"/>
          <w:sz w:val="22"/>
          <w:szCs w:val="22"/>
          <w:lang w:val="uk-UA"/>
        </w:rPr>
        <w:t xml:space="preserve">: </w:t>
      </w:r>
      <w:r w:rsidRPr="007E5633">
        <w:rPr>
          <w:rFonts w:cs="Arial"/>
          <w:sz w:val="22"/>
          <w:szCs w:val="22"/>
          <w:lang w:val="uk-UA"/>
        </w:rPr>
        <w:t>Регуляторна звітність</w:t>
      </w:r>
      <w:bookmarkEnd w:id="106"/>
      <w:r w:rsidRPr="007E5633">
        <w:rPr>
          <w:rFonts w:cs="Arial"/>
          <w:sz w:val="22"/>
          <w:szCs w:val="22"/>
          <w:lang w:val="uk-UA"/>
        </w:rPr>
        <w:t xml:space="preserve"> </w:t>
      </w:r>
    </w:p>
    <w:p w14:paraId="14AC41BB" w14:textId="77777777" w:rsidR="00A046FD" w:rsidRPr="007E5633" w:rsidRDefault="00A046FD" w:rsidP="00A046FD">
      <w:pPr>
        <w:pStyle w:val="af4"/>
        <w:rPr>
          <w:sz w:val="22"/>
          <w:szCs w:val="22"/>
          <w:lang w:val="uk-UA"/>
        </w:rPr>
      </w:pPr>
      <w:r w:rsidRPr="007E5633">
        <w:rPr>
          <w:noProof/>
          <w:sz w:val="22"/>
          <w:szCs w:val="22"/>
          <w:lang w:val="en-US"/>
        </w:rPr>
        <w:drawing>
          <wp:inline distT="0" distB="0" distL="0" distR="0" wp14:anchorId="223AB52E" wp14:editId="41456C8E">
            <wp:extent cx="5082363" cy="284135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02809" cy="2852784"/>
                    </a:xfrm>
                    <a:prstGeom prst="rect">
                      <a:avLst/>
                    </a:prstGeom>
                    <a:noFill/>
                    <a:ln>
                      <a:noFill/>
                    </a:ln>
                  </pic:spPr>
                </pic:pic>
              </a:graphicData>
            </a:graphic>
          </wp:inline>
        </w:drawing>
      </w:r>
    </w:p>
    <w:p w14:paraId="2F6272A9" w14:textId="77777777" w:rsidR="00FF6B93" w:rsidRPr="007E5633" w:rsidRDefault="00FF6B93" w:rsidP="00FF6B93">
      <w:pPr>
        <w:pStyle w:val="af4"/>
        <w:rPr>
          <w:i/>
          <w:sz w:val="22"/>
          <w:szCs w:val="22"/>
          <w:lang w:val="uk-UA"/>
        </w:rPr>
      </w:pPr>
      <w:bookmarkStart w:id="107" w:name="_Toc526775031"/>
      <w:r w:rsidRPr="007E5633">
        <w:rPr>
          <w:i/>
          <w:sz w:val="22"/>
          <w:szCs w:val="22"/>
          <w:lang w:val="uk-UA"/>
        </w:rPr>
        <w:t>Джерело: PwC</w:t>
      </w:r>
    </w:p>
    <w:p w14:paraId="6ED57B0F" w14:textId="77777777" w:rsidR="00A046FD" w:rsidRPr="007E5633" w:rsidRDefault="00FF6B93" w:rsidP="00912D9A">
      <w:pPr>
        <w:pStyle w:val="FSHeader1"/>
        <w:keepNext w:val="0"/>
        <w:pageBreakBefore w:val="0"/>
        <w:numPr>
          <w:ilvl w:val="2"/>
          <w:numId w:val="27"/>
        </w:numPr>
        <w:spacing w:after="120"/>
        <w:rPr>
          <w:rFonts w:ascii="Arial" w:hAnsi="Arial" w:cs="Arial"/>
          <w:color w:val="auto"/>
          <w:sz w:val="22"/>
          <w:szCs w:val="22"/>
          <w:lang w:val="uk-UA"/>
        </w:rPr>
      </w:pPr>
      <w:bookmarkStart w:id="108" w:name="_Toc533093935"/>
      <w:bookmarkEnd w:id="107"/>
      <w:r w:rsidRPr="007E5633">
        <w:rPr>
          <w:rFonts w:ascii="Arial" w:hAnsi="Arial" w:cs="Arial"/>
          <w:color w:val="auto"/>
          <w:sz w:val="22"/>
          <w:szCs w:val="22"/>
          <w:lang w:val="uk-UA"/>
        </w:rPr>
        <w:t>Звітність про транзакції</w:t>
      </w:r>
      <w:bookmarkEnd w:id="108"/>
    </w:p>
    <w:p w14:paraId="0EDEDB19" w14:textId="77777777" w:rsidR="00F925AB" w:rsidRPr="007E5633" w:rsidRDefault="00FF6B93" w:rsidP="00912D9A">
      <w:pPr>
        <w:pStyle w:val="FSHeader1"/>
        <w:keepNext w:val="0"/>
        <w:pageBreakBefore w:val="0"/>
        <w:numPr>
          <w:ilvl w:val="3"/>
          <w:numId w:val="27"/>
        </w:numPr>
        <w:spacing w:after="120"/>
        <w:rPr>
          <w:rFonts w:ascii="Arial" w:hAnsi="Arial" w:cs="Arial"/>
          <w:color w:val="auto"/>
          <w:sz w:val="22"/>
          <w:szCs w:val="22"/>
          <w:lang w:val="uk-UA"/>
        </w:rPr>
      </w:pPr>
      <w:bookmarkStart w:id="109" w:name="_Toc533093936"/>
      <w:r w:rsidRPr="007E5633">
        <w:rPr>
          <w:rFonts w:ascii="Arial" w:hAnsi="Arial" w:cs="Arial"/>
          <w:color w:val="auto"/>
          <w:sz w:val="22"/>
          <w:szCs w:val="22"/>
          <w:lang w:val="uk-UA"/>
        </w:rPr>
        <w:t>Обов'язок звітності в рамках EMIR</w:t>
      </w:r>
      <w:bookmarkEnd w:id="109"/>
    </w:p>
    <w:p w14:paraId="1688103F" w14:textId="77777777" w:rsidR="00FF6B93" w:rsidRPr="007E5633" w:rsidRDefault="00FF6B93" w:rsidP="00FF6B93">
      <w:pPr>
        <w:pStyle w:val="af4"/>
        <w:rPr>
          <w:sz w:val="22"/>
          <w:szCs w:val="22"/>
          <w:lang w:val="uk-UA"/>
        </w:rPr>
      </w:pPr>
      <w:r w:rsidRPr="007E5633">
        <w:rPr>
          <w:sz w:val="22"/>
          <w:szCs w:val="22"/>
          <w:lang w:val="uk-UA"/>
        </w:rPr>
        <w:t>Мета прийнятого Європейським Союзом у 2012 році Регламенту (ЄС) № 648/2012 Європейського Парламенту та Ради від 4 липня 2012 р. Щодо позабіржових деривативів, центральних контрагентів та сховищ торговельних операцій (EMIR) мав полягати у підвищенні прозорості ринків позабіржових деривативів, пом'якшенні кредитного ризику та зменшенні операційного ризику. Після фінансової кризи Європейський Союз вирішив запровадити положення, яке б дозволило контролювати вартість відкритої позиції у фінансових інструментах. Визначення фінансових інструментів, що використовуються в EMIR, включає похідні фінансові інструменти, що торгуються як на регульованих, так і позабіржових ринках (див. розділ C у Додатку 1 до MiFID II).</w:t>
      </w:r>
    </w:p>
    <w:p w14:paraId="7CE40345" w14:textId="77777777" w:rsidR="00FF6B93" w:rsidRPr="007E5633" w:rsidRDefault="00FF6B93" w:rsidP="00FF6B93">
      <w:pPr>
        <w:pStyle w:val="af4"/>
        <w:rPr>
          <w:sz w:val="22"/>
          <w:szCs w:val="22"/>
          <w:lang w:val="uk-UA"/>
        </w:rPr>
      </w:pPr>
      <w:r w:rsidRPr="007E5633">
        <w:rPr>
          <w:sz w:val="22"/>
          <w:szCs w:val="22"/>
          <w:lang w:val="uk-UA"/>
        </w:rPr>
        <w:t xml:space="preserve">Вимоги, накладені Регламентом EMIR, спрямовані головним чином на фінансові установи. Проте, нефінансові контрагенти відіграють велику роль на позабіржовому ринку (не лише на ринку </w:t>
      </w:r>
      <w:r w:rsidR="000F2B19" w:rsidRPr="000F2B19">
        <w:rPr>
          <w:sz w:val="22"/>
          <w:szCs w:val="22"/>
          <w:lang w:val="uk-UA"/>
        </w:rPr>
        <w:t>товарних контрактів</w:t>
      </w:r>
      <w:r w:rsidRPr="007E5633">
        <w:rPr>
          <w:sz w:val="22"/>
          <w:szCs w:val="22"/>
          <w:lang w:val="uk-UA"/>
        </w:rPr>
        <w:t>), отже, вони також є предметом EMIR Regulation. Визначення нефінансового контрагента розподіляє компанії на дві групи: NFC+ та NFC</w:t>
      </w:r>
      <w:r w:rsidR="00BD153C">
        <w:rPr>
          <w:sz w:val="22"/>
          <w:szCs w:val="22"/>
          <w:lang w:val="uk-UA"/>
        </w:rPr>
        <w:t>-</w:t>
      </w:r>
      <w:r w:rsidR="006A36B9" w:rsidRPr="007E5633">
        <w:rPr>
          <w:sz w:val="22"/>
          <w:szCs w:val="22"/>
          <w:lang w:val="uk-UA"/>
        </w:rPr>
        <w:t>.</w:t>
      </w:r>
      <w:r w:rsidR="00BD153C">
        <w:rPr>
          <w:sz w:val="22"/>
          <w:szCs w:val="22"/>
          <w:lang w:val="uk-UA"/>
        </w:rPr>
        <w:t xml:space="preserve"> </w:t>
      </w:r>
      <w:r w:rsidRPr="007E5633">
        <w:rPr>
          <w:sz w:val="22"/>
          <w:szCs w:val="22"/>
          <w:lang w:val="uk-UA"/>
        </w:rPr>
        <w:t xml:space="preserve">Основою класифікації нефінансових контрагентів є валова умовна вартість деривативних контрактів, які ця компанія уклала. Компанія вважається NFC+, якщо відкрита позиція по позабіржовому похідному інструменту цієї компанії перевищує </w:t>
      </w:r>
      <w:r w:rsidRPr="007E5633">
        <w:rPr>
          <w:sz w:val="22"/>
          <w:szCs w:val="22"/>
          <w:lang w:val="uk-UA"/>
        </w:rPr>
        <w:lastRenderedPageBreak/>
        <w:t>суму, встановлену ESMA (так званий «кліринговий поріг»). В іншому випадку, компанія потрапляє до категорії NFC-. До компаній NFC+ застосовуються вимоги EMIR.</w:t>
      </w:r>
    </w:p>
    <w:tbl>
      <w:tblPr>
        <w:tblStyle w:val="af6"/>
        <w:tblW w:w="0" w:type="auto"/>
        <w:tblBorders>
          <w:top w:val="none" w:sz="0" w:space="0" w:color="auto"/>
          <w:left w:val="none" w:sz="0" w:space="0" w:color="auto"/>
          <w:bottom w:val="none" w:sz="0" w:space="0" w:color="auto"/>
          <w:right w:val="none" w:sz="0" w:space="0" w:color="auto"/>
          <w:insideH w:val="single" w:sz="4" w:space="0" w:color="F79646" w:themeColor="accent6"/>
          <w:insideV w:val="none" w:sz="0" w:space="0" w:color="auto"/>
        </w:tblBorders>
        <w:tblCellMar>
          <w:top w:w="85" w:type="dxa"/>
          <w:bottom w:w="85" w:type="dxa"/>
        </w:tblCellMar>
        <w:tblLook w:val="04A0" w:firstRow="1" w:lastRow="0" w:firstColumn="1" w:lastColumn="0" w:noHBand="0" w:noVBand="1"/>
      </w:tblPr>
      <w:tblGrid>
        <w:gridCol w:w="4816"/>
        <w:gridCol w:w="2211"/>
        <w:gridCol w:w="1999"/>
      </w:tblGrid>
      <w:tr w:rsidR="00A046FD" w:rsidRPr="007E5633" w14:paraId="552E0DF2" w14:textId="77777777" w:rsidTr="000A7BA9">
        <w:tc>
          <w:tcPr>
            <w:tcW w:w="4928" w:type="dxa"/>
            <w:tcBorders>
              <w:bottom w:val="single" w:sz="4" w:space="0" w:color="F79646" w:themeColor="accent6"/>
            </w:tcBorders>
            <w:shd w:val="clear" w:color="auto" w:fill="auto"/>
          </w:tcPr>
          <w:p w14:paraId="525E6BB8" w14:textId="77777777" w:rsidR="00A046FD" w:rsidRPr="007E5633" w:rsidRDefault="00A046FD" w:rsidP="000A7BA9">
            <w:pPr>
              <w:pStyle w:val="af4"/>
              <w:rPr>
                <w:sz w:val="22"/>
                <w:szCs w:val="22"/>
                <w:highlight w:val="yellow"/>
                <w:lang w:val="uk-UA"/>
              </w:rPr>
            </w:pPr>
          </w:p>
        </w:tc>
        <w:tc>
          <w:tcPr>
            <w:tcW w:w="2268" w:type="dxa"/>
            <w:tcBorders>
              <w:bottom w:val="single" w:sz="4" w:space="0" w:color="F79646" w:themeColor="accent6"/>
            </w:tcBorders>
            <w:shd w:val="clear" w:color="auto" w:fill="auto"/>
          </w:tcPr>
          <w:p w14:paraId="0B576337" w14:textId="77777777" w:rsidR="00A046FD" w:rsidRPr="007E5633" w:rsidRDefault="00A046FD" w:rsidP="000A7BA9">
            <w:pPr>
              <w:pStyle w:val="af4"/>
              <w:jc w:val="center"/>
              <w:rPr>
                <w:b/>
                <w:sz w:val="22"/>
                <w:szCs w:val="22"/>
                <w:lang w:val="uk-UA"/>
              </w:rPr>
            </w:pPr>
            <w:r w:rsidRPr="007E5633">
              <w:rPr>
                <w:b/>
                <w:sz w:val="22"/>
                <w:szCs w:val="22"/>
                <w:lang w:val="uk-UA"/>
              </w:rPr>
              <w:t>NFC-</w:t>
            </w:r>
          </w:p>
        </w:tc>
        <w:tc>
          <w:tcPr>
            <w:tcW w:w="2046" w:type="dxa"/>
            <w:tcBorders>
              <w:bottom w:val="single" w:sz="4" w:space="0" w:color="F79646" w:themeColor="accent6"/>
            </w:tcBorders>
            <w:shd w:val="clear" w:color="auto" w:fill="auto"/>
          </w:tcPr>
          <w:p w14:paraId="3285E1A4" w14:textId="77777777" w:rsidR="00A046FD" w:rsidRPr="007E5633" w:rsidRDefault="00A046FD" w:rsidP="000A7BA9">
            <w:pPr>
              <w:pStyle w:val="af4"/>
              <w:jc w:val="center"/>
              <w:rPr>
                <w:b/>
                <w:sz w:val="22"/>
                <w:szCs w:val="22"/>
                <w:lang w:val="uk-UA"/>
              </w:rPr>
            </w:pPr>
            <w:r w:rsidRPr="007E5633">
              <w:rPr>
                <w:b/>
                <w:sz w:val="22"/>
                <w:szCs w:val="22"/>
                <w:lang w:val="uk-UA"/>
              </w:rPr>
              <w:t>NFC+</w:t>
            </w:r>
          </w:p>
        </w:tc>
      </w:tr>
      <w:tr w:rsidR="00A046FD" w:rsidRPr="007E5633" w14:paraId="72364CD5" w14:textId="77777777" w:rsidTr="000A7BA9">
        <w:tc>
          <w:tcPr>
            <w:tcW w:w="4928" w:type="dxa"/>
            <w:tcBorders>
              <w:top w:val="single" w:sz="4" w:space="0" w:color="F79646" w:themeColor="accent6"/>
              <w:bottom w:val="single" w:sz="4" w:space="0" w:color="A6A6A6" w:themeColor="background1" w:themeShade="A6"/>
            </w:tcBorders>
            <w:shd w:val="clear" w:color="auto" w:fill="auto"/>
          </w:tcPr>
          <w:p w14:paraId="62D9CDAF" w14:textId="77777777" w:rsidR="00A046FD" w:rsidRPr="007E5633" w:rsidRDefault="00FF6B93" w:rsidP="000A7BA9">
            <w:pPr>
              <w:pStyle w:val="af4"/>
              <w:rPr>
                <w:sz w:val="22"/>
                <w:szCs w:val="22"/>
                <w:highlight w:val="yellow"/>
                <w:lang w:val="uk-UA"/>
              </w:rPr>
            </w:pPr>
            <w:r w:rsidRPr="007E5633">
              <w:rPr>
                <w:sz w:val="22"/>
                <w:szCs w:val="22"/>
                <w:lang w:val="uk-UA"/>
              </w:rPr>
              <w:t>Подається звітність про всі укладені деривативні</w:t>
            </w:r>
            <w:r w:rsidR="00BD153C">
              <w:rPr>
                <w:sz w:val="22"/>
                <w:szCs w:val="22"/>
                <w:lang w:val="uk-UA"/>
              </w:rPr>
              <w:t xml:space="preserve"> угоди до Торговельного репозита</w:t>
            </w:r>
            <w:r w:rsidRPr="007E5633">
              <w:rPr>
                <w:sz w:val="22"/>
                <w:szCs w:val="22"/>
                <w:lang w:val="uk-UA"/>
              </w:rPr>
              <w:t>рію (Trade Repository)</w:t>
            </w:r>
          </w:p>
        </w:tc>
        <w:tc>
          <w:tcPr>
            <w:tcW w:w="2268" w:type="dxa"/>
            <w:tcBorders>
              <w:top w:val="single" w:sz="4" w:space="0" w:color="F79646" w:themeColor="accent6"/>
              <w:bottom w:val="single" w:sz="4" w:space="0" w:color="A6A6A6" w:themeColor="background1" w:themeShade="A6"/>
            </w:tcBorders>
            <w:shd w:val="clear" w:color="auto" w:fill="auto"/>
          </w:tcPr>
          <w:p w14:paraId="58B4AB6F" w14:textId="77777777" w:rsidR="00A046FD" w:rsidRPr="007E5633" w:rsidRDefault="00A046FD" w:rsidP="000A7BA9">
            <w:pPr>
              <w:pStyle w:val="af4"/>
              <w:jc w:val="center"/>
              <w:rPr>
                <w:sz w:val="22"/>
                <w:szCs w:val="22"/>
                <w:lang w:val="uk-UA"/>
              </w:rPr>
            </w:pPr>
            <w:r w:rsidRPr="007E5633">
              <w:rPr>
                <w:sz w:val="22"/>
                <w:szCs w:val="22"/>
                <w:lang w:val="uk-UA"/>
              </w:rPr>
              <w:t>X</w:t>
            </w:r>
          </w:p>
        </w:tc>
        <w:tc>
          <w:tcPr>
            <w:tcW w:w="2046" w:type="dxa"/>
            <w:tcBorders>
              <w:top w:val="single" w:sz="4" w:space="0" w:color="F79646" w:themeColor="accent6"/>
              <w:bottom w:val="single" w:sz="4" w:space="0" w:color="A6A6A6" w:themeColor="background1" w:themeShade="A6"/>
            </w:tcBorders>
            <w:shd w:val="clear" w:color="auto" w:fill="auto"/>
          </w:tcPr>
          <w:p w14:paraId="26219AA4" w14:textId="77777777" w:rsidR="00A046FD" w:rsidRPr="007E5633" w:rsidRDefault="00A046FD" w:rsidP="000A7BA9">
            <w:pPr>
              <w:pStyle w:val="af4"/>
              <w:jc w:val="center"/>
              <w:rPr>
                <w:sz w:val="22"/>
                <w:szCs w:val="22"/>
                <w:lang w:val="uk-UA"/>
              </w:rPr>
            </w:pPr>
            <w:r w:rsidRPr="007E5633">
              <w:rPr>
                <w:sz w:val="22"/>
                <w:szCs w:val="22"/>
                <w:lang w:val="uk-UA"/>
              </w:rPr>
              <w:t>X</w:t>
            </w:r>
          </w:p>
        </w:tc>
      </w:tr>
      <w:tr w:rsidR="00A046FD" w:rsidRPr="007E5633" w14:paraId="5AB87253" w14:textId="77777777" w:rsidTr="000A7BA9">
        <w:tc>
          <w:tcPr>
            <w:tcW w:w="4928" w:type="dxa"/>
            <w:tcBorders>
              <w:top w:val="single" w:sz="4" w:space="0" w:color="A6A6A6" w:themeColor="background1" w:themeShade="A6"/>
              <w:bottom w:val="single" w:sz="4" w:space="0" w:color="A6A6A6" w:themeColor="background1" w:themeShade="A6"/>
            </w:tcBorders>
            <w:shd w:val="clear" w:color="auto" w:fill="auto"/>
          </w:tcPr>
          <w:p w14:paraId="282E7D9E" w14:textId="77777777" w:rsidR="00A046FD" w:rsidRPr="007E5633" w:rsidRDefault="00FF6B93" w:rsidP="000A7BA9">
            <w:pPr>
              <w:pStyle w:val="af4"/>
              <w:rPr>
                <w:sz w:val="22"/>
                <w:szCs w:val="22"/>
                <w:highlight w:val="yellow"/>
                <w:lang w:val="uk-UA"/>
              </w:rPr>
            </w:pPr>
            <w:r w:rsidRPr="007E5633">
              <w:rPr>
                <w:sz w:val="22"/>
                <w:szCs w:val="22"/>
                <w:lang w:val="uk-UA"/>
              </w:rPr>
              <w:t>Застосовуються методи пом'якшення ризиків до позабіржових  деривативних договорів, які не проходять централізований кліринг</w:t>
            </w:r>
          </w:p>
        </w:tc>
        <w:tc>
          <w:tcPr>
            <w:tcW w:w="2268" w:type="dxa"/>
            <w:tcBorders>
              <w:top w:val="single" w:sz="4" w:space="0" w:color="A6A6A6" w:themeColor="background1" w:themeShade="A6"/>
              <w:bottom w:val="single" w:sz="4" w:space="0" w:color="A6A6A6" w:themeColor="background1" w:themeShade="A6"/>
            </w:tcBorders>
            <w:shd w:val="clear" w:color="auto" w:fill="auto"/>
          </w:tcPr>
          <w:p w14:paraId="1A95E227" w14:textId="77777777" w:rsidR="00A046FD" w:rsidRPr="007E5633" w:rsidRDefault="00A046FD" w:rsidP="000A7BA9">
            <w:pPr>
              <w:pStyle w:val="af4"/>
              <w:jc w:val="center"/>
              <w:rPr>
                <w:sz w:val="22"/>
                <w:szCs w:val="22"/>
                <w:lang w:val="uk-UA"/>
              </w:rPr>
            </w:pPr>
            <w:r w:rsidRPr="007E5633">
              <w:rPr>
                <w:sz w:val="22"/>
                <w:szCs w:val="22"/>
                <w:lang w:val="uk-UA"/>
              </w:rPr>
              <w:t>X</w:t>
            </w:r>
          </w:p>
        </w:tc>
        <w:tc>
          <w:tcPr>
            <w:tcW w:w="2046" w:type="dxa"/>
            <w:tcBorders>
              <w:top w:val="single" w:sz="4" w:space="0" w:color="A6A6A6" w:themeColor="background1" w:themeShade="A6"/>
              <w:bottom w:val="single" w:sz="4" w:space="0" w:color="A6A6A6" w:themeColor="background1" w:themeShade="A6"/>
            </w:tcBorders>
            <w:shd w:val="clear" w:color="auto" w:fill="auto"/>
          </w:tcPr>
          <w:p w14:paraId="0311BE26" w14:textId="77777777" w:rsidR="00A046FD" w:rsidRPr="007E5633" w:rsidRDefault="00A046FD" w:rsidP="000A7BA9">
            <w:pPr>
              <w:pStyle w:val="af4"/>
              <w:jc w:val="center"/>
              <w:rPr>
                <w:sz w:val="22"/>
                <w:szCs w:val="22"/>
                <w:lang w:val="uk-UA"/>
              </w:rPr>
            </w:pPr>
            <w:r w:rsidRPr="007E5633">
              <w:rPr>
                <w:sz w:val="22"/>
                <w:szCs w:val="22"/>
                <w:lang w:val="uk-UA"/>
              </w:rPr>
              <w:t>X</w:t>
            </w:r>
          </w:p>
        </w:tc>
      </w:tr>
      <w:tr w:rsidR="00A046FD" w:rsidRPr="007E5633" w14:paraId="5E93AD57" w14:textId="77777777" w:rsidTr="000A7BA9">
        <w:tc>
          <w:tcPr>
            <w:tcW w:w="4928" w:type="dxa"/>
            <w:tcBorders>
              <w:top w:val="single" w:sz="4" w:space="0" w:color="A6A6A6" w:themeColor="background1" w:themeShade="A6"/>
              <w:bottom w:val="nil"/>
            </w:tcBorders>
            <w:shd w:val="clear" w:color="auto" w:fill="auto"/>
          </w:tcPr>
          <w:p w14:paraId="7106AEAC" w14:textId="77777777" w:rsidR="00A046FD" w:rsidRPr="007E5633" w:rsidRDefault="00FF6B93" w:rsidP="000A7BA9">
            <w:pPr>
              <w:pStyle w:val="af4"/>
              <w:rPr>
                <w:sz w:val="22"/>
                <w:szCs w:val="22"/>
                <w:highlight w:val="yellow"/>
                <w:lang w:val="uk-UA"/>
              </w:rPr>
            </w:pPr>
            <w:r w:rsidRPr="007E5633">
              <w:rPr>
                <w:sz w:val="22"/>
                <w:szCs w:val="22"/>
                <w:lang w:val="uk-UA"/>
              </w:rPr>
              <w:t>Проводиться кліринг їх деривативних транзакцій через центральних контрагентів</w:t>
            </w:r>
          </w:p>
        </w:tc>
        <w:tc>
          <w:tcPr>
            <w:tcW w:w="2268" w:type="dxa"/>
            <w:tcBorders>
              <w:top w:val="single" w:sz="4" w:space="0" w:color="A6A6A6" w:themeColor="background1" w:themeShade="A6"/>
              <w:bottom w:val="nil"/>
            </w:tcBorders>
            <w:shd w:val="clear" w:color="auto" w:fill="auto"/>
          </w:tcPr>
          <w:p w14:paraId="2867E922" w14:textId="77777777" w:rsidR="00A046FD" w:rsidRPr="007E5633" w:rsidRDefault="00A046FD" w:rsidP="000A7BA9">
            <w:pPr>
              <w:pStyle w:val="af4"/>
              <w:jc w:val="center"/>
              <w:rPr>
                <w:sz w:val="22"/>
                <w:szCs w:val="22"/>
                <w:lang w:val="uk-UA"/>
              </w:rPr>
            </w:pPr>
          </w:p>
        </w:tc>
        <w:tc>
          <w:tcPr>
            <w:tcW w:w="2046" w:type="dxa"/>
            <w:tcBorders>
              <w:top w:val="single" w:sz="4" w:space="0" w:color="A6A6A6" w:themeColor="background1" w:themeShade="A6"/>
              <w:bottom w:val="nil"/>
            </w:tcBorders>
            <w:shd w:val="clear" w:color="auto" w:fill="auto"/>
          </w:tcPr>
          <w:p w14:paraId="35677F84" w14:textId="77777777" w:rsidR="00A046FD" w:rsidRPr="007E5633" w:rsidRDefault="00A046FD" w:rsidP="000A7BA9">
            <w:pPr>
              <w:pStyle w:val="af4"/>
              <w:jc w:val="center"/>
              <w:rPr>
                <w:sz w:val="22"/>
                <w:szCs w:val="22"/>
                <w:lang w:val="uk-UA"/>
              </w:rPr>
            </w:pPr>
            <w:r w:rsidRPr="007E5633">
              <w:rPr>
                <w:sz w:val="22"/>
                <w:szCs w:val="22"/>
                <w:lang w:val="uk-UA"/>
              </w:rPr>
              <w:t>X</w:t>
            </w:r>
          </w:p>
        </w:tc>
      </w:tr>
    </w:tbl>
    <w:p w14:paraId="626DB9E5" w14:textId="77777777" w:rsidR="00FF6B93" w:rsidRPr="007E5633" w:rsidRDefault="00FF6B93" w:rsidP="00FF6B93">
      <w:pPr>
        <w:pStyle w:val="af4"/>
        <w:rPr>
          <w:sz w:val="22"/>
          <w:szCs w:val="22"/>
          <w:lang w:val="uk-UA"/>
        </w:rPr>
      </w:pPr>
      <w:r w:rsidRPr="007E5633">
        <w:rPr>
          <w:sz w:val="22"/>
          <w:szCs w:val="22"/>
          <w:lang w:val="uk-UA"/>
        </w:rPr>
        <w:t>Головною метою EMIR було встановлення та регулювання діяльності центральних контрагентів (Central Counterparties (CCPs), які, як передбачається, повинні здійснювати функції клірингових установ для позабіржового ринку, у спробі перенести торгівлю фінансовими інструментами від нерозкритих двосторонніх угод (тобто угод, по яких не надається звітність) до добре регульованої інфраструктури. Оскільки направлення всіх транзакцій через CCPs було б неможливим, частина цих зусиль була направлена на те, щоб встановити принаймні подання звітності про всі операції з фінансовими інструментами, щоб надати регуляторам (компетентним органам) інформацію про позабіржовий ринок.</w:t>
      </w:r>
    </w:p>
    <w:p w14:paraId="2681777C" w14:textId="77777777" w:rsidR="00FF6B93" w:rsidRPr="007E5633" w:rsidRDefault="00FF6B93" w:rsidP="00FF6B93">
      <w:pPr>
        <w:pStyle w:val="af4"/>
        <w:rPr>
          <w:sz w:val="22"/>
          <w:szCs w:val="22"/>
          <w:lang w:val="uk-UA"/>
        </w:rPr>
      </w:pPr>
      <w:r w:rsidRPr="007E5633">
        <w:rPr>
          <w:sz w:val="22"/>
          <w:szCs w:val="22"/>
          <w:lang w:val="uk-UA"/>
        </w:rPr>
        <w:t>Загалом, згідно зі Статтею 9, докладна інформація про кожний деривативний контракт (позабіржовий та біржовий) повинна бути передана (прозвітована) торговельним репозитаріям (TRs) та доступним для наглядових органів. Торговельні репозитарії повинні оприлюднювати агреговані (сукупні) дані про позиції по класах похідних фінансових інструментів, як позабіржових, так і для лістингових похідних інструментів.</w:t>
      </w:r>
    </w:p>
    <w:p w14:paraId="4FD19C19" w14:textId="77777777" w:rsidR="00FF6B93" w:rsidRPr="007E5633" w:rsidRDefault="00FF6B93" w:rsidP="00FF6B93">
      <w:pPr>
        <w:pStyle w:val="af4"/>
        <w:rPr>
          <w:sz w:val="22"/>
          <w:szCs w:val="22"/>
          <w:lang w:val="uk-UA"/>
        </w:rPr>
      </w:pPr>
      <w:r w:rsidRPr="007E5633">
        <w:rPr>
          <w:sz w:val="22"/>
          <w:szCs w:val="22"/>
          <w:lang w:val="uk-UA"/>
        </w:rPr>
        <w:t>Згідно зі Статтею 9 (1) EMIR, кожен контрагент</w:t>
      </w:r>
      <w:r w:rsidRPr="007E5633">
        <w:rPr>
          <w:rStyle w:val="aa"/>
          <w:sz w:val="22"/>
          <w:szCs w:val="22"/>
          <w:lang w:val="uk-UA"/>
        </w:rPr>
        <w:footnoteReference w:id="9"/>
      </w:r>
      <w:r w:rsidRPr="007E5633">
        <w:rPr>
          <w:sz w:val="22"/>
          <w:szCs w:val="22"/>
          <w:lang w:val="uk-UA"/>
        </w:rPr>
        <w:t xml:space="preserve">  та CCP повинні забезпечити, щоб інформація про будь-який деривативний договір, який вони уклали, а також про будь-яку зміну або припинення такого договору, повідомлялася до торгівельного репозитарію. Релевантна інформація повинна повідомлятися не пізніше наступного робочого дня після укладання, модифікації або припинення дії контракту. Подання звітності може бути делегована контрагенту або третій стороні, наприклад, CCP, однак вся відповідальність за точне та своєчасне надання звітів по EMIR лежить на кожному з контрагентів транзакції.</w:t>
      </w:r>
    </w:p>
    <w:p w14:paraId="375E52EF" w14:textId="77777777" w:rsidR="00FF6B93" w:rsidRPr="007E5633" w:rsidRDefault="00FF6B93" w:rsidP="00FF6B93">
      <w:pPr>
        <w:pStyle w:val="af4"/>
        <w:rPr>
          <w:sz w:val="22"/>
          <w:szCs w:val="22"/>
          <w:lang w:val="uk-UA"/>
        </w:rPr>
      </w:pPr>
      <w:r w:rsidRPr="007E5633">
        <w:rPr>
          <w:sz w:val="22"/>
          <w:szCs w:val="22"/>
          <w:lang w:val="uk-UA"/>
        </w:rPr>
        <w:t>З метою забезпечення якості та надійності даних, вимога про звітність в рамках EMIR застосовується до обох контрагентів, тобто EMIR є режимом двостороннього звітування. Немає звільнення від звітування про транзакції для внутрішньогрупових операцій. Контрагенти зобов'язані вести облік (документацію) по будь-яких укладених ними похідних контрактів та будь-яких змін до таких контрактів протягом щонайменше п'яти років після припинення дії контракту.</w:t>
      </w:r>
    </w:p>
    <w:p w14:paraId="38A06B39" w14:textId="77777777" w:rsidR="009A4011" w:rsidRPr="007E5633" w:rsidRDefault="009A4011">
      <w:pPr>
        <w:suppressAutoHyphens w:val="0"/>
        <w:rPr>
          <w:rFonts w:ascii="Arial" w:hAnsi="Arial" w:cs="Arial"/>
          <w:lang w:val="uk-UA"/>
        </w:rPr>
      </w:pPr>
      <w:r w:rsidRPr="007E5633">
        <w:rPr>
          <w:lang w:val="uk-UA"/>
        </w:rPr>
        <w:br w:type="page"/>
      </w:r>
    </w:p>
    <w:p w14:paraId="7D3E3FB9" w14:textId="77777777" w:rsidR="00FF6B93" w:rsidRPr="007E5633" w:rsidRDefault="00FF6B93" w:rsidP="00FF6B93">
      <w:pPr>
        <w:pStyle w:val="af4"/>
        <w:rPr>
          <w:sz w:val="22"/>
          <w:szCs w:val="22"/>
          <w:lang w:val="uk-UA"/>
        </w:rPr>
      </w:pPr>
      <w:r w:rsidRPr="007E5633">
        <w:rPr>
          <w:sz w:val="22"/>
          <w:szCs w:val="22"/>
          <w:lang w:val="uk-UA"/>
        </w:rPr>
        <w:lastRenderedPageBreak/>
        <w:t>Інформація, яка повинна бути повідомлена (прозвітована), включає:</w:t>
      </w:r>
    </w:p>
    <w:p w14:paraId="581F8A20" w14:textId="77777777" w:rsidR="00FF6B93" w:rsidRPr="007E5633" w:rsidRDefault="00FF6B93" w:rsidP="000D248B">
      <w:pPr>
        <w:pStyle w:val="af4"/>
        <w:numPr>
          <w:ilvl w:val="0"/>
          <w:numId w:val="55"/>
        </w:numPr>
        <w:rPr>
          <w:sz w:val="22"/>
          <w:szCs w:val="22"/>
          <w:lang w:val="uk-UA"/>
        </w:rPr>
      </w:pPr>
      <w:r w:rsidRPr="007E5633">
        <w:rPr>
          <w:sz w:val="22"/>
          <w:szCs w:val="22"/>
          <w:lang w:val="uk-UA"/>
        </w:rPr>
        <w:t>інформацію про учасників контракту про похідні фінансові інструменти, а також, якщо вони є, про бенефіціарів прав та обов'язків, що випливають з такого контракту (включаючи оцінку та інформацію щодо забезпечення (застави) деяких контрагентів);</w:t>
      </w:r>
    </w:p>
    <w:p w14:paraId="4D02D972" w14:textId="77777777" w:rsidR="00FF6B93" w:rsidRPr="007E5633" w:rsidRDefault="00FF6B93" w:rsidP="000D248B">
      <w:pPr>
        <w:pStyle w:val="af4"/>
        <w:numPr>
          <w:ilvl w:val="0"/>
          <w:numId w:val="55"/>
        </w:numPr>
        <w:rPr>
          <w:sz w:val="22"/>
          <w:szCs w:val="22"/>
          <w:lang w:val="uk-UA"/>
        </w:rPr>
      </w:pPr>
      <w:r w:rsidRPr="007E5633">
        <w:rPr>
          <w:sz w:val="22"/>
          <w:szCs w:val="22"/>
          <w:lang w:val="uk-UA"/>
        </w:rPr>
        <w:t>основні характеристики похідного контракту, серед іншого, тип, термін погашення основного інструменту (активу), умовне цінність, ціна, дата розрахунку та унікальний ідентифікатор транзакції (Unique Transaction Identifier (UTI), введений для встановлення відповідностей між транзакціями (повідомляється двома контрагентами). Кожен контракт повинен бути повідомлений (прозвітований) з використанням UTI, узгодженим контрагентами та створеним відповідно до керівних принципів ESMA).</w:t>
      </w:r>
    </w:p>
    <w:p w14:paraId="015CD2DE" w14:textId="77777777" w:rsidR="00FF6B93" w:rsidRPr="007E5633" w:rsidRDefault="00FF6B93" w:rsidP="00FF6B93">
      <w:pPr>
        <w:pStyle w:val="af4"/>
        <w:rPr>
          <w:sz w:val="22"/>
          <w:szCs w:val="22"/>
          <w:lang w:val="uk-UA"/>
        </w:rPr>
      </w:pPr>
      <w:r w:rsidRPr="007E5633">
        <w:rPr>
          <w:sz w:val="22"/>
          <w:szCs w:val="22"/>
          <w:lang w:val="uk-UA"/>
        </w:rPr>
        <w:t>Обсяг даних звітності поширюється на NFC+, які мають звітуватися щодо вартості Mark-to-Market (MtM) своїх контрактів та подавати інформацію про кліринг.</w:t>
      </w:r>
    </w:p>
    <w:p w14:paraId="61124A11" w14:textId="77777777" w:rsidR="00FF6B93" w:rsidRPr="007E5633" w:rsidRDefault="00FF6B93" w:rsidP="00FF6B93">
      <w:pPr>
        <w:pStyle w:val="af4"/>
        <w:rPr>
          <w:sz w:val="22"/>
          <w:szCs w:val="22"/>
          <w:lang w:val="uk-UA"/>
        </w:rPr>
      </w:pPr>
      <w:r w:rsidRPr="007E5633">
        <w:rPr>
          <w:sz w:val="22"/>
          <w:szCs w:val="22"/>
          <w:lang w:val="uk-UA"/>
        </w:rPr>
        <w:t>Наступні документи разом з нормами, які вони змінюють, додатково визначають сферу та формат звітів про транзакції EMIR, надаючи шаблон звітів із особливостями заповнення (специфікацією) показників по кожному дозволеному параметру та інструкціям щодо їх вмісту:</w:t>
      </w:r>
    </w:p>
    <w:p w14:paraId="15B04998" w14:textId="77777777" w:rsidR="00FF6B93" w:rsidRPr="007E5633" w:rsidRDefault="00FF6B93" w:rsidP="000D248B">
      <w:pPr>
        <w:pStyle w:val="af4"/>
        <w:numPr>
          <w:ilvl w:val="0"/>
          <w:numId w:val="55"/>
        </w:numPr>
        <w:rPr>
          <w:sz w:val="22"/>
          <w:szCs w:val="22"/>
          <w:lang w:val="uk-UA"/>
        </w:rPr>
      </w:pPr>
      <w:r w:rsidRPr="007E5633">
        <w:rPr>
          <w:sz w:val="22"/>
          <w:szCs w:val="22"/>
          <w:lang w:val="uk-UA"/>
        </w:rPr>
        <w:t>Commission Delegated Regulation (EU) 2017/104 від 19 жовтня 2016 р. Про внесення змін до делегованого Регламенту (ЄС) № 148/2013, що доповнює Регламент (ЄС) № 648/2012 Європейського Парламенту та Ради щодо позабіржових похідних інструментів, центральних контрагентів та схем торгівлі що стосується нормативних технічних стандартів щодо мінімальних деталей стосовно даних, які повинні бути повідомлені до торгівельних репозитаріїв</w:t>
      </w:r>
    </w:p>
    <w:p w14:paraId="2703FBE0" w14:textId="77777777" w:rsidR="00FF6B93" w:rsidRPr="007E5633" w:rsidRDefault="00FF6B93" w:rsidP="000D248B">
      <w:pPr>
        <w:pStyle w:val="af4"/>
        <w:numPr>
          <w:ilvl w:val="0"/>
          <w:numId w:val="55"/>
        </w:numPr>
        <w:rPr>
          <w:sz w:val="22"/>
          <w:szCs w:val="22"/>
          <w:lang w:val="uk-UA"/>
        </w:rPr>
      </w:pPr>
      <w:r w:rsidRPr="007E5633">
        <w:rPr>
          <w:sz w:val="22"/>
          <w:szCs w:val="22"/>
          <w:lang w:val="uk-UA"/>
        </w:rPr>
        <w:t>Commission Implementing Regulation (EU) 2017/105 від 19 жовтня 2016 р. Про внесення змін до Регламенту (ЄС) № 1247/2012, що встановлює імплементаційні технічні стандарти стосовно формату та періодичності комерційних звітів у торгівельних репозитаріях, відповідно до Регламенту (ЄС) № 648 / 2012 Європейського парламенту та Ради з питань позабіржових деривативів, центральних контрагентів та торгівельних репозитаріїв</w:t>
      </w:r>
    </w:p>
    <w:p w14:paraId="5EE287EE" w14:textId="77777777" w:rsidR="00FF6B93" w:rsidRPr="007E5633" w:rsidRDefault="00FF6B93" w:rsidP="00FF6B93">
      <w:pPr>
        <w:pStyle w:val="af4"/>
        <w:rPr>
          <w:sz w:val="22"/>
          <w:szCs w:val="22"/>
          <w:lang w:val="uk-UA"/>
        </w:rPr>
      </w:pPr>
      <w:r w:rsidRPr="007E5633">
        <w:rPr>
          <w:sz w:val="22"/>
          <w:szCs w:val="22"/>
          <w:lang w:val="uk-UA"/>
        </w:rPr>
        <w:t>Шаблони звітів, викладені в вищезгаданих нормативних документах, містять окремі розділи щодо найпопулярніших похідних інструментів, які дозволяють визначити їх досить детальну специфікацію. Однак багато складних чи екзотичних інструментів не вписуються в ці шаблони, і по них неможливо подавати точну звітність.</w:t>
      </w:r>
    </w:p>
    <w:p w14:paraId="3385A135" w14:textId="77777777" w:rsidR="00FF6B93" w:rsidRPr="007E5633" w:rsidRDefault="00FF6B93" w:rsidP="00FF6B93">
      <w:pPr>
        <w:pStyle w:val="af4"/>
        <w:rPr>
          <w:sz w:val="22"/>
          <w:szCs w:val="22"/>
          <w:lang w:val="uk-UA"/>
        </w:rPr>
      </w:pPr>
      <w:r w:rsidRPr="007E5633">
        <w:rPr>
          <w:sz w:val="22"/>
          <w:szCs w:val="22"/>
          <w:lang w:val="uk-UA"/>
        </w:rPr>
        <w:t>Варто зазначити, що EMIR розглядався як регуляторне нововведення через те, що:</w:t>
      </w:r>
    </w:p>
    <w:p w14:paraId="28864FBD" w14:textId="77777777" w:rsidR="00FF6B93" w:rsidRPr="007E5633" w:rsidRDefault="00FF6B93" w:rsidP="000D248B">
      <w:pPr>
        <w:pStyle w:val="af4"/>
        <w:numPr>
          <w:ilvl w:val="0"/>
          <w:numId w:val="28"/>
        </w:numPr>
        <w:rPr>
          <w:sz w:val="22"/>
          <w:szCs w:val="22"/>
          <w:lang w:val="uk-UA"/>
        </w:rPr>
      </w:pPr>
      <w:r w:rsidRPr="007E5633">
        <w:rPr>
          <w:sz w:val="22"/>
          <w:szCs w:val="22"/>
          <w:lang w:val="uk-UA"/>
        </w:rPr>
        <w:t>Елементи звітності - це не лише інформація про саму транзакцію, а й дані про кліринг, забезпечення (заставу) та поточну оцінку;</w:t>
      </w:r>
    </w:p>
    <w:p w14:paraId="43ADC533" w14:textId="77777777" w:rsidR="00A046FD" w:rsidRPr="007E5633" w:rsidRDefault="00FF6B93" w:rsidP="000D248B">
      <w:pPr>
        <w:pStyle w:val="af4"/>
        <w:numPr>
          <w:ilvl w:val="0"/>
          <w:numId w:val="28"/>
        </w:numPr>
        <w:rPr>
          <w:sz w:val="22"/>
          <w:szCs w:val="22"/>
          <w:lang w:val="uk-UA"/>
        </w:rPr>
      </w:pPr>
      <w:r w:rsidRPr="007E5633">
        <w:rPr>
          <w:sz w:val="22"/>
          <w:szCs w:val="22"/>
          <w:lang w:val="uk-UA"/>
        </w:rPr>
        <w:t xml:space="preserve">Звіти охоплюють не тільки похідні фінансові інструменти, але й усі класи активів, включаючи такі: процентні ставки, валютні похідні фінансові інструменти, </w:t>
      </w:r>
      <w:r w:rsidR="000F2B19" w:rsidRPr="000F2B19">
        <w:rPr>
          <w:sz w:val="22"/>
          <w:szCs w:val="22"/>
          <w:lang w:val="uk-UA"/>
        </w:rPr>
        <w:t>товарн</w:t>
      </w:r>
      <w:r w:rsidR="000F2B19">
        <w:rPr>
          <w:sz w:val="22"/>
          <w:szCs w:val="22"/>
          <w:lang w:val="uk-UA"/>
        </w:rPr>
        <w:t>і</w:t>
      </w:r>
      <w:r w:rsidR="000F2B19" w:rsidRPr="000F2B19">
        <w:rPr>
          <w:sz w:val="22"/>
          <w:szCs w:val="22"/>
          <w:lang w:val="uk-UA"/>
        </w:rPr>
        <w:t xml:space="preserve"> контракт</w:t>
      </w:r>
      <w:r w:rsidR="000F2B19">
        <w:rPr>
          <w:sz w:val="22"/>
          <w:szCs w:val="22"/>
          <w:lang w:val="uk-UA"/>
        </w:rPr>
        <w:t>и</w:t>
      </w:r>
      <w:r w:rsidRPr="007E5633">
        <w:rPr>
          <w:sz w:val="22"/>
          <w:szCs w:val="22"/>
          <w:lang w:val="uk-UA"/>
        </w:rPr>
        <w:t>, індекси та інші фінансові інструменти як позабіржові, так і біржові.</w:t>
      </w:r>
      <w:r w:rsidRPr="007E5633">
        <w:rPr>
          <w:sz w:val="22"/>
          <w:szCs w:val="22"/>
          <w:highlight w:val="yellow"/>
          <w:lang w:val="uk-UA"/>
        </w:rPr>
        <w:t xml:space="preserve"> </w:t>
      </w:r>
    </w:p>
    <w:p w14:paraId="7C731090" w14:textId="77777777" w:rsidR="009A4011" w:rsidRPr="007E5633" w:rsidRDefault="009A4011">
      <w:pPr>
        <w:suppressAutoHyphens w:val="0"/>
        <w:rPr>
          <w:rFonts w:ascii="Arial" w:eastAsia="Times New Roman" w:hAnsi="Arial" w:cs="Arial"/>
          <w:b/>
          <w:lang w:val="uk-UA" w:eastAsia="de-DE"/>
        </w:rPr>
      </w:pPr>
      <w:r w:rsidRPr="007E5633">
        <w:rPr>
          <w:rFonts w:ascii="Arial" w:hAnsi="Arial" w:cs="Arial"/>
          <w:lang w:val="uk-UA"/>
        </w:rPr>
        <w:br w:type="page"/>
      </w:r>
    </w:p>
    <w:p w14:paraId="654F58C0" w14:textId="77777777" w:rsidR="00A046FD" w:rsidRPr="007E5633" w:rsidRDefault="00FF6B93" w:rsidP="009A4011">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110" w:name="_Toc533093937"/>
      <w:r w:rsidRPr="007E5633">
        <w:rPr>
          <w:rFonts w:ascii="Arial" w:hAnsi="Arial" w:cs="Arial"/>
          <w:color w:val="auto"/>
          <w:sz w:val="22"/>
          <w:szCs w:val="22"/>
          <w:lang w:val="uk-UA"/>
        </w:rPr>
        <w:lastRenderedPageBreak/>
        <w:t>Звітування про зобов'язання за REMIT</w:t>
      </w:r>
      <w:bookmarkEnd w:id="110"/>
    </w:p>
    <w:p w14:paraId="300CA215" w14:textId="77777777" w:rsidR="00FF6B93" w:rsidRPr="007E5633" w:rsidRDefault="00FF6B93" w:rsidP="00FF6B93">
      <w:pPr>
        <w:pStyle w:val="af4"/>
        <w:rPr>
          <w:sz w:val="22"/>
          <w:szCs w:val="22"/>
          <w:lang w:val="uk-UA"/>
        </w:rPr>
      </w:pPr>
      <w:r w:rsidRPr="007E5633">
        <w:rPr>
          <w:sz w:val="22"/>
          <w:szCs w:val="22"/>
          <w:lang w:val="uk-UA"/>
        </w:rPr>
        <w:t>Регламент REMIT</w:t>
      </w:r>
      <w:r w:rsidRPr="007E5633">
        <w:rPr>
          <w:rStyle w:val="aa"/>
          <w:sz w:val="22"/>
          <w:szCs w:val="22"/>
          <w:lang w:val="uk-UA"/>
        </w:rPr>
        <w:footnoteReference w:id="10"/>
      </w:r>
      <w:r w:rsidRPr="007E5633">
        <w:rPr>
          <w:sz w:val="22"/>
          <w:szCs w:val="22"/>
          <w:lang w:val="uk-UA"/>
        </w:rPr>
        <w:t>, прийнятий у 2011 році Європейським Парламентом та Європейською Радою, стосується лише оптових енергетичних ринків. Основною метою REMIT є виявлення та запобігання ринковим зловживанням на оптовому енергетичному ринку шляхом створення ефективних засобів моніторингу ринку регуляторами. Прозорість ринку має вирішальне значення для забезпечення того, щоб кінцеві споживачі заплатили справедливу ціну за електроенергію та газ. Учасники ринку також є бенефіціарами прозорості ринку, оскільки це допомагає створити для них рівні умови.</w:t>
      </w:r>
    </w:p>
    <w:p w14:paraId="6FB2BB6B" w14:textId="77777777" w:rsidR="00FF6B93" w:rsidRPr="007E5633" w:rsidRDefault="00FF6B93" w:rsidP="00FF6B93">
      <w:pPr>
        <w:pStyle w:val="af4"/>
        <w:rPr>
          <w:sz w:val="22"/>
          <w:szCs w:val="22"/>
          <w:lang w:val="uk-UA"/>
        </w:rPr>
      </w:pPr>
      <w:r w:rsidRPr="007E5633">
        <w:rPr>
          <w:sz w:val="22"/>
          <w:szCs w:val="22"/>
          <w:lang w:val="uk-UA"/>
        </w:rPr>
        <w:t>Впровадження REMIT також сприяло зміцненню взаємозв'язків на оптовому енергетичному ринку в Європі. Маніпулювання ринком в одній державі-члені ЄС, ймовірно, вплине на ринок енергії або природного газу в іншій державі-члені ЄС. До 2011 року меншість країн розробила надійну систему моніторингу ринку, тому необхідність відповідної ринкової цілісності та прозорості на рівні ЄС на оптових ринках газу та електроенергії була очевидною.</w:t>
      </w:r>
    </w:p>
    <w:p w14:paraId="36CCF620" w14:textId="77777777" w:rsidR="00FF6B93" w:rsidRPr="007E5633" w:rsidRDefault="00FF6B93" w:rsidP="00FF6B93">
      <w:pPr>
        <w:pStyle w:val="af4"/>
        <w:rPr>
          <w:sz w:val="22"/>
          <w:szCs w:val="22"/>
          <w:lang w:val="uk-UA"/>
        </w:rPr>
      </w:pPr>
      <w:r w:rsidRPr="007E5633">
        <w:rPr>
          <w:sz w:val="22"/>
          <w:szCs w:val="22"/>
          <w:lang w:val="uk-UA"/>
        </w:rPr>
        <w:t>Загалом, система REMIT:</w:t>
      </w:r>
    </w:p>
    <w:p w14:paraId="700B0602" w14:textId="77777777" w:rsidR="00FF6B93" w:rsidRPr="007E5633" w:rsidRDefault="00FF6B93" w:rsidP="00FF6B93">
      <w:pPr>
        <w:pStyle w:val="af4"/>
        <w:rPr>
          <w:sz w:val="22"/>
          <w:szCs w:val="22"/>
          <w:lang w:val="uk-UA"/>
        </w:rPr>
      </w:pPr>
      <w:r w:rsidRPr="007E5633">
        <w:rPr>
          <w:sz w:val="22"/>
          <w:szCs w:val="22"/>
          <w:lang w:val="uk-UA"/>
        </w:rPr>
        <w:t>1. визначає ринкове зловживання у формі ринкової маніпуляції, спроби маніпулювання ринком та інсайдерської торгівлі;</w:t>
      </w:r>
    </w:p>
    <w:p w14:paraId="71F27981" w14:textId="77777777" w:rsidR="00FF6B93" w:rsidRPr="007E5633" w:rsidRDefault="00FF6B93" w:rsidP="00FF6B93">
      <w:pPr>
        <w:pStyle w:val="af4"/>
        <w:rPr>
          <w:sz w:val="22"/>
          <w:szCs w:val="22"/>
          <w:lang w:val="uk-UA"/>
        </w:rPr>
      </w:pPr>
      <w:r w:rsidRPr="007E5633">
        <w:rPr>
          <w:sz w:val="22"/>
          <w:szCs w:val="22"/>
          <w:lang w:val="uk-UA"/>
        </w:rPr>
        <w:t>2. запроваджує заборону практики зловживання ринком,</w:t>
      </w:r>
    </w:p>
    <w:p w14:paraId="7E2C3096" w14:textId="77777777" w:rsidR="00FF6B93" w:rsidRPr="007E5633" w:rsidRDefault="00FF6B93" w:rsidP="00FF6B93">
      <w:pPr>
        <w:pStyle w:val="af4"/>
        <w:rPr>
          <w:sz w:val="22"/>
          <w:szCs w:val="22"/>
          <w:lang w:val="uk-UA"/>
        </w:rPr>
      </w:pPr>
      <w:r w:rsidRPr="007E5633">
        <w:rPr>
          <w:sz w:val="22"/>
          <w:szCs w:val="22"/>
          <w:lang w:val="uk-UA"/>
        </w:rPr>
        <w:t>3. встановлює нову основу для моніторингу оптових енергетичних ринків для виявлення та запобігання маніпуляціям ринку та інсайдерської торгівлі,</w:t>
      </w:r>
    </w:p>
    <w:p w14:paraId="0050EBE6" w14:textId="77777777" w:rsidR="00FF6B93" w:rsidRPr="007E5633" w:rsidRDefault="00FF6B93" w:rsidP="00FF6B93">
      <w:pPr>
        <w:pStyle w:val="af4"/>
        <w:rPr>
          <w:sz w:val="22"/>
          <w:szCs w:val="22"/>
          <w:lang w:val="uk-UA"/>
        </w:rPr>
      </w:pPr>
      <w:r w:rsidRPr="007E5633">
        <w:rPr>
          <w:sz w:val="22"/>
          <w:szCs w:val="22"/>
          <w:lang w:val="uk-UA"/>
        </w:rPr>
        <w:t>4. забезпечує виконання вищезгаданих заборон та накладання санкцій за порушення правил ринкового зловживання на національному рівні.</w:t>
      </w:r>
    </w:p>
    <w:p w14:paraId="3B767E58" w14:textId="77777777" w:rsidR="00FF6B93" w:rsidRPr="007E5633" w:rsidRDefault="00FF6B93" w:rsidP="00FF6B93">
      <w:pPr>
        <w:pStyle w:val="af4"/>
        <w:rPr>
          <w:sz w:val="22"/>
          <w:szCs w:val="22"/>
          <w:lang w:val="uk-UA"/>
        </w:rPr>
      </w:pPr>
      <w:r w:rsidRPr="007E5633">
        <w:rPr>
          <w:sz w:val="22"/>
          <w:szCs w:val="22"/>
          <w:lang w:val="uk-UA"/>
        </w:rPr>
        <w:t>Оптові енергетичні ринки охоплюють як фізичні, так і фінансові ринки, і включають, окрім іншого, регульовані ринки, багатосторонні торговельні платформи (MTFs), організовані торговельні платформи (OTFs), спотові біржі, позабіржові операції та двосторонні угоди, які укладалися напряму або через брокерів. Деякі з цих ринків також охоплюються фінансовим регулюванням (наприклад, такі регульовані ринки, як MTF та OTF), а деякі ні (такі як спотові біржі). Хоча REMIT подвоює деякі вимоги EMIR у сфері звітування про транзакції, і теоретично, операції, що потрапляють як до сфери дії EMIR, так і до REMIT, можуть бути прозвітовані лише за EMIR, ринкова практика повинна підходити до цих правил окремо і завжди повідомляти REMIT транзакції за режимом REMIT, навіть якщо вони також підпадають під дію інших режимів. Кожен, хто бере участь у оптовому ринку електроенергії або природного газу, незалежно від статусу резидентності або класифікації інвестора, зазнає впливу REMIT, включаючи учасників не з ЄС, які розміщують замовлення або укладають угоду на оптовому енергетичному ринку в ЄС.</w:t>
      </w:r>
    </w:p>
    <w:p w14:paraId="4BD9BAC1" w14:textId="77777777" w:rsidR="00FF6B93" w:rsidRPr="007E5633" w:rsidRDefault="00FF6B93" w:rsidP="00FF6B93">
      <w:pPr>
        <w:pStyle w:val="af4"/>
        <w:rPr>
          <w:sz w:val="22"/>
          <w:szCs w:val="22"/>
          <w:lang w:val="uk-UA"/>
        </w:rPr>
      </w:pPr>
      <w:r w:rsidRPr="007E5633">
        <w:rPr>
          <w:sz w:val="22"/>
          <w:szCs w:val="22"/>
          <w:lang w:val="uk-UA"/>
        </w:rPr>
        <w:t>Стаття 2 (7) REMIT заявляє, що "учасник ринку" означає будь-яку особу, включаючи операторів системи передачі (транспорту), який укладає угоди, включаючи розміщення замовлень на торгівлю, на одному або кількох оптових енергетичних ринках. Наступні учасники ринку можуть бути перелічені:</w:t>
      </w:r>
    </w:p>
    <w:p w14:paraId="7ADE5C98" w14:textId="77777777" w:rsidR="009A4011" w:rsidRPr="007E5633" w:rsidRDefault="009A4011">
      <w:pPr>
        <w:suppressAutoHyphens w:val="0"/>
        <w:rPr>
          <w:rFonts w:ascii="Arial" w:hAnsi="Arial" w:cs="Arial"/>
          <w:lang w:val="uk-UA"/>
        </w:rPr>
      </w:pPr>
      <w:r w:rsidRPr="007E5633">
        <w:rPr>
          <w:lang w:val="uk-UA"/>
        </w:rPr>
        <w:br w:type="page"/>
      </w:r>
    </w:p>
    <w:p w14:paraId="3F93354B"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lastRenderedPageBreak/>
        <w:t>енергетичні торгові компанії,</w:t>
      </w:r>
    </w:p>
    <w:p w14:paraId="0D7064AD"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виробники електроенергії або природного газу,</w:t>
      </w:r>
    </w:p>
    <w:p w14:paraId="2BD2FFF0"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постачальники природного газу,</w:t>
      </w:r>
    </w:p>
    <w:p w14:paraId="58B171C7"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підприємства (структури), відповідальні за збалансування,</w:t>
      </w:r>
    </w:p>
    <w:p w14:paraId="2A66C619"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оператори систем передачі (TSOs),</w:t>
      </w:r>
    </w:p>
    <w:p w14:paraId="43CA68A6"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оператори систем зберігання (SSOs),</w:t>
      </w:r>
    </w:p>
    <w:p w14:paraId="471D91A7"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Оператори систем СПГ (LSOs),</w:t>
      </w:r>
    </w:p>
    <w:p w14:paraId="54699C58"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оптові замовники,</w:t>
      </w:r>
    </w:p>
    <w:p w14:paraId="729FAC4A"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кінцеві споживачі, які виступають в ролі єдиного суб'єкта господарювання та мають споживчу потужність 600 ГВт або більше в рік по газу або електроенергії</w:t>
      </w:r>
    </w:p>
    <w:p w14:paraId="72A1884B" w14:textId="77777777" w:rsidR="00FF6B93" w:rsidRPr="007E5633" w:rsidRDefault="00FF6B93" w:rsidP="000D248B">
      <w:pPr>
        <w:pStyle w:val="af4"/>
        <w:numPr>
          <w:ilvl w:val="2"/>
          <w:numId w:val="56"/>
        </w:numPr>
        <w:ind w:left="709"/>
        <w:rPr>
          <w:sz w:val="22"/>
          <w:szCs w:val="22"/>
          <w:lang w:val="uk-UA"/>
        </w:rPr>
      </w:pPr>
      <w:r w:rsidRPr="007E5633">
        <w:rPr>
          <w:sz w:val="22"/>
          <w:szCs w:val="22"/>
          <w:lang w:val="uk-UA"/>
        </w:rPr>
        <w:t>інвестиційні фірми.</w:t>
      </w:r>
    </w:p>
    <w:p w14:paraId="39F6975D" w14:textId="54DFB09F" w:rsidR="00FF6B93" w:rsidRPr="007E5633" w:rsidRDefault="00FF6B93" w:rsidP="00FF6B93">
      <w:pPr>
        <w:pStyle w:val="af4"/>
        <w:rPr>
          <w:b/>
          <w:sz w:val="22"/>
          <w:szCs w:val="22"/>
          <w:lang w:val="uk-UA"/>
        </w:rPr>
      </w:pPr>
      <w:bookmarkStart w:id="111" w:name="_Toc533094056"/>
      <w:r w:rsidRPr="007E5633">
        <w:rPr>
          <w:b/>
          <w:sz w:val="22"/>
          <w:szCs w:val="22"/>
          <w:lang w:val="uk-UA"/>
        </w:rPr>
        <w:t>Схема</w:t>
      </w:r>
      <w:r w:rsidR="00895CBB" w:rsidRPr="007E5633">
        <w:rPr>
          <w:b/>
          <w:sz w:val="22"/>
          <w:szCs w:val="22"/>
          <w:lang w:val="uk-UA"/>
        </w:rPr>
        <w:t xml:space="preserve"> </w:t>
      </w:r>
      <w:r w:rsidR="00622EE2" w:rsidRPr="007E5633">
        <w:rPr>
          <w:b/>
          <w:sz w:val="22"/>
          <w:szCs w:val="22"/>
          <w:lang w:val="uk-UA"/>
        </w:rPr>
        <w:fldChar w:fldCharType="begin"/>
      </w:r>
      <w:r w:rsidR="00895CBB" w:rsidRPr="007E5633">
        <w:rPr>
          <w:b/>
          <w:sz w:val="22"/>
          <w:szCs w:val="22"/>
          <w:lang w:val="uk-UA"/>
        </w:rPr>
        <w:instrText xml:space="preserve"> SEQ Figure \* ARABIC </w:instrText>
      </w:r>
      <w:r w:rsidR="00622EE2" w:rsidRPr="007E5633">
        <w:rPr>
          <w:b/>
          <w:sz w:val="22"/>
          <w:szCs w:val="22"/>
          <w:lang w:val="uk-UA"/>
        </w:rPr>
        <w:fldChar w:fldCharType="separate"/>
      </w:r>
      <w:r w:rsidR="00221E0D">
        <w:rPr>
          <w:b/>
          <w:noProof/>
          <w:sz w:val="22"/>
          <w:szCs w:val="22"/>
          <w:lang w:val="uk-UA"/>
        </w:rPr>
        <w:t>29</w:t>
      </w:r>
      <w:r w:rsidR="00622EE2" w:rsidRPr="007E5633">
        <w:rPr>
          <w:b/>
          <w:sz w:val="22"/>
          <w:szCs w:val="22"/>
          <w:lang w:val="uk-UA"/>
        </w:rPr>
        <w:fldChar w:fldCharType="end"/>
      </w:r>
      <w:r w:rsidR="00895CBB" w:rsidRPr="007E5633">
        <w:rPr>
          <w:b/>
          <w:sz w:val="22"/>
          <w:szCs w:val="22"/>
          <w:lang w:val="uk-UA"/>
        </w:rPr>
        <w:t xml:space="preserve">: </w:t>
      </w:r>
      <w:r w:rsidRPr="007E5633">
        <w:rPr>
          <w:b/>
          <w:sz w:val="22"/>
          <w:szCs w:val="22"/>
          <w:lang w:val="uk-UA"/>
        </w:rPr>
        <w:t>Обов'язки ринкових учасників за REMIT</w:t>
      </w:r>
      <w:bookmarkEnd w:id="111"/>
    </w:p>
    <w:p w14:paraId="441996D6" w14:textId="77777777" w:rsidR="00A046FD" w:rsidRPr="007E5633" w:rsidRDefault="00A046FD" w:rsidP="00A046FD">
      <w:pPr>
        <w:pStyle w:val="af4"/>
        <w:jc w:val="center"/>
        <w:rPr>
          <w:sz w:val="22"/>
          <w:szCs w:val="22"/>
          <w:highlight w:val="yellow"/>
          <w:lang w:val="uk-UA"/>
        </w:rPr>
      </w:pPr>
      <w:r w:rsidRPr="007E5633">
        <w:rPr>
          <w:noProof/>
          <w:sz w:val="22"/>
          <w:szCs w:val="22"/>
          <w:lang w:val="en-US"/>
        </w:rPr>
        <w:drawing>
          <wp:inline distT="0" distB="0" distL="0" distR="0" wp14:anchorId="1F624FAE" wp14:editId="199777F7">
            <wp:extent cx="5493588" cy="320902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8421"/>
                    <a:stretch/>
                  </pic:blipFill>
                  <pic:spPr bwMode="auto">
                    <a:xfrm>
                      <a:off x="0" y="0"/>
                      <a:ext cx="5505784" cy="3216150"/>
                    </a:xfrm>
                    <a:prstGeom prst="rect">
                      <a:avLst/>
                    </a:prstGeom>
                    <a:noFill/>
                    <a:ln>
                      <a:noFill/>
                    </a:ln>
                    <a:extLst>
                      <a:ext uri="{53640926-AAD7-44D8-BBD7-CCE9431645EC}">
                        <a14:shadowObscured xmlns:a14="http://schemas.microsoft.com/office/drawing/2010/main"/>
                      </a:ext>
                    </a:extLst>
                  </pic:spPr>
                </pic:pic>
              </a:graphicData>
            </a:graphic>
          </wp:inline>
        </w:drawing>
      </w:r>
    </w:p>
    <w:p w14:paraId="24BC7798" w14:textId="77777777" w:rsidR="00FF6B93" w:rsidRPr="007E5633" w:rsidRDefault="00FF6B93" w:rsidP="00FF6B93">
      <w:pPr>
        <w:pStyle w:val="af4"/>
        <w:rPr>
          <w:i/>
          <w:sz w:val="22"/>
          <w:szCs w:val="22"/>
          <w:lang w:val="uk-UA"/>
        </w:rPr>
      </w:pPr>
      <w:r w:rsidRPr="007E5633">
        <w:rPr>
          <w:i/>
          <w:sz w:val="22"/>
          <w:szCs w:val="22"/>
          <w:lang w:val="uk-UA"/>
        </w:rPr>
        <w:t>Джерело: PwC</w:t>
      </w:r>
    </w:p>
    <w:p w14:paraId="6D44D29D" w14:textId="77777777" w:rsidR="00FF6B93" w:rsidRPr="007E5633" w:rsidRDefault="00FF6B93" w:rsidP="00FF6B93">
      <w:pPr>
        <w:pStyle w:val="af4"/>
        <w:rPr>
          <w:sz w:val="22"/>
          <w:szCs w:val="22"/>
          <w:lang w:val="uk-UA"/>
        </w:rPr>
      </w:pPr>
      <w:r w:rsidRPr="007E5633">
        <w:rPr>
          <w:sz w:val="22"/>
          <w:szCs w:val="22"/>
          <w:lang w:val="uk-UA"/>
        </w:rPr>
        <w:t>У Розділі 3.5.3.1 буде розглянуто сфери щодо маніпулювання ринком та використання інсайдерської інформації в торгівлі.</w:t>
      </w:r>
    </w:p>
    <w:p w14:paraId="0450CD6C" w14:textId="77777777" w:rsidR="00FF6B93" w:rsidRPr="007E5633" w:rsidRDefault="00FF6B93" w:rsidP="00FF6B93">
      <w:pPr>
        <w:pStyle w:val="af4"/>
        <w:rPr>
          <w:sz w:val="22"/>
          <w:szCs w:val="22"/>
          <w:lang w:val="uk-UA"/>
        </w:rPr>
      </w:pPr>
      <w:r w:rsidRPr="007E5633">
        <w:rPr>
          <w:sz w:val="22"/>
          <w:szCs w:val="22"/>
          <w:lang w:val="uk-UA"/>
        </w:rPr>
        <w:t>З метою моніторингу ринку, Стаття 8 (1) REMIT зобов'язує учасників ринку або третіх осіб або органи, що діють від їхнього імені, надавати Агентству Співпраці регуляторів енергетики (ACER) дані щодо операцій на ринку оптової енергії, включаючи замовлення на торгівлю. Для операцій та замовлень, розміщених на організованому ринку (наприклад, спотова біржа енергоносіїв або OTF, тобто ринки, які не обов'язково підпадають під сферу MiFID), відповідальність за ведення звітності про транзакції за REMIT, лежить на відповідній біржі або</w:t>
      </w:r>
      <w:r w:rsidRPr="007E5633">
        <w:rPr>
          <w:sz w:val="24"/>
          <w:szCs w:val="24"/>
          <w:lang w:val="uk-UA"/>
        </w:rPr>
        <w:t xml:space="preserve"> </w:t>
      </w:r>
      <w:r w:rsidRPr="007E5633">
        <w:rPr>
          <w:sz w:val="22"/>
          <w:szCs w:val="22"/>
          <w:lang w:val="uk-UA"/>
        </w:rPr>
        <w:t>платформі. Учасники ринку, наприклад, компанії з торгівлі енергією, несуть відповідальність лише за звітність про свою позабіржову діяльність.</w:t>
      </w:r>
    </w:p>
    <w:p w14:paraId="2AE5496E" w14:textId="77777777" w:rsidR="00FF6B93" w:rsidRPr="007E5633" w:rsidRDefault="00FF6B93" w:rsidP="00FF6B93">
      <w:pPr>
        <w:pStyle w:val="af4"/>
        <w:rPr>
          <w:sz w:val="22"/>
          <w:szCs w:val="22"/>
          <w:lang w:val="uk-UA"/>
        </w:rPr>
      </w:pPr>
      <w:r w:rsidRPr="007E5633">
        <w:rPr>
          <w:sz w:val="22"/>
          <w:szCs w:val="22"/>
          <w:lang w:val="uk-UA"/>
        </w:rPr>
        <w:lastRenderedPageBreak/>
        <w:t>Відповідно до статей 3 та 4 стандартів впровадження (Commission Implementing Regulation (EU) № 1348/2014 від 17 грудня 2014 р. Щодо звітності стосовно виконання Статті 8 (2) та Статті 8 (6) Регламенту (ЄС) № 1227/2011 Європейського Парламенту та Ради про цілісність та прозорість оптового енергетичного ринку), дані про торгівлю включають:</w:t>
      </w:r>
    </w:p>
    <w:p w14:paraId="393EC658" w14:textId="77777777" w:rsidR="00FF6B93" w:rsidRPr="007E5633" w:rsidRDefault="00FF6B93" w:rsidP="000D248B">
      <w:pPr>
        <w:pStyle w:val="af4"/>
        <w:numPr>
          <w:ilvl w:val="0"/>
          <w:numId w:val="57"/>
        </w:numPr>
        <w:rPr>
          <w:sz w:val="22"/>
          <w:szCs w:val="22"/>
          <w:lang w:val="uk-UA"/>
        </w:rPr>
      </w:pPr>
      <w:r w:rsidRPr="007E5633">
        <w:rPr>
          <w:sz w:val="22"/>
          <w:szCs w:val="22"/>
          <w:lang w:val="uk-UA"/>
        </w:rPr>
        <w:t>контракти на поставку електроенергії або природного газу</w:t>
      </w:r>
    </w:p>
    <w:p w14:paraId="384BFF74" w14:textId="77777777" w:rsidR="00FF6B93" w:rsidRPr="007E5633" w:rsidRDefault="00FF6B93" w:rsidP="000D248B">
      <w:pPr>
        <w:pStyle w:val="af4"/>
        <w:numPr>
          <w:ilvl w:val="0"/>
          <w:numId w:val="57"/>
        </w:numPr>
        <w:rPr>
          <w:sz w:val="22"/>
          <w:szCs w:val="22"/>
          <w:lang w:val="uk-UA"/>
        </w:rPr>
      </w:pPr>
      <w:r w:rsidRPr="007E5633">
        <w:rPr>
          <w:sz w:val="22"/>
          <w:szCs w:val="22"/>
          <w:lang w:val="uk-UA"/>
        </w:rPr>
        <w:t>контракти, що стосуються транспортування електроенергії або природного газу</w:t>
      </w:r>
    </w:p>
    <w:p w14:paraId="5693C4AE" w14:textId="77777777" w:rsidR="00FF6B93" w:rsidRPr="007E5633" w:rsidRDefault="00FF6B93" w:rsidP="000D248B">
      <w:pPr>
        <w:pStyle w:val="af4"/>
        <w:numPr>
          <w:ilvl w:val="0"/>
          <w:numId w:val="57"/>
        </w:numPr>
        <w:rPr>
          <w:sz w:val="22"/>
          <w:szCs w:val="22"/>
          <w:lang w:val="uk-UA"/>
        </w:rPr>
      </w:pPr>
      <w:r w:rsidRPr="007E5633">
        <w:rPr>
          <w:sz w:val="22"/>
          <w:szCs w:val="22"/>
          <w:lang w:val="uk-UA"/>
        </w:rPr>
        <w:t>похідні контрактів на постачання та транспортування енергоносіїв</w:t>
      </w:r>
    </w:p>
    <w:p w14:paraId="7DED223F" w14:textId="77777777" w:rsidR="00FF6B93" w:rsidRPr="007E5633" w:rsidRDefault="00FF6B93" w:rsidP="000D248B">
      <w:pPr>
        <w:pStyle w:val="af4"/>
        <w:numPr>
          <w:ilvl w:val="0"/>
          <w:numId w:val="57"/>
        </w:numPr>
        <w:rPr>
          <w:sz w:val="22"/>
          <w:szCs w:val="22"/>
          <w:lang w:val="uk-UA"/>
        </w:rPr>
      </w:pPr>
      <w:r w:rsidRPr="007E5633">
        <w:rPr>
          <w:sz w:val="22"/>
          <w:szCs w:val="22"/>
          <w:lang w:val="uk-UA"/>
        </w:rPr>
        <w:t>контракти, що підлягають звітуванню лише за мотивованим запитом Агентства та на спеціальній основі:</w:t>
      </w:r>
    </w:p>
    <w:p w14:paraId="0D47BF54" w14:textId="77777777" w:rsidR="00FF6B93" w:rsidRPr="007E5633" w:rsidRDefault="00FF6B93" w:rsidP="000D248B">
      <w:pPr>
        <w:pStyle w:val="af4"/>
        <w:numPr>
          <w:ilvl w:val="1"/>
          <w:numId w:val="29"/>
        </w:numPr>
        <w:rPr>
          <w:sz w:val="22"/>
          <w:szCs w:val="22"/>
          <w:lang w:val="uk-UA"/>
        </w:rPr>
      </w:pPr>
      <w:r w:rsidRPr="007E5633">
        <w:rPr>
          <w:sz w:val="22"/>
          <w:szCs w:val="22"/>
          <w:lang w:val="uk-UA"/>
        </w:rPr>
        <w:t>внутрішньогрупові контракти,</w:t>
      </w:r>
    </w:p>
    <w:p w14:paraId="1483B77C" w14:textId="77777777" w:rsidR="00FF6B93" w:rsidRPr="007E5633" w:rsidRDefault="00FF6B93" w:rsidP="000D248B">
      <w:pPr>
        <w:pStyle w:val="af4"/>
        <w:numPr>
          <w:ilvl w:val="1"/>
          <w:numId w:val="29"/>
        </w:numPr>
        <w:rPr>
          <w:sz w:val="22"/>
          <w:szCs w:val="22"/>
          <w:lang w:val="uk-UA"/>
        </w:rPr>
      </w:pPr>
      <w:r w:rsidRPr="007E5633">
        <w:rPr>
          <w:sz w:val="22"/>
          <w:szCs w:val="22"/>
          <w:lang w:val="uk-UA"/>
        </w:rPr>
        <w:t>контракти на фізичне постачання електроенергії, виробленої єдиною виробничою одиницею потужністю, що дорівнює або менше 10 МВт, або виробничими одиницями з загальною спільною потужністю, що дорівнює або менше 10 МВт,</w:t>
      </w:r>
    </w:p>
    <w:p w14:paraId="1C22CBD8" w14:textId="77777777" w:rsidR="00FF6B93" w:rsidRPr="007E5633" w:rsidRDefault="00FF6B93" w:rsidP="000D248B">
      <w:pPr>
        <w:pStyle w:val="af4"/>
        <w:numPr>
          <w:ilvl w:val="1"/>
          <w:numId w:val="29"/>
        </w:numPr>
        <w:rPr>
          <w:sz w:val="22"/>
          <w:szCs w:val="22"/>
          <w:lang w:val="uk-UA"/>
        </w:rPr>
      </w:pPr>
      <w:r w:rsidRPr="007E5633">
        <w:rPr>
          <w:sz w:val="22"/>
          <w:szCs w:val="22"/>
          <w:lang w:val="uk-UA"/>
        </w:rPr>
        <w:t>контракти на фізичну доставку природного газу, виробленого єдиним підприємством з виробництва природного газу, яке має виробничу потужність, що дорівнює або менше 20 МВт,</w:t>
      </w:r>
    </w:p>
    <w:p w14:paraId="7DF2CEFE" w14:textId="77777777" w:rsidR="00FF6B93" w:rsidRPr="007E5633" w:rsidRDefault="00FF6B93" w:rsidP="000D248B">
      <w:pPr>
        <w:pStyle w:val="af4"/>
        <w:numPr>
          <w:ilvl w:val="1"/>
          <w:numId w:val="29"/>
        </w:numPr>
        <w:rPr>
          <w:sz w:val="22"/>
          <w:szCs w:val="22"/>
          <w:lang w:val="uk-UA"/>
        </w:rPr>
      </w:pPr>
      <w:r w:rsidRPr="007E5633">
        <w:rPr>
          <w:sz w:val="22"/>
          <w:szCs w:val="22"/>
          <w:lang w:val="uk-UA"/>
        </w:rPr>
        <w:t>контракти на послуги з балансування електроенергії та природного газу.</w:t>
      </w:r>
    </w:p>
    <w:p w14:paraId="66FBE8F2" w14:textId="77777777" w:rsidR="00FF6B93" w:rsidRPr="007E5633" w:rsidRDefault="00FF6B93" w:rsidP="00FF6B93">
      <w:pPr>
        <w:pStyle w:val="af4"/>
        <w:rPr>
          <w:sz w:val="22"/>
          <w:szCs w:val="22"/>
          <w:lang w:val="uk-UA"/>
        </w:rPr>
      </w:pPr>
      <w:r w:rsidRPr="007E5633">
        <w:rPr>
          <w:sz w:val="22"/>
          <w:szCs w:val="22"/>
          <w:lang w:val="uk-UA"/>
        </w:rPr>
        <w:t>Дані, що підлягають звітуванню для кожного типу транзакції, вказані у Додатку до Регламенту виконання REMIT. Нижче наведені вибрані звітні дані/показники щодо стандартних контрактів на постачання електроенергії або газу:</w:t>
      </w:r>
    </w:p>
    <w:p w14:paraId="692483B9" w14:textId="527B6A30" w:rsidR="00F35712" w:rsidRPr="007E5633" w:rsidRDefault="00FF6B93" w:rsidP="00F35712">
      <w:pPr>
        <w:pStyle w:val="af1"/>
        <w:jc w:val="left"/>
        <w:rPr>
          <w:rFonts w:cs="Arial"/>
          <w:sz w:val="22"/>
          <w:szCs w:val="22"/>
          <w:lang w:val="uk-UA"/>
        </w:rPr>
      </w:pPr>
      <w:bookmarkStart w:id="112" w:name="_Toc533094057"/>
      <w:r w:rsidRPr="007E5633">
        <w:rPr>
          <w:rFonts w:cs="Arial"/>
          <w:sz w:val="22"/>
          <w:szCs w:val="22"/>
          <w:lang w:val="uk-UA"/>
        </w:rPr>
        <w:t xml:space="preserve">Схема </w:t>
      </w:r>
      <w:r w:rsidR="00622EE2" w:rsidRPr="007E5633">
        <w:rPr>
          <w:rFonts w:cs="Arial"/>
          <w:sz w:val="22"/>
          <w:szCs w:val="22"/>
          <w:lang w:val="uk-UA"/>
        </w:rPr>
        <w:fldChar w:fldCharType="begin"/>
      </w:r>
      <w:r w:rsidR="00F35712"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30</w:t>
      </w:r>
      <w:r w:rsidR="00622EE2" w:rsidRPr="007E5633">
        <w:rPr>
          <w:rFonts w:cs="Arial"/>
          <w:sz w:val="22"/>
          <w:szCs w:val="22"/>
          <w:lang w:val="uk-UA"/>
        </w:rPr>
        <w:fldChar w:fldCharType="end"/>
      </w:r>
      <w:r w:rsidR="00F35712" w:rsidRPr="007E5633">
        <w:rPr>
          <w:rFonts w:cs="Arial"/>
          <w:sz w:val="22"/>
          <w:szCs w:val="22"/>
          <w:lang w:val="uk-UA"/>
        </w:rPr>
        <w:t xml:space="preserve">: </w:t>
      </w:r>
      <w:r w:rsidRPr="007E5633">
        <w:rPr>
          <w:rFonts w:cs="Arial"/>
          <w:sz w:val="22"/>
          <w:szCs w:val="22"/>
          <w:lang w:val="uk-UA"/>
        </w:rPr>
        <w:t>Детальна інформація про стандартні контракти на поставку електроенергії або газу</w:t>
      </w:r>
      <w:bookmarkEnd w:id="112"/>
    </w:p>
    <w:tbl>
      <w:tblPr>
        <w:tblStyle w:val="af6"/>
        <w:tblW w:w="9242"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CellMar>
          <w:top w:w="85" w:type="dxa"/>
          <w:bottom w:w="85" w:type="dxa"/>
        </w:tblCellMar>
        <w:tblLook w:val="04A0" w:firstRow="1" w:lastRow="0" w:firstColumn="1" w:lastColumn="0" w:noHBand="0" w:noVBand="1"/>
      </w:tblPr>
      <w:tblGrid>
        <w:gridCol w:w="1101"/>
        <w:gridCol w:w="2126"/>
        <w:gridCol w:w="6015"/>
      </w:tblGrid>
      <w:tr w:rsidR="00F17427" w:rsidRPr="007E5633" w14:paraId="27EC8BDD" w14:textId="77777777" w:rsidTr="00F17427">
        <w:trPr>
          <w:trHeight w:val="680"/>
        </w:trPr>
        <w:tc>
          <w:tcPr>
            <w:tcW w:w="1101" w:type="dxa"/>
            <w:shd w:val="clear" w:color="auto" w:fill="auto"/>
            <w:vAlign w:val="center"/>
          </w:tcPr>
          <w:p w14:paraId="38DE3B0E" w14:textId="77777777" w:rsidR="00F17427" w:rsidRPr="007E5633" w:rsidRDefault="008C252E" w:rsidP="000A7BA9">
            <w:pPr>
              <w:jc w:val="cente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79072" behindDoc="0" locked="0" layoutInCell="1" allowOverlap="1" wp14:anchorId="62E20995" wp14:editId="14968494">
                      <wp:simplePos x="0" y="0"/>
                      <wp:positionH relativeFrom="column">
                        <wp:posOffset>6350</wp:posOffset>
                      </wp:positionH>
                      <wp:positionV relativeFrom="paragraph">
                        <wp:posOffset>5715</wp:posOffset>
                      </wp:positionV>
                      <wp:extent cx="337820" cy="356870"/>
                      <wp:effectExtent l="0" t="0" r="5080" b="5080"/>
                      <wp:wrapNone/>
                      <wp:docPr id="175" name="Freeform 48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7820" cy="356870"/>
                              </a:xfrm>
                              <a:custGeom>
                                <a:avLst/>
                                <a:gdLst>
                                  <a:gd name="T0" fmla="*/ 248 w 360"/>
                                  <a:gd name="T1" fmla="*/ 8 h 380"/>
                                  <a:gd name="T2" fmla="*/ 274 w 360"/>
                                  <a:gd name="T3" fmla="*/ 0 h 380"/>
                                  <a:gd name="T4" fmla="*/ 298 w 360"/>
                                  <a:gd name="T5" fmla="*/ 28 h 380"/>
                                  <a:gd name="T6" fmla="*/ 280 w 360"/>
                                  <a:gd name="T7" fmla="*/ 56 h 380"/>
                                  <a:gd name="T8" fmla="*/ 258 w 360"/>
                                  <a:gd name="T9" fmla="*/ 56 h 380"/>
                                  <a:gd name="T10" fmla="*/ 240 w 360"/>
                                  <a:gd name="T11" fmla="*/ 28 h 380"/>
                                  <a:gd name="T12" fmla="*/ 344 w 360"/>
                                  <a:gd name="T13" fmla="*/ 88 h 380"/>
                                  <a:gd name="T14" fmla="*/ 288 w 360"/>
                                  <a:gd name="T15" fmla="*/ 68 h 380"/>
                                  <a:gd name="T16" fmla="*/ 214 w 360"/>
                                  <a:gd name="T17" fmla="*/ 70 h 380"/>
                                  <a:gd name="T18" fmla="*/ 194 w 360"/>
                                  <a:gd name="T19" fmla="*/ 90 h 380"/>
                                  <a:gd name="T20" fmla="*/ 224 w 360"/>
                                  <a:gd name="T21" fmla="*/ 114 h 380"/>
                                  <a:gd name="T22" fmla="*/ 248 w 360"/>
                                  <a:gd name="T23" fmla="*/ 166 h 380"/>
                                  <a:gd name="T24" fmla="*/ 234 w 360"/>
                                  <a:gd name="T25" fmla="*/ 208 h 380"/>
                                  <a:gd name="T26" fmla="*/ 278 w 360"/>
                                  <a:gd name="T27" fmla="*/ 214 h 380"/>
                                  <a:gd name="T28" fmla="*/ 310 w 360"/>
                                  <a:gd name="T29" fmla="*/ 244 h 380"/>
                                  <a:gd name="T30" fmla="*/ 332 w 360"/>
                                  <a:gd name="T31" fmla="*/ 200 h 380"/>
                                  <a:gd name="T32" fmla="*/ 348 w 360"/>
                                  <a:gd name="T33" fmla="*/ 208 h 380"/>
                                  <a:gd name="T34" fmla="*/ 360 w 360"/>
                                  <a:gd name="T35" fmla="*/ 190 h 380"/>
                                  <a:gd name="T36" fmla="*/ 102 w 360"/>
                                  <a:gd name="T37" fmla="*/ 56 h 380"/>
                                  <a:gd name="T38" fmla="*/ 120 w 360"/>
                                  <a:gd name="T39" fmla="*/ 28 h 380"/>
                                  <a:gd name="T40" fmla="*/ 98 w 360"/>
                                  <a:gd name="T41" fmla="*/ 0 h 380"/>
                                  <a:gd name="T42" fmla="*/ 70 w 360"/>
                                  <a:gd name="T43" fmla="*/ 8 h 380"/>
                                  <a:gd name="T44" fmla="*/ 62 w 360"/>
                                  <a:gd name="T45" fmla="*/ 34 h 380"/>
                                  <a:gd name="T46" fmla="*/ 92 w 360"/>
                                  <a:gd name="T47" fmla="*/ 58 h 380"/>
                                  <a:gd name="T48" fmla="*/ 50 w 360"/>
                                  <a:gd name="T49" fmla="*/ 244 h 380"/>
                                  <a:gd name="T50" fmla="*/ 74 w 360"/>
                                  <a:gd name="T51" fmla="*/ 218 h 380"/>
                                  <a:gd name="T52" fmla="*/ 126 w 360"/>
                                  <a:gd name="T53" fmla="*/ 208 h 380"/>
                                  <a:gd name="T54" fmla="*/ 112 w 360"/>
                                  <a:gd name="T55" fmla="*/ 166 h 380"/>
                                  <a:gd name="T56" fmla="*/ 128 w 360"/>
                                  <a:gd name="T57" fmla="*/ 122 h 380"/>
                                  <a:gd name="T58" fmla="*/ 166 w 360"/>
                                  <a:gd name="T59" fmla="*/ 90 h 380"/>
                                  <a:gd name="T60" fmla="*/ 154 w 360"/>
                                  <a:gd name="T61" fmla="*/ 74 h 380"/>
                                  <a:gd name="T62" fmla="*/ 72 w 360"/>
                                  <a:gd name="T63" fmla="*/ 68 h 380"/>
                                  <a:gd name="T64" fmla="*/ 20 w 360"/>
                                  <a:gd name="T65" fmla="*/ 80 h 380"/>
                                  <a:gd name="T66" fmla="*/ 0 w 360"/>
                                  <a:gd name="T67" fmla="*/ 190 h 380"/>
                                  <a:gd name="T68" fmla="*/ 12 w 360"/>
                                  <a:gd name="T69" fmla="*/ 208 h 380"/>
                                  <a:gd name="T70" fmla="*/ 28 w 360"/>
                                  <a:gd name="T71" fmla="*/ 200 h 380"/>
                                  <a:gd name="T72" fmla="*/ 170 w 360"/>
                                  <a:gd name="T73" fmla="*/ 118 h 380"/>
                                  <a:gd name="T74" fmla="*/ 136 w 360"/>
                                  <a:gd name="T75" fmla="*/ 146 h 380"/>
                                  <a:gd name="T76" fmla="*/ 136 w 360"/>
                                  <a:gd name="T77" fmla="*/ 184 h 380"/>
                                  <a:gd name="T78" fmla="*/ 170 w 360"/>
                                  <a:gd name="T79" fmla="*/ 214 h 380"/>
                                  <a:gd name="T80" fmla="*/ 208 w 360"/>
                                  <a:gd name="T81" fmla="*/ 206 h 380"/>
                                  <a:gd name="T82" fmla="*/ 228 w 360"/>
                                  <a:gd name="T83" fmla="*/ 166 h 380"/>
                                  <a:gd name="T84" fmla="*/ 214 w 360"/>
                                  <a:gd name="T85" fmla="*/ 132 h 380"/>
                                  <a:gd name="T86" fmla="*/ 296 w 360"/>
                                  <a:gd name="T87" fmla="*/ 260 h 380"/>
                                  <a:gd name="T88" fmla="*/ 288 w 360"/>
                                  <a:gd name="T89" fmla="*/ 246 h 380"/>
                                  <a:gd name="T90" fmla="*/ 180 w 360"/>
                                  <a:gd name="T91" fmla="*/ 278 h 380"/>
                                  <a:gd name="T92" fmla="*/ 82 w 360"/>
                                  <a:gd name="T93" fmla="*/ 236 h 380"/>
                                  <a:gd name="T94" fmla="*/ 64 w 360"/>
                                  <a:gd name="T95" fmla="*/ 260 h 380"/>
                                  <a:gd name="T96" fmla="*/ 106 w 360"/>
                                  <a:gd name="T97" fmla="*/ 304 h 380"/>
                                  <a:gd name="T98" fmla="*/ 146 w 360"/>
                                  <a:gd name="T99" fmla="*/ 378 h 380"/>
                                  <a:gd name="T100" fmla="*/ 214 w 360"/>
                                  <a:gd name="T101" fmla="*/ 378 h 380"/>
                                  <a:gd name="T102" fmla="*/ 264 w 360"/>
                                  <a:gd name="T103" fmla="*/ 362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0" h="380">
                                    <a:moveTo>
                                      <a:pt x="240" y="28"/>
                                    </a:moveTo>
                                    <a:lnTo>
                                      <a:pt x="240" y="28"/>
                                    </a:lnTo>
                                    <a:lnTo>
                                      <a:pt x="240" y="22"/>
                                    </a:lnTo>
                                    <a:lnTo>
                                      <a:pt x="242" y="18"/>
                                    </a:lnTo>
                                    <a:lnTo>
                                      <a:pt x="248" y="8"/>
                                    </a:lnTo>
                                    <a:lnTo>
                                      <a:pt x="258" y="2"/>
                                    </a:lnTo>
                                    <a:lnTo>
                                      <a:pt x="262" y="0"/>
                                    </a:lnTo>
                                    <a:lnTo>
                                      <a:pt x="268" y="0"/>
                                    </a:lnTo>
                                    <a:lnTo>
                                      <a:pt x="268" y="0"/>
                                    </a:lnTo>
                                    <a:lnTo>
                                      <a:pt x="274" y="0"/>
                                    </a:lnTo>
                                    <a:lnTo>
                                      <a:pt x="280" y="2"/>
                                    </a:lnTo>
                                    <a:lnTo>
                                      <a:pt x="290" y="8"/>
                                    </a:lnTo>
                                    <a:lnTo>
                                      <a:pt x="296" y="18"/>
                                    </a:lnTo>
                                    <a:lnTo>
                                      <a:pt x="298" y="22"/>
                                    </a:lnTo>
                                    <a:lnTo>
                                      <a:pt x="298" y="28"/>
                                    </a:lnTo>
                                    <a:lnTo>
                                      <a:pt x="298" y="28"/>
                                    </a:lnTo>
                                    <a:lnTo>
                                      <a:pt x="298" y="34"/>
                                    </a:lnTo>
                                    <a:lnTo>
                                      <a:pt x="296" y="40"/>
                                    </a:lnTo>
                                    <a:lnTo>
                                      <a:pt x="290" y="50"/>
                                    </a:lnTo>
                                    <a:lnTo>
                                      <a:pt x="280" y="56"/>
                                    </a:lnTo>
                                    <a:lnTo>
                                      <a:pt x="274" y="58"/>
                                    </a:lnTo>
                                    <a:lnTo>
                                      <a:pt x="268" y="58"/>
                                    </a:lnTo>
                                    <a:lnTo>
                                      <a:pt x="268" y="58"/>
                                    </a:lnTo>
                                    <a:lnTo>
                                      <a:pt x="262" y="58"/>
                                    </a:lnTo>
                                    <a:lnTo>
                                      <a:pt x="258" y="56"/>
                                    </a:lnTo>
                                    <a:lnTo>
                                      <a:pt x="248" y="50"/>
                                    </a:lnTo>
                                    <a:lnTo>
                                      <a:pt x="242" y="40"/>
                                    </a:lnTo>
                                    <a:lnTo>
                                      <a:pt x="240" y="34"/>
                                    </a:lnTo>
                                    <a:lnTo>
                                      <a:pt x="240" y="28"/>
                                    </a:lnTo>
                                    <a:lnTo>
                                      <a:pt x="240" y="28"/>
                                    </a:lnTo>
                                    <a:close/>
                                    <a:moveTo>
                                      <a:pt x="360" y="190"/>
                                    </a:moveTo>
                                    <a:lnTo>
                                      <a:pt x="344" y="90"/>
                                    </a:lnTo>
                                    <a:lnTo>
                                      <a:pt x="344" y="90"/>
                                    </a:lnTo>
                                    <a:lnTo>
                                      <a:pt x="344" y="88"/>
                                    </a:lnTo>
                                    <a:lnTo>
                                      <a:pt x="344" y="88"/>
                                    </a:lnTo>
                                    <a:lnTo>
                                      <a:pt x="340" y="80"/>
                                    </a:lnTo>
                                    <a:lnTo>
                                      <a:pt x="332" y="74"/>
                                    </a:lnTo>
                                    <a:lnTo>
                                      <a:pt x="324" y="70"/>
                                    </a:lnTo>
                                    <a:lnTo>
                                      <a:pt x="314" y="68"/>
                                    </a:lnTo>
                                    <a:lnTo>
                                      <a:pt x="288" y="68"/>
                                    </a:lnTo>
                                    <a:lnTo>
                                      <a:pt x="270" y="102"/>
                                    </a:lnTo>
                                    <a:lnTo>
                                      <a:pt x="250" y="68"/>
                                    </a:lnTo>
                                    <a:lnTo>
                                      <a:pt x="222" y="68"/>
                                    </a:lnTo>
                                    <a:lnTo>
                                      <a:pt x="222" y="68"/>
                                    </a:lnTo>
                                    <a:lnTo>
                                      <a:pt x="214" y="70"/>
                                    </a:lnTo>
                                    <a:lnTo>
                                      <a:pt x="206" y="74"/>
                                    </a:lnTo>
                                    <a:lnTo>
                                      <a:pt x="198" y="80"/>
                                    </a:lnTo>
                                    <a:lnTo>
                                      <a:pt x="194" y="88"/>
                                    </a:lnTo>
                                    <a:lnTo>
                                      <a:pt x="194" y="88"/>
                                    </a:lnTo>
                                    <a:lnTo>
                                      <a:pt x="194" y="90"/>
                                    </a:lnTo>
                                    <a:lnTo>
                                      <a:pt x="192" y="98"/>
                                    </a:lnTo>
                                    <a:lnTo>
                                      <a:pt x="192" y="98"/>
                                    </a:lnTo>
                                    <a:lnTo>
                                      <a:pt x="204" y="102"/>
                                    </a:lnTo>
                                    <a:lnTo>
                                      <a:pt x="214" y="106"/>
                                    </a:lnTo>
                                    <a:lnTo>
                                      <a:pt x="224" y="114"/>
                                    </a:lnTo>
                                    <a:lnTo>
                                      <a:pt x="232" y="122"/>
                                    </a:lnTo>
                                    <a:lnTo>
                                      <a:pt x="240" y="132"/>
                                    </a:lnTo>
                                    <a:lnTo>
                                      <a:pt x="244" y="142"/>
                                    </a:lnTo>
                                    <a:lnTo>
                                      <a:pt x="248" y="154"/>
                                    </a:lnTo>
                                    <a:lnTo>
                                      <a:pt x="248" y="166"/>
                                    </a:lnTo>
                                    <a:lnTo>
                                      <a:pt x="248" y="166"/>
                                    </a:lnTo>
                                    <a:lnTo>
                                      <a:pt x="248" y="178"/>
                                    </a:lnTo>
                                    <a:lnTo>
                                      <a:pt x="246" y="188"/>
                                    </a:lnTo>
                                    <a:lnTo>
                                      <a:pt x="240" y="198"/>
                                    </a:lnTo>
                                    <a:lnTo>
                                      <a:pt x="234" y="208"/>
                                    </a:lnTo>
                                    <a:lnTo>
                                      <a:pt x="250" y="208"/>
                                    </a:lnTo>
                                    <a:lnTo>
                                      <a:pt x="250" y="208"/>
                                    </a:lnTo>
                                    <a:lnTo>
                                      <a:pt x="260" y="208"/>
                                    </a:lnTo>
                                    <a:lnTo>
                                      <a:pt x="270" y="210"/>
                                    </a:lnTo>
                                    <a:lnTo>
                                      <a:pt x="278" y="214"/>
                                    </a:lnTo>
                                    <a:lnTo>
                                      <a:pt x="286" y="218"/>
                                    </a:lnTo>
                                    <a:lnTo>
                                      <a:pt x="294" y="222"/>
                                    </a:lnTo>
                                    <a:lnTo>
                                      <a:pt x="300" y="228"/>
                                    </a:lnTo>
                                    <a:lnTo>
                                      <a:pt x="306" y="236"/>
                                    </a:lnTo>
                                    <a:lnTo>
                                      <a:pt x="310" y="244"/>
                                    </a:lnTo>
                                    <a:lnTo>
                                      <a:pt x="308" y="118"/>
                                    </a:lnTo>
                                    <a:lnTo>
                                      <a:pt x="318" y="118"/>
                                    </a:lnTo>
                                    <a:lnTo>
                                      <a:pt x="330" y="196"/>
                                    </a:lnTo>
                                    <a:lnTo>
                                      <a:pt x="330" y="196"/>
                                    </a:lnTo>
                                    <a:lnTo>
                                      <a:pt x="332" y="200"/>
                                    </a:lnTo>
                                    <a:lnTo>
                                      <a:pt x="336" y="204"/>
                                    </a:lnTo>
                                    <a:lnTo>
                                      <a:pt x="340" y="208"/>
                                    </a:lnTo>
                                    <a:lnTo>
                                      <a:pt x="346" y="208"/>
                                    </a:lnTo>
                                    <a:lnTo>
                                      <a:pt x="346" y="208"/>
                                    </a:lnTo>
                                    <a:lnTo>
                                      <a:pt x="348" y="208"/>
                                    </a:lnTo>
                                    <a:lnTo>
                                      <a:pt x="348" y="208"/>
                                    </a:lnTo>
                                    <a:lnTo>
                                      <a:pt x="354" y="206"/>
                                    </a:lnTo>
                                    <a:lnTo>
                                      <a:pt x="358" y="202"/>
                                    </a:lnTo>
                                    <a:lnTo>
                                      <a:pt x="360" y="196"/>
                                    </a:lnTo>
                                    <a:lnTo>
                                      <a:pt x="360" y="190"/>
                                    </a:lnTo>
                                    <a:lnTo>
                                      <a:pt x="360" y="190"/>
                                    </a:lnTo>
                                    <a:close/>
                                    <a:moveTo>
                                      <a:pt x="92" y="58"/>
                                    </a:moveTo>
                                    <a:lnTo>
                                      <a:pt x="92" y="58"/>
                                    </a:lnTo>
                                    <a:lnTo>
                                      <a:pt x="98" y="58"/>
                                    </a:lnTo>
                                    <a:lnTo>
                                      <a:pt x="102" y="56"/>
                                    </a:lnTo>
                                    <a:lnTo>
                                      <a:pt x="112" y="50"/>
                                    </a:lnTo>
                                    <a:lnTo>
                                      <a:pt x="118" y="40"/>
                                    </a:lnTo>
                                    <a:lnTo>
                                      <a:pt x="120" y="34"/>
                                    </a:lnTo>
                                    <a:lnTo>
                                      <a:pt x="120" y="28"/>
                                    </a:lnTo>
                                    <a:lnTo>
                                      <a:pt x="120" y="28"/>
                                    </a:lnTo>
                                    <a:lnTo>
                                      <a:pt x="120" y="22"/>
                                    </a:lnTo>
                                    <a:lnTo>
                                      <a:pt x="118" y="18"/>
                                    </a:lnTo>
                                    <a:lnTo>
                                      <a:pt x="112" y="8"/>
                                    </a:lnTo>
                                    <a:lnTo>
                                      <a:pt x="102" y="2"/>
                                    </a:lnTo>
                                    <a:lnTo>
                                      <a:pt x="98" y="0"/>
                                    </a:lnTo>
                                    <a:lnTo>
                                      <a:pt x="92" y="0"/>
                                    </a:lnTo>
                                    <a:lnTo>
                                      <a:pt x="92" y="0"/>
                                    </a:lnTo>
                                    <a:lnTo>
                                      <a:pt x="86" y="0"/>
                                    </a:lnTo>
                                    <a:lnTo>
                                      <a:pt x="80" y="2"/>
                                    </a:lnTo>
                                    <a:lnTo>
                                      <a:pt x="70" y="8"/>
                                    </a:lnTo>
                                    <a:lnTo>
                                      <a:pt x="64" y="18"/>
                                    </a:lnTo>
                                    <a:lnTo>
                                      <a:pt x="62" y="22"/>
                                    </a:lnTo>
                                    <a:lnTo>
                                      <a:pt x="62" y="28"/>
                                    </a:lnTo>
                                    <a:lnTo>
                                      <a:pt x="62" y="28"/>
                                    </a:lnTo>
                                    <a:lnTo>
                                      <a:pt x="62" y="34"/>
                                    </a:lnTo>
                                    <a:lnTo>
                                      <a:pt x="64" y="40"/>
                                    </a:lnTo>
                                    <a:lnTo>
                                      <a:pt x="70" y="50"/>
                                    </a:lnTo>
                                    <a:lnTo>
                                      <a:pt x="80" y="56"/>
                                    </a:lnTo>
                                    <a:lnTo>
                                      <a:pt x="86" y="58"/>
                                    </a:lnTo>
                                    <a:lnTo>
                                      <a:pt x="92" y="58"/>
                                    </a:lnTo>
                                    <a:lnTo>
                                      <a:pt x="92" y="58"/>
                                    </a:lnTo>
                                    <a:close/>
                                    <a:moveTo>
                                      <a:pt x="30" y="196"/>
                                    </a:moveTo>
                                    <a:lnTo>
                                      <a:pt x="42" y="118"/>
                                    </a:lnTo>
                                    <a:lnTo>
                                      <a:pt x="52" y="118"/>
                                    </a:lnTo>
                                    <a:lnTo>
                                      <a:pt x="50" y="244"/>
                                    </a:lnTo>
                                    <a:lnTo>
                                      <a:pt x="50" y="244"/>
                                    </a:lnTo>
                                    <a:lnTo>
                                      <a:pt x="54" y="236"/>
                                    </a:lnTo>
                                    <a:lnTo>
                                      <a:pt x="60" y="228"/>
                                    </a:lnTo>
                                    <a:lnTo>
                                      <a:pt x="66" y="222"/>
                                    </a:lnTo>
                                    <a:lnTo>
                                      <a:pt x="74" y="218"/>
                                    </a:lnTo>
                                    <a:lnTo>
                                      <a:pt x="82" y="214"/>
                                    </a:lnTo>
                                    <a:lnTo>
                                      <a:pt x="90" y="210"/>
                                    </a:lnTo>
                                    <a:lnTo>
                                      <a:pt x="100" y="208"/>
                                    </a:lnTo>
                                    <a:lnTo>
                                      <a:pt x="110" y="208"/>
                                    </a:lnTo>
                                    <a:lnTo>
                                      <a:pt x="126" y="208"/>
                                    </a:lnTo>
                                    <a:lnTo>
                                      <a:pt x="126" y="208"/>
                                    </a:lnTo>
                                    <a:lnTo>
                                      <a:pt x="120" y="198"/>
                                    </a:lnTo>
                                    <a:lnTo>
                                      <a:pt x="114" y="188"/>
                                    </a:lnTo>
                                    <a:lnTo>
                                      <a:pt x="112" y="178"/>
                                    </a:lnTo>
                                    <a:lnTo>
                                      <a:pt x="112" y="166"/>
                                    </a:lnTo>
                                    <a:lnTo>
                                      <a:pt x="112" y="166"/>
                                    </a:lnTo>
                                    <a:lnTo>
                                      <a:pt x="112" y="154"/>
                                    </a:lnTo>
                                    <a:lnTo>
                                      <a:pt x="116" y="142"/>
                                    </a:lnTo>
                                    <a:lnTo>
                                      <a:pt x="120" y="132"/>
                                    </a:lnTo>
                                    <a:lnTo>
                                      <a:pt x="128" y="122"/>
                                    </a:lnTo>
                                    <a:lnTo>
                                      <a:pt x="136" y="114"/>
                                    </a:lnTo>
                                    <a:lnTo>
                                      <a:pt x="146" y="106"/>
                                    </a:lnTo>
                                    <a:lnTo>
                                      <a:pt x="156" y="102"/>
                                    </a:lnTo>
                                    <a:lnTo>
                                      <a:pt x="168" y="98"/>
                                    </a:lnTo>
                                    <a:lnTo>
                                      <a:pt x="166" y="90"/>
                                    </a:lnTo>
                                    <a:lnTo>
                                      <a:pt x="166" y="90"/>
                                    </a:lnTo>
                                    <a:lnTo>
                                      <a:pt x="166" y="88"/>
                                    </a:lnTo>
                                    <a:lnTo>
                                      <a:pt x="166" y="88"/>
                                    </a:lnTo>
                                    <a:lnTo>
                                      <a:pt x="162" y="80"/>
                                    </a:lnTo>
                                    <a:lnTo>
                                      <a:pt x="154" y="74"/>
                                    </a:lnTo>
                                    <a:lnTo>
                                      <a:pt x="146" y="70"/>
                                    </a:lnTo>
                                    <a:lnTo>
                                      <a:pt x="138" y="68"/>
                                    </a:lnTo>
                                    <a:lnTo>
                                      <a:pt x="110" y="68"/>
                                    </a:lnTo>
                                    <a:lnTo>
                                      <a:pt x="90" y="102"/>
                                    </a:lnTo>
                                    <a:lnTo>
                                      <a:pt x="72" y="68"/>
                                    </a:lnTo>
                                    <a:lnTo>
                                      <a:pt x="46" y="68"/>
                                    </a:lnTo>
                                    <a:lnTo>
                                      <a:pt x="46" y="68"/>
                                    </a:lnTo>
                                    <a:lnTo>
                                      <a:pt x="36" y="70"/>
                                    </a:lnTo>
                                    <a:lnTo>
                                      <a:pt x="28" y="74"/>
                                    </a:lnTo>
                                    <a:lnTo>
                                      <a:pt x="20" y="80"/>
                                    </a:lnTo>
                                    <a:lnTo>
                                      <a:pt x="16" y="88"/>
                                    </a:lnTo>
                                    <a:lnTo>
                                      <a:pt x="16" y="88"/>
                                    </a:lnTo>
                                    <a:lnTo>
                                      <a:pt x="16" y="90"/>
                                    </a:lnTo>
                                    <a:lnTo>
                                      <a:pt x="0" y="190"/>
                                    </a:lnTo>
                                    <a:lnTo>
                                      <a:pt x="0" y="190"/>
                                    </a:lnTo>
                                    <a:lnTo>
                                      <a:pt x="0" y="196"/>
                                    </a:lnTo>
                                    <a:lnTo>
                                      <a:pt x="2" y="202"/>
                                    </a:lnTo>
                                    <a:lnTo>
                                      <a:pt x="6" y="206"/>
                                    </a:lnTo>
                                    <a:lnTo>
                                      <a:pt x="12" y="208"/>
                                    </a:lnTo>
                                    <a:lnTo>
                                      <a:pt x="12" y="208"/>
                                    </a:lnTo>
                                    <a:lnTo>
                                      <a:pt x="14" y="208"/>
                                    </a:lnTo>
                                    <a:lnTo>
                                      <a:pt x="14" y="208"/>
                                    </a:lnTo>
                                    <a:lnTo>
                                      <a:pt x="20" y="208"/>
                                    </a:lnTo>
                                    <a:lnTo>
                                      <a:pt x="24" y="204"/>
                                    </a:lnTo>
                                    <a:lnTo>
                                      <a:pt x="28" y="200"/>
                                    </a:lnTo>
                                    <a:lnTo>
                                      <a:pt x="30" y="196"/>
                                    </a:lnTo>
                                    <a:lnTo>
                                      <a:pt x="30" y="196"/>
                                    </a:lnTo>
                                    <a:close/>
                                    <a:moveTo>
                                      <a:pt x="180" y="118"/>
                                    </a:moveTo>
                                    <a:lnTo>
                                      <a:pt x="180" y="118"/>
                                    </a:lnTo>
                                    <a:lnTo>
                                      <a:pt x="170" y="118"/>
                                    </a:lnTo>
                                    <a:lnTo>
                                      <a:pt x="162" y="120"/>
                                    </a:lnTo>
                                    <a:lnTo>
                                      <a:pt x="152" y="126"/>
                                    </a:lnTo>
                                    <a:lnTo>
                                      <a:pt x="146" y="132"/>
                                    </a:lnTo>
                                    <a:lnTo>
                                      <a:pt x="140" y="138"/>
                                    </a:lnTo>
                                    <a:lnTo>
                                      <a:pt x="136" y="146"/>
                                    </a:lnTo>
                                    <a:lnTo>
                                      <a:pt x="132" y="156"/>
                                    </a:lnTo>
                                    <a:lnTo>
                                      <a:pt x="132" y="166"/>
                                    </a:lnTo>
                                    <a:lnTo>
                                      <a:pt x="132" y="166"/>
                                    </a:lnTo>
                                    <a:lnTo>
                                      <a:pt x="132" y="176"/>
                                    </a:lnTo>
                                    <a:lnTo>
                                      <a:pt x="136" y="184"/>
                                    </a:lnTo>
                                    <a:lnTo>
                                      <a:pt x="140" y="194"/>
                                    </a:lnTo>
                                    <a:lnTo>
                                      <a:pt x="146" y="200"/>
                                    </a:lnTo>
                                    <a:lnTo>
                                      <a:pt x="152" y="206"/>
                                    </a:lnTo>
                                    <a:lnTo>
                                      <a:pt x="162" y="210"/>
                                    </a:lnTo>
                                    <a:lnTo>
                                      <a:pt x="170" y="214"/>
                                    </a:lnTo>
                                    <a:lnTo>
                                      <a:pt x="180" y="214"/>
                                    </a:lnTo>
                                    <a:lnTo>
                                      <a:pt x="180" y="214"/>
                                    </a:lnTo>
                                    <a:lnTo>
                                      <a:pt x="190" y="214"/>
                                    </a:lnTo>
                                    <a:lnTo>
                                      <a:pt x="200" y="210"/>
                                    </a:lnTo>
                                    <a:lnTo>
                                      <a:pt x="208" y="206"/>
                                    </a:lnTo>
                                    <a:lnTo>
                                      <a:pt x="214" y="200"/>
                                    </a:lnTo>
                                    <a:lnTo>
                                      <a:pt x="220" y="194"/>
                                    </a:lnTo>
                                    <a:lnTo>
                                      <a:pt x="224" y="184"/>
                                    </a:lnTo>
                                    <a:lnTo>
                                      <a:pt x="228" y="176"/>
                                    </a:lnTo>
                                    <a:lnTo>
                                      <a:pt x="228" y="166"/>
                                    </a:lnTo>
                                    <a:lnTo>
                                      <a:pt x="228" y="166"/>
                                    </a:lnTo>
                                    <a:lnTo>
                                      <a:pt x="228" y="156"/>
                                    </a:lnTo>
                                    <a:lnTo>
                                      <a:pt x="224" y="146"/>
                                    </a:lnTo>
                                    <a:lnTo>
                                      <a:pt x="220" y="138"/>
                                    </a:lnTo>
                                    <a:lnTo>
                                      <a:pt x="214" y="132"/>
                                    </a:lnTo>
                                    <a:lnTo>
                                      <a:pt x="208" y="126"/>
                                    </a:lnTo>
                                    <a:lnTo>
                                      <a:pt x="200" y="120"/>
                                    </a:lnTo>
                                    <a:lnTo>
                                      <a:pt x="190" y="118"/>
                                    </a:lnTo>
                                    <a:lnTo>
                                      <a:pt x="180" y="118"/>
                                    </a:lnTo>
                                    <a:close/>
                                    <a:moveTo>
                                      <a:pt x="296" y="260"/>
                                    </a:moveTo>
                                    <a:lnTo>
                                      <a:pt x="296" y="260"/>
                                    </a:lnTo>
                                    <a:lnTo>
                                      <a:pt x="294" y="258"/>
                                    </a:lnTo>
                                    <a:lnTo>
                                      <a:pt x="294" y="258"/>
                                    </a:lnTo>
                                    <a:lnTo>
                                      <a:pt x="292" y="252"/>
                                    </a:lnTo>
                                    <a:lnTo>
                                      <a:pt x="288" y="246"/>
                                    </a:lnTo>
                                    <a:lnTo>
                                      <a:pt x="278" y="236"/>
                                    </a:lnTo>
                                    <a:lnTo>
                                      <a:pt x="266" y="230"/>
                                    </a:lnTo>
                                    <a:lnTo>
                                      <a:pt x="250" y="228"/>
                                    </a:lnTo>
                                    <a:lnTo>
                                      <a:pt x="210" y="228"/>
                                    </a:lnTo>
                                    <a:lnTo>
                                      <a:pt x="180" y="278"/>
                                    </a:lnTo>
                                    <a:lnTo>
                                      <a:pt x="150" y="228"/>
                                    </a:lnTo>
                                    <a:lnTo>
                                      <a:pt x="110" y="228"/>
                                    </a:lnTo>
                                    <a:lnTo>
                                      <a:pt x="110" y="228"/>
                                    </a:lnTo>
                                    <a:lnTo>
                                      <a:pt x="94" y="230"/>
                                    </a:lnTo>
                                    <a:lnTo>
                                      <a:pt x="82" y="236"/>
                                    </a:lnTo>
                                    <a:lnTo>
                                      <a:pt x="72" y="246"/>
                                    </a:lnTo>
                                    <a:lnTo>
                                      <a:pt x="68" y="252"/>
                                    </a:lnTo>
                                    <a:lnTo>
                                      <a:pt x="66" y="258"/>
                                    </a:lnTo>
                                    <a:lnTo>
                                      <a:pt x="66" y="258"/>
                                    </a:lnTo>
                                    <a:lnTo>
                                      <a:pt x="64" y="260"/>
                                    </a:lnTo>
                                    <a:lnTo>
                                      <a:pt x="52" y="336"/>
                                    </a:lnTo>
                                    <a:lnTo>
                                      <a:pt x="52" y="336"/>
                                    </a:lnTo>
                                    <a:lnTo>
                                      <a:pt x="72" y="352"/>
                                    </a:lnTo>
                                    <a:lnTo>
                                      <a:pt x="96" y="362"/>
                                    </a:lnTo>
                                    <a:lnTo>
                                      <a:pt x="106" y="304"/>
                                    </a:lnTo>
                                    <a:lnTo>
                                      <a:pt x="118" y="304"/>
                                    </a:lnTo>
                                    <a:lnTo>
                                      <a:pt x="114" y="370"/>
                                    </a:lnTo>
                                    <a:lnTo>
                                      <a:pt x="114" y="370"/>
                                    </a:lnTo>
                                    <a:lnTo>
                                      <a:pt x="130" y="374"/>
                                    </a:lnTo>
                                    <a:lnTo>
                                      <a:pt x="146" y="378"/>
                                    </a:lnTo>
                                    <a:lnTo>
                                      <a:pt x="162" y="380"/>
                                    </a:lnTo>
                                    <a:lnTo>
                                      <a:pt x="180" y="380"/>
                                    </a:lnTo>
                                    <a:lnTo>
                                      <a:pt x="180" y="380"/>
                                    </a:lnTo>
                                    <a:lnTo>
                                      <a:pt x="196" y="380"/>
                                    </a:lnTo>
                                    <a:lnTo>
                                      <a:pt x="214" y="378"/>
                                    </a:lnTo>
                                    <a:lnTo>
                                      <a:pt x="230" y="374"/>
                                    </a:lnTo>
                                    <a:lnTo>
                                      <a:pt x="246" y="370"/>
                                    </a:lnTo>
                                    <a:lnTo>
                                      <a:pt x="242" y="304"/>
                                    </a:lnTo>
                                    <a:lnTo>
                                      <a:pt x="254" y="304"/>
                                    </a:lnTo>
                                    <a:lnTo>
                                      <a:pt x="264" y="362"/>
                                    </a:lnTo>
                                    <a:lnTo>
                                      <a:pt x="264" y="362"/>
                                    </a:lnTo>
                                    <a:lnTo>
                                      <a:pt x="288" y="350"/>
                                    </a:lnTo>
                                    <a:lnTo>
                                      <a:pt x="308" y="336"/>
                                    </a:lnTo>
                                    <a:lnTo>
                                      <a:pt x="296" y="260"/>
                                    </a:lnTo>
                                    <a:close/>
                                  </a:path>
                                </a:pathLst>
                              </a:custGeom>
                              <a:solidFill>
                                <a:schemeClr val="accent6">
                                  <a:lumMod val="60000"/>
                                  <a:lumOff val="40000"/>
                                </a:schemeClr>
                              </a:solidFill>
                              <a:ln>
                                <a:noFill/>
                              </a:ln>
                              <a:extLst/>
                            </wps:spPr>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8749B" id="Freeform 4851" o:spid="_x0000_s1026" style="position:absolute;margin-left:.5pt;margin-top:.45pt;width:26.6pt;height:2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caGgwAAHlGAAAOAAAAZHJzL2Uyb0RvYy54bWysXF1v3MoNfS/Q/yDsY4Fe74z204hzH3Kb&#10;okB6GyAp+qzsyvGiu6utJMdOf33JGVKmbHE4LpyHyPYec4aHHM7hSNa7Xx9Px+JH3XaH5nwzc7/M&#10;Z0V93jX7w/n7zeyfXz/+eTMrur4676tjc65vZj/rbvbr+z/+4d3D5br2zV1z3NdtAUbO3fXD5WZ2&#10;1/eX66urbndXn6rul+ZSn+HD26Y9VT18236/2rfVA1g/Ha/8fL66emja/aVtdnXXwU9/ix/O3gf7&#10;t7f1rv/H7W1X98XxZgZz68P/bfj/G/5/9f5ddf29rS53hx1No/o/ZnGqDmcYdDD1W9VXxX17eGHq&#10;dNi1Tdfc9r/smtNVc3t72NXBB/DGzZ958+WuutTBFyCnuww0dW9ndvf7j89tcdhD7NbLWXGuThCk&#10;j21dI+XFYrN0SNHDpbsG5JfL5xad7C6fmt2/u+Lc/GV/6D83h3MPUwrIqxEUv+ngl4pvD39v9mC5&#10;uu+bwNPjbXtCU8BA8RjC8XMIR/3YFzv4YVmuNx6CtoOPyuVqsw7huqqu+Zd3913/17oJhqofn7o+&#10;RnMPX4VY7Mmfr2Dk9nSEwP7pqvCLTfFQlCuO/QByArQp7opy8wLiBcSvF9N2SgGaT9tZCIjfKvOB&#10;cDxNWpnQaoSZT09oLUDL1fSMYJk+DbZUZrQVIM2QG3OtTMlJsr3inJN0lwuFbif53mimRowDajoD&#10;JOUrzdSIc6fNSpK+VtLASdbdVjMlad8qpnCdPAXQK6a8pN3B3KezXPKuLhcveXcrJa/8iPhSm5ck&#10;3s8V5v2I+bUSRC+Z96qPkvrSKWnqJfUeMnCSr1JyX5Z+OrlKyT1sXYotyX2plapScq/yVUruoeAp&#10;85LcOy2/Ssm9m2s+Su61ClFK6p3XpjWiXsmIhWReq6MLSbxC+0LSDst1sjwsJOvajCTnK4WmhaQc&#10;1sRkVi0k41vN0ohwbU6S8KXm3IhvLdWXknBtAwTNIGqRU2a1lJQ7v5rmfCk5VzN9KVl3TiFrKWlX&#10;K9ZS8u5gb5rMhaUk3nk/HcOlZB5HnLYlqdcWIOiVJ1LdUimkK0k9xGcys1aS+bVC1koSr+2FK8m7&#10;tpJXkvaNsgBXknUlRVcjzlWiRpxr3knK1bQCwfnEuZYJa0m5WtfXknOnVZi1JN1pK2ctWXelklUo&#10;5wdF4BbK/ryWvOu2RsxvlLxaj5hXfRxRr+3PoL2fZo8Bmlw5mzH3io8byb3X4rgZca/pmY3kHtXF&#10;9LxG3IMimFyHG8m93ypx3EjuPezi07Yk914TuJsR91pObCX3DlbspI/bEfegxibntZXcb5TVuJXU&#10;e0joaVOS+pXC/FYyr7K1lcy7ucL8VjJfzpWs30rmcZ1NsyWZh7522kU3l9Sr6eXmkvuENUm+1yhz&#10;c0l/CaJloB967e/cTVd33GDvHs/UYcNXRYUnPfPQ1F+aDpt5bLehZf8aDwSqa0BhO66AYY4ILvGc&#10;AcZLgyEFELzMAkOQEbzOAkMUEbzNAmOTi2hoY3NmjY1sgOc56chLl+emIz9dnqPYdIbJ5LmKjSXC&#10;oXXMcdWTq9AdZsHJVZ/nKnaAYTJ5rnpyFdq4nMlgH4fWoVPLgnPm5rmK3ViwnucqNlwBnucqNlUB&#10;nucqNk4Ih94ox1VsjwI8z9UFuQp9TpZ1cnWR5+qCXF3kuYotC849nmSaFQbbkgDPcxU7jwDPcxWb&#10;iwDPcxX7hwDPcxV7BIRDF5DDO/YBAZ7nKor9AM9zFRV9gOe5uiJXV3muojRH66C+c1xF+R3gea6i&#10;wg7wPFdRRAd4nquokwM8z1WUwggHsZvjKqrdAM9zFQVtgOe5ipo1wPNc3ZCrIDxz5o7KE62DtsyC&#10;k6ugH7Pg5CpoxCw4uQoyMAtOrm7zXA1SD31FMZdjHw7dIjmo18QvxIpGgqyFG17Pb3W1swJudX3D&#10;36muL1WPOo6/LB7g1gqWjTu4QqLhz0/Nj/prExA9yjlPmwXspnHYJ8DxnATyx3y9jO15sscf85Vh&#10;0V/QK3FY/pivDIu8GyiqpMaQVBH5PhOPxFcakUrVm6Co0hi2qAQYs6fVYzCBvQ/knUUrtjUAAz2X&#10;ZJ9h1qBkLQ8GUik9aHQB8jINi9UEBEASRuTC1pyEUaQgkZIwSo63gsU1YFmj7LZcIOVkEUJqz6KX&#10;yoIVrOfVgxcTX3kZx2ANRYY/3h2brgbGX9alULcwkyHvY0i0wgT3DkMyD0A2ztc4h1fCYG9LZQJb&#10;M2HRccjCpLUyZgJkYRKG99uAk+FWOXvIV/KUWkxI1pQ1OEcK1iwYiTHcoZLmSIpb5qiHfCMYuWow&#10;4uexphj8Oqp3RrTgXm4gzoj9K2FG+jo8a4PYwxRTUciE+Xl0wQwq8QunaMlhPWUm3HVO4yjR4Z5K&#10;Gkd1xQE+5S7ctQ2sOKhqaVzMdbi1koeD/ibLXi4OuoK0Pd63LVysJ5ipSXt0HgFn62kcLdo3w1GT&#10;atqjouLhrC3pB3VTcFiaxlHn4k3hE/PFG/lX4lFtEEhp/koqLHCsnZwfPIMQ7UG+pvwtIV44Ltwd&#10;SuPg8ywcnXo50IXJcbNxsQrBnTDDXsxnrDPJcVk/GHla4v1yjMeb4SJ/tr1MHJ0U4UaT9Je0nDc2&#10;0yf1Y9ij9fakklgK8JUkgYrTFRhtOIM61fTXcxyPzNc4A9paB2v8KV8jittgQ+vCQwAhHQyti6sI&#10;swaSLBUUeEolwAyty7AXIvaZC2QtF5beuNgFox4wIemqweymh6RIpTmjoL8BiCp32lJWi0x7SpoD&#10;Ouc0+KSjAmOXYJQxIpXMLJSRgzR7I6GJCGN15HXGFB5j3WbWAFq1z5nQa9CLbUkrQtTVWvsmnf+b&#10;sLzdmsWTsanz3mBoBJZORuGgk3dLwdCBhiWI6DzZ0ld0+GTJNT72tLZVx3LI2M7hwbGsbT8fFwNr&#10;yWdsY4K8slo82oecIe+5PMNDYumdiO3l4ox2xtHdY6s94q3NarfggbnIi1EY4VGjiDNkOzxQEXGG&#10;bHJ0Z81qVx2cKmDcjO4IwxBg6U3nlTArV2hQExaLpHUGQUXFOtEggo3zEUc3mI1DGV62BoyKhRUs&#10;umtnGCMH3gRFWWmQQTluMEsqzwpTTDQz5iEd81DGOREXuHRqvw6VLlokb4yOJhJh9UdU/8z9g8d8&#10;riSeSXFq9q1dJg/Gut6wRidhVudLWWY20hypdAxe6CQmQpdW8OhfrL2DFNa01UskW+crNW+kOy11&#10;5Ug3466T7MtYrYEKSOJ4FzEOC91wqGikDe9eYDc5Lh9mWt0q46xd/bU4eDIhPT/aXeEpgCSOeYFz&#10;7TSOF3Fe3MzFzv2TcQgID1SHTLVEKufpm+EG1ZvmBdcwyglLHWNVCzhD7eD8Iy7Ns6eKhDcaUnEb&#10;DueNPICHp8O4zsirAWfk86txxjoa/DDW5cALqJokL6zyjbrBccMuI2mP8sCsayyQhsrLdZSvVE9f&#10;VGj+XK/q8KB5zB3oJuNctar+EsnW+Rpn4elulzeOAPJxtHlDdU+yCXIorAIr2nyLwGivPelvD3tl&#10;clzu6mE1JHHcwxq4oSpZPWLmuCzCcXWl5peL4/AatPBBgcEyiXpvBA3kfIitkQMcMiP1cmFUVoel&#10;wYnO15jwpDpKw9NMGBFSGp7SsoXn89NBpftN8PcKaRyUFiTYxkVOSqMn4gMRE0dCtDS6J2784a8b&#10;0n6QRKC/1oen4ThWfB2XyjfDcTyM/o63assPLDohHgYvuG4izihSdN5pxdfTMYGJo4NlK//gz0zi&#10;/Iw85WdLSuMMmu93WotN36x4K4TUwKcfw1+ZDI9B4tOT4i0SXXM87D8ejkd84Ci8hKT+cGyLHxW8&#10;PqTa7epzvwrPSB7vT/BCi/jz1Rz+YY5C6t2f4HUj8ccL/jEMMVgKg48GOYa/jTk3OCgXazQFL8GI&#10;f28T3qiBL9GIr+H41ux/wgs14JUr8C6Tu6b976x4gNeX3My6/9xXbT0rjn87w8s4tm6Bmr0P3yyW&#10;axSCrfzkm/zkfH/60ICL8GdF1XkHVm9mu77lbz708YUp8MYS4O3T+ctlh1Cc5aXt+q+P/6raS4Ff&#10;3sx6mPfvDb+4pLrm13Ig+QMWWMA3g0RX6Bt4v0kgh97Fgi9Qkd8H1NMbY97/DwAA//8DAFBLAwQU&#10;AAYACAAAACEAtmC8YNwAAAAEAQAADwAAAGRycy9kb3ducmV2LnhtbEyPUUvDQBCE3wX/w7GCL9Je&#10;GlrbxlyKiIoUQdv6A7a5NQnm9tLctY3/3vVJn4Zhlplv89XgWnWiPjSeDUzGCSji0tuGKwMfu6fR&#10;AlSIyBZbz2TgmwKsisuLHDPrz7yh0zZWSko4ZGigjrHLtA5lTQ7D2HfEkn363mEU21fa9niWctfq&#10;NElutcOGZaHGjh5qKr+2R2dgtnsJy24+vXm0m/TAzdvh/fV5bcz11XB/ByrSEP+O4Rdf0KEQpr0/&#10;sg2qFS+fRANLUBLOpimoveh8ArrI9X/44gcAAP//AwBQSwECLQAUAAYACAAAACEAtoM4kv4AAADh&#10;AQAAEwAAAAAAAAAAAAAAAAAAAAAAW0NvbnRlbnRfVHlwZXNdLnhtbFBLAQItABQABgAIAAAAIQA4&#10;/SH/1gAAAJQBAAALAAAAAAAAAAAAAAAAAC8BAABfcmVscy8ucmVsc1BLAQItABQABgAIAAAAIQDr&#10;pzcaGgwAAHlGAAAOAAAAAAAAAAAAAAAAAC4CAABkcnMvZTJvRG9jLnhtbFBLAQItABQABgAIAAAA&#10;IQC2YLxg3AAAAAQBAAAPAAAAAAAAAAAAAAAAAHQOAABkcnMvZG93bnJldi54bWxQSwUGAAAAAAQA&#10;BADzAAAAfQ8AAAAA&#10;" path="m240,28r,l240,22r2,-4l248,8,258,2,262,r6,l268,r6,l280,2r10,6l296,18r2,4l298,28r,l298,34r-2,6l290,50r-10,6l274,58r-6,l268,58r-6,l258,56,248,50,242,40r-2,-6l240,28r,xm360,190l344,90r,l344,88r,l340,80r-8,-6l324,70,314,68r-26,l270,102,250,68r-28,l222,68r-8,2l206,74r-8,6l194,88r,l194,90r-2,8l192,98r12,4l214,106r10,8l232,122r8,10l244,142r4,12l248,166r,l248,178r-2,10l240,198r-6,10l250,208r,l260,208r10,2l278,214r8,4l294,222r6,6l306,236r4,8l308,118r10,l330,196r,l332,200r4,4l340,208r6,l346,208r2,l348,208r6,-2l358,202r2,-6l360,190r,xm92,58r,l98,58r4,-2l112,50r6,-10l120,34r,-6l120,28r,-6l118,18,112,8,102,2,98,,92,r,l86,,80,2,70,8,64,18r-2,4l62,28r,l62,34r2,6l70,50r10,6l86,58r6,l92,58xm30,196l42,118r10,l50,244r,l54,236r6,-8l66,222r8,-4l82,214r8,-4l100,208r10,l126,208r,l120,198r-6,-10l112,178r,-12l112,166r,-12l116,142r4,-10l128,122r8,-8l146,106r10,-4l168,98r-2,-8l166,90r,-2l166,88r-4,-8l154,74r-8,-4l138,68r-28,l90,102,72,68r-26,l46,68,36,70r-8,4l20,80r-4,8l16,88r,2l,190r,l,196r2,6l6,206r6,2l12,208r2,l14,208r6,l24,204r4,-4l30,196r,xm180,118r,l170,118r-8,2l152,126r-6,6l140,138r-4,8l132,156r,10l132,166r,10l136,184r4,10l146,200r6,6l162,210r8,4l180,214r,l190,214r10,-4l208,206r6,-6l220,194r4,-10l228,176r,-10l228,166r,-10l224,146r-4,-8l214,132r-6,-6l200,120r-10,-2l180,118xm296,260r,l294,258r,l292,252r-4,-6l278,236r-12,-6l250,228r-40,l180,278,150,228r-40,l110,228r-16,2l82,236,72,246r-4,6l66,258r,l64,260,52,336r,l72,352r24,10l106,304r12,l114,370r,l130,374r16,4l162,380r18,l180,380r16,l214,378r16,-4l246,370r-4,-66l254,304r10,58l264,362r24,-12l308,336,296,260xe" fillcolor="#fabf8f [1945]" stroked="f">
                      <v:path arrowok="t" o:connecttype="custom" o:connectlocs="232720,7513;257119,0;279640,26296;262749,52591;242104,52591;225213,26296;322806,82644;270256,63861;200815,65739;182047,84522;210199,107061;232720,155896;219583,195339;260872,200974;290901,229148;311545,187826;326559,195339;337820,178435;95716,52591;112607,26296;91962,0;65687,7513;58180,31930;86332,54470;46919,229148;69441,204731;118237,195339;105100,155896;120114,114574;155773,84522;144512,69496;67564,63861;18768,75131;0,178435;11261,195339;26275,187826;159526,110818;127621,137113;127621,172800;159526,200974;195185,193461;213953,155896;200815,123965;277763,244174;270256,231026;168910,261079;76948,221635;60057,244174;99469,285496;137005,354992;200815,354992;247735,339966" o:connectangles="0,0,0,0,0,0,0,0,0,0,0,0,0,0,0,0,0,0,0,0,0,0,0,0,0,0,0,0,0,0,0,0,0,0,0,0,0,0,0,0,0,0,0,0,0,0,0,0,0,0,0,0"/>
                      <o:lock v:ext="edit" verticies="t"/>
                    </v:shape>
                  </w:pict>
                </mc:Fallback>
              </mc:AlternateContent>
            </w:r>
          </w:p>
        </w:tc>
        <w:tc>
          <w:tcPr>
            <w:tcW w:w="2126" w:type="dxa"/>
          </w:tcPr>
          <w:p w14:paraId="408C62AD" w14:textId="77777777" w:rsidR="00F17427" w:rsidRPr="007E5633" w:rsidRDefault="00F17427" w:rsidP="000A7BA9">
            <w:pPr>
              <w:rPr>
                <w:rFonts w:ascii="Arial" w:hAnsi="Arial" w:cs="Arial"/>
                <w:b/>
                <w:color w:val="404040" w:themeColor="text1" w:themeTint="BF"/>
                <w:lang w:val="uk-UA"/>
              </w:rPr>
            </w:pPr>
            <w:r w:rsidRPr="007E5633">
              <w:rPr>
                <w:rFonts w:ascii="Arial" w:hAnsi="Arial" w:cs="Arial"/>
                <w:b/>
                <w:color w:val="404040" w:themeColor="text1" w:themeTint="BF"/>
                <w:lang w:val="uk-UA"/>
              </w:rPr>
              <w:t>Сторони контракту</w:t>
            </w:r>
          </w:p>
        </w:tc>
        <w:tc>
          <w:tcPr>
            <w:tcW w:w="6015" w:type="dxa"/>
          </w:tcPr>
          <w:p w14:paraId="64B25179" w14:textId="77777777" w:rsidR="00F17427" w:rsidRPr="007E5633" w:rsidRDefault="00F17427" w:rsidP="000A7BA9">
            <w:pPr>
              <w:rPr>
                <w:rFonts w:ascii="Arial" w:hAnsi="Arial" w:cs="Arial"/>
                <w:lang w:val="uk-UA"/>
              </w:rPr>
            </w:pPr>
            <w:r w:rsidRPr="007E5633">
              <w:rPr>
                <w:rFonts w:ascii="Arial" w:hAnsi="Arial" w:cs="Arial"/>
                <w:lang w:val="uk-UA"/>
              </w:rPr>
              <w:t>Ідентифікатор учасника ринку або контрагента, ідентифікатор іншого учасника ринку або Ідентифікатор установи, що подає звітність за контрагента, Ідентифікатор Бенефіціара, Індикатор купівлі / продажу</w:t>
            </w:r>
          </w:p>
        </w:tc>
      </w:tr>
      <w:tr w:rsidR="00F17427" w:rsidRPr="007E5633" w14:paraId="1409A9F0" w14:textId="77777777" w:rsidTr="00F17427">
        <w:trPr>
          <w:trHeight w:val="690"/>
        </w:trPr>
        <w:tc>
          <w:tcPr>
            <w:tcW w:w="1101" w:type="dxa"/>
            <w:shd w:val="clear" w:color="auto" w:fill="auto"/>
            <w:vAlign w:val="center"/>
          </w:tcPr>
          <w:p w14:paraId="38BE6F42" w14:textId="77777777" w:rsidR="00F17427" w:rsidRPr="007E5633" w:rsidRDefault="008C252E" w:rsidP="000A7BA9">
            <w:pPr>
              <w:jc w:val="cente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83168" behindDoc="0" locked="0" layoutInCell="1" allowOverlap="1" wp14:anchorId="6D68E75F" wp14:editId="6C811DE5">
                      <wp:simplePos x="0" y="0"/>
                      <wp:positionH relativeFrom="column">
                        <wp:posOffset>30480</wp:posOffset>
                      </wp:positionH>
                      <wp:positionV relativeFrom="paragraph">
                        <wp:posOffset>24765</wp:posOffset>
                      </wp:positionV>
                      <wp:extent cx="363220" cy="300355"/>
                      <wp:effectExtent l="0" t="0" r="0" b="4445"/>
                      <wp:wrapNone/>
                      <wp:docPr id="12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3220" cy="300355"/>
                              </a:xfrm>
                              <a:custGeom>
                                <a:avLst/>
                                <a:gdLst>
                                  <a:gd name="T0" fmla="*/ 687 w 749"/>
                                  <a:gd name="T1" fmla="*/ 186 h 622"/>
                                  <a:gd name="T2" fmla="*/ 687 w 749"/>
                                  <a:gd name="T3" fmla="*/ 561 h 622"/>
                                  <a:gd name="T4" fmla="*/ 187 w 749"/>
                                  <a:gd name="T5" fmla="*/ 561 h 622"/>
                                  <a:gd name="T6" fmla="*/ 187 w 749"/>
                                  <a:gd name="T7" fmla="*/ 622 h 622"/>
                                  <a:gd name="T8" fmla="*/ 749 w 749"/>
                                  <a:gd name="T9" fmla="*/ 622 h 622"/>
                                  <a:gd name="T10" fmla="*/ 749 w 749"/>
                                  <a:gd name="T11" fmla="*/ 186 h 622"/>
                                  <a:gd name="T12" fmla="*/ 687 w 749"/>
                                  <a:gd name="T13" fmla="*/ 186 h 622"/>
                                  <a:gd name="T14" fmla="*/ 655 w 749"/>
                                  <a:gd name="T15" fmla="*/ 94 h 622"/>
                                  <a:gd name="T16" fmla="*/ 593 w 749"/>
                                  <a:gd name="T17" fmla="*/ 94 h 622"/>
                                  <a:gd name="T18" fmla="*/ 593 w 749"/>
                                  <a:gd name="T19" fmla="*/ 467 h 622"/>
                                  <a:gd name="T20" fmla="*/ 94 w 749"/>
                                  <a:gd name="T21" fmla="*/ 467 h 622"/>
                                  <a:gd name="T22" fmla="*/ 94 w 749"/>
                                  <a:gd name="T23" fmla="*/ 530 h 622"/>
                                  <a:gd name="T24" fmla="*/ 655 w 749"/>
                                  <a:gd name="T25" fmla="*/ 530 h 622"/>
                                  <a:gd name="T26" fmla="*/ 655 w 749"/>
                                  <a:gd name="T27" fmla="*/ 94 h 622"/>
                                  <a:gd name="T28" fmla="*/ 563 w 749"/>
                                  <a:gd name="T29" fmla="*/ 0 h 622"/>
                                  <a:gd name="T30" fmla="*/ 0 w 749"/>
                                  <a:gd name="T31" fmla="*/ 0 h 622"/>
                                  <a:gd name="T32" fmla="*/ 0 w 749"/>
                                  <a:gd name="T33" fmla="*/ 436 h 622"/>
                                  <a:gd name="T34" fmla="*/ 563 w 749"/>
                                  <a:gd name="T35" fmla="*/ 436 h 622"/>
                                  <a:gd name="T36" fmla="*/ 563 w 749"/>
                                  <a:gd name="T37" fmla="*/ 0 h 622"/>
                                  <a:gd name="T38" fmla="*/ 500 w 749"/>
                                  <a:gd name="T39" fmla="*/ 374 h 622"/>
                                  <a:gd name="T40" fmla="*/ 63 w 749"/>
                                  <a:gd name="T41" fmla="*/ 374 h 622"/>
                                  <a:gd name="T42" fmla="*/ 63 w 749"/>
                                  <a:gd name="T43" fmla="*/ 62 h 622"/>
                                  <a:gd name="T44" fmla="*/ 500 w 749"/>
                                  <a:gd name="T45" fmla="*/ 62 h 622"/>
                                  <a:gd name="T46" fmla="*/ 500 w 749"/>
                                  <a:gd name="T47" fmla="*/ 37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9" h="622">
                                    <a:moveTo>
                                      <a:pt x="687" y="186"/>
                                    </a:moveTo>
                                    <a:lnTo>
                                      <a:pt x="687" y="561"/>
                                    </a:lnTo>
                                    <a:lnTo>
                                      <a:pt x="187" y="561"/>
                                    </a:lnTo>
                                    <a:lnTo>
                                      <a:pt x="187" y="622"/>
                                    </a:lnTo>
                                    <a:lnTo>
                                      <a:pt x="749" y="622"/>
                                    </a:lnTo>
                                    <a:lnTo>
                                      <a:pt x="749" y="186"/>
                                    </a:lnTo>
                                    <a:lnTo>
                                      <a:pt x="687" y="186"/>
                                    </a:lnTo>
                                    <a:close/>
                                    <a:moveTo>
                                      <a:pt x="655" y="94"/>
                                    </a:moveTo>
                                    <a:lnTo>
                                      <a:pt x="593" y="94"/>
                                    </a:lnTo>
                                    <a:lnTo>
                                      <a:pt x="593" y="467"/>
                                    </a:lnTo>
                                    <a:lnTo>
                                      <a:pt x="94" y="467"/>
                                    </a:lnTo>
                                    <a:lnTo>
                                      <a:pt x="94" y="530"/>
                                    </a:lnTo>
                                    <a:lnTo>
                                      <a:pt x="655" y="530"/>
                                    </a:lnTo>
                                    <a:lnTo>
                                      <a:pt x="655" y="94"/>
                                    </a:lnTo>
                                    <a:close/>
                                    <a:moveTo>
                                      <a:pt x="563" y="0"/>
                                    </a:moveTo>
                                    <a:lnTo>
                                      <a:pt x="0" y="0"/>
                                    </a:lnTo>
                                    <a:lnTo>
                                      <a:pt x="0" y="436"/>
                                    </a:lnTo>
                                    <a:lnTo>
                                      <a:pt x="563" y="436"/>
                                    </a:lnTo>
                                    <a:lnTo>
                                      <a:pt x="563" y="0"/>
                                    </a:lnTo>
                                    <a:close/>
                                    <a:moveTo>
                                      <a:pt x="500" y="374"/>
                                    </a:moveTo>
                                    <a:lnTo>
                                      <a:pt x="63" y="374"/>
                                    </a:lnTo>
                                    <a:lnTo>
                                      <a:pt x="63" y="62"/>
                                    </a:lnTo>
                                    <a:lnTo>
                                      <a:pt x="500" y="62"/>
                                    </a:lnTo>
                                    <a:lnTo>
                                      <a:pt x="500" y="374"/>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EB14A" id="Freeform 66" o:spid="_x0000_s1026" style="position:absolute;margin-left:2.4pt;margin-top:1.95pt;width:28.6pt;height:2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WiCwUAABcUAAAOAAAAZHJzL2Uyb0RvYy54bWysWMtu6zYQ3RfoPxBaFmist2Mjzl3kNkWB&#10;9DZAXHTNSHQsVBJVko6dfv2doUiZTkyHKOqF9To65DmUZkZz8+XQteSVCdnwfhUlV3FEWF/xuulf&#10;VtGf6/ufryMiFe1r2vKeraI3JqMvtz/+cLMflizlW97WTBAg6eVyP6yirVLDcjaT1ZZ1VF7xgfVw&#10;ccNFRxUcipdZLege2Lt2lsZxOdtzUQ+CV0xKOPt1vBjdav7NhlXqj81GMkXaVQRzU/pf6P9n/J/d&#10;3tDli6DDtqnMNOh/mEVHmx4Gnai+UkXJTjQfqLqmElzyjbqqeDfjm01TMa0B1CTxOzVPWzowrQXM&#10;kcNkk/z/aKtvr4+CNDWsXZpFpKcdLNK9YAwtJ2WJBu0HuQTc0/AoUKIcHnj1tyQ9/6Vu1CNvegUT&#10;ShA5O4HigYSbyPP+d14DL90prl06bESHVKCfHPRivE2LwQ6KVHAyK7M0hSWr4FIWx1lR6BHo0t5c&#10;7aT6lXFNRF8fpBrXsoY9vRK1UbMGkk3XwrL+NCPl9ZzsyTxfmJWfQIkDSq5LsiVlmr4HpQ7IywQ2&#10;TsMVZXKeKXdAiW9OhQPyMpUOyMs0d0Cg6/yc4FWdJg4Onfdp4YC8TIlruZcqCfI8CTI9cV33rl/i&#10;2l4WxXmJiev7Ij9vVuL6XiwyD5VrvJfKNd5P5Tqfl/Pz08I3ZlpEGPDss566xvupXOO9VK7vRRZ7&#10;ZhXke+r67udyjfeuYRpifHpifOlZw9Q13iMwc22Pz7ueua77eFzPfTyu5XnmCVWZa3nh05a5lvu5&#10;XMv9XK7lPn0njsc+ha7j2dzzBuau5z6BuWu6n8q13Uvl+l56Ymh+YrtPYO7a7qU6cd1L5bp+InAG&#10;1YhNhnRr82N16E2ChD1CsUyLdU4euMRcjNkSMu56zOd0CSjMph4w+IbgzKTmy2CwBsE2j18Gg3gE&#10;z4OY4alCsE7qIPsyMyYnREP6wZLlU7jRCBkmCG5UQhIJghudSZjQxChNwqRiNkCpEPBDJgMFzwgP&#10;k5oaqRC3g9iNVAjNQXAjFcJvCBwjMEqFKBsEt09umFSMppo9TGpmpGZhUjMjNQuTioEPJwOxLURq&#10;bqTmYVIxgmn2MKm5kZqfSB3fKhNoBHyFvf/+EhGB769nFECXA1UYn+wu2a8irNDJdhVhEY7nO/7K&#10;1lwjFIYpqL71NKHUMyYcEW1/DgkFtEHa63Y7aEaonTVjKM58HoBSy2O3I59WAEaG4o5KLI/djnwf&#10;FdvrVcsl00YePTD3wEcTLuYi/8QkqDpPgZbbbkc+C4Oa8aKXMB4OGwiDUu8iGxR548oE4ia1dvJ+&#10;g6CY0dR2AkcD7b2j8PGNsyh7zW5dDBRRF8XYEUNx78e8oCUeZwlFwCerbUQfgVaI3ZqnZ/Sm1J/B&#10;3ue8MMMGwj4OahXBCBgIdEqeIgIGEuc7X/K2qe+btsVIoJtE7K4V5JVCe4dWFetVqcNFu+ug5TCe&#10;L2P4oSPwpu46aAeNp3N7GoaYmPTgJ4O0uvzpOQ4KHNoGpII2xVhS6Z4HtjnGRskzr9+g5QEtMeg1&#10;bbn4NyJ7aC+tIvnPjgoWkfa3HtoliyTHMK70QV7MMVML98qze6XfdXccJEIxS/sKWFeRsrt3amxn&#10;QT8JXHvon4YKgTpUCqnWh7+oGMgAu3ATzPobt20lurRtE7R+woJI7NyMQswBdJ+0dtMpw/aWe6xR&#10;x37e7XcAAAD//wMAUEsDBBQABgAIAAAAIQChz/J/3AAAAAUBAAAPAAAAZHJzL2Rvd25yZXYueG1s&#10;TM9NT8MwDAbgOxL/ITISN5ausGkrdSeE+NJu25B2zZqsqdY4VZN+8O8xp3G0Xuv143wzuUYMpgu1&#10;J4T5LAFhqPS6pgrh+/D+sAIRoiKtGk8G4ccE2BS3N7nKtB9pZ4Z9rASXUMgUgo2xzaQMpTVOhZlv&#10;DXF29p1TkceukrpTI5e7RqZJspRO1cQXrGrNqzXlZd87hGAvi2P4Gj/OtBv6+HZQq8/tFvH+bnp5&#10;BhHNFK/L8MdnOhRsOvmedBANwhPDI8LjGgSny5QfOyEs5inIIpf/9cUvAAAA//8DAFBLAQItABQA&#10;BgAIAAAAIQC2gziS/gAAAOEBAAATAAAAAAAAAAAAAAAAAAAAAABbQ29udGVudF9UeXBlc10ueG1s&#10;UEsBAi0AFAAGAAgAAAAhADj9If/WAAAAlAEAAAsAAAAAAAAAAAAAAAAALwEAAF9yZWxzLy5yZWxz&#10;UEsBAi0AFAAGAAgAAAAhANht1aILBQAAFxQAAA4AAAAAAAAAAAAAAAAALgIAAGRycy9lMm9Eb2Mu&#10;eG1sUEsBAi0AFAAGAAgAAAAhAKHP8n/cAAAABQEAAA8AAAAAAAAAAAAAAAAAZQcAAGRycy9kb3du&#10;cmV2LnhtbFBLBQYAAAAABAAEAPMAAABuCAAAAAA=&#10;" path="m687,186r,375l187,561r,61l749,622r,-436l687,186xm655,94r-62,l593,467r-499,l94,530r561,l655,94xm563,l,,,436r563,l563,xm500,374r-437,l63,62r437,l500,374xe" fillcolor="#fabf8f [1945]" stroked="f">
                      <v:path arrowok="t" o:connecttype="custom" o:connectlocs="333154,89817;333154,270899;90684,270899;90684,300355;363220,300355;363220,89817;333154,89817;317636,45391;287569,45391;287569,225508;45584,225508;45584,255930;317636,255930;317636,45391;273021,0;0,0;0,210538;273021,210538;273021,0;242470,180599;30551,180599;30551,29939;242470,29939;242470,180599" o:connectangles="0,0,0,0,0,0,0,0,0,0,0,0,0,0,0,0,0,0,0,0,0,0,0,0"/>
                      <o:lock v:ext="edit" verticies="t"/>
                    </v:shape>
                  </w:pict>
                </mc:Fallback>
              </mc:AlternateContent>
            </w:r>
          </w:p>
        </w:tc>
        <w:tc>
          <w:tcPr>
            <w:tcW w:w="2126" w:type="dxa"/>
          </w:tcPr>
          <w:p w14:paraId="7CBF05DF"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Інформація про замовлення</w:t>
            </w:r>
          </w:p>
        </w:tc>
        <w:tc>
          <w:tcPr>
            <w:tcW w:w="6015" w:type="dxa"/>
          </w:tcPr>
          <w:p w14:paraId="4751467B" w14:textId="77777777" w:rsidR="00F17427" w:rsidRPr="007E5633" w:rsidRDefault="00F17427" w:rsidP="000A7BA9">
            <w:pPr>
              <w:rPr>
                <w:rFonts w:ascii="Arial" w:hAnsi="Arial" w:cs="Arial"/>
                <w:highlight w:val="yellow"/>
                <w:lang w:val="uk-UA"/>
              </w:rPr>
            </w:pPr>
            <w:r w:rsidRPr="007E5633">
              <w:rPr>
                <w:rFonts w:ascii="Arial" w:hAnsi="Arial" w:cs="Arial"/>
                <w:lang w:val="uk-UA"/>
              </w:rPr>
              <w:t>Ідентифікатор замовлення, тип замовлення, стан замовлення, статус замовлення, мінімальний обсяг виконання, ціновий ліміт, непрозвітований обсяг, тривалість замовлення</w:t>
            </w:r>
          </w:p>
        </w:tc>
      </w:tr>
      <w:tr w:rsidR="00F17427" w:rsidRPr="007E5633" w14:paraId="2EE4E61B" w14:textId="77777777" w:rsidTr="00F17427">
        <w:trPr>
          <w:trHeight w:val="690"/>
        </w:trPr>
        <w:tc>
          <w:tcPr>
            <w:tcW w:w="1101" w:type="dxa"/>
            <w:shd w:val="clear" w:color="auto" w:fill="auto"/>
            <w:vAlign w:val="center"/>
          </w:tcPr>
          <w:p w14:paraId="51C91A14" w14:textId="77777777" w:rsidR="00F17427" w:rsidRPr="007E5633" w:rsidRDefault="008C252E" w:rsidP="000A7BA9">
            <w:pPr>
              <w:jc w:val="cente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81120" behindDoc="0" locked="0" layoutInCell="1" allowOverlap="1" wp14:anchorId="3064DA18" wp14:editId="280FA6F5">
                      <wp:simplePos x="0" y="0"/>
                      <wp:positionH relativeFrom="column">
                        <wp:posOffset>29210</wp:posOffset>
                      </wp:positionH>
                      <wp:positionV relativeFrom="paragraph">
                        <wp:posOffset>-24765</wp:posOffset>
                      </wp:positionV>
                      <wp:extent cx="317500" cy="373380"/>
                      <wp:effectExtent l="0" t="0" r="6350" b="7620"/>
                      <wp:wrapNone/>
                      <wp:docPr id="296" name="Freeform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7500" cy="373380"/>
                              </a:xfrm>
                              <a:custGeom>
                                <a:avLst/>
                                <a:gdLst>
                                  <a:gd name="T0" fmla="*/ 196 w 262"/>
                                  <a:gd name="T1" fmla="*/ 16 h 308"/>
                                  <a:gd name="T2" fmla="*/ 48 w 262"/>
                                  <a:gd name="T3" fmla="*/ 0 h 308"/>
                                  <a:gd name="T4" fmla="*/ 42 w 262"/>
                                  <a:gd name="T5" fmla="*/ 2 h 308"/>
                                  <a:gd name="T6" fmla="*/ 34 w 262"/>
                                  <a:gd name="T7" fmla="*/ 10 h 308"/>
                                  <a:gd name="T8" fmla="*/ 32 w 262"/>
                                  <a:gd name="T9" fmla="*/ 62 h 308"/>
                                  <a:gd name="T10" fmla="*/ 42 w 262"/>
                                  <a:gd name="T11" fmla="*/ 64 h 308"/>
                                  <a:gd name="T12" fmla="*/ 176 w 262"/>
                                  <a:gd name="T13" fmla="*/ 196 h 308"/>
                                  <a:gd name="T14" fmla="*/ 118 w 262"/>
                                  <a:gd name="T15" fmla="*/ 254 h 308"/>
                                  <a:gd name="T16" fmla="*/ 32 w 262"/>
                                  <a:gd name="T17" fmla="*/ 292 h 308"/>
                                  <a:gd name="T18" fmla="*/ 34 w 262"/>
                                  <a:gd name="T19" fmla="*/ 300 h 308"/>
                                  <a:gd name="T20" fmla="*/ 42 w 262"/>
                                  <a:gd name="T21" fmla="*/ 308 h 308"/>
                                  <a:gd name="T22" fmla="*/ 246 w 262"/>
                                  <a:gd name="T23" fmla="*/ 308 h 308"/>
                                  <a:gd name="T24" fmla="*/ 252 w 262"/>
                                  <a:gd name="T25" fmla="*/ 308 h 308"/>
                                  <a:gd name="T26" fmla="*/ 262 w 262"/>
                                  <a:gd name="T27" fmla="*/ 300 h 308"/>
                                  <a:gd name="T28" fmla="*/ 262 w 262"/>
                                  <a:gd name="T29" fmla="*/ 82 h 308"/>
                                  <a:gd name="T30" fmla="*/ 178 w 262"/>
                                  <a:gd name="T31" fmla="*/ 84 h 308"/>
                                  <a:gd name="T32" fmla="*/ 196 w 262"/>
                                  <a:gd name="T33" fmla="*/ 42 h 308"/>
                                  <a:gd name="T34" fmla="*/ 220 w 262"/>
                                  <a:gd name="T35" fmla="*/ 66 h 308"/>
                                  <a:gd name="T36" fmla="*/ 178 w 262"/>
                                  <a:gd name="T37" fmla="*/ 84 h 308"/>
                                  <a:gd name="T38" fmla="*/ 124 w 262"/>
                                  <a:gd name="T39" fmla="*/ 214 h 308"/>
                                  <a:gd name="T40" fmla="*/ 116 w 262"/>
                                  <a:gd name="T41" fmla="*/ 226 h 308"/>
                                  <a:gd name="T42" fmla="*/ 4 w 262"/>
                                  <a:gd name="T43" fmla="*/ 114 h 308"/>
                                  <a:gd name="T44" fmla="*/ 0 w 262"/>
                                  <a:gd name="T45" fmla="*/ 110 h 308"/>
                                  <a:gd name="T46" fmla="*/ 14 w 262"/>
                                  <a:gd name="T47" fmla="*/ 104 h 308"/>
                                  <a:gd name="T48" fmla="*/ 36 w 262"/>
                                  <a:gd name="T49" fmla="*/ 82 h 308"/>
                                  <a:gd name="T50" fmla="*/ 32 w 262"/>
                                  <a:gd name="T51" fmla="*/ 78 h 308"/>
                                  <a:gd name="T52" fmla="*/ 26 w 262"/>
                                  <a:gd name="T53" fmla="*/ 92 h 308"/>
                                  <a:gd name="T54" fmla="*/ 136 w 262"/>
                                  <a:gd name="T55" fmla="*/ 202 h 308"/>
                                  <a:gd name="T56" fmla="*/ 148 w 262"/>
                                  <a:gd name="T57" fmla="*/ 194 h 308"/>
                                  <a:gd name="T58" fmla="*/ 36 w 262"/>
                                  <a:gd name="T59" fmla="*/ 82 h 308"/>
                                  <a:gd name="T60" fmla="*/ 172 w 262"/>
                                  <a:gd name="T61" fmla="*/ 228 h 308"/>
                                  <a:gd name="T62" fmla="*/ 158 w 262"/>
                                  <a:gd name="T63" fmla="*/ 236 h 308"/>
                                  <a:gd name="T64" fmla="*/ 152 w 262"/>
                                  <a:gd name="T65" fmla="*/ 244 h 308"/>
                                  <a:gd name="T66" fmla="*/ 182 w 262"/>
                                  <a:gd name="T67" fmla="*/ 26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 h="308">
                                    <a:moveTo>
                                      <a:pt x="246" y="66"/>
                                    </a:moveTo>
                                    <a:lnTo>
                                      <a:pt x="196" y="16"/>
                                    </a:lnTo>
                                    <a:lnTo>
                                      <a:pt x="180" y="0"/>
                                    </a:lnTo>
                                    <a:lnTo>
                                      <a:pt x="48" y="0"/>
                                    </a:lnTo>
                                    <a:lnTo>
                                      <a:pt x="48" y="0"/>
                                    </a:lnTo>
                                    <a:lnTo>
                                      <a:pt x="42" y="2"/>
                                    </a:lnTo>
                                    <a:lnTo>
                                      <a:pt x="38" y="4"/>
                                    </a:lnTo>
                                    <a:lnTo>
                                      <a:pt x="34" y="10"/>
                                    </a:lnTo>
                                    <a:lnTo>
                                      <a:pt x="32" y="16"/>
                                    </a:lnTo>
                                    <a:lnTo>
                                      <a:pt x="32" y="62"/>
                                    </a:lnTo>
                                    <a:lnTo>
                                      <a:pt x="32" y="62"/>
                                    </a:lnTo>
                                    <a:lnTo>
                                      <a:pt x="42" y="64"/>
                                    </a:lnTo>
                                    <a:lnTo>
                                      <a:pt x="50" y="70"/>
                                    </a:lnTo>
                                    <a:lnTo>
                                      <a:pt x="176" y="196"/>
                                    </a:lnTo>
                                    <a:lnTo>
                                      <a:pt x="198" y="276"/>
                                    </a:lnTo>
                                    <a:lnTo>
                                      <a:pt x="118" y="254"/>
                                    </a:lnTo>
                                    <a:lnTo>
                                      <a:pt x="32" y="168"/>
                                    </a:lnTo>
                                    <a:lnTo>
                                      <a:pt x="32" y="292"/>
                                    </a:lnTo>
                                    <a:lnTo>
                                      <a:pt x="32" y="292"/>
                                    </a:lnTo>
                                    <a:lnTo>
                                      <a:pt x="34" y="300"/>
                                    </a:lnTo>
                                    <a:lnTo>
                                      <a:pt x="38" y="304"/>
                                    </a:lnTo>
                                    <a:lnTo>
                                      <a:pt x="42" y="308"/>
                                    </a:lnTo>
                                    <a:lnTo>
                                      <a:pt x="48" y="308"/>
                                    </a:lnTo>
                                    <a:lnTo>
                                      <a:pt x="246" y="308"/>
                                    </a:lnTo>
                                    <a:lnTo>
                                      <a:pt x="246" y="308"/>
                                    </a:lnTo>
                                    <a:lnTo>
                                      <a:pt x="252" y="308"/>
                                    </a:lnTo>
                                    <a:lnTo>
                                      <a:pt x="258" y="304"/>
                                    </a:lnTo>
                                    <a:lnTo>
                                      <a:pt x="262" y="300"/>
                                    </a:lnTo>
                                    <a:lnTo>
                                      <a:pt x="262" y="292"/>
                                    </a:lnTo>
                                    <a:lnTo>
                                      <a:pt x="262" y="82"/>
                                    </a:lnTo>
                                    <a:lnTo>
                                      <a:pt x="246" y="66"/>
                                    </a:lnTo>
                                    <a:close/>
                                    <a:moveTo>
                                      <a:pt x="178" y="84"/>
                                    </a:moveTo>
                                    <a:lnTo>
                                      <a:pt x="178" y="24"/>
                                    </a:lnTo>
                                    <a:lnTo>
                                      <a:pt x="196" y="42"/>
                                    </a:lnTo>
                                    <a:lnTo>
                                      <a:pt x="196" y="66"/>
                                    </a:lnTo>
                                    <a:lnTo>
                                      <a:pt x="220" y="66"/>
                                    </a:lnTo>
                                    <a:lnTo>
                                      <a:pt x="238" y="84"/>
                                    </a:lnTo>
                                    <a:lnTo>
                                      <a:pt x="178" y="84"/>
                                    </a:lnTo>
                                    <a:close/>
                                    <a:moveTo>
                                      <a:pt x="36" y="126"/>
                                    </a:moveTo>
                                    <a:lnTo>
                                      <a:pt x="124" y="214"/>
                                    </a:lnTo>
                                    <a:lnTo>
                                      <a:pt x="124" y="214"/>
                                    </a:lnTo>
                                    <a:lnTo>
                                      <a:pt x="116" y="226"/>
                                    </a:lnTo>
                                    <a:lnTo>
                                      <a:pt x="22" y="132"/>
                                    </a:lnTo>
                                    <a:lnTo>
                                      <a:pt x="4" y="114"/>
                                    </a:lnTo>
                                    <a:lnTo>
                                      <a:pt x="0" y="110"/>
                                    </a:lnTo>
                                    <a:lnTo>
                                      <a:pt x="0" y="110"/>
                                    </a:lnTo>
                                    <a:lnTo>
                                      <a:pt x="8" y="98"/>
                                    </a:lnTo>
                                    <a:lnTo>
                                      <a:pt x="14" y="104"/>
                                    </a:lnTo>
                                    <a:lnTo>
                                      <a:pt x="36" y="126"/>
                                    </a:lnTo>
                                    <a:close/>
                                    <a:moveTo>
                                      <a:pt x="36" y="82"/>
                                    </a:moveTo>
                                    <a:lnTo>
                                      <a:pt x="32" y="78"/>
                                    </a:lnTo>
                                    <a:lnTo>
                                      <a:pt x="32" y="78"/>
                                    </a:lnTo>
                                    <a:lnTo>
                                      <a:pt x="20" y="86"/>
                                    </a:lnTo>
                                    <a:lnTo>
                                      <a:pt x="26" y="92"/>
                                    </a:lnTo>
                                    <a:lnTo>
                                      <a:pt x="48" y="114"/>
                                    </a:lnTo>
                                    <a:lnTo>
                                      <a:pt x="136" y="202"/>
                                    </a:lnTo>
                                    <a:lnTo>
                                      <a:pt x="136" y="202"/>
                                    </a:lnTo>
                                    <a:lnTo>
                                      <a:pt x="148" y="194"/>
                                    </a:lnTo>
                                    <a:lnTo>
                                      <a:pt x="54" y="100"/>
                                    </a:lnTo>
                                    <a:lnTo>
                                      <a:pt x="36" y="82"/>
                                    </a:lnTo>
                                    <a:close/>
                                    <a:moveTo>
                                      <a:pt x="172" y="228"/>
                                    </a:moveTo>
                                    <a:lnTo>
                                      <a:pt x="172" y="228"/>
                                    </a:lnTo>
                                    <a:lnTo>
                                      <a:pt x="166" y="230"/>
                                    </a:lnTo>
                                    <a:lnTo>
                                      <a:pt x="158" y="236"/>
                                    </a:lnTo>
                                    <a:lnTo>
                                      <a:pt x="158" y="236"/>
                                    </a:lnTo>
                                    <a:lnTo>
                                      <a:pt x="152" y="244"/>
                                    </a:lnTo>
                                    <a:lnTo>
                                      <a:pt x="150" y="250"/>
                                    </a:lnTo>
                                    <a:lnTo>
                                      <a:pt x="182" y="260"/>
                                    </a:lnTo>
                                    <a:lnTo>
                                      <a:pt x="172" y="228"/>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5E885" id="Freeform 4902" o:spid="_x0000_s1026" style="position:absolute;margin-left:2.3pt;margin-top:-1.95pt;width:25pt;height:2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b6wYAALofAAAOAAAAZHJzL2Uyb0RvYy54bWysWdtu20YQfS/QfyD4WKARd3nRBZHzkDRF&#10;gTQNEBd9pinKEkpxWZK2nH59z+yFXsZcclHYD9aFR8M5Z3ZnhrNv3z1dquCxbLuzqPchexOFQVkX&#10;4nCu7/fhn7cff96EQdfn9SGvRF3uw29lF767+fGHt9dmV3JxEtWhbAMYqbvdtdmHp75vdqtVV5zK&#10;S969EU1Z4+JRtJe8x8f2fnVo8yusX6oVj6JsdRXtoWlFUXYdvv2gLoY30v7xWBb9H8djV/ZBtQ/h&#10;Wy//t/L/Hf1f3bzNd/dt3pzOhXYj/x9eXPJzjZsOpj7kfR48tOcXpi7nohWdOPZvCnFZiePxXJSS&#10;A9iw6Ds2X095U0ouEKdrBpm61zNbfH780gbnwz7k2ywM6vyCIH1sy5IkD5JtxEmia9PtgPzafGmJ&#10;ZNd8EsXfXVCLXw7n/os41z1cYoRcjaD0ocOPgrvr7+IAy/lDL6ROT8f2QqagQPAkw/FtCEf51AcF&#10;vozZOo0QtAKX4nUcb2S4VvnO/Lh46PpfSyEN5Y+ful5F84B3MhYHzecWRo6XCoH9aRWwbRZcA55J&#10;YgjYAGI2KAtOQRxt9PoYMNzCJJtpO7GFiabNJBYk4dNmUgvDp80gYAOtOJk2s7YwzOEO9uizHYc7&#10;WwuTOfxhts4uXszWOUummTFbaLZ2RcyWmuI6GTNmq82YI2pspHfq8mskuUMqZmvOty6xRqo7osds&#10;2ePIET/uozu3dcfSnhaL28LzxCE8t4V327KF56lDLW4L77ZlC4/NO73Yua28Wy5bebctW/qNI4ix&#10;rTxbO9ZWbEu/cSyt2FbemaRiW3lssckVH4+E59G0WLEtfObYPLGtu5ugrbuToC07444VH9uyc+YQ&#10;KxnpzhzLNLF159xBMbGFd3iV2LIzp1e27g7VE1t15srIyUh2l1O26ixySWXLHruUslV3LfbUFj12&#10;bMHU1hwbYnKBprbkiMtkPU5tzV1ZNLUlZy56qS06jxzbJh2L7tjM6Uj1rUP11Ef11Ef1zFadrR2y&#10;Z7bsnDt0R9PzXOlZ6mCY2cJzaDoZw2ykvCu7ZyPlE4da2Uh5rL/JBZHZyvPMKoboCe9N15efTCNY&#10;PNW6E8S7IKcnkkg2n43oqOmkthCt5a1qXPMdUNQ2OsCQjsCx7HKXwNCGwKkXGOQJvPYCY10ReOsF&#10;poaM0Oi5qDdf8pq6Lgn3I0mNlYT70WSaJ9ojL2c0U7RAPnDqgcgZtDlecE0VnYwXXFNFs+IF11TR&#10;j3jBNVXuR5WaDqKKtsLHOjUWEu5HlZoHCfejSg2ChPtRjTVVlHkf36nOk3VUci+4popy7QXXVFGT&#10;veCaauJHNdFUEz+qVF2JKgqojzNUQiXcjyrVSQn3o0qlUML9qFK1k3A/qlTSCI6i5UOVqpaE+1Gl&#10;wiThflSp9kj4iKrKlbp8tBgjfT9AasMAA6Q7IpDvmrynqmPeBleMU8jrEwYXGCLQ9xfxWN4Kieip&#10;+ODZSt4Xt1caPAOq2gbiUUACkT4V0Fw2r420xzAdIR5mRmKumleF0mvyNUAqKHKKArHMbcyrup3e&#10;7cms5zrhoFbN8dNZbEEFjVLDHbdbyvcFFD0XQFAspzm/9LZdz3uPEYYKIoI5Z41t1U7iwM/imMZh&#10;X8/hBtXkJGtJEMwqfKwtwtQGxPP3vDVFIY7mKegw0D6aY6pX9hLMbLtXw+k8vGhPp8gltjJtYNUt&#10;iWdwS7EwuM18ZI0sQzYy+7ioRFdC95cJDMMAuaQ3JnzOBKaB3ACNbfOqE5jOc4j3XJxNOnzh6dga&#10;1/3gEkxnqIGEsWJetW/fczWX3fLovohxs5Gd8kAXyjOYdcwT98XpPhvzjll7NOnDbRlSxJzeyjmM&#10;PGZRqvZgnPEKKLWskAjn3NLPHph6zMJeRME7cMOGccVNp1asjDk//VB6sW4WIqZqyEKS1olwKWKY&#10;lahlp054nKXBG2fuu52PiG5E2VJxUN4NUViOG0YjihA3EXFF7iXSWDevetcjecidiQeuuRhjkKJx&#10;8/Hzx2kmybyUTPceHK+z/kFFyQN99yzuhYJGD5PmsEqo1ZWjhKHnxZf2QVwnqvPh47mqqGjIc9zy&#10;fdUGjzlOYPOiKOs+kw1x9XDBmaD6PovwR76hkXy44MRWfZ2Yr3GLwZK8+egmlRzb1IJuaviRKZwj&#10;qlGQPJSkc0h1knknDt9wJolTaxwHn0T7bxhccQK8D7t/HvK2DIPqtxrnmVuW0ONnLz8k6Zo2aWtf&#10;ubOv1A+X9wIUMYfL6wJW92Fv3r7v1Ykzjnyh2qf6a1MQkHxs2q6/fforb5uA3uJH8PqzMCe/+c6c&#10;a5L0A1afsyoi+gMOiKU0+jCbTqDtzxL1fOR+8x8AAAD//wMAUEsDBBQABgAIAAAAIQDgkXDh3QAA&#10;AAYBAAAPAAAAZHJzL2Rvd25yZXYueG1sTI5LT8MwEITvSPwHa5G4oNbhVWjIpkKVKiGkHigvcXPi&#10;JQnY62C7bfrvcU5wGo1mNPMVi8EasSMfOscI59MMBHHtdMcNwsvzanILIkTFWhnHhHCgAIvy+KhQ&#10;uXZ7fqLdJjYijXDIFUIbY59LGeqWrApT1xOn7NN5q2KyvpHaq30at0ZeZNlMWtVxemhVT8uW6u/N&#10;1iLIbLV8v3k0Xz+vdfWh/du6ejhbI56eDPd3ICIN8a8MI35ChzIxVW7LOgiDcDVLRYTJ5RxEiq9H&#10;X406B1kW8j9++QsAAP//AwBQSwECLQAUAAYACAAAACEAtoM4kv4AAADhAQAAEwAAAAAAAAAAAAAA&#10;AAAAAAAAW0NvbnRlbnRfVHlwZXNdLnhtbFBLAQItABQABgAIAAAAIQA4/SH/1gAAAJQBAAALAAAA&#10;AAAAAAAAAAAAAC8BAABfcmVscy8ucmVsc1BLAQItABQABgAIAAAAIQC/OaSb6wYAALofAAAOAAAA&#10;AAAAAAAAAAAAAC4CAABkcnMvZTJvRG9jLnhtbFBLAQItABQABgAIAAAAIQDgkXDh3QAAAAYBAAAP&#10;AAAAAAAAAAAAAAAAAEUJAABkcnMvZG93bnJldi54bWxQSwUGAAAAAAQABADzAAAATwoAAAAA&#10;" path="m246,66l196,16,180,,48,r,l42,2,38,4r-4,6l32,16r,46l32,62r10,2l50,70,176,196r22,80l118,254,32,168r,124l32,292r2,8l38,304r4,4l48,308r198,l246,308r6,l258,304r4,-4l262,292r,-210l246,66xm178,84r,-60l196,42r,24l220,66r18,18l178,84xm36,126r88,88l124,214r-8,12l22,132,4,114,,110r,l8,98r6,6l36,126xm36,82l32,78r,l20,86r6,6l48,114r88,88l136,202r12,-8l54,100,36,82xm172,228r,l166,230r-8,6l158,236r-6,8l150,250r32,10l172,228xe" fillcolor="#fabf8f [1945]" stroked="f">
                      <v:path arrowok="t" o:connecttype="custom" o:connectlocs="237519,19396;58168,0;50897,2425;41202,12123;38779,75161;50897,77585;213282,237605;142996,307917;38779,353984;41202,363682;50897,373380;298111,373380;305382,373380;317500,363682;317500,99406;215706,101831;237519,50915;266603,80010;215706,101831;150267,259426;140573,273974;4847,138199;0,133350;16966,126076;43626,99406;38779,94557;31508,111529;164809,244879;179351,235181;43626,99406;208435,276398;191469,286096;184198,295795;220553,315191" o:connectangles="0,0,0,0,0,0,0,0,0,0,0,0,0,0,0,0,0,0,0,0,0,0,0,0,0,0,0,0,0,0,0,0,0,0"/>
                      <o:lock v:ext="edit" verticies="t"/>
                    </v:shape>
                  </w:pict>
                </mc:Fallback>
              </mc:AlternateContent>
            </w:r>
          </w:p>
        </w:tc>
        <w:tc>
          <w:tcPr>
            <w:tcW w:w="2126" w:type="dxa"/>
          </w:tcPr>
          <w:p w14:paraId="2AFA4C74"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Дані контракту</w:t>
            </w:r>
          </w:p>
        </w:tc>
        <w:tc>
          <w:tcPr>
            <w:tcW w:w="6015" w:type="dxa"/>
          </w:tcPr>
          <w:p w14:paraId="5F53DA27" w14:textId="77777777" w:rsidR="00F17427" w:rsidRPr="007E5633" w:rsidRDefault="00F17427" w:rsidP="000A7BA9">
            <w:pPr>
              <w:rPr>
                <w:rFonts w:ascii="Arial" w:hAnsi="Arial" w:cs="Arial"/>
                <w:highlight w:val="yellow"/>
                <w:lang w:val="uk-UA"/>
              </w:rPr>
            </w:pPr>
            <w:r w:rsidRPr="007E5633">
              <w:rPr>
                <w:rFonts w:ascii="Arial" w:hAnsi="Arial" w:cs="Arial"/>
                <w:lang w:val="uk-UA"/>
              </w:rPr>
              <w:t xml:space="preserve">Ідентифікатор контракту, назва контракту, тип контракту, енергетичний </w:t>
            </w:r>
            <w:r w:rsidR="000F2B19">
              <w:rPr>
                <w:rFonts w:ascii="Arial" w:hAnsi="Arial" w:cs="Arial"/>
                <w:lang w:val="uk-UA"/>
              </w:rPr>
              <w:t>продукт</w:t>
            </w:r>
            <w:r w:rsidRPr="007E5633">
              <w:rPr>
                <w:rFonts w:ascii="Arial" w:hAnsi="Arial" w:cs="Arial"/>
                <w:lang w:val="uk-UA"/>
              </w:rPr>
              <w:t xml:space="preserve">, </w:t>
            </w:r>
            <w:r w:rsidR="000F2B19">
              <w:rPr>
                <w:rFonts w:ascii="Arial" w:hAnsi="Arial" w:cs="Arial"/>
                <w:lang w:val="uk-UA"/>
              </w:rPr>
              <w:t>індекс розрахунку ціни</w:t>
            </w:r>
            <w:r w:rsidRPr="007E5633">
              <w:rPr>
                <w:rFonts w:ascii="Arial" w:hAnsi="Arial" w:cs="Arial"/>
                <w:lang w:val="uk-UA"/>
              </w:rPr>
              <w:t xml:space="preserve"> або референтна ціна, метод розрахунків, ідентифікатор організованого ринку/позабіржового ринку, торгові години за контрактом, дата і час останньої торгівлі</w:t>
            </w:r>
          </w:p>
        </w:tc>
      </w:tr>
      <w:tr w:rsidR="00F17427" w:rsidRPr="007E5633" w14:paraId="6BC6D0A9" w14:textId="77777777" w:rsidTr="00F17427">
        <w:trPr>
          <w:trHeight w:val="690"/>
        </w:trPr>
        <w:tc>
          <w:tcPr>
            <w:tcW w:w="1101" w:type="dxa"/>
            <w:shd w:val="clear" w:color="auto" w:fill="auto"/>
            <w:vAlign w:val="center"/>
          </w:tcPr>
          <w:p w14:paraId="1E5C6EC8" w14:textId="77777777" w:rsidR="00F17427" w:rsidRPr="007E5633" w:rsidRDefault="008C252E" w:rsidP="000A7BA9">
            <w:pPr>
              <w:jc w:val="cente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78048" behindDoc="0" locked="0" layoutInCell="1" allowOverlap="1" wp14:anchorId="7B84CF7B" wp14:editId="311890A7">
                      <wp:simplePos x="0" y="0"/>
                      <wp:positionH relativeFrom="column">
                        <wp:posOffset>31115</wp:posOffset>
                      </wp:positionH>
                      <wp:positionV relativeFrom="paragraph">
                        <wp:posOffset>3175</wp:posOffset>
                      </wp:positionV>
                      <wp:extent cx="424815" cy="222885"/>
                      <wp:effectExtent l="0" t="0" r="0" b="5715"/>
                      <wp:wrapNone/>
                      <wp:docPr id="107" name="Freeform 49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4815" cy="222885"/>
                              </a:xfrm>
                              <a:custGeom>
                                <a:avLst/>
                                <a:gdLst>
                                  <a:gd name="T0" fmla="*/ 242 w 350"/>
                                  <a:gd name="T1" fmla="*/ 32 h 184"/>
                                  <a:gd name="T2" fmla="*/ 236 w 350"/>
                                  <a:gd name="T3" fmla="*/ 42 h 184"/>
                                  <a:gd name="T4" fmla="*/ 78 w 350"/>
                                  <a:gd name="T5" fmla="*/ 42 h 184"/>
                                  <a:gd name="T6" fmla="*/ 68 w 350"/>
                                  <a:gd name="T7" fmla="*/ 36 h 184"/>
                                  <a:gd name="T8" fmla="*/ 68 w 350"/>
                                  <a:gd name="T9" fmla="*/ 10 h 184"/>
                                  <a:gd name="T10" fmla="*/ 74 w 350"/>
                                  <a:gd name="T11" fmla="*/ 0 h 184"/>
                                  <a:gd name="T12" fmla="*/ 232 w 350"/>
                                  <a:gd name="T13" fmla="*/ 0 h 184"/>
                                  <a:gd name="T14" fmla="*/ 242 w 350"/>
                                  <a:gd name="T15" fmla="*/ 6 h 184"/>
                                  <a:gd name="T16" fmla="*/ 34 w 350"/>
                                  <a:gd name="T17" fmla="*/ 0 h 184"/>
                                  <a:gd name="T18" fmla="*/ 6 w 350"/>
                                  <a:gd name="T19" fmla="*/ 0 h 184"/>
                                  <a:gd name="T20" fmla="*/ 0 w 350"/>
                                  <a:gd name="T21" fmla="*/ 10 h 184"/>
                                  <a:gd name="T22" fmla="*/ 0 w 350"/>
                                  <a:gd name="T23" fmla="*/ 36 h 184"/>
                                  <a:gd name="T24" fmla="*/ 10 w 350"/>
                                  <a:gd name="T25" fmla="*/ 42 h 184"/>
                                  <a:gd name="T26" fmla="*/ 38 w 350"/>
                                  <a:gd name="T27" fmla="*/ 42 h 184"/>
                                  <a:gd name="T28" fmla="*/ 44 w 350"/>
                                  <a:gd name="T29" fmla="*/ 32 h 184"/>
                                  <a:gd name="T30" fmla="*/ 42 w 350"/>
                                  <a:gd name="T31" fmla="*/ 6 h 184"/>
                                  <a:gd name="T32" fmla="*/ 34 w 350"/>
                                  <a:gd name="T33" fmla="*/ 0 h 184"/>
                                  <a:gd name="T34" fmla="*/ 174 w 350"/>
                                  <a:gd name="T35" fmla="*/ 114 h 184"/>
                                  <a:gd name="T36" fmla="*/ 78 w 350"/>
                                  <a:gd name="T37" fmla="*/ 70 h 184"/>
                                  <a:gd name="T38" fmla="*/ 70 w 350"/>
                                  <a:gd name="T39" fmla="*/ 72 h 184"/>
                                  <a:gd name="T40" fmla="*/ 68 w 350"/>
                                  <a:gd name="T41" fmla="*/ 104 h 184"/>
                                  <a:gd name="T42" fmla="*/ 70 w 350"/>
                                  <a:gd name="T43" fmla="*/ 110 h 184"/>
                                  <a:gd name="T44" fmla="*/ 78 w 350"/>
                                  <a:gd name="T45" fmla="*/ 114 h 184"/>
                                  <a:gd name="T46" fmla="*/ 10 w 350"/>
                                  <a:gd name="T47" fmla="*/ 140 h 184"/>
                                  <a:gd name="T48" fmla="*/ 0 w 350"/>
                                  <a:gd name="T49" fmla="*/ 146 h 184"/>
                                  <a:gd name="T50" fmla="*/ 0 w 350"/>
                                  <a:gd name="T51" fmla="*/ 174 h 184"/>
                                  <a:gd name="T52" fmla="*/ 6 w 350"/>
                                  <a:gd name="T53" fmla="*/ 184 h 184"/>
                                  <a:gd name="T54" fmla="*/ 34 w 350"/>
                                  <a:gd name="T55" fmla="*/ 184 h 184"/>
                                  <a:gd name="T56" fmla="*/ 42 w 350"/>
                                  <a:gd name="T57" fmla="*/ 178 h 184"/>
                                  <a:gd name="T58" fmla="*/ 44 w 350"/>
                                  <a:gd name="T59" fmla="*/ 150 h 184"/>
                                  <a:gd name="T60" fmla="*/ 38 w 350"/>
                                  <a:gd name="T61" fmla="*/ 142 h 184"/>
                                  <a:gd name="T62" fmla="*/ 188 w 350"/>
                                  <a:gd name="T63" fmla="*/ 140 h 184"/>
                                  <a:gd name="T64" fmla="*/ 74 w 350"/>
                                  <a:gd name="T65" fmla="*/ 142 h 184"/>
                                  <a:gd name="T66" fmla="*/ 68 w 350"/>
                                  <a:gd name="T67" fmla="*/ 150 h 184"/>
                                  <a:gd name="T68" fmla="*/ 68 w 350"/>
                                  <a:gd name="T69" fmla="*/ 178 h 184"/>
                                  <a:gd name="T70" fmla="*/ 78 w 350"/>
                                  <a:gd name="T71" fmla="*/ 184 h 184"/>
                                  <a:gd name="T72" fmla="*/ 34 w 350"/>
                                  <a:gd name="T73" fmla="*/ 70 h 184"/>
                                  <a:gd name="T74" fmla="*/ 6 w 350"/>
                                  <a:gd name="T75" fmla="*/ 70 h 184"/>
                                  <a:gd name="T76" fmla="*/ 0 w 350"/>
                                  <a:gd name="T77" fmla="*/ 80 h 184"/>
                                  <a:gd name="T78" fmla="*/ 0 w 350"/>
                                  <a:gd name="T79" fmla="*/ 108 h 184"/>
                                  <a:gd name="T80" fmla="*/ 10 w 350"/>
                                  <a:gd name="T81" fmla="*/ 114 h 184"/>
                                  <a:gd name="T82" fmla="*/ 38 w 350"/>
                                  <a:gd name="T83" fmla="*/ 112 h 184"/>
                                  <a:gd name="T84" fmla="*/ 44 w 350"/>
                                  <a:gd name="T85" fmla="*/ 104 h 184"/>
                                  <a:gd name="T86" fmla="*/ 42 w 350"/>
                                  <a:gd name="T87" fmla="*/ 76 h 184"/>
                                  <a:gd name="T88" fmla="*/ 34 w 350"/>
                                  <a:gd name="T89" fmla="*/ 70 h 184"/>
                                  <a:gd name="T90" fmla="*/ 312 w 350"/>
                                  <a:gd name="T91" fmla="*/ 0 h 184"/>
                                  <a:gd name="T92" fmla="*/ 184 w 350"/>
                                  <a:gd name="T93" fmla="*/ 6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0" h="184">
                                    <a:moveTo>
                                      <a:pt x="242" y="10"/>
                                    </a:moveTo>
                                    <a:lnTo>
                                      <a:pt x="242" y="32"/>
                                    </a:lnTo>
                                    <a:lnTo>
                                      <a:pt x="242" y="32"/>
                                    </a:lnTo>
                                    <a:lnTo>
                                      <a:pt x="242" y="36"/>
                                    </a:lnTo>
                                    <a:lnTo>
                                      <a:pt x="240" y="40"/>
                                    </a:lnTo>
                                    <a:lnTo>
                                      <a:pt x="236" y="42"/>
                                    </a:lnTo>
                                    <a:lnTo>
                                      <a:pt x="232" y="42"/>
                                    </a:lnTo>
                                    <a:lnTo>
                                      <a:pt x="78" y="42"/>
                                    </a:lnTo>
                                    <a:lnTo>
                                      <a:pt x="78" y="42"/>
                                    </a:lnTo>
                                    <a:lnTo>
                                      <a:pt x="74" y="42"/>
                                    </a:lnTo>
                                    <a:lnTo>
                                      <a:pt x="70" y="40"/>
                                    </a:lnTo>
                                    <a:lnTo>
                                      <a:pt x="68" y="36"/>
                                    </a:lnTo>
                                    <a:lnTo>
                                      <a:pt x="68" y="32"/>
                                    </a:lnTo>
                                    <a:lnTo>
                                      <a:pt x="68" y="10"/>
                                    </a:lnTo>
                                    <a:lnTo>
                                      <a:pt x="68" y="10"/>
                                    </a:lnTo>
                                    <a:lnTo>
                                      <a:pt x="68" y="6"/>
                                    </a:lnTo>
                                    <a:lnTo>
                                      <a:pt x="70" y="2"/>
                                    </a:lnTo>
                                    <a:lnTo>
                                      <a:pt x="74" y="0"/>
                                    </a:lnTo>
                                    <a:lnTo>
                                      <a:pt x="78" y="0"/>
                                    </a:lnTo>
                                    <a:lnTo>
                                      <a:pt x="232" y="0"/>
                                    </a:lnTo>
                                    <a:lnTo>
                                      <a:pt x="232" y="0"/>
                                    </a:lnTo>
                                    <a:lnTo>
                                      <a:pt x="236" y="0"/>
                                    </a:lnTo>
                                    <a:lnTo>
                                      <a:pt x="240" y="2"/>
                                    </a:lnTo>
                                    <a:lnTo>
                                      <a:pt x="242" y="6"/>
                                    </a:lnTo>
                                    <a:lnTo>
                                      <a:pt x="242" y="10"/>
                                    </a:lnTo>
                                    <a:lnTo>
                                      <a:pt x="242" y="10"/>
                                    </a:lnTo>
                                    <a:close/>
                                    <a:moveTo>
                                      <a:pt x="34" y="0"/>
                                    </a:moveTo>
                                    <a:lnTo>
                                      <a:pt x="10" y="0"/>
                                    </a:lnTo>
                                    <a:lnTo>
                                      <a:pt x="10" y="0"/>
                                    </a:lnTo>
                                    <a:lnTo>
                                      <a:pt x="6" y="0"/>
                                    </a:lnTo>
                                    <a:lnTo>
                                      <a:pt x="2" y="2"/>
                                    </a:lnTo>
                                    <a:lnTo>
                                      <a:pt x="0" y="6"/>
                                    </a:lnTo>
                                    <a:lnTo>
                                      <a:pt x="0" y="10"/>
                                    </a:lnTo>
                                    <a:lnTo>
                                      <a:pt x="0" y="32"/>
                                    </a:lnTo>
                                    <a:lnTo>
                                      <a:pt x="0" y="32"/>
                                    </a:lnTo>
                                    <a:lnTo>
                                      <a:pt x="0" y="36"/>
                                    </a:lnTo>
                                    <a:lnTo>
                                      <a:pt x="2" y="40"/>
                                    </a:lnTo>
                                    <a:lnTo>
                                      <a:pt x="6" y="42"/>
                                    </a:lnTo>
                                    <a:lnTo>
                                      <a:pt x="10" y="42"/>
                                    </a:lnTo>
                                    <a:lnTo>
                                      <a:pt x="34" y="42"/>
                                    </a:lnTo>
                                    <a:lnTo>
                                      <a:pt x="34" y="42"/>
                                    </a:lnTo>
                                    <a:lnTo>
                                      <a:pt x="38" y="42"/>
                                    </a:lnTo>
                                    <a:lnTo>
                                      <a:pt x="40" y="40"/>
                                    </a:lnTo>
                                    <a:lnTo>
                                      <a:pt x="42" y="36"/>
                                    </a:lnTo>
                                    <a:lnTo>
                                      <a:pt x="44" y="32"/>
                                    </a:lnTo>
                                    <a:lnTo>
                                      <a:pt x="44" y="10"/>
                                    </a:lnTo>
                                    <a:lnTo>
                                      <a:pt x="44" y="10"/>
                                    </a:lnTo>
                                    <a:lnTo>
                                      <a:pt x="42" y="6"/>
                                    </a:lnTo>
                                    <a:lnTo>
                                      <a:pt x="40" y="2"/>
                                    </a:lnTo>
                                    <a:lnTo>
                                      <a:pt x="38" y="0"/>
                                    </a:lnTo>
                                    <a:lnTo>
                                      <a:pt x="34" y="0"/>
                                    </a:lnTo>
                                    <a:lnTo>
                                      <a:pt x="34" y="0"/>
                                    </a:lnTo>
                                    <a:close/>
                                    <a:moveTo>
                                      <a:pt x="78" y="114"/>
                                    </a:moveTo>
                                    <a:lnTo>
                                      <a:pt x="174" y="114"/>
                                    </a:lnTo>
                                    <a:lnTo>
                                      <a:pt x="156" y="80"/>
                                    </a:lnTo>
                                    <a:lnTo>
                                      <a:pt x="150" y="70"/>
                                    </a:lnTo>
                                    <a:lnTo>
                                      <a:pt x="78" y="70"/>
                                    </a:lnTo>
                                    <a:lnTo>
                                      <a:pt x="78" y="70"/>
                                    </a:lnTo>
                                    <a:lnTo>
                                      <a:pt x="74" y="70"/>
                                    </a:lnTo>
                                    <a:lnTo>
                                      <a:pt x="70" y="72"/>
                                    </a:lnTo>
                                    <a:lnTo>
                                      <a:pt x="68" y="76"/>
                                    </a:lnTo>
                                    <a:lnTo>
                                      <a:pt x="68" y="80"/>
                                    </a:lnTo>
                                    <a:lnTo>
                                      <a:pt x="68" y="104"/>
                                    </a:lnTo>
                                    <a:lnTo>
                                      <a:pt x="68" y="104"/>
                                    </a:lnTo>
                                    <a:lnTo>
                                      <a:pt x="68" y="108"/>
                                    </a:lnTo>
                                    <a:lnTo>
                                      <a:pt x="70" y="110"/>
                                    </a:lnTo>
                                    <a:lnTo>
                                      <a:pt x="74" y="112"/>
                                    </a:lnTo>
                                    <a:lnTo>
                                      <a:pt x="78" y="114"/>
                                    </a:lnTo>
                                    <a:lnTo>
                                      <a:pt x="78" y="114"/>
                                    </a:lnTo>
                                    <a:close/>
                                    <a:moveTo>
                                      <a:pt x="34" y="140"/>
                                    </a:moveTo>
                                    <a:lnTo>
                                      <a:pt x="10" y="140"/>
                                    </a:lnTo>
                                    <a:lnTo>
                                      <a:pt x="10" y="140"/>
                                    </a:lnTo>
                                    <a:lnTo>
                                      <a:pt x="6" y="142"/>
                                    </a:lnTo>
                                    <a:lnTo>
                                      <a:pt x="2" y="144"/>
                                    </a:lnTo>
                                    <a:lnTo>
                                      <a:pt x="0" y="146"/>
                                    </a:lnTo>
                                    <a:lnTo>
                                      <a:pt x="0" y="150"/>
                                    </a:lnTo>
                                    <a:lnTo>
                                      <a:pt x="0" y="174"/>
                                    </a:lnTo>
                                    <a:lnTo>
                                      <a:pt x="0" y="174"/>
                                    </a:lnTo>
                                    <a:lnTo>
                                      <a:pt x="0" y="178"/>
                                    </a:lnTo>
                                    <a:lnTo>
                                      <a:pt x="2" y="182"/>
                                    </a:lnTo>
                                    <a:lnTo>
                                      <a:pt x="6" y="184"/>
                                    </a:lnTo>
                                    <a:lnTo>
                                      <a:pt x="10" y="184"/>
                                    </a:lnTo>
                                    <a:lnTo>
                                      <a:pt x="34" y="184"/>
                                    </a:lnTo>
                                    <a:lnTo>
                                      <a:pt x="34" y="184"/>
                                    </a:lnTo>
                                    <a:lnTo>
                                      <a:pt x="38" y="184"/>
                                    </a:lnTo>
                                    <a:lnTo>
                                      <a:pt x="40" y="182"/>
                                    </a:lnTo>
                                    <a:lnTo>
                                      <a:pt x="42" y="178"/>
                                    </a:lnTo>
                                    <a:lnTo>
                                      <a:pt x="44" y="174"/>
                                    </a:lnTo>
                                    <a:lnTo>
                                      <a:pt x="44" y="150"/>
                                    </a:lnTo>
                                    <a:lnTo>
                                      <a:pt x="44" y="150"/>
                                    </a:lnTo>
                                    <a:lnTo>
                                      <a:pt x="42" y="146"/>
                                    </a:lnTo>
                                    <a:lnTo>
                                      <a:pt x="40" y="144"/>
                                    </a:lnTo>
                                    <a:lnTo>
                                      <a:pt x="38" y="142"/>
                                    </a:lnTo>
                                    <a:lnTo>
                                      <a:pt x="34" y="140"/>
                                    </a:lnTo>
                                    <a:lnTo>
                                      <a:pt x="34" y="140"/>
                                    </a:lnTo>
                                    <a:close/>
                                    <a:moveTo>
                                      <a:pt x="188" y="140"/>
                                    </a:moveTo>
                                    <a:lnTo>
                                      <a:pt x="78" y="140"/>
                                    </a:lnTo>
                                    <a:lnTo>
                                      <a:pt x="78" y="140"/>
                                    </a:lnTo>
                                    <a:lnTo>
                                      <a:pt x="74" y="142"/>
                                    </a:lnTo>
                                    <a:lnTo>
                                      <a:pt x="70" y="144"/>
                                    </a:lnTo>
                                    <a:lnTo>
                                      <a:pt x="68" y="146"/>
                                    </a:lnTo>
                                    <a:lnTo>
                                      <a:pt x="68" y="150"/>
                                    </a:lnTo>
                                    <a:lnTo>
                                      <a:pt x="68" y="174"/>
                                    </a:lnTo>
                                    <a:lnTo>
                                      <a:pt x="68" y="174"/>
                                    </a:lnTo>
                                    <a:lnTo>
                                      <a:pt x="68" y="178"/>
                                    </a:lnTo>
                                    <a:lnTo>
                                      <a:pt x="70" y="182"/>
                                    </a:lnTo>
                                    <a:lnTo>
                                      <a:pt x="74" y="184"/>
                                    </a:lnTo>
                                    <a:lnTo>
                                      <a:pt x="78" y="184"/>
                                    </a:lnTo>
                                    <a:lnTo>
                                      <a:pt x="212" y="184"/>
                                    </a:lnTo>
                                    <a:lnTo>
                                      <a:pt x="188" y="140"/>
                                    </a:lnTo>
                                    <a:close/>
                                    <a:moveTo>
                                      <a:pt x="34" y="70"/>
                                    </a:moveTo>
                                    <a:lnTo>
                                      <a:pt x="10" y="70"/>
                                    </a:lnTo>
                                    <a:lnTo>
                                      <a:pt x="10" y="70"/>
                                    </a:lnTo>
                                    <a:lnTo>
                                      <a:pt x="6" y="70"/>
                                    </a:lnTo>
                                    <a:lnTo>
                                      <a:pt x="2" y="72"/>
                                    </a:lnTo>
                                    <a:lnTo>
                                      <a:pt x="0" y="76"/>
                                    </a:lnTo>
                                    <a:lnTo>
                                      <a:pt x="0" y="80"/>
                                    </a:lnTo>
                                    <a:lnTo>
                                      <a:pt x="0" y="104"/>
                                    </a:lnTo>
                                    <a:lnTo>
                                      <a:pt x="0" y="104"/>
                                    </a:lnTo>
                                    <a:lnTo>
                                      <a:pt x="0" y="108"/>
                                    </a:lnTo>
                                    <a:lnTo>
                                      <a:pt x="2" y="110"/>
                                    </a:lnTo>
                                    <a:lnTo>
                                      <a:pt x="6" y="112"/>
                                    </a:lnTo>
                                    <a:lnTo>
                                      <a:pt x="10" y="114"/>
                                    </a:lnTo>
                                    <a:lnTo>
                                      <a:pt x="34" y="114"/>
                                    </a:lnTo>
                                    <a:lnTo>
                                      <a:pt x="34" y="114"/>
                                    </a:lnTo>
                                    <a:lnTo>
                                      <a:pt x="38" y="112"/>
                                    </a:lnTo>
                                    <a:lnTo>
                                      <a:pt x="40" y="110"/>
                                    </a:lnTo>
                                    <a:lnTo>
                                      <a:pt x="42" y="108"/>
                                    </a:lnTo>
                                    <a:lnTo>
                                      <a:pt x="44" y="104"/>
                                    </a:lnTo>
                                    <a:lnTo>
                                      <a:pt x="44" y="80"/>
                                    </a:lnTo>
                                    <a:lnTo>
                                      <a:pt x="44" y="80"/>
                                    </a:lnTo>
                                    <a:lnTo>
                                      <a:pt x="42" y="76"/>
                                    </a:lnTo>
                                    <a:lnTo>
                                      <a:pt x="40" y="72"/>
                                    </a:lnTo>
                                    <a:lnTo>
                                      <a:pt x="38" y="70"/>
                                    </a:lnTo>
                                    <a:lnTo>
                                      <a:pt x="34" y="70"/>
                                    </a:lnTo>
                                    <a:lnTo>
                                      <a:pt x="34" y="70"/>
                                    </a:lnTo>
                                    <a:close/>
                                    <a:moveTo>
                                      <a:pt x="350" y="0"/>
                                    </a:moveTo>
                                    <a:lnTo>
                                      <a:pt x="312" y="0"/>
                                    </a:lnTo>
                                    <a:lnTo>
                                      <a:pt x="248" y="116"/>
                                    </a:lnTo>
                                    <a:lnTo>
                                      <a:pt x="220" y="66"/>
                                    </a:lnTo>
                                    <a:lnTo>
                                      <a:pt x="184" y="66"/>
                                    </a:lnTo>
                                    <a:lnTo>
                                      <a:pt x="248" y="184"/>
                                    </a:lnTo>
                                    <a:lnTo>
                                      <a:pt x="350" y="0"/>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D5AB6" id="Freeform 4960" o:spid="_x0000_s1026" style="position:absolute;margin-left:2.45pt;margin-top:.25pt;width:33.45pt;height:1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7l4wgAAMcwAAAOAAAAZHJzL2Uyb0RvYy54bWysW9tu20gSfV9g/4HQ4wATiReRtBBnHjKb&#10;wQDZ2QDxYp9pioqElUgtSVvOfP1WdVfRRVvV3Rk4D6YuR9V9Tl26muy8/+XpdIwem344dO3tIn63&#10;WkRNW3fbQ/vtdvHvu08/l4toGKt2Wx27trldfG+GxS8f/v6395fzpkm6fXfcNn0ERtphcznfLvbj&#10;eN4sl0O9b07V8K47Ny18uev6UzXC2/7bcttXF7B+Oi6T1SpfXrp+e+67uhkG+PRX++Xig7G/2zX1&#10;+K/dbmjG6Hi7gLmN5m9v/t7j3+WH99XmW1+d94eaplH9hVmcqkMLg06mfq3GKnroD69MnQ513w3d&#10;bnxXd6dlt9sd6sZwADbx6gWbr/vq3BguIM5wnmQa3s5s/cfjlz46bMF3q2IRtdUJnPSpbxqUPMpu&#10;ciPR5TxsAPn1/KVHksP5c1f/d4ja7h/bw/ilO7QjTClGMZczKL4Z4EfR/eWf3RYsVw9jZ3R62vUn&#10;NAUKRE/GHd8ndzRPY1TDh1mSlfF6EdXwVZIkZbk2I1Qb/nH9MIy/NZ0xVD1+HkbrzS28Mr7YEp87&#10;8PzudATH/rSMkiyJLlG6Zt9PoFiA0iTaR3GZUXxMmERgkjS/bigVIBjsqqFMYIryuh2gPs1as5ML&#10;TK7YAb9OdmDOV+cDaTphNDs3AhOvrtuJpdRFdp1YLKXWDM2l1nwmtdYsSa1170u1FZFiqXaqkZNy&#10;a1Oaya2IJOVW7CRS7dV1O4kUW3NbItXWDEmttThKpNgw2tVMS6TWWmQnM7GV0E6k2KolqXamuC2R&#10;cmvpn0q9Ybir7FIpuBJJqdRbi6RUCq5EQDrTW0u4VAoex9n13E2l4lpRSqXihTYrqTiAruskFS+0&#10;OikV1wpTJhWPVwq9TGquTSqTmsdaumRSdU2pLEj0TIquJUwmRY8zRfVMqq6InknR40wJT1gcn5cD&#10;xdJ6JjpE3tV1ZS1FV9bL9UzzUrMkNddSZj3TXDUlNdfSeD3THJx8nZ/UXKst65noa8V90Go9i54q&#10;BS+fqa5VvFyqHpearZnuWlTlUnetwOQz3dVpSd21ZM5nuqtiSd1VUzPdNRcWUnctmYuZ7lpgFVJ3&#10;LUYLKbtWQQupupI3hRRdNSQ1V1K5kJKXSngWUnHN0EzwlZIzpRRcK3nlTHBtySpngitxXkrB41hZ&#10;aaDZf04/LZNhC/IMUleaUmqu1ZdSil4ohbiUomsBVUrVtTi4kaKnIMLVNflGqq4Ewo3UHPZIiiUp&#10;ei7oLWGTzDu0as+btvqppV0bvIoqvHuwMhvFczfgBhG3cLANvLObzGoDKNziKWCYIYJT2i+6weB3&#10;BPPm0g0GzyK4CLIMzkPwTRAYd06Ihs0R7qN9FGPiGIeRjIkl7KeDrBPPOIxoTEzjMKq4bUGqsDUJ&#10;mQxuTgw8jCpuQQw8jCruMww8jGpCVGG/EDJ33DGgddgUBME5csOoYvdvrIdRxQbfwMOopkQ1DaOa&#10;EVXoxkOoYjuOk4GOOwhOVKGrDoITVeicg+BEFdrjEDj2xzh36IGD4EQVGt0gOFGFZjYITlShYQ2C&#10;E1VoSkPg2JUiVWg8g+BENQ+jis2lsR5GNSeq0CMGTYao5mFUsRHEyUCvF2Idmz0DD6OKHZ2Bh1Et&#10;iCr0ZkGTIapFGFVswXAy0GWFWMc2y8DDqGIrZeBhVLFdMvAwqtgTGXgYVWx8EA6tTQhV7G4MfEbV&#10;LsfUofTwVOHl84R+EcHzhHscotqcqxEbG34ZXW4XeL852sNNctAGPz91j81dZxAj9jdwX9KMC12A&#10;neUz4NheA8IdJAvkr/l6ntkLheUea1ZEKPHOQWmBAS5umOXqgeGGAzzxNigbkT5bQSxzOy/g6iLJ&#10;KLcUhJq8zk7kq3XmD6Hc06Ia554VlSq3s8k9blCCNzrBiW+DsnXCY4vaEDdDTje3WIzyuEeF1cdu&#10;aCBIXqc7NW5MRUt22hMwjKOCrzY6gkBB0hlXuYWzGeKWzWI8olmQpzz9CMg9J6o4biWtSJ4iQXJ7&#10;UOTgt0EFFUKKe0+JhglhPnqKF97fRpQ7FgjlcXQgys7L7cSg1KZdi9vTL/KPE4qvNrEUkJ7VVBLh&#10;AQstDWpeU4V9RvLIfKXUXtuQhHbNtdbEtB+B4u6C0fTeBmUjxGfLJjB0yq550fIGHW8AyiPFtFSy&#10;C1hQvr5YUQNhpXNqtKjC4yI3zGoGdyDdMJvuvth4FWzMUI9PCmh4gEQTUOOTSvgEZNt8na08z/b4&#10;a76S2KaYxJ5aaAtADOXCFQU8MXesEArSIsAW5OLbodyBQhxhO+Ua0eY8nT6BnQeryde5+PaQigpj&#10;n78RjGLTY40KdewhSotRDKHs0oNXEI+jGObxeiiM49EdaczUE7a0KPlygJ3lyTsVpqc+PASkLOSc&#10;0HKf64pnDqEwqnme5OcK6pGRqzs8NHcFDMM8kcAwT1z9KMwdzMzUkxrcIHgSjb3ggSX0tMBbU15F&#10;CdccPbIoGKdOQIsr6psnHFvm66yqeVC2QnpANoE9vQc1KO54siBP50FrzipoNQlEuUOJKpSn66DV&#10;xNN0kHd8TQdXnqnDZe/x1XoxFMadjns95BrrIcqrycqtGtd/jwsI5nF6IIpC0R1lRNMTsLSSeGL/&#10;ZVKye/g6c9MrW45kp52GbxGBB8xmuWEcj8tXOz6c77WLEhysdNXzhB4Ywu1/FwyrG25bPbBpVE/R&#10;NLdsr9y7YnWg5cIbveZZ7XTHF28Ui1PJQ3c8bD8djke8CWQOtTcfj330WMFx9Kqum3bMze3g48MJ&#10;Dkjbz/MV/EOi0Pk9nOD4uv04449hiMmSGXw2yNE8F287HJTFQlNwqNo+azcntPFQNp6RHzb33fY7&#10;HNCGI/xwNn7f9X8uogsch79dDP97qPpmER1/b+Fw9w005lDhRvMmWxfokV5+cy+/aR9OHzugCKcJ&#10;qrYGq7eLkV9+HO3xezj/Dqp9br+eawTiHM/9MN49/afqzxG+hB/BrP/o+Bh8teFD3ij9hKVD55YI&#10;vYHT8kYaOtmPx/Hle4N6/v8HH/4PAAD//wMAUEsDBBQABgAIAAAAIQBAKeLN3AAAAAQBAAAPAAAA&#10;ZHJzL2Rvd25yZXYueG1sTI9LT8MwEITvSPwHa5G4UadA+gjZVBWonJAqClLFbZsseRDbke224d+z&#10;nOA4mtHMN/lqNL06sQ+tswjTSQKKbemq1tYI72+bmwWoEMlW1DvLCN8cYFVcXuSUVe5sX/m0i7WS&#10;EhsyQmhiHDKtQ9mwoTBxA1vxPp03FEX6WleezlJuen2bJDNtqLWy0NDAjw2XX7ujQfC0f1omHJ7n&#10;ZrPtypdu/dGlNeL11bh+ABV5jH9h+MUXdCiE6eCOtgqqR7hfShAhBSXmfCo3Dgh36Qx0kev/8MUP&#10;AAAA//8DAFBLAQItABQABgAIAAAAIQC2gziS/gAAAOEBAAATAAAAAAAAAAAAAAAAAAAAAABbQ29u&#10;dGVudF9UeXBlc10ueG1sUEsBAi0AFAAGAAgAAAAhADj9If/WAAAAlAEAAAsAAAAAAAAAAAAAAAAA&#10;LwEAAF9yZWxzLy5yZWxzUEsBAi0AFAAGAAgAAAAhAGq3nuXjCAAAxzAAAA4AAAAAAAAAAAAAAAAA&#10;LgIAAGRycy9lMm9Eb2MueG1sUEsBAi0AFAAGAAgAAAAhAEAp4s3cAAAABAEAAA8AAAAAAAAAAAAA&#10;AAAAPQsAAGRycy9kb3ducmV2LnhtbFBLBQYAAAAABAAEAPMAAABGDAAAAAA=&#10;" path="m242,10r,22l242,32r,4l240,40r-4,2l232,42,78,42r,l74,42,70,40,68,36r,-4l68,10r,l68,6,70,2,74,r4,l232,r,l236,r4,2l242,6r,4l242,10xm34,l10,r,l6,,2,2,,6r,4l,32r,l,36r2,4l6,42r4,l34,42r,l38,42r2,-2l42,36r2,-4l44,10r,l42,6,40,2,38,,34,r,xm78,114r96,l156,80,150,70r-72,l78,70r-4,l70,72r-2,4l68,80r,24l68,104r,4l70,110r4,2l78,114r,xm34,140r-24,l10,140r-4,2l2,144,,146r,4l,174r,l,178r2,4l6,184r4,l34,184r,l38,184r2,-2l42,178r2,-4l44,150r,l42,146r-2,-2l38,142r-4,-2l34,140xm188,140r-110,l78,140r-4,2l70,144r-2,2l68,150r,24l68,174r,4l70,182r4,2l78,184r134,l188,140xm34,70r-24,l10,70r-4,l2,72,,76r,4l,104r,l,108r2,2l6,112r4,2l34,114r,l38,112r2,-2l42,108r2,-4l44,80r,l42,76,40,72,38,70r-4,l34,70xm350,l312,,248,116,220,66r-36,l248,184,350,xe" fillcolor="#fabf8f [1945]" stroked="f">
                      <v:path arrowok="t" o:connecttype="custom" o:connectlocs="293729,38763;286447,50876;94673,50876;82535,43608;82535,12113;89818,0;281592,0;293729,7268;41268,0;7283,0;0,12113;0,43608;12138,50876;46123,50876;53405,38763;50978,7268;41268,0;211194,138092;94673,84793;84963,87216;82535,125978;84963,133246;94673,138092;12138,169586;0,176854;0,210772;7283,222885;41268,222885;50978,215617;53405,181700;46123,172009;228186,169586;89818,172009;82535,181700;82535,215617;94673,222885;41268,84793;7283,84793;0,96907;0,130824;12138,138092;46123,135669;53405,125978;50978,92061;41268,84793;378692,0;223331,79948" o:connectangles="0,0,0,0,0,0,0,0,0,0,0,0,0,0,0,0,0,0,0,0,0,0,0,0,0,0,0,0,0,0,0,0,0,0,0,0,0,0,0,0,0,0,0,0,0,0,0"/>
                      <o:lock v:ext="edit" verticies="t"/>
                    </v:shape>
                  </w:pict>
                </mc:Fallback>
              </mc:AlternateContent>
            </w:r>
          </w:p>
        </w:tc>
        <w:tc>
          <w:tcPr>
            <w:tcW w:w="2126" w:type="dxa"/>
          </w:tcPr>
          <w:p w14:paraId="5B12A162"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Дані транзакції</w:t>
            </w:r>
          </w:p>
        </w:tc>
        <w:tc>
          <w:tcPr>
            <w:tcW w:w="6015" w:type="dxa"/>
          </w:tcPr>
          <w:p w14:paraId="74C60550" w14:textId="77777777" w:rsidR="00F17427" w:rsidRPr="007E5633" w:rsidRDefault="00F17427" w:rsidP="000A7BA9">
            <w:pPr>
              <w:rPr>
                <w:rFonts w:ascii="Arial" w:hAnsi="Arial" w:cs="Arial"/>
                <w:highlight w:val="yellow"/>
                <w:lang w:val="uk-UA"/>
              </w:rPr>
            </w:pPr>
            <w:r w:rsidRPr="007E5633">
              <w:rPr>
                <w:rFonts w:ascii="Arial" w:hAnsi="Arial" w:cs="Arial"/>
                <w:lang w:val="uk-UA"/>
              </w:rPr>
              <w:t>Зафіксована дата/час транзакції, унікальний ідентифікатор транзакції, ідентифікатор пов'язаної транзакції, пов'язаний ідентифікатор замовлення, ціна, валюта, значення індексу, умовна сума, умовна валюта, кількість/обсяг, дата завершення</w:t>
            </w:r>
          </w:p>
        </w:tc>
      </w:tr>
      <w:tr w:rsidR="00F17427" w:rsidRPr="007E5633" w14:paraId="2ACDB61E" w14:textId="77777777" w:rsidTr="00F17427">
        <w:trPr>
          <w:trHeight w:val="690"/>
        </w:trPr>
        <w:tc>
          <w:tcPr>
            <w:tcW w:w="1101" w:type="dxa"/>
            <w:shd w:val="clear" w:color="auto" w:fill="auto"/>
            <w:vAlign w:val="center"/>
          </w:tcPr>
          <w:p w14:paraId="453FD450" w14:textId="77777777" w:rsidR="00F17427" w:rsidRPr="007E5633" w:rsidRDefault="008C252E" w:rsidP="000A7BA9">
            <w:pPr>
              <w:jc w:val="center"/>
              <w:rPr>
                <w:rFonts w:ascii="Arial" w:hAnsi="Arial" w:cs="Arial"/>
                <w:highlight w:val="yellow"/>
                <w:lang w:val="uk-UA"/>
              </w:rPr>
            </w:pPr>
            <w:r>
              <w:rPr>
                <w:rFonts w:ascii="Arial" w:hAnsi="Arial" w:cs="Arial"/>
                <w:noProof/>
                <w:lang w:val="en-US"/>
              </w:rPr>
              <w:lastRenderedPageBreak/>
              <mc:AlternateContent>
                <mc:Choice Requires="wps">
                  <w:drawing>
                    <wp:anchor distT="0" distB="0" distL="114300" distR="114300" simplePos="0" relativeHeight="251780096" behindDoc="0" locked="0" layoutInCell="1" allowOverlap="1" wp14:anchorId="167230F6" wp14:editId="35CCFC20">
                      <wp:simplePos x="0" y="0"/>
                      <wp:positionH relativeFrom="column">
                        <wp:posOffset>5715</wp:posOffset>
                      </wp:positionH>
                      <wp:positionV relativeFrom="paragraph">
                        <wp:posOffset>25400</wp:posOffset>
                      </wp:positionV>
                      <wp:extent cx="368935" cy="306070"/>
                      <wp:effectExtent l="0" t="0" r="0" b="0"/>
                      <wp:wrapNone/>
                      <wp:docPr id="108" name="Freeform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8935" cy="306070"/>
                              </a:xfrm>
                              <a:custGeom>
                                <a:avLst/>
                                <a:gdLst>
                                  <a:gd name="T0" fmla="*/ 46 w 340"/>
                                  <a:gd name="T1" fmla="*/ 232 h 282"/>
                                  <a:gd name="T2" fmla="*/ 52 w 340"/>
                                  <a:gd name="T3" fmla="*/ 210 h 282"/>
                                  <a:gd name="T4" fmla="*/ 122 w 340"/>
                                  <a:gd name="T5" fmla="*/ 190 h 282"/>
                                  <a:gd name="T6" fmla="*/ 140 w 340"/>
                                  <a:gd name="T7" fmla="*/ 184 h 282"/>
                                  <a:gd name="T8" fmla="*/ 194 w 340"/>
                                  <a:gd name="T9" fmla="*/ 198 h 282"/>
                                  <a:gd name="T10" fmla="*/ 218 w 340"/>
                                  <a:gd name="T11" fmla="*/ 212 h 282"/>
                                  <a:gd name="T12" fmla="*/ 244 w 340"/>
                                  <a:gd name="T13" fmla="*/ 188 h 282"/>
                                  <a:gd name="T14" fmla="*/ 302 w 340"/>
                                  <a:gd name="T15" fmla="*/ 186 h 282"/>
                                  <a:gd name="T16" fmla="*/ 324 w 340"/>
                                  <a:gd name="T17" fmla="*/ 188 h 282"/>
                                  <a:gd name="T18" fmla="*/ 340 w 340"/>
                                  <a:gd name="T19" fmla="*/ 164 h 282"/>
                                  <a:gd name="T20" fmla="*/ 314 w 340"/>
                                  <a:gd name="T21" fmla="*/ 136 h 282"/>
                                  <a:gd name="T22" fmla="*/ 290 w 340"/>
                                  <a:gd name="T23" fmla="*/ 150 h 282"/>
                                  <a:gd name="T24" fmla="*/ 236 w 340"/>
                                  <a:gd name="T25" fmla="*/ 164 h 282"/>
                                  <a:gd name="T26" fmla="*/ 218 w 340"/>
                                  <a:gd name="T27" fmla="*/ 158 h 282"/>
                                  <a:gd name="T28" fmla="*/ 196 w 340"/>
                                  <a:gd name="T29" fmla="*/ 170 h 282"/>
                                  <a:gd name="T30" fmla="*/ 140 w 340"/>
                                  <a:gd name="T31" fmla="*/ 144 h 282"/>
                                  <a:gd name="T32" fmla="*/ 112 w 340"/>
                                  <a:gd name="T33" fmla="*/ 138 h 282"/>
                                  <a:gd name="T34" fmla="*/ 96 w 340"/>
                                  <a:gd name="T35" fmla="*/ 164 h 282"/>
                                  <a:gd name="T36" fmla="*/ 216 w 340"/>
                                  <a:gd name="T37" fmla="*/ 104 h 282"/>
                                  <a:gd name="T38" fmla="*/ 306 w 340"/>
                                  <a:gd name="T39" fmla="*/ 42 h 282"/>
                                  <a:gd name="T40" fmla="*/ 292 w 340"/>
                                  <a:gd name="T41" fmla="*/ 28 h 282"/>
                                  <a:gd name="T42" fmla="*/ 118 w 340"/>
                                  <a:gd name="T43" fmla="*/ 58 h 282"/>
                                  <a:gd name="T44" fmla="*/ 26 w 340"/>
                                  <a:gd name="T45" fmla="*/ 186 h 282"/>
                                  <a:gd name="T46" fmla="*/ 2 w 340"/>
                                  <a:gd name="T47" fmla="*/ 202 h 282"/>
                                  <a:gd name="T48" fmla="*/ 8 w 340"/>
                                  <a:gd name="T49" fmla="*/ 232 h 282"/>
                                  <a:gd name="T50" fmla="*/ 314 w 340"/>
                                  <a:gd name="T51" fmla="*/ 152 h 282"/>
                                  <a:gd name="T52" fmla="*/ 324 w 340"/>
                                  <a:gd name="T53" fmla="*/ 160 h 282"/>
                                  <a:gd name="T54" fmla="*/ 322 w 340"/>
                                  <a:gd name="T55" fmla="*/ 172 h 282"/>
                                  <a:gd name="T56" fmla="*/ 310 w 340"/>
                                  <a:gd name="T57" fmla="*/ 174 h 282"/>
                                  <a:gd name="T58" fmla="*/ 304 w 340"/>
                                  <a:gd name="T59" fmla="*/ 164 h 282"/>
                                  <a:gd name="T60" fmla="*/ 314 w 340"/>
                                  <a:gd name="T61" fmla="*/ 152 h 282"/>
                                  <a:gd name="T62" fmla="*/ 222 w 340"/>
                                  <a:gd name="T63" fmla="*/ 174 h 282"/>
                                  <a:gd name="T64" fmla="*/ 228 w 340"/>
                                  <a:gd name="T65" fmla="*/ 184 h 282"/>
                                  <a:gd name="T66" fmla="*/ 218 w 340"/>
                                  <a:gd name="T67" fmla="*/ 196 h 282"/>
                                  <a:gd name="T68" fmla="*/ 208 w 340"/>
                                  <a:gd name="T69" fmla="*/ 188 h 282"/>
                                  <a:gd name="T70" fmla="*/ 210 w 340"/>
                                  <a:gd name="T71" fmla="*/ 176 h 282"/>
                                  <a:gd name="T72" fmla="*/ 122 w 340"/>
                                  <a:gd name="T73" fmla="*/ 152 h 282"/>
                                  <a:gd name="T74" fmla="*/ 132 w 340"/>
                                  <a:gd name="T75" fmla="*/ 160 h 282"/>
                                  <a:gd name="T76" fmla="*/ 130 w 340"/>
                                  <a:gd name="T77" fmla="*/ 172 h 282"/>
                                  <a:gd name="T78" fmla="*/ 118 w 340"/>
                                  <a:gd name="T79" fmla="*/ 174 h 282"/>
                                  <a:gd name="T80" fmla="*/ 112 w 340"/>
                                  <a:gd name="T81" fmla="*/ 164 h 282"/>
                                  <a:gd name="T82" fmla="*/ 122 w 340"/>
                                  <a:gd name="T83" fmla="*/ 152 h 282"/>
                                  <a:gd name="T84" fmla="*/ 334 w 340"/>
                                  <a:gd name="T85" fmla="*/ 276 h 282"/>
                                  <a:gd name="T86" fmla="*/ 16 w 340"/>
                                  <a:gd name="T87" fmla="*/ 282 h 282"/>
                                  <a:gd name="T88" fmla="*/ 6 w 340"/>
                                  <a:gd name="T89" fmla="*/ 276 h 282"/>
                                  <a:gd name="T90" fmla="*/ 8 w 340"/>
                                  <a:gd name="T91" fmla="*/ 264 h 282"/>
                                  <a:gd name="T92" fmla="*/ 324 w 340"/>
                                  <a:gd name="T93" fmla="*/ 262 h 282"/>
                                  <a:gd name="T94" fmla="*/ 334 w 340"/>
                                  <a:gd name="T95" fmla="*/ 27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0" h="282">
                                    <a:moveTo>
                                      <a:pt x="26" y="240"/>
                                    </a:moveTo>
                                    <a:lnTo>
                                      <a:pt x="26" y="240"/>
                                    </a:lnTo>
                                    <a:lnTo>
                                      <a:pt x="36" y="238"/>
                                    </a:lnTo>
                                    <a:lnTo>
                                      <a:pt x="46" y="232"/>
                                    </a:lnTo>
                                    <a:lnTo>
                                      <a:pt x="50" y="222"/>
                                    </a:lnTo>
                                    <a:lnTo>
                                      <a:pt x="52" y="212"/>
                                    </a:lnTo>
                                    <a:lnTo>
                                      <a:pt x="52" y="212"/>
                                    </a:lnTo>
                                    <a:lnTo>
                                      <a:pt x="52" y="210"/>
                                    </a:lnTo>
                                    <a:lnTo>
                                      <a:pt x="104" y="184"/>
                                    </a:lnTo>
                                    <a:lnTo>
                                      <a:pt x="104" y="184"/>
                                    </a:lnTo>
                                    <a:lnTo>
                                      <a:pt x="112" y="188"/>
                                    </a:lnTo>
                                    <a:lnTo>
                                      <a:pt x="122" y="190"/>
                                    </a:lnTo>
                                    <a:lnTo>
                                      <a:pt x="122" y="190"/>
                                    </a:lnTo>
                                    <a:lnTo>
                                      <a:pt x="128" y="190"/>
                                    </a:lnTo>
                                    <a:lnTo>
                                      <a:pt x="134" y="186"/>
                                    </a:lnTo>
                                    <a:lnTo>
                                      <a:pt x="140" y="184"/>
                                    </a:lnTo>
                                    <a:lnTo>
                                      <a:pt x="144" y="178"/>
                                    </a:lnTo>
                                    <a:lnTo>
                                      <a:pt x="192" y="188"/>
                                    </a:lnTo>
                                    <a:lnTo>
                                      <a:pt x="192" y="188"/>
                                    </a:lnTo>
                                    <a:lnTo>
                                      <a:pt x="194" y="198"/>
                                    </a:lnTo>
                                    <a:lnTo>
                                      <a:pt x="200" y="204"/>
                                    </a:lnTo>
                                    <a:lnTo>
                                      <a:pt x="208" y="210"/>
                                    </a:lnTo>
                                    <a:lnTo>
                                      <a:pt x="218" y="212"/>
                                    </a:lnTo>
                                    <a:lnTo>
                                      <a:pt x="218" y="212"/>
                                    </a:lnTo>
                                    <a:lnTo>
                                      <a:pt x="228" y="210"/>
                                    </a:lnTo>
                                    <a:lnTo>
                                      <a:pt x="236" y="204"/>
                                    </a:lnTo>
                                    <a:lnTo>
                                      <a:pt x="242" y="198"/>
                                    </a:lnTo>
                                    <a:lnTo>
                                      <a:pt x="244" y="188"/>
                                    </a:lnTo>
                                    <a:lnTo>
                                      <a:pt x="292" y="178"/>
                                    </a:lnTo>
                                    <a:lnTo>
                                      <a:pt x="292" y="178"/>
                                    </a:lnTo>
                                    <a:lnTo>
                                      <a:pt x="296" y="184"/>
                                    </a:lnTo>
                                    <a:lnTo>
                                      <a:pt x="302" y="186"/>
                                    </a:lnTo>
                                    <a:lnTo>
                                      <a:pt x="308" y="190"/>
                                    </a:lnTo>
                                    <a:lnTo>
                                      <a:pt x="314" y="190"/>
                                    </a:lnTo>
                                    <a:lnTo>
                                      <a:pt x="314" y="190"/>
                                    </a:lnTo>
                                    <a:lnTo>
                                      <a:pt x="324" y="188"/>
                                    </a:lnTo>
                                    <a:lnTo>
                                      <a:pt x="332" y="182"/>
                                    </a:lnTo>
                                    <a:lnTo>
                                      <a:pt x="338" y="174"/>
                                    </a:lnTo>
                                    <a:lnTo>
                                      <a:pt x="340" y="164"/>
                                    </a:lnTo>
                                    <a:lnTo>
                                      <a:pt x="340" y="164"/>
                                    </a:lnTo>
                                    <a:lnTo>
                                      <a:pt x="338" y="152"/>
                                    </a:lnTo>
                                    <a:lnTo>
                                      <a:pt x="332" y="144"/>
                                    </a:lnTo>
                                    <a:lnTo>
                                      <a:pt x="324" y="138"/>
                                    </a:lnTo>
                                    <a:lnTo>
                                      <a:pt x="314" y="136"/>
                                    </a:lnTo>
                                    <a:lnTo>
                                      <a:pt x="314" y="136"/>
                                    </a:lnTo>
                                    <a:lnTo>
                                      <a:pt x="304" y="138"/>
                                    </a:lnTo>
                                    <a:lnTo>
                                      <a:pt x="296" y="144"/>
                                    </a:lnTo>
                                    <a:lnTo>
                                      <a:pt x="290" y="150"/>
                                    </a:lnTo>
                                    <a:lnTo>
                                      <a:pt x="288" y="158"/>
                                    </a:lnTo>
                                    <a:lnTo>
                                      <a:pt x="240" y="170"/>
                                    </a:lnTo>
                                    <a:lnTo>
                                      <a:pt x="240" y="170"/>
                                    </a:lnTo>
                                    <a:lnTo>
                                      <a:pt x="236" y="164"/>
                                    </a:lnTo>
                                    <a:lnTo>
                                      <a:pt x="230" y="160"/>
                                    </a:lnTo>
                                    <a:lnTo>
                                      <a:pt x="224" y="158"/>
                                    </a:lnTo>
                                    <a:lnTo>
                                      <a:pt x="218" y="158"/>
                                    </a:lnTo>
                                    <a:lnTo>
                                      <a:pt x="218" y="158"/>
                                    </a:lnTo>
                                    <a:lnTo>
                                      <a:pt x="212" y="158"/>
                                    </a:lnTo>
                                    <a:lnTo>
                                      <a:pt x="206" y="160"/>
                                    </a:lnTo>
                                    <a:lnTo>
                                      <a:pt x="200" y="164"/>
                                    </a:lnTo>
                                    <a:lnTo>
                                      <a:pt x="196" y="170"/>
                                    </a:lnTo>
                                    <a:lnTo>
                                      <a:pt x="148" y="158"/>
                                    </a:lnTo>
                                    <a:lnTo>
                                      <a:pt x="148" y="158"/>
                                    </a:lnTo>
                                    <a:lnTo>
                                      <a:pt x="146" y="150"/>
                                    </a:lnTo>
                                    <a:lnTo>
                                      <a:pt x="140" y="144"/>
                                    </a:lnTo>
                                    <a:lnTo>
                                      <a:pt x="132" y="138"/>
                                    </a:lnTo>
                                    <a:lnTo>
                                      <a:pt x="122" y="136"/>
                                    </a:lnTo>
                                    <a:lnTo>
                                      <a:pt x="122" y="136"/>
                                    </a:lnTo>
                                    <a:lnTo>
                                      <a:pt x="112" y="138"/>
                                    </a:lnTo>
                                    <a:lnTo>
                                      <a:pt x="104" y="144"/>
                                    </a:lnTo>
                                    <a:lnTo>
                                      <a:pt x="98" y="152"/>
                                    </a:lnTo>
                                    <a:lnTo>
                                      <a:pt x="96" y="164"/>
                                    </a:lnTo>
                                    <a:lnTo>
                                      <a:pt x="96" y="164"/>
                                    </a:lnTo>
                                    <a:lnTo>
                                      <a:pt x="96" y="166"/>
                                    </a:lnTo>
                                    <a:lnTo>
                                      <a:pt x="56" y="186"/>
                                    </a:lnTo>
                                    <a:lnTo>
                                      <a:pt x="126" y="80"/>
                                    </a:lnTo>
                                    <a:lnTo>
                                      <a:pt x="216" y="104"/>
                                    </a:lnTo>
                                    <a:lnTo>
                                      <a:pt x="216" y="104"/>
                                    </a:lnTo>
                                    <a:lnTo>
                                      <a:pt x="220" y="104"/>
                                    </a:lnTo>
                                    <a:lnTo>
                                      <a:pt x="224" y="102"/>
                                    </a:lnTo>
                                    <a:lnTo>
                                      <a:pt x="306" y="42"/>
                                    </a:lnTo>
                                    <a:lnTo>
                                      <a:pt x="336" y="72"/>
                                    </a:lnTo>
                                    <a:lnTo>
                                      <a:pt x="336" y="0"/>
                                    </a:lnTo>
                                    <a:lnTo>
                                      <a:pt x="264" y="0"/>
                                    </a:lnTo>
                                    <a:lnTo>
                                      <a:pt x="292" y="28"/>
                                    </a:lnTo>
                                    <a:lnTo>
                                      <a:pt x="216" y="84"/>
                                    </a:lnTo>
                                    <a:lnTo>
                                      <a:pt x="124" y="58"/>
                                    </a:lnTo>
                                    <a:lnTo>
                                      <a:pt x="124" y="58"/>
                                    </a:lnTo>
                                    <a:lnTo>
                                      <a:pt x="118" y="58"/>
                                    </a:lnTo>
                                    <a:lnTo>
                                      <a:pt x="114" y="62"/>
                                    </a:lnTo>
                                    <a:lnTo>
                                      <a:pt x="32" y="186"/>
                                    </a:lnTo>
                                    <a:lnTo>
                                      <a:pt x="32" y="186"/>
                                    </a:lnTo>
                                    <a:lnTo>
                                      <a:pt x="26" y="186"/>
                                    </a:lnTo>
                                    <a:lnTo>
                                      <a:pt x="26" y="186"/>
                                    </a:lnTo>
                                    <a:lnTo>
                                      <a:pt x="16" y="188"/>
                                    </a:lnTo>
                                    <a:lnTo>
                                      <a:pt x="8" y="194"/>
                                    </a:lnTo>
                                    <a:lnTo>
                                      <a:pt x="2" y="202"/>
                                    </a:lnTo>
                                    <a:lnTo>
                                      <a:pt x="0" y="212"/>
                                    </a:lnTo>
                                    <a:lnTo>
                                      <a:pt x="0" y="212"/>
                                    </a:lnTo>
                                    <a:lnTo>
                                      <a:pt x="2" y="222"/>
                                    </a:lnTo>
                                    <a:lnTo>
                                      <a:pt x="8" y="232"/>
                                    </a:lnTo>
                                    <a:lnTo>
                                      <a:pt x="16" y="238"/>
                                    </a:lnTo>
                                    <a:lnTo>
                                      <a:pt x="26" y="240"/>
                                    </a:lnTo>
                                    <a:lnTo>
                                      <a:pt x="26" y="240"/>
                                    </a:lnTo>
                                    <a:close/>
                                    <a:moveTo>
                                      <a:pt x="314" y="152"/>
                                    </a:moveTo>
                                    <a:lnTo>
                                      <a:pt x="314" y="152"/>
                                    </a:lnTo>
                                    <a:lnTo>
                                      <a:pt x="318" y="154"/>
                                    </a:lnTo>
                                    <a:lnTo>
                                      <a:pt x="322" y="156"/>
                                    </a:lnTo>
                                    <a:lnTo>
                                      <a:pt x="324" y="160"/>
                                    </a:lnTo>
                                    <a:lnTo>
                                      <a:pt x="324" y="164"/>
                                    </a:lnTo>
                                    <a:lnTo>
                                      <a:pt x="324" y="164"/>
                                    </a:lnTo>
                                    <a:lnTo>
                                      <a:pt x="324" y="168"/>
                                    </a:lnTo>
                                    <a:lnTo>
                                      <a:pt x="322" y="172"/>
                                    </a:lnTo>
                                    <a:lnTo>
                                      <a:pt x="318" y="174"/>
                                    </a:lnTo>
                                    <a:lnTo>
                                      <a:pt x="314" y="174"/>
                                    </a:lnTo>
                                    <a:lnTo>
                                      <a:pt x="314" y="174"/>
                                    </a:lnTo>
                                    <a:lnTo>
                                      <a:pt x="310" y="174"/>
                                    </a:lnTo>
                                    <a:lnTo>
                                      <a:pt x="306" y="172"/>
                                    </a:lnTo>
                                    <a:lnTo>
                                      <a:pt x="304" y="168"/>
                                    </a:lnTo>
                                    <a:lnTo>
                                      <a:pt x="304" y="164"/>
                                    </a:lnTo>
                                    <a:lnTo>
                                      <a:pt x="304" y="164"/>
                                    </a:lnTo>
                                    <a:lnTo>
                                      <a:pt x="304" y="160"/>
                                    </a:lnTo>
                                    <a:lnTo>
                                      <a:pt x="306" y="156"/>
                                    </a:lnTo>
                                    <a:lnTo>
                                      <a:pt x="310" y="154"/>
                                    </a:lnTo>
                                    <a:lnTo>
                                      <a:pt x="314" y="152"/>
                                    </a:lnTo>
                                    <a:lnTo>
                                      <a:pt x="314" y="152"/>
                                    </a:lnTo>
                                    <a:close/>
                                    <a:moveTo>
                                      <a:pt x="218" y="174"/>
                                    </a:moveTo>
                                    <a:lnTo>
                                      <a:pt x="218" y="174"/>
                                    </a:lnTo>
                                    <a:lnTo>
                                      <a:pt x="222" y="174"/>
                                    </a:lnTo>
                                    <a:lnTo>
                                      <a:pt x="226" y="176"/>
                                    </a:lnTo>
                                    <a:lnTo>
                                      <a:pt x="228" y="180"/>
                                    </a:lnTo>
                                    <a:lnTo>
                                      <a:pt x="228" y="184"/>
                                    </a:lnTo>
                                    <a:lnTo>
                                      <a:pt x="228" y="184"/>
                                    </a:lnTo>
                                    <a:lnTo>
                                      <a:pt x="228" y="188"/>
                                    </a:lnTo>
                                    <a:lnTo>
                                      <a:pt x="226" y="192"/>
                                    </a:lnTo>
                                    <a:lnTo>
                                      <a:pt x="222" y="194"/>
                                    </a:lnTo>
                                    <a:lnTo>
                                      <a:pt x="218" y="196"/>
                                    </a:lnTo>
                                    <a:lnTo>
                                      <a:pt x="218" y="196"/>
                                    </a:lnTo>
                                    <a:lnTo>
                                      <a:pt x="214" y="194"/>
                                    </a:lnTo>
                                    <a:lnTo>
                                      <a:pt x="210" y="192"/>
                                    </a:lnTo>
                                    <a:lnTo>
                                      <a:pt x="208" y="188"/>
                                    </a:lnTo>
                                    <a:lnTo>
                                      <a:pt x="208" y="184"/>
                                    </a:lnTo>
                                    <a:lnTo>
                                      <a:pt x="208" y="184"/>
                                    </a:lnTo>
                                    <a:lnTo>
                                      <a:pt x="208" y="180"/>
                                    </a:lnTo>
                                    <a:lnTo>
                                      <a:pt x="210" y="176"/>
                                    </a:lnTo>
                                    <a:lnTo>
                                      <a:pt x="214" y="174"/>
                                    </a:lnTo>
                                    <a:lnTo>
                                      <a:pt x="218" y="174"/>
                                    </a:lnTo>
                                    <a:lnTo>
                                      <a:pt x="218" y="174"/>
                                    </a:lnTo>
                                    <a:close/>
                                    <a:moveTo>
                                      <a:pt x="122" y="152"/>
                                    </a:moveTo>
                                    <a:lnTo>
                                      <a:pt x="122" y="152"/>
                                    </a:lnTo>
                                    <a:lnTo>
                                      <a:pt x="126" y="154"/>
                                    </a:lnTo>
                                    <a:lnTo>
                                      <a:pt x="130" y="156"/>
                                    </a:lnTo>
                                    <a:lnTo>
                                      <a:pt x="132" y="160"/>
                                    </a:lnTo>
                                    <a:lnTo>
                                      <a:pt x="132" y="164"/>
                                    </a:lnTo>
                                    <a:lnTo>
                                      <a:pt x="132" y="164"/>
                                    </a:lnTo>
                                    <a:lnTo>
                                      <a:pt x="132" y="168"/>
                                    </a:lnTo>
                                    <a:lnTo>
                                      <a:pt x="130" y="172"/>
                                    </a:lnTo>
                                    <a:lnTo>
                                      <a:pt x="126" y="174"/>
                                    </a:lnTo>
                                    <a:lnTo>
                                      <a:pt x="122" y="174"/>
                                    </a:lnTo>
                                    <a:lnTo>
                                      <a:pt x="122" y="174"/>
                                    </a:lnTo>
                                    <a:lnTo>
                                      <a:pt x="118" y="174"/>
                                    </a:lnTo>
                                    <a:lnTo>
                                      <a:pt x="114" y="172"/>
                                    </a:lnTo>
                                    <a:lnTo>
                                      <a:pt x="112" y="168"/>
                                    </a:lnTo>
                                    <a:lnTo>
                                      <a:pt x="112" y="164"/>
                                    </a:lnTo>
                                    <a:lnTo>
                                      <a:pt x="112" y="164"/>
                                    </a:lnTo>
                                    <a:lnTo>
                                      <a:pt x="112" y="160"/>
                                    </a:lnTo>
                                    <a:lnTo>
                                      <a:pt x="114" y="156"/>
                                    </a:lnTo>
                                    <a:lnTo>
                                      <a:pt x="118" y="154"/>
                                    </a:lnTo>
                                    <a:lnTo>
                                      <a:pt x="122" y="152"/>
                                    </a:lnTo>
                                    <a:lnTo>
                                      <a:pt x="122" y="152"/>
                                    </a:lnTo>
                                    <a:close/>
                                    <a:moveTo>
                                      <a:pt x="334" y="272"/>
                                    </a:moveTo>
                                    <a:lnTo>
                                      <a:pt x="334" y="272"/>
                                    </a:lnTo>
                                    <a:lnTo>
                                      <a:pt x="334" y="276"/>
                                    </a:lnTo>
                                    <a:lnTo>
                                      <a:pt x="332" y="278"/>
                                    </a:lnTo>
                                    <a:lnTo>
                                      <a:pt x="328" y="280"/>
                                    </a:lnTo>
                                    <a:lnTo>
                                      <a:pt x="324" y="282"/>
                                    </a:lnTo>
                                    <a:lnTo>
                                      <a:pt x="16" y="282"/>
                                    </a:lnTo>
                                    <a:lnTo>
                                      <a:pt x="16" y="282"/>
                                    </a:lnTo>
                                    <a:lnTo>
                                      <a:pt x="12" y="280"/>
                                    </a:lnTo>
                                    <a:lnTo>
                                      <a:pt x="8" y="278"/>
                                    </a:lnTo>
                                    <a:lnTo>
                                      <a:pt x="6" y="276"/>
                                    </a:lnTo>
                                    <a:lnTo>
                                      <a:pt x="6" y="272"/>
                                    </a:lnTo>
                                    <a:lnTo>
                                      <a:pt x="6" y="272"/>
                                    </a:lnTo>
                                    <a:lnTo>
                                      <a:pt x="6" y="268"/>
                                    </a:lnTo>
                                    <a:lnTo>
                                      <a:pt x="8" y="264"/>
                                    </a:lnTo>
                                    <a:lnTo>
                                      <a:pt x="12" y="262"/>
                                    </a:lnTo>
                                    <a:lnTo>
                                      <a:pt x="16" y="262"/>
                                    </a:lnTo>
                                    <a:lnTo>
                                      <a:pt x="324" y="262"/>
                                    </a:lnTo>
                                    <a:lnTo>
                                      <a:pt x="324" y="262"/>
                                    </a:lnTo>
                                    <a:lnTo>
                                      <a:pt x="328" y="262"/>
                                    </a:lnTo>
                                    <a:lnTo>
                                      <a:pt x="332" y="264"/>
                                    </a:lnTo>
                                    <a:lnTo>
                                      <a:pt x="334" y="268"/>
                                    </a:lnTo>
                                    <a:lnTo>
                                      <a:pt x="334" y="272"/>
                                    </a:lnTo>
                                    <a:lnTo>
                                      <a:pt x="334" y="272"/>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5008B" id="Freeform 4957" o:spid="_x0000_s1026" style="position:absolute;margin-left:.45pt;margin-top:2pt;width:29.05pt;height:24.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VWwoAAO45AAAOAAAAZHJzL2Uyb0RvYy54bWysW12P27oRfS/Q/yD48QKNTUqW7UU29yG3&#10;KQqktwGyRZ+1spw1aluupP1If31nqBmZWms43IvNQ7RrnyV5DmeGM6T48deX4yF5qpp2X59uZ+bD&#10;YpZUp7Le7k8/bmf/uvvyl/UsabvitC0O9am6nf2s2tmvn/78p4/P55vK1g/1YVs1CTRyam+ez7ez&#10;h64738znbflQHYv2Q32uTvDlrm6ORQe/Nj/m26Z4htaPh7ldLPL5c91sz01dVm0Ln/7Wfzn75Nrf&#10;7aqy++du11Zdcridwdg693/j/r/H/+efPhY3P5ri/LAvaRjFHxjFsdifoNOhqd+Krkgem/1VU8d9&#10;2dRtves+lPVxXu92+7JyHICNWbxi8/2hOFeOC4jTngeZ2vdrtvz96VuT7LcwdwuYqlNxhEn60lQV&#10;Sp5km+UKJXo+tzeA/H7+1iDJ9vy1Lv/TJqf6r9t9963enzoYkkHkfATFX1r4o+T++R/1FlouHrva&#10;6fSya47YFCiQvLjp+DlMR/XSJSV8mObrTbqcJSV8lS7yxcpN17y44T8uH9vub1XtGiqevrZdP5tb&#10;+MnNxZb43MHM744HmNhf5kmWJ89JmvHUDxjjYWxqk4fEri3ZxwCyHmhppxtKPYw1i+mGMg9krNAS&#10;cB+GbTZCS7kPyhbTY1r5oHU2PSaYf6+7bLqlzQi0nm7J+IJbs55uyowkN4LkxtfcZsKwjK+6WUvj&#10;8mVPF4LsZqT7Ohc4+sKnVhrXWHlpXL70YJuCXiPtc2EWra99aoRxWV97kwoc7Uh7sMBJz7Ej7ZeC&#10;nVpfews9Trc10l7k6Gsv2pcdab8UtLe+9mYjjWuk/UrgmPraG2ke05H2YNGToSb1tTfgHZN6pSPt&#10;U4Fj6msvUcRQe/F/Sfp0LL0gVzqSfiFR9KWHCC9Q9KXPhCgB8fwyeLsR1Mp85a0gVjYWXghemS+8&#10;ZFuZr7sV+GUj3aVwk410n1Yq81W3EN4mDSvzVZfY+ZqLq+HSF10MNUtfdAOr5uSolr7qYjhd+qqb&#10;XHDDpS97Kq6uI91X0rh83VNYzifdENKki/mZlWDvS1/5FLxiui1feyP5YR6lfR6lfe5rbyW98pH2&#10;Esfc196Cj01yzEfaSwlJ7msvhvl8pD1Et0n7yn3t7UIa10h7KY2ARPQy25jiTXJcjbRfCeNa+dqL&#10;meBqpL3kQytfewM57PS4RtpLPrTytTepxHGkveRDK197I6WDq5H2kn2tfe3FZXE90l7yIcjvL/Mo&#10;ar+O0n7ta5+mgm+vfe2tZBPrkfbCsrH2pYdSZdrs1770Uku+8OKgNr7wgvtsfNmtJPvGl10M9Rtf&#10;dpsL/DZRsm/GsnttQTX5g+vF4oFLyPLlRDUk/JQUuJexcGXruW6xXMWCEorSu77kLW4AhQWnAAa6&#10;CE5dfayBgQ+Cl1FgsBMEuxodmISHAZaA4E1Uy1jBIRpqNKzqtbaxSHPwOJKGWEKlFdU68TRxRA0x&#10;NXFUsWDCsUNJFDMYrIkcPI4qlj0OHkfVElWoXaIGQ1RtHFWsT3AwUIHEtI4liIPHUcUqw8HjqGIl&#10;4eBxVFOimsZRxYIAW4eUP4YqJv0OHkcVE3sHj6OKybuDx1HFDN3B46hiGo5wSLRjqGKm7eBxVDGZ&#10;dvA4qkui2m8cqoEDU2LXehxVzHoRDnltDFVMbB08jirmrg4eRxXTUwePm1XMQB08jiommQiHNDKG&#10;KuaRDh5HFVNFB4+jitmgg8dRxYTPweOoYk6HcMjaYqhi2ubgcVQxM3PwOKqYfDl4HFVMsBw8jipm&#10;UQiHTCmGKqZKDh5HFbMhBx9R7Z2QEpoGjkReH4Y0swQOQ+5xRMXNuegwD+Ifk2fYfMdg+nA7ww1x&#10;/PxYP1V3tUN0mA7RomUB1pO6AA6nIJC/5ufZtUcrg4WQ37fHX/Ozh1FUhe2JIIzCI9S1YVgvtYVU&#10;JtQpRc9oGEvCQ+dnT8Es+hkzYKShXqNxlIjBDni4Pcpi4FThnXC9G6jtUY5gwMuCfGn5VnWhhdhA&#10;xAm2R46k6hKNo3nbhPuFI0rnkRbmOTQ+2JDocZB3B3GU22rmB5sl1F7YmmGDJq5fdkmNB+VRRtOF&#10;502xU9jJdePT5jce10d3za7gbKjvV7HTlOZNs3vYHO3bU/wtGkdlhWbPKaXwpj/KhJWA4w8/KeJS&#10;dg1bl0H7cysBrDCwLfk+OO4XwmrI7gceYDdBHOuiLB2DzmDXwfZ43jQcx3GlX7sh+1N4WMoTDCxe&#10;ofFZSj8M5NFBHMfT4Qyd55+fvR3gEo4ZhNFwFA80O7BUccJWfXh8PG8aD4prKt9oHPm51u+C5k3j&#10;QfFe0wXOGaN0NlQKanzjcdSvYldwdtmPT7FT2GTucYrdw+Yq4cL+Fo3jPEfrl/1S4QHLlTN7JQzx&#10;rCnR762wsCZUUaspE2XhUEwFI4EhC9BW8lgcbZ9hhhrslz0cVtYQDo6B3VRAIhGEUQCCsjcGpmhC&#10;hb+ColwEUqZQl5aE0zJ60kMJPCYSRvFOa42WM9gXCVFgp9aSn7gciexSs99IGJulkjiSP0NBHCLa&#10;E4CT8iCKUnilMIxDUY9KLUpJuVLYkhRamXxVnfOSz09a+nu/uxTx/HV5qNsKVLyu+4csagibUuF/&#10;jeTW+Ul56LBuhycODvUpYIdjJ5wu9Thl3b7gtH65vVhcOFgMPLQ4xrpo+Tnnq++G43xQ4cv5kcaD&#10;12PYDA05JrwcQfOm9ftWXDjG8+pjYNENjo/OxwzsjodxNL7BQ9je+cl2L+Fk7+Ma/1KzSd53jeTe&#10;+UkhgL1KsR7LsRq2hUPseXfBaDkJ7UJoVfmlvbDqF1zYygYesLKHeVC00ZYT9lJIAIPtRePIKtR+&#10;yUs1HrxboSyevBulzsfQnjIfAy7sffAqTe/1ml1FRrlou+f5uLJ72fuGSmXwbMn7rpHsdfzsvc+w&#10;VykxBV7GiVr7htpMWfsuuPAsvh0X9r6Bh7JmDLpczc5r/chL3wsnWsWrfgdrDEcReFmJ1jRFlwGn&#10;zMebcWHvM8xDWfvgBS6yP2V8vJoMHsK68ZPtnnO51/rJ3gcvWLkx2MF2JO+7RnLv/KQVeGgxHLt5&#10;J9IqJw4p76wrax9nnnTZRNyh5WRf2ciNhfWSW2VwVIcoVKlwUII2o15P8nga3oRSkkgavbJZQ14E&#10;b5gF12wWVoEN0/luOGYRHt5glgrbwR0U7Qbc4GA8T/x87Tavx8fOCxaNR8ruJbLhbBmPpL3LW219&#10;2G+/7A8HrDLd3b/q86FJngq4tVeUZXXqcnfwfHg8wj2y/vN8Af9wyuBM4/EIt/z6jzP+GLoYWnKd&#10;jzo5uBf2TjV2yqkaNgV3z/qXAN1FNry71t9+u6+3P+EeG9x0hCuED3Xzv1nyDLcGb2ftfx+Lppol&#10;h7+f4A7cxmS4c9q5X7LlCjfHGv+be/+b0+Pxcw0U4a3J4lRCq7ezjn/83PW3FOGaIKj29fT9XCIQ&#10;x3hu2u7u5d9Fc07wR/gjGPXvNd8WLG74LhxKP2Dpbl5PhH6BS4VOGroAibcW/d8d6nJN89P/AQAA&#10;//8DAFBLAwQUAAYACAAAACEAFBUYydgAAAAEAQAADwAAAGRycy9kb3ducmV2LnhtbEyPzU7DMBCE&#10;70i8g7VIXCq6IfyIhDgVikTvtJXg6MZLEmGvo9hpw9uznOA0Ws1o5ttqs3inTjTFIbCG23UGirgN&#10;duBOw2H/evMEKibD1rjApOGbImzqy4vKlDac+Y1Ou9QpKeFYGg19SmOJGNuevInrMBKL9xkmb5Kc&#10;U4d2Mmcp9w7zLHtEbwaWhd6M1PTUfu1mLyPY8MoFHOe77XbZf6yG9yJrtL6+Wl6eQSVa0l8YfvEF&#10;HWphOoaZbVROQyE5Dffyj5gPhehRNM8B6wr/w9c/AAAA//8DAFBLAQItABQABgAIAAAAIQC2gziS&#10;/gAAAOEBAAATAAAAAAAAAAAAAAAAAAAAAABbQ29udGVudF9UeXBlc10ueG1sUEsBAi0AFAAGAAgA&#10;AAAhADj9If/WAAAAlAEAAAsAAAAAAAAAAAAAAAAALwEAAF9yZWxzLy5yZWxzUEsBAi0AFAAGAAgA&#10;AAAhAC7419VbCgAA7jkAAA4AAAAAAAAAAAAAAAAALgIAAGRycy9lMm9Eb2MueG1sUEsBAi0AFAAG&#10;AAgAAAAhABQVGMnYAAAABAEAAA8AAAAAAAAAAAAAAAAAtQwAAGRycy9kb3ducmV2LnhtbFBLBQYA&#10;AAAABAAEAPMAAAC6DQAAAAA=&#10;" path="m26,240r,l36,238r10,-6l50,222r2,-10l52,212r,-2l104,184r,l112,188r10,2l122,190r6,l134,186r6,-2l144,178r48,10l192,188r2,10l200,204r8,6l218,212r,l228,210r8,-6l242,198r2,-10l292,178r,l296,184r6,2l308,190r6,l314,190r10,-2l332,182r6,-8l340,164r,l338,152r-6,-8l324,138r-10,-2l314,136r-10,2l296,144r-6,6l288,158r-48,12l240,170r-4,-6l230,160r-6,-2l218,158r,l212,158r-6,2l200,164r-4,6l148,158r,l146,150r-6,-6l132,138r-10,-2l122,136r-10,2l104,144r-6,8l96,164r,l96,166,56,186,126,80r90,24l216,104r4,l224,102,306,42r30,30l336,,264,r28,28l216,84,124,58r,l118,58r-4,4l32,186r,l26,186r,l16,188r-8,6l2,202,,212r,l2,222r6,10l16,238r10,2l26,240xm314,152r,l318,154r4,2l324,160r,4l324,164r,4l322,172r-4,2l314,174r,l310,174r-4,-2l304,168r,-4l304,164r,-4l306,156r4,-2l314,152r,xm218,174r,l222,174r4,2l228,180r,4l228,184r,4l226,192r-4,2l218,196r,l214,194r-4,-2l208,188r,-4l208,184r,-4l210,176r4,-2l218,174r,xm122,152r,l126,154r4,2l132,160r,4l132,164r,4l130,172r-4,2l122,174r,l118,174r-4,-2l112,168r,-4l112,164r,-4l114,156r4,-2l122,152r,xm334,272r,l334,276r-2,2l328,280r-4,2l16,282r,l12,280,8,278,6,276r,-4l6,272r,-4l8,264r4,-2l16,262r308,l324,262r4,l332,264r2,4l334,272r,xe" fillcolor="#fabf8f [1945]" stroked="f">
                      <v:path arrowok="t" o:connecttype="custom" o:connectlocs="49915,251802;56425,227924;132383,206217;151914,199705;210510,214900;236552,230095;264765,204047;327701,201876;351573,204047;368935,177998;340722,147608;314680,162803;256084,177998;236552,171486;212680,184510;151914,156291;121532,149779;104170,177998;234382,112877;332042,45585;316850,30390;128042,62951;28213,201876;2170,219242;8681,251802;340722,164974;351573,173657;349403,186681;336382,188852;329871,177998;340722,164974;240893,188852;247403,199705;236552,212730;225701,204047;227872,191022;132383,164974;143234,173657;141063,186681;128042,188852;121532,177998;132383,164974;362424,299558;17362,306070;6511,299558;8681,286534;351573,284363;362424,295216" o:connectangles="0,0,0,0,0,0,0,0,0,0,0,0,0,0,0,0,0,0,0,0,0,0,0,0,0,0,0,0,0,0,0,0,0,0,0,0,0,0,0,0,0,0,0,0,0,0,0,0"/>
                      <o:lock v:ext="edit" verticies="t"/>
                    </v:shape>
                  </w:pict>
                </mc:Fallback>
              </mc:AlternateContent>
            </w:r>
          </w:p>
        </w:tc>
        <w:tc>
          <w:tcPr>
            <w:tcW w:w="2126" w:type="dxa"/>
          </w:tcPr>
          <w:p w14:paraId="3CC0D0B6"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Деталі опціону</w:t>
            </w:r>
          </w:p>
        </w:tc>
        <w:tc>
          <w:tcPr>
            <w:tcW w:w="6015" w:type="dxa"/>
          </w:tcPr>
          <w:p w14:paraId="4C13B32D" w14:textId="77777777" w:rsidR="00F17427" w:rsidRPr="007E5633" w:rsidRDefault="00F17427" w:rsidP="000A7BA9">
            <w:pPr>
              <w:rPr>
                <w:rFonts w:ascii="Arial" w:hAnsi="Arial" w:cs="Arial"/>
                <w:highlight w:val="yellow"/>
                <w:lang w:val="uk-UA"/>
              </w:rPr>
            </w:pPr>
            <w:r w:rsidRPr="007E5633">
              <w:rPr>
                <w:rFonts w:ascii="Arial" w:hAnsi="Arial" w:cs="Arial"/>
                <w:lang w:val="uk-UA"/>
              </w:rPr>
              <w:t>Стиль опціону, Тип опціону, Дати виконання опціону, Ціна виконання опціону</w:t>
            </w:r>
          </w:p>
        </w:tc>
      </w:tr>
      <w:tr w:rsidR="00F17427" w:rsidRPr="007E5633" w14:paraId="378103CD" w14:textId="77777777" w:rsidTr="00F17427">
        <w:tc>
          <w:tcPr>
            <w:tcW w:w="1101" w:type="dxa"/>
            <w:shd w:val="clear" w:color="auto" w:fill="auto"/>
            <w:vAlign w:val="center"/>
          </w:tcPr>
          <w:p w14:paraId="30D05E89" w14:textId="77777777" w:rsidR="00F17427" w:rsidRPr="007E5633" w:rsidRDefault="008C252E" w:rsidP="000A7BA9">
            <w:pPr>
              <w:jc w:val="cente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82144" behindDoc="0" locked="0" layoutInCell="1" allowOverlap="1" wp14:anchorId="13F1184B" wp14:editId="233D9F5C">
                      <wp:simplePos x="0" y="0"/>
                      <wp:positionH relativeFrom="column">
                        <wp:posOffset>5715</wp:posOffset>
                      </wp:positionH>
                      <wp:positionV relativeFrom="paragraph">
                        <wp:posOffset>-15875</wp:posOffset>
                      </wp:positionV>
                      <wp:extent cx="431800" cy="247650"/>
                      <wp:effectExtent l="0" t="0" r="6350" b="0"/>
                      <wp:wrapNone/>
                      <wp:docPr id="324"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800" cy="247650"/>
                              </a:xfrm>
                              <a:custGeom>
                                <a:avLst/>
                                <a:gdLst>
                                  <a:gd name="T0" fmla="*/ 717 w 775"/>
                                  <a:gd name="T1" fmla="*/ 46 h 444"/>
                                  <a:gd name="T2" fmla="*/ 521 w 775"/>
                                  <a:gd name="T3" fmla="*/ 155 h 444"/>
                                  <a:gd name="T4" fmla="*/ 326 w 775"/>
                                  <a:gd name="T5" fmla="*/ 194 h 444"/>
                                  <a:gd name="T6" fmla="*/ 206 w 775"/>
                                  <a:gd name="T7" fmla="*/ 157 h 444"/>
                                  <a:gd name="T8" fmla="*/ 49 w 775"/>
                                  <a:gd name="T9" fmla="*/ 240 h 444"/>
                                  <a:gd name="T10" fmla="*/ 114 w 775"/>
                                  <a:gd name="T11" fmla="*/ 347 h 444"/>
                                  <a:gd name="T12" fmla="*/ 165 w 775"/>
                                  <a:gd name="T13" fmla="*/ 357 h 444"/>
                                  <a:gd name="T14" fmla="*/ 224 w 775"/>
                                  <a:gd name="T15" fmla="*/ 357 h 444"/>
                                  <a:gd name="T16" fmla="*/ 284 w 775"/>
                                  <a:gd name="T17" fmla="*/ 353 h 444"/>
                                  <a:gd name="T18" fmla="*/ 344 w 775"/>
                                  <a:gd name="T19" fmla="*/ 360 h 444"/>
                                  <a:gd name="T20" fmla="*/ 414 w 775"/>
                                  <a:gd name="T21" fmla="*/ 353 h 444"/>
                                  <a:gd name="T22" fmla="*/ 462 w 775"/>
                                  <a:gd name="T23" fmla="*/ 361 h 444"/>
                                  <a:gd name="T24" fmla="*/ 525 w 775"/>
                                  <a:gd name="T25" fmla="*/ 343 h 444"/>
                                  <a:gd name="T26" fmla="*/ 582 w 775"/>
                                  <a:gd name="T27" fmla="*/ 362 h 444"/>
                                  <a:gd name="T28" fmla="*/ 647 w 775"/>
                                  <a:gd name="T29" fmla="*/ 339 h 444"/>
                                  <a:gd name="T30" fmla="*/ 697 w 775"/>
                                  <a:gd name="T31" fmla="*/ 361 h 444"/>
                                  <a:gd name="T32" fmla="*/ 739 w 775"/>
                                  <a:gd name="T33" fmla="*/ 357 h 444"/>
                                  <a:gd name="T34" fmla="*/ 532 w 775"/>
                                  <a:gd name="T35" fmla="*/ 86 h 444"/>
                                  <a:gd name="T36" fmla="*/ 673 w 775"/>
                                  <a:gd name="T37" fmla="*/ 86 h 444"/>
                                  <a:gd name="T38" fmla="*/ 625 w 775"/>
                                  <a:gd name="T39" fmla="*/ 86 h 444"/>
                                  <a:gd name="T40" fmla="*/ 579 w 775"/>
                                  <a:gd name="T41" fmla="*/ 86 h 444"/>
                                  <a:gd name="T42" fmla="*/ 216 w 775"/>
                                  <a:gd name="T43" fmla="*/ 45 h 444"/>
                                  <a:gd name="T44" fmla="*/ 106 w 775"/>
                                  <a:gd name="T45" fmla="*/ 45 h 444"/>
                                  <a:gd name="T46" fmla="*/ 326 w 775"/>
                                  <a:gd name="T47" fmla="*/ 101 h 444"/>
                                  <a:gd name="T48" fmla="*/ 216 w 775"/>
                                  <a:gd name="T49" fmla="*/ 101 h 444"/>
                                  <a:gd name="T50" fmla="*/ 106 w 775"/>
                                  <a:gd name="T51" fmla="*/ 101 h 444"/>
                                  <a:gd name="T52" fmla="*/ 65 w 775"/>
                                  <a:gd name="T53" fmla="*/ 400 h 444"/>
                                  <a:gd name="T54" fmla="*/ 146 w 775"/>
                                  <a:gd name="T55" fmla="*/ 389 h 444"/>
                                  <a:gd name="T56" fmla="*/ 243 w 775"/>
                                  <a:gd name="T57" fmla="*/ 388 h 444"/>
                                  <a:gd name="T58" fmla="*/ 323 w 775"/>
                                  <a:gd name="T59" fmla="*/ 400 h 444"/>
                                  <a:gd name="T60" fmla="*/ 404 w 775"/>
                                  <a:gd name="T61" fmla="*/ 389 h 444"/>
                                  <a:gd name="T62" fmla="*/ 501 w 775"/>
                                  <a:gd name="T63" fmla="*/ 388 h 444"/>
                                  <a:gd name="T64" fmla="*/ 582 w 775"/>
                                  <a:gd name="T65" fmla="*/ 400 h 444"/>
                                  <a:gd name="T66" fmla="*/ 663 w 775"/>
                                  <a:gd name="T67" fmla="*/ 389 h 444"/>
                                  <a:gd name="T68" fmla="*/ 759 w 775"/>
                                  <a:gd name="T69" fmla="*/ 388 h 444"/>
                                  <a:gd name="T70" fmla="*/ 770 w 775"/>
                                  <a:gd name="T71" fmla="*/ 408 h 444"/>
                                  <a:gd name="T72" fmla="*/ 734 w 775"/>
                                  <a:gd name="T73" fmla="*/ 440 h 444"/>
                                  <a:gd name="T74" fmla="*/ 666 w 775"/>
                                  <a:gd name="T75" fmla="*/ 428 h 444"/>
                                  <a:gd name="T76" fmla="*/ 648 w 775"/>
                                  <a:gd name="T77" fmla="*/ 396 h 444"/>
                                  <a:gd name="T78" fmla="*/ 644 w 775"/>
                                  <a:gd name="T79" fmla="*/ 402 h 444"/>
                                  <a:gd name="T80" fmla="*/ 617 w 775"/>
                                  <a:gd name="T81" fmla="*/ 435 h 444"/>
                                  <a:gd name="T82" fmla="*/ 548 w 775"/>
                                  <a:gd name="T83" fmla="*/ 436 h 444"/>
                                  <a:gd name="T84" fmla="*/ 521 w 775"/>
                                  <a:gd name="T85" fmla="*/ 402 h 444"/>
                                  <a:gd name="T86" fmla="*/ 516 w 775"/>
                                  <a:gd name="T87" fmla="*/ 395 h 444"/>
                                  <a:gd name="T88" fmla="*/ 497 w 775"/>
                                  <a:gd name="T89" fmla="*/ 428 h 444"/>
                                  <a:gd name="T90" fmla="*/ 429 w 775"/>
                                  <a:gd name="T91" fmla="*/ 440 h 444"/>
                                  <a:gd name="T92" fmla="*/ 393 w 775"/>
                                  <a:gd name="T93" fmla="*/ 409 h 444"/>
                                  <a:gd name="T94" fmla="*/ 388 w 775"/>
                                  <a:gd name="T95" fmla="*/ 388 h 444"/>
                                  <a:gd name="T96" fmla="*/ 373 w 775"/>
                                  <a:gd name="T97" fmla="*/ 424 h 444"/>
                                  <a:gd name="T98" fmla="*/ 311 w 775"/>
                                  <a:gd name="T99" fmla="*/ 443 h 444"/>
                                  <a:gd name="T100" fmla="*/ 267 w 775"/>
                                  <a:gd name="T101" fmla="*/ 414 h 444"/>
                                  <a:gd name="T102" fmla="*/ 260 w 775"/>
                                  <a:gd name="T103" fmla="*/ 381 h 444"/>
                                  <a:gd name="T104" fmla="*/ 248 w 775"/>
                                  <a:gd name="T105" fmla="*/ 420 h 444"/>
                                  <a:gd name="T106" fmla="*/ 195 w 775"/>
                                  <a:gd name="T107" fmla="*/ 444 h 444"/>
                                  <a:gd name="T108" fmla="*/ 142 w 775"/>
                                  <a:gd name="T109" fmla="*/ 420 h 444"/>
                                  <a:gd name="T110" fmla="*/ 130 w 775"/>
                                  <a:gd name="T111" fmla="*/ 381 h 444"/>
                                  <a:gd name="T112" fmla="*/ 121 w 775"/>
                                  <a:gd name="T113" fmla="*/ 414 h 444"/>
                                  <a:gd name="T114" fmla="*/ 77 w 775"/>
                                  <a:gd name="T115" fmla="*/ 443 h 444"/>
                                  <a:gd name="T116" fmla="*/ 17 w 775"/>
                                  <a:gd name="T117" fmla="*/ 425 h 444"/>
                                  <a:gd name="T118" fmla="*/ 2 w 775"/>
                                  <a:gd name="T119" fmla="*/ 38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5" h="444">
                                    <a:moveTo>
                                      <a:pt x="739" y="357"/>
                                    </a:moveTo>
                                    <a:lnTo>
                                      <a:pt x="762" y="194"/>
                                    </a:lnTo>
                                    <a:lnTo>
                                      <a:pt x="717" y="194"/>
                                    </a:lnTo>
                                    <a:lnTo>
                                      <a:pt x="717" y="180"/>
                                    </a:lnTo>
                                    <a:lnTo>
                                      <a:pt x="717" y="155"/>
                                    </a:lnTo>
                                    <a:lnTo>
                                      <a:pt x="717" y="46"/>
                                    </a:lnTo>
                                    <a:lnTo>
                                      <a:pt x="730" y="46"/>
                                    </a:lnTo>
                                    <a:lnTo>
                                      <a:pt x="730" y="0"/>
                                    </a:lnTo>
                                    <a:lnTo>
                                      <a:pt x="497" y="0"/>
                                    </a:lnTo>
                                    <a:lnTo>
                                      <a:pt x="497" y="46"/>
                                    </a:lnTo>
                                    <a:lnTo>
                                      <a:pt x="521" y="46"/>
                                    </a:lnTo>
                                    <a:lnTo>
                                      <a:pt x="521" y="155"/>
                                    </a:lnTo>
                                    <a:lnTo>
                                      <a:pt x="495" y="155"/>
                                    </a:lnTo>
                                    <a:lnTo>
                                      <a:pt x="495" y="194"/>
                                    </a:lnTo>
                                    <a:lnTo>
                                      <a:pt x="426" y="194"/>
                                    </a:lnTo>
                                    <a:lnTo>
                                      <a:pt x="426" y="157"/>
                                    </a:lnTo>
                                    <a:lnTo>
                                      <a:pt x="326" y="157"/>
                                    </a:lnTo>
                                    <a:lnTo>
                                      <a:pt x="326" y="194"/>
                                    </a:lnTo>
                                    <a:lnTo>
                                      <a:pt x="316" y="194"/>
                                    </a:lnTo>
                                    <a:lnTo>
                                      <a:pt x="316" y="157"/>
                                    </a:lnTo>
                                    <a:lnTo>
                                      <a:pt x="216" y="157"/>
                                    </a:lnTo>
                                    <a:lnTo>
                                      <a:pt x="216" y="194"/>
                                    </a:lnTo>
                                    <a:lnTo>
                                      <a:pt x="206" y="194"/>
                                    </a:lnTo>
                                    <a:lnTo>
                                      <a:pt x="206" y="157"/>
                                    </a:lnTo>
                                    <a:lnTo>
                                      <a:pt x="106" y="157"/>
                                    </a:lnTo>
                                    <a:lnTo>
                                      <a:pt x="106" y="194"/>
                                    </a:lnTo>
                                    <a:lnTo>
                                      <a:pt x="33" y="194"/>
                                    </a:lnTo>
                                    <a:lnTo>
                                      <a:pt x="33" y="194"/>
                                    </a:lnTo>
                                    <a:lnTo>
                                      <a:pt x="40" y="218"/>
                                    </a:lnTo>
                                    <a:lnTo>
                                      <a:pt x="49" y="240"/>
                                    </a:lnTo>
                                    <a:lnTo>
                                      <a:pt x="59" y="261"/>
                                    </a:lnTo>
                                    <a:lnTo>
                                      <a:pt x="68" y="280"/>
                                    </a:lnTo>
                                    <a:lnTo>
                                      <a:pt x="79" y="299"/>
                                    </a:lnTo>
                                    <a:lnTo>
                                      <a:pt x="90" y="316"/>
                                    </a:lnTo>
                                    <a:lnTo>
                                      <a:pt x="102" y="332"/>
                                    </a:lnTo>
                                    <a:lnTo>
                                      <a:pt x="114" y="347"/>
                                    </a:lnTo>
                                    <a:lnTo>
                                      <a:pt x="122" y="343"/>
                                    </a:lnTo>
                                    <a:lnTo>
                                      <a:pt x="130" y="339"/>
                                    </a:lnTo>
                                    <a:lnTo>
                                      <a:pt x="138" y="343"/>
                                    </a:lnTo>
                                    <a:lnTo>
                                      <a:pt x="155" y="353"/>
                                    </a:lnTo>
                                    <a:lnTo>
                                      <a:pt x="155" y="353"/>
                                    </a:lnTo>
                                    <a:lnTo>
                                      <a:pt x="165" y="357"/>
                                    </a:lnTo>
                                    <a:lnTo>
                                      <a:pt x="175" y="360"/>
                                    </a:lnTo>
                                    <a:lnTo>
                                      <a:pt x="185" y="361"/>
                                    </a:lnTo>
                                    <a:lnTo>
                                      <a:pt x="195" y="362"/>
                                    </a:lnTo>
                                    <a:lnTo>
                                      <a:pt x="204" y="361"/>
                                    </a:lnTo>
                                    <a:lnTo>
                                      <a:pt x="214" y="360"/>
                                    </a:lnTo>
                                    <a:lnTo>
                                      <a:pt x="224" y="357"/>
                                    </a:lnTo>
                                    <a:lnTo>
                                      <a:pt x="234" y="353"/>
                                    </a:lnTo>
                                    <a:lnTo>
                                      <a:pt x="252" y="343"/>
                                    </a:lnTo>
                                    <a:lnTo>
                                      <a:pt x="260" y="339"/>
                                    </a:lnTo>
                                    <a:lnTo>
                                      <a:pt x="266" y="343"/>
                                    </a:lnTo>
                                    <a:lnTo>
                                      <a:pt x="284" y="353"/>
                                    </a:lnTo>
                                    <a:lnTo>
                                      <a:pt x="284" y="353"/>
                                    </a:lnTo>
                                    <a:lnTo>
                                      <a:pt x="294" y="357"/>
                                    </a:lnTo>
                                    <a:lnTo>
                                      <a:pt x="304" y="360"/>
                                    </a:lnTo>
                                    <a:lnTo>
                                      <a:pt x="313" y="361"/>
                                    </a:lnTo>
                                    <a:lnTo>
                                      <a:pt x="323" y="362"/>
                                    </a:lnTo>
                                    <a:lnTo>
                                      <a:pt x="333" y="361"/>
                                    </a:lnTo>
                                    <a:lnTo>
                                      <a:pt x="344" y="360"/>
                                    </a:lnTo>
                                    <a:lnTo>
                                      <a:pt x="353" y="357"/>
                                    </a:lnTo>
                                    <a:lnTo>
                                      <a:pt x="363" y="353"/>
                                    </a:lnTo>
                                    <a:lnTo>
                                      <a:pt x="381" y="343"/>
                                    </a:lnTo>
                                    <a:lnTo>
                                      <a:pt x="389" y="339"/>
                                    </a:lnTo>
                                    <a:lnTo>
                                      <a:pt x="396" y="343"/>
                                    </a:lnTo>
                                    <a:lnTo>
                                      <a:pt x="414" y="353"/>
                                    </a:lnTo>
                                    <a:lnTo>
                                      <a:pt x="414" y="353"/>
                                    </a:lnTo>
                                    <a:lnTo>
                                      <a:pt x="424" y="357"/>
                                    </a:lnTo>
                                    <a:lnTo>
                                      <a:pt x="433" y="360"/>
                                    </a:lnTo>
                                    <a:lnTo>
                                      <a:pt x="443" y="361"/>
                                    </a:lnTo>
                                    <a:lnTo>
                                      <a:pt x="453" y="362"/>
                                    </a:lnTo>
                                    <a:lnTo>
                                      <a:pt x="462" y="361"/>
                                    </a:lnTo>
                                    <a:lnTo>
                                      <a:pt x="472" y="360"/>
                                    </a:lnTo>
                                    <a:lnTo>
                                      <a:pt x="482" y="357"/>
                                    </a:lnTo>
                                    <a:lnTo>
                                      <a:pt x="493" y="353"/>
                                    </a:lnTo>
                                    <a:lnTo>
                                      <a:pt x="510" y="343"/>
                                    </a:lnTo>
                                    <a:lnTo>
                                      <a:pt x="517" y="339"/>
                                    </a:lnTo>
                                    <a:lnTo>
                                      <a:pt x="525" y="343"/>
                                    </a:lnTo>
                                    <a:lnTo>
                                      <a:pt x="542" y="353"/>
                                    </a:lnTo>
                                    <a:lnTo>
                                      <a:pt x="542" y="353"/>
                                    </a:lnTo>
                                    <a:lnTo>
                                      <a:pt x="552" y="357"/>
                                    </a:lnTo>
                                    <a:lnTo>
                                      <a:pt x="563" y="360"/>
                                    </a:lnTo>
                                    <a:lnTo>
                                      <a:pt x="573" y="361"/>
                                    </a:lnTo>
                                    <a:lnTo>
                                      <a:pt x="582" y="362"/>
                                    </a:lnTo>
                                    <a:lnTo>
                                      <a:pt x="592" y="361"/>
                                    </a:lnTo>
                                    <a:lnTo>
                                      <a:pt x="602" y="360"/>
                                    </a:lnTo>
                                    <a:lnTo>
                                      <a:pt x="611" y="357"/>
                                    </a:lnTo>
                                    <a:lnTo>
                                      <a:pt x="621" y="353"/>
                                    </a:lnTo>
                                    <a:lnTo>
                                      <a:pt x="639" y="343"/>
                                    </a:lnTo>
                                    <a:lnTo>
                                      <a:pt x="647" y="339"/>
                                    </a:lnTo>
                                    <a:lnTo>
                                      <a:pt x="653" y="343"/>
                                    </a:lnTo>
                                    <a:lnTo>
                                      <a:pt x="672" y="353"/>
                                    </a:lnTo>
                                    <a:lnTo>
                                      <a:pt x="672" y="353"/>
                                    </a:lnTo>
                                    <a:lnTo>
                                      <a:pt x="680" y="357"/>
                                    </a:lnTo>
                                    <a:lnTo>
                                      <a:pt x="689" y="359"/>
                                    </a:lnTo>
                                    <a:lnTo>
                                      <a:pt x="697" y="361"/>
                                    </a:lnTo>
                                    <a:lnTo>
                                      <a:pt x="705" y="362"/>
                                    </a:lnTo>
                                    <a:lnTo>
                                      <a:pt x="714" y="362"/>
                                    </a:lnTo>
                                    <a:lnTo>
                                      <a:pt x="721" y="361"/>
                                    </a:lnTo>
                                    <a:lnTo>
                                      <a:pt x="730" y="360"/>
                                    </a:lnTo>
                                    <a:lnTo>
                                      <a:pt x="739" y="357"/>
                                    </a:lnTo>
                                    <a:lnTo>
                                      <a:pt x="739" y="357"/>
                                    </a:lnTo>
                                    <a:close/>
                                    <a:moveTo>
                                      <a:pt x="532" y="86"/>
                                    </a:moveTo>
                                    <a:lnTo>
                                      <a:pt x="532" y="63"/>
                                    </a:lnTo>
                                    <a:lnTo>
                                      <a:pt x="569" y="63"/>
                                    </a:lnTo>
                                    <a:lnTo>
                                      <a:pt x="569" y="86"/>
                                    </a:lnTo>
                                    <a:lnTo>
                                      <a:pt x="532" y="86"/>
                                    </a:lnTo>
                                    <a:lnTo>
                                      <a:pt x="532" y="86"/>
                                    </a:lnTo>
                                    <a:close/>
                                    <a:moveTo>
                                      <a:pt x="673" y="86"/>
                                    </a:moveTo>
                                    <a:lnTo>
                                      <a:pt x="673" y="63"/>
                                    </a:lnTo>
                                    <a:lnTo>
                                      <a:pt x="710" y="63"/>
                                    </a:lnTo>
                                    <a:lnTo>
                                      <a:pt x="710" y="86"/>
                                    </a:lnTo>
                                    <a:lnTo>
                                      <a:pt x="673" y="86"/>
                                    </a:lnTo>
                                    <a:lnTo>
                                      <a:pt x="673" y="86"/>
                                    </a:lnTo>
                                    <a:close/>
                                    <a:moveTo>
                                      <a:pt x="625" y="86"/>
                                    </a:moveTo>
                                    <a:lnTo>
                                      <a:pt x="625" y="63"/>
                                    </a:lnTo>
                                    <a:lnTo>
                                      <a:pt x="663" y="63"/>
                                    </a:lnTo>
                                    <a:lnTo>
                                      <a:pt x="663" y="86"/>
                                    </a:lnTo>
                                    <a:lnTo>
                                      <a:pt x="625" y="86"/>
                                    </a:lnTo>
                                    <a:lnTo>
                                      <a:pt x="625" y="86"/>
                                    </a:lnTo>
                                    <a:close/>
                                    <a:moveTo>
                                      <a:pt x="579" y="86"/>
                                    </a:moveTo>
                                    <a:lnTo>
                                      <a:pt x="579" y="63"/>
                                    </a:lnTo>
                                    <a:lnTo>
                                      <a:pt x="617" y="63"/>
                                    </a:lnTo>
                                    <a:lnTo>
                                      <a:pt x="617" y="86"/>
                                    </a:lnTo>
                                    <a:lnTo>
                                      <a:pt x="579" y="86"/>
                                    </a:lnTo>
                                    <a:lnTo>
                                      <a:pt x="579" y="86"/>
                                    </a:lnTo>
                                    <a:close/>
                                    <a:moveTo>
                                      <a:pt x="216" y="45"/>
                                    </a:moveTo>
                                    <a:lnTo>
                                      <a:pt x="316" y="45"/>
                                    </a:lnTo>
                                    <a:lnTo>
                                      <a:pt x="316" y="90"/>
                                    </a:lnTo>
                                    <a:lnTo>
                                      <a:pt x="216" y="90"/>
                                    </a:lnTo>
                                    <a:lnTo>
                                      <a:pt x="216" y="45"/>
                                    </a:lnTo>
                                    <a:lnTo>
                                      <a:pt x="216" y="45"/>
                                    </a:lnTo>
                                    <a:close/>
                                    <a:moveTo>
                                      <a:pt x="106" y="45"/>
                                    </a:moveTo>
                                    <a:lnTo>
                                      <a:pt x="206" y="45"/>
                                    </a:lnTo>
                                    <a:lnTo>
                                      <a:pt x="206" y="90"/>
                                    </a:lnTo>
                                    <a:lnTo>
                                      <a:pt x="106" y="90"/>
                                    </a:lnTo>
                                    <a:lnTo>
                                      <a:pt x="106" y="45"/>
                                    </a:lnTo>
                                    <a:lnTo>
                                      <a:pt x="106" y="45"/>
                                    </a:lnTo>
                                    <a:close/>
                                    <a:moveTo>
                                      <a:pt x="326" y="101"/>
                                    </a:moveTo>
                                    <a:lnTo>
                                      <a:pt x="426" y="101"/>
                                    </a:lnTo>
                                    <a:lnTo>
                                      <a:pt x="426" y="145"/>
                                    </a:lnTo>
                                    <a:lnTo>
                                      <a:pt x="326" y="145"/>
                                    </a:lnTo>
                                    <a:lnTo>
                                      <a:pt x="326" y="101"/>
                                    </a:lnTo>
                                    <a:lnTo>
                                      <a:pt x="326" y="101"/>
                                    </a:lnTo>
                                    <a:close/>
                                    <a:moveTo>
                                      <a:pt x="216" y="101"/>
                                    </a:moveTo>
                                    <a:lnTo>
                                      <a:pt x="316" y="101"/>
                                    </a:lnTo>
                                    <a:lnTo>
                                      <a:pt x="316" y="145"/>
                                    </a:lnTo>
                                    <a:lnTo>
                                      <a:pt x="216" y="145"/>
                                    </a:lnTo>
                                    <a:lnTo>
                                      <a:pt x="216" y="101"/>
                                    </a:lnTo>
                                    <a:lnTo>
                                      <a:pt x="216" y="101"/>
                                    </a:lnTo>
                                    <a:close/>
                                    <a:moveTo>
                                      <a:pt x="106" y="101"/>
                                    </a:moveTo>
                                    <a:lnTo>
                                      <a:pt x="206" y="101"/>
                                    </a:lnTo>
                                    <a:lnTo>
                                      <a:pt x="206" y="145"/>
                                    </a:lnTo>
                                    <a:lnTo>
                                      <a:pt x="106" y="145"/>
                                    </a:lnTo>
                                    <a:lnTo>
                                      <a:pt x="106" y="101"/>
                                    </a:lnTo>
                                    <a:lnTo>
                                      <a:pt x="106" y="101"/>
                                    </a:lnTo>
                                    <a:close/>
                                    <a:moveTo>
                                      <a:pt x="0" y="381"/>
                                    </a:moveTo>
                                    <a:lnTo>
                                      <a:pt x="0" y="381"/>
                                    </a:lnTo>
                                    <a:lnTo>
                                      <a:pt x="17" y="389"/>
                                    </a:lnTo>
                                    <a:lnTo>
                                      <a:pt x="33" y="396"/>
                                    </a:lnTo>
                                    <a:lnTo>
                                      <a:pt x="49" y="399"/>
                                    </a:lnTo>
                                    <a:lnTo>
                                      <a:pt x="65" y="400"/>
                                    </a:lnTo>
                                    <a:lnTo>
                                      <a:pt x="81" y="399"/>
                                    </a:lnTo>
                                    <a:lnTo>
                                      <a:pt x="98" y="395"/>
                                    </a:lnTo>
                                    <a:lnTo>
                                      <a:pt x="114" y="388"/>
                                    </a:lnTo>
                                    <a:lnTo>
                                      <a:pt x="130" y="381"/>
                                    </a:lnTo>
                                    <a:lnTo>
                                      <a:pt x="130" y="381"/>
                                    </a:lnTo>
                                    <a:lnTo>
                                      <a:pt x="146" y="389"/>
                                    </a:lnTo>
                                    <a:lnTo>
                                      <a:pt x="162" y="396"/>
                                    </a:lnTo>
                                    <a:lnTo>
                                      <a:pt x="179" y="399"/>
                                    </a:lnTo>
                                    <a:lnTo>
                                      <a:pt x="195" y="400"/>
                                    </a:lnTo>
                                    <a:lnTo>
                                      <a:pt x="211" y="399"/>
                                    </a:lnTo>
                                    <a:lnTo>
                                      <a:pt x="227" y="395"/>
                                    </a:lnTo>
                                    <a:lnTo>
                                      <a:pt x="243" y="388"/>
                                    </a:lnTo>
                                    <a:lnTo>
                                      <a:pt x="260" y="381"/>
                                    </a:lnTo>
                                    <a:lnTo>
                                      <a:pt x="260" y="381"/>
                                    </a:lnTo>
                                    <a:lnTo>
                                      <a:pt x="276" y="389"/>
                                    </a:lnTo>
                                    <a:lnTo>
                                      <a:pt x="292" y="396"/>
                                    </a:lnTo>
                                    <a:lnTo>
                                      <a:pt x="307" y="399"/>
                                    </a:lnTo>
                                    <a:lnTo>
                                      <a:pt x="323" y="400"/>
                                    </a:lnTo>
                                    <a:lnTo>
                                      <a:pt x="339" y="399"/>
                                    </a:lnTo>
                                    <a:lnTo>
                                      <a:pt x="356" y="395"/>
                                    </a:lnTo>
                                    <a:lnTo>
                                      <a:pt x="372" y="388"/>
                                    </a:lnTo>
                                    <a:lnTo>
                                      <a:pt x="388" y="381"/>
                                    </a:lnTo>
                                    <a:lnTo>
                                      <a:pt x="388" y="381"/>
                                    </a:lnTo>
                                    <a:lnTo>
                                      <a:pt x="404" y="389"/>
                                    </a:lnTo>
                                    <a:lnTo>
                                      <a:pt x="420" y="396"/>
                                    </a:lnTo>
                                    <a:lnTo>
                                      <a:pt x="437" y="399"/>
                                    </a:lnTo>
                                    <a:lnTo>
                                      <a:pt x="453" y="400"/>
                                    </a:lnTo>
                                    <a:lnTo>
                                      <a:pt x="469" y="399"/>
                                    </a:lnTo>
                                    <a:lnTo>
                                      <a:pt x="485" y="395"/>
                                    </a:lnTo>
                                    <a:lnTo>
                                      <a:pt x="501" y="388"/>
                                    </a:lnTo>
                                    <a:lnTo>
                                      <a:pt x="517" y="381"/>
                                    </a:lnTo>
                                    <a:lnTo>
                                      <a:pt x="517" y="381"/>
                                    </a:lnTo>
                                    <a:lnTo>
                                      <a:pt x="534" y="389"/>
                                    </a:lnTo>
                                    <a:lnTo>
                                      <a:pt x="550" y="396"/>
                                    </a:lnTo>
                                    <a:lnTo>
                                      <a:pt x="566" y="399"/>
                                    </a:lnTo>
                                    <a:lnTo>
                                      <a:pt x="582" y="400"/>
                                    </a:lnTo>
                                    <a:lnTo>
                                      <a:pt x="598" y="399"/>
                                    </a:lnTo>
                                    <a:lnTo>
                                      <a:pt x="615" y="395"/>
                                    </a:lnTo>
                                    <a:lnTo>
                                      <a:pt x="631" y="388"/>
                                    </a:lnTo>
                                    <a:lnTo>
                                      <a:pt x="647" y="381"/>
                                    </a:lnTo>
                                    <a:lnTo>
                                      <a:pt x="647" y="381"/>
                                    </a:lnTo>
                                    <a:lnTo>
                                      <a:pt x="663" y="389"/>
                                    </a:lnTo>
                                    <a:lnTo>
                                      <a:pt x="679" y="396"/>
                                    </a:lnTo>
                                    <a:lnTo>
                                      <a:pt x="696" y="399"/>
                                    </a:lnTo>
                                    <a:lnTo>
                                      <a:pt x="711" y="400"/>
                                    </a:lnTo>
                                    <a:lnTo>
                                      <a:pt x="727" y="399"/>
                                    </a:lnTo>
                                    <a:lnTo>
                                      <a:pt x="743" y="395"/>
                                    </a:lnTo>
                                    <a:lnTo>
                                      <a:pt x="759" y="388"/>
                                    </a:lnTo>
                                    <a:lnTo>
                                      <a:pt x="775" y="381"/>
                                    </a:lnTo>
                                    <a:lnTo>
                                      <a:pt x="775" y="381"/>
                                    </a:lnTo>
                                    <a:lnTo>
                                      <a:pt x="775" y="388"/>
                                    </a:lnTo>
                                    <a:lnTo>
                                      <a:pt x="774" y="395"/>
                                    </a:lnTo>
                                    <a:lnTo>
                                      <a:pt x="772" y="402"/>
                                    </a:lnTo>
                                    <a:lnTo>
                                      <a:pt x="770" y="408"/>
                                    </a:lnTo>
                                    <a:lnTo>
                                      <a:pt x="767" y="414"/>
                                    </a:lnTo>
                                    <a:lnTo>
                                      <a:pt x="764" y="420"/>
                                    </a:lnTo>
                                    <a:lnTo>
                                      <a:pt x="760" y="424"/>
                                    </a:lnTo>
                                    <a:lnTo>
                                      <a:pt x="756" y="428"/>
                                    </a:lnTo>
                                    <a:lnTo>
                                      <a:pt x="746" y="435"/>
                                    </a:lnTo>
                                    <a:lnTo>
                                      <a:pt x="734" y="440"/>
                                    </a:lnTo>
                                    <a:lnTo>
                                      <a:pt x="724" y="443"/>
                                    </a:lnTo>
                                    <a:lnTo>
                                      <a:pt x="711" y="444"/>
                                    </a:lnTo>
                                    <a:lnTo>
                                      <a:pt x="699" y="443"/>
                                    </a:lnTo>
                                    <a:lnTo>
                                      <a:pt x="688" y="440"/>
                                    </a:lnTo>
                                    <a:lnTo>
                                      <a:pt x="676" y="436"/>
                                    </a:lnTo>
                                    <a:lnTo>
                                      <a:pt x="666" y="428"/>
                                    </a:lnTo>
                                    <a:lnTo>
                                      <a:pt x="662" y="425"/>
                                    </a:lnTo>
                                    <a:lnTo>
                                      <a:pt x="659" y="420"/>
                                    </a:lnTo>
                                    <a:lnTo>
                                      <a:pt x="655" y="414"/>
                                    </a:lnTo>
                                    <a:lnTo>
                                      <a:pt x="652" y="409"/>
                                    </a:lnTo>
                                    <a:lnTo>
                                      <a:pt x="650" y="402"/>
                                    </a:lnTo>
                                    <a:lnTo>
                                      <a:pt x="648" y="396"/>
                                    </a:lnTo>
                                    <a:lnTo>
                                      <a:pt x="647" y="388"/>
                                    </a:lnTo>
                                    <a:lnTo>
                                      <a:pt x="647" y="381"/>
                                    </a:lnTo>
                                    <a:lnTo>
                                      <a:pt x="647" y="381"/>
                                    </a:lnTo>
                                    <a:lnTo>
                                      <a:pt x="646" y="388"/>
                                    </a:lnTo>
                                    <a:lnTo>
                                      <a:pt x="645" y="395"/>
                                    </a:lnTo>
                                    <a:lnTo>
                                      <a:pt x="644" y="402"/>
                                    </a:lnTo>
                                    <a:lnTo>
                                      <a:pt x="642" y="408"/>
                                    </a:lnTo>
                                    <a:lnTo>
                                      <a:pt x="638" y="414"/>
                                    </a:lnTo>
                                    <a:lnTo>
                                      <a:pt x="635" y="420"/>
                                    </a:lnTo>
                                    <a:lnTo>
                                      <a:pt x="631" y="424"/>
                                    </a:lnTo>
                                    <a:lnTo>
                                      <a:pt x="626" y="428"/>
                                    </a:lnTo>
                                    <a:lnTo>
                                      <a:pt x="617" y="435"/>
                                    </a:lnTo>
                                    <a:lnTo>
                                      <a:pt x="606" y="440"/>
                                    </a:lnTo>
                                    <a:lnTo>
                                      <a:pt x="594" y="443"/>
                                    </a:lnTo>
                                    <a:lnTo>
                                      <a:pt x="582" y="444"/>
                                    </a:lnTo>
                                    <a:lnTo>
                                      <a:pt x="570" y="443"/>
                                    </a:lnTo>
                                    <a:lnTo>
                                      <a:pt x="558" y="440"/>
                                    </a:lnTo>
                                    <a:lnTo>
                                      <a:pt x="548" y="436"/>
                                    </a:lnTo>
                                    <a:lnTo>
                                      <a:pt x="538" y="428"/>
                                    </a:lnTo>
                                    <a:lnTo>
                                      <a:pt x="534" y="425"/>
                                    </a:lnTo>
                                    <a:lnTo>
                                      <a:pt x="529" y="420"/>
                                    </a:lnTo>
                                    <a:lnTo>
                                      <a:pt x="526" y="414"/>
                                    </a:lnTo>
                                    <a:lnTo>
                                      <a:pt x="523" y="409"/>
                                    </a:lnTo>
                                    <a:lnTo>
                                      <a:pt x="521" y="402"/>
                                    </a:lnTo>
                                    <a:lnTo>
                                      <a:pt x="519" y="396"/>
                                    </a:lnTo>
                                    <a:lnTo>
                                      <a:pt x="517" y="388"/>
                                    </a:lnTo>
                                    <a:lnTo>
                                      <a:pt x="517" y="381"/>
                                    </a:lnTo>
                                    <a:lnTo>
                                      <a:pt x="517" y="381"/>
                                    </a:lnTo>
                                    <a:lnTo>
                                      <a:pt x="517" y="388"/>
                                    </a:lnTo>
                                    <a:lnTo>
                                      <a:pt x="516" y="395"/>
                                    </a:lnTo>
                                    <a:lnTo>
                                      <a:pt x="514" y="402"/>
                                    </a:lnTo>
                                    <a:lnTo>
                                      <a:pt x="512" y="408"/>
                                    </a:lnTo>
                                    <a:lnTo>
                                      <a:pt x="509" y="414"/>
                                    </a:lnTo>
                                    <a:lnTo>
                                      <a:pt x="506" y="420"/>
                                    </a:lnTo>
                                    <a:lnTo>
                                      <a:pt x="501" y="424"/>
                                    </a:lnTo>
                                    <a:lnTo>
                                      <a:pt x="497" y="428"/>
                                    </a:lnTo>
                                    <a:lnTo>
                                      <a:pt x="487" y="435"/>
                                    </a:lnTo>
                                    <a:lnTo>
                                      <a:pt x="476" y="440"/>
                                    </a:lnTo>
                                    <a:lnTo>
                                      <a:pt x="465" y="443"/>
                                    </a:lnTo>
                                    <a:lnTo>
                                      <a:pt x="453" y="444"/>
                                    </a:lnTo>
                                    <a:lnTo>
                                      <a:pt x="441" y="443"/>
                                    </a:lnTo>
                                    <a:lnTo>
                                      <a:pt x="429" y="440"/>
                                    </a:lnTo>
                                    <a:lnTo>
                                      <a:pt x="418" y="436"/>
                                    </a:lnTo>
                                    <a:lnTo>
                                      <a:pt x="408" y="428"/>
                                    </a:lnTo>
                                    <a:lnTo>
                                      <a:pt x="404" y="425"/>
                                    </a:lnTo>
                                    <a:lnTo>
                                      <a:pt x="400" y="420"/>
                                    </a:lnTo>
                                    <a:lnTo>
                                      <a:pt x="397" y="414"/>
                                    </a:lnTo>
                                    <a:lnTo>
                                      <a:pt x="393" y="409"/>
                                    </a:lnTo>
                                    <a:lnTo>
                                      <a:pt x="391" y="402"/>
                                    </a:lnTo>
                                    <a:lnTo>
                                      <a:pt x="390" y="396"/>
                                    </a:lnTo>
                                    <a:lnTo>
                                      <a:pt x="389" y="388"/>
                                    </a:lnTo>
                                    <a:lnTo>
                                      <a:pt x="388" y="381"/>
                                    </a:lnTo>
                                    <a:lnTo>
                                      <a:pt x="388" y="381"/>
                                    </a:lnTo>
                                    <a:lnTo>
                                      <a:pt x="388" y="388"/>
                                    </a:lnTo>
                                    <a:lnTo>
                                      <a:pt x="387" y="395"/>
                                    </a:lnTo>
                                    <a:lnTo>
                                      <a:pt x="385" y="402"/>
                                    </a:lnTo>
                                    <a:lnTo>
                                      <a:pt x="383" y="408"/>
                                    </a:lnTo>
                                    <a:lnTo>
                                      <a:pt x="379" y="414"/>
                                    </a:lnTo>
                                    <a:lnTo>
                                      <a:pt x="376" y="420"/>
                                    </a:lnTo>
                                    <a:lnTo>
                                      <a:pt x="373" y="424"/>
                                    </a:lnTo>
                                    <a:lnTo>
                                      <a:pt x="369" y="428"/>
                                    </a:lnTo>
                                    <a:lnTo>
                                      <a:pt x="359" y="435"/>
                                    </a:lnTo>
                                    <a:lnTo>
                                      <a:pt x="347" y="440"/>
                                    </a:lnTo>
                                    <a:lnTo>
                                      <a:pt x="336" y="443"/>
                                    </a:lnTo>
                                    <a:lnTo>
                                      <a:pt x="323" y="444"/>
                                    </a:lnTo>
                                    <a:lnTo>
                                      <a:pt x="311" y="443"/>
                                    </a:lnTo>
                                    <a:lnTo>
                                      <a:pt x="299" y="440"/>
                                    </a:lnTo>
                                    <a:lnTo>
                                      <a:pt x="289" y="436"/>
                                    </a:lnTo>
                                    <a:lnTo>
                                      <a:pt x="279" y="428"/>
                                    </a:lnTo>
                                    <a:lnTo>
                                      <a:pt x="275" y="425"/>
                                    </a:lnTo>
                                    <a:lnTo>
                                      <a:pt x="271" y="420"/>
                                    </a:lnTo>
                                    <a:lnTo>
                                      <a:pt x="267" y="414"/>
                                    </a:lnTo>
                                    <a:lnTo>
                                      <a:pt x="265" y="409"/>
                                    </a:lnTo>
                                    <a:lnTo>
                                      <a:pt x="263" y="402"/>
                                    </a:lnTo>
                                    <a:lnTo>
                                      <a:pt x="261" y="396"/>
                                    </a:lnTo>
                                    <a:lnTo>
                                      <a:pt x="260" y="388"/>
                                    </a:lnTo>
                                    <a:lnTo>
                                      <a:pt x="260" y="381"/>
                                    </a:lnTo>
                                    <a:lnTo>
                                      <a:pt x="260" y="381"/>
                                    </a:lnTo>
                                    <a:lnTo>
                                      <a:pt x="258" y="388"/>
                                    </a:lnTo>
                                    <a:lnTo>
                                      <a:pt x="257" y="395"/>
                                    </a:lnTo>
                                    <a:lnTo>
                                      <a:pt x="256" y="402"/>
                                    </a:lnTo>
                                    <a:lnTo>
                                      <a:pt x="253" y="408"/>
                                    </a:lnTo>
                                    <a:lnTo>
                                      <a:pt x="251" y="414"/>
                                    </a:lnTo>
                                    <a:lnTo>
                                      <a:pt x="248" y="420"/>
                                    </a:lnTo>
                                    <a:lnTo>
                                      <a:pt x="243" y="424"/>
                                    </a:lnTo>
                                    <a:lnTo>
                                      <a:pt x="239" y="428"/>
                                    </a:lnTo>
                                    <a:lnTo>
                                      <a:pt x="229" y="435"/>
                                    </a:lnTo>
                                    <a:lnTo>
                                      <a:pt x="219" y="440"/>
                                    </a:lnTo>
                                    <a:lnTo>
                                      <a:pt x="207" y="443"/>
                                    </a:lnTo>
                                    <a:lnTo>
                                      <a:pt x="195" y="444"/>
                                    </a:lnTo>
                                    <a:lnTo>
                                      <a:pt x="183" y="443"/>
                                    </a:lnTo>
                                    <a:lnTo>
                                      <a:pt x="171" y="440"/>
                                    </a:lnTo>
                                    <a:lnTo>
                                      <a:pt x="160" y="436"/>
                                    </a:lnTo>
                                    <a:lnTo>
                                      <a:pt x="151" y="428"/>
                                    </a:lnTo>
                                    <a:lnTo>
                                      <a:pt x="146" y="425"/>
                                    </a:lnTo>
                                    <a:lnTo>
                                      <a:pt x="142" y="420"/>
                                    </a:lnTo>
                                    <a:lnTo>
                                      <a:pt x="139" y="414"/>
                                    </a:lnTo>
                                    <a:lnTo>
                                      <a:pt x="135" y="409"/>
                                    </a:lnTo>
                                    <a:lnTo>
                                      <a:pt x="133" y="402"/>
                                    </a:lnTo>
                                    <a:lnTo>
                                      <a:pt x="131" y="396"/>
                                    </a:lnTo>
                                    <a:lnTo>
                                      <a:pt x="130" y="388"/>
                                    </a:lnTo>
                                    <a:lnTo>
                                      <a:pt x="130" y="381"/>
                                    </a:lnTo>
                                    <a:lnTo>
                                      <a:pt x="130" y="381"/>
                                    </a:lnTo>
                                    <a:lnTo>
                                      <a:pt x="130" y="388"/>
                                    </a:lnTo>
                                    <a:lnTo>
                                      <a:pt x="129" y="395"/>
                                    </a:lnTo>
                                    <a:lnTo>
                                      <a:pt x="127" y="402"/>
                                    </a:lnTo>
                                    <a:lnTo>
                                      <a:pt x="125" y="408"/>
                                    </a:lnTo>
                                    <a:lnTo>
                                      <a:pt x="121" y="414"/>
                                    </a:lnTo>
                                    <a:lnTo>
                                      <a:pt x="118" y="420"/>
                                    </a:lnTo>
                                    <a:lnTo>
                                      <a:pt x="114" y="424"/>
                                    </a:lnTo>
                                    <a:lnTo>
                                      <a:pt x="110" y="428"/>
                                    </a:lnTo>
                                    <a:lnTo>
                                      <a:pt x="100" y="435"/>
                                    </a:lnTo>
                                    <a:lnTo>
                                      <a:pt x="89" y="440"/>
                                    </a:lnTo>
                                    <a:lnTo>
                                      <a:pt x="77" y="443"/>
                                    </a:lnTo>
                                    <a:lnTo>
                                      <a:pt x="65" y="444"/>
                                    </a:lnTo>
                                    <a:lnTo>
                                      <a:pt x="53" y="443"/>
                                    </a:lnTo>
                                    <a:lnTo>
                                      <a:pt x="42" y="440"/>
                                    </a:lnTo>
                                    <a:lnTo>
                                      <a:pt x="31" y="436"/>
                                    </a:lnTo>
                                    <a:lnTo>
                                      <a:pt x="21" y="428"/>
                                    </a:lnTo>
                                    <a:lnTo>
                                      <a:pt x="17" y="425"/>
                                    </a:lnTo>
                                    <a:lnTo>
                                      <a:pt x="12" y="420"/>
                                    </a:lnTo>
                                    <a:lnTo>
                                      <a:pt x="9" y="414"/>
                                    </a:lnTo>
                                    <a:lnTo>
                                      <a:pt x="6" y="409"/>
                                    </a:lnTo>
                                    <a:lnTo>
                                      <a:pt x="4" y="402"/>
                                    </a:lnTo>
                                    <a:lnTo>
                                      <a:pt x="3" y="396"/>
                                    </a:lnTo>
                                    <a:lnTo>
                                      <a:pt x="2" y="388"/>
                                    </a:lnTo>
                                    <a:lnTo>
                                      <a:pt x="0" y="381"/>
                                    </a:lnTo>
                                    <a:lnTo>
                                      <a:pt x="0" y="381"/>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77D1D" id="Freeform 569" o:spid="_x0000_s1026" style="position:absolute;margin-left:.45pt;margin-top:-1.25pt;width:34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PtVw8AAIJaAAAOAAAAZHJzL2Uyb0RvYy54bWy8XF1vG7sRfS/Q/7DQY4HG4sdyJSPOfcht&#10;igLpbYCk6PNGlmOjklaV5Djpr78z3BmKa2s4TFA0D1nbOhpyzsyQnCG5r3/5tt00X9eH48Owu5mZ&#10;V/NZs96thtuH3Zeb2T8/vfvzYtYcT/3utt8Mu/XN7Pv6OPvlzR//8Pppf722w/2wuV0fGhCyO14/&#10;7W9m96fT/vrq6ri6X2/746thv97Bh3fDYduf4NfDl6vbQ/8E0rebKzufh6un4XC7Pwyr9fEIf/11&#10;/HD2Jsq/u1uvTv+4uzuuT83mZgZ9O8X/D/H/z/j/1ZvX/fWXQ7+/f1hRN/qf6MW2f9hBo0nUr/2p&#10;bx4PDy9EbR9Wh+E43J1erYbt1XB397BaRx1AGzN/ps3H+36/jroAOcd9oun4vxO7+u3rh0PzcHsz&#10;c9bPml2/BSO9O6zXSHnThiUy9LQ/XgPw4/7DAXU87t8Pq38fm93wl9uH04fhYXeCHhlEXk2g+MsR&#10;vtR8fvr7cAuC+8fTEGn6dnfYoiggoPkWrfE9WWP97dSs4I/emcUcbLaCj6zvQhutddVf85dXj8fT&#10;X9dDFNR/fX88jca8hZ+iKW5JnU8g5G67Abv+6arpTNc8NV3XkukTyGQgH5r7xnv/HGMzTGvNZUEu&#10;A5m2vSwJuE5dcjZcltRmILP0lyWFDGTngqQuA5m2uywJQjX1yS8vd2mZYayfXxZkcsKN8ZdFmZxx&#10;54VOmZxzE1pBVk66kxQ0OevWSv3KaZdlTXhfSLJy4l3rBL5y5p2XZOXcuyBwb3PuvcS9nXAv9cvm&#10;3PtgL3NvJ9wHc1lHHF2Sd7VWsKOdcO8FvmzOfbuQ+jXhHnp/OaRz7gN44cXBwU64d8vLslzOfVgK&#10;styEe4kvl3PfQYsX++Um3Et+7ybcO4Evl3O/EEZAl1MfOid0K6deFDVhXvIIlzMvifI58W0nkOVz&#10;4kVROe/WCOOpz3n30hif026kodnntIuictrF+cLntJu5EIk+513WMOddlAVz8jmqRRXbnHhZVs68&#10;NNC3E+LnwiDYTpiH2fxi8LQ5824hBHWbU29hSLosK6feLRaXB4g2p95ZSVZOvZd0DDn1fi5MGiGn&#10;XtQx5NS34DgXdQw596KOIedeHJxDzr2sY859CAJfYcq9YMeQc9+1whgBC96zQ4s6djn3XTe/zFeX&#10;c+/ngk90OfedE+zY5dx7aeHV5dyHIPg9rH3POnor9WvCvV8IOk64XwqzRpdzH6QFTpdz7+fChL3I&#10;uQ/San4x4d4JI/Qi576VdFxMuHeCjoucezE5WEy4F3XMuW+lSWgx5V7SMefeS4uSxYR7ySeWOffe&#10;CjG0nHAv+eoy594thdheTrifC7G9zLnHqL04fi1z7sXYXubcO2mFs8y595BKXFxcLnPunRHG1eWE&#10;e2nRazAXTitoG4TVJUyvGQwTgIs9M/OcfgvZxEXKzDzn3y2EJYWZ5wawUiCZeW4Bb4XZG9YRmQpm&#10;KeQKZj6xAYwqgqa5EYwXVr9mPrGC2Ldpbusk3qbJrcjbNLuVKgrG5FaQbTrJbzvJQczECKK7mYkR&#10;RGETG8Ai/rINTG4DyQImt8AkPqHo84XLOv09V3pW33ZU6oGfmh4rjvNYXdoPR6wqYd0HakefxspU&#10;fw0orAsJYIgHBLtYxtLA4O4IjkUk6FxZMhCJ4K5KMhCF4Fh3UyWjMyIavA2Lb1pH0NsivE5JdKcI&#10;r1MTHSbC6xRFl4jwOlWxroFwqFzUqIqliwivUxWrExFepyoWICK8TlVLqkIVoabvWEZA6VAoqIKz&#10;59apisWAKL1OVUz4I7xOVUeqQtpe03dM3FE6pOZVcFIV0u8qOKkKKXYVnFSFNLoKTqr6OlUxVUZV&#10;IRmukd6SqpDwVsFJVchpq+CkalunKuatse91qmJqinBIPms6g9lnhNepiglmhNepGkhVyBKrOkOq&#10;jjsf6pCKmSB2BnK9GumY7EV4naqYz0V4naodqdrVqYpZWZReZ1VMvBAOqVWNqphbRXidqpg+RXid&#10;qgtSFXKgqs6QqpDm1MAxz8HOQCZTBSdVIVmpgpOqkI9UwUlVSDmq4KQqZBU18JhWoK6YONR9gbTF&#10;3KDuC6QvLv/rvkAa4wq/7gukMy7iq75wXjhVKp2WTrAUr2uBlYbldt0XWGlTqXRaQMG6OWthHLJo&#10;YXyADfDnW9+HWQNb35/xO/31vj/hepp/bJ5uZrg32tzD/ivsf+Lft8PX9achIk64rIbNiBgdsDVG&#10;7Z4Rm90ESSM77F0Skj/n536UCCpjvFXjYCgaNWY5/HwmL82G/Dk/pzgfyuJoQVYJK/cNKjBR1zqU&#10;0iSUmaKwShjsRhcV9VghQTvU4hS7elona3ZNuORRbCd+jvaCjQ/qH3sef87PZzilf45SFq1/Caf0&#10;DzZTqvqXcEr/YDt/lFeLU/oXCyvRvmX+Ek5pF3cfK8K2Eka5gIVxrRTcsNzGRuHwQRHWEiytQdlF&#10;+Dm6Cu4KoDRtRCFpaVJlKfwcpdG6Af2lpEIsvkGrDjZ5izjKwOFwRBlH2a5LeRF3i59j9wwNZC5l&#10;Z/w5Pxk3sqLKg3EC2YODDeX+1eJwVyjKU/TFGQpxkGgU+cNqe8TxLM968pP0pXHPwXxVkmexzFkh&#10;z7LdlP7BEZQqfS3l7BrPlpJGzW5Q7h3bVfzAUu6kyqPFu9q/WhyMOzV+4JI9yn7gsH5aYTfYkSVc&#10;2Q8cjWhOGVzgKA/JU/qHu9rYP2X8drgDG3HleIM6/YhTxgPYDx5xih843BPBdhV5UJmu6l81rjI+&#10;fLJHmWcP/a/xA8/2UMYDOBJVJ4/Sfm288pQza37gcVeswg9aSnM0u7W0/tbmBTi2Nbar+EHriRdl&#10;XqjG8bimxEfL8aGMuy3upiN/SvzC6QXClceDFvcyK+QF3HSLuLKfBtw9ivYtz4OBlv/auBs4Y1Ps&#10;BsffxnaV8SBwfGjy2O8VPwi1OCpBafEReFyDRWBpPocjelV263DfMtqt7Acdj3/KuNGx3RT/63i9&#10;pvjzy4yc1zf8HNc5Mm61GY5roOpltt/iQUTQHQpuI5VSss9AiMES53ikHOVVwlKzrAk/R4240Z+F&#10;yXrD2cY6vRmoKNTRWFwJUxTiRn8WVtCbxvgkWbJ3IKCiEJzaqrE3w1KzbGd+jvbmRn8WJusNp0br&#10;7M1ATW+aUythikLc6M/CZL25FpH2yCR7cxEkAdky/BwtxDBIhUvDADdbCVMaZWkvYLLeXONIX5H0&#10;5iJMArK+/Bz1ZpiiEDdbCVMaZWkvYLLeqYaWyv2S4qkql5CsMT9HzRPuRS+muNRyLU5pN8l7gZO1&#10;Z0c5b3ZI2rMfn5GsDT+n/m4UrVLLtbgXWk3bTfJe4GTt2V3OOknaszefkdw6P6der2mfWla0T7gX&#10;Wk3blXGy9lTzSNuXku7PcdwyP0fNOWVKO4r8MT/JPSjTgAy6NBxSUdMp9UWqj8F56aI0Tv8VaXg6&#10;EVe1aR+Su85P0pRXtYtyYTZVFxPDLIefJI9XtRoOdjVi/xSKDWfhCseGZniNZDhwGNvVWLacpSk0&#10;W0tZhsIz3C0gfcs8p+qdwl81jo4NYDWo5KOWs1yFZ4fnMqNfleVxtU3jGasSVfLwpkaFPzvONhV/&#10;hhOIZI9y9bgWB3c0SF6ZFzgXS3ooY4ar45mrWRrPnjIzLT48V9UVf4Z7JKRv2Z9T9Unx52ocV8sV&#10;f27pRBZWN0t+33IVXIlzrhZpPLdp3C37QcCDuhX+HPBCIeIUf07VHYXnahxldtq4EdK4W+Y5gB1q&#10;4ryjcVfjuUvjbpnnjsddxZ/hzlAVz/H8RLRHedz4cVw5jjo6LabN5x2Nf3DDpuj3cK8p6gs3l8o4&#10;vH8F+mJVvxRHHR3cw/GtjKN2ofpfxNF4DzeYyjhaR3i44FqUR+MG3K4q42hXAncTivLYT8f3CMC5&#10;HF4H8XNcDwUYVyJ/irxA85HWv0DzuYeju6X+wf2wsV2Fv0DrKw8Fn6I8ig/NvoF2gzV/CVT19+lQ&#10;F/PGT+KPxnHNnwNefI3jqcILV8H/3+NpWu+W/TlADjXqodiDdh91XsYKrxbngc52q3bDi+Q4Hihx&#10;zvMW3J4q+xWd+tHiHO4Cju0qcR7oVI0WRy3tQmtxnuZ9Jc5bHk+VOG/ptLXaP/JnLc5btpsS5y2P&#10;f0qct/gyhAr7tmw3ZV5oadddi/N02E2Zt1q8R1QR5+f1ZDnezrjyfP7jOK1dXg+V47yl/FyL85bO&#10;sGpx3uJNOLSvZjeOIyXOOQ/Q4pxPRmpx7vHeK/ZPiXN4ZdCIU+Zzz1UVJS5THqXEucf3TGD/NHkc&#10;R1r/6KCvFudo19iuEuech2rzOa6vR3nl9ZCjXVTNX+CO7yhPmc8d3h9G/pQ4d1BDR5yWv6VTLsp8&#10;XpvH/ziuHOeO/FlbtzvKu1Ve8L565E9pl/Iy1W4cR0qcw13psV1lPndUZ9Di3PF6UolzPB0Z9VXi&#10;yNFVNi0uU11KiXO4z03tlvMAm9b35TiyUK+Ieijrdst2U+Lc0ilJLc4tvqcC/UWxL1w5H3HKvGB5&#10;PFXi3FL9QPNnC6cksH9anJ/rnWW/P+PK83k1jtZrWv3FwumlUY/yfG45r1XGP0uncLT53OLrd9C+&#10;mt14Pan5Acxro7+U1+2W6rZanFueB5U4t7Su09bFlurPWpynOr8S54bHU2U+NxxHyjhk6PStNp8b&#10;tpsS54brG8q6HV59QHYrj0OG7ab4iwF7RT9Q4tzQ6Uwtzg3XMZV67HmfqRznZ1w5zn8cp7RL/qzN&#10;54bqkyovdNBGi3PDl4E0u/F6UolzeHFjVZwbOtmkxTnfNNTW7TwNKmEEl1yj9ylRyZOREuQ8lirS&#10;OISUvpEnaxHOBtMCnDTV4rsuvOuSO0qdlNAmB1EmqnG6UKfvaE5tEqUlv7KFIaH4cADUYvHiY3xl&#10;RroBiRcnszfKHofNw+27h80GT0XG9xGv324Ozdce3iTcr1br3SnE65Gbxy283Hb8e5jDPyxmQa33&#10;cQtvHh7/DJlU2rFPkmLjk0Y28fUkuwEb5UIrioIX4o6vPIlv1z3Gt/Diq3U/D7ff4eW68PZleK3x&#10;/XD476x5gjcZ38yO/3nsD+tZs/nbDl7MuzQ4Yzan+ItvOwj75pB/8jn/ZPe4fTuAirBm6HcrkHoz&#10;O/GPb0/jm5Ph1cXA2vvdx/0KgdjH/eF4+vTtX/1h3+CP8CXo9W8Dv8G4v+YX9CL1CUsvDB4VoV/g&#10;RceRGnopM75JOf89os6vjn7zOwAAAP//AwBQSwMEFAAGAAgAAAAhAAPQVyHdAAAABQEAAA8AAABk&#10;cnMvZG93bnJldi54bWxMjsFqwkAURfeF/sPwCt3pRIvBxryIlAoVWrCmC5djZpoEM29CZhJjv76v&#10;K7u83Mu5J12PthGD6XztCGE2jUAYKpyuqUT4yreTJQgfFGnVODIIV+Nhnd3fpSrR7kKfZjiEUjCE&#10;fKIQqhDaREpfVMYqP3WtIe6+XWdV4NiVUnfqwnDbyHkUxdKqmvihUq15qUxxPvQWob/u3jdvP9uP&#10;8+t+f5zlud0N2iI+PoybFYhgxnAbw58+q0PGTifXk/aiQXjmHcJkvgDBbbzkfEJ4ihcgs1T+t89+&#10;AQAA//8DAFBLAQItABQABgAIAAAAIQC2gziS/gAAAOEBAAATAAAAAAAAAAAAAAAAAAAAAABbQ29u&#10;dGVudF9UeXBlc10ueG1sUEsBAi0AFAAGAAgAAAAhADj9If/WAAAAlAEAAAsAAAAAAAAAAAAAAAAA&#10;LwEAAF9yZWxzLy5yZWxzUEsBAi0AFAAGAAgAAAAhAHoDA+1XDwAAgloAAA4AAAAAAAAAAAAAAAAA&#10;LgIAAGRycy9lMm9Eb2MueG1sUEsBAi0AFAAGAAgAAAAhAAPQVyHdAAAABQEAAA8AAAAAAAAAAAAA&#10;AAAAsREAAGRycy9kb3ducmV2LnhtbFBLBQYAAAAABAAEAPMAAAC7EgAAAAA=&#10;" path="m739,357l762,194r-45,l717,180r,-25l717,46r13,l730,,497,r,46l521,46r,109l495,155r,39l426,194r,-37l326,157r,37l316,194r,-37l216,157r,37l206,194r,-37l106,157r,37l33,194r,l40,218r9,22l59,261r9,19l79,299r11,17l102,332r12,15l122,343r8,-4l138,343r17,10l155,353r10,4l175,360r10,1l195,362r9,-1l214,360r10,-3l234,353r18,-10l260,339r6,4l284,353r,l294,357r10,3l313,361r10,1l333,361r11,-1l353,357r10,-4l381,343r8,-4l396,343r18,10l414,353r10,4l433,360r10,1l453,362r9,-1l472,360r10,-3l493,353r17,-10l517,339r8,4l542,353r,l552,357r11,3l573,361r9,1l592,361r10,-1l611,357r10,-4l639,343r8,-4l653,343r19,10l672,353r8,4l689,359r8,2l705,362r9,l721,361r9,-1l739,357r,xm532,86r,-23l569,63r,23l532,86r,xm673,86r,-23l710,63r,23l673,86r,xm625,86r,-23l663,63r,23l625,86r,xm579,86r,-23l617,63r,23l579,86r,xm216,45r100,l316,90r-100,l216,45r,xm106,45r100,l206,90r-100,l106,45r,xm326,101r100,l426,145r-100,l326,101r,xm216,101r100,l316,145r-100,l216,101r,xm106,101r100,l206,145r-100,l106,101r,xm,381r,l17,389r16,7l49,399r16,1l81,399r17,-4l114,388r16,-7l130,381r16,8l162,396r17,3l195,400r16,-1l227,395r16,-7l260,381r,l276,389r16,7l307,399r16,1l339,399r17,-4l372,388r16,-7l388,381r16,8l420,396r17,3l453,400r16,-1l485,395r16,-7l517,381r,l534,389r16,7l566,399r16,1l598,399r17,-4l631,388r16,-7l647,381r16,8l679,396r17,3l711,400r16,-1l743,395r16,-7l775,381r,l775,388r-1,7l772,402r-2,6l767,414r-3,6l760,424r-4,4l746,435r-12,5l724,443r-13,1l699,443r-11,-3l676,436r-10,-8l662,425r-3,-5l655,414r-3,-5l650,402r-2,-6l647,388r,-7l647,381r-1,7l645,395r-1,7l642,408r-4,6l635,420r-4,4l626,428r-9,7l606,440r-12,3l582,444r-12,-1l558,440r-10,-4l538,428r-4,-3l529,420r-3,-6l523,409r-2,-7l519,396r-2,-8l517,381r,l517,388r-1,7l514,402r-2,6l509,414r-3,6l501,424r-4,4l487,435r-11,5l465,443r-12,1l441,443r-12,-3l418,436r-10,-8l404,425r-4,-5l397,414r-4,-5l391,402r-1,-6l389,388r-1,-7l388,381r,7l387,395r-2,7l383,408r-4,6l376,420r-3,4l369,428r-10,7l347,440r-11,3l323,444r-12,-1l299,440r-10,-4l279,428r-4,-3l271,420r-4,-6l265,409r-2,-7l261,396r-1,-8l260,381r,l258,388r-1,7l256,402r-3,6l251,414r-3,6l243,424r-4,4l229,435r-10,5l207,443r-12,1l183,443r-12,-3l160,436r-9,-8l146,425r-4,-5l139,414r-4,-5l133,402r-2,-6l130,388r,-7l130,381r,7l129,395r-2,7l125,408r-4,6l118,420r-4,4l110,428r-10,7l89,440r-12,3l65,444,53,443,42,440,31,436,21,428r-4,-3l12,420,9,414,6,409,4,402,3,396,2,388,,381r,xe" fillcolor="#fabf8f [1945]" stroked="f">
                      <v:path arrowok="t" o:connecttype="custom" o:connectlocs="399485,25657;290281,86454;181635,108207;114775,87570;27301,133865;63516,193546;91932,199124;124804,199124;158234,196893;191663,200797;230665,196893;257409,201355;292510,191315;324268,201913;360483,189084;388341,201355;411742,199124;296410,47968;374970,47968;348226,47968;322596,47968;120347,25100;59059,25100;181635,56335;120347,56335;59059,56335;36215,223108;81346,216973;135390,216415;179963,223108;225093,216973;279138,216415;324268,223108;369398,216973;422885,216415;429014,227570;408956,245419;371069,238726;361041,220877;358812,224224;343769,242630;305324,243188;290281,224224;287495,220319;276909,238726;239022,245419;218964,228128;216179,216415;207821,236495;173277,247092;148762,230917;144862,212510;138176,234264;108646,247650;79117,234264;72431,212510;67417,230917;42901,247092;9472,237052;1114,216415" o:connectangles="0,0,0,0,0,0,0,0,0,0,0,0,0,0,0,0,0,0,0,0,0,0,0,0,0,0,0,0,0,0,0,0,0,0,0,0,0,0,0,0,0,0,0,0,0,0,0,0,0,0,0,0,0,0,0,0,0,0,0,0"/>
                      <o:lock v:ext="edit" verticies="t"/>
                    </v:shape>
                  </w:pict>
                </mc:Fallback>
              </mc:AlternateContent>
            </w:r>
          </w:p>
        </w:tc>
        <w:tc>
          <w:tcPr>
            <w:tcW w:w="2126" w:type="dxa"/>
          </w:tcPr>
          <w:p w14:paraId="44C78C1B"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Деталі поставки</w:t>
            </w:r>
          </w:p>
        </w:tc>
        <w:tc>
          <w:tcPr>
            <w:tcW w:w="6015" w:type="dxa"/>
          </w:tcPr>
          <w:p w14:paraId="3656B596" w14:textId="77777777" w:rsidR="00F17427" w:rsidRPr="007E5633" w:rsidRDefault="00F17427" w:rsidP="000A7BA9">
            <w:pPr>
              <w:pStyle w:val="Bullety"/>
              <w:numPr>
                <w:ilvl w:val="0"/>
                <w:numId w:val="0"/>
              </w:numPr>
              <w:rPr>
                <w:sz w:val="22"/>
                <w:szCs w:val="22"/>
                <w:highlight w:val="yellow"/>
                <w:lang w:val="uk-UA"/>
              </w:rPr>
            </w:pPr>
            <w:r w:rsidRPr="007E5633">
              <w:rPr>
                <w:sz w:val="22"/>
                <w:szCs w:val="22"/>
                <w:lang w:val="uk-UA"/>
              </w:rPr>
              <w:t>Код(и) EIC для пунктів доставки або ринків, Дата початку доставки, Дата закінчення доставки, Тривалість, Тип завантаження (база / пік / непік / блок годин), дні тижня доставки</w:t>
            </w:r>
          </w:p>
        </w:tc>
      </w:tr>
      <w:tr w:rsidR="00F17427" w:rsidRPr="007E5633" w14:paraId="1E69EFB2" w14:textId="77777777" w:rsidTr="00F17427">
        <w:trPr>
          <w:trHeight w:val="692"/>
        </w:trPr>
        <w:tc>
          <w:tcPr>
            <w:tcW w:w="1101" w:type="dxa"/>
            <w:shd w:val="clear" w:color="auto" w:fill="auto"/>
          </w:tcPr>
          <w:p w14:paraId="6B7B8DD0" w14:textId="77777777" w:rsidR="00F1742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784192" behindDoc="0" locked="0" layoutInCell="1" allowOverlap="1" wp14:anchorId="0E17430C" wp14:editId="2D73E6CC">
                      <wp:simplePos x="0" y="0"/>
                      <wp:positionH relativeFrom="column">
                        <wp:posOffset>43815</wp:posOffset>
                      </wp:positionH>
                      <wp:positionV relativeFrom="paragraph">
                        <wp:posOffset>8255</wp:posOffset>
                      </wp:positionV>
                      <wp:extent cx="313055" cy="295910"/>
                      <wp:effectExtent l="0" t="0" r="0" b="8890"/>
                      <wp:wrapNone/>
                      <wp:docPr id="323" name="Freeform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3055" cy="295910"/>
                              </a:xfrm>
                              <a:custGeom>
                                <a:avLst/>
                                <a:gdLst>
                                  <a:gd name="T0" fmla="*/ 254 w 360"/>
                                  <a:gd name="T1" fmla="*/ 120 h 340"/>
                                  <a:gd name="T2" fmla="*/ 188 w 360"/>
                                  <a:gd name="T3" fmla="*/ 102 h 340"/>
                                  <a:gd name="T4" fmla="*/ 190 w 360"/>
                                  <a:gd name="T5" fmla="*/ 92 h 340"/>
                                  <a:gd name="T6" fmla="*/ 166 w 360"/>
                                  <a:gd name="T7" fmla="*/ 18 h 340"/>
                                  <a:gd name="T8" fmla="*/ 154 w 360"/>
                                  <a:gd name="T9" fmla="*/ 12 h 340"/>
                                  <a:gd name="T10" fmla="*/ 146 w 360"/>
                                  <a:gd name="T11" fmla="*/ 20 h 340"/>
                                  <a:gd name="T12" fmla="*/ 120 w 360"/>
                                  <a:gd name="T13" fmla="*/ 146 h 340"/>
                                  <a:gd name="T14" fmla="*/ 78 w 360"/>
                                  <a:gd name="T15" fmla="*/ 130 h 340"/>
                                  <a:gd name="T16" fmla="*/ 76 w 360"/>
                                  <a:gd name="T17" fmla="*/ 120 h 340"/>
                                  <a:gd name="T18" fmla="*/ 144 w 360"/>
                                  <a:gd name="T19" fmla="*/ 4 h 340"/>
                                  <a:gd name="T20" fmla="*/ 146 w 360"/>
                                  <a:gd name="T21" fmla="*/ 2 h 340"/>
                                  <a:gd name="T22" fmla="*/ 146 w 360"/>
                                  <a:gd name="T23" fmla="*/ 0 h 340"/>
                                  <a:gd name="T24" fmla="*/ 148 w 360"/>
                                  <a:gd name="T25" fmla="*/ 0 h 340"/>
                                  <a:gd name="T26" fmla="*/ 214 w 360"/>
                                  <a:gd name="T27" fmla="*/ 0 h 340"/>
                                  <a:gd name="T28" fmla="*/ 264 w 360"/>
                                  <a:gd name="T29" fmla="*/ 48 h 340"/>
                                  <a:gd name="T30" fmla="*/ 274 w 360"/>
                                  <a:gd name="T31" fmla="*/ 50 h 340"/>
                                  <a:gd name="T32" fmla="*/ 360 w 360"/>
                                  <a:gd name="T33" fmla="*/ 254 h 340"/>
                                  <a:gd name="T34" fmla="*/ 360 w 360"/>
                                  <a:gd name="T35" fmla="*/ 252 h 340"/>
                                  <a:gd name="T36" fmla="*/ 292 w 360"/>
                                  <a:gd name="T37" fmla="*/ 134 h 340"/>
                                  <a:gd name="T38" fmla="*/ 250 w 360"/>
                                  <a:gd name="T39" fmla="*/ 150 h 340"/>
                                  <a:gd name="T40" fmla="*/ 294 w 360"/>
                                  <a:gd name="T41" fmla="*/ 240 h 340"/>
                                  <a:gd name="T42" fmla="*/ 344 w 360"/>
                                  <a:gd name="T43" fmla="*/ 244 h 340"/>
                                  <a:gd name="T44" fmla="*/ 346 w 360"/>
                                  <a:gd name="T45" fmla="*/ 256 h 340"/>
                                  <a:gd name="T46" fmla="*/ 306 w 360"/>
                                  <a:gd name="T47" fmla="*/ 264 h 340"/>
                                  <a:gd name="T48" fmla="*/ 260 w 360"/>
                                  <a:gd name="T49" fmla="*/ 248 h 340"/>
                                  <a:gd name="T50" fmla="*/ 252 w 360"/>
                                  <a:gd name="T51" fmla="*/ 240 h 340"/>
                                  <a:gd name="T52" fmla="*/ 204 w 360"/>
                                  <a:gd name="T53" fmla="*/ 290 h 340"/>
                                  <a:gd name="T54" fmla="*/ 254 w 360"/>
                                  <a:gd name="T55" fmla="*/ 340 h 340"/>
                                  <a:gd name="T56" fmla="*/ 260 w 360"/>
                                  <a:gd name="T57" fmla="*/ 336 h 340"/>
                                  <a:gd name="T58" fmla="*/ 322 w 360"/>
                                  <a:gd name="T59" fmla="*/ 316 h 340"/>
                                  <a:gd name="T60" fmla="*/ 360 w 360"/>
                                  <a:gd name="T61" fmla="*/ 260 h 340"/>
                                  <a:gd name="T62" fmla="*/ 360 w 360"/>
                                  <a:gd name="T63" fmla="*/ 256 h 340"/>
                                  <a:gd name="T64" fmla="*/ 360 w 360"/>
                                  <a:gd name="T65" fmla="*/ 256 h 340"/>
                                  <a:gd name="T66" fmla="*/ 80 w 360"/>
                                  <a:gd name="T67" fmla="*/ 264 h 340"/>
                                  <a:gd name="T68" fmla="*/ 48 w 360"/>
                                  <a:gd name="T69" fmla="*/ 306 h 340"/>
                                  <a:gd name="T70" fmla="*/ 40 w 360"/>
                                  <a:gd name="T71" fmla="*/ 302 h 340"/>
                                  <a:gd name="T72" fmla="*/ 54 w 360"/>
                                  <a:gd name="T73" fmla="*/ 264 h 340"/>
                                  <a:gd name="T74" fmla="*/ 90 w 360"/>
                                  <a:gd name="T75" fmla="*/ 234 h 340"/>
                                  <a:gd name="T76" fmla="*/ 102 w 360"/>
                                  <a:gd name="T77" fmla="*/ 230 h 340"/>
                                  <a:gd name="T78" fmla="*/ 82 w 360"/>
                                  <a:gd name="T79" fmla="*/ 162 h 340"/>
                                  <a:gd name="T80" fmla="*/ 14 w 360"/>
                                  <a:gd name="T81" fmla="*/ 180 h 340"/>
                                  <a:gd name="T82" fmla="*/ 14 w 360"/>
                                  <a:gd name="T83" fmla="*/ 188 h 340"/>
                                  <a:gd name="T84" fmla="*/ 0 w 360"/>
                                  <a:gd name="T85" fmla="*/ 252 h 340"/>
                                  <a:gd name="T86" fmla="*/ 32 w 360"/>
                                  <a:gd name="T87" fmla="*/ 312 h 340"/>
                                  <a:gd name="T88" fmla="*/ 32 w 360"/>
                                  <a:gd name="T89" fmla="*/ 314 h 340"/>
                                  <a:gd name="T90" fmla="*/ 34 w 360"/>
                                  <a:gd name="T91" fmla="*/ 316 h 340"/>
                                  <a:gd name="T92" fmla="*/ 36 w 360"/>
                                  <a:gd name="T93" fmla="*/ 316 h 340"/>
                                  <a:gd name="T94" fmla="*/ 172 w 360"/>
                                  <a:gd name="T95" fmla="*/ 316 h 340"/>
                                  <a:gd name="T96" fmla="*/ 180 w 360"/>
                                  <a:gd name="T97" fmla="*/ 308 h 340"/>
                                  <a:gd name="T98" fmla="*/ 172 w 360"/>
                                  <a:gd name="T99" fmla="*/ 26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0" h="340">
                                    <a:moveTo>
                                      <a:pt x="274" y="56"/>
                                    </a:moveTo>
                                    <a:lnTo>
                                      <a:pt x="258" y="116"/>
                                    </a:lnTo>
                                    <a:lnTo>
                                      <a:pt x="258" y="116"/>
                                    </a:lnTo>
                                    <a:lnTo>
                                      <a:pt x="254" y="120"/>
                                    </a:lnTo>
                                    <a:lnTo>
                                      <a:pt x="250" y="120"/>
                                    </a:lnTo>
                                    <a:lnTo>
                                      <a:pt x="190" y="104"/>
                                    </a:lnTo>
                                    <a:lnTo>
                                      <a:pt x="190" y="104"/>
                                    </a:lnTo>
                                    <a:lnTo>
                                      <a:pt x="188" y="102"/>
                                    </a:lnTo>
                                    <a:lnTo>
                                      <a:pt x="186" y="98"/>
                                    </a:lnTo>
                                    <a:lnTo>
                                      <a:pt x="186" y="98"/>
                                    </a:lnTo>
                                    <a:lnTo>
                                      <a:pt x="186" y="94"/>
                                    </a:lnTo>
                                    <a:lnTo>
                                      <a:pt x="190" y="92"/>
                                    </a:lnTo>
                                    <a:lnTo>
                                      <a:pt x="204" y="82"/>
                                    </a:lnTo>
                                    <a:lnTo>
                                      <a:pt x="180" y="42"/>
                                    </a:lnTo>
                                    <a:lnTo>
                                      <a:pt x="180" y="42"/>
                                    </a:lnTo>
                                    <a:lnTo>
                                      <a:pt x="166" y="18"/>
                                    </a:lnTo>
                                    <a:lnTo>
                                      <a:pt x="166" y="18"/>
                                    </a:lnTo>
                                    <a:lnTo>
                                      <a:pt x="164" y="14"/>
                                    </a:lnTo>
                                    <a:lnTo>
                                      <a:pt x="160" y="12"/>
                                    </a:lnTo>
                                    <a:lnTo>
                                      <a:pt x="154" y="12"/>
                                    </a:lnTo>
                                    <a:lnTo>
                                      <a:pt x="150" y="14"/>
                                    </a:lnTo>
                                    <a:lnTo>
                                      <a:pt x="150" y="14"/>
                                    </a:lnTo>
                                    <a:lnTo>
                                      <a:pt x="148" y="16"/>
                                    </a:lnTo>
                                    <a:lnTo>
                                      <a:pt x="146" y="20"/>
                                    </a:lnTo>
                                    <a:lnTo>
                                      <a:pt x="146" y="26"/>
                                    </a:lnTo>
                                    <a:lnTo>
                                      <a:pt x="146" y="30"/>
                                    </a:lnTo>
                                    <a:lnTo>
                                      <a:pt x="168" y="66"/>
                                    </a:lnTo>
                                    <a:lnTo>
                                      <a:pt x="120" y="146"/>
                                    </a:lnTo>
                                    <a:lnTo>
                                      <a:pt x="120" y="146"/>
                                    </a:lnTo>
                                    <a:lnTo>
                                      <a:pt x="116" y="150"/>
                                    </a:lnTo>
                                    <a:lnTo>
                                      <a:pt x="110" y="150"/>
                                    </a:lnTo>
                                    <a:lnTo>
                                      <a:pt x="78" y="130"/>
                                    </a:lnTo>
                                    <a:lnTo>
                                      <a:pt x="78" y="130"/>
                                    </a:lnTo>
                                    <a:lnTo>
                                      <a:pt x="76" y="126"/>
                                    </a:lnTo>
                                    <a:lnTo>
                                      <a:pt x="76" y="126"/>
                                    </a:lnTo>
                                    <a:lnTo>
                                      <a:pt x="76" y="120"/>
                                    </a:lnTo>
                                    <a:lnTo>
                                      <a:pt x="144" y="4"/>
                                    </a:lnTo>
                                    <a:lnTo>
                                      <a:pt x="144" y="4"/>
                                    </a:lnTo>
                                    <a:lnTo>
                                      <a:pt x="144" y="4"/>
                                    </a:lnTo>
                                    <a:lnTo>
                                      <a:pt x="144" y="4"/>
                                    </a:lnTo>
                                    <a:lnTo>
                                      <a:pt x="146" y="2"/>
                                    </a:lnTo>
                                    <a:lnTo>
                                      <a:pt x="146" y="2"/>
                                    </a:lnTo>
                                    <a:lnTo>
                                      <a:pt x="146" y="2"/>
                                    </a:lnTo>
                                    <a:lnTo>
                                      <a:pt x="146" y="2"/>
                                    </a:lnTo>
                                    <a:lnTo>
                                      <a:pt x="146" y="2"/>
                                    </a:lnTo>
                                    <a:lnTo>
                                      <a:pt x="146" y="2"/>
                                    </a:lnTo>
                                    <a:lnTo>
                                      <a:pt x="146" y="0"/>
                                    </a:lnTo>
                                    <a:lnTo>
                                      <a:pt x="146" y="0"/>
                                    </a:lnTo>
                                    <a:lnTo>
                                      <a:pt x="148" y="0"/>
                                    </a:lnTo>
                                    <a:lnTo>
                                      <a:pt x="148" y="0"/>
                                    </a:lnTo>
                                    <a:lnTo>
                                      <a:pt x="148" y="0"/>
                                    </a:lnTo>
                                    <a:lnTo>
                                      <a:pt x="148" y="0"/>
                                    </a:lnTo>
                                    <a:lnTo>
                                      <a:pt x="150" y="0"/>
                                    </a:lnTo>
                                    <a:lnTo>
                                      <a:pt x="210" y="0"/>
                                    </a:lnTo>
                                    <a:lnTo>
                                      <a:pt x="210" y="0"/>
                                    </a:lnTo>
                                    <a:lnTo>
                                      <a:pt x="214" y="0"/>
                                    </a:lnTo>
                                    <a:lnTo>
                                      <a:pt x="218" y="4"/>
                                    </a:lnTo>
                                    <a:lnTo>
                                      <a:pt x="248" y="58"/>
                                    </a:lnTo>
                                    <a:lnTo>
                                      <a:pt x="264" y="48"/>
                                    </a:lnTo>
                                    <a:lnTo>
                                      <a:pt x="264" y="48"/>
                                    </a:lnTo>
                                    <a:lnTo>
                                      <a:pt x="268" y="48"/>
                                    </a:lnTo>
                                    <a:lnTo>
                                      <a:pt x="272" y="48"/>
                                    </a:lnTo>
                                    <a:lnTo>
                                      <a:pt x="272" y="48"/>
                                    </a:lnTo>
                                    <a:lnTo>
                                      <a:pt x="274" y="50"/>
                                    </a:lnTo>
                                    <a:lnTo>
                                      <a:pt x="274" y="50"/>
                                    </a:lnTo>
                                    <a:lnTo>
                                      <a:pt x="274" y="56"/>
                                    </a:lnTo>
                                    <a:lnTo>
                                      <a:pt x="274" y="56"/>
                                    </a:lnTo>
                                    <a:close/>
                                    <a:moveTo>
                                      <a:pt x="360" y="254"/>
                                    </a:moveTo>
                                    <a:lnTo>
                                      <a:pt x="360" y="254"/>
                                    </a:lnTo>
                                    <a:lnTo>
                                      <a:pt x="360" y="254"/>
                                    </a:lnTo>
                                    <a:lnTo>
                                      <a:pt x="360" y="254"/>
                                    </a:lnTo>
                                    <a:lnTo>
                                      <a:pt x="360" y="252"/>
                                    </a:lnTo>
                                    <a:lnTo>
                                      <a:pt x="360" y="252"/>
                                    </a:lnTo>
                                    <a:lnTo>
                                      <a:pt x="360" y="252"/>
                                    </a:lnTo>
                                    <a:lnTo>
                                      <a:pt x="292" y="134"/>
                                    </a:lnTo>
                                    <a:lnTo>
                                      <a:pt x="292" y="134"/>
                                    </a:lnTo>
                                    <a:lnTo>
                                      <a:pt x="286" y="132"/>
                                    </a:lnTo>
                                    <a:lnTo>
                                      <a:pt x="286" y="132"/>
                                    </a:lnTo>
                                    <a:lnTo>
                                      <a:pt x="282" y="132"/>
                                    </a:lnTo>
                                    <a:lnTo>
                                      <a:pt x="250" y="150"/>
                                    </a:lnTo>
                                    <a:lnTo>
                                      <a:pt x="250" y="150"/>
                                    </a:lnTo>
                                    <a:lnTo>
                                      <a:pt x="246" y="154"/>
                                    </a:lnTo>
                                    <a:lnTo>
                                      <a:pt x="246" y="160"/>
                                    </a:lnTo>
                                    <a:lnTo>
                                      <a:pt x="294" y="240"/>
                                    </a:lnTo>
                                    <a:lnTo>
                                      <a:pt x="336" y="240"/>
                                    </a:lnTo>
                                    <a:lnTo>
                                      <a:pt x="336" y="240"/>
                                    </a:lnTo>
                                    <a:lnTo>
                                      <a:pt x="340" y="242"/>
                                    </a:lnTo>
                                    <a:lnTo>
                                      <a:pt x="344" y="244"/>
                                    </a:lnTo>
                                    <a:lnTo>
                                      <a:pt x="346" y="248"/>
                                    </a:lnTo>
                                    <a:lnTo>
                                      <a:pt x="346" y="252"/>
                                    </a:lnTo>
                                    <a:lnTo>
                                      <a:pt x="346" y="252"/>
                                    </a:lnTo>
                                    <a:lnTo>
                                      <a:pt x="346" y="256"/>
                                    </a:lnTo>
                                    <a:lnTo>
                                      <a:pt x="344" y="260"/>
                                    </a:lnTo>
                                    <a:lnTo>
                                      <a:pt x="340" y="262"/>
                                    </a:lnTo>
                                    <a:lnTo>
                                      <a:pt x="336" y="264"/>
                                    </a:lnTo>
                                    <a:lnTo>
                                      <a:pt x="306" y="264"/>
                                    </a:lnTo>
                                    <a:lnTo>
                                      <a:pt x="306" y="264"/>
                                    </a:lnTo>
                                    <a:lnTo>
                                      <a:pt x="260" y="264"/>
                                    </a:lnTo>
                                    <a:lnTo>
                                      <a:pt x="260" y="248"/>
                                    </a:lnTo>
                                    <a:lnTo>
                                      <a:pt x="260" y="248"/>
                                    </a:lnTo>
                                    <a:lnTo>
                                      <a:pt x="260" y="242"/>
                                    </a:lnTo>
                                    <a:lnTo>
                                      <a:pt x="256" y="240"/>
                                    </a:lnTo>
                                    <a:lnTo>
                                      <a:pt x="256" y="240"/>
                                    </a:lnTo>
                                    <a:lnTo>
                                      <a:pt x="252" y="240"/>
                                    </a:lnTo>
                                    <a:lnTo>
                                      <a:pt x="248" y="242"/>
                                    </a:lnTo>
                                    <a:lnTo>
                                      <a:pt x="206" y="284"/>
                                    </a:lnTo>
                                    <a:lnTo>
                                      <a:pt x="206" y="284"/>
                                    </a:lnTo>
                                    <a:lnTo>
                                      <a:pt x="204" y="290"/>
                                    </a:lnTo>
                                    <a:lnTo>
                                      <a:pt x="206" y="296"/>
                                    </a:lnTo>
                                    <a:lnTo>
                                      <a:pt x="248" y="338"/>
                                    </a:lnTo>
                                    <a:lnTo>
                                      <a:pt x="248" y="338"/>
                                    </a:lnTo>
                                    <a:lnTo>
                                      <a:pt x="254" y="340"/>
                                    </a:lnTo>
                                    <a:lnTo>
                                      <a:pt x="254" y="340"/>
                                    </a:lnTo>
                                    <a:lnTo>
                                      <a:pt x="256" y="340"/>
                                    </a:lnTo>
                                    <a:lnTo>
                                      <a:pt x="256" y="340"/>
                                    </a:lnTo>
                                    <a:lnTo>
                                      <a:pt x="260" y="336"/>
                                    </a:lnTo>
                                    <a:lnTo>
                                      <a:pt x="260" y="332"/>
                                    </a:lnTo>
                                    <a:lnTo>
                                      <a:pt x="260" y="316"/>
                                    </a:lnTo>
                                    <a:lnTo>
                                      <a:pt x="322" y="316"/>
                                    </a:lnTo>
                                    <a:lnTo>
                                      <a:pt x="322" y="316"/>
                                    </a:lnTo>
                                    <a:lnTo>
                                      <a:pt x="326" y="314"/>
                                    </a:lnTo>
                                    <a:lnTo>
                                      <a:pt x="328" y="312"/>
                                    </a:lnTo>
                                    <a:lnTo>
                                      <a:pt x="360" y="260"/>
                                    </a:lnTo>
                                    <a:lnTo>
                                      <a:pt x="360" y="260"/>
                                    </a:lnTo>
                                    <a:lnTo>
                                      <a:pt x="360" y="258"/>
                                    </a:lnTo>
                                    <a:lnTo>
                                      <a:pt x="360" y="258"/>
                                    </a:lnTo>
                                    <a:lnTo>
                                      <a:pt x="360" y="256"/>
                                    </a:lnTo>
                                    <a:lnTo>
                                      <a:pt x="360" y="256"/>
                                    </a:lnTo>
                                    <a:lnTo>
                                      <a:pt x="360" y="256"/>
                                    </a:lnTo>
                                    <a:lnTo>
                                      <a:pt x="360" y="256"/>
                                    </a:lnTo>
                                    <a:lnTo>
                                      <a:pt x="360" y="256"/>
                                    </a:lnTo>
                                    <a:lnTo>
                                      <a:pt x="360" y="256"/>
                                    </a:lnTo>
                                    <a:lnTo>
                                      <a:pt x="360" y="254"/>
                                    </a:lnTo>
                                    <a:lnTo>
                                      <a:pt x="360" y="254"/>
                                    </a:lnTo>
                                    <a:close/>
                                    <a:moveTo>
                                      <a:pt x="172" y="264"/>
                                    </a:moveTo>
                                    <a:lnTo>
                                      <a:pt x="80" y="264"/>
                                    </a:lnTo>
                                    <a:lnTo>
                                      <a:pt x="58" y="300"/>
                                    </a:lnTo>
                                    <a:lnTo>
                                      <a:pt x="58" y="300"/>
                                    </a:lnTo>
                                    <a:lnTo>
                                      <a:pt x="54" y="304"/>
                                    </a:lnTo>
                                    <a:lnTo>
                                      <a:pt x="48" y="306"/>
                                    </a:lnTo>
                                    <a:lnTo>
                                      <a:pt x="48" y="306"/>
                                    </a:lnTo>
                                    <a:lnTo>
                                      <a:pt x="44" y="304"/>
                                    </a:lnTo>
                                    <a:lnTo>
                                      <a:pt x="44" y="304"/>
                                    </a:lnTo>
                                    <a:lnTo>
                                      <a:pt x="40" y="302"/>
                                    </a:lnTo>
                                    <a:lnTo>
                                      <a:pt x="38" y="298"/>
                                    </a:lnTo>
                                    <a:lnTo>
                                      <a:pt x="38" y="294"/>
                                    </a:lnTo>
                                    <a:lnTo>
                                      <a:pt x="38" y="290"/>
                                    </a:lnTo>
                                    <a:lnTo>
                                      <a:pt x="54" y="264"/>
                                    </a:lnTo>
                                    <a:lnTo>
                                      <a:pt x="54" y="264"/>
                                    </a:lnTo>
                                    <a:lnTo>
                                      <a:pt x="76" y="224"/>
                                    </a:lnTo>
                                    <a:lnTo>
                                      <a:pt x="90" y="234"/>
                                    </a:lnTo>
                                    <a:lnTo>
                                      <a:pt x="90" y="234"/>
                                    </a:lnTo>
                                    <a:lnTo>
                                      <a:pt x="94" y="234"/>
                                    </a:lnTo>
                                    <a:lnTo>
                                      <a:pt x="98" y="232"/>
                                    </a:lnTo>
                                    <a:lnTo>
                                      <a:pt x="98" y="232"/>
                                    </a:lnTo>
                                    <a:lnTo>
                                      <a:pt x="102" y="230"/>
                                    </a:lnTo>
                                    <a:lnTo>
                                      <a:pt x="102" y="224"/>
                                    </a:lnTo>
                                    <a:lnTo>
                                      <a:pt x="86" y="166"/>
                                    </a:lnTo>
                                    <a:lnTo>
                                      <a:pt x="86" y="166"/>
                                    </a:lnTo>
                                    <a:lnTo>
                                      <a:pt x="82" y="162"/>
                                    </a:lnTo>
                                    <a:lnTo>
                                      <a:pt x="76" y="162"/>
                                    </a:lnTo>
                                    <a:lnTo>
                                      <a:pt x="18" y="176"/>
                                    </a:lnTo>
                                    <a:lnTo>
                                      <a:pt x="18" y="176"/>
                                    </a:lnTo>
                                    <a:lnTo>
                                      <a:pt x="14" y="180"/>
                                    </a:lnTo>
                                    <a:lnTo>
                                      <a:pt x="14" y="180"/>
                                    </a:lnTo>
                                    <a:lnTo>
                                      <a:pt x="14" y="184"/>
                                    </a:lnTo>
                                    <a:lnTo>
                                      <a:pt x="14" y="184"/>
                                    </a:lnTo>
                                    <a:lnTo>
                                      <a:pt x="14" y="188"/>
                                    </a:lnTo>
                                    <a:lnTo>
                                      <a:pt x="16" y="190"/>
                                    </a:lnTo>
                                    <a:lnTo>
                                      <a:pt x="32" y="200"/>
                                    </a:lnTo>
                                    <a:lnTo>
                                      <a:pt x="0" y="252"/>
                                    </a:lnTo>
                                    <a:lnTo>
                                      <a:pt x="0" y="252"/>
                                    </a:lnTo>
                                    <a:lnTo>
                                      <a:pt x="0" y="256"/>
                                    </a:lnTo>
                                    <a:lnTo>
                                      <a:pt x="0" y="260"/>
                                    </a:lnTo>
                                    <a:lnTo>
                                      <a:pt x="32" y="312"/>
                                    </a:lnTo>
                                    <a:lnTo>
                                      <a:pt x="32" y="312"/>
                                    </a:lnTo>
                                    <a:lnTo>
                                      <a:pt x="32" y="314"/>
                                    </a:lnTo>
                                    <a:lnTo>
                                      <a:pt x="32" y="314"/>
                                    </a:lnTo>
                                    <a:lnTo>
                                      <a:pt x="32" y="314"/>
                                    </a:lnTo>
                                    <a:lnTo>
                                      <a:pt x="32" y="314"/>
                                    </a:lnTo>
                                    <a:lnTo>
                                      <a:pt x="34" y="314"/>
                                    </a:lnTo>
                                    <a:lnTo>
                                      <a:pt x="34" y="314"/>
                                    </a:lnTo>
                                    <a:lnTo>
                                      <a:pt x="34" y="316"/>
                                    </a:lnTo>
                                    <a:lnTo>
                                      <a:pt x="34" y="316"/>
                                    </a:lnTo>
                                    <a:lnTo>
                                      <a:pt x="36" y="316"/>
                                    </a:lnTo>
                                    <a:lnTo>
                                      <a:pt x="36" y="316"/>
                                    </a:lnTo>
                                    <a:lnTo>
                                      <a:pt x="36" y="316"/>
                                    </a:lnTo>
                                    <a:lnTo>
                                      <a:pt x="36" y="316"/>
                                    </a:lnTo>
                                    <a:lnTo>
                                      <a:pt x="38" y="316"/>
                                    </a:lnTo>
                                    <a:lnTo>
                                      <a:pt x="38" y="316"/>
                                    </a:lnTo>
                                    <a:lnTo>
                                      <a:pt x="38" y="316"/>
                                    </a:lnTo>
                                    <a:lnTo>
                                      <a:pt x="172" y="316"/>
                                    </a:lnTo>
                                    <a:lnTo>
                                      <a:pt x="172" y="316"/>
                                    </a:lnTo>
                                    <a:lnTo>
                                      <a:pt x="178" y="314"/>
                                    </a:lnTo>
                                    <a:lnTo>
                                      <a:pt x="178" y="314"/>
                                    </a:lnTo>
                                    <a:lnTo>
                                      <a:pt x="180" y="308"/>
                                    </a:lnTo>
                                    <a:lnTo>
                                      <a:pt x="180" y="272"/>
                                    </a:lnTo>
                                    <a:lnTo>
                                      <a:pt x="180" y="272"/>
                                    </a:lnTo>
                                    <a:lnTo>
                                      <a:pt x="178" y="266"/>
                                    </a:lnTo>
                                    <a:lnTo>
                                      <a:pt x="172" y="264"/>
                                    </a:lnTo>
                                    <a:lnTo>
                                      <a:pt x="172" y="264"/>
                                    </a:lnTo>
                                    <a:close/>
                                  </a:path>
                                </a:pathLst>
                              </a:custGeom>
                              <a:solidFill>
                                <a:schemeClr val="accent6">
                                  <a:lumMod val="60000"/>
                                  <a:lumOff val="40000"/>
                                </a:schemeClr>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D0DB9" id="Freeform 4927" o:spid="_x0000_s1026" style="position:absolute;margin-left:3.45pt;margin-top:.65pt;width:24.65pt;height:2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kh8gkAALA7AAAOAAAAZHJzL2Uyb0RvYy54bWzMW9uO2zgSfV9g/0Hw4wAbm5QsX5DOPGQ2&#10;iwWyMwHSg3lWy3JsrC15JfUl+/VziiyqqY546YF3J3mIb6dLdU4VqSpSfPvj0/mUPFRtd2zqm5l4&#10;s5glVV02u2P95Wb26+2Hv61nSdcX9a44NXV1M/tadbMf3/31L28fL9tKNofmtKvaBEbqbvt4uZkd&#10;+v6ync+78lCdi+5Nc6lq/Lhv2nPR42P7Zb5ri0dYP5/mcrHI549Nu7u0TVl1Hb79Sf84e6fs7/dV&#10;2f+y33dVn5xuZvCtV/+36v87+n/+7m2x/dIWl8OxZDeKP+DFuTjWuOhg6qeiL5L79viNqfOxbJuu&#10;2fdvyuY8b/b7Y1kpDmAjFi/YfD4Ul0pxgTjdZZCpu57Z8ueHT21y3N3MUpnOkro4I0gf2qoiyZNs&#10;I1ck0eOl2wL5+fKpJZLd5WNT/rtL6ubvu2P/qTnWPVwShJyPoPShwx8ld4//anawXNz3jdLpad+e&#10;yRQUSJ5UOL4O4aie+qTEl6lIF8vlLCnxk9wsN0KFa15szR+X913/j6pRhoqHj12vo7nDOxWLHfO5&#10;ReT35xMC+8M8kcsseUzS3MR+AAkLJOQiOSRp9g1I2qD1etoShBwuJxZy2lJmgzaLaUtgP1jaOAzl&#10;Fkbk+bShlQ1aT3uEoTpcTLhU2tggh0cIlGUpc7gkbMFdeouR4EBNh26kOC44GTthS75yxE7YkiMB&#10;HaZs0VcugiPRnQxHsmeu5LR1z6adklGyy5HsDksj1V0BpAljSBiHUNLWXGQO0aUtusuSLbkUDp0w&#10;X4V9shWXucvSSHHHkEltyeXKYSq1JV86+KW25piepjM9tTWnqWwy01NbdbctW3W5dAzmdKQ7JqHJ&#10;EZjauovU5ddIeSgxbctWXrj0wtz8HGm5cUif2dLLzKF9NtLeNQazkfZATWqfjbR3jZ1srL1jxsps&#10;7dOFY57JbO0pn6f9Gmnvyq/M1l5ivE7aWo60R+ZMxnEZpf3S1l4uHHFcjrTH7XLaL1t7542eaoph&#10;3sI93mHL1l669Fra2qepI45LW/tUuvSytU+FwxYKF8t7l1/5SHugJvXKbe2d80Q+0n7p8svW3m3L&#10;1l46bdnarx3TRG5L70z73Jbedf/JR8pjnE2qtbKVR9pMJv3KFj51FX8rW3hXqbUa6e4a1ytbd1cd&#10;uRrJ7pqeV7bsVLhOMxzp7qqQVrbua5cpW3eRO+5Aa1t3141/besukDOTIVzbujtN2boLFPnTpmzd&#10;HcmwHsnuusOubdlTh1RrW/VUuKSyVXeaslVPocIkv42tOjJmMhc2turOKWtjq445ctqUrbrblK26&#10;WDnE2ti6u23ZulPKTPs1En7hyIaNLbzbL1v50ZSFrvaL6VuLg2lly6eae1m8SwpaU1mo9vnSdNQ2&#10;U2OL5vhWt97FFihqfB1gRIHAqerTQ2DoTOBlFBhCElitFYCJ3w0oReBNlGVqJQmNZpFWF0K2qV1U&#10;8DiS1BEqeBxNwTxFHFHBTEUcVWrfyBk0aDFUJVNFFxYFZ6potaLgTFWv/wR1l0xVxlGltomoojGK&#10;cYZaIwWPo0rdj4LHUaUGR8Hjopoy1TSOKrUpZB2NSAxV6kQUPI4qNRsKHkeV+gkFj6OaMVU0BTG+&#10;U1dA1lH3R8GZKkr7KDhTRfUeBWeqKNCj4Ex1GUeVinCiijI7xjrV2QoeRzVnqnkc1ZypoiCOcoap&#10;ouiNgVPVS76jsI2CM1UUr1FwpooCNQrOVFdxVKkIVb7HUaVCk+CoJWOcoWJSweOorpkqisIo60wV&#10;hV8UnKmu46hSdUe+o4CLsU4VnILHUd0wVdRhUdaZ6iaOKtVaypkRVX2P4nKpxcbPyy2fdpZgy+eO&#10;PCq2l6KnKsu8TR6x3UCD+oBXTNn0/bl5qG4bheip2MLynrruMmdSz4BTPQJSuw8HBeoFTd/8bl4v&#10;2mA0Tl8YmxIBezqoIZzg4ItF5rUXjVsz34X026NGB7ogfj5ZxCthcSSQwb6LYuFJ+YYx7YOhS1Aw&#10;3KavAeOZG4Wi11osjNMkIAjfu1Aqey+6NEkXgHHOBS7KtQEKbu9FueIIDBzBdUxgPAww/zA0MBSl&#10;Xt9oJQnZi2B4YVzGk9Wr4LjpwDq43x53SiEc3xKxs+U1FwvTI1pIP1laWKIJMRbm901w1RvKJZ3A&#10;/0+UphkYWCZ5vfqbpPxebYUipJUIofSI+u5QPFn5/ZI84K6D0rkasqX18mc0Nm3UYENx4Zt/sPqk&#10;72RXgrFrAWu07o2JAC56fYuFaQqBmXGo2wLqvizvTLFmXrloc8HKU9NVYPVt4agKS7DGhhTTdlWO&#10;3yLNxc2rduJ/h/PPN8/XvQ5Ocl+BDWN/QsTiuHQUWDHyJlg0Tudr0J4pb0KpGIvjewSewvHzMDjU&#10;dF6+3JBhA9yLwwamGp9Xw/HqlwzUyynf0SVefTxSc+8MTCADDpvLUfaicf46Z+ARiAe1mDQPSiwM&#10;ef0z8cBk7cUtOG5XwmG7m/3zX3fABeLxepxfF2wcR+VpPE6P81Dem3trKJ+liQfWfHxxi8fpO51E&#10;5x5lb+PPU8MjxWK21x7XEkEcN4v8wCSWYsz9yryaFQ/NI4zT8b0ajvOZ5jcv3wEXyD+DCzSqeNRD&#10;5Sm2IL3XjcexLoE+OuX9GOwT+687jHN/Xg33feB9+g24QPH5elxAP8NjWJszeWdeX9ZN37s9/7zx&#10;rN9LnLsKxab0izndVYXyGhd1CL5g8+pluvDnRCyMZ4bAmqSZkDDB+nyLhUVeNBKmb5p46MfrG28g&#10;ysAy6ADzR2GABaKgKQRjGgfj9RyJp3t9UeB1Zhmo7mNh7FvImu5EZaAF4E2EEAxPQelRE1gvG3AB&#10;SUzjEVhFjIVp5/DklDcOZvktAOPnFQTgvqjGwnS4aMXca+2VMH/G8QMdIlB3DTB/+WOWXgNVFz+e&#10;gONIXqZcUgdajdeh/JEyRbzfL3Y/WCuYUsafa4M1f6D+HJjONTzy5g0UPz8SDfMHYbAWgJnK7nuE&#10;6Sk1WMVeFWbqldBV43HGPX/0BW99hMJvtgLTRWASMeUU6i/vRBiLY/9k4BZidAnd8t04U0uinaPt&#10;cvX43bBvTtvt1vG7rjkddx+OpxMtgKrTm9X7U5s8FDh3WZRlVfe52lQ/3Z9xElB/ny/wjzRBu3h/&#10;xjlN/XVmvsYlBkvq4qOLnNSjjnVDFzW6kimcHtSPT6qjiHT6UJ9fvGt2X3ESEWdVcQj00LT/nSWP&#10;OPd5M+v+c1+01Sw5/bPGKcYNdpcwb/bqQ7Zc0XZea/9yZ/9S35/fN6CIx2CLuoTVm1lv3r7v9TlT&#10;HPSEah/rz5eSgOTjpe3626ffivaS0Fv8Ebz+uTHnPYutOc1I0g9YPl2pifAHHAtV0vARVjp3an9W&#10;qOeDtu9+BwAA//8DAFBLAwQUAAYACAAAACEA2rA5s9kAAAAFAQAADwAAAGRycy9kb3ducmV2Lnht&#10;bEyOTU7DMBCF90jcwRokdtQhoaFN41SoAhasoO0BpvE0iYhnotht09tjVrB8P3rvK9eT69WZRt8J&#10;G3icJaCIa7EdNwb2u7eHBSgfkC32wmTgSh7W1e1NiYWVC3/ReRsaFUfYF2igDWEotPZ1Sw79TAbi&#10;mB1ldBiiHBttR7zEcdfrNEly7bDj+NDiQJuW6u/tyRn4cNnrp3Bvs70s5pjuNu9Brsbc300vK1CB&#10;pvBXhl/8iA5VZDrIia1XvYF8GYvRzkDFdJ6noA4Gnp6XoKtS/6evfgAAAP//AwBQSwECLQAUAAYA&#10;CAAAACEAtoM4kv4AAADhAQAAEwAAAAAAAAAAAAAAAAAAAAAAW0NvbnRlbnRfVHlwZXNdLnhtbFBL&#10;AQItABQABgAIAAAAIQA4/SH/1gAAAJQBAAALAAAAAAAAAAAAAAAAAC8BAABfcmVscy8ucmVsc1BL&#10;AQItABQABgAIAAAAIQBdCzkh8gkAALA7AAAOAAAAAAAAAAAAAAAAAC4CAABkcnMvZTJvRG9jLnht&#10;bFBLAQItABQABgAIAAAAIQDasDmz2QAAAAUBAAAPAAAAAAAAAAAAAAAAAEwMAABkcnMvZG93bnJl&#10;di54bWxQSwUGAAAAAAQABADzAAAAUg0AAAAA&#10;" path="m274,56r-16,60l258,116r-4,4l250,120,190,104r,l188,102r-2,-4l186,98r,-4l190,92,204,82,180,42r,l166,18r,l164,14r-4,-2l154,12r-4,2l150,14r-2,2l146,20r,6l146,30r22,36l120,146r,l116,150r-6,l78,130r,l76,126r,l76,120,144,4r,l144,4r,l146,2r,l146,2r,l146,2r,l146,r,l148,r,l148,r,l150,r60,l210,r4,l218,4r30,54l264,48r,l268,48r4,l272,48r2,2l274,50r,6l274,56xm360,254r,l360,254r,l360,252r,l360,252,292,134r,l286,132r,l282,132r-32,18l250,150r-4,4l246,160r48,80l336,240r,l340,242r4,2l346,248r,4l346,252r,4l344,260r-4,2l336,264r-30,l306,264r-46,l260,248r,l260,242r-4,-2l256,240r-4,l248,242r-42,42l206,284r-2,6l206,296r42,42l248,338r6,2l254,340r2,l256,340r4,-4l260,332r,-16l322,316r,l326,314r2,-2l360,260r,l360,258r,l360,256r,l360,256r,l360,256r,l360,254r,xm172,264r-92,l58,300r,l54,304r-6,2l48,306r-4,-2l44,304r-4,-2l38,298r,-4l38,290,54,264r,l76,224r14,10l90,234r4,l98,232r,l102,230r,-6l86,166r,l82,162r-6,l18,176r,l14,180r,l14,184r,l14,188r2,2l32,200,,252r,l,256r,4l32,312r,l32,314r,l32,314r,l34,314r,l34,316r,l36,316r,l36,316r,l38,316r,l38,316r134,l172,316r6,-2l178,314r2,-6l180,272r,l178,266r-6,-2l172,264xe" fillcolor="#fabf8f [1945]" stroked="f">
                      <v:path arrowok="t" o:connecttype="custom" o:connectlocs="220878,104439;163484,88773;165223,80070;144353,15666;133918,10444;126961,17406;104352,127067;67829,113142;66089,104439;125222,3481;126961,1741;126961,0;128700,0;186094,0;229574,41776;238270,43516;313055,221062;313055,219322;253922,116623;217399,130549;255662,208878;299141,212359;300881,222803;266097,229765;226095,215840;219139,208878;177398,252394;220878,295910;226095,292429;280010,275022;313055,226284;313055,222803;313055,222803;69568,229765;41741,266319;34784,262838;46958,229765;78264,203656;88699,200174;71307,140992;12174,156658;12174,163621;0,219322;27827,271541;27827,273282;29566,275022;31306,275022;149571,275022;156528,268060;149571,229765" o:connectangles="0,0,0,0,0,0,0,0,0,0,0,0,0,0,0,0,0,0,0,0,0,0,0,0,0,0,0,0,0,0,0,0,0,0,0,0,0,0,0,0,0,0,0,0,0,0,0,0,0,0"/>
                      <o:lock v:ext="edit" verticies="t"/>
                    </v:shape>
                  </w:pict>
                </mc:Fallback>
              </mc:AlternateContent>
            </w:r>
          </w:p>
        </w:tc>
        <w:tc>
          <w:tcPr>
            <w:tcW w:w="2126" w:type="dxa"/>
          </w:tcPr>
          <w:p w14:paraId="7DFC4332" w14:textId="77777777" w:rsidR="00F17427" w:rsidRPr="007E5633" w:rsidRDefault="00F1742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Інформація про життєвий цикл</w:t>
            </w:r>
          </w:p>
        </w:tc>
        <w:tc>
          <w:tcPr>
            <w:tcW w:w="6015" w:type="dxa"/>
          </w:tcPr>
          <w:p w14:paraId="51AABEE3" w14:textId="77777777" w:rsidR="00F17427" w:rsidRPr="007E5633" w:rsidRDefault="00F17427" w:rsidP="000A7BA9">
            <w:pPr>
              <w:rPr>
                <w:rFonts w:ascii="Arial" w:hAnsi="Arial" w:cs="Arial"/>
                <w:highlight w:val="yellow"/>
                <w:lang w:val="uk-UA"/>
              </w:rPr>
            </w:pPr>
            <w:r w:rsidRPr="007E5633">
              <w:rPr>
                <w:rFonts w:ascii="Arial" w:hAnsi="Arial" w:cs="Arial"/>
                <w:lang w:val="uk-UA"/>
              </w:rPr>
              <w:t>Тип дії/операції (нова / зміна / помилка / скасування)</w:t>
            </w:r>
          </w:p>
        </w:tc>
      </w:tr>
    </w:tbl>
    <w:p w14:paraId="611D4259" w14:textId="77777777" w:rsidR="00F17427" w:rsidRPr="007E5633" w:rsidRDefault="00F17427" w:rsidP="00F17427">
      <w:pPr>
        <w:pStyle w:val="af4"/>
        <w:rPr>
          <w:sz w:val="22"/>
          <w:szCs w:val="22"/>
          <w:lang w:val="uk-UA"/>
        </w:rPr>
      </w:pPr>
      <w:r w:rsidRPr="007E5633">
        <w:rPr>
          <w:sz w:val="22"/>
          <w:szCs w:val="22"/>
          <w:lang w:val="uk-UA"/>
        </w:rPr>
        <w:t>Крім того, у Статті 8 (5) REMIT вимагається, щоб учасники ринку звітували Агентству та Національному регулюючому органу (NRA) щодо інформації про потужність та використання об'єктів виробництва, зберігання, споживання або передачі електроенергії або природного газу та використання потужностей СПГ, включаючи планову або незаплановану недоступність цих об'єктів ("основні дані").</w:t>
      </w:r>
    </w:p>
    <w:p w14:paraId="3A87437F" w14:textId="77777777" w:rsidR="00F17427" w:rsidRPr="007E5633" w:rsidRDefault="00F17427" w:rsidP="00F17427">
      <w:pPr>
        <w:pStyle w:val="af4"/>
        <w:rPr>
          <w:sz w:val="22"/>
          <w:szCs w:val="22"/>
          <w:lang w:val="uk-UA"/>
        </w:rPr>
      </w:pPr>
      <w:r w:rsidRPr="007E5633">
        <w:rPr>
          <w:sz w:val="22"/>
          <w:szCs w:val="22"/>
          <w:lang w:val="uk-UA"/>
        </w:rPr>
        <w:t>ENTSO (Європейська мережа операторів системи передачі електроенергії) від імені учасників ринку надає Агентству інформацію про потужність та використання об'єктів для виробництва, споживання та передачі електроенергії, включаючи планову та незаплановану недоступність цих об'єктів. Основні дані повинні бути передані Агентству, як тільки вони будуть доступні на центральній платформі інформаційної прозорості.</w:t>
      </w:r>
    </w:p>
    <w:p w14:paraId="72353FF1" w14:textId="77777777" w:rsidR="00F17427" w:rsidRPr="007E5633" w:rsidRDefault="00F17427" w:rsidP="00F17427">
      <w:pPr>
        <w:pStyle w:val="af4"/>
        <w:rPr>
          <w:sz w:val="22"/>
          <w:szCs w:val="22"/>
          <w:lang w:val="uk-UA"/>
        </w:rPr>
      </w:pPr>
      <w:r w:rsidRPr="007E5633">
        <w:rPr>
          <w:sz w:val="22"/>
          <w:szCs w:val="22"/>
          <w:lang w:val="uk-UA"/>
        </w:rPr>
        <w:t>Що стосується звітності основних даних про газ, то співвідношення звітності є аналогічним, тобто ENTSO по Газу від імені учасників ринку надає Агентству інформацію про потужність та використання об'єктів для передачі природного газу, включаючи планову та непередбачувану недоступність цих об'єктів. Ця інформація повинна бути надана Агентству без затримок.</w:t>
      </w:r>
    </w:p>
    <w:p w14:paraId="7FE2F476" w14:textId="77777777" w:rsidR="00F17427" w:rsidRPr="007E5633" w:rsidRDefault="00F17427" w:rsidP="00F17427">
      <w:pPr>
        <w:pStyle w:val="af4"/>
        <w:rPr>
          <w:sz w:val="22"/>
          <w:szCs w:val="22"/>
          <w:lang w:val="uk-UA"/>
        </w:rPr>
      </w:pPr>
      <w:r w:rsidRPr="007E5633">
        <w:rPr>
          <w:sz w:val="22"/>
          <w:szCs w:val="22"/>
          <w:lang w:val="uk-UA"/>
        </w:rPr>
        <w:t>Крім того, TSOs для газу та електроенергії мають подавати до ACER (та для NRA, якщо вони про це просять), усі кінцеві номінації (на електричну енергію) або номінації на наступний день, а також остаточні ре-номінації (для газу) разом із запланованими кількостями / виділеними (розподіленими) обсягами та інформацією про учасників ринку.</w:t>
      </w:r>
    </w:p>
    <w:p w14:paraId="40C95312" w14:textId="77777777" w:rsidR="00F17427" w:rsidRPr="007E5633" w:rsidRDefault="00F17427" w:rsidP="00F17427">
      <w:pPr>
        <w:pStyle w:val="af4"/>
        <w:rPr>
          <w:sz w:val="22"/>
          <w:szCs w:val="22"/>
          <w:lang w:val="uk-UA"/>
        </w:rPr>
      </w:pPr>
      <w:r w:rsidRPr="007E5633">
        <w:rPr>
          <w:sz w:val="22"/>
          <w:szCs w:val="22"/>
          <w:lang w:val="uk-UA"/>
        </w:rPr>
        <w:t>Детальна інформація про основні дані, що підлягають звітуванню для операторів системи СПГ та операторів Системи Зберігання, наведена у статті 9 Стандартів впровадження. Оператори систем СПГ є суб'єктами, відповідальними за зрідження природного газу або СПГ-імпорт, розвантаження або ре-газифікацію. Щоденні дані щодо таких об'єктів включають, зокрема, їх технічну, контрактну та доступну потужність, оголошення про їх надходження, запаси та недоступність. Подібний обсяг інформації повідомляється сховищами.</w:t>
      </w:r>
    </w:p>
    <w:p w14:paraId="0684AB4A" w14:textId="77777777" w:rsidR="00F17427" w:rsidRPr="007E5633" w:rsidRDefault="00F17427" w:rsidP="00F17427">
      <w:pPr>
        <w:pStyle w:val="af4"/>
        <w:rPr>
          <w:sz w:val="22"/>
          <w:szCs w:val="22"/>
          <w:lang w:val="uk-UA"/>
        </w:rPr>
      </w:pPr>
      <w:r w:rsidRPr="007E5633">
        <w:rPr>
          <w:sz w:val="22"/>
          <w:szCs w:val="22"/>
          <w:lang w:val="uk-UA"/>
        </w:rPr>
        <w:t xml:space="preserve">Регламент REMIT створив Registered Reporting Mechanism (RRM) як посередника в потоці даних як для даних торгівлі, так і для основних даних між учасниками ринку та ACER. Не існує ніякої можливості, крім як через RRM, повідомляти дані ACER, а торговельні платформи, які не зареєстровані як RRM, повинні з'єднатися з одним з RRM. Роль RRM може бути порівняна з торговельними репозитаріями в рамках регулювання EMIR. Для того, щоб стати RRM, суб'єкт господарювання повинен пройти процедуру авторизації ACER. На практиці, більшість RRM є енергетичними біржами, торговельними майданчиками або TSOs. На даний момент список зареєстрованих RRM, доступний на веб-сайті ACER, складається з 119 позицій. </w:t>
      </w:r>
    </w:p>
    <w:p w14:paraId="2AABEFE1" w14:textId="77777777" w:rsidR="00A046FD" w:rsidRPr="007E5633" w:rsidRDefault="00F17427" w:rsidP="009A4011">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113" w:name="_Toc533093938"/>
      <w:bookmarkStart w:id="114" w:name="_Toc526775034"/>
      <w:bookmarkStart w:id="115" w:name="_Toc526800263"/>
      <w:r w:rsidRPr="007E5633">
        <w:rPr>
          <w:rFonts w:ascii="Arial" w:hAnsi="Arial" w:cs="Arial"/>
          <w:color w:val="auto"/>
          <w:sz w:val="22"/>
          <w:szCs w:val="22"/>
          <w:lang w:val="uk-UA"/>
        </w:rPr>
        <w:t>Зобов'язання щодо звітування в рамках MIFIR</w:t>
      </w:r>
      <w:bookmarkEnd w:id="113"/>
      <w:r w:rsidRPr="007E5633">
        <w:rPr>
          <w:rFonts w:ascii="Arial" w:hAnsi="Arial" w:cs="Arial"/>
          <w:color w:val="auto"/>
          <w:sz w:val="22"/>
          <w:szCs w:val="22"/>
          <w:lang w:val="uk-UA"/>
        </w:rPr>
        <w:t xml:space="preserve"> </w:t>
      </w:r>
      <w:bookmarkEnd w:id="114"/>
      <w:bookmarkEnd w:id="115"/>
    </w:p>
    <w:p w14:paraId="211E54D8" w14:textId="77777777" w:rsidR="00F17427" w:rsidRPr="007E5633" w:rsidRDefault="00F17427" w:rsidP="00F17427">
      <w:pPr>
        <w:pStyle w:val="af4"/>
        <w:rPr>
          <w:sz w:val="22"/>
          <w:szCs w:val="22"/>
          <w:lang w:val="uk-UA"/>
        </w:rPr>
      </w:pPr>
      <w:r w:rsidRPr="007E5633">
        <w:rPr>
          <w:sz w:val="22"/>
          <w:szCs w:val="22"/>
          <w:lang w:val="uk-UA"/>
        </w:rPr>
        <w:lastRenderedPageBreak/>
        <w:t>MiFIR</w:t>
      </w:r>
      <w:r w:rsidRPr="007E5633">
        <w:rPr>
          <w:rStyle w:val="aa"/>
          <w:sz w:val="22"/>
          <w:szCs w:val="22"/>
          <w:lang w:val="uk-UA"/>
        </w:rPr>
        <w:footnoteReference w:id="11"/>
      </w:r>
      <w:r w:rsidRPr="007E5633">
        <w:rPr>
          <w:sz w:val="22"/>
          <w:szCs w:val="22"/>
          <w:lang w:val="uk-UA"/>
        </w:rPr>
        <w:t xml:space="preserve"> був введений як доповнення до MiFID II для визначення загальних стандартів прозорості та звітування про транзакції в ЄС та подальшого вдосконалення інфраструктури торгівлі похідними інструментами, яка вперше була викладена в EMIR. Разом із його делегованими правилами, він забезпечує складну структуру для звітування та публікації фінансової інформації. Окрім детальних вимог щодо обсягу, часу та формату даних, він визначає політику недискримінаційних відносин між торговими площадками, CCPs та постачальниками даних.</w:t>
      </w:r>
    </w:p>
    <w:p w14:paraId="23A9AE99" w14:textId="77777777" w:rsidR="00F17427" w:rsidRPr="007E5633" w:rsidRDefault="00F17427" w:rsidP="00F17427">
      <w:pPr>
        <w:pStyle w:val="af4"/>
        <w:rPr>
          <w:sz w:val="22"/>
          <w:szCs w:val="22"/>
          <w:lang w:val="uk-UA"/>
        </w:rPr>
      </w:pPr>
      <w:r w:rsidRPr="007E5633">
        <w:rPr>
          <w:sz w:val="22"/>
          <w:szCs w:val="22"/>
          <w:lang w:val="uk-UA"/>
        </w:rPr>
        <w:t xml:space="preserve">Звітність MiFIR застосовується лише до інвестиційних компаній та регульованих операторів ринку і тільки до певних інструментів, тому його вплив на ринок </w:t>
      </w:r>
      <w:r w:rsidR="000F2B19" w:rsidRPr="000F2B19">
        <w:rPr>
          <w:sz w:val="22"/>
          <w:szCs w:val="22"/>
          <w:lang w:val="uk-UA"/>
        </w:rPr>
        <w:t xml:space="preserve">товарних контрактів </w:t>
      </w:r>
      <w:r w:rsidRPr="007E5633">
        <w:rPr>
          <w:sz w:val="22"/>
          <w:szCs w:val="22"/>
          <w:lang w:val="uk-UA"/>
        </w:rPr>
        <w:t>може бути обмеженим, залежно від організації ринку. Більшість енергетичних компаній не зобов'язані звітуватися за MiFIR, але MiFIR буде цікавим будь-яким майданчикам, що торгують енергетичними похідними.</w:t>
      </w:r>
    </w:p>
    <w:p w14:paraId="3F9BEC0A" w14:textId="77777777" w:rsidR="00F17427" w:rsidRPr="007E5633" w:rsidRDefault="00F17427" w:rsidP="00F17427">
      <w:pPr>
        <w:pStyle w:val="af4"/>
        <w:rPr>
          <w:sz w:val="22"/>
          <w:szCs w:val="22"/>
          <w:lang w:val="uk-UA"/>
        </w:rPr>
      </w:pPr>
      <w:r w:rsidRPr="007E5633">
        <w:rPr>
          <w:sz w:val="22"/>
          <w:szCs w:val="22"/>
          <w:lang w:val="uk-UA"/>
        </w:rPr>
        <w:t xml:space="preserve">Звітні зобов'язання за MiFIR можна розділити на два великі блоки - прозорість та звітність контролюючим органам. Вимоги до прозорості, викладені в Статтях 20 та 21 MiFID, містять набагато менший обсяг даних, що мають бути представлені, але звітність має бути максимально близькою до реального часу, наскільки це можливо комерційно – на сьогодні, не більше ніж через 15 хвилин після операції, але вікно буде скорочено до 5 хвилин у 2021 році. Крім того, існують деякі дані про передторгівельну прозорість, які також мають публікуватися торговими майданчиками. Усі дані в режимі прозорості повинні бути оприлюднені через Схвалені публікаційні домовленості (Approved </w:t>
      </w:r>
      <w:r w:rsidR="009A4011" w:rsidRPr="007E5633">
        <w:rPr>
          <w:sz w:val="22"/>
          <w:szCs w:val="22"/>
          <w:lang w:val="uk-UA"/>
        </w:rPr>
        <w:t>Publication Arrangements (APAs)</w:t>
      </w:r>
      <w:r w:rsidRPr="007E5633">
        <w:rPr>
          <w:sz w:val="22"/>
          <w:szCs w:val="22"/>
          <w:lang w:val="uk-UA"/>
        </w:rPr>
        <w:t>.</w:t>
      </w:r>
    </w:p>
    <w:p w14:paraId="5BBB07E9" w14:textId="77777777" w:rsidR="00F17427" w:rsidRPr="007E5633" w:rsidRDefault="00F17427" w:rsidP="00F17427">
      <w:pPr>
        <w:pStyle w:val="af4"/>
        <w:rPr>
          <w:sz w:val="22"/>
          <w:szCs w:val="22"/>
          <w:lang w:val="uk-UA"/>
        </w:rPr>
      </w:pPr>
      <w:r w:rsidRPr="007E5633">
        <w:rPr>
          <w:sz w:val="22"/>
          <w:szCs w:val="22"/>
          <w:lang w:val="uk-UA"/>
        </w:rPr>
        <w:t>Загалом, дані, які мають оприлюднюватися, включають ідентифікатор інструмента, який торгується, ціну, обсяг і час торгівлі та ідентифікатор торгового майданчика, на якому він угоду було завершено. Лише дані про інструменти, що торгуються на торговому майданчику, мають бути опубліковані. Детальні інструкції щодо того, яким чином і як слід повідомляти дані, включаючи можливі винятки та відстрочення, наведено в RTS 1</w:t>
      </w:r>
      <w:r w:rsidRPr="007E5633">
        <w:rPr>
          <w:rStyle w:val="aa"/>
          <w:sz w:val="22"/>
          <w:szCs w:val="22"/>
          <w:lang w:val="uk-UA"/>
        </w:rPr>
        <w:footnoteReference w:id="12"/>
      </w:r>
      <w:r w:rsidRPr="007E5633">
        <w:rPr>
          <w:sz w:val="22"/>
          <w:szCs w:val="22"/>
          <w:lang w:val="uk-UA"/>
        </w:rPr>
        <w:t xml:space="preserve"> та RTS 2</w:t>
      </w:r>
      <w:r w:rsidRPr="007E5633">
        <w:rPr>
          <w:rStyle w:val="aa"/>
          <w:sz w:val="22"/>
          <w:szCs w:val="22"/>
          <w:lang w:val="uk-UA"/>
        </w:rPr>
        <w:footnoteReference w:id="13"/>
      </w:r>
      <w:r w:rsidRPr="007E5633">
        <w:rPr>
          <w:sz w:val="22"/>
          <w:szCs w:val="22"/>
          <w:lang w:val="uk-UA"/>
        </w:rPr>
        <w:t>, але правила є досить складними та виходять за рамки цього Звіту.</w:t>
      </w:r>
    </w:p>
    <w:p w14:paraId="312B4C0A" w14:textId="77777777" w:rsidR="00F17427" w:rsidRPr="007E5633" w:rsidRDefault="00F17427" w:rsidP="00F17427">
      <w:pPr>
        <w:pStyle w:val="af4"/>
        <w:rPr>
          <w:sz w:val="22"/>
          <w:szCs w:val="22"/>
          <w:lang w:val="uk-UA"/>
        </w:rPr>
      </w:pPr>
      <w:r w:rsidRPr="007E5633">
        <w:rPr>
          <w:sz w:val="22"/>
          <w:szCs w:val="22"/>
          <w:lang w:val="uk-UA"/>
        </w:rPr>
        <w:t>До перед-торгівельних вимог прозорості входять ставки і пропозиції, а також глибина торгових інтересів за такими цінами. По-друге, згідно з частиною першою статті 26 MiFIR, інвестиційна фірми, яка здійснює операції з фінансовими інструментами, має звітувати повну та точну інформацію про такі операції компетентному органу якнайшвидше та не пізніше наступного робочого дня</w:t>
      </w:r>
      <w:r w:rsidRPr="007E5633">
        <w:rPr>
          <w:rStyle w:val="aa"/>
          <w:sz w:val="22"/>
          <w:szCs w:val="22"/>
          <w:lang w:val="uk-UA"/>
        </w:rPr>
        <w:footnoteReference w:id="14"/>
      </w:r>
      <w:r w:rsidRPr="007E5633">
        <w:rPr>
          <w:sz w:val="22"/>
          <w:szCs w:val="22"/>
          <w:lang w:val="uk-UA"/>
        </w:rPr>
        <w:t xml:space="preserve">. Вимоги щодо звітності про транзакції застосовуються до інвестиційних компаній, кредитних установ, коли вони надають інвестиційні послугу та / або здійснюють інвестиційну діяльність, та до операторів ринку, включаючи будь-які </w:t>
      </w:r>
      <w:r w:rsidRPr="007E5633">
        <w:rPr>
          <w:sz w:val="22"/>
          <w:szCs w:val="22"/>
          <w:lang w:val="uk-UA"/>
        </w:rPr>
        <w:lastRenderedPageBreak/>
        <w:t>торгові майданчики, якими вони оперують. Значення "транзакції" та "виконання" чітко окреслено в RTS 22</w:t>
      </w:r>
      <w:r w:rsidRPr="007E5633">
        <w:rPr>
          <w:rStyle w:val="aa"/>
          <w:sz w:val="22"/>
          <w:szCs w:val="22"/>
          <w:lang w:val="uk-UA"/>
        </w:rPr>
        <w:footnoteReference w:id="15"/>
      </w:r>
      <w:r w:rsidRPr="007E5633">
        <w:rPr>
          <w:sz w:val="22"/>
          <w:szCs w:val="22"/>
          <w:lang w:val="uk-UA"/>
        </w:rPr>
        <w:t>, але правила щодо звітування, викладені в цьому нормативному документі, є досить складними і виходять за рамки цього Звіту.</w:t>
      </w:r>
    </w:p>
    <w:p w14:paraId="6510DFAA" w14:textId="77777777" w:rsidR="00F17427" w:rsidRPr="007E5633" w:rsidRDefault="00F17427" w:rsidP="00F17427">
      <w:pPr>
        <w:pStyle w:val="af4"/>
        <w:rPr>
          <w:sz w:val="22"/>
          <w:szCs w:val="22"/>
          <w:lang w:val="uk-UA"/>
        </w:rPr>
      </w:pPr>
      <w:r w:rsidRPr="007E5633">
        <w:rPr>
          <w:sz w:val="22"/>
          <w:szCs w:val="22"/>
          <w:lang w:val="uk-UA"/>
        </w:rPr>
        <w:t>Звіт про транзакції може бути поданий компетентному органу:</w:t>
      </w:r>
    </w:p>
    <w:p w14:paraId="53617A43"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самою інвестиційною фірмою</w:t>
      </w:r>
    </w:p>
    <w:p w14:paraId="5D9C3FB1"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Approved Reporting Mechanism (ARM)</w:t>
      </w:r>
      <w:r w:rsidRPr="007E5633">
        <w:rPr>
          <w:rStyle w:val="aa"/>
          <w:sz w:val="22"/>
          <w:szCs w:val="22"/>
          <w:lang w:val="uk-UA"/>
        </w:rPr>
        <w:footnoteReference w:id="16"/>
      </w:r>
      <w:r w:rsidRPr="007E5633">
        <w:rPr>
          <w:sz w:val="22"/>
          <w:szCs w:val="22"/>
          <w:lang w:val="uk-UA"/>
        </w:rPr>
        <w:t>, який діє від її імені, або</w:t>
      </w:r>
    </w:p>
    <w:p w14:paraId="4E4463F5"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торговий майданчик, через систему якого здійснено транзакцію.</w:t>
      </w:r>
    </w:p>
    <w:p w14:paraId="30BB951B" w14:textId="77777777" w:rsidR="00F17427" w:rsidRPr="007E5633" w:rsidRDefault="00F17427" w:rsidP="00F17427">
      <w:pPr>
        <w:pStyle w:val="af4"/>
        <w:rPr>
          <w:sz w:val="22"/>
          <w:szCs w:val="22"/>
          <w:lang w:val="uk-UA"/>
        </w:rPr>
      </w:pPr>
      <w:r w:rsidRPr="007E5633">
        <w:rPr>
          <w:sz w:val="22"/>
          <w:szCs w:val="22"/>
          <w:lang w:val="uk-UA"/>
        </w:rPr>
        <w:t>У випадку, якщо звітність здійснюється ARM або торгівельним майданчиком, відповідальність за повноту, точність та своєчасне подання звітів делегується відповідному суб'єкту. Тим не менш, інвестиційна фірма повинна прийняти необхідні кроки для перевірки повноти, точності та своєчасності звітування про транзакції.</w:t>
      </w:r>
    </w:p>
    <w:p w14:paraId="27540440" w14:textId="77777777" w:rsidR="00F17427" w:rsidRPr="007E5633" w:rsidRDefault="00F17427" w:rsidP="00F17427">
      <w:pPr>
        <w:pStyle w:val="af4"/>
        <w:rPr>
          <w:sz w:val="22"/>
          <w:szCs w:val="22"/>
          <w:lang w:val="uk-UA"/>
        </w:rPr>
      </w:pPr>
      <w:r w:rsidRPr="007E5633">
        <w:rPr>
          <w:sz w:val="22"/>
          <w:szCs w:val="22"/>
          <w:lang w:val="uk-UA"/>
        </w:rPr>
        <w:t>Щоб уникнути подвійного звітування до EMIR, інвестиційний суб'єкт господарювання може повідомити про транза</w:t>
      </w:r>
      <w:r w:rsidR="00BD153C">
        <w:rPr>
          <w:sz w:val="22"/>
          <w:szCs w:val="22"/>
          <w:lang w:val="uk-UA"/>
        </w:rPr>
        <w:t>кції через Торговельний репозита</w:t>
      </w:r>
      <w:r w:rsidRPr="007E5633">
        <w:rPr>
          <w:sz w:val="22"/>
          <w:szCs w:val="22"/>
          <w:lang w:val="uk-UA"/>
        </w:rPr>
        <w:t>рій після його затвердження компетентним органом (таким, як ARM). Проте суб'єктові господарювання слід зробити все, щоб забезпечувалося дотримання обсягів звітності, включаючи каталог інформації, що підлягає звітності по обох Регламентах.</w:t>
      </w:r>
    </w:p>
    <w:p w14:paraId="5D33E41D" w14:textId="77777777" w:rsidR="00F17427" w:rsidRPr="007E5633" w:rsidRDefault="00F17427" w:rsidP="00F17427">
      <w:pPr>
        <w:pStyle w:val="af4"/>
        <w:rPr>
          <w:sz w:val="22"/>
          <w:szCs w:val="22"/>
          <w:lang w:val="uk-UA"/>
        </w:rPr>
      </w:pPr>
      <w:r w:rsidRPr="007E5633">
        <w:rPr>
          <w:sz w:val="22"/>
          <w:szCs w:val="22"/>
          <w:lang w:val="uk-UA"/>
        </w:rPr>
        <w:t>Відповідно до статті 26 (2) MiFIR, звітність включає:</w:t>
      </w:r>
    </w:p>
    <w:p w14:paraId="2AC316B6"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фінансові інструменти, які допущені до торгівлі або торгуються на торговому майданчику або для яких було подано запит про допуск до торгівлі;</w:t>
      </w:r>
    </w:p>
    <w:p w14:paraId="194B065B"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фінансові інструменти, де в основі деривативу лежить фінансовий інструмент, який торгується на торговому майданчику; і</w:t>
      </w:r>
    </w:p>
    <w:p w14:paraId="6E3F9A69" w14:textId="77777777" w:rsidR="009A4011" w:rsidRPr="007E5633" w:rsidRDefault="00F17427" w:rsidP="000D248B">
      <w:pPr>
        <w:pStyle w:val="af4"/>
        <w:numPr>
          <w:ilvl w:val="2"/>
          <w:numId w:val="58"/>
        </w:numPr>
        <w:ind w:left="426"/>
        <w:rPr>
          <w:sz w:val="22"/>
          <w:szCs w:val="22"/>
          <w:lang w:val="uk-UA"/>
        </w:rPr>
      </w:pPr>
      <w:r w:rsidRPr="007E5633">
        <w:rPr>
          <w:sz w:val="22"/>
          <w:szCs w:val="22"/>
          <w:lang w:val="uk-UA"/>
        </w:rPr>
        <w:t>фінансові інструменти, де основним є індекс або кошик, що складається з фінансових інструментів, які торгуються на торговому майданчику.</w:t>
      </w:r>
    </w:p>
    <w:p w14:paraId="1913A7AE"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"Фінансові інструменти" означають ті інструменти, що перелічені у Розділі C Додатка 1 MiFID2.</w:t>
      </w:r>
    </w:p>
    <w:p w14:paraId="221489AA" w14:textId="77777777" w:rsidR="00F17427" w:rsidRPr="007E5633" w:rsidRDefault="00F17427" w:rsidP="006A36B9">
      <w:pPr>
        <w:pStyle w:val="af4"/>
        <w:ind w:left="567" w:hanging="283"/>
        <w:rPr>
          <w:sz w:val="22"/>
          <w:szCs w:val="22"/>
          <w:lang w:val="uk-UA"/>
        </w:rPr>
      </w:pPr>
      <w:r w:rsidRPr="007E5633">
        <w:rPr>
          <w:sz w:val="22"/>
          <w:szCs w:val="22"/>
          <w:lang w:val="uk-UA"/>
        </w:rPr>
        <w:t>Звітні показники, зазначені нижче, викладені в Додатку І до RTS 22. Наводимо деякі з них:</w:t>
      </w:r>
    </w:p>
    <w:p w14:paraId="08F2153B"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ідентифікаційний код куплених або проданих фінансових інструментів;</w:t>
      </w:r>
    </w:p>
    <w:p w14:paraId="4A251D13"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кількість, дати та терміни виконання та ціни транзакцій;</w:t>
      </w:r>
    </w:p>
    <w:p w14:paraId="0CD934ED"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визначення осіб та комп'ютерних алгоритмів в інвестиційній фірмі, що відповідальні за прийняття інвестиційного рішення та виконання транзакції</w:t>
      </w:r>
    </w:p>
    <w:p w14:paraId="03D02578"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країна філії інвестиційної компанії, яка здійснює нагляд за особою, відповідальною за інвестиційне рішення, та країна філії інвестиційної фірми, яка отримала замовлення від клієнта або прийняла інвестиційне рішення для клієнта у відповідності з мандатним розпорядженням, наданим їй клієнтом</w:t>
      </w:r>
    </w:p>
    <w:p w14:paraId="633A1700"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lastRenderedPageBreak/>
        <w:t>ідентифікація клієнтів, від імені яких інвестиційна фірма здійснила цю операцію;</w:t>
      </w:r>
    </w:p>
    <w:p w14:paraId="469153DC"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інформація щодо «короткого» продажу (short sale),</w:t>
      </w:r>
    </w:p>
    <w:p w14:paraId="504AF83C"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визначення відповідного винятку, згідно якого відбулася торгівля,</w:t>
      </w:r>
    </w:p>
    <w:p w14:paraId="6722036A"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код, що ідентифікує передаючу фірму;</w:t>
      </w:r>
    </w:p>
    <w:p w14:paraId="1EE9EFBF" w14:textId="77777777" w:rsidR="00F17427" w:rsidRPr="007E5633" w:rsidRDefault="00F17427" w:rsidP="000D248B">
      <w:pPr>
        <w:pStyle w:val="af4"/>
        <w:numPr>
          <w:ilvl w:val="2"/>
          <w:numId w:val="58"/>
        </w:numPr>
        <w:ind w:left="426"/>
        <w:rPr>
          <w:sz w:val="22"/>
          <w:szCs w:val="22"/>
          <w:lang w:val="uk-UA"/>
        </w:rPr>
      </w:pPr>
      <w:r w:rsidRPr="007E5633">
        <w:rPr>
          <w:sz w:val="22"/>
          <w:szCs w:val="22"/>
          <w:lang w:val="uk-UA"/>
        </w:rPr>
        <w:t xml:space="preserve">для замовлення на похідні інструменти </w:t>
      </w:r>
      <w:r w:rsidR="000F2B19">
        <w:rPr>
          <w:sz w:val="22"/>
          <w:szCs w:val="22"/>
          <w:lang w:val="uk-UA"/>
        </w:rPr>
        <w:t xml:space="preserve">від </w:t>
      </w:r>
      <w:r w:rsidR="000F2B19" w:rsidRPr="000F2B19">
        <w:rPr>
          <w:sz w:val="22"/>
          <w:szCs w:val="22"/>
          <w:lang w:val="uk-UA"/>
        </w:rPr>
        <w:t xml:space="preserve">товарних контрактів </w:t>
      </w:r>
      <w:r w:rsidRPr="007E5633">
        <w:rPr>
          <w:sz w:val="22"/>
          <w:szCs w:val="22"/>
          <w:lang w:val="uk-UA"/>
        </w:rPr>
        <w:t>- ознака того, чи операція має на меті зменшення ризику об'єктивно виміряним чином, відповідно до статті 57 Директиви 2014/65 / ЄС.</w:t>
      </w:r>
    </w:p>
    <w:p w14:paraId="0F9F3DFE" w14:textId="77777777" w:rsidR="00F17427" w:rsidRPr="007E5633" w:rsidRDefault="00F17427" w:rsidP="00F17427">
      <w:pPr>
        <w:pStyle w:val="af4"/>
        <w:rPr>
          <w:sz w:val="22"/>
          <w:szCs w:val="22"/>
          <w:lang w:val="uk-UA"/>
        </w:rPr>
      </w:pPr>
      <w:r w:rsidRPr="007E5633">
        <w:rPr>
          <w:sz w:val="22"/>
          <w:szCs w:val="22"/>
          <w:lang w:val="uk-UA"/>
        </w:rPr>
        <w:t>Звіти про транзакції повинні бути подані у форматі таблиці 2 з Додатку I до RTS 22.</w:t>
      </w:r>
    </w:p>
    <w:p w14:paraId="6B19F750" w14:textId="77777777" w:rsidR="00F17427" w:rsidRPr="007E5633" w:rsidRDefault="00F17427" w:rsidP="00F17427">
      <w:pPr>
        <w:pStyle w:val="af4"/>
        <w:rPr>
          <w:sz w:val="22"/>
          <w:szCs w:val="22"/>
          <w:lang w:val="uk-UA"/>
        </w:rPr>
      </w:pPr>
      <w:r w:rsidRPr="007E5633">
        <w:rPr>
          <w:sz w:val="22"/>
          <w:szCs w:val="22"/>
          <w:lang w:val="uk-UA"/>
        </w:rPr>
        <w:t>Подібно до інших нормативних актів, вимоги до ведення обліку - п'ять років. Згідно з статтею 25 MiFIR, підзвітні підприємства ведуть облік релевантних даних, що стосуються не лише всіх транзакцій, але й усіх замовлень.</w:t>
      </w:r>
    </w:p>
    <w:p w14:paraId="5E31A12F" w14:textId="77777777" w:rsidR="00F17427" w:rsidRPr="007E5633" w:rsidRDefault="00F17427" w:rsidP="00F17427">
      <w:pPr>
        <w:pStyle w:val="af4"/>
        <w:rPr>
          <w:sz w:val="22"/>
          <w:szCs w:val="22"/>
          <w:highlight w:val="yellow"/>
          <w:lang w:val="uk-UA"/>
        </w:rPr>
      </w:pPr>
      <w:r w:rsidRPr="007E5633">
        <w:rPr>
          <w:sz w:val="22"/>
          <w:szCs w:val="22"/>
          <w:lang w:val="uk-UA"/>
        </w:rPr>
        <w:t>APAs, ARMs і Провайдери консолідованих потоків новинних даних (Consolidated Tape Providers (CTPs)) - це всі види уповноважених постачальників даних, визначених MiFID II / MiFIR. Оскільки їх роль є лише допоміжною, і на практиці їх послуги охоплюються багатьма технологічними рішеннями, що пропонуються інвестиційним фірмам та торговельним майданчикам, то немає необхідності докладно розглядати їх у цьому Звіті.</w:t>
      </w:r>
    </w:p>
    <w:p w14:paraId="31018249" w14:textId="77777777" w:rsidR="00A046FD" w:rsidRPr="007E5633" w:rsidRDefault="00DA6587" w:rsidP="00912D9A">
      <w:pPr>
        <w:pStyle w:val="FSHeader1"/>
        <w:keepNext w:val="0"/>
        <w:pageBreakBefore w:val="0"/>
        <w:numPr>
          <w:ilvl w:val="2"/>
          <w:numId w:val="27"/>
        </w:numPr>
        <w:spacing w:after="120"/>
        <w:rPr>
          <w:rFonts w:ascii="Arial" w:hAnsi="Arial" w:cs="Arial"/>
          <w:color w:val="auto"/>
          <w:sz w:val="22"/>
          <w:szCs w:val="22"/>
          <w:lang w:val="uk-UA"/>
        </w:rPr>
      </w:pPr>
      <w:bookmarkStart w:id="116" w:name="_Toc533093939"/>
      <w:bookmarkStart w:id="117" w:name="_Toc526775035"/>
      <w:r w:rsidRPr="007E5633">
        <w:rPr>
          <w:rFonts w:ascii="Arial" w:hAnsi="Arial" w:cs="Arial"/>
          <w:color w:val="auto"/>
          <w:sz w:val="22"/>
          <w:szCs w:val="22"/>
          <w:lang w:val="uk-UA"/>
        </w:rPr>
        <w:t>Звітні зобов'язання, пов'язані з зловживанням на ринку</w:t>
      </w:r>
      <w:bookmarkEnd w:id="116"/>
      <w:r w:rsidRPr="007E5633">
        <w:rPr>
          <w:rFonts w:ascii="Arial" w:hAnsi="Arial" w:cs="Arial"/>
          <w:color w:val="auto"/>
          <w:sz w:val="22"/>
          <w:szCs w:val="22"/>
          <w:lang w:val="uk-UA"/>
        </w:rPr>
        <w:t xml:space="preserve"> </w:t>
      </w:r>
      <w:bookmarkEnd w:id="117"/>
    </w:p>
    <w:p w14:paraId="21EFE7D0" w14:textId="77777777" w:rsidR="00A046FD" w:rsidRPr="007E5633" w:rsidRDefault="00DA6587" w:rsidP="00912D9A">
      <w:pPr>
        <w:pStyle w:val="FSHeader1"/>
        <w:keepNext w:val="0"/>
        <w:pageBreakBefore w:val="0"/>
        <w:numPr>
          <w:ilvl w:val="3"/>
          <w:numId w:val="27"/>
        </w:numPr>
        <w:spacing w:after="120"/>
        <w:rPr>
          <w:rFonts w:ascii="Arial" w:hAnsi="Arial" w:cs="Arial"/>
          <w:color w:val="auto"/>
          <w:sz w:val="22"/>
          <w:szCs w:val="22"/>
          <w:lang w:val="uk-UA"/>
        </w:rPr>
      </w:pPr>
      <w:bookmarkStart w:id="118" w:name="_Toc533093940"/>
      <w:bookmarkStart w:id="119" w:name="_Toc526775036"/>
      <w:bookmarkStart w:id="120" w:name="_Toc526800265"/>
      <w:r w:rsidRPr="007E5633">
        <w:rPr>
          <w:rFonts w:ascii="Arial" w:hAnsi="Arial" w:cs="Arial"/>
          <w:color w:val="auto"/>
          <w:sz w:val="22"/>
          <w:szCs w:val="22"/>
          <w:lang w:val="uk-UA"/>
        </w:rPr>
        <w:t>Звітні зобов'язання за MAR</w:t>
      </w:r>
      <w:bookmarkEnd w:id="118"/>
      <w:r w:rsidRPr="007E5633">
        <w:rPr>
          <w:rFonts w:ascii="Arial" w:hAnsi="Arial" w:cs="Arial"/>
          <w:color w:val="auto"/>
          <w:sz w:val="22"/>
          <w:szCs w:val="22"/>
          <w:lang w:val="uk-UA"/>
        </w:rPr>
        <w:t xml:space="preserve"> </w:t>
      </w:r>
      <w:bookmarkEnd w:id="119"/>
      <w:bookmarkEnd w:id="120"/>
    </w:p>
    <w:p w14:paraId="0B9CE05F" w14:textId="77777777" w:rsidR="00DA6587" w:rsidRPr="007E5633" w:rsidRDefault="00DA6587" w:rsidP="00DA6587">
      <w:pPr>
        <w:pStyle w:val="af4"/>
        <w:rPr>
          <w:sz w:val="24"/>
          <w:szCs w:val="24"/>
          <w:lang w:val="uk-UA"/>
        </w:rPr>
      </w:pPr>
      <w:r w:rsidRPr="007E5633">
        <w:rPr>
          <w:sz w:val="24"/>
          <w:szCs w:val="24"/>
          <w:lang w:val="uk-UA"/>
        </w:rPr>
        <w:t>3 липня 2016 року Положення про зловживання на ринку</w:t>
      </w:r>
      <w:r w:rsidRPr="007E5633">
        <w:rPr>
          <w:rStyle w:val="aa"/>
          <w:sz w:val="24"/>
          <w:szCs w:val="24"/>
          <w:lang w:val="uk-UA"/>
        </w:rPr>
        <w:footnoteReference w:id="17"/>
      </w:r>
      <w:r w:rsidRPr="007E5633">
        <w:rPr>
          <w:sz w:val="24"/>
          <w:szCs w:val="24"/>
          <w:lang w:val="uk-UA"/>
        </w:rPr>
        <w:t xml:space="preserve"> набуло чинності, у відповідності зі статтею 4 MAR, зберегти ринкову цілісність, уникнути можливого регуляторного арбітражу, забезпечити відповідальність у разі спроби маніпулювання та забезпечити більшу правову визначеність та меншу регуляторну складність для учасників ринку.</w:t>
      </w:r>
    </w:p>
    <w:p w14:paraId="1C584CC5" w14:textId="77777777" w:rsidR="00DA6587" w:rsidRPr="007E5633" w:rsidRDefault="00DA6587" w:rsidP="00DA6587">
      <w:pPr>
        <w:pStyle w:val="af4"/>
        <w:rPr>
          <w:sz w:val="24"/>
          <w:szCs w:val="24"/>
          <w:lang w:val="uk-UA"/>
        </w:rPr>
      </w:pPr>
      <w:r w:rsidRPr="007E5633">
        <w:rPr>
          <w:sz w:val="24"/>
          <w:szCs w:val="24"/>
          <w:lang w:val="uk-UA"/>
        </w:rPr>
        <w:t>Положення про зловживання на ринку (Market Abuse Regulation) суворо забороняє маніпулювати ринком на ринку фінансових інструментів. За статтею 12 MAR, учасники ринку фінансових інструментів не повинні:</w:t>
      </w:r>
    </w:p>
    <w:p w14:paraId="0285D426" w14:textId="77777777" w:rsidR="00DA6587" w:rsidRPr="007E5633" w:rsidRDefault="00DA6587" w:rsidP="000D248B">
      <w:pPr>
        <w:pStyle w:val="af4"/>
        <w:numPr>
          <w:ilvl w:val="0"/>
          <w:numId w:val="59"/>
        </w:numPr>
        <w:rPr>
          <w:sz w:val="24"/>
          <w:szCs w:val="24"/>
          <w:lang w:val="uk-UA"/>
        </w:rPr>
      </w:pPr>
      <w:r w:rsidRPr="007E5633">
        <w:rPr>
          <w:sz w:val="24"/>
          <w:szCs w:val="24"/>
          <w:lang w:val="uk-UA"/>
        </w:rPr>
        <w:t xml:space="preserve">розміщувати замовлення або укладати транзакцію, яка дає або може надавати неправдиві або оманливі сигнали щодо пропозиції, попиту або ціни на фінансовий інструмент або відповідний спотовий </w:t>
      </w:r>
      <w:r w:rsidR="000F2B19">
        <w:rPr>
          <w:sz w:val="24"/>
          <w:szCs w:val="24"/>
          <w:lang w:val="uk-UA"/>
        </w:rPr>
        <w:t xml:space="preserve">товарний </w:t>
      </w:r>
      <w:r w:rsidRPr="007E5633">
        <w:rPr>
          <w:sz w:val="24"/>
          <w:szCs w:val="24"/>
          <w:lang w:val="uk-UA"/>
        </w:rPr>
        <w:t>контракт,</w:t>
      </w:r>
    </w:p>
    <w:p w14:paraId="63285A38" w14:textId="77777777" w:rsidR="00DA6587" w:rsidRPr="007E5633" w:rsidRDefault="00DA6587" w:rsidP="000D248B">
      <w:pPr>
        <w:pStyle w:val="af4"/>
        <w:numPr>
          <w:ilvl w:val="0"/>
          <w:numId w:val="59"/>
        </w:numPr>
        <w:rPr>
          <w:sz w:val="24"/>
          <w:szCs w:val="24"/>
          <w:lang w:val="uk-UA"/>
        </w:rPr>
      </w:pPr>
      <w:r w:rsidRPr="007E5633">
        <w:rPr>
          <w:sz w:val="24"/>
          <w:szCs w:val="24"/>
          <w:lang w:val="uk-UA"/>
        </w:rPr>
        <w:t xml:space="preserve">розміщувати замовлення або укладати транзакцію, яка забезпечує або може забезпечити ціну фінансового інструмента або відповідного </w:t>
      </w:r>
      <w:r w:rsidR="000F2B19">
        <w:rPr>
          <w:sz w:val="24"/>
          <w:szCs w:val="24"/>
          <w:lang w:val="uk-UA"/>
        </w:rPr>
        <w:t xml:space="preserve">товарного </w:t>
      </w:r>
      <w:r w:rsidRPr="007E5633">
        <w:rPr>
          <w:sz w:val="24"/>
          <w:szCs w:val="24"/>
          <w:lang w:val="uk-UA"/>
        </w:rPr>
        <w:t>контракту на нестандартному або штучному рівні,</w:t>
      </w:r>
    </w:p>
    <w:p w14:paraId="1E19FAD4" w14:textId="77777777" w:rsidR="00DA6587" w:rsidRPr="007E5633" w:rsidRDefault="00DA6587" w:rsidP="000D248B">
      <w:pPr>
        <w:pStyle w:val="af4"/>
        <w:numPr>
          <w:ilvl w:val="0"/>
          <w:numId w:val="59"/>
        </w:numPr>
        <w:rPr>
          <w:sz w:val="24"/>
          <w:szCs w:val="24"/>
          <w:lang w:val="uk-UA"/>
        </w:rPr>
      </w:pPr>
      <w:r w:rsidRPr="007E5633">
        <w:rPr>
          <w:sz w:val="24"/>
          <w:szCs w:val="24"/>
          <w:lang w:val="uk-UA"/>
        </w:rPr>
        <w:t xml:space="preserve">поширювати інформацію через засоби масової інформації (включаючи Інтернет) або будь-яким іншим способом, який дає або може дати неправдивий або хибний сигнал щодо пропозиції, попиту або ціни на фінансовий інструмент або споріднений спотовий </w:t>
      </w:r>
      <w:r w:rsidR="00601569">
        <w:rPr>
          <w:sz w:val="24"/>
          <w:szCs w:val="24"/>
          <w:lang w:val="uk-UA"/>
        </w:rPr>
        <w:t>товарний</w:t>
      </w:r>
      <w:r w:rsidRPr="007E5633">
        <w:rPr>
          <w:sz w:val="24"/>
          <w:szCs w:val="24"/>
          <w:lang w:val="uk-UA"/>
        </w:rPr>
        <w:t xml:space="preserve"> контракт,</w:t>
      </w:r>
    </w:p>
    <w:p w14:paraId="65B85162" w14:textId="77777777" w:rsidR="00DA6587" w:rsidRPr="007E5633" w:rsidRDefault="00DA6587" w:rsidP="000D248B">
      <w:pPr>
        <w:pStyle w:val="af4"/>
        <w:numPr>
          <w:ilvl w:val="0"/>
          <w:numId w:val="59"/>
        </w:numPr>
        <w:rPr>
          <w:sz w:val="24"/>
          <w:szCs w:val="24"/>
          <w:lang w:val="uk-UA"/>
        </w:rPr>
      </w:pPr>
      <w:r w:rsidRPr="007E5633">
        <w:rPr>
          <w:sz w:val="24"/>
          <w:szCs w:val="24"/>
          <w:lang w:val="uk-UA"/>
        </w:rPr>
        <w:lastRenderedPageBreak/>
        <w:t>надавати помилкові або оманливі вхідні дані для розрахунку базового показника або маніпулювати обчисленням базового показника будь-якою іншою поведінкою.</w:t>
      </w:r>
    </w:p>
    <w:p w14:paraId="6B17098C" w14:textId="3C8E7AE4" w:rsidR="00F35712" w:rsidRPr="007E5633" w:rsidRDefault="00317B87" w:rsidP="00F35712">
      <w:pPr>
        <w:pStyle w:val="af1"/>
        <w:jc w:val="left"/>
        <w:rPr>
          <w:rFonts w:cs="Arial"/>
          <w:sz w:val="22"/>
          <w:szCs w:val="22"/>
          <w:lang w:val="uk-UA"/>
        </w:rPr>
      </w:pPr>
      <w:bookmarkStart w:id="121" w:name="_Toc533094058"/>
      <w:r w:rsidRPr="007E5633">
        <w:rPr>
          <w:rFonts w:cs="Arial"/>
          <w:noProof/>
          <w:sz w:val="22"/>
          <w:szCs w:val="22"/>
        </w:rPr>
        <w:drawing>
          <wp:anchor distT="0" distB="0" distL="114300" distR="114300" simplePos="0" relativeHeight="251688960" behindDoc="1" locked="0" layoutInCell="1" allowOverlap="1" wp14:anchorId="5269E5DE" wp14:editId="43A4539C">
            <wp:simplePos x="0" y="0"/>
            <wp:positionH relativeFrom="column">
              <wp:posOffset>0</wp:posOffset>
            </wp:positionH>
            <wp:positionV relativeFrom="paragraph">
              <wp:posOffset>256540</wp:posOffset>
            </wp:positionV>
            <wp:extent cx="5693410" cy="31680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3410" cy="3168015"/>
                    </a:xfrm>
                    <a:prstGeom prst="rect">
                      <a:avLst/>
                    </a:prstGeom>
                    <a:noFill/>
                  </pic:spPr>
                </pic:pic>
              </a:graphicData>
            </a:graphic>
          </wp:anchor>
        </w:drawing>
      </w:r>
      <w:r w:rsidR="00DA6587" w:rsidRPr="007E5633">
        <w:rPr>
          <w:rFonts w:cs="Arial"/>
          <w:sz w:val="22"/>
          <w:szCs w:val="22"/>
          <w:lang w:val="uk-UA"/>
        </w:rPr>
        <w:t>Схема</w:t>
      </w:r>
      <w:r w:rsidR="00F35712" w:rsidRPr="007E5633">
        <w:rPr>
          <w:rFonts w:cs="Arial"/>
          <w:sz w:val="22"/>
          <w:szCs w:val="22"/>
          <w:lang w:val="uk-UA"/>
        </w:rPr>
        <w:t xml:space="preserve"> </w:t>
      </w:r>
      <w:r w:rsidR="00622EE2" w:rsidRPr="007E5633">
        <w:rPr>
          <w:rFonts w:cs="Arial"/>
          <w:sz w:val="22"/>
          <w:szCs w:val="22"/>
          <w:lang w:val="uk-UA"/>
        </w:rPr>
        <w:fldChar w:fldCharType="begin"/>
      </w:r>
      <w:r w:rsidR="00F35712"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31</w:t>
      </w:r>
      <w:r w:rsidR="00622EE2" w:rsidRPr="007E5633">
        <w:rPr>
          <w:rFonts w:cs="Arial"/>
          <w:sz w:val="22"/>
          <w:szCs w:val="22"/>
          <w:lang w:val="uk-UA"/>
        </w:rPr>
        <w:fldChar w:fldCharType="end"/>
      </w:r>
      <w:r w:rsidR="00F35712" w:rsidRPr="007E5633">
        <w:rPr>
          <w:rFonts w:cs="Arial"/>
          <w:sz w:val="22"/>
          <w:szCs w:val="22"/>
          <w:lang w:val="uk-UA"/>
        </w:rPr>
        <w:t xml:space="preserve">: </w:t>
      </w:r>
      <w:r w:rsidR="00DA6587" w:rsidRPr="007E5633">
        <w:rPr>
          <w:rFonts w:cs="Arial"/>
          <w:sz w:val="22"/>
          <w:szCs w:val="22"/>
          <w:lang w:val="uk-UA"/>
        </w:rPr>
        <w:t>Звітні зобов'язання за MAR</w:t>
      </w:r>
      <w:bookmarkEnd w:id="121"/>
    </w:p>
    <w:p w14:paraId="6DD61DBE" w14:textId="77777777" w:rsidR="00DA6587" w:rsidRPr="007E5633" w:rsidRDefault="00DA6587" w:rsidP="00DA6587">
      <w:pPr>
        <w:pStyle w:val="af4"/>
        <w:rPr>
          <w:i/>
          <w:sz w:val="22"/>
          <w:szCs w:val="22"/>
          <w:lang w:val="uk-UA"/>
        </w:rPr>
      </w:pPr>
      <w:r w:rsidRPr="007E5633">
        <w:rPr>
          <w:i/>
          <w:sz w:val="22"/>
          <w:szCs w:val="22"/>
          <w:lang w:val="uk-UA"/>
        </w:rPr>
        <w:t>Джерело: PwC</w:t>
      </w:r>
    </w:p>
    <w:p w14:paraId="4A3FF2CA" w14:textId="77777777" w:rsidR="00DA6587" w:rsidRPr="007E5633" w:rsidRDefault="00DA6587" w:rsidP="00DA6587">
      <w:pPr>
        <w:pStyle w:val="af4"/>
        <w:rPr>
          <w:sz w:val="22"/>
          <w:szCs w:val="22"/>
          <w:lang w:val="uk-UA"/>
        </w:rPr>
      </w:pPr>
      <w:r w:rsidRPr="007E5633">
        <w:rPr>
          <w:sz w:val="22"/>
          <w:szCs w:val="22"/>
          <w:lang w:val="uk-UA"/>
        </w:rPr>
        <w:t xml:space="preserve">Однією з вимог MAR Regulation є заборона інсайдерської торгівлі та обов'язок розкривати внутрішню інформацію. Загальна організація системи полягає в тому, що будь-яка інформація, що впливає на ціну, повинна бути розкрита громадськості за допомогою належних каналів та якомога швидше. Якщо таке розголошення неможливе відразу (наприклад, через важливі ділові інтереси, наприклад, інформація про </w:t>
      </w:r>
      <w:r w:rsidR="008B6474">
        <w:rPr>
          <w:sz w:val="22"/>
          <w:szCs w:val="22"/>
          <w:lang w:val="uk-UA"/>
        </w:rPr>
        <w:t>за</w:t>
      </w:r>
      <w:r w:rsidRPr="007E5633">
        <w:rPr>
          <w:sz w:val="22"/>
          <w:szCs w:val="22"/>
          <w:lang w:val="uk-UA"/>
        </w:rPr>
        <w:t>плановану транзакцію під час переговорів про цю транзакцію), компанія зобов'язана зберігати цю інформацію за допомогою заходів контролю інформації, таких як інсайдерські списки. Якщо інформаційна таємниця порушена, це може означати кримінальну відповідальність.</w:t>
      </w:r>
    </w:p>
    <w:p w14:paraId="12521776" w14:textId="77777777" w:rsidR="00DA6587" w:rsidRPr="007E5633" w:rsidRDefault="00DA6587" w:rsidP="00DA6587">
      <w:pPr>
        <w:pStyle w:val="af4"/>
        <w:rPr>
          <w:sz w:val="22"/>
          <w:szCs w:val="22"/>
          <w:lang w:val="uk-UA"/>
        </w:rPr>
      </w:pPr>
      <w:r w:rsidRPr="007E5633">
        <w:rPr>
          <w:sz w:val="22"/>
          <w:szCs w:val="22"/>
          <w:lang w:val="uk-UA"/>
        </w:rPr>
        <w:t>Згідно зі статтею 8 MAR, інсайдерська торгівля виникає там, коли особа володіє внутрішньою інформацією та використовує цю інформацію шляхом придбання або розпорядження фінансовими інструментами, до яких стосується ця інформація. Інсайдерська торгівля охоплює операції, укладені на власний рахунок, а також на рахунки третьої сторони, як прямо, так і опосередковано.</w:t>
      </w:r>
    </w:p>
    <w:p w14:paraId="725AC8CE" w14:textId="77777777" w:rsidR="00DA6587" w:rsidRPr="007E5633" w:rsidRDefault="00DA6587" w:rsidP="00DA6587">
      <w:pPr>
        <w:pStyle w:val="af4"/>
        <w:rPr>
          <w:sz w:val="22"/>
          <w:szCs w:val="22"/>
          <w:lang w:val="uk-UA"/>
        </w:rPr>
      </w:pPr>
      <w:r w:rsidRPr="007E5633">
        <w:rPr>
          <w:sz w:val="22"/>
          <w:szCs w:val="22"/>
          <w:lang w:val="uk-UA"/>
        </w:rPr>
        <w:t>Скасування або модифікація замовлення, переданого до того, як особа заволоділа інсайдерською інформацією, також розглядається як інсайдерська торгівля. Крім того, надання рекомендації іншій особі під час володіння інсайдерською інформацією також класифікується як інсайдерська торгівля.</w:t>
      </w:r>
    </w:p>
    <w:p w14:paraId="1FD676DB" w14:textId="77777777" w:rsidR="00DA6587" w:rsidRPr="007E5633" w:rsidRDefault="00DA6587" w:rsidP="00DA6587">
      <w:pPr>
        <w:pStyle w:val="af4"/>
        <w:rPr>
          <w:sz w:val="22"/>
          <w:szCs w:val="22"/>
          <w:lang w:val="uk-UA"/>
        </w:rPr>
      </w:pPr>
      <w:r w:rsidRPr="007E5633">
        <w:rPr>
          <w:sz w:val="22"/>
          <w:szCs w:val="22"/>
          <w:lang w:val="uk-UA"/>
        </w:rPr>
        <w:t>Заборона інсайдерської торгівлі стосується осіб, які знають або повинні знати, що це внутрішня інформація, незалежно від обставин, в яких ця інформація була отримана (наприклад, як член адміністративного або керівного органу, залучення до злочинної діяльності або через виконання службових обов’язків).</w:t>
      </w:r>
    </w:p>
    <w:p w14:paraId="019A7851" w14:textId="77777777" w:rsidR="00DA6587" w:rsidRPr="007E5633" w:rsidRDefault="00DA6587" w:rsidP="00DA6587">
      <w:pPr>
        <w:pStyle w:val="af4"/>
        <w:rPr>
          <w:sz w:val="22"/>
          <w:szCs w:val="22"/>
          <w:lang w:val="uk-UA"/>
        </w:rPr>
      </w:pPr>
      <w:r w:rsidRPr="007E5633">
        <w:rPr>
          <w:sz w:val="22"/>
          <w:szCs w:val="22"/>
          <w:lang w:val="uk-UA"/>
        </w:rPr>
        <w:lastRenderedPageBreak/>
        <w:t>Вимоги щодо публічного розкриття внутрішньої інформації регулюються в Статті 17 MAR. Внутрішня інформація повинна бути оприлюднена таким чином, що забезпечує швидкий доступ та повну, правильну та своєчасну оцінку інформації публікою. Внутрішня інформація повинна бути розкрита в потрібний час. Умови затримки публікації, наприклад, для збереження стабільності фінансової системи, визначені в Статті 17 (4-7) MAR та в "Посібнику з регулювання зловживань ринком - зондування ринку та затримка розкриття внутрішньої інформації", опублікованій ESMA.</w:t>
      </w:r>
    </w:p>
    <w:p w14:paraId="1E067D37" w14:textId="77777777" w:rsidR="00DA6587" w:rsidRPr="007E5633" w:rsidRDefault="00DA6587" w:rsidP="00DA6587">
      <w:pPr>
        <w:pStyle w:val="af4"/>
        <w:rPr>
          <w:sz w:val="22"/>
          <w:szCs w:val="22"/>
          <w:lang w:val="uk-UA"/>
        </w:rPr>
      </w:pPr>
      <w:r w:rsidRPr="007E5633">
        <w:rPr>
          <w:sz w:val="22"/>
          <w:szCs w:val="22"/>
          <w:lang w:val="uk-UA"/>
        </w:rPr>
        <w:t>Засоби публічного розкриття внутрішньої інформації викладені в статті 2 Регламенту про застосування до MAR</w:t>
      </w:r>
      <w:r w:rsidRPr="007E5633">
        <w:rPr>
          <w:rStyle w:val="aa"/>
          <w:sz w:val="22"/>
          <w:szCs w:val="22"/>
          <w:lang w:val="uk-UA"/>
        </w:rPr>
        <w:footnoteReference w:id="18"/>
      </w:r>
      <w:r w:rsidRPr="007E5633">
        <w:rPr>
          <w:sz w:val="22"/>
          <w:szCs w:val="22"/>
          <w:lang w:val="uk-UA"/>
        </w:rPr>
        <w:t>. Така інформація повинна бути опублікована на платформі, яка забезпечує недискримінаційний доступ для всіх учасників ринку.</w:t>
      </w:r>
    </w:p>
    <w:p w14:paraId="79FE6CE3" w14:textId="77777777" w:rsidR="00DA6587" w:rsidRPr="007E5633" w:rsidRDefault="00DA6587" w:rsidP="00DA6587">
      <w:pPr>
        <w:pStyle w:val="af4"/>
        <w:rPr>
          <w:sz w:val="22"/>
          <w:szCs w:val="22"/>
          <w:lang w:val="uk-UA"/>
        </w:rPr>
      </w:pPr>
      <w:r w:rsidRPr="007E5633">
        <w:rPr>
          <w:sz w:val="22"/>
          <w:szCs w:val="22"/>
          <w:lang w:val="uk-UA"/>
        </w:rPr>
        <w:t>Кожна внутрішня інформація повинна бути розміщена та підтримуватися на веб-сайті емітента не менше п'яти років.</w:t>
      </w:r>
    </w:p>
    <w:p w14:paraId="30A437DD" w14:textId="77777777" w:rsidR="00DA6587" w:rsidRPr="007E5633" w:rsidRDefault="00DA6587" w:rsidP="00DA6587">
      <w:pPr>
        <w:pStyle w:val="af4"/>
        <w:rPr>
          <w:sz w:val="22"/>
          <w:szCs w:val="22"/>
          <w:lang w:val="uk-UA"/>
        </w:rPr>
      </w:pPr>
      <w:r w:rsidRPr="007E5633">
        <w:rPr>
          <w:sz w:val="22"/>
          <w:szCs w:val="22"/>
          <w:lang w:val="uk-UA"/>
        </w:rPr>
        <w:t>Згідно статті 7 (1) MAR, види внутрішньої інформації наведено нижче:</w:t>
      </w:r>
    </w:p>
    <w:p w14:paraId="26FFF107" w14:textId="77777777" w:rsidR="00DA6587" w:rsidRPr="007E5633" w:rsidRDefault="00DA6587" w:rsidP="000D248B">
      <w:pPr>
        <w:pStyle w:val="af4"/>
        <w:numPr>
          <w:ilvl w:val="0"/>
          <w:numId w:val="30"/>
        </w:numPr>
        <w:rPr>
          <w:sz w:val="22"/>
          <w:szCs w:val="22"/>
          <w:lang w:val="uk-UA"/>
        </w:rPr>
      </w:pPr>
      <w:r w:rsidRPr="007E5633">
        <w:rPr>
          <w:sz w:val="22"/>
          <w:szCs w:val="22"/>
          <w:lang w:val="uk-UA"/>
        </w:rPr>
        <w:t xml:space="preserve">інформація точного характеру, яка не була оприлюднена, прямо чи опосередковано пов'язана з одним або кількома </w:t>
      </w:r>
      <w:r w:rsidRPr="007E5633">
        <w:rPr>
          <w:sz w:val="22"/>
          <w:szCs w:val="22"/>
          <w:u w:val="single"/>
          <w:lang w:val="uk-UA"/>
        </w:rPr>
        <w:t>емітентами</w:t>
      </w:r>
      <w:r w:rsidRPr="007E5633">
        <w:rPr>
          <w:sz w:val="22"/>
          <w:szCs w:val="22"/>
          <w:lang w:val="uk-UA"/>
        </w:rPr>
        <w:t xml:space="preserve"> або з одним або декількома </w:t>
      </w:r>
      <w:r w:rsidRPr="007E5633">
        <w:rPr>
          <w:sz w:val="22"/>
          <w:szCs w:val="22"/>
          <w:u w:val="single"/>
          <w:lang w:val="uk-UA"/>
        </w:rPr>
        <w:t>фінансовими інструментами</w:t>
      </w:r>
      <w:r w:rsidRPr="007E5633">
        <w:rPr>
          <w:sz w:val="22"/>
          <w:szCs w:val="22"/>
          <w:lang w:val="uk-UA"/>
        </w:rPr>
        <w:t>, і яка, якщо вона буде оприлюднена, може мати значний вплив на ціни цих фінансових інструментів або на ціну відповідних похідних фінансових інструментів;</w:t>
      </w:r>
    </w:p>
    <w:p w14:paraId="43CE67EB" w14:textId="77777777" w:rsidR="00DA6587" w:rsidRPr="007E5633" w:rsidRDefault="00DA6587" w:rsidP="000D248B">
      <w:pPr>
        <w:pStyle w:val="af4"/>
        <w:numPr>
          <w:ilvl w:val="0"/>
          <w:numId w:val="30"/>
        </w:numPr>
        <w:rPr>
          <w:sz w:val="22"/>
          <w:szCs w:val="22"/>
          <w:lang w:val="uk-UA"/>
        </w:rPr>
      </w:pPr>
      <w:r w:rsidRPr="007E5633">
        <w:rPr>
          <w:sz w:val="22"/>
          <w:szCs w:val="22"/>
          <w:lang w:val="uk-UA"/>
        </w:rPr>
        <w:t xml:space="preserve">стосовно </w:t>
      </w:r>
      <w:r w:rsidRPr="007E5633">
        <w:rPr>
          <w:sz w:val="22"/>
          <w:szCs w:val="22"/>
          <w:u w:val="single"/>
          <w:lang w:val="uk-UA"/>
        </w:rPr>
        <w:t>деривативів</w:t>
      </w:r>
      <w:r w:rsidR="00601569">
        <w:rPr>
          <w:sz w:val="22"/>
          <w:szCs w:val="22"/>
          <w:u w:val="single"/>
          <w:lang w:val="uk-UA"/>
        </w:rPr>
        <w:t xml:space="preserve"> від </w:t>
      </w:r>
      <w:r w:rsidR="00601569" w:rsidRPr="00601569">
        <w:rPr>
          <w:sz w:val="22"/>
          <w:szCs w:val="22"/>
          <w:u w:val="single"/>
          <w:lang w:val="uk-UA"/>
        </w:rPr>
        <w:t>товарних контрактів</w:t>
      </w:r>
      <w:r w:rsidRPr="007E5633">
        <w:rPr>
          <w:sz w:val="22"/>
          <w:szCs w:val="22"/>
          <w:u w:val="single"/>
          <w:lang w:val="uk-UA"/>
        </w:rPr>
        <w:t>,</w:t>
      </w:r>
      <w:r w:rsidRPr="007E5633">
        <w:rPr>
          <w:sz w:val="22"/>
          <w:szCs w:val="22"/>
          <w:lang w:val="uk-UA"/>
        </w:rPr>
        <w:t xml:space="preserve"> інформація точного характеру, яка не була оприлюднена, прямо чи опосередковано пов'язана з однією чи кількома такими похідними інструментами або прямо пов'язана з відповідним </w:t>
      </w:r>
      <w:r w:rsidR="00120BAC">
        <w:rPr>
          <w:sz w:val="22"/>
          <w:szCs w:val="22"/>
          <w:lang w:val="uk-UA"/>
        </w:rPr>
        <w:t>товарним</w:t>
      </w:r>
      <w:r w:rsidRPr="007E5633">
        <w:rPr>
          <w:sz w:val="22"/>
          <w:szCs w:val="22"/>
          <w:lang w:val="uk-UA"/>
        </w:rPr>
        <w:t xml:space="preserve"> контрактом, і яка, якщо вона була оприлюднена, може мати значний вплив на ціни таких похідних інструментів або пов'язаних спотових контрактів на </w:t>
      </w:r>
      <w:r w:rsidR="00120BAC">
        <w:rPr>
          <w:sz w:val="22"/>
          <w:szCs w:val="22"/>
          <w:lang w:val="uk-UA"/>
        </w:rPr>
        <w:t>товари</w:t>
      </w:r>
      <w:r w:rsidRPr="007E5633">
        <w:rPr>
          <w:sz w:val="22"/>
          <w:szCs w:val="22"/>
          <w:lang w:val="uk-UA"/>
        </w:rPr>
        <w:t xml:space="preserve">, і якщо це інформація, як очікується, буде розкрита або повинна бути розкрита відповідно до законодавчих чи регуляторних положень на рівні ЄС чи на національному рівні, згідно ринкових правил, </w:t>
      </w:r>
      <w:r w:rsidR="00BD153C" w:rsidRPr="007E5633">
        <w:rPr>
          <w:sz w:val="22"/>
          <w:szCs w:val="22"/>
          <w:lang w:val="uk-UA"/>
        </w:rPr>
        <w:t>договорів</w:t>
      </w:r>
      <w:r w:rsidRPr="007E5633">
        <w:rPr>
          <w:sz w:val="22"/>
          <w:szCs w:val="22"/>
          <w:lang w:val="uk-UA"/>
        </w:rPr>
        <w:t xml:space="preserve">, практики або звичаїв на відповідних ринках похідних </w:t>
      </w:r>
      <w:r w:rsidR="00601569">
        <w:rPr>
          <w:sz w:val="22"/>
          <w:szCs w:val="22"/>
          <w:lang w:val="uk-UA"/>
        </w:rPr>
        <w:t>від</w:t>
      </w:r>
      <w:r w:rsidRPr="007E5633">
        <w:rPr>
          <w:sz w:val="22"/>
          <w:szCs w:val="22"/>
          <w:lang w:val="uk-UA"/>
        </w:rPr>
        <w:t xml:space="preserve"> </w:t>
      </w:r>
      <w:r w:rsidR="00601569" w:rsidRPr="00601569">
        <w:rPr>
          <w:sz w:val="22"/>
          <w:szCs w:val="22"/>
          <w:lang w:val="uk-UA"/>
        </w:rPr>
        <w:t xml:space="preserve">товарних контрактів </w:t>
      </w:r>
      <w:r w:rsidRPr="007E5633">
        <w:rPr>
          <w:sz w:val="22"/>
          <w:szCs w:val="22"/>
          <w:lang w:val="uk-UA"/>
        </w:rPr>
        <w:t>або на спотових ринках;</w:t>
      </w:r>
    </w:p>
    <w:p w14:paraId="60757C0F" w14:textId="77777777" w:rsidR="00DA6587" w:rsidRPr="007E5633" w:rsidRDefault="00DA6587" w:rsidP="000D248B">
      <w:pPr>
        <w:pStyle w:val="af4"/>
        <w:numPr>
          <w:ilvl w:val="0"/>
          <w:numId w:val="30"/>
        </w:numPr>
        <w:rPr>
          <w:sz w:val="22"/>
          <w:szCs w:val="22"/>
          <w:lang w:val="uk-UA"/>
        </w:rPr>
      </w:pPr>
      <w:r w:rsidRPr="007E5633">
        <w:rPr>
          <w:sz w:val="22"/>
          <w:szCs w:val="22"/>
          <w:lang w:val="uk-UA"/>
        </w:rPr>
        <w:t xml:space="preserve">стосовно </w:t>
      </w:r>
      <w:r w:rsidRPr="007E5633">
        <w:rPr>
          <w:sz w:val="22"/>
          <w:szCs w:val="22"/>
          <w:u w:val="single"/>
          <w:lang w:val="uk-UA"/>
        </w:rPr>
        <w:t>дозволів на викиди або аукціонованих продуктів на основі дозволів</w:t>
      </w:r>
      <w:r w:rsidRPr="007E5633">
        <w:rPr>
          <w:sz w:val="22"/>
          <w:szCs w:val="22"/>
          <w:lang w:val="uk-UA"/>
        </w:rPr>
        <w:t>, інформація точного характеру, яка не була оприлюднена, прямо чи опосередковано пов'язана з одним чи кількома такими інструментами, і яка, якщо вона буде оприлюднена, буде, ймовірно, мати значний вплив на ціни таких інструментів або на ціни відповідних похідних фінансових інструментів.</w:t>
      </w:r>
    </w:p>
    <w:p w14:paraId="1625358D" w14:textId="77777777" w:rsidR="00DA6587" w:rsidRPr="007E5633" w:rsidRDefault="00DA6587" w:rsidP="000D248B">
      <w:pPr>
        <w:pStyle w:val="af4"/>
        <w:numPr>
          <w:ilvl w:val="0"/>
          <w:numId w:val="30"/>
        </w:numPr>
        <w:rPr>
          <w:sz w:val="22"/>
          <w:szCs w:val="22"/>
          <w:lang w:val="uk-UA"/>
        </w:rPr>
      </w:pPr>
      <w:r w:rsidRPr="007E5633">
        <w:rPr>
          <w:sz w:val="22"/>
          <w:szCs w:val="22"/>
          <w:lang w:val="uk-UA"/>
        </w:rPr>
        <w:t xml:space="preserve">для осіб, відповідальних за виконання замовлень, що стосуються фінансових інструментів, це також означає </w:t>
      </w:r>
      <w:r w:rsidRPr="007E5633">
        <w:rPr>
          <w:sz w:val="22"/>
          <w:szCs w:val="22"/>
          <w:u w:val="single"/>
          <w:lang w:val="uk-UA"/>
        </w:rPr>
        <w:t>інформацію, передану клієнтом і пов'язану з очікуваними замовленнями клієнта</w:t>
      </w:r>
      <w:r w:rsidRPr="007E5633">
        <w:rPr>
          <w:sz w:val="22"/>
          <w:szCs w:val="22"/>
          <w:lang w:val="uk-UA"/>
        </w:rPr>
        <w:t xml:space="preserve"> стосовно фінансових інструментів, яка має точний характер і прямо чи опосередковано стосується одного або кількох емітентів або одного чи кількох фінансових інструментів, і які, якщо вони будуть оприлюднені, можуть мати значний вплив на ціни цих фінансових інструментів, на ціни пов’язаних спотових </w:t>
      </w:r>
      <w:r w:rsidR="00601569">
        <w:rPr>
          <w:color w:val="000000" w:themeColor="text1"/>
          <w:sz w:val="22"/>
          <w:szCs w:val="22"/>
          <w:lang w:val="uk-UA"/>
        </w:rPr>
        <w:t>товарних</w:t>
      </w:r>
      <w:r w:rsidRPr="007E5633">
        <w:rPr>
          <w:color w:val="000000" w:themeColor="text1"/>
          <w:sz w:val="22"/>
          <w:szCs w:val="22"/>
          <w:lang w:val="uk-UA"/>
        </w:rPr>
        <w:t xml:space="preserve"> </w:t>
      </w:r>
      <w:r w:rsidRPr="007E5633">
        <w:rPr>
          <w:sz w:val="22"/>
          <w:szCs w:val="22"/>
          <w:lang w:val="uk-UA"/>
        </w:rPr>
        <w:t>контрактів або на ціну відповідних пов’язаних похідних фінансових інструментів.</w:t>
      </w:r>
    </w:p>
    <w:p w14:paraId="2C841D7E" w14:textId="77777777" w:rsidR="00DA6587" w:rsidRPr="007E5633" w:rsidRDefault="00DA6587" w:rsidP="00DA6587">
      <w:pPr>
        <w:pStyle w:val="af4"/>
        <w:rPr>
          <w:sz w:val="22"/>
          <w:szCs w:val="22"/>
          <w:lang w:val="uk-UA"/>
        </w:rPr>
      </w:pPr>
      <w:r w:rsidRPr="007E5633">
        <w:rPr>
          <w:sz w:val="22"/>
          <w:szCs w:val="22"/>
          <w:lang w:val="uk-UA"/>
        </w:rPr>
        <w:t xml:space="preserve">Іншими словами, розумний інвестор, скоріше за все, скористався такою інформацією в якості частини свого інвестиційного рішення. Для учасників ринку дозволів на викиди, </w:t>
      </w:r>
      <w:r w:rsidRPr="007E5633">
        <w:rPr>
          <w:sz w:val="22"/>
          <w:szCs w:val="22"/>
          <w:lang w:val="uk-UA"/>
        </w:rPr>
        <w:lastRenderedPageBreak/>
        <w:t xml:space="preserve">вимоги MAR повинні бути реалізовані лише якщо на рівні групи перевищено мінімальний </w:t>
      </w:r>
      <w:r w:rsidR="00BD153C" w:rsidRPr="007E5633">
        <w:rPr>
          <w:sz w:val="22"/>
          <w:szCs w:val="22"/>
          <w:lang w:val="uk-UA"/>
        </w:rPr>
        <w:t>поріг</w:t>
      </w:r>
      <w:r w:rsidRPr="007E5633">
        <w:rPr>
          <w:sz w:val="22"/>
          <w:szCs w:val="22"/>
          <w:lang w:val="uk-UA"/>
        </w:rPr>
        <w:t xml:space="preserve"> діоксиду вуглецю та номінальний тепловий вихід. В даний час пороговий показник для двоокису вуглецю еквівалентний 6 мільйонам тонн на рік і для номінального теплового  виходу – 2,430 МВт.</w:t>
      </w:r>
    </w:p>
    <w:p w14:paraId="636C383F" w14:textId="77777777" w:rsidR="00DA6587" w:rsidRPr="007E5633" w:rsidRDefault="00DA6587" w:rsidP="00DA6587">
      <w:pPr>
        <w:pStyle w:val="af4"/>
        <w:rPr>
          <w:sz w:val="22"/>
          <w:szCs w:val="22"/>
          <w:highlight w:val="yellow"/>
          <w:lang w:val="uk-UA"/>
        </w:rPr>
      </w:pPr>
      <w:r w:rsidRPr="007E5633">
        <w:rPr>
          <w:sz w:val="22"/>
          <w:szCs w:val="22"/>
          <w:lang w:val="uk-UA"/>
        </w:rPr>
        <w:t>Наступною вимогою, введеною режимом MAR, є обов'язок регулярно створювати та оновлювати список осіб, які мають доступ до інсайдерської інформації (список інсайдерів). Ці списки є основним інструментом інформаційного контролю, оскільки всі інсайдери в списку мають бути точно інформовані про зобов'язання MAR, і тому вони зобов'язані виконувати свої зобов'язання.</w:t>
      </w:r>
    </w:p>
    <w:tbl>
      <w:tblPr>
        <w:tblStyle w:val="af6"/>
        <w:tblW w:w="9243"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CellMar>
          <w:top w:w="85" w:type="dxa"/>
          <w:bottom w:w="85" w:type="dxa"/>
        </w:tblCellMar>
        <w:tblLook w:val="04A0" w:firstRow="1" w:lastRow="0" w:firstColumn="1" w:lastColumn="0" w:noHBand="0" w:noVBand="1"/>
      </w:tblPr>
      <w:tblGrid>
        <w:gridCol w:w="1100"/>
        <w:gridCol w:w="2136"/>
        <w:gridCol w:w="6007"/>
      </w:tblGrid>
      <w:tr w:rsidR="00DA6587" w:rsidRPr="007E5633" w14:paraId="2FC8ADFE" w14:textId="77777777" w:rsidTr="00DA6587">
        <w:trPr>
          <w:trHeight w:val="690"/>
        </w:trPr>
        <w:tc>
          <w:tcPr>
            <w:tcW w:w="1100" w:type="dxa"/>
            <w:shd w:val="clear" w:color="auto" w:fill="auto"/>
          </w:tcPr>
          <w:p w14:paraId="49B6C20C"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2320" behindDoc="0" locked="0" layoutInCell="1" allowOverlap="1" wp14:anchorId="122858F9" wp14:editId="30E9FF02">
                      <wp:simplePos x="0" y="0"/>
                      <wp:positionH relativeFrom="column">
                        <wp:posOffset>138430</wp:posOffset>
                      </wp:positionH>
                      <wp:positionV relativeFrom="paragraph">
                        <wp:posOffset>99695</wp:posOffset>
                      </wp:positionV>
                      <wp:extent cx="187325" cy="209550"/>
                      <wp:effectExtent l="0" t="0" r="3175" b="0"/>
                      <wp:wrapNone/>
                      <wp:docPr id="39" name="Freeform 49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7325" cy="209550"/>
                              </a:xfrm>
                              <a:custGeom>
                                <a:avLst/>
                                <a:gdLst>
                                  <a:gd name="T0" fmla="*/ 14 w 276"/>
                                  <a:gd name="T1" fmla="*/ 26 h 308"/>
                                  <a:gd name="T2" fmla="*/ 36 w 276"/>
                                  <a:gd name="T3" fmla="*/ 30 h 308"/>
                                  <a:gd name="T4" fmla="*/ 2 w 276"/>
                                  <a:gd name="T5" fmla="*/ 52 h 308"/>
                                  <a:gd name="T6" fmla="*/ 6 w 276"/>
                                  <a:gd name="T7" fmla="*/ 30 h 308"/>
                                  <a:gd name="T8" fmla="*/ 176 w 276"/>
                                  <a:gd name="T9" fmla="*/ 202 h 308"/>
                                  <a:gd name="T10" fmla="*/ 174 w 276"/>
                                  <a:gd name="T11" fmla="*/ 194 h 308"/>
                                  <a:gd name="T12" fmla="*/ 100 w 276"/>
                                  <a:gd name="T13" fmla="*/ 132 h 308"/>
                                  <a:gd name="T14" fmla="*/ 50 w 276"/>
                                  <a:gd name="T15" fmla="*/ 80 h 308"/>
                                  <a:gd name="T16" fmla="*/ 30 w 276"/>
                                  <a:gd name="T17" fmla="*/ 58 h 308"/>
                                  <a:gd name="T18" fmla="*/ 22 w 276"/>
                                  <a:gd name="T19" fmla="*/ 64 h 308"/>
                                  <a:gd name="T20" fmla="*/ 42 w 276"/>
                                  <a:gd name="T21" fmla="*/ 88 h 308"/>
                                  <a:gd name="T22" fmla="*/ 92 w 276"/>
                                  <a:gd name="T23" fmla="*/ 140 h 308"/>
                                  <a:gd name="T24" fmla="*/ 168 w 276"/>
                                  <a:gd name="T25" fmla="*/ 204 h 308"/>
                                  <a:gd name="T26" fmla="*/ 172 w 276"/>
                                  <a:gd name="T27" fmla="*/ 206 h 308"/>
                                  <a:gd name="T28" fmla="*/ 176 w 276"/>
                                  <a:gd name="T29" fmla="*/ 202 h 308"/>
                                  <a:gd name="T30" fmla="*/ 276 w 276"/>
                                  <a:gd name="T31" fmla="*/ 292 h 308"/>
                                  <a:gd name="T32" fmla="*/ 266 w 276"/>
                                  <a:gd name="T33" fmla="*/ 308 h 308"/>
                                  <a:gd name="T34" fmla="*/ 62 w 276"/>
                                  <a:gd name="T35" fmla="*/ 308 h 308"/>
                                  <a:gd name="T36" fmla="*/ 46 w 276"/>
                                  <a:gd name="T37" fmla="*/ 298 h 308"/>
                                  <a:gd name="T38" fmla="*/ 46 w 276"/>
                                  <a:gd name="T39" fmla="*/ 112 h 308"/>
                                  <a:gd name="T40" fmla="*/ 88 w 276"/>
                                  <a:gd name="T41" fmla="*/ 156 h 308"/>
                                  <a:gd name="T42" fmla="*/ 168 w 276"/>
                                  <a:gd name="T43" fmla="*/ 220 h 308"/>
                                  <a:gd name="T44" fmla="*/ 182 w 276"/>
                                  <a:gd name="T45" fmla="*/ 214 h 308"/>
                                  <a:gd name="T46" fmla="*/ 200 w 276"/>
                                  <a:gd name="T47" fmla="*/ 196 h 308"/>
                                  <a:gd name="T48" fmla="*/ 204 w 276"/>
                                  <a:gd name="T49" fmla="*/ 182 h 308"/>
                                  <a:gd name="T50" fmla="*/ 136 w 276"/>
                                  <a:gd name="T51" fmla="*/ 106 h 308"/>
                                  <a:gd name="T52" fmla="*/ 86 w 276"/>
                                  <a:gd name="T53" fmla="*/ 62 h 308"/>
                                  <a:gd name="T54" fmla="*/ 62 w 276"/>
                                  <a:gd name="T55" fmla="*/ 34 h 308"/>
                                  <a:gd name="T56" fmla="*/ 116 w 276"/>
                                  <a:gd name="T57" fmla="*/ 68 h 308"/>
                                  <a:gd name="T58" fmla="*/ 150 w 276"/>
                                  <a:gd name="T59" fmla="*/ 106 h 308"/>
                                  <a:gd name="T60" fmla="*/ 162 w 276"/>
                                  <a:gd name="T61" fmla="*/ 126 h 308"/>
                                  <a:gd name="T62" fmla="*/ 168 w 276"/>
                                  <a:gd name="T63" fmla="*/ 126 h 308"/>
                                  <a:gd name="T64" fmla="*/ 170 w 276"/>
                                  <a:gd name="T65" fmla="*/ 118 h 308"/>
                                  <a:gd name="T66" fmla="*/ 144 w 276"/>
                                  <a:gd name="T67" fmla="*/ 80 h 308"/>
                                  <a:gd name="T68" fmla="*/ 102 w 276"/>
                                  <a:gd name="T69" fmla="*/ 40 h 308"/>
                                  <a:gd name="T70" fmla="*/ 62 w 276"/>
                                  <a:gd name="T71" fmla="*/ 20 h 308"/>
                                  <a:gd name="T72" fmla="*/ 46 w 276"/>
                                  <a:gd name="T73" fmla="*/ 16 h 308"/>
                                  <a:gd name="T74" fmla="*/ 50 w 276"/>
                                  <a:gd name="T75" fmla="*/ 4 h 308"/>
                                  <a:gd name="T76" fmla="*/ 194 w 276"/>
                                  <a:gd name="T77" fmla="*/ 0 h 308"/>
                                  <a:gd name="T78" fmla="*/ 276 w 276"/>
                                  <a:gd name="T79" fmla="*/ 82 h 308"/>
                                  <a:gd name="T80" fmla="*/ 220 w 276"/>
                                  <a:gd name="T81" fmla="*/ 206 h 308"/>
                                  <a:gd name="T82" fmla="*/ 220 w 276"/>
                                  <a:gd name="T83" fmla="*/ 206 h 308"/>
                                  <a:gd name="T84" fmla="*/ 202 w 276"/>
                                  <a:gd name="T85" fmla="*/ 214 h 308"/>
                                  <a:gd name="T86" fmla="*/ 194 w 276"/>
                                  <a:gd name="T87" fmla="*/ 226 h 308"/>
                                  <a:gd name="T88" fmla="*/ 240 w 276"/>
                                  <a:gd name="T89" fmla="*/ 272 h 308"/>
                                  <a:gd name="T90" fmla="*/ 238 w 276"/>
                                  <a:gd name="T91" fmla="*/ 266 h 308"/>
                                  <a:gd name="T92" fmla="*/ 88 w 276"/>
                                  <a:gd name="T93" fmla="*/ 264 h 308"/>
                                  <a:gd name="T94" fmla="*/ 84 w 276"/>
                                  <a:gd name="T95" fmla="*/ 266 h 308"/>
                                  <a:gd name="T96" fmla="*/ 80 w 276"/>
                                  <a:gd name="T97" fmla="*/ 272 h 308"/>
                                  <a:gd name="T98" fmla="*/ 86 w 276"/>
                                  <a:gd name="T99" fmla="*/ 280 h 308"/>
                                  <a:gd name="T100" fmla="*/ 232 w 276"/>
                                  <a:gd name="T101" fmla="*/ 280 h 308"/>
                                  <a:gd name="T102" fmla="*/ 240 w 276"/>
                                  <a:gd name="T103" fmla="*/ 274 h 308"/>
                                  <a:gd name="T104" fmla="*/ 262 w 276"/>
                                  <a:gd name="T105" fmla="*/ 84 h 308"/>
                                  <a:gd name="T106" fmla="*/ 220 w 276"/>
                                  <a:gd name="T107" fmla="*/ 42 h 308"/>
                                  <a:gd name="T108" fmla="*/ 262 w 276"/>
                                  <a:gd name="T109" fmla="*/ 84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6" h="308">
                                    <a:moveTo>
                                      <a:pt x="6" y="30"/>
                                    </a:moveTo>
                                    <a:lnTo>
                                      <a:pt x="6" y="30"/>
                                    </a:lnTo>
                                    <a:lnTo>
                                      <a:pt x="14" y="26"/>
                                    </a:lnTo>
                                    <a:lnTo>
                                      <a:pt x="20" y="24"/>
                                    </a:lnTo>
                                    <a:lnTo>
                                      <a:pt x="28" y="26"/>
                                    </a:lnTo>
                                    <a:lnTo>
                                      <a:pt x="36" y="30"/>
                                    </a:lnTo>
                                    <a:lnTo>
                                      <a:pt x="8" y="60"/>
                                    </a:lnTo>
                                    <a:lnTo>
                                      <a:pt x="8" y="60"/>
                                    </a:lnTo>
                                    <a:lnTo>
                                      <a:pt x="2" y="52"/>
                                    </a:lnTo>
                                    <a:lnTo>
                                      <a:pt x="0" y="46"/>
                                    </a:lnTo>
                                    <a:lnTo>
                                      <a:pt x="2" y="38"/>
                                    </a:lnTo>
                                    <a:lnTo>
                                      <a:pt x="6" y="30"/>
                                    </a:lnTo>
                                    <a:lnTo>
                                      <a:pt x="6" y="30"/>
                                    </a:lnTo>
                                    <a:close/>
                                    <a:moveTo>
                                      <a:pt x="176" y="202"/>
                                    </a:moveTo>
                                    <a:lnTo>
                                      <a:pt x="176" y="202"/>
                                    </a:lnTo>
                                    <a:lnTo>
                                      <a:pt x="176" y="198"/>
                                    </a:lnTo>
                                    <a:lnTo>
                                      <a:pt x="174" y="194"/>
                                    </a:lnTo>
                                    <a:lnTo>
                                      <a:pt x="174" y="194"/>
                                    </a:lnTo>
                                    <a:lnTo>
                                      <a:pt x="154" y="178"/>
                                    </a:lnTo>
                                    <a:lnTo>
                                      <a:pt x="130" y="158"/>
                                    </a:lnTo>
                                    <a:lnTo>
                                      <a:pt x="100" y="132"/>
                                    </a:lnTo>
                                    <a:lnTo>
                                      <a:pt x="100" y="132"/>
                                    </a:lnTo>
                                    <a:lnTo>
                                      <a:pt x="70" y="102"/>
                                    </a:lnTo>
                                    <a:lnTo>
                                      <a:pt x="50" y="80"/>
                                    </a:lnTo>
                                    <a:lnTo>
                                      <a:pt x="32" y="60"/>
                                    </a:lnTo>
                                    <a:lnTo>
                                      <a:pt x="32" y="60"/>
                                    </a:lnTo>
                                    <a:lnTo>
                                      <a:pt x="30" y="58"/>
                                    </a:lnTo>
                                    <a:lnTo>
                                      <a:pt x="24" y="60"/>
                                    </a:lnTo>
                                    <a:lnTo>
                                      <a:pt x="24" y="60"/>
                                    </a:lnTo>
                                    <a:lnTo>
                                      <a:pt x="22" y="64"/>
                                    </a:lnTo>
                                    <a:lnTo>
                                      <a:pt x="24" y="68"/>
                                    </a:lnTo>
                                    <a:lnTo>
                                      <a:pt x="24" y="68"/>
                                    </a:lnTo>
                                    <a:lnTo>
                                      <a:pt x="42" y="88"/>
                                    </a:lnTo>
                                    <a:lnTo>
                                      <a:pt x="62" y="110"/>
                                    </a:lnTo>
                                    <a:lnTo>
                                      <a:pt x="92" y="140"/>
                                    </a:lnTo>
                                    <a:lnTo>
                                      <a:pt x="92" y="140"/>
                                    </a:lnTo>
                                    <a:lnTo>
                                      <a:pt x="122" y="168"/>
                                    </a:lnTo>
                                    <a:lnTo>
                                      <a:pt x="146" y="188"/>
                                    </a:lnTo>
                                    <a:lnTo>
                                      <a:pt x="168" y="204"/>
                                    </a:lnTo>
                                    <a:lnTo>
                                      <a:pt x="168" y="204"/>
                                    </a:lnTo>
                                    <a:lnTo>
                                      <a:pt x="172" y="206"/>
                                    </a:lnTo>
                                    <a:lnTo>
                                      <a:pt x="172" y="206"/>
                                    </a:lnTo>
                                    <a:lnTo>
                                      <a:pt x="174" y="204"/>
                                    </a:lnTo>
                                    <a:lnTo>
                                      <a:pt x="176" y="202"/>
                                    </a:lnTo>
                                    <a:lnTo>
                                      <a:pt x="176" y="202"/>
                                    </a:lnTo>
                                    <a:close/>
                                    <a:moveTo>
                                      <a:pt x="276" y="82"/>
                                    </a:moveTo>
                                    <a:lnTo>
                                      <a:pt x="276" y="292"/>
                                    </a:lnTo>
                                    <a:lnTo>
                                      <a:pt x="276" y="292"/>
                                    </a:lnTo>
                                    <a:lnTo>
                                      <a:pt x="274" y="298"/>
                                    </a:lnTo>
                                    <a:lnTo>
                                      <a:pt x="270" y="304"/>
                                    </a:lnTo>
                                    <a:lnTo>
                                      <a:pt x="266" y="308"/>
                                    </a:lnTo>
                                    <a:lnTo>
                                      <a:pt x="260" y="308"/>
                                    </a:lnTo>
                                    <a:lnTo>
                                      <a:pt x="62" y="308"/>
                                    </a:lnTo>
                                    <a:lnTo>
                                      <a:pt x="62" y="308"/>
                                    </a:lnTo>
                                    <a:lnTo>
                                      <a:pt x="56" y="308"/>
                                    </a:lnTo>
                                    <a:lnTo>
                                      <a:pt x="50" y="304"/>
                                    </a:lnTo>
                                    <a:lnTo>
                                      <a:pt x="46" y="298"/>
                                    </a:lnTo>
                                    <a:lnTo>
                                      <a:pt x="46" y="292"/>
                                    </a:lnTo>
                                    <a:lnTo>
                                      <a:pt x="46" y="112"/>
                                    </a:lnTo>
                                    <a:lnTo>
                                      <a:pt x="46" y="112"/>
                                    </a:lnTo>
                                    <a:lnTo>
                                      <a:pt x="64" y="132"/>
                                    </a:lnTo>
                                    <a:lnTo>
                                      <a:pt x="88" y="156"/>
                                    </a:lnTo>
                                    <a:lnTo>
                                      <a:pt x="88" y="156"/>
                                    </a:lnTo>
                                    <a:lnTo>
                                      <a:pt x="122" y="186"/>
                                    </a:lnTo>
                                    <a:lnTo>
                                      <a:pt x="150" y="208"/>
                                    </a:lnTo>
                                    <a:lnTo>
                                      <a:pt x="168" y="220"/>
                                    </a:lnTo>
                                    <a:lnTo>
                                      <a:pt x="178" y="226"/>
                                    </a:lnTo>
                                    <a:lnTo>
                                      <a:pt x="178" y="226"/>
                                    </a:lnTo>
                                    <a:lnTo>
                                      <a:pt x="182" y="214"/>
                                    </a:lnTo>
                                    <a:lnTo>
                                      <a:pt x="190" y="204"/>
                                    </a:lnTo>
                                    <a:lnTo>
                                      <a:pt x="190" y="204"/>
                                    </a:lnTo>
                                    <a:lnTo>
                                      <a:pt x="200" y="196"/>
                                    </a:lnTo>
                                    <a:lnTo>
                                      <a:pt x="210" y="192"/>
                                    </a:lnTo>
                                    <a:lnTo>
                                      <a:pt x="210" y="192"/>
                                    </a:lnTo>
                                    <a:lnTo>
                                      <a:pt x="204" y="182"/>
                                    </a:lnTo>
                                    <a:lnTo>
                                      <a:pt x="190" y="164"/>
                                    </a:lnTo>
                                    <a:lnTo>
                                      <a:pt x="168" y="136"/>
                                    </a:lnTo>
                                    <a:lnTo>
                                      <a:pt x="136" y="106"/>
                                    </a:lnTo>
                                    <a:lnTo>
                                      <a:pt x="136" y="106"/>
                                    </a:lnTo>
                                    <a:lnTo>
                                      <a:pt x="110" y="82"/>
                                    </a:lnTo>
                                    <a:lnTo>
                                      <a:pt x="86" y="62"/>
                                    </a:lnTo>
                                    <a:lnTo>
                                      <a:pt x="54" y="40"/>
                                    </a:lnTo>
                                    <a:lnTo>
                                      <a:pt x="62" y="34"/>
                                    </a:lnTo>
                                    <a:lnTo>
                                      <a:pt x="62" y="34"/>
                                    </a:lnTo>
                                    <a:lnTo>
                                      <a:pt x="84" y="44"/>
                                    </a:lnTo>
                                    <a:lnTo>
                                      <a:pt x="98" y="54"/>
                                    </a:lnTo>
                                    <a:lnTo>
                                      <a:pt x="116" y="68"/>
                                    </a:lnTo>
                                    <a:lnTo>
                                      <a:pt x="116" y="68"/>
                                    </a:lnTo>
                                    <a:lnTo>
                                      <a:pt x="136" y="88"/>
                                    </a:lnTo>
                                    <a:lnTo>
                                      <a:pt x="150" y="106"/>
                                    </a:lnTo>
                                    <a:lnTo>
                                      <a:pt x="160" y="124"/>
                                    </a:lnTo>
                                    <a:lnTo>
                                      <a:pt x="160" y="124"/>
                                    </a:lnTo>
                                    <a:lnTo>
                                      <a:pt x="162" y="126"/>
                                    </a:lnTo>
                                    <a:lnTo>
                                      <a:pt x="166" y="126"/>
                                    </a:lnTo>
                                    <a:lnTo>
                                      <a:pt x="166" y="126"/>
                                    </a:lnTo>
                                    <a:lnTo>
                                      <a:pt x="168" y="126"/>
                                    </a:lnTo>
                                    <a:lnTo>
                                      <a:pt x="168" y="126"/>
                                    </a:lnTo>
                                    <a:lnTo>
                                      <a:pt x="172" y="122"/>
                                    </a:lnTo>
                                    <a:lnTo>
                                      <a:pt x="170" y="118"/>
                                    </a:lnTo>
                                    <a:lnTo>
                                      <a:pt x="170" y="118"/>
                                    </a:lnTo>
                                    <a:lnTo>
                                      <a:pt x="158" y="98"/>
                                    </a:lnTo>
                                    <a:lnTo>
                                      <a:pt x="144" y="80"/>
                                    </a:lnTo>
                                    <a:lnTo>
                                      <a:pt x="124" y="58"/>
                                    </a:lnTo>
                                    <a:lnTo>
                                      <a:pt x="124" y="58"/>
                                    </a:lnTo>
                                    <a:lnTo>
                                      <a:pt x="102" y="40"/>
                                    </a:lnTo>
                                    <a:lnTo>
                                      <a:pt x="82" y="30"/>
                                    </a:lnTo>
                                    <a:lnTo>
                                      <a:pt x="68" y="22"/>
                                    </a:lnTo>
                                    <a:lnTo>
                                      <a:pt x="62" y="20"/>
                                    </a:lnTo>
                                    <a:lnTo>
                                      <a:pt x="58" y="20"/>
                                    </a:lnTo>
                                    <a:lnTo>
                                      <a:pt x="46" y="34"/>
                                    </a:lnTo>
                                    <a:lnTo>
                                      <a:pt x="46" y="16"/>
                                    </a:lnTo>
                                    <a:lnTo>
                                      <a:pt x="46" y="16"/>
                                    </a:lnTo>
                                    <a:lnTo>
                                      <a:pt x="46" y="10"/>
                                    </a:lnTo>
                                    <a:lnTo>
                                      <a:pt x="50" y="4"/>
                                    </a:lnTo>
                                    <a:lnTo>
                                      <a:pt x="56" y="0"/>
                                    </a:lnTo>
                                    <a:lnTo>
                                      <a:pt x="62" y="0"/>
                                    </a:lnTo>
                                    <a:lnTo>
                                      <a:pt x="194" y="0"/>
                                    </a:lnTo>
                                    <a:lnTo>
                                      <a:pt x="210" y="16"/>
                                    </a:lnTo>
                                    <a:lnTo>
                                      <a:pt x="260" y="66"/>
                                    </a:lnTo>
                                    <a:lnTo>
                                      <a:pt x="276" y="82"/>
                                    </a:lnTo>
                                    <a:close/>
                                    <a:moveTo>
                                      <a:pt x="194" y="234"/>
                                    </a:moveTo>
                                    <a:lnTo>
                                      <a:pt x="234" y="246"/>
                                    </a:lnTo>
                                    <a:lnTo>
                                      <a:pt x="220" y="206"/>
                                    </a:lnTo>
                                    <a:lnTo>
                                      <a:pt x="220" y="206"/>
                                    </a:lnTo>
                                    <a:lnTo>
                                      <a:pt x="220" y="206"/>
                                    </a:lnTo>
                                    <a:lnTo>
                                      <a:pt x="220" y="206"/>
                                    </a:lnTo>
                                    <a:lnTo>
                                      <a:pt x="212" y="208"/>
                                    </a:lnTo>
                                    <a:lnTo>
                                      <a:pt x="206" y="210"/>
                                    </a:lnTo>
                                    <a:lnTo>
                                      <a:pt x="202" y="214"/>
                                    </a:lnTo>
                                    <a:lnTo>
                                      <a:pt x="202" y="214"/>
                                    </a:lnTo>
                                    <a:lnTo>
                                      <a:pt x="198" y="220"/>
                                    </a:lnTo>
                                    <a:lnTo>
                                      <a:pt x="194" y="226"/>
                                    </a:lnTo>
                                    <a:lnTo>
                                      <a:pt x="194" y="234"/>
                                    </a:lnTo>
                                    <a:lnTo>
                                      <a:pt x="194" y="234"/>
                                    </a:lnTo>
                                    <a:close/>
                                    <a:moveTo>
                                      <a:pt x="240" y="272"/>
                                    </a:moveTo>
                                    <a:lnTo>
                                      <a:pt x="240" y="272"/>
                                    </a:lnTo>
                                    <a:lnTo>
                                      <a:pt x="240" y="268"/>
                                    </a:lnTo>
                                    <a:lnTo>
                                      <a:pt x="238" y="266"/>
                                    </a:lnTo>
                                    <a:lnTo>
                                      <a:pt x="236" y="264"/>
                                    </a:lnTo>
                                    <a:lnTo>
                                      <a:pt x="232" y="264"/>
                                    </a:lnTo>
                                    <a:lnTo>
                                      <a:pt x="88" y="264"/>
                                    </a:lnTo>
                                    <a:lnTo>
                                      <a:pt x="88" y="264"/>
                                    </a:lnTo>
                                    <a:lnTo>
                                      <a:pt x="86" y="264"/>
                                    </a:lnTo>
                                    <a:lnTo>
                                      <a:pt x="84" y="266"/>
                                    </a:lnTo>
                                    <a:lnTo>
                                      <a:pt x="82" y="268"/>
                                    </a:lnTo>
                                    <a:lnTo>
                                      <a:pt x="80" y="272"/>
                                    </a:lnTo>
                                    <a:lnTo>
                                      <a:pt x="80" y="272"/>
                                    </a:lnTo>
                                    <a:lnTo>
                                      <a:pt x="82" y="274"/>
                                    </a:lnTo>
                                    <a:lnTo>
                                      <a:pt x="84" y="278"/>
                                    </a:lnTo>
                                    <a:lnTo>
                                      <a:pt x="86" y="280"/>
                                    </a:lnTo>
                                    <a:lnTo>
                                      <a:pt x="88" y="280"/>
                                    </a:lnTo>
                                    <a:lnTo>
                                      <a:pt x="232" y="280"/>
                                    </a:lnTo>
                                    <a:lnTo>
                                      <a:pt x="232" y="280"/>
                                    </a:lnTo>
                                    <a:lnTo>
                                      <a:pt x="236" y="280"/>
                                    </a:lnTo>
                                    <a:lnTo>
                                      <a:pt x="238" y="278"/>
                                    </a:lnTo>
                                    <a:lnTo>
                                      <a:pt x="240" y="274"/>
                                    </a:lnTo>
                                    <a:lnTo>
                                      <a:pt x="240" y="272"/>
                                    </a:lnTo>
                                    <a:lnTo>
                                      <a:pt x="240" y="272"/>
                                    </a:lnTo>
                                    <a:close/>
                                    <a:moveTo>
                                      <a:pt x="262" y="84"/>
                                    </a:moveTo>
                                    <a:lnTo>
                                      <a:pt x="244" y="66"/>
                                    </a:lnTo>
                                    <a:lnTo>
                                      <a:pt x="220" y="66"/>
                                    </a:lnTo>
                                    <a:lnTo>
                                      <a:pt x="220" y="42"/>
                                    </a:lnTo>
                                    <a:lnTo>
                                      <a:pt x="202" y="24"/>
                                    </a:lnTo>
                                    <a:lnTo>
                                      <a:pt x="202" y="84"/>
                                    </a:lnTo>
                                    <a:lnTo>
                                      <a:pt x="262" y="84"/>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5F27B1" id="Freeform 4992" o:spid="_x0000_s1026" style="position:absolute;margin-left:10.9pt;margin-top:7.85pt;width:14.75pt;height: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k+PQoAAGI4AAAOAAAAZHJzL2Uyb0RvYy54bWzMW11v47oRfS/Q/yD4sUDXIi1/KNjsRbG3&#10;KQpsbxfYFPdZseXEqG25krLJ3l/fM9JQGSUakrfIQ18iOzoezTkkhzOk+PGn59Mx+V7WzaE6X8/M&#10;h3SWlOdttTuc769n/7q9+fNmljRtcd4Vx+pcXs9+lM3sp09//MPHp8tVaauH6rgr6wRGzs3V0+V6&#10;9tC2l6v5vNk+lKei+VBdyjNu7qv6VLT4Wt/Pd3XxBOun49ym6Wr+VNW7S11ty6bBf3/ub84+dfb3&#10;+3Lb/nO/b8o2OV7P4Fvb/a27v3f0d/7pY3F1XxeXh8OW3Sj+By9OxeGMhw6mfi7aInmsD29MnQ7b&#10;umqqffthW53m1X5/2JYdB7Ax6Ss23x6KS9lxgTjNZZCpeT+z21++f62Tw+56tshnybk4oY1u6rIk&#10;xZMszy0p9HRprgD8dvlaE8fm8qXa/rtJztVfd4f2a3U4t/DIEHI+gtKXBj9K7p7+Ue1guXhsq06m&#10;5319IlMQIHnuWuPH0Brlc5ts8U+zWS/scpZsccum+XLZtda8uHI/3j427d/KqjNUfP/StH1j7vCp&#10;a4od87lFw+9PR7Trn+aJyZKnxK5X3PIDxgiMXSUPySLdvMZYgVmspu0sJCadtpMJjJ02A96Dy0s7&#10;bWYlMIo3awFZKN5ghA6PMmvFEDrHALKp4pAZCb3WlJZSmzybJmek2CZNp2UyUm6z0PySgi81U1Ly&#10;jaKVkZpD0OmuJFVfbhR+Unar9AIjZV8pSlmpeqZYslL0jeKTlZrnmqWR5JkilJWSm9VmWika3qJb&#10;aQSl6Gat+SVVt6k2hKXsam+3Une1uy+k8Agp0xwXUnkLVSdDy0JKb1eaLak9ApRiS2q/UuRaSOl1&#10;U1L6TPNqpHyueSWVV01J4Y1RxMqk8OjMk6Mwk7qbpdIfMqm72k8zqbu1Sp/PpO5mowifSeEtpqPJ&#10;/pBJ4ZHoKByl8ibXOErlbaqE5WwkPbyf9AuT8MuINdokuBxpr43FpdR+o3SupZQenXnaK6m81uOX&#10;UviFovtS6m6M5pTUHcFt2ikpu9GmneVIdk2q1Uh2jeFqJLuWxayk7GqXX0ndjWpLCm/WSjddSeWN&#10;UfRajaTPlG66ktJr0/RqJD3SlckIsZLSaxPZWiqvCb+WwmvhYS111wLgeiS7MqDXUnWtY62l6Epv&#10;RxosRjNSsUmd1lJyJfatpeLqXLiWimshZiMVp2A76dRmLLmi1EZqrtuSoqupw0aqTknBtF9SdjW8&#10;b6KE30jhrTYGNyPp0Y+n/ZLSWyRRkzErH2m/UKbWfKQ9kpVpW1J7bZbOR9JrKW4upd8o3TQfKa96&#10;JZVH/JgUKx8Jr4olhdfmr3ykuxawUOCIkWhRyEz6ZdKR8ro1Kb3VuoRJR+KjXptsR5NK9a0WA00q&#10;9UcjKcak/uqINKlsARQ1ijHZAh7PZBtIz7CYcO+WC4oHt4KwfT7zEgI+JQWtZKXdqsWlami1gtYT&#10;sCZx2694FFdA0XqDAkZTEHjRLY+EwFCawMsoMJQk8DoKDKUInEeBqZAntImjSLV6B48jaZiliaNJ&#10;NXdnPY6oYaaonWlBKqQ4Vc9kHQVyFJyp2jiqVAZ31uOoWqZq46hapopyNcZ3qlfJGVSkUXDXc+Oo&#10;LpgqCsso60x1EUd1wVSxShljnSpEoooiMArOVFHnRcGZKkq5KDhTzeKoZkwVBVmMdarIiCpqrig4&#10;U0VdFQVnqiieouBMdRlHdclUUQTFWKcqiKiizomCM1WUMlFwpopqJQrOVFGQRMGZKoqOGDiVHUQV&#10;lUUUnKmifIiCM1XUCFFwpopCIArOVJHtx8Ap3yeqyOij4Ex1E0eVsvbOehxVSsw7eBxVyr07eBxV&#10;Sq8JjgQ6hip2X3p4HFXKkjvrcVRzpopkN8oZpoqENgbeZbTkDeWscT9gtpSWxv2A+VLmGfcDZkzZ&#10;ZdwPmLNJR6T7pIJzxBp7jK93F+tZgt3FO3pIcXUpWkot3cfkCdtZVHg/YM8Ne0z0/1P1vbytOkRL&#10;GWbvJ+br3suX28ezB+Zuuuuls8XZFlKL3pi76649itMg5CteVK9HwNbilfvuSe7aP7E3hZDue2AU&#10;qO83WE30WepHHpZVfaDeEnINHyiKnQLaHqumhPG3TY69iG70YmGBn661+lukE9ZdueHZosn9fAwt&#10;J2GkYivOyzsat2R7WBPy6Wg4HzXIArw4qo3JP+yRvAeOp1YzCO1kc9dePs6rMDv5Hkr7NvAt0I0j&#10;UT3PgBxcUgSeGIli7/0N72z5mykORfst0Avzpk9VWqKmFkcd6oPx/GiQ7b8DzND2Jz0Vq8c+c4b2&#10;ZggXIEF2CIcdF7+9WBwtIHf2/EEMO6SRuH6cBv17E5ncQHHXcbx5iWDuvh71uokQnLBO20uuBT0H&#10;xAaqV8x4HJMPBEfL0WIRaERs2Xai81sjyBAceXftRbJcw4RwPALeCUa7WlA5ZI1DXogr938bkG6A&#10;+VvMjSYsIvlGXSRsxXNPYK7gvB3bwt6HRsKGyIHqwccBm4A8MgMRxkUEZGVee7TrQhEhkJCZWBxt&#10;l5A95Ize53IdE4wckTjsb3fPxQ6297mW1yVNKAjE4mhlG3yxV+99rmEeBr3Lqwu3G/bF/TjOkE36&#10;TjjmG6DBtS1Ci48EZ2+BOdXFJ78gcSgu0fH6hM8vRBtqK7jnQ2HLvoOhJd4Dxg0Vmul5XAfbk4O/&#10;Qa7k9S4axxlLaPzz5IRt/MBzObMJ4vq2CNuLxHHGQnHUq4tL3bHG/y44Xn8MTGSGXuxB1wuUAtSq&#10;XQ8NOBcJQ3lC1gLjkCP2sFTgsg137bOOYT7xysajNTDpsGYBFE/X2BTwNZSb1P3d8veh/FMmj1S/&#10;W5wu+S2xWn4Q1dTUin7UMK/5dXC5I0azT1SXAr+ZDfQ03Llph/ZS83De5rFoFK8T6B9EHG9T/H/i&#10;eM/S9m956/k6/O94BEpRKnp6nL9rxeJo0aazFxhnQ8uFQjZ3xJcWdhHCXbmIU3F678ELBr2vCON9&#10;n1B7zxuke7q7cpXkcIFp3PK2IFVf3t7I87gNJHB48aJnEsBxXRAyFwvjLhZ6aB9KQlx5RrAB6XjX&#10;BW8CeZWLhbFuWEr0tQNnejawMsiJqg1MuE7eAGxo1HfDcXsF7fEQDrB9GT5+8V5w/ibTcZ4hzLMZ&#10;Gig0gvteGBpwHP4jYVgV9HWbIWg671y0cFeOGhyDBxLutrsy7DVXd9vJg8mA9my6l0eGzRva8xHn&#10;jZrqeNjdHI5HWstv6vu7z8c6+V7glNnNzV+yYS9+BDt2rwmdK/qZo0s/x4Gn/tWj7vQUHZjqj1zd&#10;VbsfODyF03U4tvZQ1b/NkiecVLueNf95LOpylhz/fsbBqxz5KQJw233JlmuSvpZ37uSd8+PpcwU3&#10;8SJZcd7C6vWsdR8/t/3JOBxNA+8v52+XLQG7fam6aW+ffy3qS3LBR/wIXv9SuRNqxZU7gEXiDVg+&#10;ENYT4S84yNYpy4fu6KSc/N6hXo4GfvovAAAA//8DAFBLAwQUAAYACAAAACEAw3QTkN8AAAAHAQAA&#10;DwAAAGRycy9kb3ducmV2LnhtbEzOTU/DMAwG4DsS/yEyEhfE0o59UZpOaBPSDpPQuu2eNV5bkThV&#10;k23l32NOcLRf6/WTLwdnxRX70HpSkI4SEEiVNy3VCg77j+cFiBA1GW09oYJvDLAs7u9ynRl/ox1e&#10;y1gLLqGQaQVNjF0mZagadDqMfIfE2dn3Tkce+1qaXt+43Fk5TpKZdLol/tDoDlcNVl/lxSmoX8v1&#10;yqa7zdNmv51s4/G8nslPpR4fhvc3EBGH+HcMv3ymQ8Gmk7+QCcIqGKcsj7yfzkFwPk1fQJwUTBZz&#10;kEUu//uLHwAAAP//AwBQSwECLQAUAAYACAAAACEAtoM4kv4AAADhAQAAEwAAAAAAAAAAAAAAAAAA&#10;AAAAW0NvbnRlbnRfVHlwZXNdLnhtbFBLAQItABQABgAIAAAAIQA4/SH/1gAAAJQBAAALAAAAAAAA&#10;AAAAAAAAAC8BAABfcmVscy8ucmVsc1BLAQItABQABgAIAAAAIQC2RQk+PQoAAGI4AAAOAAAAAAAA&#10;AAAAAAAAAC4CAABkcnMvZTJvRG9jLnhtbFBLAQItABQABgAIAAAAIQDDdBOQ3wAAAAcBAAAPAAAA&#10;AAAAAAAAAAAAAJcMAABkcnMvZG93bnJldi54bWxQSwUGAAAAAAQABADzAAAAow0AAAAA&#10;" path="m6,30r,l14,26r6,-2l28,26r8,4l8,60r,l2,52,,46,2,38,6,30r,xm176,202r,l176,198r-2,-4l174,194,154,178,130,158,100,132r,l70,102,50,80,32,60r,l30,58r-6,2l24,60r-2,4l24,68r,l42,88r20,22l92,140r,l122,168r24,20l168,204r,l172,206r,l174,204r2,-2l176,202xm276,82r,210l276,292r-2,6l270,304r-4,4l260,308r-198,l62,308r-6,l50,304r-4,-6l46,292r,-180l46,112r18,20l88,156r,l122,186r28,22l168,220r10,6l178,226r4,-12l190,204r,l200,196r10,-4l210,192r-6,-10l190,164,168,136,136,106r,l110,82,86,62,54,40r8,-6l62,34,84,44,98,54r18,14l116,68r20,20l150,106r10,18l160,124r2,2l166,126r,l168,126r,l172,122r-2,-4l170,118,158,98,144,80,124,58r,l102,40,82,30,68,22,62,20r-4,l46,34r,-18l46,16r,-6l50,4,56,r6,l194,r16,16l260,66r16,16xm194,234r40,12l220,206r,l220,206r,l212,208r-6,2l202,214r,l198,220r-4,6l194,234r,xm240,272r,l240,268r-2,-2l236,264r-4,l88,264r,l86,264r-2,2l82,268r-2,4l80,272r2,2l84,278r2,2l88,280r144,l232,280r4,l238,278r2,-4l240,272r,xm262,84l244,66r-24,l220,42,202,24r,60l262,84xe" fillcolor="#ffa451" stroked="f">
                      <v:path arrowok="t" o:connecttype="custom" o:connectlocs="9502,17689;24434,20411;1357,35379;4072,20411;119454,137432;118096,131989;67871,89807;33936,54429;20361,39461;14932,43543;28506,59871;62442,95250;114024,138793;116739,140154;119454,137432;187325,198664;180538,209550;42080,209550;31221,202746;31221,76200;59727,106136;114024,149679;123526,145596;135743,133350;138458,123825;92305,72118;58369,42182;42080,23132;78731,46264;101807,72118;109952,85725;114024,85725;115381,80282;97735,54429;69229,27214;42080,13607;31221,10886;33936,2721;131670,0;187325,55789;149317,140154;149317,140154;137100,145596;131670,153761;162891,185057;161534,180975;59727,179614;57012,180975;54297,185057;58369,190500;157462,190500;162891,186418;177823,57150;149317,28575;177823,57150" o:connectangles="0,0,0,0,0,0,0,0,0,0,0,0,0,0,0,0,0,0,0,0,0,0,0,0,0,0,0,0,0,0,0,0,0,0,0,0,0,0,0,0,0,0,0,0,0,0,0,0,0,0,0,0,0,0,0"/>
                      <o:lock v:ext="edit" verticies="t"/>
                    </v:shape>
                  </w:pict>
                </mc:Fallback>
              </mc:AlternateContent>
            </w:r>
          </w:p>
        </w:tc>
        <w:tc>
          <w:tcPr>
            <w:tcW w:w="2136" w:type="dxa"/>
          </w:tcPr>
          <w:p w14:paraId="033F1530"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Вміст</w:t>
            </w:r>
          </w:p>
        </w:tc>
        <w:tc>
          <w:tcPr>
            <w:tcW w:w="6007" w:type="dxa"/>
          </w:tcPr>
          <w:p w14:paraId="261C8936" w14:textId="77777777" w:rsidR="00DA6587" w:rsidRPr="007E5633" w:rsidRDefault="00DA6587" w:rsidP="000A7BA9">
            <w:pPr>
              <w:rPr>
                <w:rFonts w:ascii="Arial" w:hAnsi="Arial" w:cs="Arial"/>
                <w:highlight w:val="yellow"/>
                <w:lang w:val="uk-UA"/>
              </w:rPr>
            </w:pPr>
            <w:r w:rsidRPr="007E5633">
              <w:rPr>
                <w:rFonts w:ascii="Arial" w:hAnsi="Arial" w:cs="Arial"/>
                <w:lang w:val="uk-UA"/>
              </w:rPr>
              <w:t>Список інсайдерів повинен містити персональні дані кожної людини, як працівників, так і субпідрядників, які мають доступ до внутрішньої інформації</w:t>
            </w:r>
          </w:p>
        </w:tc>
      </w:tr>
      <w:tr w:rsidR="00DA6587" w:rsidRPr="007E5633" w14:paraId="6D3F74C5" w14:textId="77777777" w:rsidTr="00DA6587">
        <w:trPr>
          <w:trHeight w:val="690"/>
        </w:trPr>
        <w:tc>
          <w:tcPr>
            <w:tcW w:w="1100" w:type="dxa"/>
            <w:shd w:val="clear" w:color="auto" w:fill="auto"/>
          </w:tcPr>
          <w:p w14:paraId="40C7BDCB"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g">
                  <w:drawing>
                    <wp:anchor distT="0" distB="0" distL="114300" distR="114300" simplePos="0" relativeHeight="251833344" behindDoc="0" locked="0" layoutInCell="1" allowOverlap="1" wp14:anchorId="1BE8AC32" wp14:editId="4822C40B">
                      <wp:simplePos x="0" y="0"/>
                      <wp:positionH relativeFrom="column">
                        <wp:posOffset>104140</wp:posOffset>
                      </wp:positionH>
                      <wp:positionV relativeFrom="paragraph">
                        <wp:posOffset>107315</wp:posOffset>
                      </wp:positionV>
                      <wp:extent cx="256540" cy="229870"/>
                      <wp:effectExtent l="0" t="0" r="10160" b="17780"/>
                      <wp:wrapNone/>
                      <wp:docPr id="4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29870"/>
                                <a:chOff x="0" y="0"/>
                                <a:chExt cx="451736" cy="403860"/>
                              </a:xfrm>
                              <a:solidFill>
                                <a:srgbClr val="FFA451"/>
                              </a:solidFill>
                            </wpg:grpSpPr>
                            <wps:wsp>
                              <wps:cNvPr id="41" name="Rectangle 41"/>
                              <wps:cNvSpPr/>
                              <wps:spPr bwMode="ltGray">
                                <a:xfrm>
                                  <a:off x="161068" y="0"/>
                                  <a:ext cx="129600"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bwMode="ltGray">
                                <a:xfrm>
                                  <a:off x="161381" y="157024"/>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43"/>
                              <wps:cNvSpPr/>
                              <wps:spPr bwMode="ltGray">
                                <a:xfrm>
                                  <a:off x="0" y="157024"/>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bwMode="ltGray">
                                <a:xfrm>
                                  <a:off x="322762" y="157024"/>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tangle 45"/>
                              <wps:cNvSpPr/>
                              <wps:spPr bwMode="ltGray">
                                <a:xfrm>
                                  <a:off x="0" y="314048"/>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bwMode="ltGray">
                                <a:xfrm>
                                  <a:off x="161381" y="314048"/>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bwMode="ltGray">
                                <a:xfrm>
                                  <a:off x="322762" y="314048"/>
                                  <a:ext cx="128974" cy="89812"/>
                                </a:xfrm>
                                <a:prstGeom prst="rect">
                                  <a:avLst/>
                                </a:prstGeom>
                                <a:grpFill/>
                                <a:ln w="3175">
                                  <a:solidFill>
                                    <a:srgbClr val="FFA4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Elbow Connector 48"/>
                              <wps:cNvCnPr/>
                              <wps:spPr>
                                <a:xfrm rot="5400000">
                                  <a:off x="111572" y="42728"/>
                                  <a:ext cx="67212" cy="161381"/>
                                </a:xfrm>
                                <a:prstGeom prst="bentConnector3">
                                  <a:avLst>
                                    <a:gd name="adj1" fmla="val 50000"/>
                                  </a:avLst>
                                </a:prstGeom>
                                <a:grpFill/>
                                <a:ln w="3175">
                                  <a:solidFill>
                                    <a:srgbClr val="FFA451"/>
                                  </a:solidFill>
                                </a:ln>
                              </wps:spPr>
                              <wps:style>
                                <a:lnRef idx="1">
                                  <a:schemeClr val="accent1"/>
                                </a:lnRef>
                                <a:fillRef idx="0">
                                  <a:schemeClr val="accent1"/>
                                </a:fillRef>
                                <a:effectRef idx="0">
                                  <a:schemeClr val="accent1"/>
                                </a:effectRef>
                                <a:fontRef idx="minor">
                                  <a:schemeClr val="tx1"/>
                                </a:fontRef>
                              </wps:style>
                              <wps:bodyPr/>
                            </wps:wsp>
                            <wps:wsp>
                              <wps:cNvPr id="49" name="Elbow Connector 49"/>
                              <wps:cNvCnPr/>
                              <wps:spPr>
                                <a:xfrm rot="16200000" flipH="1">
                                  <a:off x="272952" y="42727"/>
                                  <a:ext cx="67212" cy="161381"/>
                                </a:xfrm>
                                <a:prstGeom prst="bentConnector3">
                                  <a:avLst>
                                    <a:gd name="adj1" fmla="val 50000"/>
                                  </a:avLst>
                                </a:prstGeom>
                                <a:grpFill/>
                                <a:ln w="3175">
                                  <a:solidFill>
                                    <a:srgbClr val="FFA451"/>
                                  </a:solidFill>
                                </a:ln>
                              </wps:spPr>
                              <wps:style>
                                <a:lnRef idx="1">
                                  <a:schemeClr val="accent1"/>
                                </a:lnRef>
                                <a:fillRef idx="0">
                                  <a:schemeClr val="accent1"/>
                                </a:fillRef>
                                <a:effectRef idx="0">
                                  <a:schemeClr val="accent1"/>
                                </a:effectRef>
                                <a:fontRef idx="minor">
                                  <a:schemeClr val="tx1"/>
                                </a:fontRef>
                              </wps:style>
                              <wps:bodyPr/>
                            </wps:wsp>
                            <wps:wsp>
                              <wps:cNvPr id="50" name="Elbow Connector 142"/>
                              <wps:cNvCnPr/>
                              <wps:spPr>
                                <a:xfrm>
                                  <a:off x="387249" y="246836"/>
                                  <a:ext cx="0" cy="67212"/>
                                </a:xfrm>
                                <a:prstGeom prst="straightConnector1">
                                  <a:avLst/>
                                </a:prstGeom>
                                <a:grpFill/>
                                <a:ln w="3175">
                                  <a:solidFill>
                                    <a:srgbClr val="FFA451"/>
                                  </a:solidFill>
                                </a:ln>
                              </wps:spPr>
                              <wps:style>
                                <a:lnRef idx="1">
                                  <a:schemeClr val="accent1"/>
                                </a:lnRef>
                                <a:fillRef idx="0">
                                  <a:schemeClr val="accent1"/>
                                </a:fillRef>
                                <a:effectRef idx="0">
                                  <a:schemeClr val="accent1"/>
                                </a:effectRef>
                                <a:fontRef idx="minor">
                                  <a:schemeClr val="tx1"/>
                                </a:fontRef>
                              </wps:style>
                              <wps:bodyPr/>
                            </wps:wsp>
                            <wps:wsp>
                              <wps:cNvPr id="51" name="Elbow Connector 142"/>
                              <wps:cNvCnPr/>
                              <wps:spPr>
                                <a:xfrm>
                                  <a:off x="225868" y="246836"/>
                                  <a:ext cx="0" cy="67212"/>
                                </a:xfrm>
                                <a:prstGeom prst="straightConnector1">
                                  <a:avLst/>
                                </a:prstGeom>
                                <a:grpFill/>
                                <a:ln w="3175">
                                  <a:solidFill>
                                    <a:srgbClr val="FFA451"/>
                                  </a:solidFill>
                                </a:ln>
                              </wps:spPr>
                              <wps:style>
                                <a:lnRef idx="1">
                                  <a:schemeClr val="accent1"/>
                                </a:lnRef>
                                <a:fillRef idx="0">
                                  <a:schemeClr val="accent1"/>
                                </a:fillRef>
                                <a:effectRef idx="0">
                                  <a:schemeClr val="accent1"/>
                                </a:effectRef>
                                <a:fontRef idx="minor">
                                  <a:schemeClr val="tx1"/>
                                </a:fontRef>
                              </wps:style>
                              <wps:bodyPr/>
                            </wps:wsp>
                            <wps:wsp>
                              <wps:cNvPr id="52" name="Elbow Connector 142"/>
                              <wps:cNvCnPr/>
                              <wps:spPr>
                                <a:xfrm>
                                  <a:off x="64487" y="246836"/>
                                  <a:ext cx="0" cy="67212"/>
                                </a:xfrm>
                                <a:prstGeom prst="straightConnector1">
                                  <a:avLst/>
                                </a:prstGeom>
                                <a:grpFill/>
                                <a:ln w="3175">
                                  <a:solidFill>
                                    <a:srgbClr val="FFA45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58F438" id="Group 426" o:spid="_x0000_s1026" style="position:absolute;margin-left:8.2pt;margin-top:8.45pt;width:20.2pt;height:18.1pt;z-index:251833344;mso-width-relative:margin;mso-height-relative:margin" coordsize="451736,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KibQQAAJIkAAAOAAAAZHJzL2Uyb0RvYy54bWzsWtty2zYQfe9M/4HD91okeBXHcqbjxM5D&#10;2maS9gMgErwkIMEBEFP6+ywupFRL9riyHWU61IOGErAL7OLwcHHAyzebljp3hIuGdSvXv/Bch3Q5&#10;K5quWrn//H3zW+o6QuKuwJR1ZOVuiXDfXP36y+XQZwSxmtGCcAecdCIb+pVbS9lni4XIa9JiccF6&#10;0kFjyXiLJfzk1aLgeADvLV0gz4sXA+NFz1lOhIB/35pG90r7L0uSy7/KUhDp0JULc5P6m+vvtfpe&#10;XF3irOK4r5vcTgOfMIsWNx0MOrl6iyV2vvHmwFXb5JwJVsqLnLULVpZNTnQMEI3v3YvmlrNvvY6l&#10;yoaqn9IEqb2Xp5Pd5n/efeROU6zcENLT4RbWSA/rhChW2Rn6KoNOt7z/3H/kJkS4/MDyrwKaF/fb&#10;1e9q13lT8lYZQaTORqd9O6WdbKSTw58oiiM1eg5NCC3TxC5LXsPaHVjl9TtrF0Z+EsTGLvSCNNZ2&#10;C5yNgwpGm+KmoVTNQPBqfU25c4cBCjc3v4O1ig+673XT4UzTH3oApdjlXTwv759r3BO9nEKldMy7&#10;P+b9E6AVdxUlTqinpoaHfirveiFEJuDSWQ9/sAKWicpbjrcadWPANst+7Hsx3HiHqfbRMvZsqtNl&#10;6iObgtFBz4W8Jax11MXK5TAjPQC++yCkydbYxUJBpRcacEY7Z1i5gZ9E2mIvqU/NvfKhEWUCVdiD&#10;K7mlxPj/REpAqgKMGUFxBJmWFOc56aRvmmpcELPSkQefcaFHC73stAOHynMJIUy+rYOxp3Ey+jYZ&#10;sP2VKdEUMxl7j03MGE8WemTWycm4bTrGjzmgEJUd2fQfk2RSo7K0ZsUWoMElvWaG6XCX1wyILpdc&#10;G1ssm6S+PqjREVBrsD0H1EEK9wqA2o8SD4UqLFgBSwY+SpdJaMhgRvaMbKgmXoeugyPIDhQWT0Y2&#10;8PEM6pmuz0nXQJym9turQTTBngzqAKEkhqfAjOwZ2edEdnQE2dEL0HXgh16YzjXIXF2r0lzRJBTV&#10;P6q6hk3vAV3b3frpW8axup6RrRSCed94ln1jcgTZybPoeq8QmZE9I/tsigjocYaz39E1G5xr1nWg&#10;rjHumCrCFtrX3b/EPqVwKG3O4QzkOFBJtZql/h2lPh/EEFNmhyhB9wqSOEEg8WlhFTRBRfBGR3pA&#10;7luDgDbNK9BSlBb+1HhVYaePiy+gwpQtBZ0ctFRnnyhtb9BUfwKV8AlK3nEJ8Akq3o+WAOVmXLry&#10;cQnwDMXI8kFgL/eI+1Fg+zGc5cAHcEWb/j0ofBp8FuOA62W0w7h+HOyEvxnjmT4tO1TCzb0+Y/y/&#10;HLkdP6OJAJnHydsP91XtB0C+x9dBmqAQ7hiQRVAYp3B8Bau0A7M9mjGYfpSrheS4qeodX5tb5uc6&#10;qJkp2G4Mp6PbV9Gk4STzheCJUJTak8MZnupseGbPF2BPeHa/DHvGYZjCDnEmT1vH/8/Rqd/GgBdf&#10;9HG9fUlHvVmz/1uLb7tXia6+AwAA//8DAFBLAwQUAAYACAAAACEAga4FWNwAAAAHAQAADwAAAGRy&#10;cy9kb3ducmV2LnhtbEyPQUvDQBCF74L/YRnBm93E2qAxm1KKeiqCrSDepsk0Cc3Ohuw2Sf+905M9&#10;PR7v8eabbDnZVg3U+8axgXgWgSIuXNlwZeB79/7wDMoH5BJbx2TgTB6W+e1NhmnpRv6iYRsqJSPs&#10;UzRQh9ClWvuiJot+5jpiyQ6utxjE9pUuexxl3Lb6MYoSbbFhuVBjR+uaiuP2ZA18jDiu5vHbsDke&#10;1uff3eLzZxOTMfd30+oVVKAp/Jfhgi/okAvT3p249KoVnzxJ86IvoCRfJPLJXnQeg84zfc2f/wEA&#10;AP//AwBQSwECLQAUAAYACAAAACEAtoM4kv4AAADhAQAAEwAAAAAAAAAAAAAAAAAAAAAAW0NvbnRl&#10;bnRfVHlwZXNdLnhtbFBLAQItABQABgAIAAAAIQA4/SH/1gAAAJQBAAALAAAAAAAAAAAAAAAAAC8B&#10;AABfcmVscy8ucmVsc1BLAQItABQABgAIAAAAIQDhtKKibQQAAJIkAAAOAAAAAAAAAAAAAAAAAC4C&#10;AABkcnMvZTJvRG9jLnhtbFBLAQItABQABgAIAAAAIQCBrgVY3AAAAAcBAAAPAAAAAAAAAAAAAAAA&#10;AMcGAABkcnMvZG93bnJldi54bWxQSwUGAAAAAAQABADzAAAA0AcAAAAA&#10;">
                      <v:rect id="Rectangle 41" o:spid="_x0000_s1027" style="position:absolute;left:161068;width:129600;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IqxgAAANsAAAAPAAAAZHJzL2Rvd25yZXYueG1sRI9bawIx&#10;EIXfC/6HMIIvRbNeWmVrlF5QxEJBW/o8bMbN4mayJOm6/fdGKPTxcOZ8Z85y3dlatORD5VjBeJSB&#10;IC6crrhU8PW5GS5AhIissXZMCn4pwHrVu1tirt2FD9QeYykShEOOCkyMTS5lKAxZDCPXECfv5LzF&#10;mKQvpfZ4SXBby0mWPUqLFacGgw29GirOxx+b3tgsXrJ2+3G47/Zevr99T838YarUoN89P4GI1MX/&#10;47/0TiuYjeG2JQFArq4AAAD//wMAUEsBAi0AFAAGAAgAAAAhANvh9svuAAAAhQEAABMAAAAAAAAA&#10;AAAAAAAAAAAAAFtDb250ZW50X1R5cGVzXS54bWxQSwECLQAUAAYACAAAACEAWvQsW78AAAAVAQAA&#10;CwAAAAAAAAAAAAAAAAAfAQAAX3JlbHMvLnJlbHNQSwECLQAUAAYACAAAACEAB6JCKsYAAADbAAAA&#10;DwAAAAAAAAAAAAAAAAAHAgAAZHJzL2Rvd25yZXYueG1sUEsFBgAAAAADAAMAtwAAAPoCAAAAAA==&#10;" filled="f" strokecolor="#ffa451" strokeweight=".25pt"/>
                      <v:rect id="Rectangle 42" o:spid="_x0000_s1028" style="position:absolute;left:161381;top:157024;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xdxQAAANsAAAAPAAAAZHJzL2Rvd25yZXYueG1sRI9RawIx&#10;EITfBf9DWMGXormqrXI1SrVYSgsFbenzclkvh5fNkcTz+u8boeDjMDvf7CzXna1FSz5UjhXcjzMQ&#10;xIXTFZcKvr92owWIEJE11o5JwS8FWK/6vSXm2l14T+0hliJBOOSowMTY5FKGwpDFMHYNcfKOzluM&#10;SfpSao+XBLe1nGTZo7RYcWow2NDWUHE6nG16Y7fYZO3r5/6ue/fy4+VnauYPU6WGg+75CUSkLt6O&#10;/9NvWsFsAtctCQBy9QcAAP//AwBQSwECLQAUAAYACAAAACEA2+H2y+4AAACFAQAAEwAAAAAAAAAA&#10;AAAAAAAAAAAAW0NvbnRlbnRfVHlwZXNdLnhtbFBLAQItABQABgAIAAAAIQBa9CxbvwAAABUBAAAL&#10;AAAAAAAAAAAAAAAAAB8BAABfcmVscy8ucmVsc1BLAQItABQABgAIAAAAIQD3cNxdxQAAANsAAAAP&#10;AAAAAAAAAAAAAAAAAAcCAABkcnMvZG93bnJldi54bWxQSwUGAAAAAAMAAwC3AAAA+QIAAAAA&#10;" filled="f" strokecolor="#ffa451" strokeweight=".25pt"/>
                      <v:rect id="Rectangle 43" o:spid="_x0000_s1029" style="position:absolute;top:157024;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nGxgAAANsAAAAPAAAAZHJzL2Rvd25yZXYueG1sRI9La8Mw&#10;EITvgf4HsYVeSiK3bpPgRgl9kBAaCORBzou1tUytlZFUx/33UaGQ4zA73+zMFr1tREc+1I4VPIwy&#10;EMSl0zVXCo6H5XAKIkRkjY1jUvBLARbzm8EMC+3OvKNuHyuRIBwKVGBibAspQ2nIYhi5ljh5X85b&#10;jEn6SmqP5wS3jXzMsrG0WHNqMNjSu6Hye/9j0xvL6VvWrba7+/7Ty83HKTeT51ypu9v+9QVEpD5e&#10;j//Ta63gKYe/LQkAcn4BAAD//wMAUEsBAi0AFAAGAAgAAAAhANvh9svuAAAAhQEAABMAAAAAAAAA&#10;AAAAAAAAAAAAAFtDb250ZW50X1R5cGVzXS54bWxQSwECLQAUAAYACAAAACEAWvQsW78AAAAVAQAA&#10;CwAAAAAAAAAAAAAAAAAfAQAAX3JlbHMvLnJlbHNQSwECLQAUAAYACAAAACEAmDx5xsYAAADbAAAA&#10;DwAAAAAAAAAAAAAAAAAHAgAAZHJzL2Rvd25yZXYueG1sUEsFBgAAAAADAAMAtwAAAPoCAAAAAA==&#10;" filled="f" strokecolor="#ffa451" strokeweight=".25pt"/>
                      <v:rect id="Rectangle 44" o:spid="_x0000_s1030" style="position:absolute;left:322762;top:157024;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GyxgAAANsAAAAPAAAAZHJzL2Rvd25yZXYueG1sRI9La8Mw&#10;EITvhf4HsYVcSiK3eeJECW1KSmkgkAc5L9bWMrVWRlId599HhUKPw+x8s7NYdbYWLflQOVbwNMhA&#10;EBdOV1wqOB03/RmIEJE11o5JwZUCrJb3dwvMtbvwntpDLEWCcMhRgYmxyaUMhSGLYeAa4uR9OW8x&#10;JulLqT1eEtzW8jnLJtJixanBYENrQ8X34cemNzaz16x93+0fu08vt2/noZmOh0r1HrqXOYhIXfw/&#10;/kt/aAWjEfxuSQCQyxsAAAD//wMAUEsBAi0AFAAGAAgAAAAhANvh9svuAAAAhQEAABMAAAAAAAAA&#10;AAAAAAAAAAAAAFtDb250ZW50X1R5cGVzXS54bWxQSwECLQAUAAYACAAAACEAWvQsW78AAAAVAQAA&#10;CwAAAAAAAAAAAAAAAAAfAQAAX3JlbHMvLnJlbHNQSwECLQAUAAYACAAAACEAF9XhssYAAADbAAAA&#10;DwAAAAAAAAAAAAAAAAAHAgAAZHJzL2Rvd25yZXYueG1sUEsFBgAAAAADAAMAtwAAAPoCAAAAAA==&#10;" filled="f" strokecolor="#ffa451" strokeweight=".25pt"/>
                      <v:rect id="Rectangle 45" o:spid="_x0000_s1031" style="position:absolute;top:314048;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QpxgAAANsAAAAPAAAAZHJzL2Rvd25yZXYueG1sRI9bawIx&#10;EIXfC/0PYQq+FM221gurUVqLpSgIXvB52Ew3SzeTJUnX9d+bQqGPhzPnO3Pmy87WoiUfKscKngYZ&#10;COLC6YpLBafjuj8FESKyxtoxKbhSgOXi/m6OuXYX3lN7iKVIEA45KjAxNrmUoTBkMQxcQ5y8L+ct&#10;xiR9KbXHS4LbWj5n2VharDg1GGxoZaj4PvzY9MZ6+pa1H7v9Y7fxcvt+HprJaKhU76F7nYGI1MX/&#10;47/0p1bwMoLfLQkAcnEDAAD//wMAUEsBAi0AFAAGAAgAAAAhANvh9svuAAAAhQEAABMAAAAAAAAA&#10;AAAAAAAAAAAAAFtDb250ZW50X1R5cGVzXS54bWxQSwECLQAUAAYACAAAACEAWvQsW78AAAAVAQAA&#10;CwAAAAAAAAAAAAAAAAAfAQAAX3JlbHMvLnJlbHNQSwECLQAUAAYACAAAACEAeJlEKcYAAADbAAAA&#10;DwAAAAAAAAAAAAAAAAAHAgAAZHJzL2Rvd25yZXYueG1sUEsFBgAAAAADAAMAtwAAAPoCAAAAAA==&#10;" filled="f" strokecolor="#ffa451" strokeweight=".25pt"/>
                      <v:rect id="Rectangle 46" o:spid="_x0000_s1032" style="position:absolute;left:161381;top:314048;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pexQAAANsAAAAPAAAAZHJzL2Rvd25yZXYueG1sRI9RawIx&#10;EITfhf6HsAVfSs1VW5XTKG1FEQsFtfR5uayXo5fNkaTn+e9NoeDjMDvf7MyXna1FSz5UjhU8DTIQ&#10;xIXTFZcKvo7rxymIEJE11o5JwYUCLBd3vTnm2p15T+0hliJBOOSowMTY5FKGwpDFMHANcfJOzluM&#10;SfpSao/nBLe1HGbZWFqsODUYbOjdUPFz+LXpjfX0LWs3n/uHbuflx+p7ZCYvI6X6993rDESkLt6O&#10;/9NbreB5DH9bEgDk4goAAP//AwBQSwECLQAUAAYACAAAACEA2+H2y+4AAACFAQAAEwAAAAAAAAAA&#10;AAAAAAAAAAAAW0NvbnRlbnRfVHlwZXNdLnhtbFBLAQItABQABgAIAAAAIQBa9CxbvwAAABUBAAAL&#10;AAAAAAAAAAAAAAAAAB8BAABfcmVscy8ucmVsc1BLAQItABQABgAIAAAAIQCIS9pexQAAANsAAAAP&#10;AAAAAAAAAAAAAAAAAAcCAABkcnMvZG93bnJldi54bWxQSwUGAAAAAAMAAwC3AAAA+QIAAAAA&#10;" filled="f" strokecolor="#ffa451" strokeweight=".25pt"/>
                      <v:rect id="Rectangle 47" o:spid="_x0000_s1033" style="position:absolute;left:322762;top:314048;width:128974;height:89812;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FxQAAANsAAAAPAAAAZHJzL2Rvd25yZXYueG1sRI9RawIx&#10;EITfBf9DWKEvRXOttcrVKG1FEYWCWvq8XLaXo5fNkaTn+e9NoeDjMDvf7MyXna1FSz5UjhU8jDIQ&#10;xIXTFZcKPk/r4QxEiMgaa8ek4EIBlot+b465dmc+UHuMpUgQDjkqMDE2uZShMGQxjFxDnLxv5y3G&#10;JH0ptcdzgttaPmbZs7RYcWow2NC7oeLn+GvTG+vZW9ZuPg733c7L/eprbKaTsVJ3g+71BUSkLt6O&#10;/9NbreBpCn9bEgDk4goAAP//AwBQSwECLQAUAAYACAAAACEA2+H2y+4AAACFAQAAEwAAAAAAAAAA&#10;AAAAAAAAAAAAW0NvbnRlbnRfVHlwZXNdLnhtbFBLAQItABQABgAIAAAAIQBa9CxbvwAAABUBAAAL&#10;AAAAAAAAAAAAAAAAAB8BAABfcmVscy8ucmVsc1BLAQItABQABgAIAAAAIQDnB3/FxQAAANsAAAAP&#10;AAAAAAAAAAAAAAAAAAcCAABkcnMvZG93bnJldi54bWxQSwUGAAAAAAMAAwC3AAAA+QIAAAAA&#10;" filled="f" strokecolor="#ffa451" strokeweight=".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34" type="#_x0000_t34" style="position:absolute;left:111572;top:42728;width:67212;height:1613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s9LwAAAANsAAAAPAAAAZHJzL2Rvd25yZXYueG1sRE/Pa8Iw&#10;FL4P/B/CE7zN1KFTqlHKYOBBkFVBj4/k2RSbl9pkWv97cxjs+PH9Xm1614g7daH2rGAyzkAQa29q&#10;rhQcD9/vCxAhIhtsPJOCJwXYrAdvK8yNf/AP3ctYiRTCIUcFNsY2lzJoSw7D2LfEibv4zmFMsKuk&#10;6fCRwl0jP7LsUzqsOTVYbOnLkr6Wv06BtgXv5qebLmkqZ9vzpbruy0Kp0bAvliAi9fFf/OfeGgXT&#10;NDZ9ST9Arl8AAAD//wMAUEsBAi0AFAAGAAgAAAAhANvh9svuAAAAhQEAABMAAAAAAAAAAAAAAAAA&#10;AAAAAFtDb250ZW50X1R5cGVzXS54bWxQSwECLQAUAAYACAAAACEAWvQsW78AAAAVAQAACwAAAAAA&#10;AAAAAAAAAAAfAQAAX3JlbHMvLnJlbHNQSwECLQAUAAYACAAAACEAew7PS8AAAADbAAAADwAAAAAA&#10;AAAAAAAAAAAHAgAAZHJzL2Rvd25yZXYueG1sUEsFBgAAAAADAAMAtwAAAPQCAAAAAA==&#10;" strokecolor="#ffa451" strokeweight=".25pt"/>
                      <v:shape id="Elbow Connector 49" o:spid="_x0000_s1035" type="#_x0000_t34" style="position:absolute;left:272952;top:42727;width:67212;height:1613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ORwgAAANsAAAAPAAAAZHJzL2Rvd25yZXYueG1sRI/dagIx&#10;FITvC32HcAre1WxF/NkapQiF0hvR9QEOm2M2mJwsm9RdfXpTELwcZuYbZrUZvBMX6qINrOBjXIAg&#10;roO2bBQcq+/3BYiYkDW6wKTgShE269eXFZY69LynyyEZkSEcS1TQpNSWUsa6IY9xHFri7J1C5zFl&#10;2RmpO+wz3Ds5KYqZ9Gg5LzTY0rah+nz48wro9nu1eNoZ6QY7Py+q3hnfKzV6G74+QSQa0jP8aP9o&#10;BdMl/H/JP0Cu7wAAAP//AwBQSwECLQAUAAYACAAAACEA2+H2y+4AAACFAQAAEwAAAAAAAAAAAAAA&#10;AAAAAAAAW0NvbnRlbnRfVHlwZXNdLnhtbFBLAQItABQABgAIAAAAIQBa9CxbvwAAABUBAAALAAAA&#10;AAAAAAAAAAAAAB8BAABfcmVscy8ucmVsc1BLAQItABQABgAIAAAAIQDsbMORwgAAANsAAAAPAAAA&#10;AAAAAAAAAAAAAAcCAABkcnMvZG93bnJldi54bWxQSwUGAAAAAAMAAwC3AAAA9gIAAAAA&#10;" strokecolor="#ffa451" strokeweight=".25pt"/>
                      <v:shapetype id="_x0000_t32" coordsize="21600,21600" o:spt="32" o:oned="t" path="m,l21600,21600e" filled="f">
                        <v:path arrowok="t" fillok="f" o:connecttype="none"/>
                        <o:lock v:ext="edit" shapetype="t"/>
                      </v:shapetype>
                      <v:shape id="Elbow Connector 142" o:spid="_x0000_s1036" type="#_x0000_t32" style="position:absolute;left:387249;top:246836;width:0;height:67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utwQAAANsAAAAPAAAAZHJzL2Rvd25yZXYueG1sRE/Pa8Iw&#10;FL4P9j+EN/C2pgqTtRplE4QdvOjU7fhsnm2xeSlJbOt/bw6Cx4/v93w5mEZ05HxtWcE4SUEQF1bX&#10;XCrY/67fP0H4gKyxsUwKbuRhuXh9mWOubc9b6nahFDGEfY4KqhDaXEpfVGTQJ7YljtzZOoMhQldK&#10;7bCP4aaRkzSdSoM1x4YKW1pVVFx2V6PAZd+n69kex6vsoP3lX2/cHxVKjd6GrxmIQEN4ih/uH63g&#10;I66PX+IPkIs7AAAA//8DAFBLAQItABQABgAIAAAAIQDb4fbL7gAAAIUBAAATAAAAAAAAAAAAAAAA&#10;AAAAAABbQ29udGVudF9UeXBlc10ueG1sUEsBAi0AFAAGAAgAAAAhAFr0LFu/AAAAFQEAAAsAAAAA&#10;AAAAAAAAAAAAHwEAAF9yZWxzLy5yZWxzUEsBAi0AFAAGAAgAAAAhAEARy63BAAAA2wAAAA8AAAAA&#10;AAAAAAAAAAAABwIAAGRycy9kb3ducmV2LnhtbFBLBQYAAAAAAwADALcAAAD1AgAAAAA=&#10;" strokecolor="#ffa451" strokeweight=".25pt"/>
                      <v:shape id="Elbow Connector 142" o:spid="_x0000_s1037" type="#_x0000_t32" style="position:absolute;left:225868;top:246836;width:0;height:67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42wgAAANsAAAAPAAAAZHJzL2Rvd25yZXYueG1sRI9Bi8Iw&#10;FITvgv8hPMHbmlZQ1moUFRb24EV3Vz0+m2dbbF5KErX+eyMseBxm5htmtmhNLW7kfGVZQTpIQBDn&#10;VldcKPj9+fr4BOEDssbaMil4kIfFvNuZYabtnbd024VCRAj7DBWUITSZlD4vyaAf2IY4emfrDIYo&#10;XSG1w3uEm1oOk2QsDVYcF0psaF1SftldjQI3WZ2uZ7tP15M/7S9HvXEHypXq99rlFESgNrzD/+1v&#10;rWCUwutL/AFy/gQAAP//AwBQSwECLQAUAAYACAAAACEA2+H2y+4AAACFAQAAEwAAAAAAAAAAAAAA&#10;AAAAAAAAW0NvbnRlbnRfVHlwZXNdLnhtbFBLAQItABQABgAIAAAAIQBa9CxbvwAAABUBAAALAAAA&#10;AAAAAAAAAAAAAB8BAABfcmVscy8ucmVsc1BLAQItABQABgAIAAAAIQAvXW42wgAAANsAAAAPAAAA&#10;AAAAAAAAAAAAAAcCAABkcnMvZG93bnJldi54bWxQSwUGAAAAAAMAAwC3AAAA9gIAAAAA&#10;" strokecolor="#ffa451" strokeweight=".25pt"/>
                      <v:shape id="Elbow Connector 142" o:spid="_x0000_s1038" type="#_x0000_t32" style="position:absolute;left:64487;top:246836;width:0;height:67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BwgAAANsAAAAPAAAAZHJzL2Rvd25yZXYueG1sRI9Pi8Iw&#10;FMTvgt8hPMGbpgou2jWKCoIHL+u/3ePb5tkWm5eSRK3f3giCx2FmfsNM542pxI2cLy0rGPQTEMSZ&#10;1SXnCg77dW8MwgdkjZVlUvAgD/NZuzXFVNs7/9BtF3IRIexTVFCEUKdS+qwgg75va+Lona0zGKJ0&#10;udQO7xFuKjlMki9psOS4UGBNq4Kyy+5qFLjJ8v96tqfBanLU/vKnt+6XMqW6nWbxDSJQEz7hd3uj&#10;FYyG8PoSf4CcPQEAAP//AwBQSwECLQAUAAYACAAAACEA2+H2y+4AAACFAQAAEwAAAAAAAAAAAAAA&#10;AAAAAAAAW0NvbnRlbnRfVHlwZXNdLnhtbFBLAQItABQABgAIAAAAIQBa9CxbvwAAABUBAAALAAAA&#10;AAAAAAAAAAAAAB8BAABfcmVscy8ucmVsc1BLAQItABQABgAIAAAAIQDfj/BBwgAAANsAAAAPAAAA&#10;AAAAAAAAAAAAAAcCAABkcnMvZG93bnJldi54bWxQSwUGAAAAAAMAAwC3AAAA9gIAAAAA&#10;" strokecolor="#ffa451" strokeweight=".25pt"/>
                    </v:group>
                  </w:pict>
                </mc:Fallback>
              </mc:AlternateContent>
            </w:r>
          </w:p>
        </w:tc>
        <w:tc>
          <w:tcPr>
            <w:tcW w:w="2136" w:type="dxa"/>
          </w:tcPr>
          <w:p w14:paraId="49C8EA64"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Структура</w:t>
            </w:r>
          </w:p>
        </w:tc>
        <w:tc>
          <w:tcPr>
            <w:tcW w:w="6007" w:type="dxa"/>
          </w:tcPr>
          <w:p w14:paraId="3BD4C968" w14:textId="77777777" w:rsidR="00DA6587" w:rsidRPr="007E5633" w:rsidRDefault="00DA6587" w:rsidP="000A7BA9">
            <w:pPr>
              <w:rPr>
                <w:rFonts w:ascii="Arial" w:hAnsi="Arial" w:cs="Arial"/>
                <w:highlight w:val="yellow"/>
                <w:lang w:val="uk-UA"/>
              </w:rPr>
            </w:pPr>
            <w:r w:rsidRPr="007E5633">
              <w:rPr>
                <w:rFonts w:ascii="Arial" w:hAnsi="Arial" w:cs="Arial"/>
                <w:lang w:val="uk-UA"/>
              </w:rPr>
              <w:t>Інсайдерський список слід розділити на розділи. Кожна внутрішня інформація повинна містити один розділ.</w:t>
            </w:r>
          </w:p>
        </w:tc>
      </w:tr>
      <w:tr w:rsidR="00DA6587" w:rsidRPr="007E5633" w14:paraId="31B02C65" w14:textId="77777777" w:rsidTr="00DA6587">
        <w:trPr>
          <w:trHeight w:val="690"/>
        </w:trPr>
        <w:tc>
          <w:tcPr>
            <w:tcW w:w="1100" w:type="dxa"/>
            <w:shd w:val="clear" w:color="auto" w:fill="auto"/>
          </w:tcPr>
          <w:p w14:paraId="366F892D"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4368" behindDoc="0" locked="0" layoutInCell="1" allowOverlap="1" wp14:anchorId="78C7B794" wp14:editId="20DAA3F3">
                      <wp:simplePos x="0" y="0"/>
                      <wp:positionH relativeFrom="column">
                        <wp:posOffset>111125</wp:posOffset>
                      </wp:positionH>
                      <wp:positionV relativeFrom="paragraph">
                        <wp:posOffset>97790</wp:posOffset>
                      </wp:positionV>
                      <wp:extent cx="242570" cy="221615"/>
                      <wp:effectExtent l="0" t="0" r="5080" b="6985"/>
                      <wp:wrapNone/>
                      <wp:docPr id="5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2570" cy="221615"/>
                              </a:xfrm>
                              <a:custGeom>
                                <a:avLst/>
                                <a:gdLst>
                                  <a:gd name="T0" fmla="*/ 737 w 773"/>
                                  <a:gd name="T1" fmla="*/ 261 h 706"/>
                                  <a:gd name="T2" fmla="*/ 661 w 773"/>
                                  <a:gd name="T3" fmla="*/ 148 h 706"/>
                                  <a:gd name="T4" fmla="*/ 561 w 773"/>
                                  <a:gd name="T5" fmla="*/ 69 h 706"/>
                                  <a:gd name="T6" fmla="*/ 456 w 773"/>
                                  <a:gd name="T7" fmla="*/ 34 h 706"/>
                                  <a:gd name="T8" fmla="*/ 374 w 773"/>
                                  <a:gd name="T9" fmla="*/ 44 h 706"/>
                                  <a:gd name="T10" fmla="*/ 311 w 773"/>
                                  <a:gd name="T11" fmla="*/ 110 h 706"/>
                                  <a:gd name="T12" fmla="*/ 321 w 773"/>
                                  <a:gd name="T13" fmla="*/ 231 h 706"/>
                                  <a:gd name="T14" fmla="*/ 389 w 773"/>
                                  <a:gd name="T15" fmla="*/ 363 h 706"/>
                                  <a:gd name="T16" fmla="*/ 445 w 773"/>
                                  <a:gd name="T17" fmla="*/ 370 h 706"/>
                                  <a:gd name="T18" fmla="*/ 500 w 773"/>
                                  <a:gd name="T19" fmla="*/ 412 h 706"/>
                                  <a:gd name="T20" fmla="*/ 525 w 773"/>
                                  <a:gd name="T21" fmla="*/ 515 h 706"/>
                                  <a:gd name="T22" fmla="*/ 537 w 773"/>
                                  <a:gd name="T23" fmla="*/ 574 h 706"/>
                                  <a:gd name="T24" fmla="*/ 514 w 773"/>
                                  <a:gd name="T25" fmla="*/ 605 h 706"/>
                                  <a:gd name="T26" fmla="*/ 445 w 773"/>
                                  <a:gd name="T27" fmla="*/ 592 h 706"/>
                                  <a:gd name="T28" fmla="*/ 333 w 773"/>
                                  <a:gd name="T29" fmla="*/ 527 h 706"/>
                                  <a:gd name="T30" fmla="*/ 309 w 773"/>
                                  <a:gd name="T31" fmla="*/ 442 h 706"/>
                                  <a:gd name="T32" fmla="*/ 209 w 773"/>
                                  <a:gd name="T33" fmla="*/ 370 h 706"/>
                                  <a:gd name="T34" fmla="*/ 156 w 773"/>
                                  <a:gd name="T35" fmla="*/ 352 h 706"/>
                                  <a:gd name="T36" fmla="*/ 158 w 773"/>
                                  <a:gd name="T37" fmla="*/ 435 h 706"/>
                                  <a:gd name="T38" fmla="*/ 234 w 773"/>
                                  <a:gd name="T39" fmla="*/ 573 h 706"/>
                                  <a:gd name="T40" fmla="*/ 328 w 773"/>
                                  <a:gd name="T41" fmla="*/ 655 h 706"/>
                                  <a:gd name="T42" fmla="*/ 426 w 773"/>
                                  <a:gd name="T43" fmla="*/ 698 h 706"/>
                                  <a:gd name="T44" fmla="*/ 552 w 773"/>
                                  <a:gd name="T45" fmla="*/ 699 h 706"/>
                                  <a:gd name="T46" fmla="*/ 670 w 773"/>
                                  <a:gd name="T47" fmla="*/ 645 h 706"/>
                                  <a:gd name="T48" fmla="*/ 742 w 773"/>
                                  <a:gd name="T49" fmla="*/ 559 h 706"/>
                                  <a:gd name="T50" fmla="*/ 773 w 773"/>
                                  <a:gd name="T51" fmla="*/ 434 h 706"/>
                                  <a:gd name="T52" fmla="*/ 493 w 773"/>
                                  <a:gd name="T53" fmla="*/ 210 h 706"/>
                                  <a:gd name="T54" fmla="*/ 434 w 773"/>
                                  <a:gd name="T55" fmla="*/ 231 h 706"/>
                                  <a:gd name="T56" fmla="*/ 400 w 773"/>
                                  <a:gd name="T57" fmla="*/ 187 h 706"/>
                                  <a:gd name="T58" fmla="*/ 429 w 773"/>
                                  <a:gd name="T59" fmla="*/ 139 h 706"/>
                                  <a:gd name="T60" fmla="*/ 484 w 773"/>
                                  <a:gd name="T61" fmla="*/ 148 h 706"/>
                                  <a:gd name="T62" fmla="*/ 493 w 773"/>
                                  <a:gd name="T63" fmla="*/ 210 h 706"/>
                                  <a:gd name="T64" fmla="*/ 572 w 773"/>
                                  <a:gd name="T65" fmla="*/ 229 h 706"/>
                                  <a:gd name="T66" fmla="*/ 624 w 773"/>
                                  <a:gd name="T67" fmla="*/ 247 h 706"/>
                                  <a:gd name="T68" fmla="*/ 626 w 773"/>
                                  <a:gd name="T69" fmla="*/ 303 h 706"/>
                                  <a:gd name="T70" fmla="*/ 567 w 773"/>
                                  <a:gd name="T71" fmla="*/ 324 h 706"/>
                                  <a:gd name="T72" fmla="*/ 533 w 773"/>
                                  <a:gd name="T73" fmla="*/ 280 h 706"/>
                                  <a:gd name="T74" fmla="*/ 668 w 773"/>
                                  <a:gd name="T75" fmla="*/ 476 h 706"/>
                                  <a:gd name="T76" fmla="*/ 605 w 773"/>
                                  <a:gd name="T77" fmla="*/ 485 h 706"/>
                                  <a:gd name="T78" fmla="*/ 582 w 773"/>
                                  <a:gd name="T79" fmla="*/ 435 h 706"/>
                                  <a:gd name="T80" fmla="*/ 619 w 773"/>
                                  <a:gd name="T81" fmla="*/ 394 h 706"/>
                                  <a:gd name="T82" fmla="*/ 671 w 773"/>
                                  <a:gd name="T83" fmla="*/ 413 h 706"/>
                                  <a:gd name="T84" fmla="*/ 674 w 773"/>
                                  <a:gd name="T85" fmla="*/ 467 h 706"/>
                                  <a:gd name="T86" fmla="*/ 3 w 773"/>
                                  <a:gd name="T87" fmla="*/ 18 h 706"/>
                                  <a:gd name="T88" fmla="*/ 30 w 773"/>
                                  <a:gd name="T89" fmla="*/ 0 h 706"/>
                                  <a:gd name="T90" fmla="*/ 84 w 773"/>
                                  <a:gd name="T91" fmla="*/ 41 h 706"/>
                                  <a:gd name="T92" fmla="*/ 285 w 773"/>
                                  <a:gd name="T93" fmla="*/ 228 h 706"/>
                                  <a:gd name="T94" fmla="*/ 362 w 773"/>
                                  <a:gd name="T95" fmla="*/ 356 h 706"/>
                                  <a:gd name="T96" fmla="*/ 262 w 773"/>
                                  <a:gd name="T97" fmla="*/ 385 h 706"/>
                                  <a:gd name="T98" fmla="*/ 164 w 773"/>
                                  <a:gd name="T99" fmla="*/ 267 h 706"/>
                                  <a:gd name="T100" fmla="*/ 5 w 773"/>
                                  <a:gd name="T101" fmla="*/ 42 h 706"/>
                                  <a:gd name="T102" fmla="*/ 375 w 773"/>
                                  <a:gd name="T103" fmla="*/ 391 h 706"/>
                                  <a:gd name="T104" fmla="*/ 429 w 773"/>
                                  <a:gd name="T105" fmla="*/ 390 h 706"/>
                                  <a:gd name="T106" fmla="*/ 478 w 773"/>
                                  <a:gd name="T107" fmla="*/ 425 h 706"/>
                                  <a:gd name="T108" fmla="*/ 496 w 773"/>
                                  <a:gd name="T109" fmla="*/ 493 h 706"/>
                                  <a:gd name="T110" fmla="*/ 510 w 773"/>
                                  <a:gd name="T111" fmla="*/ 575 h 706"/>
                                  <a:gd name="T112" fmla="*/ 488 w 773"/>
                                  <a:gd name="T113" fmla="*/ 581 h 706"/>
                                  <a:gd name="T114" fmla="*/ 357 w 773"/>
                                  <a:gd name="T115" fmla="*/ 516 h 706"/>
                                  <a:gd name="T116" fmla="*/ 332 w 773"/>
                                  <a:gd name="T117" fmla="*/ 44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3" h="706">
                                    <a:moveTo>
                                      <a:pt x="769" y="359"/>
                                    </a:moveTo>
                                    <a:lnTo>
                                      <a:pt x="769" y="359"/>
                                    </a:lnTo>
                                    <a:lnTo>
                                      <a:pt x="764" y="338"/>
                                    </a:lnTo>
                                    <a:lnTo>
                                      <a:pt x="758" y="318"/>
                                    </a:lnTo>
                                    <a:lnTo>
                                      <a:pt x="753" y="298"/>
                                    </a:lnTo>
                                    <a:lnTo>
                                      <a:pt x="746" y="280"/>
                                    </a:lnTo>
                                    <a:lnTo>
                                      <a:pt x="737" y="261"/>
                                    </a:lnTo>
                                    <a:lnTo>
                                      <a:pt x="728" y="243"/>
                                    </a:lnTo>
                                    <a:lnTo>
                                      <a:pt x="719" y="225"/>
                                    </a:lnTo>
                                    <a:lnTo>
                                      <a:pt x="709" y="209"/>
                                    </a:lnTo>
                                    <a:lnTo>
                                      <a:pt x="698" y="193"/>
                                    </a:lnTo>
                                    <a:lnTo>
                                      <a:pt x="686" y="177"/>
                                    </a:lnTo>
                                    <a:lnTo>
                                      <a:pt x="674" y="161"/>
                                    </a:lnTo>
                                    <a:lnTo>
                                      <a:pt x="661" y="148"/>
                                    </a:lnTo>
                                    <a:lnTo>
                                      <a:pt x="648" y="134"/>
                                    </a:lnTo>
                                    <a:lnTo>
                                      <a:pt x="634" y="121"/>
                                    </a:lnTo>
                                    <a:lnTo>
                                      <a:pt x="620" y="109"/>
                                    </a:lnTo>
                                    <a:lnTo>
                                      <a:pt x="607" y="98"/>
                                    </a:lnTo>
                                    <a:lnTo>
                                      <a:pt x="591" y="87"/>
                                    </a:lnTo>
                                    <a:lnTo>
                                      <a:pt x="576" y="77"/>
                                    </a:lnTo>
                                    <a:lnTo>
                                      <a:pt x="561" y="69"/>
                                    </a:lnTo>
                                    <a:lnTo>
                                      <a:pt x="546" y="61"/>
                                    </a:lnTo>
                                    <a:lnTo>
                                      <a:pt x="531" y="54"/>
                                    </a:lnTo>
                                    <a:lnTo>
                                      <a:pt x="516" y="48"/>
                                    </a:lnTo>
                                    <a:lnTo>
                                      <a:pt x="501" y="42"/>
                                    </a:lnTo>
                                    <a:lnTo>
                                      <a:pt x="486" y="39"/>
                                    </a:lnTo>
                                    <a:lnTo>
                                      <a:pt x="471" y="35"/>
                                    </a:lnTo>
                                    <a:lnTo>
                                      <a:pt x="456" y="34"/>
                                    </a:lnTo>
                                    <a:lnTo>
                                      <a:pt x="442" y="33"/>
                                    </a:lnTo>
                                    <a:lnTo>
                                      <a:pt x="427" y="33"/>
                                    </a:lnTo>
                                    <a:lnTo>
                                      <a:pt x="413" y="34"/>
                                    </a:lnTo>
                                    <a:lnTo>
                                      <a:pt x="400" y="36"/>
                                    </a:lnTo>
                                    <a:lnTo>
                                      <a:pt x="386" y="40"/>
                                    </a:lnTo>
                                    <a:lnTo>
                                      <a:pt x="374" y="44"/>
                                    </a:lnTo>
                                    <a:lnTo>
                                      <a:pt x="374" y="44"/>
                                    </a:lnTo>
                                    <a:lnTo>
                                      <a:pt x="358" y="52"/>
                                    </a:lnTo>
                                    <a:lnTo>
                                      <a:pt x="346" y="61"/>
                                    </a:lnTo>
                                    <a:lnTo>
                                      <a:pt x="335" y="70"/>
                                    </a:lnTo>
                                    <a:lnTo>
                                      <a:pt x="327" y="79"/>
                                    </a:lnTo>
                                    <a:lnTo>
                                      <a:pt x="320" y="88"/>
                                    </a:lnTo>
                                    <a:lnTo>
                                      <a:pt x="314" y="99"/>
                                    </a:lnTo>
                                    <a:lnTo>
                                      <a:pt x="311" y="110"/>
                                    </a:lnTo>
                                    <a:lnTo>
                                      <a:pt x="307" y="121"/>
                                    </a:lnTo>
                                    <a:lnTo>
                                      <a:pt x="306" y="132"/>
                                    </a:lnTo>
                                    <a:lnTo>
                                      <a:pt x="305" y="144"/>
                                    </a:lnTo>
                                    <a:lnTo>
                                      <a:pt x="305" y="167"/>
                                    </a:lnTo>
                                    <a:lnTo>
                                      <a:pt x="307" y="215"/>
                                    </a:lnTo>
                                    <a:lnTo>
                                      <a:pt x="307" y="215"/>
                                    </a:lnTo>
                                    <a:lnTo>
                                      <a:pt x="321" y="231"/>
                                    </a:lnTo>
                                    <a:lnTo>
                                      <a:pt x="335" y="250"/>
                                    </a:lnTo>
                                    <a:lnTo>
                                      <a:pt x="348" y="268"/>
                                    </a:lnTo>
                                    <a:lnTo>
                                      <a:pt x="360" y="287"/>
                                    </a:lnTo>
                                    <a:lnTo>
                                      <a:pt x="370" y="306"/>
                                    </a:lnTo>
                                    <a:lnTo>
                                      <a:pt x="378" y="326"/>
                                    </a:lnTo>
                                    <a:lnTo>
                                      <a:pt x="385" y="345"/>
                                    </a:lnTo>
                                    <a:lnTo>
                                      <a:pt x="389" y="363"/>
                                    </a:lnTo>
                                    <a:lnTo>
                                      <a:pt x="389" y="367"/>
                                    </a:lnTo>
                                    <a:lnTo>
                                      <a:pt x="389" y="367"/>
                                    </a:lnTo>
                                    <a:lnTo>
                                      <a:pt x="402" y="365"/>
                                    </a:lnTo>
                                    <a:lnTo>
                                      <a:pt x="418" y="365"/>
                                    </a:lnTo>
                                    <a:lnTo>
                                      <a:pt x="418" y="365"/>
                                    </a:lnTo>
                                    <a:lnTo>
                                      <a:pt x="430" y="367"/>
                                    </a:lnTo>
                                    <a:lnTo>
                                      <a:pt x="445" y="370"/>
                                    </a:lnTo>
                                    <a:lnTo>
                                      <a:pt x="453" y="372"/>
                                    </a:lnTo>
                                    <a:lnTo>
                                      <a:pt x="462" y="376"/>
                                    </a:lnTo>
                                    <a:lnTo>
                                      <a:pt x="470" y="381"/>
                                    </a:lnTo>
                                    <a:lnTo>
                                      <a:pt x="478" y="386"/>
                                    </a:lnTo>
                                    <a:lnTo>
                                      <a:pt x="485" y="393"/>
                                    </a:lnTo>
                                    <a:lnTo>
                                      <a:pt x="493" y="403"/>
                                    </a:lnTo>
                                    <a:lnTo>
                                      <a:pt x="500" y="412"/>
                                    </a:lnTo>
                                    <a:lnTo>
                                      <a:pt x="506" y="423"/>
                                    </a:lnTo>
                                    <a:lnTo>
                                      <a:pt x="511" y="437"/>
                                    </a:lnTo>
                                    <a:lnTo>
                                      <a:pt x="516" y="452"/>
                                    </a:lnTo>
                                    <a:lnTo>
                                      <a:pt x="520" y="470"/>
                                    </a:lnTo>
                                    <a:lnTo>
                                      <a:pt x="522" y="491"/>
                                    </a:lnTo>
                                    <a:lnTo>
                                      <a:pt x="522" y="491"/>
                                    </a:lnTo>
                                    <a:lnTo>
                                      <a:pt x="525" y="515"/>
                                    </a:lnTo>
                                    <a:lnTo>
                                      <a:pt x="528" y="534"/>
                                    </a:lnTo>
                                    <a:lnTo>
                                      <a:pt x="531" y="546"/>
                                    </a:lnTo>
                                    <a:lnTo>
                                      <a:pt x="533" y="554"/>
                                    </a:lnTo>
                                    <a:lnTo>
                                      <a:pt x="533" y="554"/>
                                    </a:lnTo>
                                    <a:lnTo>
                                      <a:pt x="536" y="564"/>
                                    </a:lnTo>
                                    <a:lnTo>
                                      <a:pt x="537" y="568"/>
                                    </a:lnTo>
                                    <a:lnTo>
                                      <a:pt x="537" y="574"/>
                                    </a:lnTo>
                                    <a:lnTo>
                                      <a:pt x="536" y="580"/>
                                    </a:lnTo>
                                    <a:lnTo>
                                      <a:pt x="535" y="585"/>
                                    </a:lnTo>
                                    <a:lnTo>
                                      <a:pt x="531" y="592"/>
                                    </a:lnTo>
                                    <a:lnTo>
                                      <a:pt x="525" y="597"/>
                                    </a:lnTo>
                                    <a:lnTo>
                                      <a:pt x="525" y="597"/>
                                    </a:lnTo>
                                    <a:lnTo>
                                      <a:pt x="520" y="602"/>
                                    </a:lnTo>
                                    <a:lnTo>
                                      <a:pt x="514" y="605"/>
                                    </a:lnTo>
                                    <a:lnTo>
                                      <a:pt x="506" y="608"/>
                                    </a:lnTo>
                                    <a:lnTo>
                                      <a:pt x="499" y="608"/>
                                    </a:lnTo>
                                    <a:lnTo>
                                      <a:pt x="499" y="608"/>
                                    </a:lnTo>
                                    <a:lnTo>
                                      <a:pt x="489" y="608"/>
                                    </a:lnTo>
                                    <a:lnTo>
                                      <a:pt x="478" y="604"/>
                                    </a:lnTo>
                                    <a:lnTo>
                                      <a:pt x="445" y="592"/>
                                    </a:lnTo>
                                    <a:lnTo>
                                      <a:pt x="445" y="592"/>
                                    </a:lnTo>
                                    <a:lnTo>
                                      <a:pt x="397" y="572"/>
                                    </a:lnTo>
                                    <a:lnTo>
                                      <a:pt x="397" y="572"/>
                                    </a:lnTo>
                                    <a:lnTo>
                                      <a:pt x="385" y="567"/>
                                    </a:lnTo>
                                    <a:lnTo>
                                      <a:pt x="376" y="561"/>
                                    </a:lnTo>
                                    <a:lnTo>
                                      <a:pt x="358" y="551"/>
                                    </a:lnTo>
                                    <a:lnTo>
                                      <a:pt x="343" y="539"/>
                                    </a:lnTo>
                                    <a:lnTo>
                                      <a:pt x="333" y="527"/>
                                    </a:lnTo>
                                    <a:lnTo>
                                      <a:pt x="325" y="515"/>
                                    </a:lnTo>
                                    <a:lnTo>
                                      <a:pt x="318" y="502"/>
                                    </a:lnTo>
                                    <a:lnTo>
                                      <a:pt x="314" y="491"/>
                                    </a:lnTo>
                                    <a:lnTo>
                                      <a:pt x="312" y="479"/>
                                    </a:lnTo>
                                    <a:lnTo>
                                      <a:pt x="312" y="479"/>
                                    </a:lnTo>
                                    <a:lnTo>
                                      <a:pt x="310" y="461"/>
                                    </a:lnTo>
                                    <a:lnTo>
                                      <a:pt x="309" y="442"/>
                                    </a:lnTo>
                                    <a:lnTo>
                                      <a:pt x="296" y="437"/>
                                    </a:lnTo>
                                    <a:lnTo>
                                      <a:pt x="296" y="437"/>
                                    </a:lnTo>
                                    <a:lnTo>
                                      <a:pt x="276" y="427"/>
                                    </a:lnTo>
                                    <a:lnTo>
                                      <a:pt x="258" y="414"/>
                                    </a:lnTo>
                                    <a:lnTo>
                                      <a:pt x="240" y="400"/>
                                    </a:lnTo>
                                    <a:lnTo>
                                      <a:pt x="224" y="385"/>
                                    </a:lnTo>
                                    <a:lnTo>
                                      <a:pt x="209" y="370"/>
                                    </a:lnTo>
                                    <a:lnTo>
                                      <a:pt x="195" y="354"/>
                                    </a:lnTo>
                                    <a:lnTo>
                                      <a:pt x="182" y="339"/>
                                    </a:lnTo>
                                    <a:lnTo>
                                      <a:pt x="171" y="324"/>
                                    </a:lnTo>
                                    <a:lnTo>
                                      <a:pt x="171" y="324"/>
                                    </a:lnTo>
                                    <a:lnTo>
                                      <a:pt x="165" y="332"/>
                                    </a:lnTo>
                                    <a:lnTo>
                                      <a:pt x="160" y="341"/>
                                    </a:lnTo>
                                    <a:lnTo>
                                      <a:pt x="156" y="352"/>
                                    </a:lnTo>
                                    <a:lnTo>
                                      <a:pt x="153" y="362"/>
                                    </a:lnTo>
                                    <a:lnTo>
                                      <a:pt x="151" y="372"/>
                                    </a:lnTo>
                                    <a:lnTo>
                                      <a:pt x="151" y="384"/>
                                    </a:lnTo>
                                    <a:lnTo>
                                      <a:pt x="151" y="396"/>
                                    </a:lnTo>
                                    <a:lnTo>
                                      <a:pt x="152" y="408"/>
                                    </a:lnTo>
                                    <a:lnTo>
                                      <a:pt x="154" y="421"/>
                                    </a:lnTo>
                                    <a:lnTo>
                                      <a:pt x="158" y="435"/>
                                    </a:lnTo>
                                    <a:lnTo>
                                      <a:pt x="161" y="449"/>
                                    </a:lnTo>
                                    <a:lnTo>
                                      <a:pt x="167" y="462"/>
                                    </a:lnTo>
                                    <a:lnTo>
                                      <a:pt x="173" y="476"/>
                                    </a:lnTo>
                                    <a:lnTo>
                                      <a:pt x="179" y="491"/>
                                    </a:lnTo>
                                    <a:lnTo>
                                      <a:pt x="195" y="518"/>
                                    </a:lnTo>
                                    <a:lnTo>
                                      <a:pt x="214" y="546"/>
                                    </a:lnTo>
                                    <a:lnTo>
                                      <a:pt x="234" y="573"/>
                                    </a:lnTo>
                                    <a:lnTo>
                                      <a:pt x="246" y="586"/>
                                    </a:lnTo>
                                    <a:lnTo>
                                      <a:pt x="259" y="598"/>
                                    </a:lnTo>
                                    <a:lnTo>
                                      <a:pt x="272" y="611"/>
                                    </a:lnTo>
                                    <a:lnTo>
                                      <a:pt x="284" y="623"/>
                                    </a:lnTo>
                                    <a:lnTo>
                                      <a:pt x="298" y="634"/>
                                    </a:lnTo>
                                    <a:lnTo>
                                      <a:pt x="313" y="645"/>
                                    </a:lnTo>
                                    <a:lnTo>
                                      <a:pt x="328" y="655"/>
                                    </a:lnTo>
                                    <a:lnTo>
                                      <a:pt x="343" y="665"/>
                                    </a:lnTo>
                                    <a:lnTo>
                                      <a:pt x="358" y="673"/>
                                    </a:lnTo>
                                    <a:lnTo>
                                      <a:pt x="375" y="681"/>
                                    </a:lnTo>
                                    <a:lnTo>
                                      <a:pt x="392" y="688"/>
                                    </a:lnTo>
                                    <a:lnTo>
                                      <a:pt x="408" y="694"/>
                                    </a:lnTo>
                                    <a:lnTo>
                                      <a:pt x="408" y="694"/>
                                    </a:lnTo>
                                    <a:lnTo>
                                      <a:pt x="426" y="698"/>
                                    </a:lnTo>
                                    <a:lnTo>
                                      <a:pt x="443" y="703"/>
                                    </a:lnTo>
                                    <a:lnTo>
                                      <a:pt x="460" y="705"/>
                                    </a:lnTo>
                                    <a:lnTo>
                                      <a:pt x="479" y="706"/>
                                    </a:lnTo>
                                    <a:lnTo>
                                      <a:pt x="498" y="706"/>
                                    </a:lnTo>
                                    <a:lnTo>
                                      <a:pt x="515" y="705"/>
                                    </a:lnTo>
                                    <a:lnTo>
                                      <a:pt x="533" y="703"/>
                                    </a:lnTo>
                                    <a:lnTo>
                                      <a:pt x="552" y="699"/>
                                    </a:lnTo>
                                    <a:lnTo>
                                      <a:pt x="569" y="695"/>
                                    </a:lnTo>
                                    <a:lnTo>
                                      <a:pt x="587" y="689"/>
                                    </a:lnTo>
                                    <a:lnTo>
                                      <a:pt x="604" y="682"/>
                                    </a:lnTo>
                                    <a:lnTo>
                                      <a:pt x="622" y="674"/>
                                    </a:lnTo>
                                    <a:lnTo>
                                      <a:pt x="638" y="666"/>
                                    </a:lnTo>
                                    <a:lnTo>
                                      <a:pt x="654" y="655"/>
                                    </a:lnTo>
                                    <a:lnTo>
                                      <a:pt x="670" y="645"/>
                                    </a:lnTo>
                                    <a:lnTo>
                                      <a:pt x="684" y="633"/>
                                    </a:lnTo>
                                    <a:lnTo>
                                      <a:pt x="684" y="633"/>
                                    </a:lnTo>
                                    <a:lnTo>
                                      <a:pt x="699" y="619"/>
                                    </a:lnTo>
                                    <a:lnTo>
                                      <a:pt x="712" y="605"/>
                                    </a:lnTo>
                                    <a:lnTo>
                                      <a:pt x="724" y="592"/>
                                    </a:lnTo>
                                    <a:lnTo>
                                      <a:pt x="734" y="575"/>
                                    </a:lnTo>
                                    <a:lnTo>
                                      <a:pt x="742" y="559"/>
                                    </a:lnTo>
                                    <a:lnTo>
                                      <a:pt x="750" y="543"/>
                                    </a:lnTo>
                                    <a:lnTo>
                                      <a:pt x="757" y="525"/>
                                    </a:lnTo>
                                    <a:lnTo>
                                      <a:pt x="763" y="508"/>
                                    </a:lnTo>
                                    <a:lnTo>
                                      <a:pt x="768" y="489"/>
                                    </a:lnTo>
                                    <a:lnTo>
                                      <a:pt x="771" y="471"/>
                                    </a:lnTo>
                                    <a:lnTo>
                                      <a:pt x="772" y="452"/>
                                    </a:lnTo>
                                    <a:lnTo>
                                      <a:pt x="773" y="434"/>
                                    </a:lnTo>
                                    <a:lnTo>
                                      <a:pt x="773" y="415"/>
                                    </a:lnTo>
                                    <a:lnTo>
                                      <a:pt x="773" y="396"/>
                                    </a:lnTo>
                                    <a:lnTo>
                                      <a:pt x="771" y="377"/>
                                    </a:lnTo>
                                    <a:lnTo>
                                      <a:pt x="769" y="359"/>
                                    </a:lnTo>
                                    <a:lnTo>
                                      <a:pt x="769" y="359"/>
                                    </a:lnTo>
                                    <a:close/>
                                    <a:moveTo>
                                      <a:pt x="493" y="210"/>
                                    </a:moveTo>
                                    <a:lnTo>
                                      <a:pt x="493" y="210"/>
                                    </a:lnTo>
                                    <a:lnTo>
                                      <a:pt x="487" y="218"/>
                                    </a:lnTo>
                                    <a:lnTo>
                                      <a:pt x="479" y="224"/>
                                    </a:lnTo>
                                    <a:lnTo>
                                      <a:pt x="471" y="230"/>
                                    </a:lnTo>
                                    <a:lnTo>
                                      <a:pt x="462" y="232"/>
                                    </a:lnTo>
                                    <a:lnTo>
                                      <a:pt x="452" y="233"/>
                                    </a:lnTo>
                                    <a:lnTo>
                                      <a:pt x="443" y="233"/>
                                    </a:lnTo>
                                    <a:lnTo>
                                      <a:pt x="434" y="231"/>
                                    </a:lnTo>
                                    <a:lnTo>
                                      <a:pt x="425" y="226"/>
                                    </a:lnTo>
                                    <a:lnTo>
                                      <a:pt x="425" y="226"/>
                                    </a:lnTo>
                                    <a:lnTo>
                                      <a:pt x="416" y="221"/>
                                    </a:lnTo>
                                    <a:lnTo>
                                      <a:pt x="411" y="214"/>
                                    </a:lnTo>
                                    <a:lnTo>
                                      <a:pt x="405" y="206"/>
                                    </a:lnTo>
                                    <a:lnTo>
                                      <a:pt x="402" y="196"/>
                                    </a:lnTo>
                                    <a:lnTo>
                                      <a:pt x="400" y="187"/>
                                    </a:lnTo>
                                    <a:lnTo>
                                      <a:pt x="401" y="178"/>
                                    </a:lnTo>
                                    <a:lnTo>
                                      <a:pt x="404" y="168"/>
                                    </a:lnTo>
                                    <a:lnTo>
                                      <a:pt x="408" y="159"/>
                                    </a:lnTo>
                                    <a:lnTo>
                                      <a:pt x="408" y="159"/>
                                    </a:lnTo>
                                    <a:lnTo>
                                      <a:pt x="414" y="151"/>
                                    </a:lnTo>
                                    <a:lnTo>
                                      <a:pt x="421" y="144"/>
                                    </a:lnTo>
                                    <a:lnTo>
                                      <a:pt x="429" y="139"/>
                                    </a:lnTo>
                                    <a:lnTo>
                                      <a:pt x="438" y="136"/>
                                    </a:lnTo>
                                    <a:lnTo>
                                      <a:pt x="448" y="135"/>
                                    </a:lnTo>
                                    <a:lnTo>
                                      <a:pt x="457" y="135"/>
                                    </a:lnTo>
                                    <a:lnTo>
                                      <a:pt x="466" y="137"/>
                                    </a:lnTo>
                                    <a:lnTo>
                                      <a:pt x="476" y="142"/>
                                    </a:lnTo>
                                    <a:lnTo>
                                      <a:pt x="476" y="142"/>
                                    </a:lnTo>
                                    <a:lnTo>
                                      <a:pt x="484" y="148"/>
                                    </a:lnTo>
                                    <a:lnTo>
                                      <a:pt x="491" y="156"/>
                                    </a:lnTo>
                                    <a:lnTo>
                                      <a:pt x="495" y="164"/>
                                    </a:lnTo>
                                    <a:lnTo>
                                      <a:pt x="499" y="172"/>
                                    </a:lnTo>
                                    <a:lnTo>
                                      <a:pt x="500" y="182"/>
                                    </a:lnTo>
                                    <a:lnTo>
                                      <a:pt x="500" y="192"/>
                                    </a:lnTo>
                                    <a:lnTo>
                                      <a:pt x="498" y="201"/>
                                    </a:lnTo>
                                    <a:lnTo>
                                      <a:pt x="493" y="210"/>
                                    </a:lnTo>
                                    <a:lnTo>
                                      <a:pt x="493" y="210"/>
                                    </a:lnTo>
                                    <a:close/>
                                    <a:moveTo>
                                      <a:pt x="540" y="251"/>
                                    </a:moveTo>
                                    <a:lnTo>
                                      <a:pt x="540" y="251"/>
                                    </a:lnTo>
                                    <a:lnTo>
                                      <a:pt x="547" y="243"/>
                                    </a:lnTo>
                                    <a:lnTo>
                                      <a:pt x="554" y="237"/>
                                    </a:lnTo>
                                    <a:lnTo>
                                      <a:pt x="562" y="232"/>
                                    </a:lnTo>
                                    <a:lnTo>
                                      <a:pt x="572" y="229"/>
                                    </a:lnTo>
                                    <a:lnTo>
                                      <a:pt x="581" y="228"/>
                                    </a:lnTo>
                                    <a:lnTo>
                                      <a:pt x="590" y="228"/>
                                    </a:lnTo>
                                    <a:lnTo>
                                      <a:pt x="600" y="230"/>
                                    </a:lnTo>
                                    <a:lnTo>
                                      <a:pt x="609" y="234"/>
                                    </a:lnTo>
                                    <a:lnTo>
                                      <a:pt x="609" y="234"/>
                                    </a:lnTo>
                                    <a:lnTo>
                                      <a:pt x="617" y="240"/>
                                    </a:lnTo>
                                    <a:lnTo>
                                      <a:pt x="624" y="247"/>
                                    </a:lnTo>
                                    <a:lnTo>
                                      <a:pt x="629" y="255"/>
                                    </a:lnTo>
                                    <a:lnTo>
                                      <a:pt x="631" y="265"/>
                                    </a:lnTo>
                                    <a:lnTo>
                                      <a:pt x="633" y="274"/>
                                    </a:lnTo>
                                    <a:lnTo>
                                      <a:pt x="632" y="284"/>
                                    </a:lnTo>
                                    <a:lnTo>
                                      <a:pt x="630" y="294"/>
                                    </a:lnTo>
                                    <a:lnTo>
                                      <a:pt x="626" y="303"/>
                                    </a:lnTo>
                                    <a:lnTo>
                                      <a:pt x="626" y="303"/>
                                    </a:lnTo>
                                    <a:lnTo>
                                      <a:pt x="619" y="310"/>
                                    </a:lnTo>
                                    <a:lnTo>
                                      <a:pt x="612" y="317"/>
                                    </a:lnTo>
                                    <a:lnTo>
                                      <a:pt x="604" y="321"/>
                                    </a:lnTo>
                                    <a:lnTo>
                                      <a:pt x="595" y="325"/>
                                    </a:lnTo>
                                    <a:lnTo>
                                      <a:pt x="586" y="326"/>
                                    </a:lnTo>
                                    <a:lnTo>
                                      <a:pt x="576" y="326"/>
                                    </a:lnTo>
                                    <a:lnTo>
                                      <a:pt x="567" y="324"/>
                                    </a:lnTo>
                                    <a:lnTo>
                                      <a:pt x="558" y="319"/>
                                    </a:lnTo>
                                    <a:lnTo>
                                      <a:pt x="558" y="319"/>
                                    </a:lnTo>
                                    <a:lnTo>
                                      <a:pt x="550" y="313"/>
                                    </a:lnTo>
                                    <a:lnTo>
                                      <a:pt x="543" y="306"/>
                                    </a:lnTo>
                                    <a:lnTo>
                                      <a:pt x="538" y="297"/>
                                    </a:lnTo>
                                    <a:lnTo>
                                      <a:pt x="536" y="289"/>
                                    </a:lnTo>
                                    <a:lnTo>
                                      <a:pt x="533" y="280"/>
                                    </a:lnTo>
                                    <a:lnTo>
                                      <a:pt x="535" y="269"/>
                                    </a:lnTo>
                                    <a:lnTo>
                                      <a:pt x="537" y="260"/>
                                    </a:lnTo>
                                    <a:lnTo>
                                      <a:pt x="540" y="251"/>
                                    </a:lnTo>
                                    <a:lnTo>
                                      <a:pt x="540" y="251"/>
                                    </a:lnTo>
                                    <a:close/>
                                    <a:moveTo>
                                      <a:pt x="674" y="467"/>
                                    </a:moveTo>
                                    <a:lnTo>
                                      <a:pt x="674" y="467"/>
                                    </a:lnTo>
                                    <a:lnTo>
                                      <a:pt x="668" y="476"/>
                                    </a:lnTo>
                                    <a:lnTo>
                                      <a:pt x="660" y="483"/>
                                    </a:lnTo>
                                    <a:lnTo>
                                      <a:pt x="652" y="487"/>
                                    </a:lnTo>
                                    <a:lnTo>
                                      <a:pt x="642" y="491"/>
                                    </a:lnTo>
                                    <a:lnTo>
                                      <a:pt x="633" y="492"/>
                                    </a:lnTo>
                                    <a:lnTo>
                                      <a:pt x="624" y="492"/>
                                    </a:lnTo>
                                    <a:lnTo>
                                      <a:pt x="615" y="489"/>
                                    </a:lnTo>
                                    <a:lnTo>
                                      <a:pt x="605" y="485"/>
                                    </a:lnTo>
                                    <a:lnTo>
                                      <a:pt x="605" y="485"/>
                                    </a:lnTo>
                                    <a:lnTo>
                                      <a:pt x="597" y="479"/>
                                    </a:lnTo>
                                    <a:lnTo>
                                      <a:pt x="590" y="472"/>
                                    </a:lnTo>
                                    <a:lnTo>
                                      <a:pt x="586" y="463"/>
                                    </a:lnTo>
                                    <a:lnTo>
                                      <a:pt x="583" y="455"/>
                                    </a:lnTo>
                                    <a:lnTo>
                                      <a:pt x="581" y="445"/>
                                    </a:lnTo>
                                    <a:lnTo>
                                      <a:pt x="582" y="435"/>
                                    </a:lnTo>
                                    <a:lnTo>
                                      <a:pt x="584" y="426"/>
                                    </a:lnTo>
                                    <a:lnTo>
                                      <a:pt x="588" y="416"/>
                                    </a:lnTo>
                                    <a:lnTo>
                                      <a:pt x="588" y="416"/>
                                    </a:lnTo>
                                    <a:lnTo>
                                      <a:pt x="595" y="408"/>
                                    </a:lnTo>
                                    <a:lnTo>
                                      <a:pt x="602" y="403"/>
                                    </a:lnTo>
                                    <a:lnTo>
                                      <a:pt x="610" y="398"/>
                                    </a:lnTo>
                                    <a:lnTo>
                                      <a:pt x="619" y="394"/>
                                    </a:lnTo>
                                    <a:lnTo>
                                      <a:pt x="629" y="393"/>
                                    </a:lnTo>
                                    <a:lnTo>
                                      <a:pt x="638" y="393"/>
                                    </a:lnTo>
                                    <a:lnTo>
                                      <a:pt x="647" y="396"/>
                                    </a:lnTo>
                                    <a:lnTo>
                                      <a:pt x="656" y="400"/>
                                    </a:lnTo>
                                    <a:lnTo>
                                      <a:pt x="656" y="400"/>
                                    </a:lnTo>
                                    <a:lnTo>
                                      <a:pt x="664" y="406"/>
                                    </a:lnTo>
                                    <a:lnTo>
                                      <a:pt x="671" y="413"/>
                                    </a:lnTo>
                                    <a:lnTo>
                                      <a:pt x="676" y="421"/>
                                    </a:lnTo>
                                    <a:lnTo>
                                      <a:pt x="680" y="430"/>
                                    </a:lnTo>
                                    <a:lnTo>
                                      <a:pt x="681" y="440"/>
                                    </a:lnTo>
                                    <a:lnTo>
                                      <a:pt x="680" y="449"/>
                                    </a:lnTo>
                                    <a:lnTo>
                                      <a:pt x="677" y="459"/>
                                    </a:lnTo>
                                    <a:lnTo>
                                      <a:pt x="674" y="467"/>
                                    </a:lnTo>
                                    <a:lnTo>
                                      <a:pt x="674" y="467"/>
                                    </a:lnTo>
                                    <a:close/>
                                    <a:moveTo>
                                      <a:pt x="5" y="42"/>
                                    </a:moveTo>
                                    <a:lnTo>
                                      <a:pt x="5" y="42"/>
                                    </a:lnTo>
                                    <a:lnTo>
                                      <a:pt x="3" y="37"/>
                                    </a:lnTo>
                                    <a:lnTo>
                                      <a:pt x="1" y="33"/>
                                    </a:lnTo>
                                    <a:lnTo>
                                      <a:pt x="0" y="28"/>
                                    </a:lnTo>
                                    <a:lnTo>
                                      <a:pt x="1" y="24"/>
                                    </a:lnTo>
                                    <a:lnTo>
                                      <a:pt x="3" y="18"/>
                                    </a:lnTo>
                                    <a:lnTo>
                                      <a:pt x="5" y="14"/>
                                    </a:lnTo>
                                    <a:lnTo>
                                      <a:pt x="8" y="10"/>
                                    </a:lnTo>
                                    <a:lnTo>
                                      <a:pt x="13" y="6"/>
                                    </a:lnTo>
                                    <a:lnTo>
                                      <a:pt x="13" y="6"/>
                                    </a:lnTo>
                                    <a:lnTo>
                                      <a:pt x="16" y="4"/>
                                    </a:lnTo>
                                    <a:lnTo>
                                      <a:pt x="21" y="1"/>
                                    </a:lnTo>
                                    <a:lnTo>
                                      <a:pt x="30" y="0"/>
                                    </a:lnTo>
                                    <a:lnTo>
                                      <a:pt x="30" y="0"/>
                                    </a:lnTo>
                                    <a:lnTo>
                                      <a:pt x="36" y="1"/>
                                    </a:lnTo>
                                    <a:lnTo>
                                      <a:pt x="42" y="3"/>
                                    </a:lnTo>
                                    <a:lnTo>
                                      <a:pt x="48" y="6"/>
                                    </a:lnTo>
                                    <a:lnTo>
                                      <a:pt x="52" y="10"/>
                                    </a:lnTo>
                                    <a:lnTo>
                                      <a:pt x="52" y="10"/>
                                    </a:lnTo>
                                    <a:lnTo>
                                      <a:pt x="84" y="41"/>
                                    </a:lnTo>
                                    <a:lnTo>
                                      <a:pt x="132" y="88"/>
                                    </a:lnTo>
                                    <a:lnTo>
                                      <a:pt x="190" y="142"/>
                                    </a:lnTo>
                                    <a:lnTo>
                                      <a:pt x="221" y="168"/>
                                    </a:lnTo>
                                    <a:lnTo>
                                      <a:pt x="251" y="194"/>
                                    </a:lnTo>
                                    <a:lnTo>
                                      <a:pt x="251" y="194"/>
                                    </a:lnTo>
                                    <a:lnTo>
                                      <a:pt x="268" y="209"/>
                                    </a:lnTo>
                                    <a:lnTo>
                                      <a:pt x="285" y="228"/>
                                    </a:lnTo>
                                    <a:lnTo>
                                      <a:pt x="304" y="250"/>
                                    </a:lnTo>
                                    <a:lnTo>
                                      <a:pt x="320" y="273"/>
                                    </a:lnTo>
                                    <a:lnTo>
                                      <a:pt x="336" y="297"/>
                                    </a:lnTo>
                                    <a:lnTo>
                                      <a:pt x="349" y="321"/>
                                    </a:lnTo>
                                    <a:lnTo>
                                      <a:pt x="354" y="333"/>
                                    </a:lnTo>
                                    <a:lnTo>
                                      <a:pt x="358" y="345"/>
                                    </a:lnTo>
                                    <a:lnTo>
                                      <a:pt x="362" y="356"/>
                                    </a:lnTo>
                                    <a:lnTo>
                                      <a:pt x="363" y="367"/>
                                    </a:lnTo>
                                    <a:lnTo>
                                      <a:pt x="307" y="414"/>
                                    </a:lnTo>
                                    <a:lnTo>
                                      <a:pt x="307" y="414"/>
                                    </a:lnTo>
                                    <a:lnTo>
                                      <a:pt x="296" y="408"/>
                                    </a:lnTo>
                                    <a:lnTo>
                                      <a:pt x="284" y="401"/>
                                    </a:lnTo>
                                    <a:lnTo>
                                      <a:pt x="274" y="393"/>
                                    </a:lnTo>
                                    <a:lnTo>
                                      <a:pt x="262" y="385"/>
                                    </a:lnTo>
                                    <a:lnTo>
                                      <a:pt x="243" y="367"/>
                                    </a:lnTo>
                                    <a:lnTo>
                                      <a:pt x="223" y="347"/>
                                    </a:lnTo>
                                    <a:lnTo>
                                      <a:pt x="205" y="326"/>
                                    </a:lnTo>
                                    <a:lnTo>
                                      <a:pt x="189" y="305"/>
                                    </a:lnTo>
                                    <a:lnTo>
                                      <a:pt x="175" y="285"/>
                                    </a:lnTo>
                                    <a:lnTo>
                                      <a:pt x="164" y="267"/>
                                    </a:lnTo>
                                    <a:lnTo>
                                      <a:pt x="164" y="267"/>
                                    </a:lnTo>
                                    <a:lnTo>
                                      <a:pt x="138" y="228"/>
                                    </a:lnTo>
                                    <a:lnTo>
                                      <a:pt x="113" y="190"/>
                                    </a:lnTo>
                                    <a:lnTo>
                                      <a:pt x="88" y="156"/>
                                    </a:lnTo>
                                    <a:lnTo>
                                      <a:pt x="65" y="126"/>
                                    </a:lnTo>
                                    <a:lnTo>
                                      <a:pt x="27" y="75"/>
                                    </a:lnTo>
                                    <a:lnTo>
                                      <a:pt x="13" y="56"/>
                                    </a:lnTo>
                                    <a:lnTo>
                                      <a:pt x="5" y="42"/>
                                    </a:lnTo>
                                    <a:lnTo>
                                      <a:pt x="5" y="42"/>
                                    </a:lnTo>
                                    <a:close/>
                                    <a:moveTo>
                                      <a:pt x="334" y="430"/>
                                    </a:moveTo>
                                    <a:lnTo>
                                      <a:pt x="334" y="430"/>
                                    </a:lnTo>
                                    <a:lnTo>
                                      <a:pt x="335" y="427"/>
                                    </a:lnTo>
                                    <a:lnTo>
                                      <a:pt x="338" y="422"/>
                                    </a:lnTo>
                                    <a:lnTo>
                                      <a:pt x="375" y="391"/>
                                    </a:lnTo>
                                    <a:lnTo>
                                      <a:pt x="375" y="391"/>
                                    </a:lnTo>
                                    <a:lnTo>
                                      <a:pt x="376" y="391"/>
                                    </a:lnTo>
                                    <a:lnTo>
                                      <a:pt x="376" y="391"/>
                                    </a:lnTo>
                                    <a:lnTo>
                                      <a:pt x="387" y="389"/>
                                    </a:lnTo>
                                    <a:lnTo>
                                      <a:pt x="400" y="387"/>
                                    </a:lnTo>
                                    <a:lnTo>
                                      <a:pt x="414" y="387"/>
                                    </a:lnTo>
                                    <a:lnTo>
                                      <a:pt x="429" y="390"/>
                                    </a:lnTo>
                                    <a:lnTo>
                                      <a:pt x="429" y="390"/>
                                    </a:lnTo>
                                    <a:lnTo>
                                      <a:pt x="438" y="392"/>
                                    </a:lnTo>
                                    <a:lnTo>
                                      <a:pt x="448" y="397"/>
                                    </a:lnTo>
                                    <a:lnTo>
                                      <a:pt x="458" y="403"/>
                                    </a:lnTo>
                                    <a:lnTo>
                                      <a:pt x="463" y="407"/>
                                    </a:lnTo>
                                    <a:lnTo>
                                      <a:pt x="469" y="412"/>
                                    </a:lnTo>
                                    <a:lnTo>
                                      <a:pt x="473" y="418"/>
                                    </a:lnTo>
                                    <a:lnTo>
                                      <a:pt x="478" y="425"/>
                                    </a:lnTo>
                                    <a:lnTo>
                                      <a:pt x="482" y="433"/>
                                    </a:lnTo>
                                    <a:lnTo>
                                      <a:pt x="486" y="442"/>
                                    </a:lnTo>
                                    <a:lnTo>
                                      <a:pt x="489" y="452"/>
                                    </a:lnTo>
                                    <a:lnTo>
                                      <a:pt x="493" y="464"/>
                                    </a:lnTo>
                                    <a:lnTo>
                                      <a:pt x="495" y="478"/>
                                    </a:lnTo>
                                    <a:lnTo>
                                      <a:pt x="496" y="493"/>
                                    </a:lnTo>
                                    <a:lnTo>
                                      <a:pt x="496" y="493"/>
                                    </a:lnTo>
                                    <a:lnTo>
                                      <a:pt x="500" y="518"/>
                                    </a:lnTo>
                                    <a:lnTo>
                                      <a:pt x="503" y="537"/>
                                    </a:lnTo>
                                    <a:lnTo>
                                      <a:pt x="506" y="551"/>
                                    </a:lnTo>
                                    <a:lnTo>
                                      <a:pt x="509" y="560"/>
                                    </a:lnTo>
                                    <a:lnTo>
                                      <a:pt x="510" y="567"/>
                                    </a:lnTo>
                                    <a:lnTo>
                                      <a:pt x="511" y="572"/>
                                    </a:lnTo>
                                    <a:lnTo>
                                      <a:pt x="510" y="575"/>
                                    </a:lnTo>
                                    <a:lnTo>
                                      <a:pt x="508" y="579"/>
                                    </a:lnTo>
                                    <a:lnTo>
                                      <a:pt x="508" y="579"/>
                                    </a:lnTo>
                                    <a:lnTo>
                                      <a:pt x="503" y="582"/>
                                    </a:lnTo>
                                    <a:lnTo>
                                      <a:pt x="499" y="583"/>
                                    </a:lnTo>
                                    <a:lnTo>
                                      <a:pt x="499" y="583"/>
                                    </a:lnTo>
                                    <a:lnTo>
                                      <a:pt x="494" y="582"/>
                                    </a:lnTo>
                                    <a:lnTo>
                                      <a:pt x="488" y="581"/>
                                    </a:lnTo>
                                    <a:lnTo>
                                      <a:pt x="471" y="574"/>
                                    </a:lnTo>
                                    <a:lnTo>
                                      <a:pt x="406" y="547"/>
                                    </a:lnTo>
                                    <a:lnTo>
                                      <a:pt x="406" y="547"/>
                                    </a:lnTo>
                                    <a:lnTo>
                                      <a:pt x="391" y="541"/>
                                    </a:lnTo>
                                    <a:lnTo>
                                      <a:pt x="377" y="534"/>
                                    </a:lnTo>
                                    <a:lnTo>
                                      <a:pt x="367" y="525"/>
                                    </a:lnTo>
                                    <a:lnTo>
                                      <a:pt x="357" y="516"/>
                                    </a:lnTo>
                                    <a:lnTo>
                                      <a:pt x="349" y="508"/>
                                    </a:lnTo>
                                    <a:lnTo>
                                      <a:pt x="343" y="499"/>
                                    </a:lnTo>
                                    <a:lnTo>
                                      <a:pt x="340" y="489"/>
                                    </a:lnTo>
                                    <a:lnTo>
                                      <a:pt x="336" y="480"/>
                                    </a:lnTo>
                                    <a:lnTo>
                                      <a:pt x="334" y="472"/>
                                    </a:lnTo>
                                    <a:lnTo>
                                      <a:pt x="333" y="464"/>
                                    </a:lnTo>
                                    <a:lnTo>
                                      <a:pt x="332" y="449"/>
                                    </a:lnTo>
                                    <a:lnTo>
                                      <a:pt x="333" y="437"/>
                                    </a:lnTo>
                                    <a:lnTo>
                                      <a:pt x="334" y="430"/>
                                    </a:lnTo>
                                    <a:lnTo>
                                      <a:pt x="334" y="430"/>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9F8E5" id="Freeform 37" o:spid="_x0000_s1026" style="position:absolute;margin-left:8.75pt;margin-top:7.7pt;width:19.1pt;height:17.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Db4REAAOBhAAAOAAAAZHJzL2Uyb0RvYy54bWysXV1vYzlyfV8g/0HQY4CMxa97JWM8i2B2&#10;O1hgMhlgOsizWpbHRmxJK6nbPfvr9xRZdU2NxSom6Jem3Toqsop1i/XF6+///PXlefZlezw97Xd3&#10;c/fdYj7b7jb7+6fdb3fz//744d+W89npvN7dr5/3u+3d/Pftaf7nH/7lT9+/Hm63fv+4f77fHmcg&#10;sjvdvh7u5o/n8+H25ua0edy+rE/f7Q/bHT582B9f1mf8evzt5v64fgX1l+cbv1gMN6/74/3huN9s&#10;Tyf871/Kh/MfMv2Hh+3m/F8PD6ftefZ8N8fazvnfY/73E/1788P369vfjuvD49OGl7H+f6ziZf20&#10;w6QTqb+sz+vZ5+PTO1IvT5vj/rR/OH+32b/c7B8enjbbzAO4cYs/cPPr4/qwzbxAOKfDJKbTtyO7&#10;+fnLL8fZ0/3dPIX5bLd+wR59OG63JPFZGEk+r4fTLWC/Hn45Eoenw0/7zf+eZrv9X++fzr/sn3Zn&#10;rMcR8uYCSr+c8KXZp9f/3N+D7vrzeZ+F9PXh+EKkwP7sa96L36e92H49zzb4Tx99GrFjG3zkvRtc&#10;yjOsb+XLm8+n839s95nQ+stPp3PZynv8lDfinrn5CCIPL8/Y1X+9mY1hnL3OxjHwxk8gV4H84GaP&#10;s3Ex/BHkK9AA0FVKEOM0nYvL65RiBUotSqkCDavrhIYKE9NwfUljBQrxOiE8p9OywxivE1pVoNgg&#10;5Gp5B9eQkqsF7tzi+qJcLfHgW7RqkfvQ2DxXyzwsV9c5hJpVchhCY10XYo+pQetC7mOLx1ryabFo&#10;0LoQvfPX1+Vr2SffWJevZZ9catCqZZ9az42vZZ+gN9cfnFr2yTW0y9eyHxatdXXJ3teyT6uWvGrZ&#10;hxCuy97Xsk9+vM5jqGUfFg39CrXsY2ysK9Sy901atexDS79CLXvXMhGhln1IrXXVsndpeV1eODbe&#10;nqEYGvsYatl7mKXr1vRC9mPjeYwXsveNdcVa9kNqrCvWso++YVJjLfth1TLztewTpHqVx1jLflg1&#10;LH2sZT9gt6/TqmU/wDJdfR5jLfsRWnid1oXsU2NdqZY9TtbrtFIt+9g6hNKF7FctWrXsfevsSLXs&#10;acarPKZa9s2zI9Wyjy0bnWrZu2XDTqRa9tE37ESqZe9CQ/ZDLfu4bPA41LJvuiRDl+yHLtkPtezT&#10;2NCv4UL2kMRVXR1q2Q++xWMtex8bsh9q2Q+tZ3uoZR8WDZtDzunkMaWh4VeOtewDVn+Vx7GWfWqd&#10;Q/Ba32b0y4Y/MdayH4aGLRxr2cdxaKzrQvY4ka8+Q2Mt+7hs2Jyxln1aNnRirGXfPDuWtewH13iG&#10;lheyXzVkv6xlP4wNH3NZyz66hk4sL2Tf8qKXF7KH5lzViWUt+4YlXNaSd41DaFkLPjTOjWUt94Zm&#10;rWqpt4zNqhZ6bPjiq1rmHhpzVa9Wtcw9TvWrclrVMg9DQ69WtcwDvKDrtGqZ+yatWuqhpe+rWuxu&#10;aNitVS1339IFt6hF3xCXW1yIvuHCuUUt+zA2idXCD6vGRrpFLf3maeYWF+JfNRTMIeR+s3BxbNgu&#10;t6g3AHmC65vpFvUOxFXDk3OLegsinI6rqoEYtVpbgtdxVWfdRWCbIN4GtXoX4rLFqat3IS1bu3AZ&#10;26bGWeQugtvkGg+Bc/UuhNB4opy72IVYHd83yINJHmb9KKmZzdcd52bw02xNCcJFTgcd9idKA1Gi&#10;BsmejyWVtL4FihI5DTDkR+CcyMF8OhhKSmBJIelgcE/gnPsyKUPFCLzi5JROmVSI0NARypZZq6bs&#10;R4b3MUlKkOF9bNIuZ3gfo445dX2sUiaCqCPX0MOqZ1aRTuiCM6vIGHTBmVUkBbrgzCri/h44Bf7E&#10;KkL7Lrhobh+rFL5n6n2sBma1pG5NFaMgPFPvY5XibIIjku5hlULpDO9jNTKriIe7qDOrsW9XKebN&#10;i+ljlcJagiNw7VkMRa4Z3scqBacZ3scqxZ8Z3scqhZgZ3scqRZEER5zYwyoFihnexyrFghnexyqF&#10;exnexypFdBnexyoFbQRHWNbDKsVlGd7HKoVeGd7H6sisIn7qWgyzihCpB04xEi0GUVAXnFlFoNMF&#10;Z1YRy3TBmVUELF1wZhVRSQ+cAhNiFbFHF5xZRXzRBWdWEUJ0wZnVVR+rFCbktfexmiMBwpO337Oc&#10;7O+XL/Sxm1368oU+hrPXXr7Qx3J2zMsXOpl+c5w6mZ5cJzjQXVKanKepzmi4cpP7BDe4mqGcuOzn&#10;HlF+/mPh+TifofD8ib6zvj2sz+Qey4+z17s51SZnjxgRC9H/v+y/bD/uM+JMXvJI2SkILyBDWOZ9&#10;QzzvdKR8LuOBKRYFD3AGCkX5XEbG8bES4ArqOHCAFXqotoqjjDbhYKlUHNUTCDedT7IuGXl9vjxK&#10;Hrl5lR5c2Exv8h6FjoxMjwJDmhejRg/Z/4xzkz0ROjIWegNldEDPTfZePpeRcXyMoOatz0t5XaIH&#10;z0ZdH3s+Dq6kimNX000+u6xLRl4f+/YUOKv0KEzH+gw1SJQxAmw6GmQ2GcusiU9LQ3gopmdqeEq0&#10;tSXWPUPEicp1WBvcNZUaGwNjIxIlaEANbrFGLbKeBJ2FSKllUEPlTqXGvqOx+ShFFmr6sxOprkqT&#10;GjDKWxBMlxsqKQWWOy1gOmXLZSxbH1ggiD40TtG1kKkhjPgWMLZ2cOxVan2KFKi+CoHA/1SpsXgn&#10;F08EISMLhJ9AZHZVanyoIceow4oiUYZLxfHzbNmHQFk88OpQxdbpFZk4a8MoeUj0BjlpRRoyslR4&#10;fX46wuVzGf+POOqTwLyoCup88N56hIwqv2yHPWIWFcfxmDcsIir+eX0kb5UeVV7AR/AGjuoShJvi&#10;b5GbjPI4sgeCWqA6L9UUiJ61b524SJnrTM+weJyqCqgvauuLvThO8Fh8RKrj0/qMhzxSp13G6c9H&#10;5EA74ORT+RA9mCI92S8Zy74hn17mhTlV6YkeGP4MUuWZXlzoeoCepoKDU67Nm9huxCkJKOuXsfCR&#10;KMUO+cUpxyWfyyi4YoeiYcITW9No7FviJGWcwkyZT0aetxtX9AUdWLpc2K9Nxmn65qzo+4v6cpZf&#10;sryablyRc0KmR91f9uOTYf/Qa1bWh/Ncp8fzGvFDYvucplyF7JeMvG/i7KE6qc5LfWrQvzRF+EJH&#10;RtGDXlx5PgbYN3VePs7RGafj+DkaUP/S6EWqPYKPb4ZjO27SYzs0oHaoro/tKbr3vgkuYL/yviGr&#10;p83bjWM7id4PnR5HLhSaqPOKxzmlnEWfZCx6Faj3jPTPCBDQz1hwU9lD6MjI9ESfDTtEcX+e19DT&#10;wHpq2cnASZpoebvdOD5nLDlzXE8hj7YffsXnh3HOdONYDyiGUudlPYiQo4rjagxFUSrOc37HsH+U&#10;56D9tfwXR70UhDPOD0edNYQz9NRJIIt1anx046ivLM+r769jPztM1Sx5LmQszwd6Zplfg574dfDb&#10;VD6oFzLLuROHrqIuetBXHVf2IxrnguPiVDTyQOj/zXygS0ufl1MyMepxKMV3JBfye1U+KENKOMMv&#10;dtRLRjjDXxN9TkZe07Ndo9yRtj70Mud5U7ll0kxreE4dJMMf99QLCj6SkUjzXK0apvYC0WMZiz57&#10;6lIDvcHwsyl/m3GG3xk42YNuY1Uugf1YdF7rOD7fBiN+C6x/gyFn9DgVPoz4KFBXGsnFSKvQ85Nx&#10;6DzT9KAbh7i80DP8NZbLaMRbke3aaPiJdO7SvHzRqamnkfXAwlEcU+jp+yvxh8UH+uVZLrrdSFwR&#10;GaYCnei7jEXvE3VL5v3V6ZFfWnC6HRo4zhuMOGXgJosBpW1NXwa2u9bzgd7/sj7jeRvkOTeStd04&#10;iRemFiCRr4xFziP7a1acMrJfYvn342RPdb3CPYYslzRVxmRdMvL6uLUjWXUi6ueHvuAelbpvI/XE&#10;E844V0fuVYhTVVvWJSOvj/0hSvBr+jKyvbfyG7miiPXhDoRBj89VIw4QesHwN0bx64ySzfuKpshD&#10;RpbLu8qnfL553p+2ENX7aqnkqHBLhHlvVUvfI4W6jGUVka2IN7wFsa7e8GqljOORZdR2W7KB3siq&#10;kzaQNnrjqY98mpg4fvqsLDjacMu8Rpa5G8c1Ndz91eXC2UDyzlT5cRXBG9lyyTI7Q7uldoV7Psa8&#10;XF1B1kNfXzl1nJEdE6/CGVauG8derTOyDhQNkF5Z1Rr0gBecEfVFPhUdOhZVuUzVa90KR7bWzohG&#10;IjeYOSOqp+ii8Kt7Ad04Po2taj1FK3leRJ2qXDgKx80CA8f7YWS9JEtPUbs274SzsnLsNeK1Biq9&#10;brvL1YY3Sy52uW39E2dI/KTbLev/HinUZSzWP6HZNFtXw3eg3HrGGVqWuMZjWXXcoSv0pp5kWZeM&#10;vD6680TWH7GWuovcMmfhBq7dWKfTwLkjin21ebtxdLmA+DBq/rgPyDjdCg9slbwRew5cA/BG7Dlw&#10;btWbvj/vm5HDGbjG6I2YEncWM7+4lajLuRfHvVBh8o9En2QsejWwTx+mbjf5XEbGceyEdzWo60uS&#10;QzR8a8qNkB5YtWvpDjJxnGPCTUx9fZxbCEask7pxJWajXIn2fFBMkvk1vJTEp6e3alB8H8AbMYfE&#10;5FYvntTSvNVfxTU8j1yEzm+Ry5uFFn2SUexuC9e2/hSXkyzjVJ9pWf/3SJldRtZuieCMzOPAGZg4&#10;NVMLHRmZHvvqFFNoUho4srUymWKVonE2i9U0cZzRsSJWivSzpI0KQy+OKquZnlEZSnyKRcu3kQYy&#10;o2Ml0S1f0hjjlMBFvIIzMjC45Vxwhk+a2DfE2yZUPUh0lZfWh9hI05duHFthihU0elSZzvNapw73&#10;aQcjU40b25leME87welWUzJswehYGdh7szIXA1d8rMpaN47vwETDquP2Oe+vwe9USdRP2YHvgEQj&#10;tzBM+qxb64meUckZkPEpz5GRaX1nocU+ysh2solrW3+2SBLMtEz/H2Ayr4xlfj6TdSNdts7IuvAp&#10;pj9u7MLrHkpZk5GEKtwZmZFiUwwHUGo8qp3oAxWPTudOkg3qdOwz6zrbB+JYX51OOqR1ENeGVBAf&#10;+4bI+1BydOiWgHpx6Yk0SluOD1RntUbI/hjJKnLraFpnGPpuHDtg1pUMvFIiz2uFt4HDFbN1l1sE&#10;vVVqFHfbcMsDDCjJxQqTqMUi4wyzIqVQs3VXWkqN5FLgkobV8hq45dpqVenFTa00hkMiJexoJJco&#10;PM/yMxwDvOqj4AwHlq4WZXpTSCEHhYzlwPD0Wjza3+lusnwuI+PYcbbCVict0kZJ13Gpm/Rfc+go&#10;aUjrwwtHvg1OwlEj7eT4hCA7o62P/VzqvNFg3OjjDLdZLlUYMilbZkzZ5S80QG1nJXCR5c1Ra/kr&#10;75GiUTKyy8JNr1azGV36I02IKGZropYmCrwJ5hvhOLFj0uvEcVkOL/ZU1ydlm2CE3GTR8hNs4Tix&#10;GAyNlrKIieP9oGYUbT8il0WoWVXFSZOWEbpFtvgRFl2lx0XYiISgipMmLcNDlUsJVBZU6U2htB4a&#10;yeU5q7mTUhpZ7+FlqfPKJQezzMIPvVXmk6ZS40TC64rK+gyclGOs5rWE/Sd+qble41cuYaSpZCJ2&#10;RcZiXxIn/JOV4OOUgNUkLZc6qNChrk/o4aRTcdyklawUUjeO5WeUx6SpnlJJ2vr6ccUOUSpJpcdH&#10;JqWmVBynGPCqXh3Hlwio4KXS68TRuZH1z2i2DZw6sC67kGea6Rl2I0gTj5EyE4/cauKR5nvaP00u&#10;QZqzjfMocMQQjUss07lvPB/S9B8Ne4XXehX7YqRyJnqG3ZjWZ6Sa2jjxjtCHSK9FyO/Hmt6PgP+s&#10;3/d+2j8/3X94en6mnp/T8bdPPz4fZ1/WeMf/hw//HifTdQF7zm8T2+3pa7Jz9HW8cL68oSy/vZ5e&#10;WF9eef9pf/87Xl6Pv22APxrwuD/+Yz57xd8JuJuf/v55fdzOZ89/2+HF9ys0RCCrc86/oAmBIsVj&#10;/cmn+pPd55cf91gmHob1bgOqd/Oz/PjjufxdAvxhAPD90+7Xw4aA+dUPx9P549f/WR8PswN+xJew&#10;6p/38vcB1rfyAnwS3oTlF/IXRvgX/BmBLFn+kwf0dwrq3zPq7Q8z/PBPAAAA//8DAFBLAwQUAAYA&#10;CAAAACEA9pOT5NwAAAAHAQAADwAAAGRycy9kb3ducmV2LnhtbEyOQUvDQBSE70L/w/IK3uzG1liJ&#10;2ZRSEQSDYC3ocZt9ZkOzb5fsto3+ep8nPQ3DDDNfuRpdL044xM6TgutZBgKp8aajVsHu7fHqDkRM&#10;mozuPaGCL4ywqiYXpS6MP9MrnrapFTxCsdAKbEqhkDI2Fp2OMx+QOPv0g9OJ7dBKM+gzj7tezrPs&#10;VjrdET9YHXBjsTlsj07B+vslpYd6Z9/rTcCPp9A8x0Wt1OV0XN+DSDimvzL84jM6VMy090cyUfTs&#10;lzk3WfMbEJzn+RLEnjVbgKxK+Z+/+gEAAP//AwBQSwECLQAUAAYACAAAACEAtoM4kv4AAADhAQAA&#10;EwAAAAAAAAAAAAAAAAAAAAAAW0NvbnRlbnRfVHlwZXNdLnhtbFBLAQItABQABgAIAAAAIQA4/SH/&#10;1gAAAJQBAAALAAAAAAAAAAAAAAAAAC8BAABfcmVscy8ucmVsc1BLAQItABQABgAIAAAAIQBuskDb&#10;4REAAOBhAAAOAAAAAAAAAAAAAAAAAC4CAABkcnMvZTJvRG9jLnhtbFBLAQItABQABgAIAAAAIQD2&#10;k5Pk3AAAAAcBAAAPAAAAAAAAAAAAAAAAADsUAABkcnMvZG93bnJldi54bWxQSwUGAAAAAAQABADz&#10;AAAARBUAAAAA&#10;" path="m769,359r,l764,338r-6,-20l753,298r-7,-18l737,261r-9,-18l719,225,709,209,698,193,686,177,674,161,661,148,648,134,634,121,620,109,607,98,591,87,576,77,561,69,546,61,531,54,516,48,501,42,486,39,471,35,456,34,442,33r-15,l413,34r-13,2l386,40r-12,4l374,44r-16,8l346,61r-11,9l327,79r-7,9l314,99r-3,11l307,121r-1,11l305,144r,23l307,215r,l321,231r14,19l348,268r12,19l370,306r8,20l385,345r4,18l389,367r,l402,365r16,l418,365r12,2l445,370r8,2l462,376r8,5l478,386r7,7l493,403r7,9l506,423r5,14l516,452r4,18l522,491r,l525,515r3,19l531,546r2,8l533,554r3,10l537,568r,6l536,580r-1,5l531,592r-6,5l525,597r-5,5l514,605r-8,3l499,608r,l489,608r-11,-4l445,592r,l397,572r,l385,567r-9,-6l358,551,343,539,333,527r-8,-12l318,502r-4,-11l312,479r,l310,461r-1,-19l296,437r,l276,427,258,414,240,400,224,385,209,370,195,354,182,339,171,324r,l165,332r-5,9l156,352r-3,10l151,372r,12l151,396r1,12l154,421r4,14l161,449r6,13l173,476r6,15l195,518r19,28l234,573r12,13l259,598r13,13l284,623r14,11l313,645r15,10l343,665r15,8l375,681r17,7l408,694r,l426,698r17,5l460,705r19,1l498,706r17,-1l533,703r19,-4l569,695r18,-6l604,682r18,-8l638,666r16,-11l670,645r14,-12l684,633r15,-14l712,605r12,-13l734,575r8,-16l750,543r7,-18l763,508r5,-19l771,471r1,-19l773,434r,-19l773,396r-2,-19l769,359r,xm493,210r,l487,218r-8,6l471,230r-9,2l452,233r-9,l434,231r-9,-5l425,226r-9,-5l411,214r-6,-8l402,196r-2,-9l401,178r3,-10l408,159r,l414,151r7,-7l429,139r9,-3l448,135r9,l466,137r10,5l476,142r8,6l491,156r4,8l499,172r1,10l500,192r-2,9l493,210r,xm540,251r,l547,243r7,-6l562,232r10,-3l581,228r9,l600,230r9,4l609,234r8,6l624,247r5,8l631,265r2,9l632,284r-2,10l626,303r,l619,310r-7,7l604,321r-9,4l586,326r-10,l567,324r-9,-5l558,319r-8,-6l543,306r-5,-9l536,289r-3,-9l535,269r2,-9l540,251r,xm674,467r,l668,476r-8,7l652,487r-10,4l633,492r-9,l615,489r-10,-4l605,485r-8,-6l590,472r-4,-9l583,455r-2,-10l582,435r2,-9l588,416r,l595,408r7,-5l610,398r9,-4l629,393r9,l647,396r9,4l656,400r8,6l671,413r5,8l680,430r1,10l680,449r-3,10l674,467r,xm5,42r,l3,37,1,33,,28,1,24,3,18,5,14,8,10,13,6r,l16,4,21,1,30,r,l36,1r6,2l48,6r4,4l52,10,84,41r48,47l190,142r31,26l251,194r,l268,209r17,19l304,250r16,23l336,297r13,24l354,333r4,12l362,356r1,11l307,414r,l296,408r-12,-7l274,393r-12,-8l243,367,223,347,205,326,189,305,175,285,164,267r,l138,228,113,190,88,156,65,126,27,75,13,56,5,42r,xm334,430r,l335,427r3,-5l375,391r,l376,391r,l387,389r13,-2l414,387r15,3l429,390r9,2l448,397r10,6l463,407r6,5l473,418r5,7l482,433r4,9l489,452r4,12l495,478r1,15l496,493r4,25l503,537r3,14l509,560r1,7l511,572r-1,3l508,579r,l503,582r-4,1l499,583r-5,-1l488,581r-17,-7l406,547r,l391,541r-14,-7l367,525r-10,-9l349,508r-6,-9l340,489r-4,-9l334,472r-1,-8l332,449r1,-12l334,430r,xe" fillcolor="#ffa451" stroked="f">
                      <v:path arrowok="t" o:connecttype="custom" o:connectlocs="231273,81928;207424,46458;176044,21659;143094,10673;117362,13812;97593,34529;100731,72511;122070,113947;139642,116144;156902,129328;164747,161660;168512,180180;161295,189911;139642,185830;104497,165426;96965,138745;65585,116144;48953,110494;49581,136547;73430,179866;102928,205606;133680,219104;173219,219418;210248,202467;232842,175471;242570,136234;154705,65919;136191,72511;125521,58700;134622,43632;151881,46458;154705,65919;179496,71884;195813,77534;196441,95112;177927,101704;167257,87893;209621,149417;189851,152243;182634,136547;194244,123677;210562,129642;211503,146592;941,5650;9414,0;26359,12870;89434,71570;113597,111749;82216,120852;51464,83812;1569,13184;117676,122736;134622,122422;149998,133408;155646,154754;160040,180494;153136,182377;112028,161974;104183,140942" o:connectangles="0,0,0,0,0,0,0,0,0,0,0,0,0,0,0,0,0,0,0,0,0,0,0,0,0,0,0,0,0,0,0,0,0,0,0,0,0,0,0,0,0,0,0,0,0,0,0,0,0,0,0,0,0,0,0,0,0,0,0"/>
                      <o:lock v:ext="edit" verticies="t"/>
                    </v:shape>
                  </w:pict>
                </mc:Fallback>
              </mc:AlternateContent>
            </w:r>
          </w:p>
        </w:tc>
        <w:tc>
          <w:tcPr>
            <w:tcW w:w="2136" w:type="dxa"/>
          </w:tcPr>
          <w:p w14:paraId="6FEE547E"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Шаблон</w:t>
            </w:r>
          </w:p>
        </w:tc>
        <w:tc>
          <w:tcPr>
            <w:tcW w:w="6007" w:type="dxa"/>
          </w:tcPr>
          <w:p w14:paraId="252C5B1D" w14:textId="77777777" w:rsidR="00DA6587" w:rsidRPr="007E5633" w:rsidRDefault="00DA6587" w:rsidP="000A7BA9">
            <w:pPr>
              <w:rPr>
                <w:rFonts w:ascii="Arial" w:hAnsi="Arial" w:cs="Arial"/>
                <w:highlight w:val="yellow"/>
                <w:lang w:val="uk-UA"/>
              </w:rPr>
            </w:pPr>
            <w:r w:rsidRPr="007E5633">
              <w:rPr>
                <w:rFonts w:ascii="Arial" w:hAnsi="Arial" w:cs="Arial"/>
                <w:lang w:val="uk-UA"/>
              </w:rPr>
              <w:t>Список шаблонів інсайдерів повинен бути підготовлений відповідно до шаблону 1 із додатку 1 Commission Implementing Regulation ЄС (2016/347) (Commission Implementing Regulation (ЄС) 2016/347 від 10 березня 2016 р., яка визначає імплементаційні технічні стандарти щодо точного формату інсайдерських списків та оновлення інсайдерських списків відповідно до Регламенту (ЄС) № 596/2014 Європейського Парламенту та Рада)</w:t>
            </w:r>
          </w:p>
        </w:tc>
      </w:tr>
      <w:tr w:rsidR="00DA6587" w:rsidRPr="007E5633" w14:paraId="379BBEC2" w14:textId="77777777" w:rsidTr="00DA6587">
        <w:trPr>
          <w:trHeight w:val="690"/>
        </w:trPr>
        <w:tc>
          <w:tcPr>
            <w:tcW w:w="1100" w:type="dxa"/>
            <w:shd w:val="clear" w:color="auto" w:fill="auto"/>
          </w:tcPr>
          <w:p w14:paraId="4EA3F5C2"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5392" behindDoc="0" locked="0" layoutInCell="1" allowOverlap="1" wp14:anchorId="7ED06C6D" wp14:editId="1CDC98EC">
                      <wp:simplePos x="0" y="0"/>
                      <wp:positionH relativeFrom="column">
                        <wp:posOffset>85725</wp:posOffset>
                      </wp:positionH>
                      <wp:positionV relativeFrom="paragraph">
                        <wp:posOffset>132080</wp:posOffset>
                      </wp:positionV>
                      <wp:extent cx="294005" cy="154305"/>
                      <wp:effectExtent l="0" t="0" r="0" b="0"/>
                      <wp:wrapNone/>
                      <wp:docPr id="54" name="Freeform 49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4005" cy="154305"/>
                              </a:xfrm>
                              <a:custGeom>
                                <a:avLst/>
                                <a:gdLst>
                                  <a:gd name="T0" fmla="*/ 242 w 350"/>
                                  <a:gd name="T1" fmla="*/ 32 h 184"/>
                                  <a:gd name="T2" fmla="*/ 236 w 350"/>
                                  <a:gd name="T3" fmla="*/ 42 h 184"/>
                                  <a:gd name="T4" fmla="*/ 78 w 350"/>
                                  <a:gd name="T5" fmla="*/ 42 h 184"/>
                                  <a:gd name="T6" fmla="*/ 68 w 350"/>
                                  <a:gd name="T7" fmla="*/ 36 h 184"/>
                                  <a:gd name="T8" fmla="*/ 68 w 350"/>
                                  <a:gd name="T9" fmla="*/ 10 h 184"/>
                                  <a:gd name="T10" fmla="*/ 74 w 350"/>
                                  <a:gd name="T11" fmla="*/ 0 h 184"/>
                                  <a:gd name="T12" fmla="*/ 232 w 350"/>
                                  <a:gd name="T13" fmla="*/ 0 h 184"/>
                                  <a:gd name="T14" fmla="*/ 242 w 350"/>
                                  <a:gd name="T15" fmla="*/ 6 h 184"/>
                                  <a:gd name="T16" fmla="*/ 34 w 350"/>
                                  <a:gd name="T17" fmla="*/ 0 h 184"/>
                                  <a:gd name="T18" fmla="*/ 6 w 350"/>
                                  <a:gd name="T19" fmla="*/ 0 h 184"/>
                                  <a:gd name="T20" fmla="*/ 0 w 350"/>
                                  <a:gd name="T21" fmla="*/ 10 h 184"/>
                                  <a:gd name="T22" fmla="*/ 0 w 350"/>
                                  <a:gd name="T23" fmla="*/ 36 h 184"/>
                                  <a:gd name="T24" fmla="*/ 10 w 350"/>
                                  <a:gd name="T25" fmla="*/ 42 h 184"/>
                                  <a:gd name="T26" fmla="*/ 38 w 350"/>
                                  <a:gd name="T27" fmla="*/ 42 h 184"/>
                                  <a:gd name="T28" fmla="*/ 44 w 350"/>
                                  <a:gd name="T29" fmla="*/ 32 h 184"/>
                                  <a:gd name="T30" fmla="*/ 42 w 350"/>
                                  <a:gd name="T31" fmla="*/ 6 h 184"/>
                                  <a:gd name="T32" fmla="*/ 34 w 350"/>
                                  <a:gd name="T33" fmla="*/ 0 h 184"/>
                                  <a:gd name="T34" fmla="*/ 174 w 350"/>
                                  <a:gd name="T35" fmla="*/ 114 h 184"/>
                                  <a:gd name="T36" fmla="*/ 78 w 350"/>
                                  <a:gd name="T37" fmla="*/ 70 h 184"/>
                                  <a:gd name="T38" fmla="*/ 70 w 350"/>
                                  <a:gd name="T39" fmla="*/ 72 h 184"/>
                                  <a:gd name="T40" fmla="*/ 68 w 350"/>
                                  <a:gd name="T41" fmla="*/ 104 h 184"/>
                                  <a:gd name="T42" fmla="*/ 70 w 350"/>
                                  <a:gd name="T43" fmla="*/ 110 h 184"/>
                                  <a:gd name="T44" fmla="*/ 78 w 350"/>
                                  <a:gd name="T45" fmla="*/ 114 h 184"/>
                                  <a:gd name="T46" fmla="*/ 10 w 350"/>
                                  <a:gd name="T47" fmla="*/ 140 h 184"/>
                                  <a:gd name="T48" fmla="*/ 0 w 350"/>
                                  <a:gd name="T49" fmla="*/ 146 h 184"/>
                                  <a:gd name="T50" fmla="*/ 0 w 350"/>
                                  <a:gd name="T51" fmla="*/ 174 h 184"/>
                                  <a:gd name="T52" fmla="*/ 6 w 350"/>
                                  <a:gd name="T53" fmla="*/ 184 h 184"/>
                                  <a:gd name="T54" fmla="*/ 34 w 350"/>
                                  <a:gd name="T55" fmla="*/ 184 h 184"/>
                                  <a:gd name="T56" fmla="*/ 42 w 350"/>
                                  <a:gd name="T57" fmla="*/ 178 h 184"/>
                                  <a:gd name="T58" fmla="*/ 44 w 350"/>
                                  <a:gd name="T59" fmla="*/ 150 h 184"/>
                                  <a:gd name="T60" fmla="*/ 38 w 350"/>
                                  <a:gd name="T61" fmla="*/ 142 h 184"/>
                                  <a:gd name="T62" fmla="*/ 188 w 350"/>
                                  <a:gd name="T63" fmla="*/ 140 h 184"/>
                                  <a:gd name="T64" fmla="*/ 74 w 350"/>
                                  <a:gd name="T65" fmla="*/ 142 h 184"/>
                                  <a:gd name="T66" fmla="*/ 68 w 350"/>
                                  <a:gd name="T67" fmla="*/ 150 h 184"/>
                                  <a:gd name="T68" fmla="*/ 68 w 350"/>
                                  <a:gd name="T69" fmla="*/ 178 h 184"/>
                                  <a:gd name="T70" fmla="*/ 78 w 350"/>
                                  <a:gd name="T71" fmla="*/ 184 h 184"/>
                                  <a:gd name="T72" fmla="*/ 34 w 350"/>
                                  <a:gd name="T73" fmla="*/ 70 h 184"/>
                                  <a:gd name="T74" fmla="*/ 6 w 350"/>
                                  <a:gd name="T75" fmla="*/ 70 h 184"/>
                                  <a:gd name="T76" fmla="*/ 0 w 350"/>
                                  <a:gd name="T77" fmla="*/ 80 h 184"/>
                                  <a:gd name="T78" fmla="*/ 0 w 350"/>
                                  <a:gd name="T79" fmla="*/ 108 h 184"/>
                                  <a:gd name="T80" fmla="*/ 10 w 350"/>
                                  <a:gd name="T81" fmla="*/ 114 h 184"/>
                                  <a:gd name="T82" fmla="*/ 38 w 350"/>
                                  <a:gd name="T83" fmla="*/ 112 h 184"/>
                                  <a:gd name="T84" fmla="*/ 44 w 350"/>
                                  <a:gd name="T85" fmla="*/ 104 h 184"/>
                                  <a:gd name="T86" fmla="*/ 42 w 350"/>
                                  <a:gd name="T87" fmla="*/ 76 h 184"/>
                                  <a:gd name="T88" fmla="*/ 34 w 350"/>
                                  <a:gd name="T89" fmla="*/ 70 h 184"/>
                                  <a:gd name="T90" fmla="*/ 312 w 350"/>
                                  <a:gd name="T91" fmla="*/ 0 h 184"/>
                                  <a:gd name="T92" fmla="*/ 184 w 350"/>
                                  <a:gd name="T93" fmla="*/ 6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0" h="184">
                                    <a:moveTo>
                                      <a:pt x="242" y="10"/>
                                    </a:moveTo>
                                    <a:lnTo>
                                      <a:pt x="242" y="32"/>
                                    </a:lnTo>
                                    <a:lnTo>
                                      <a:pt x="242" y="32"/>
                                    </a:lnTo>
                                    <a:lnTo>
                                      <a:pt x="242" y="36"/>
                                    </a:lnTo>
                                    <a:lnTo>
                                      <a:pt x="240" y="40"/>
                                    </a:lnTo>
                                    <a:lnTo>
                                      <a:pt x="236" y="42"/>
                                    </a:lnTo>
                                    <a:lnTo>
                                      <a:pt x="232" y="42"/>
                                    </a:lnTo>
                                    <a:lnTo>
                                      <a:pt x="78" y="42"/>
                                    </a:lnTo>
                                    <a:lnTo>
                                      <a:pt x="78" y="42"/>
                                    </a:lnTo>
                                    <a:lnTo>
                                      <a:pt x="74" y="42"/>
                                    </a:lnTo>
                                    <a:lnTo>
                                      <a:pt x="70" y="40"/>
                                    </a:lnTo>
                                    <a:lnTo>
                                      <a:pt x="68" y="36"/>
                                    </a:lnTo>
                                    <a:lnTo>
                                      <a:pt x="68" y="32"/>
                                    </a:lnTo>
                                    <a:lnTo>
                                      <a:pt x="68" y="10"/>
                                    </a:lnTo>
                                    <a:lnTo>
                                      <a:pt x="68" y="10"/>
                                    </a:lnTo>
                                    <a:lnTo>
                                      <a:pt x="68" y="6"/>
                                    </a:lnTo>
                                    <a:lnTo>
                                      <a:pt x="70" y="2"/>
                                    </a:lnTo>
                                    <a:lnTo>
                                      <a:pt x="74" y="0"/>
                                    </a:lnTo>
                                    <a:lnTo>
                                      <a:pt x="78" y="0"/>
                                    </a:lnTo>
                                    <a:lnTo>
                                      <a:pt x="232" y="0"/>
                                    </a:lnTo>
                                    <a:lnTo>
                                      <a:pt x="232" y="0"/>
                                    </a:lnTo>
                                    <a:lnTo>
                                      <a:pt x="236" y="0"/>
                                    </a:lnTo>
                                    <a:lnTo>
                                      <a:pt x="240" y="2"/>
                                    </a:lnTo>
                                    <a:lnTo>
                                      <a:pt x="242" y="6"/>
                                    </a:lnTo>
                                    <a:lnTo>
                                      <a:pt x="242" y="10"/>
                                    </a:lnTo>
                                    <a:lnTo>
                                      <a:pt x="242" y="10"/>
                                    </a:lnTo>
                                    <a:close/>
                                    <a:moveTo>
                                      <a:pt x="34" y="0"/>
                                    </a:moveTo>
                                    <a:lnTo>
                                      <a:pt x="10" y="0"/>
                                    </a:lnTo>
                                    <a:lnTo>
                                      <a:pt x="10" y="0"/>
                                    </a:lnTo>
                                    <a:lnTo>
                                      <a:pt x="6" y="0"/>
                                    </a:lnTo>
                                    <a:lnTo>
                                      <a:pt x="2" y="2"/>
                                    </a:lnTo>
                                    <a:lnTo>
                                      <a:pt x="0" y="6"/>
                                    </a:lnTo>
                                    <a:lnTo>
                                      <a:pt x="0" y="10"/>
                                    </a:lnTo>
                                    <a:lnTo>
                                      <a:pt x="0" y="32"/>
                                    </a:lnTo>
                                    <a:lnTo>
                                      <a:pt x="0" y="32"/>
                                    </a:lnTo>
                                    <a:lnTo>
                                      <a:pt x="0" y="36"/>
                                    </a:lnTo>
                                    <a:lnTo>
                                      <a:pt x="2" y="40"/>
                                    </a:lnTo>
                                    <a:lnTo>
                                      <a:pt x="6" y="42"/>
                                    </a:lnTo>
                                    <a:lnTo>
                                      <a:pt x="10" y="42"/>
                                    </a:lnTo>
                                    <a:lnTo>
                                      <a:pt x="34" y="42"/>
                                    </a:lnTo>
                                    <a:lnTo>
                                      <a:pt x="34" y="42"/>
                                    </a:lnTo>
                                    <a:lnTo>
                                      <a:pt x="38" y="42"/>
                                    </a:lnTo>
                                    <a:lnTo>
                                      <a:pt x="40" y="40"/>
                                    </a:lnTo>
                                    <a:lnTo>
                                      <a:pt x="42" y="36"/>
                                    </a:lnTo>
                                    <a:lnTo>
                                      <a:pt x="44" y="32"/>
                                    </a:lnTo>
                                    <a:lnTo>
                                      <a:pt x="44" y="10"/>
                                    </a:lnTo>
                                    <a:lnTo>
                                      <a:pt x="44" y="10"/>
                                    </a:lnTo>
                                    <a:lnTo>
                                      <a:pt x="42" y="6"/>
                                    </a:lnTo>
                                    <a:lnTo>
                                      <a:pt x="40" y="2"/>
                                    </a:lnTo>
                                    <a:lnTo>
                                      <a:pt x="38" y="0"/>
                                    </a:lnTo>
                                    <a:lnTo>
                                      <a:pt x="34" y="0"/>
                                    </a:lnTo>
                                    <a:lnTo>
                                      <a:pt x="34" y="0"/>
                                    </a:lnTo>
                                    <a:close/>
                                    <a:moveTo>
                                      <a:pt x="78" y="114"/>
                                    </a:moveTo>
                                    <a:lnTo>
                                      <a:pt x="174" y="114"/>
                                    </a:lnTo>
                                    <a:lnTo>
                                      <a:pt x="156" y="80"/>
                                    </a:lnTo>
                                    <a:lnTo>
                                      <a:pt x="150" y="70"/>
                                    </a:lnTo>
                                    <a:lnTo>
                                      <a:pt x="78" y="70"/>
                                    </a:lnTo>
                                    <a:lnTo>
                                      <a:pt x="78" y="70"/>
                                    </a:lnTo>
                                    <a:lnTo>
                                      <a:pt x="74" y="70"/>
                                    </a:lnTo>
                                    <a:lnTo>
                                      <a:pt x="70" y="72"/>
                                    </a:lnTo>
                                    <a:lnTo>
                                      <a:pt x="68" y="76"/>
                                    </a:lnTo>
                                    <a:lnTo>
                                      <a:pt x="68" y="80"/>
                                    </a:lnTo>
                                    <a:lnTo>
                                      <a:pt x="68" y="104"/>
                                    </a:lnTo>
                                    <a:lnTo>
                                      <a:pt x="68" y="104"/>
                                    </a:lnTo>
                                    <a:lnTo>
                                      <a:pt x="68" y="108"/>
                                    </a:lnTo>
                                    <a:lnTo>
                                      <a:pt x="70" y="110"/>
                                    </a:lnTo>
                                    <a:lnTo>
                                      <a:pt x="74" y="112"/>
                                    </a:lnTo>
                                    <a:lnTo>
                                      <a:pt x="78" y="114"/>
                                    </a:lnTo>
                                    <a:lnTo>
                                      <a:pt x="78" y="114"/>
                                    </a:lnTo>
                                    <a:close/>
                                    <a:moveTo>
                                      <a:pt x="34" y="140"/>
                                    </a:moveTo>
                                    <a:lnTo>
                                      <a:pt x="10" y="140"/>
                                    </a:lnTo>
                                    <a:lnTo>
                                      <a:pt x="10" y="140"/>
                                    </a:lnTo>
                                    <a:lnTo>
                                      <a:pt x="6" y="142"/>
                                    </a:lnTo>
                                    <a:lnTo>
                                      <a:pt x="2" y="144"/>
                                    </a:lnTo>
                                    <a:lnTo>
                                      <a:pt x="0" y="146"/>
                                    </a:lnTo>
                                    <a:lnTo>
                                      <a:pt x="0" y="150"/>
                                    </a:lnTo>
                                    <a:lnTo>
                                      <a:pt x="0" y="174"/>
                                    </a:lnTo>
                                    <a:lnTo>
                                      <a:pt x="0" y="174"/>
                                    </a:lnTo>
                                    <a:lnTo>
                                      <a:pt x="0" y="178"/>
                                    </a:lnTo>
                                    <a:lnTo>
                                      <a:pt x="2" y="182"/>
                                    </a:lnTo>
                                    <a:lnTo>
                                      <a:pt x="6" y="184"/>
                                    </a:lnTo>
                                    <a:lnTo>
                                      <a:pt x="10" y="184"/>
                                    </a:lnTo>
                                    <a:lnTo>
                                      <a:pt x="34" y="184"/>
                                    </a:lnTo>
                                    <a:lnTo>
                                      <a:pt x="34" y="184"/>
                                    </a:lnTo>
                                    <a:lnTo>
                                      <a:pt x="38" y="184"/>
                                    </a:lnTo>
                                    <a:lnTo>
                                      <a:pt x="40" y="182"/>
                                    </a:lnTo>
                                    <a:lnTo>
                                      <a:pt x="42" y="178"/>
                                    </a:lnTo>
                                    <a:lnTo>
                                      <a:pt x="44" y="174"/>
                                    </a:lnTo>
                                    <a:lnTo>
                                      <a:pt x="44" y="150"/>
                                    </a:lnTo>
                                    <a:lnTo>
                                      <a:pt x="44" y="150"/>
                                    </a:lnTo>
                                    <a:lnTo>
                                      <a:pt x="42" y="146"/>
                                    </a:lnTo>
                                    <a:lnTo>
                                      <a:pt x="40" y="144"/>
                                    </a:lnTo>
                                    <a:lnTo>
                                      <a:pt x="38" y="142"/>
                                    </a:lnTo>
                                    <a:lnTo>
                                      <a:pt x="34" y="140"/>
                                    </a:lnTo>
                                    <a:lnTo>
                                      <a:pt x="34" y="140"/>
                                    </a:lnTo>
                                    <a:close/>
                                    <a:moveTo>
                                      <a:pt x="188" y="140"/>
                                    </a:moveTo>
                                    <a:lnTo>
                                      <a:pt x="78" y="140"/>
                                    </a:lnTo>
                                    <a:lnTo>
                                      <a:pt x="78" y="140"/>
                                    </a:lnTo>
                                    <a:lnTo>
                                      <a:pt x="74" y="142"/>
                                    </a:lnTo>
                                    <a:lnTo>
                                      <a:pt x="70" y="144"/>
                                    </a:lnTo>
                                    <a:lnTo>
                                      <a:pt x="68" y="146"/>
                                    </a:lnTo>
                                    <a:lnTo>
                                      <a:pt x="68" y="150"/>
                                    </a:lnTo>
                                    <a:lnTo>
                                      <a:pt x="68" y="174"/>
                                    </a:lnTo>
                                    <a:lnTo>
                                      <a:pt x="68" y="174"/>
                                    </a:lnTo>
                                    <a:lnTo>
                                      <a:pt x="68" y="178"/>
                                    </a:lnTo>
                                    <a:lnTo>
                                      <a:pt x="70" y="182"/>
                                    </a:lnTo>
                                    <a:lnTo>
                                      <a:pt x="74" y="184"/>
                                    </a:lnTo>
                                    <a:lnTo>
                                      <a:pt x="78" y="184"/>
                                    </a:lnTo>
                                    <a:lnTo>
                                      <a:pt x="212" y="184"/>
                                    </a:lnTo>
                                    <a:lnTo>
                                      <a:pt x="188" y="140"/>
                                    </a:lnTo>
                                    <a:close/>
                                    <a:moveTo>
                                      <a:pt x="34" y="70"/>
                                    </a:moveTo>
                                    <a:lnTo>
                                      <a:pt x="10" y="70"/>
                                    </a:lnTo>
                                    <a:lnTo>
                                      <a:pt x="10" y="70"/>
                                    </a:lnTo>
                                    <a:lnTo>
                                      <a:pt x="6" y="70"/>
                                    </a:lnTo>
                                    <a:lnTo>
                                      <a:pt x="2" y="72"/>
                                    </a:lnTo>
                                    <a:lnTo>
                                      <a:pt x="0" y="76"/>
                                    </a:lnTo>
                                    <a:lnTo>
                                      <a:pt x="0" y="80"/>
                                    </a:lnTo>
                                    <a:lnTo>
                                      <a:pt x="0" y="104"/>
                                    </a:lnTo>
                                    <a:lnTo>
                                      <a:pt x="0" y="104"/>
                                    </a:lnTo>
                                    <a:lnTo>
                                      <a:pt x="0" y="108"/>
                                    </a:lnTo>
                                    <a:lnTo>
                                      <a:pt x="2" y="110"/>
                                    </a:lnTo>
                                    <a:lnTo>
                                      <a:pt x="6" y="112"/>
                                    </a:lnTo>
                                    <a:lnTo>
                                      <a:pt x="10" y="114"/>
                                    </a:lnTo>
                                    <a:lnTo>
                                      <a:pt x="34" y="114"/>
                                    </a:lnTo>
                                    <a:lnTo>
                                      <a:pt x="34" y="114"/>
                                    </a:lnTo>
                                    <a:lnTo>
                                      <a:pt x="38" y="112"/>
                                    </a:lnTo>
                                    <a:lnTo>
                                      <a:pt x="40" y="110"/>
                                    </a:lnTo>
                                    <a:lnTo>
                                      <a:pt x="42" y="108"/>
                                    </a:lnTo>
                                    <a:lnTo>
                                      <a:pt x="44" y="104"/>
                                    </a:lnTo>
                                    <a:lnTo>
                                      <a:pt x="44" y="80"/>
                                    </a:lnTo>
                                    <a:lnTo>
                                      <a:pt x="44" y="80"/>
                                    </a:lnTo>
                                    <a:lnTo>
                                      <a:pt x="42" y="76"/>
                                    </a:lnTo>
                                    <a:lnTo>
                                      <a:pt x="40" y="72"/>
                                    </a:lnTo>
                                    <a:lnTo>
                                      <a:pt x="38" y="70"/>
                                    </a:lnTo>
                                    <a:lnTo>
                                      <a:pt x="34" y="70"/>
                                    </a:lnTo>
                                    <a:lnTo>
                                      <a:pt x="34" y="70"/>
                                    </a:lnTo>
                                    <a:close/>
                                    <a:moveTo>
                                      <a:pt x="350" y="0"/>
                                    </a:moveTo>
                                    <a:lnTo>
                                      <a:pt x="312" y="0"/>
                                    </a:lnTo>
                                    <a:lnTo>
                                      <a:pt x="248" y="116"/>
                                    </a:lnTo>
                                    <a:lnTo>
                                      <a:pt x="220" y="66"/>
                                    </a:lnTo>
                                    <a:lnTo>
                                      <a:pt x="184" y="66"/>
                                    </a:lnTo>
                                    <a:lnTo>
                                      <a:pt x="248" y="184"/>
                                    </a:lnTo>
                                    <a:lnTo>
                                      <a:pt x="350" y="0"/>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AC67D" id="Freeform 4960" o:spid="_x0000_s1026" style="position:absolute;margin-left:6.75pt;margin-top:10.4pt;width:23.15pt;height:12.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PyAgAAIgwAAAOAAAAZHJzL2Uyb0RvYy54bWysW9tu48gRfQ+QfyD4GGBH4kWiLIxmEczG&#10;iwCzmwHGQZ5pirKESKRC0pZnv36ruqvooq3q7gn8MpSt42KdU5euJns+/vx8OkZPddcf2mYTJx/m&#10;cVQ3Vbs9NA+b+N93tz+t4qgfymZbHtum3sTf6z7++dNf//Lxcl7Xabtvj9u6i8BI068v5028H4bz&#10;ejbrq319KvsP7blu4Mtd253KAX7sHmbbrryA9dNxls7ny9ml7bbnrq3qvoff/mK/jD8Z+7tdXQ3/&#10;2u36eoiOmxh8G8y/nfn3Hv+dffpYrh+68rw/VORG+X94cSoPDdx0NPVLOZTRY3d4Y+p0qLq2b3fD&#10;h6o9zdrd7lDVhgOwSeav2Hzbl+facAFx+vMoU/9+Zqvfn7520WG7iRd5HDXlCWJ029U1Kh7lN0uj&#10;0OXcrwH47fy1Q479+Utb/bePmvYf28PwtT00A3iUoJazCRR/6OGPovvLb+0WLJePQ2tket51JzQF&#10;AkTPJhrfx2jUz0NUwS/Tm3w+X8RRBV8lizyDz3iHcs1/XD32w691awyVT1/6wQZzC59MKLbE5w4C&#10;vzsdIa5/m0VpnkaXKFtw6EdQIkBZGu2jZJVTeoyYVGDSbHndUCZAcLOrhkDr0aNidd0OUB8xmp2l&#10;wCwVO4XAgM9X/YEqHe+l2bkRmGR+3U4ipS7y68QSKbVmaCq1FjOptWZJaq1HX6qtiJRItTONnJRb&#10;c2kityKSlFuxk0q159ftpFJsLWypVFszJLXW8iiVYsPdrlZaKrXWMjudiK2kdirFVi1JtXMlbKmU&#10;Wyv/TOoNt7vKLpOCK5mUSb21TMqk4EoGZBO9tYLLpOBJkl+v3UwqrjWlTCpeaF5JxQF0XSepeKH1&#10;Sam41phyqXgyV+jlUnPNqVxqnmjlkkvVNaXyINFzKbpWMLkUPckV1XOpuiJ6LkVPciU9YXF8WQ4U&#10;S4uJ6JB5V9eVhRRdWS8XE81XmiWpuVYyi4nmqimpuVbGi4nmEOTr/KTmWm9ZTERfKOGDUetF9Exp&#10;eMuJ6lrHW0rVk5Vma6K7llVLqbvWYJYT3VW3pO5aMS8nuqtiSd1VUxPdtRAWUnetmIuJ7lpiFVJ3&#10;LUcLKbvWQQupulI3hRRdNSQ1V0q5kJKvlPQspOKaoYngc6VmVlJwreWtJoJrS9ZqIriS5yspeJIo&#10;Kw0M+y/lp1XySkqurjQrqbnWX1ZS9EJpxCspupZQK6m6lgc3UvQMRLi6Jt9I1ZVEuJGawx5JsSRF&#10;Xwp6sH974B1auedNW/Xc0K4NPkUlPjyYm43iue1xg4hbONgG3tlNZrkGFG7xFDB4iOCM9otuMMQd&#10;wby5dIMhsggugixD8BB8EwTGnROiYXNkd7luRxLimISRTIhlEkYTdzrGmTCiCTFNwqjitgWtw9Yk&#10;hCpuTgw8jCpuQQw8jCruMww8jGpKVGG/EOI77hjQOmwKguCcuWFUcfo31sOo4oBv4GFUM6KahVHN&#10;iSpM4yFUcRxHZ2DiDoITVZiqg+BEFSbnIDhRhfE4BI7zMfoOM3AQnKjCoBsEJ6owzAbBiSoMrEFw&#10;ogpDaQgcp1KkCoNnEJyoLsOo4nBprIdRXRJVmBGDnCGqyzCqOAiiMzDrhVjHYc/Aw6jiRGfgYVQL&#10;ogqzWZAzRLUIo4ojGDoDU1aIdRyzDDyMKo5SBh5GFcclAw+jijORgYdRxcEH4TDahFDF6cbAJ1Rh&#10;aIHlmCaUDl4qvH6d0MURvE64x1uU63M54GDDH6PLJsbnzdEenmODNvj7U/tU37UGMeB8A88lzX1h&#10;CrBevgCOzTUgPEGyQP6ar+eJvVDY0mPNiggt3nlTWmCAixtmuXpguOGASLwPymakz1YQy6X1C7i6&#10;SDLKLQWhxqhzEPlqg/lDKLdb1OPcXlGrcgebwuMGpfigE4L4PijbJzy2aAxxM+Ryc4vFKE94VFh1&#10;bPsakuRtudPgxlS0Yqc9AcM4K/hqsyMIFCSdCZVbOFshbtksxiOaBXna04+A3D5Rx3EraUXyNAmS&#10;24OiAL8PKqgRUt57WjQ4hPXoaV74fBtR7lwglCfQgSjrlzuIQaVNuxZ3pF/VHxcUX21hKSC9qqkl&#10;wgsWWhrUuqYO+4LkO/OVSnthUxLGNddak9B+BJq7C0buvQ/KZojPli1gmJRdftHyBhNvAMojxbhU&#10;cghYUL6+WlEDYSuna7SowusiN8xqBk8g3TBb7r7ceJNszFDPT0poeIFEDqj5SS18BLJtvk5Wnhd7&#10;/DVfSWzTTBJPL7QNIIF24coCdsydK4SCsgiwBbX4fih3ohBH2E657mhrnk6fwM6D1eTrVHx7SEWF&#10;cczfCUa56bFGjTrxEKXFKIFUdunBK4gnUAzzRD0UxvnozjRm6klbWpR8NcDB8tSdCtNLH14CUhVy&#10;TWi1z33F40MojHqep/i5g3pk5O4OL81dCcMwTyYwzJNXPwpzJzMz9ZQGDwieQuMoeGApvS3w9pQ3&#10;WcI9R88sSsZxEtDyiubmEceW+Trpah6U7ZAekC1gz+xBA4o7nyzIM3nQmjMPWk0CUe5Uog7lmTpo&#10;NfEMHRQd39DBnWeccDl6fLVRDIXxpONeD7nHeojyajJ3q8b93xMCgnmCHoiiVHRnGdH0JCytJJ7c&#10;f12UHB6+TsL0xpaj2Gmn4VtE4AWzWW4Yx/flq71/iieWYJ+ZwOtGVz9P6YUhPP53wbC7oTkPbLyr&#10;p2maR7Zg7jUHVgdGLnzQa04kj0988UGxOJXct8fD9vZwPOJDoL57uP987KKnEs6i397+PR9fH01g&#10;R/Nmu2nxz5gu/jkci7Zvy80ZazxWjYfc+/V9u/0OR6zhDD4cbt+33R9xdIHz7Ju4/99j2dVxdPxn&#10;A8ezb2C0hh41mB/yRYGadvKbe/lN83j63IKbcB6gbCqwuokH/vh5sOfn4QA78P7SfDtXCDQPs7t+&#10;uHv+T9mdozN8hD8Cr39v+Rx7ueZj2ijeiKVj45YI/QDH3Y2ydDQfz9PLnw3q5T8QfPoTAAD//wMA&#10;UEsDBBQABgAIAAAAIQBWgM213QAAAAcBAAAPAAAAZHJzL2Rvd25yZXYueG1sTI/BTsMwEETvSPyD&#10;tUjcqNO0QWmIU0VAJQ49NIUPcOJtEjVeR7Hbhr9nOcFpNZrR7Jt8O9tBXHHyvSMFy0UEAqlxpqdW&#10;wdfn7ikF4YMmowdHqOAbPWyL+7tcZ8bdqMLrMbSCS8hnWkEXwphJ6ZsOrfYLNyKxd3KT1YHl1Eoz&#10;6RuX20HGUfQsre6JP3R6xNcOm/PxYhW8fcSb932ZVqvDuu329S71ZdUo9fgwly8gAs7hLwy/+IwO&#10;BTPV7kLGi4H1KuGkgjjiBewnG761gnWyBFnk8j9/8QMAAP//AwBQSwECLQAUAAYACAAAACEAtoM4&#10;kv4AAADhAQAAEwAAAAAAAAAAAAAAAAAAAAAAW0NvbnRlbnRfVHlwZXNdLnhtbFBLAQItABQABgAI&#10;AAAAIQA4/SH/1gAAAJQBAAALAAAAAAAAAAAAAAAAAC8BAABfcmVscy8ucmVsc1BLAQItABQABgAI&#10;AAAAIQCjG8/PyAgAAIgwAAAOAAAAAAAAAAAAAAAAAC4CAABkcnMvZTJvRG9jLnhtbFBLAQItABQA&#10;BgAIAAAAIQBWgM213QAAAAcBAAAPAAAAAAAAAAAAAAAAACILAABkcnMvZG93bnJldi54bWxQSwUG&#10;AAAAAAQABADzAAAALAwAAAAA&#10;" path="m242,10r,22l242,32r,4l240,40r-4,2l232,42,78,42r,l74,42,70,40,68,36r,-4l68,10r,l68,6,70,2,74,r4,l232,r,l236,r4,2l242,6r,4l242,10xm34,l10,r,l6,,2,2,,6r,4l,32r,l,36r2,4l6,42r4,l34,42r,l38,42r2,-2l42,36r2,-4l44,10r,l42,6,40,2,38,,34,r,xm78,114r96,l156,80,150,70r-72,l78,70r-4,l70,72r-2,4l68,80r,24l68,104r,4l70,110r4,2l78,114r,xm34,140r-24,l10,140r-4,2l2,144,,146r,4l,174r,l,178r2,4l6,184r4,l34,184r,l38,184r2,-2l42,178r2,-4l44,150r,l42,146r-2,-2l38,142r-4,-2l34,140xm188,140r-110,l78,140r-4,2l70,144r-2,2l68,150r,24l68,174r,4l70,182r4,2l78,184r134,l188,140xm34,70r-24,l10,70r-4,l2,72,,76r,4l,104r,l,108r2,2l6,112r4,2l34,114r,l38,112r2,-2l42,108r2,-4l44,80r,l42,76,40,72,38,70r-4,l34,70xm350,l312,,248,116,220,66r-36,l248,184,350,xe" fillcolor="#ffa451" stroked="f">
                      <v:path arrowok="t" o:connecttype="custom" o:connectlocs="203283,26836;198243,35222;65521,35222;57121,30190;57121,8386;62161,0;194883,0;203283,5032;28560,0;5040,0;0,8386;0,30190;8400,35222;31921,35222;36961,26836;35281,5032;28560,0;146162,95602;65521,58703;58801,60380;57121,87216;58801,92248;65521,95602;8400,117406;0,122438;0,145919;5040,154305;28560,154305;35281,149273;36961,125792;31921,119083;157923,117406;62161,119083;57121,125792;57121,149273;65521,154305;28560,58703;5040,58703;0,67089;0,90570;8400,95602;31921,93925;36961,87216;35281,63735;28560,58703;262084,0;154563,55349" o:connectangles="0,0,0,0,0,0,0,0,0,0,0,0,0,0,0,0,0,0,0,0,0,0,0,0,0,0,0,0,0,0,0,0,0,0,0,0,0,0,0,0,0,0,0,0,0,0,0"/>
                      <o:lock v:ext="edit" verticies="t"/>
                    </v:shape>
                  </w:pict>
                </mc:Fallback>
              </mc:AlternateContent>
            </w:r>
          </w:p>
        </w:tc>
        <w:tc>
          <w:tcPr>
            <w:tcW w:w="2136" w:type="dxa"/>
          </w:tcPr>
          <w:p w14:paraId="0317EFDE"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Відповідальність</w:t>
            </w:r>
          </w:p>
        </w:tc>
        <w:tc>
          <w:tcPr>
            <w:tcW w:w="6007" w:type="dxa"/>
          </w:tcPr>
          <w:p w14:paraId="4859C9B3" w14:textId="77777777" w:rsidR="00DA6587" w:rsidRPr="007E5633" w:rsidRDefault="00DA6587" w:rsidP="000A7BA9">
            <w:pPr>
              <w:rPr>
                <w:rFonts w:ascii="Arial" w:hAnsi="Arial" w:cs="Arial"/>
                <w:highlight w:val="yellow"/>
                <w:lang w:val="uk-UA"/>
              </w:rPr>
            </w:pPr>
            <w:r w:rsidRPr="007E5633">
              <w:rPr>
                <w:rFonts w:ascii="Arial" w:hAnsi="Arial" w:cs="Arial"/>
                <w:lang w:val="uk-UA"/>
              </w:rPr>
              <w:t xml:space="preserve">Суб'єкт несе відповідальність за точність і </w:t>
            </w:r>
            <w:r w:rsidR="00BD153C" w:rsidRPr="007E5633">
              <w:rPr>
                <w:rFonts w:ascii="Arial" w:hAnsi="Arial" w:cs="Arial"/>
                <w:lang w:val="uk-UA"/>
              </w:rPr>
              <w:t>обґрунтованість</w:t>
            </w:r>
            <w:r w:rsidRPr="007E5633">
              <w:rPr>
                <w:rFonts w:ascii="Arial" w:hAnsi="Arial" w:cs="Arial"/>
                <w:lang w:val="uk-UA"/>
              </w:rPr>
              <w:t xml:space="preserve"> списку інсайдерів</w:t>
            </w:r>
          </w:p>
        </w:tc>
      </w:tr>
      <w:tr w:rsidR="00DA6587" w:rsidRPr="007E5633" w14:paraId="0E55B8A9" w14:textId="77777777" w:rsidTr="00DA6587">
        <w:trPr>
          <w:trHeight w:val="690"/>
        </w:trPr>
        <w:tc>
          <w:tcPr>
            <w:tcW w:w="1100" w:type="dxa"/>
            <w:shd w:val="clear" w:color="auto" w:fill="auto"/>
          </w:tcPr>
          <w:p w14:paraId="6CF1E414"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6416" behindDoc="0" locked="0" layoutInCell="1" allowOverlap="1" wp14:anchorId="55E34B02" wp14:editId="0BC16B30">
                      <wp:simplePos x="0" y="0"/>
                      <wp:positionH relativeFrom="column">
                        <wp:posOffset>113030</wp:posOffset>
                      </wp:positionH>
                      <wp:positionV relativeFrom="paragraph">
                        <wp:posOffset>89535</wp:posOffset>
                      </wp:positionV>
                      <wp:extent cx="239395" cy="241300"/>
                      <wp:effectExtent l="0" t="0" r="8255" b="6350"/>
                      <wp:wrapNone/>
                      <wp:docPr id="5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9395" cy="241300"/>
                              </a:xfrm>
                              <a:custGeom>
                                <a:avLst/>
                                <a:gdLst>
                                  <a:gd name="T0" fmla="*/ 227 w 710"/>
                                  <a:gd name="T1" fmla="*/ 508 h 713"/>
                                  <a:gd name="T2" fmla="*/ 208 w 710"/>
                                  <a:gd name="T3" fmla="*/ 506 h 713"/>
                                  <a:gd name="T4" fmla="*/ 189 w 710"/>
                                  <a:gd name="T5" fmla="*/ 507 h 713"/>
                                  <a:gd name="T6" fmla="*/ 170 w 710"/>
                                  <a:gd name="T7" fmla="*/ 513 h 713"/>
                                  <a:gd name="T8" fmla="*/ 152 w 710"/>
                                  <a:gd name="T9" fmla="*/ 524 h 713"/>
                                  <a:gd name="T10" fmla="*/ 135 w 710"/>
                                  <a:gd name="T11" fmla="*/ 539 h 713"/>
                                  <a:gd name="T12" fmla="*/ 119 w 710"/>
                                  <a:gd name="T13" fmla="*/ 561 h 713"/>
                                  <a:gd name="T14" fmla="*/ 105 w 710"/>
                                  <a:gd name="T15" fmla="*/ 588 h 713"/>
                                  <a:gd name="T16" fmla="*/ 93 w 710"/>
                                  <a:gd name="T17" fmla="*/ 619 h 713"/>
                                  <a:gd name="T18" fmla="*/ 87 w 710"/>
                                  <a:gd name="T19" fmla="*/ 635 h 713"/>
                                  <a:gd name="T20" fmla="*/ 73 w 710"/>
                                  <a:gd name="T21" fmla="*/ 661 h 713"/>
                                  <a:gd name="T22" fmla="*/ 58 w 710"/>
                                  <a:gd name="T23" fmla="*/ 680 h 713"/>
                                  <a:gd name="T24" fmla="*/ 43 w 710"/>
                                  <a:gd name="T25" fmla="*/ 695 h 713"/>
                                  <a:gd name="T26" fmla="*/ 22 w 710"/>
                                  <a:gd name="T27" fmla="*/ 707 h 713"/>
                                  <a:gd name="T28" fmla="*/ 3 w 710"/>
                                  <a:gd name="T29" fmla="*/ 713 h 713"/>
                                  <a:gd name="T30" fmla="*/ 0 w 710"/>
                                  <a:gd name="T31" fmla="*/ 713 h 713"/>
                                  <a:gd name="T32" fmla="*/ 119 w 710"/>
                                  <a:gd name="T33" fmla="*/ 713 h 713"/>
                                  <a:gd name="T34" fmla="*/ 162 w 710"/>
                                  <a:gd name="T35" fmla="*/ 709 h 713"/>
                                  <a:gd name="T36" fmla="*/ 202 w 710"/>
                                  <a:gd name="T37" fmla="*/ 698 h 713"/>
                                  <a:gd name="T38" fmla="*/ 234 w 710"/>
                                  <a:gd name="T39" fmla="*/ 682 h 713"/>
                                  <a:gd name="T40" fmla="*/ 261 w 710"/>
                                  <a:gd name="T41" fmla="*/ 661 h 713"/>
                                  <a:gd name="T42" fmla="*/ 280 w 710"/>
                                  <a:gd name="T43" fmla="*/ 637 h 713"/>
                                  <a:gd name="T44" fmla="*/ 292 w 710"/>
                                  <a:gd name="T45" fmla="*/ 612 h 713"/>
                                  <a:gd name="T46" fmla="*/ 296 w 710"/>
                                  <a:gd name="T47" fmla="*/ 586 h 713"/>
                                  <a:gd name="T48" fmla="*/ 292 w 710"/>
                                  <a:gd name="T49" fmla="*/ 562 h 713"/>
                                  <a:gd name="T50" fmla="*/ 238 w 710"/>
                                  <a:gd name="T51" fmla="*/ 470 h 713"/>
                                  <a:gd name="T52" fmla="*/ 331 w 710"/>
                                  <a:gd name="T53" fmla="*/ 547 h 713"/>
                                  <a:gd name="T54" fmla="*/ 388 w 710"/>
                                  <a:gd name="T55" fmla="*/ 495 h 713"/>
                                  <a:gd name="T56" fmla="*/ 278 w 710"/>
                                  <a:gd name="T57" fmla="*/ 402 h 713"/>
                                  <a:gd name="T58" fmla="*/ 257 w 710"/>
                                  <a:gd name="T59" fmla="*/ 436 h 713"/>
                                  <a:gd name="T60" fmla="*/ 238 w 710"/>
                                  <a:gd name="T61" fmla="*/ 470 h 713"/>
                                  <a:gd name="T62" fmla="*/ 706 w 710"/>
                                  <a:gd name="T63" fmla="*/ 10 h 713"/>
                                  <a:gd name="T64" fmla="*/ 697 w 710"/>
                                  <a:gd name="T65" fmla="*/ 3 h 713"/>
                                  <a:gd name="T66" fmla="*/ 686 w 710"/>
                                  <a:gd name="T67" fmla="*/ 1 h 713"/>
                                  <a:gd name="T68" fmla="*/ 677 w 710"/>
                                  <a:gd name="T69" fmla="*/ 1 h 713"/>
                                  <a:gd name="T70" fmla="*/ 666 w 710"/>
                                  <a:gd name="T71" fmla="*/ 6 h 713"/>
                                  <a:gd name="T72" fmla="*/ 635 w 710"/>
                                  <a:gd name="T73" fmla="*/ 32 h 713"/>
                                  <a:gd name="T74" fmla="*/ 557 w 710"/>
                                  <a:gd name="T75" fmla="*/ 102 h 713"/>
                                  <a:gd name="T76" fmla="*/ 505 w 710"/>
                                  <a:gd name="T77" fmla="*/ 151 h 713"/>
                                  <a:gd name="T78" fmla="*/ 450 w 710"/>
                                  <a:gd name="T79" fmla="*/ 207 h 713"/>
                                  <a:gd name="T80" fmla="*/ 331 w 710"/>
                                  <a:gd name="T81" fmla="*/ 336 h 713"/>
                                  <a:gd name="T82" fmla="*/ 414 w 710"/>
                                  <a:gd name="T83" fmla="*/ 467 h 713"/>
                                  <a:gd name="T84" fmla="*/ 446 w 710"/>
                                  <a:gd name="T85" fmla="*/ 427 h 713"/>
                                  <a:gd name="T86" fmla="*/ 549 w 710"/>
                                  <a:gd name="T87" fmla="*/ 290 h 713"/>
                                  <a:gd name="T88" fmla="*/ 594 w 710"/>
                                  <a:gd name="T89" fmla="*/ 226 h 713"/>
                                  <a:gd name="T90" fmla="*/ 633 w 710"/>
                                  <a:gd name="T91" fmla="*/ 167 h 713"/>
                                  <a:gd name="T92" fmla="*/ 689 w 710"/>
                                  <a:gd name="T93" fmla="*/ 77 h 713"/>
                                  <a:gd name="T94" fmla="*/ 708 w 710"/>
                                  <a:gd name="T95" fmla="*/ 41 h 713"/>
                                  <a:gd name="T96" fmla="*/ 710 w 710"/>
                                  <a:gd name="T97" fmla="*/ 26 h 713"/>
                                  <a:gd name="T98" fmla="*/ 706 w 710"/>
                                  <a:gd name="T99" fmla="*/ 10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0" h="713">
                                    <a:moveTo>
                                      <a:pt x="227" y="508"/>
                                    </a:moveTo>
                                    <a:lnTo>
                                      <a:pt x="227" y="508"/>
                                    </a:lnTo>
                                    <a:lnTo>
                                      <a:pt x="218" y="507"/>
                                    </a:lnTo>
                                    <a:lnTo>
                                      <a:pt x="208" y="506"/>
                                    </a:lnTo>
                                    <a:lnTo>
                                      <a:pt x="198" y="506"/>
                                    </a:lnTo>
                                    <a:lnTo>
                                      <a:pt x="189" y="507"/>
                                    </a:lnTo>
                                    <a:lnTo>
                                      <a:pt x="179" y="509"/>
                                    </a:lnTo>
                                    <a:lnTo>
                                      <a:pt x="170" y="513"/>
                                    </a:lnTo>
                                    <a:lnTo>
                                      <a:pt x="161" y="518"/>
                                    </a:lnTo>
                                    <a:lnTo>
                                      <a:pt x="152" y="524"/>
                                    </a:lnTo>
                                    <a:lnTo>
                                      <a:pt x="143" y="531"/>
                                    </a:lnTo>
                                    <a:lnTo>
                                      <a:pt x="135" y="539"/>
                                    </a:lnTo>
                                    <a:lnTo>
                                      <a:pt x="128" y="549"/>
                                    </a:lnTo>
                                    <a:lnTo>
                                      <a:pt x="119" y="561"/>
                                    </a:lnTo>
                                    <a:lnTo>
                                      <a:pt x="112" y="573"/>
                                    </a:lnTo>
                                    <a:lnTo>
                                      <a:pt x="105" y="588"/>
                                    </a:lnTo>
                                    <a:lnTo>
                                      <a:pt x="99" y="602"/>
                                    </a:lnTo>
                                    <a:lnTo>
                                      <a:pt x="93" y="619"/>
                                    </a:lnTo>
                                    <a:lnTo>
                                      <a:pt x="93" y="619"/>
                                    </a:lnTo>
                                    <a:lnTo>
                                      <a:pt x="87" y="635"/>
                                    </a:lnTo>
                                    <a:lnTo>
                                      <a:pt x="81" y="649"/>
                                    </a:lnTo>
                                    <a:lnTo>
                                      <a:pt x="73" y="661"/>
                                    </a:lnTo>
                                    <a:lnTo>
                                      <a:pt x="66" y="672"/>
                                    </a:lnTo>
                                    <a:lnTo>
                                      <a:pt x="58" y="680"/>
                                    </a:lnTo>
                                    <a:lnTo>
                                      <a:pt x="51" y="689"/>
                                    </a:lnTo>
                                    <a:lnTo>
                                      <a:pt x="43" y="695"/>
                                    </a:lnTo>
                                    <a:lnTo>
                                      <a:pt x="35" y="700"/>
                                    </a:lnTo>
                                    <a:lnTo>
                                      <a:pt x="22" y="707"/>
                                    </a:lnTo>
                                    <a:lnTo>
                                      <a:pt x="11" y="711"/>
                                    </a:lnTo>
                                    <a:lnTo>
                                      <a:pt x="3" y="713"/>
                                    </a:lnTo>
                                    <a:lnTo>
                                      <a:pt x="0" y="713"/>
                                    </a:lnTo>
                                    <a:lnTo>
                                      <a:pt x="0" y="713"/>
                                    </a:lnTo>
                                    <a:lnTo>
                                      <a:pt x="119" y="713"/>
                                    </a:lnTo>
                                    <a:lnTo>
                                      <a:pt x="119" y="713"/>
                                    </a:lnTo>
                                    <a:lnTo>
                                      <a:pt x="142" y="712"/>
                                    </a:lnTo>
                                    <a:lnTo>
                                      <a:pt x="162" y="709"/>
                                    </a:lnTo>
                                    <a:lnTo>
                                      <a:pt x="183" y="704"/>
                                    </a:lnTo>
                                    <a:lnTo>
                                      <a:pt x="202" y="698"/>
                                    </a:lnTo>
                                    <a:lnTo>
                                      <a:pt x="219" y="690"/>
                                    </a:lnTo>
                                    <a:lnTo>
                                      <a:pt x="234" y="682"/>
                                    </a:lnTo>
                                    <a:lnTo>
                                      <a:pt x="248" y="672"/>
                                    </a:lnTo>
                                    <a:lnTo>
                                      <a:pt x="261" y="661"/>
                                    </a:lnTo>
                                    <a:lnTo>
                                      <a:pt x="272" y="649"/>
                                    </a:lnTo>
                                    <a:lnTo>
                                      <a:pt x="280" y="637"/>
                                    </a:lnTo>
                                    <a:lnTo>
                                      <a:pt x="287" y="625"/>
                                    </a:lnTo>
                                    <a:lnTo>
                                      <a:pt x="292" y="612"/>
                                    </a:lnTo>
                                    <a:lnTo>
                                      <a:pt x="296" y="600"/>
                                    </a:lnTo>
                                    <a:lnTo>
                                      <a:pt x="296" y="586"/>
                                    </a:lnTo>
                                    <a:lnTo>
                                      <a:pt x="296" y="574"/>
                                    </a:lnTo>
                                    <a:lnTo>
                                      <a:pt x="292" y="562"/>
                                    </a:lnTo>
                                    <a:lnTo>
                                      <a:pt x="227" y="508"/>
                                    </a:lnTo>
                                    <a:close/>
                                    <a:moveTo>
                                      <a:pt x="238" y="470"/>
                                    </a:moveTo>
                                    <a:lnTo>
                                      <a:pt x="331" y="547"/>
                                    </a:lnTo>
                                    <a:lnTo>
                                      <a:pt x="331" y="547"/>
                                    </a:lnTo>
                                    <a:lnTo>
                                      <a:pt x="359" y="521"/>
                                    </a:lnTo>
                                    <a:lnTo>
                                      <a:pt x="388" y="495"/>
                                    </a:lnTo>
                                    <a:lnTo>
                                      <a:pt x="278" y="402"/>
                                    </a:lnTo>
                                    <a:lnTo>
                                      <a:pt x="278" y="402"/>
                                    </a:lnTo>
                                    <a:lnTo>
                                      <a:pt x="267" y="419"/>
                                    </a:lnTo>
                                    <a:lnTo>
                                      <a:pt x="257" y="436"/>
                                    </a:lnTo>
                                    <a:lnTo>
                                      <a:pt x="238" y="470"/>
                                    </a:lnTo>
                                    <a:lnTo>
                                      <a:pt x="238" y="470"/>
                                    </a:lnTo>
                                    <a:close/>
                                    <a:moveTo>
                                      <a:pt x="706" y="10"/>
                                    </a:moveTo>
                                    <a:lnTo>
                                      <a:pt x="706" y="10"/>
                                    </a:lnTo>
                                    <a:lnTo>
                                      <a:pt x="702" y="7"/>
                                    </a:lnTo>
                                    <a:lnTo>
                                      <a:pt x="697" y="3"/>
                                    </a:lnTo>
                                    <a:lnTo>
                                      <a:pt x="692" y="2"/>
                                    </a:lnTo>
                                    <a:lnTo>
                                      <a:pt x="686" y="1"/>
                                    </a:lnTo>
                                    <a:lnTo>
                                      <a:pt x="682" y="0"/>
                                    </a:lnTo>
                                    <a:lnTo>
                                      <a:pt x="677" y="1"/>
                                    </a:lnTo>
                                    <a:lnTo>
                                      <a:pt x="671" y="3"/>
                                    </a:lnTo>
                                    <a:lnTo>
                                      <a:pt x="666" y="6"/>
                                    </a:lnTo>
                                    <a:lnTo>
                                      <a:pt x="666" y="6"/>
                                    </a:lnTo>
                                    <a:lnTo>
                                      <a:pt x="635" y="32"/>
                                    </a:lnTo>
                                    <a:lnTo>
                                      <a:pt x="600" y="62"/>
                                    </a:lnTo>
                                    <a:lnTo>
                                      <a:pt x="557" y="102"/>
                                    </a:lnTo>
                                    <a:lnTo>
                                      <a:pt x="557" y="102"/>
                                    </a:lnTo>
                                    <a:lnTo>
                                      <a:pt x="505" y="151"/>
                                    </a:lnTo>
                                    <a:lnTo>
                                      <a:pt x="450" y="207"/>
                                    </a:lnTo>
                                    <a:lnTo>
                                      <a:pt x="450" y="207"/>
                                    </a:lnTo>
                                    <a:lnTo>
                                      <a:pt x="377" y="285"/>
                                    </a:lnTo>
                                    <a:lnTo>
                                      <a:pt x="331" y="336"/>
                                    </a:lnTo>
                                    <a:lnTo>
                                      <a:pt x="298" y="372"/>
                                    </a:lnTo>
                                    <a:lnTo>
                                      <a:pt x="414" y="467"/>
                                    </a:lnTo>
                                    <a:lnTo>
                                      <a:pt x="414" y="467"/>
                                    </a:lnTo>
                                    <a:lnTo>
                                      <a:pt x="446" y="427"/>
                                    </a:lnTo>
                                    <a:lnTo>
                                      <a:pt x="487" y="373"/>
                                    </a:lnTo>
                                    <a:lnTo>
                                      <a:pt x="549" y="290"/>
                                    </a:lnTo>
                                    <a:lnTo>
                                      <a:pt x="549" y="290"/>
                                    </a:lnTo>
                                    <a:lnTo>
                                      <a:pt x="594" y="226"/>
                                    </a:lnTo>
                                    <a:lnTo>
                                      <a:pt x="633" y="167"/>
                                    </a:lnTo>
                                    <a:lnTo>
                                      <a:pt x="633" y="167"/>
                                    </a:lnTo>
                                    <a:lnTo>
                                      <a:pt x="665" y="116"/>
                                    </a:lnTo>
                                    <a:lnTo>
                                      <a:pt x="689" y="77"/>
                                    </a:lnTo>
                                    <a:lnTo>
                                      <a:pt x="708" y="41"/>
                                    </a:lnTo>
                                    <a:lnTo>
                                      <a:pt x="708" y="41"/>
                                    </a:lnTo>
                                    <a:lnTo>
                                      <a:pt x="710" y="33"/>
                                    </a:lnTo>
                                    <a:lnTo>
                                      <a:pt x="710" y="26"/>
                                    </a:lnTo>
                                    <a:lnTo>
                                      <a:pt x="709" y="18"/>
                                    </a:lnTo>
                                    <a:lnTo>
                                      <a:pt x="706" y="10"/>
                                    </a:lnTo>
                                    <a:lnTo>
                                      <a:pt x="706" y="10"/>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C4830" id="Freeform 46" o:spid="_x0000_s1026" style="position:absolute;margin-left:8.9pt;margin-top:7.05pt;width:18.85pt;height:1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5aQQkAAC0sAAAOAAAAZHJzL2Uyb0RvYy54bWysWl2P27oRfS/Q/yD4sUBji/qyjDgXRW63&#10;KJDeBsgWfdba8tqobbmS9iP31/cMNdSOEw1NFPuytFfHwzmHFDnD4cdfXk/H6Lluu0NzXs/iD4tZ&#10;VJ83zfZwflzP/nV/9+flLOr66rytjs25Xs++193sl09//MPHl8uqNs2+OW7rNoKRc7d6uaxn+76/&#10;rObzbrOvT1X3obnUZzzcNe2p6vG1fZxv2+oF1k/HuVks8vlL024vbbOpuw7//XV4OPtk7e929ab/&#10;527X1X10XM/gW2//tvbvA/2df/pYrR7b6rI/bNiN6v/w4lQdzuh0NPVr1VfRU3v4ydTpsGmbrtn1&#10;HzbNad7sdodNbTmATbz4gc23fXWpLReI011Gmbr3M7v57flrGx2261mWzaJzdcIY3bV1TYpHaU76&#10;vFy6FWDfLl9bYthdvjSb/3TRufnr9tB/bQ7nHv7EhJxfQelLhx9FDy//aLawWz31jRXpddeeyBTo&#10;R692LL6PY1G/9tEG/zRJmZRwaYNHJo2ThR2rebVyP948df3f6sYaqp6/dP0wlFt8sgOxZTb3GPbd&#10;6YhR/dM8MqaIXqIidgM/gmIByhbLaA9QwrNjBBkBMgBNWkoEKFvk05ZSAYqX5bQlsB8dzxbFtKVc&#10;gOJiMW2pEKAsTqYt4U0du4szM22pFKDMpNOWIK8wlWTTpuIrzZNSsSVFj2NFKozVW49ZHiu2rmRf&#10;aH5d6b5U5kIshS8ThaIUPofzk9MqlsovtQkqlc+h6aQpI5UvFK+MFD7XxDJS+EyZ7Ebqni8XildS&#10;91TzSsqelxpBKbtRJqmRshfam2Ok7JpTUnWsCNP8Eqm68gomUnTdkhRdne2JVF23JVWPc0WrRMpe&#10;LJQpmlzJvtBsSd3zUnlzEqm7SdLpVyeRyudLM618KpU3mMqTS3IqtVcnfCq1N5jL07ak9nmirMqp&#10;1N6Uil6p1D6PNY5X2pe54pfUPltq+86V9qpfUvsMM2dyrcmutE+UFSKT2qfYoKZtSe2TRBnHTGqf&#10;pYr2mdQ+wfo9OY4U7ozbXaotN9mV9oVmS2qf4u2Y5nilfaas85nUPk2UccyDtM+DtM+l9gUilkm9&#10;cql9rAxjLqXPS4ViLqVXltRcCp9jOk87JYVXNv1cyp4Xmk9SdsVSIUXPc8WnQoquDF8hJafNfJJd&#10;ISVPlFlVSMkzbVYVUvJYm6GFFD3T4qPiSvRME0vKnmbKalpI2Y22Uy+l8OrqsJTCJ9qbs5TSp7Gy&#10;+yyl9GmurDRLqX2aKhNiKbVPjWbrSvtUiXOXUntTKq/hUmqflRrHK+2NMlVLqX2eKHFSKbWPNb1K&#10;qX2upT2l1B7v6+RiWkrpCy0XowTybZFXZmoplUdqOP0yllfKa2JJ4dWltJTCy6UU2e2jy1+rvUtp&#10;N69nzmnxKaroYGVh0+hL01H6TAkukuT7IQWvVkBRAqyAMQQEtrkt+vODITKBM5vc3wJDRgIXQWAI&#10;ReAyCEz5JKGRMdIpwy1HYuY4JPC34cwyDqNJiZ91JowoJXcWHkaVEjiCI0cLoUpJmoWHjadhqiaM&#10;qmGqyKeCnGGqJowqZU3kOzKjEOuJm7lhVBOmivwmyDpTTcKoUg5jfQ+jSmkKwZGIhDhDmYiFh1Gl&#10;ZMPCw6jiVG+Ah1FNmWoaRpWyAnIGcX8I1YypIrQPgjNVRO9BcKaahVHNmCpi8BDrFIQTVYTZQXCm&#10;ikg6CM5UES0HwZlqHkaVomLrexhVCn0JjuA2xBmKby08jCrFsBYeRpXCVAsPo1owVcSaIb5TsEnW&#10;EU4GwZkqIsYgOFNFUBgEZ6qI+4LgTHUZRpViO6KK6C3EOoVvFh5GlUI0Cw+jSmGYhYdRLZkqginh&#10;+7DZc7jUovrzY92nnUWo+zzQb6rVpeopynIfo5f1jEoD0Z7axMZYp+a5vm8soqdgCwUE6yZqBNzv&#10;G+J49iPdc9deBoscIeCEny26565lHHokgVBT8OJiVuYmDpNksOfvN6YczfbrlHZ+uXbwD8WHATeG&#10;Xe65axlHpxJkD7yHkXPPXcs43hpQZfDjUuQLZG+MI5wd17I9Oum0uBs86FyYcOOG5+y4lu3FrMu4&#10;/LvnrnW44bXJkM57+S7YP2RvPhxlD3AvXxg/bFAFRYf3gFHeSZ2O0ZTj6NqBK6XgBLshHR1sEOyG&#10;cnQGRDDsJj5BeNdG9cEPY9/GtdG57tqBAs8mFCC81ngyFWNZ0llx7WCN43PUILzWqBQGpsWY4Dgr&#10;rh2sDbLR0uTTY3gN3weFEgR75u8zGMehbYEczccB5Yqh34V/+sZ0UEPKLfyLhMHbYucSFkdfv4b5&#10;5tgavThOL1CY8OM4er41h1G6GPy78UoYjqxuvWEoXwz2xnzGzSTX8vx0L/aYEbrnrmUc7/0oUvj5&#10;8i6e33ovGIdCRZC9DCGidzzYPxQr/Liftm/Hc3NsuhpdVKu3DZ25c7KH4gXbfkO4X/P7SUU+zEaU&#10;Jrxe4AgzDEfFALI3nga4/lzL/dKBH3AoY3j7NRwKo0TxPjgkG7bfG5uMQf5lcSgjekfxJ6UdT9dq&#10;I+Ke66OI0zjrw3D1A3GiNog/AZ1t1w4+FLyi+EcaNRDbq3/1zHn2+kcFVZCBgVdDWpFIazdXndeu&#10;HbxHHSTEFtUyYOuG926f9vsVhuJ9FYc9volCyws5duNtRzlkYHljvgfjOESLx8MNp6prB3VR7rD9&#10;oqDhpRGKS3i0zJg1uv5cO/Tr1hUUP7z9Gk4RkhuRFcojlgcKIF57wTg+ekIRxG+Pd6XkRshMITpN&#10;AxRCvPaCcZyyGhx8eqcfXcBAvyh0vA+OKqJkD2fL3n45ZcN08MFQDhmGzaX1bpa41q1gYTA+fQdn&#10;b6cMuyEdbpgMVP1xWPAi/MOi7hi6fQDrPCX5tmgwZvt0SCAuD3bN8bC9OxyPtPl37ePD52MbPVe4&#10;MHp395d0fNWvYEdbYjk39DOnCv0ctxeHso29Ckm3H4f7kw/N9jtuQuKiLG6g7pv291n0gkun61n3&#10;36eqrWfR8e9n3KIs45SOinv7Jc0Kqga08smDfHJ+On1u4CYW6eq8gdX1rHcfP/fDJVfcMgXvL+dv&#10;lw0B7UFG2/X3r/+u2kt0wUf8CF7/1rjLptXK3aYk8UYs3+4ciPAX3Em1yvL9Wbr0Kr9b1Nst30//&#10;AwAA//8DAFBLAwQUAAYACAAAACEA5jGjF9gAAAAHAQAADwAAAGRycy9kb3ducmV2LnhtbEyOvU7E&#10;MBCEeyTewdqT6LhNTgRQiHNCSBQUFByI2hcvcXTxOsTODzw9SwXVaDSjma/ar75XM42xC6wh32ag&#10;iJtgO241vL0+Xt6CismwNX1g0vBFEfb1+VllShsWfqH5kFolIxxLo8GlNJSIsXHkTdyGgViyjzB6&#10;k8SOLdrRLDLue9xl2TV607E8ODPQg6PmdJi8Bnqnpftui9ma6ROb5yd0fkWtLzbr/R2oRGv6K8Mv&#10;vqBDLUzHMLGNqhd/I+RJ9CoHJXlRFKCOorscsK7wP3/9AwAA//8DAFBLAQItABQABgAIAAAAIQC2&#10;gziS/gAAAOEBAAATAAAAAAAAAAAAAAAAAAAAAABbQ29udGVudF9UeXBlc10ueG1sUEsBAi0AFAAG&#10;AAgAAAAhADj9If/WAAAAlAEAAAsAAAAAAAAAAAAAAAAALwEAAF9yZWxzLy5yZWxzUEsBAi0AFAAG&#10;AAgAAAAhANyUflpBCQAALSwAAA4AAAAAAAAAAAAAAAAALgIAAGRycy9lMm9Eb2MueG1sUEsBAi0A&#10;FAAGAAgAAAAhAOYxoxfYAAAABwEAAA8AAAAAAAAAAAAAAAAAmwsAAGRycy9kb3ducmV2LnhtbFBL&#10;BQYAAAAABAAEAPMAAACgDAAAAAA=&#10;" path="m227,508r,l218,507r-10,-1l198,506r-9,1l179,509r-9,4l161,518r-9,6l143,531r-8,8l128,549r-9,12l112,573r-7,15l99,602r-6,17l93,619r-6,16l81,649r-8,12l66,672r-8,8l51,689r-8,6l35,700r-13,7l11,711r-8,2l,713r,l119,713r,l142,712r20,-3l183,704r19,-6l219,690r15,-8l248,672r13,-11l272,649r8,-12l287,625r5,-13l296,600r,-14l296,574r-4,-12l227,508xm238,470r93,77l331,547r28,-26l388,495,278,402r,l267,419r-10,17l238,470r,xm706,10r,l702,7,697,3,692,2,686,1,682,r-5,1l671,3r-5,3l666,6,635,32,600,62r-43,40l557,102r-52,49l450,207r,l377,285r-46,51l298,372r116,95l414,467r32,-40l487,373r62,-83l549,290r45,-64l633,167r,l665,116,689,77,708,41r,l710,33r,-7l709,18r-3,-8l706,10xe" fillcolor="#ffa451" stroked="f">
                      <v:path arrowok="t" o:connecttype="custom" o:connectlocs="76539,171922;70133,171245;63726,171584;57320,173614;51251,177337;45519,182413;40124,189859;35403,198996;31357,209488;29334,214903;24614,223702;19556,230132;14499,235208;7418,239269;1012,241300;0,241300;40124,241300;54623,239946;68110,236224;78899,230809;88003,223702;94409,215579;98455,207119;99804,198319;98455,190197;80248,159062;111605,185121;130824,167522;93735,136049;86654,147555;80248,159062;238046,3384;235012,1015;231303,338;228268,338;224559,2031;214107,10830;187807,34520;170274,51103;151729,70055;111605,113712;139591,158046;150381,144509;185110,98144;200283,76485;213432,56518;232314,26059;238721,13876;239395,8799;238046,3384" o:connectangles="0,0,0,0,0,0,0,0,0,0,0,0,0,0,0,0,0,0,0,0,0,0,0,0,0,0,0,0,0,0,0,0,0,0,0,0,0,0,0,0,0,0,0,0,0,0,0,0,0,0"/>
                      <o:lock v:ext="edit" verticies="t"/>
                    </v:shape>
                  </w:pict>
                </mc:Fallback>
              </mc:AlternateContent>
            </w:r>
          </w:p>
        </w:tc>
        <w:tc>
          <w:tcPr>
            <w:tcW w:w="2136" w:type="dxa"/>
          </w:tcPr>
          <w:p w14:paraId="16C7B7AC"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Створення списку інсайдерів</w:t>
            </w:r>
          </w:p>
        </w:tc>
        <w:tc>
          <w:tcPr>
            <w:tcW w:w="6007" w:type="dxa"/>
          </w:tcPr>
          <w:p w14:paraId="06DE0440" w14:textId="77777777" w:rsidR="00DA6587" w:rsidRPr="007E5633" w:rsidRDefault="00DA6587" w:rsidP="000A7BA9">
            <w:pPr>
              <w:rPr>
                <w:rFonts w:ascii="Arial" w:hAnsi="Arial" w:cs="Arial"/>
                <w:highlight w:val="yellow"/>
                <w:lang w:val="uk-UA"/>
              </w:rPr>
            </w:pPr>
            <w:r w:rsidRPr="007E5633">
              <w:rPr>
                <w:rFonts w:ascii="Arial" w:hAnsi="Arial" w:cs="Arial"/>
                <w:lang w:val="uk-UA"/>
              </w:rPr>
              <w:t>Список інсайдерів може бути створено та оновлено бізнес-одиницею юридичної особи або третьою стороною.</w:t>
            </w:r>
          </w:p>
        </w:tc>
      </w:tr>
      <w:tr w:rsidR="00DA6587" w:rsidRPr="007E5633" w14:paraId="74171958" w14:textId="77777777" w:rsidTr="00DA6587">
        <w:tc>
          <w:tcPr>
            <w:tcW w:w="1100" w:type="dxa"/>
            <w:shd w:val="clear" w:color="auto" w:fill="auto"/>
          </w:tcPr>
          <w:p w14:paraId="0999E1B9"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7440" behindDoc="0" locked="0" layoutInCell="1" allowOverlap="1" wp14:anchorId="1639D3A7" wp14:editId="43795E85">
                      <wp:simplePos x="0" y="0"/>
                      <wp:positionH relativeFrom="column">
                        <wp:posOffset>41910</wp:posOffset>
                      </wp:positionH>
                      <wp:positionV relativeFrom="paragraph">
                        <wp:posOffset>39370</wp:posOffset>
                      </wp:positionV>
                      <wp:extent cx="320675" cy="245745"/>
                      <wp:effectExtent l="0" t="0" r="3175" b="1905"/>
                      <wp:wrapNone/>
                      <wp:docPr id="5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0675" cy="245745"/>
                              </a:xfrm>
                              <a:custGeom>
                                <a:avLst/>
                                <a:gdLst>
                                  <a:gd name="T0" fmla="*/ 760 w 980"/>
                                  <a:gd name="T1" fmla="*/ 374 h 749"/>
                                  <a:gd name="T2" fmla="*/ 755 w 980"/>
                                  <a:gd name="T3" fmla="*/ 324 h 749"/>
                                  <a:gd name="T4" fmla="*/ 731 w 980"/>
                                  <a:gd name="T5" fmla="*/ 254 h 749"/>
                                  <a:gd name="T6" fmla="*/ 690 w 980"/>
                                  <a:gd name="T7" fmla="*/ 194 h 749"/>
                                  <a:gd name="T8" fmla="*/ 635 w 980"/>
                                  <a:gd name="T9" fmla="*/ 147 h 749"/>
                                  <a:gd name="T10" fmla="*/ 567 w 980"/>
                                  <a:gd name="T11" fmla="*/ 117 h 749"/>
                                  <a:gd name="T12" fmla="*/ 518 w 980"/>
                                  <a:gd name="T13" fmla="*/ 106 h 749"/>
                                  <a:gd name="T14" fmla="*/ 463 w 980"/>
                                  <a:gd name="T15" fmla="*/ 106 h 749"/>
                                  <a:gd name="T16" fmla="*/ 415 w 980"/>
                                  <a:gd name="T17" fmla="*/ 115 h 749"/>
                                  <a:gd name="T18" fmla="*/ 350 w 980"/>
                                  <a:gd name="T19" fmla="*/ 145 h 749"/>
                                  <a:gd name="T20" fmla="*/ 293 w 980"/>
                                  <a:gd name="T21" fmla="*/ 191 h 749"/>
                                  <a:gd name="T22" fmla="*/ 261 w 980"/>
                                  <a:gd name="T23" fmla="*/ 78 h 749"/>
                                  <a:gd name="T24" fmla="*/ 338 w 980"/>
                                  <a:gd name="T25" fmla="*/ 32 h 749"/>
                                  <a:gd name="T26" fmla="*/ 422 w 980"/>
                                  <a:gd name="T27" fmla="*/ 6 h 749"/>
                                  <a:gd name="T28" fmla="*/ 471 w 980"/>
                                  <a:gd name="T29" fmla="*/ 0 h 749"/>
                                  <a:gd name="T30" fmla="*/ 510 w 980"/>
                                  <a:gd name="T31" fmla="*/ 0 h 749"/>
                                  <a:gd name="T32" fmla="*/ 546 w 980"/>
                                  <a:gd name="T33" fmla="*/ 3 h 749"/>
                                  <a:gd name="T34" fmla="*/ 597 w 980"/>
                                  <a:gd name="T35" fmla="*/ 15 h 749"/>
                                  <a:gd name="T36" fmla="*/ 647 w 980"/>
                                  <a:gd name="T37" fmla="*/ 33 h 749"/>
                                  <a:gd name="T38" fmla="*/ 691 w 980"/>
                                  <a:gd name="T39" fmla="*/ 57 h 749"/>
                                  <a:gd name="T40" fmla="*/ 732 w 980"/>
                                  <a:gd name="T41" fmla="*/ 88 h 749"/>
                                  <a:gd name="T42" fmla="*/ 768 w 980"/>
                                  <a:gd name="T43" fmla="*/ 123 h 749"/>
                                  <a:gd name="T44" fmla="*/ 799 w 980"/>
                                  <a:gd name="T45" fmla="*/ 162 h 749"/>
                                  <a:gd name="T46" fmla="*/ 826 w 980"/>
                                  <a:gd name="T47" fmla="*/ 206 h 749"/>
                                  <a:gd name="T48" fmla="*/ 845 w 980"/>
                                  <a:gd name="T49" fmla="*/ 254 h 749"/>
                                  <a:gd name="T50" fmla="*/ 858 w 980"/>
                                  <a:gd name="T51" fmla="*/ 303 h 749"/>
                                  <a:gd name="T52" fmla="*/ 864 w 980"/>
                                  <a:gd name="T53" fmla="*/ 356 h 749"/>
                                  <a:gd name="T54" fmla="*/ 873 w 980"/>
                                  <a:gd name="T55" fmla="*/ 383 h 749"/>
                                  <a:gd name="T56" fmla="*/ 625 w 980"/>
                                  <a:gd name="T57" fmla="*/ 383 h 749"/>
                                  <a:gd name="T58" fmla="*/ 558 w 980"/>
                                  <a:gd name="T59" fmla="*/ 743 h 749"/>
                                  <a:gd name="T60" fmla="*/ 643 w 980"/>
                                  <a:gd name="T61" fmla="*/ 718 h 749"/>
                                  <a:gd name="T62" fmla="*/ 719 w 980"/>
                                  <a:gd name="T63" fmla="*/ 671 h 749"/>
                                  <a:gd name="T64" fmla="*/ 688 w 980"/>
                                  <a:gd name="T65" fmla="*/ 558 h 749"/>
                                  <a:gd name="T66" fmla="*/ 631 w 980"/>
                                  <a:gd name="T67" fmla="*/ 603 h 749"/>
                                  <a:gd name="T68" fmla="*/ 565 w 980"/>
                                  <a:gd name="T69" fmla="*/ 633 h 749"/>
                                  <a:gd name="T70" fmla="*/ 518 w 980"/>
                                  <a:gd name="T71" fmla="*/ 643 h 749"/>
                                  <a:gd name="T72" fmla="*/ 476 w 980"/>
                                  <a:gd name="T73" fmla="*/ 644 h 749"/>
                                  <a:gd name="T74" fmla="*/ 438 w 980"/>
                                  <a:gd name="T75" fmla="*/ 639 h 749"/>
                                  <a:gd name="T76" fmla="*/ 367 w 980"/>
                                  <a:gd name="T77" fmla="*/ 614 h 749"/>
                                  <a:gd name="T78" fmla="*/ 308 w 980"/>
                                  <a:gd name="T79" fmla="*/ 573 h 749"/>
                                  <a:gd name="T80" fmla="*/ 261 w 980"/>
                                  <a:gd name="T81" fmla="*/ 517 h 749"/>
                                  <a:gd name="T82" fmla="*/ 232 w 980"/>
                                  <a:gd name="T83" fmla="*/ 449 h 749"/>
                                  <a:gd name="T84" fmla="*/ 221 w 980"/>
                                  <a:gd name="T85" fmla="*/ 374 h 749"/>
                                  <a:gd name="T86" fmla="*/ 209 w 980"/>
                                  <a:gd name="T87" fmla="*/ 112 h 749"/>
                                  <a:gd name="T88" fmla="*/ 116 w 980"/>
                                  <a:gd name="T89" fmla="*/ 366 h 749"/>
                                  <a:gd name="T90" fmla="*/ 117 w 980"/>
                                  <a:gd name="T91" fmla="*/ 392 h 749"/>
                                  <a:gd name="T92" fmla="*/ 123 w 980"/>
                                  <a:gd name="T93" fmla="*/ 445 h 749"/>
                                  <a:gd name="T94" fmla="*/ 136 w 980"/>
                                  <a:gd name="T95" fmla="*/ 495 h 749"/>
                                  <a:gd name="T96" fmla="*/ 155 w 980"/>
                                  <a:gd name="T97" fmla="*/ 543 h 749"/>
                                  <a:gd name="T98" fmla="*/ 182 w 980"/>
                                  <a:gd name="T99" fmla="*/ 586 h 749"/>
                                  <a:gd name="T100" fmla="*/ 212 w 980"/>
                                  <a:gd name="T101" fmla="*/ 626 h 749"/>
                                  <a:gd name="T102" fmla="*/ 249 w 980"/>
                                  <a:gd name="T103" fmla="*/ 661 h 749"/>
                                  <a:gd name="T104" fmla="*/ 290 w 980"/>
                                  <a:gd name="T105" fmla="*/ 691 h 749"/>
                                  <a:gd name="T106" fmla="*/ 334 w 980"/>
                                  <a:gd name="T107" fmla="*/ 715 h 749"/>
                                  <a:gd name="T108" fmla="*/ 382 w 980"/>
                                  <a:gd name="T109" fmla="*/ 733 h 749"/>
                                  <a:gd name="T110" fmla="*/ 434 w 980"/>
                                  <a:gd name="T111" fmla="*/ 746 h 749"/>
                                  <a:gd name="T112" fmla="*/ 471 w 980"/>
                                  <a:gd name="T113" fmla="*/ 749 h 749"/>
                                  <a:gd name="T114" fmla="*/ 510 w 980"/>
                                  <a:gd name="T115" fmla="*/ 749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0" h="749">
                                    <a:moveTo>
                                      <a:pt x="625" y="383"/>
                                    </a:moveTo>
                                    <a:lnTo>
                                      <a:pt x="760" y="383"/>
                                    </a:lnTo>
                                    <a:lnTo>
                                      <a:pt x="760" y="374"/>
                                    </a:lnTo>
                                    <a:lnTo>
                                      <a:pt x="760" y="374"/>
                                    </a:lnTo>
                                    <a:lnTo>
                                      <a:pt x="759" y="349"/>
                                    </a:lnTo>
                                    <a:lnTo>
                                      <a:pt x="755" y="324"/>
                                    </a:lnTo>
                                    <a:lnTo>
                                      <a:pt x="749" y="300"/>
                                    </a:lnTo>
                                    <a:lnTo>
                                      <a:pt x="740" y="276"/>
                                    </a:lnTo>
                                    <a:lnTo>
                                      <a:pt x="731" y="254"/>
                                    </a:lnTo>
                                    <a:lnTo>
                                      <a:pt x="719" y="232"/>
                                    </a:lnTo>
                                    <a:lnTo>
                                      <a:pt x="706" y="212"/>
                                    </a:lnTo>
                                    <a:lnTo>
                                      <a:pt x="690" y="194"/>
                                    </a:lnTo>
                                    <a:lnTo>
                                      <a:pt x="673" y="177"/>
                                    </a:lnTo>
                                    <a:lnTo>
                                      <a:pt x="655" y="161"/>
                                    </a:lnTo>
                                    <a:lnTo>
                                      <a:pt x="635" y="147"/>
                                    </a:lnTo>
                                    <a:lnTo>
                                      <a:pt x="613" y="135"/>
                                    </a:lnTo>
                                    <a:lnTo>
                                      <a:pt x="591" y="124"/>
                                    </a:lnTo>
                                    <a:lnTo>
                                      <a:pt x="567" y="117"/>
                                    </a:lnTo>
                                    <a:lnTo>
                                      <a:pt x="543" y="111"/>
                                    </a:lnTo>
                                    <a:lnTo>
                                      <a:pt x="518" y="106"/>
                                    </a:lnTo>
                                    <a:lnTo>
                                      <a:pt x="518" y="106"/>
                                    </a:lnTo>
                                    <a:lnTo>
                                      <a:pt x="491" y="104"/>
                                    </a:lnTo>
                                    <a:lnTo>
                                      <a:pt x="491" y="104"/>
                                    </a:lnTo>
                                    <a:lnTo>
                                      <a:pt x="463" y="106"/>
                                    </a:lnTo>
                                    <a:lnTo>
                                      <a:pt x="463" y="106"/>
                                    </a:lnTo>
                                    <a:lnTo>
                                      <a:pt x="439" y="109"/>
                                    </a:lnTo>
                                    <a:lnTo>
                                      <a:pt x="415" y="115"/>
                                    </a:lnTo>
                                    <a:lnTo>
                                      <a:pt x="392" y="124"/>
                                    </a:lnTo>
                                    <a:lnTo>
                                      <a:pt x="370" y="133"/>
                                    </a:lnTo>
                                    <a:lnTo>
                                      <a:pt x="350" y="145"/>
                                    </a:lnTo>
                                    <a:lnTo>
                                      <a:pt x="329" y="159"/>
                                    </a:lnTo>
                                    <a:lnTo>
                                      <a:pt x="311" y="174"/>
                                    </a:lnTo>
                                    <a:lnTo>
                                      <a:pt x="293" y="191"/>
                                    </a:lnTo>
                                    <a:lnTo>
                                      <a:pt x="238" y="97"/>
                                    </a:lnTo>
                                    <a:lnTo>
                                      <a:pt x="238" y="97"/>
                                    </a:lnTo>
                                    <a:lnTo>
                                      <a:pt x="261" y="78"/>
                                    </a:lnTo>
                                    <a:lnTo>
                                      <a:pt x="286" y="60"/>
                                    </a:lnTo>
                                    <a:lnTo>
                                      <a:pt x="311" y="45"/>
                                    </a:lnTo>
                                    <a:lnTo>
                                      <a:pt x="338" y="32"/>
                                    </a:lnTo>
                                    <a:lnTo>
                                      <a:pt x="366" y="20"/>
                                    </a:lnTo>
                                    <a:lnTo>
                                      <a:pt x="393" y="12"/>
                                    </a:lnTo>
                                    <a:lnTo>
                                      <a:pt x="422" y="6"/>
                                    </a:lnTo>
                                    <a:lnTo>
                                      <a:pt x="452" y="1"/>
                                    </a:lnTo>
                                    <a:lnTo>
                                      <a:pt x="452" y="1"/>
                                    </a:lnTo>
                                    <a:lnTo>
                                      <a:pt x="471" y="0"/>
                                    </a:lnTo>
                                    <a:lnTo>
                                      <a:pt x="491" y="0"/>
                                    </a:lnTo>
                                    <a:lnTo>
                                      <a:pt x="491" y="0"/>
                                    </a:lnTo>
                                    <a:lnTo>
                                      <a:pt x="510" y="0"/>
                                    </a:lnTo>
                                    <a:lnTo>
                                      <a:pt x="529" y="1"/>
                                    </a:lnTo>
                                    <a:lnTo>
                                      <a:pt x="529" y="1"/>
                                    </a:lnTo>
                                    <a:lnTo>
                                      <a:pt x="546" y="3"/>
                                    </a:lnTo>
                                    <a:lnTo>
                                      <a:pt x="564" y="7"/>
                                    </a:lnTo>
                                    <a:lnTo>
                                      <a:pt x="581" y="10"/>
                                    </a:lnTo>
                                    <a:lnTo>
                                      <a:pt x="597" y="15"/>
                                    </a:lnTo>
                                    <a:lnTo>
                                      <a:pt x="614" y="20"/>
                                    </a:lnTo>
                                    <a:lnTo>
                                      <a:pt x="631" y="26"/>
                                    </a:lnTo>
                                    <a:lnTo>
                                      <a:pt x="647" y="33"/>
                                    </a:lnTo>
                                    <a:lnTo>
                                      <a:pt x="662" y="41"/>
                                    </a:lnTo>
                                    <a:lnTo>
                                      <a:pt x="677" y="49"/>
                                    </a:lnTo>
                                    <a:lnTo>
                                      <a:pt x="691" y="57"/>
                                    </a:lnTo>
                                    <a:lnTo>
                                      <a:pt x="706" y="67"/>
                                    </a:lnTo>
                                    <a:lnTo>
                                      <a:pt x="719" y="77"/>
                                    </a:lnTo>
                                    <a:lnTo>
                                      <a:pt x="732" y="88"/>
                                    </a:lnTo>
                                    <a:lnTo>
                                      <a:pt x="745" y="98"/>
                                    </a:lnTo>
                                    <a:lnTo>
                                      <a:pt x="757" y="111"/>
                                    </a:lnTo>
                                    <a:lnTo>
                                      <a:pt x="768" y="123"/>
                                    </a:lnTo>
                                    <a:lnTo>
                                      <a:pt x="779" y="136"/>
                                    </a:lnTo>
                                    <a:lnTo>
                                      <a:pt x="790" y="149"/>
                                    </a:lnTo>
                                    <a:lnTo>
                                      <a:pt x="799" y="162"/>
                                    </a:lnTo>
                                    <a:lnTo>
                                      <a:pt x="809" y="177"/>
                                    </a:lnTo>
                                    <a:lnTo>
                                      <a:pt x="817" y="191"/>
                                    </a:lnTo>
                                    <a:lnTo>
                                      <a:pt x="826" y="206"/>
                                    </a:lnTo>
                                    <a:lnTo>
                                      <a:pt x="833" y="221"/>
                                    </a:lnTo>
                                    <a:lnTo>
                                      <a:pt x="839" y="237"/>
                                    </a:lnTo>
                                    <a:lnTo>
                                      <a:pt x="845" y="254"/>
                                    </a:lnTo>
                                    <a:lnTo>
                                      <a:pt x="850" y="270"/>
                                    </a:lnTo>
                                    <a:lnTo>
                                      <a:pt x="855" y="286"/>
                                    </a:lnTo>
                                    <a:lnTo>
                                      <a:pt x="858" y="303"/>
                                    </a:lnTo>
                                    <a:lnTo>
                                      <a:pt x="861" y="321"/>
                                    </a:lnTo>
                                    <a:lnTo>
                                      <a:pt x="863" y="338"/>
                                    </a:lnTo>
                                    <a:lnTo>
                                      <a:pt x="864" y="356"/>
                                    </a:lnTo>
                                    <a:lnTo>
                                      <a:pt x="864" y="374"/>
                                    </a:lnTo>
                                    <a:lnTo>
                                      <a:pt x="864" y="383"/>
                                    </a:lnTo>
                                    <a:lnTo>
                                      <a:pt x="873" y="383"/>
                                    </a:lnTo>
                                    <a:lnTo>
                                      <a:pt x="980" y="383"/>
                                    </a:lnTo>
                                    <a:lnTo>
                                      <a:pt x="803" y="690"/>
                                    </a:lnTo>
                                    <a:lnTo>
                                      <a:pt x="625" y="383"/>
                                    </a:lnTo>
                                    <a:close/>
                                    <a:moveTo>
                                      <a:pt x="529" y="748"/>
                                    </a:moveTo>
                                    <a:lnTo>
                                      <a:pt x="529" y="748"/>
                                    </a:lnTo>
                                    <a:lnTo>
                                      <a:pt x="558" y="743"/>
                                    </a:lnTo>
                                    <a:lnTo>
                                      <a:pt x="587" y="737"/>
                                    </a:lnTo>
                                    <a:lnTo>
                                      <a:pt x="615" y="729"/>
                                    </a:lnTo>
                                    <a:lnTo>
                                      <a:pt x="643" y="718"/>
                                    </a:lnTo>
                                    <a:lnTo>
                                      <a:pt x="670" y="705"/>
                                    </a:lnTo>
                                    <a:lnTo>
                                      <a:pt x="695" y="689"/>
                                    </a:lnTo>
                                    <a:lnTo>
                                      <a:pt x="719" y="671"/>
                                    </a:lnTo>
                                    <a:lnTo>
                                      <a:pt x="742" y="652"/>
                                    </a:lnTo>
                                    <a:lnTo>
                                      <a:pt x="688" y="558"/>
                                    </a:lnTo>
                                    <a:lnTo>
                                      <a:pt x="688" y="558"/>
                                    </a:lnTo>
                                    <a:lnTo>
                                      <a:pt x="670" y="574"/>
                                    </a:lnTo>
                                    <a:lnTo>
                                      <a:pt x="652" y="590"/>
                                    </a:lnTo>
                                    <a:lnTo>
                                      <a:pt x="631" y="603"/>
                                    </a:lnTo>
                                    <a:lnTo>
                                      <a:pt x="609" y="615"/>
                                    </a:lnTo>
                                    <a:lnTo>
                                      <a:pt x="588" y="625"/>
                                    </a:lnTo>
                                    <a:lnTo>
                                      <a:pt x="565" y="633"/>
                                    </a:lnTo>
                                    <a:lnTo>
                                      <a:pt x="542" y="639"/>
                                    </a:lnTo>
                                    <a:lnTo>
                                      <a:pt x="518" y="643"/>
                                    </a:lnTo>
                                    <a:lnTo>
                                      <a:pt x="518" y="643"/>
                                    </a:lnTo>
                                    <a:lnTo>
                                      <a:pt x="491" y="644"/>
                                    </a:lnTo>
                                    <a:lnTo>
                                      <a:pt x="491" y="644"/>
                                    </a:lnTo>
                                    <a:lnTo>
                                      <a:pt x="476" y="644"/>
                                    </a:lnTo>
                                    <a:lnTo>
                                      <a:pt x="463" y="643"/>
                                    </a:lnTo>
                                    <a:lnTo>
                                      <a:pt x="463" y="643"/>
                                    </a:lnTo>
                                    <a:lnTo>
                                      <a:pt x="438" y="639"/>
                                    </a:lnTo>
                                    <a:lnTo>
                                      <a:pt x="412" y="633"/>
                                    </a:lnTo>
                                    <a:lnTo>
                                      <a:pt x="390" y="625"/>
                                    </a:lnTo>
                                    <a:lnTo>
                                      <a:pt x="367" y="614"/>
                                    </a:lnTo>
                                    <a:lnTo>
                                      <a:pt x="346" y="602"/>
                                    </a:lnTo>
                                    <a:lnTo>
                                      <a:pt x="326" y="589"/>
                                    </a:lnTo>
                                    <a:lnTo>
                                      <a:pt x="308" y="573"/>
                                    </a:lnTo>
                                    <a:lnTo>
                                      <a:pt x="291" y="555"/>
                                    </a:lnTo>
                                    <a:lnTo>
                                      <a:pt x="275" y="537"/>
                                    </a:lnTo>
                                    <a:lnTo>
                                      <a:pt x="261" y="517"/>
                                    </a:lnTo>
                                    <a:lnTo>
                                      <a:pt x="250" y="495"/>
                                    </a:lnTo>
                                    <a:lnTo>
                                      <a:pt x="239" y="473"/>
                                    </a:lnTo>
                                    <a:lnTo>
                                      <a:pt x="232" y="449"/>
                                    </a:lnTo>
                                    <a:lnTo>
                                      <a:pt x="226" y="425"/>
                                    </a:lnTo>
                                    <a:lnTo>
                                      <a:pt x="222" y="400"/>
                                    </a:lnTo>
                                    <a:lnTo>
                                      <a:pt x="221" y="374"/>
                                    </a:lnTo>
                                    <a:lnTo>
                                      <a:pt x="221" y="366"/>
                                    </a:lnTo>
                                    <a:lnTo>
                                      <a:pt x="355" y="366"/>
                                    </a:lnTo>
                                    <a:lnTo>
                                      <a:pt x="209" y="112"/>
                                    </a:lnTo>
                                    <a:lnTo>
                                      <a:pt x="178" y="59"/>
                                    </a:lnTo>
                                    <a:lnTo>
                                      <a:pt x="0" y="366"/>
                                    </a:lnTo>
                                    <a:lnTo>
                                      <a:pt x="116" y="366"/>
                                    </a:lnTo>
                                    <a:lnTo>
                                      <a:pt x="116" y="374"/>
                                    </a:lnTo>
                                    <a:lnTo>
                                      <a:pt x="116" y="374"/>
                                    </a:lnTo>
                                    <a:lnTo>
                                      <a:pt x="117" y="392"/>
                                    </a:lnTo>
                                    <a:lnTo>
                                      <a:pt x="118" y="411"/>
                                    </a:lnTo>
                                    <a:lnTo>
                                      <a:pt x="120" y="427"/>
                                    </a:lnTo>
                                    <a:lnTo>
                                      <a:pt x="123" y="445"/>
                                    </a:lnTo>
                                    <a:lnTo>
                                      <a:pt x="126" y="462"/>
                                    </a:lnTo>
                                    <a:lnTo>
                                      <a:pt x="131" y="479"/>
                                    </a:lnTo>
                                    <a:lnTo>
                                      <a:pt x="136" y="495"/>
                                    </a:lnTo>
                                    <a:lnTo>
                                      <a:pt x="142" y="512"/>
                                    </a:lnTo>
                                    <a:lnTo>
                                      <a:pt x="148" y="527"/>
                                    </a:lnTo>
                                    <a:lnTo>
                                      <a:pt x="155" y="543"/>
                                    </a:lnTo>
                                    <a:lnTo>
                                      <a:pt x="164" y="558"/>
                                    </a:lnTo>
                                    <a:lnTo>
                                      <a:pt x="172" y="572"/>
                                    </a:lnTo>
                                    <a:lnTo>
                                      <a:pt x="182" y="586"/>
                                    </a:lnTo>
                                    <a:lnTo>
                                      <a:pt x="191" y="600"/>
                                    </a:lnTo>
                                    <a:lnTo>
                                      <a:pt x="201" y="613"/>
                                    </a:lnTo>
                                    <a:lnTo>
                                      <a:pt x="212" y="626"/>
                                    </a:lnTo>
                                    <a:lnTo>
                                      <a:pt x="224" y="638"/>
                                    </a:lnTo>
                                    <a:lnTo>
                                      <a:pt x="236" y="650"/>
                                    </a:lnTo>
                                    <a:lnTo>
                                      <a:pt x="249" y="661"/>
                                    </a:lnTo>
                                    <a:lnTo>
                                      <a:pt x="262" y="672"/>
                                    </a:lnTo>
                                    <a:lnTo>
                                      <a:pt x="275" y="682"/>
                                    </a:lnTo>
                                    <a:lnTo>
                                      <a:pt x="290" y="691"/>
                                    </a:lnTo>
                                    <a:lnTo>
                                      <a:pt x="304" y="700"/>
                                    </a:lnTo>
                                    <a:lnTo>
                                      <a:pt x="319" y="708"/>
                                    </a:lnTo>
                                    <a:lnTo>
                                      <a:pt x="334" y="715"/>
                                    </a:lnTo>
                                    <a:lnTo>
                                      <a:pt x="350" y="723"/>
                                    </a:lnTo>
                                    <a:lnTo>
                                      <a:pt x="366" y="729"/>
                                    </a:lnTo>
                                    <a:lnTo>
                                      <a:pt x="382" y="733"/>
                                    </a:lnTo>
                                    <a:lnTo>
                                      <a:pt x="399" y="738"/>
                                    </a:lnTo>
                                    <a:lnTo>
                                      <a:pt x="417" y="742"/>
                                    </a:lnTo>
                                    <a:lnTo>
                                      <a:pt x="434" y="746"/>
                                    </a:lnTo>
                                    <a:lnTo>
                                      <a:pt x="452" y="748"/>
                                    </a:lnTo>
                                    <a:lnTo>
                                      <a:pt x="452" y="748"/>
                                    </a:lnTo>
                                    <a:lnTo>
                                      <a:pt x="471" y="749"/>
                                    </a:lnTo>
                                    <a:lnTo>
                                      <a:pt x="491" y="749"/>
                                    </a:lnTo>
                                    <a:lnTo>
                                      <a:pt x="491" y="749"/>
                                    </a:lnTo>
                                    <a:lnTo>
                                      <a:pt x="510" y="749"/>
                                    </a:lnTo>
                                    <a:lnTo>
                                      <a:pt x="529" y="748"/>
                                    </a:lnTo>
                                    <a:lnTo>
                                      <a:pt x="529" y="748"/>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C9B8C" id="Freeform 6" o:spid="_x0000_s1026" style="position:absolute;margin-left:3.3pt;margin-top:3.1pt;width:25.25pt;height:19.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8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ZpHQwAANw7AAAOAAAAZHJzL2Uyb0RvYy54bWysW11vG7kVfS/Q/zDQY4GuxfngjIw4iyLb&#10;FAXSbYCk6PNYkmOhkkbVKLGzv77nkveOr5LhxxZ5MW3r6JLnkEPeD86rn58P++LL9jzuhuPdwvy0&#10;XBTb43rY7I6f7hb/+vj2z92iGC/9cdPvh+P2bvF1Oy5+fv3HP7x6Ot1uy+Fx2G+25wJGjuPt0+lu&#10;8Xi5nG5vbsb14/bQjz8Np+0RHz4M50N/wZ/nTzebc/8E64f9Tblc2pun4bw5nYf1dhzx31/8h4vX&#10;zv7Dw3Z9+efDw7i9FPu7BcZ2cT/P7uc9/bx5/aq//XTuT4+7NQ+j/z9Gceh3R3Q6mfqlv/TF5/Pu&#10;O1OH3fo8jMPD5af1cLgZHh52663jADZm+Q2bD4/9aeu4QJzxNMk0/jiz61+/vD8Xu83dorGL4tgf&#10;MEdvz9stKV5YkufpNN4C9eH0/kwEx9O7Yf2fsTgOf93sLu+H3fGC4RhC3lxB6Y8RXyrun/4xbGC2&#10;/3wZnEbPD+cDmQL74tlNxddpKrbPl2KNf1bl0rbNoljjo7Ju2rpxPfS38uX15/Hyt+3gDPVf3o0X&#10;P5Mb/ObmYcNkPmLWHw57TOqfborWLounYtXJvE8go0BVWxePRVuveHFMoFKB2qaZt1QpUFUGLNUK&#10;1FZm3hLYTwMvm4AlTNoEsqsAu1aBzCpgCQ/qi6UqwG6lQKZu53UyWvLGtvP0jNbcmJAtLXpjuoAt&#10;rbpZ2sC4tOy1rQK2tO5hW1r42gTkMlfKAzW7royWvmoCk2iutQ/YKrX25SrAsbzSfmXmx1Vq7Usb&#10;WKal1r7tAqa09FUVmMZSS1+VAVNXypfl/CyWWvnAeii17nUb4qd1X86PqdKqNyYwg5VWPWRJa97U&#10;dp5dpTWvAmPSkjerwFNYaclDC7TSkls89rN7aKUlr0Kj0ppbrLx5U1rzJrA11Fr0Fstl1lStRe8C&#10;y7PWqrc2sDxrrbopAwxrrXu7WgWGdaW7Daz1WgvflYHVUGvhcW7Or4daK9/VgR0Lp97LMRA8dRot&#10;fdcE9Gq09NUyoFejte9sPa9Xo7WvmgDHRmvftYHdr9HaV11oXFp7Wwb0arT2YVta+yaol9a+rQPj&#10;slp7C9Tssrda+xbn5uzJY7X2rQmsVau1t9gn521p7S2etPlxae1JiXlbV9qHHCSrtbeh9WWvtLeB&#10;ebRaexvavVqtfdAbabX2NEOzHFutfd0Gnu32Svs64Lu1Wvs6dLySP61cvFVgXFr7KuS9tVfam9C4&#10;tPbVMrAmWq19g6d2Vi847S+jD3ojnda+CXmVnda+DB0dnda+rgN6dVr7sgycaJ3WPhhhdFr7chl4&#10;HjutvTGBs6PT2hsTWF+d1r6ygX11pbUnX3322V5p7atVYFwrrT2dovO2rrUPeLsrrb2pAhxXWvt6&#10;FbKltTeh8G6ltW9Cz/bqSvsu4JqstPZNF9DeLLX4JaZ7VjCz1Opb+AqzT5FZavlLLOqANa2/he8f&#10;sKYnoAzFn2apZ4C8voA1PQVVFXAFzFLPQRtyWs1ST0IVmgSz1LPQhnZ+cxXU1sGxXUW1Lfz3eaZG&#10;z0Iw9DBGzwIyEiFrehaC4YcxehaurN0gcSWZk/5Rkinr5yNnU/Bb0VNGb+kSOKdhpMQNpVaQnvno&#10;kz/9LVCUegmAwZjAFedx4mAQIrAkfeJgrBoCt1mWsSgI7JI7oB23TJNOaMwq5beScOaIacuCM0vM&#10;SxaceSKpkAVnpsgb5MApcUBUkRrIgjNVRP9ZcKaKCD8LzlQRxWfBmWqZR5WidaKKeDzHeiUrN49q&#10;xVQRWWdZZ6qInrPgTLXKo0oxMlFFFJxjneJgB8+jSqGug+dRpWjWwfOoUsDq4HlUKSYlOKLOHKoU&#10;djp4HlWKLB08jyol0x08j2rDVJs8qhQCknUEeTlUKcpz8DyqlqnaPKqWqSIayxoMU0XAlQOniIvG&#10;jpgqC85UETZlwZkqIqMsOFNF8JMFZ6qIb3LgFOAQVYQwWXCmiiglC85UEYhkwZkqYo0sOFNFOJED&#10;p3iCqCJiyIIz1VUeVYoKnPU8qiumCtc+azBMFd57Dty57zQactDzvsBszTKPrlkyX3Kz83pgxuRJ&#10;532BOZOznPWFF8cpkzQ5xE6lXN/JCOlr78n7aOy2nlH+/bbwe14UKPzeE43+9tRfyNuVX4unuwUV&#10;B4vHuwXV/+j/h+HL9uPgEBdyepEJdCNFro+leEHsjxqJYuM3SPlc2pOzOOGQxfHiyufS/k4cThHS&#10;svIVTCgidqRle5QHJVyZ6JdywoRDIBodHzsbZevqxuF+qQ4Ce8gux+1RxYtwcMCi/S79ckZoHMWh&#10;POrsoQIax1HODf2aaZsX3aT1+lnWz0zHsHwuLeOoxkL2kKeP8bAU7RFu8hzFjrTeXkN5FsIl5g2V&#10;V4+bAgaxIy3bo7oG2ZuiHPlcWsZRnZJw0DvGA3nRLFwtPLB/xexl4yhPnTE+VH7zcPCxvT3Z9EQP&#10;ab0uqP563LQTyefSehwyYh6XmLeKfR6DKl9MF1SKvb3pboT0Jy33i7DI8Zi8S/lcWsZR7oL0S+xD&#10;qCp73HR6ix1pvb2y8utgOlflY2l/H4wqGhhd20VFKSmFChj23qh2zDUlHVNI7EDIm7pOEUNHOxXh&#10;4vtUTXV3ohA1VnMAI+eriCqtFzcTRRUL9BgfvjyHPwKFJFVGj42s3KgSmSiOPuPPVMPBT3ynbqjK&#10;AL1AIjbfKLp7mLhlMjfS+jmy7MokVo+VYzO+LlCed50mNg/LQeGUGJAxSctjozoPmCZcCaR0HQzV&#10;0JggLZ/UU6gonUnrO0Uh0llLnL8o+TsYCh3RTvGMEwXk5KMwquTSnCZOQdwO8Lgp8yWDl5ZJUFWL&#10;7OHyRLRf8UoSEuMmgbeHiYvZ6yifTf0m1OvobhLhErs4bh04HO4VxPulOymwhwpYAufHV04JL9FN&#10;Wq8fbih4ewkvseNTsMSpGdWFvTU6IOI4P7+4rxDH8XlUpfiyt4FLTwl7PqDB3YY8XOKUxk0Kp99L&#10;nCL6Sss6s7ebwrm4CPObwnXQjdYBedsxnb+Po2Rc6/0wbvHV72Mv2elbpAa97VDs9T1SrEvr2eMG&#10;ghstbltER9tQzRWs2sSqtewLtlMqWvqT1veLWwHeHnzlqErsC7ZTaC92pGV7VOMk1acEjHwurcfJ&#10;1opbHNF+W84EW3gZ0fFRlRn9ko4/BMd8ceE3bo+9nya1yvjQxO2QuD3eNWn+Yjwa5kurN4pD8tTN&#10;R+IYbkTnKZ8v8yUtr1OOqWjdRPvNxIkvZ5HCj9nLxiHmd3xT9ng3TPGQGC2JYwfdJvSrOb+Emz1R&#10;vhWfxqn5xb0Yzxe+W0y/ir1Oi7J7FMenbJN4fnGHxj9vU4Jb1om0fr2U4pDh1Iv1W9KdIHp+E/sa&#10;7tt4XCKXUPJpjFsW8X45tq5TPNjHw+2buD3Wr048lyXHVnUil0VeDOmCmzqJfhmHCDCmcyW5tgQO&#10;d35cv7jVE7VnEAa7eYvLwgnIRKe4HOTJ5uISokz2kjj/EFFiJCae4U2tTrjmhmvY9VQ2lodCWv9w&#10;4NKR41snon8jiyrhchs+ZOqp0CP9Scv90j1qLKrUw2H4UGhSi4ArpE2KLy8+XFeK68wuY+owN3R1&#10;kTYNtNF5o2t2hEu43BSCEM6mHkq64kS4qUYg+krLm59s9pi/2PhKJOKcvYRrXvK8WWxuUXucKMd1&#10;qTiOY2+b0E82Zwsdo/3KoZUI5SouFLUJnSuJv3HYxPrFDS2nH65gxXF8KLSJkFnSaCnnGXe5fL/J&#10;w9xvpm1ifmsOhcnpjfHFrS/fLw71KI6d05cwRdantH6dSnIuieP0HL+SFiysiLP2o3CSpEvZyw62&#10;OJ33PV8J+UCNSnLuqtVUm8M/9ct+47Dfbd7u9nuKEMfzp/s3+3Pxpcf7nW/f/qWebn9cwfbuYtpx&#10;oK/JzNHX8bahv+zmXl2ktxX9+473w+Yr3lzEe614YfRxOP+2KJ7wjujdYvzv5/68XRT7vx/x1uPK&#10;1FTzurg/8JIinT9n/cm9/uT4+fBmwDCxifXHNazeLS7y65uLfycVL4WC97vjh9OagK7seB4vH5//&#10;3Z9PxQm/4ksY9a+DvBva38rbjyTehOW3MT0R/uNpPDll+XVXekdV/+1QLy/lvv4fAAAA//8DAFBL&#10;AwQUAAYACAAAACEA4YoQSNoAAAAFAQAADwAAAGRycy9kb3ducmV2LnhtbEyOQU/CQBSE7yb8h80j&#10;8SZbCFao3RIC4WyoSjhuu89utfu26S5Q/73Pk54mk5nMfPlmdJ244hBaTwrmswQEUu1NS42Ct9fD&#10;wwpEiJqM7jyhgm8MsCkmd7nOjL/REa9lbASPUMi0Ahtjn0kZaotOh5nvkTj78IPTke3QSDPoG4+7&#10;Ti6SJJVOt8QPVve4s1h/lRenIPq9PfXH6t2+rEJqTuXn4Rz3St1Px+0ziIhj/CvDLz6jQ8FMlb+Q&#10;CaJTkKZcZFmA4PTxaQ6iUrBcrkEWufxPX/wAAAD//wMAUEsBAi0AFAAGAAgAAAAhALaDOJL+AAAA&#10;4QEAABMAAAAAAAAAAAAAAAAAAAAAAFtDb250ZW50X1R5cGVzXS54bWxQSwECLQAUAAYACAAAACEA&#10;OP0h/9YAAACUAQAACwAAAAAAAAAAAAAAAAAvAQAAX3JlbHMvLnJlbHNQSwECLQAUAAYACAAAACEA&#10;KsZmaR0MAADcOwAADgAAAAAAAAAAAAAAAAAuAgAAZHJzL2Uyb0RvYy54bWxQSwECLQAUAAYACAAA&#10;ACEA4YoQSNoAAAAFAQAADwAAAAAAAAAAAAAAAAB3DgAAZHJzL2Rvd25yZXYueG1sUEsFBgAAAAAE&#10;AAQA8wAAAH4PAAAAAA==&#10;" path="m625,383r135,l760,374r,l759,349r-4,-25l749,300r-9,-24l731,254,719,232,706,212,690,194,673,177,655,161,635,147,613,135,591,124r-24,-7l543,111r-25,-5l518,106r-27,-2l491,104r-28,2l463,106r-24,3l415,115r-23,9l370,133r-20,12l329,159r-18,15l293,191,238,97r,l261,78,286,60,311,45,338,32,366,20r27,-8l422,6,452,1r,l471,r20,l491,r19,l529,1r,l546,3r18,4l581,10r16,5l614,20r17,6l647,33r15,8l677,49r14,8l706,67r13,10l732,88r13,10l757,111r11,12l779,136r11,13l799,162r10,15l817,191r9,15l833,221r6,16l845,254r5,16l855,286r3,17l861,321r2,17l864,356r,18l864,383r9,l980,383,803,690,625,383xm529,748r,l558,743r29,-6l615,729r28,-11l670,705r25,-16l719,671r23,-19l688,558r,l670,574r-18,16l631,603r-22,12l588,625r-23,8l542,639r-24,4l518,643r-27,1l491,644r-15,l463,643r,l438,639r-26,-6l390,625,367,614,346,602,326,589,308,573,291,555,275,537,261,517,250,495,239,473r-7,-24l226,425r-4,-25l221,374r,-8l355,366,209,112,178,59,,366r116,l116,374r,l117,392r1,19l120,427r3,18l126,462r5,17l136,495r6,17l148,527r7,16l164,558r8,14l182,586r9,14l201,613r11,13l224,638r12,12l249,661r13,11l275,682r15,9l304,700r15,8l334,715r16,8l366,729r16,4l399,738r18,4l434,746r18,2l452,748r19,1l491,749r,l510,749r19,-1l529,748xe" fillcolor="#ffa451" stroked="f">
                      <v:path arrowok="t" o:connecttype="custom" o:connectlocs="248687,122708;247051,106304;239197,83337;225781,63651;207784,48230;185533,38387;169500,34778;151503,34778;135796,37731;114527,47574;95875,62667;85404,25592;110600,10499;138087,1969;154120,0;166882,0;178662,984;195350,4921;211711,10827;226109,18702;239525,28873;251304,40356;261448,53152;270283,67588;276500,83337;280754,99414;282718,116803;285663,125661;204512,125661;182588,243776;210402,235574;235271,220153;225127,183078;206475,197843;184879,207686;169500,210967;155756,211295;143322,209654;120090,201452;100784,188000;85404,169626;75915,147316;72315,122708;68389,36747;37957,120084;38285,128614;40248,146003;44502,162408;50719,178157;59554,192265;69371,205389;81478,216872;94894,226715;109291,234590;124998,240495;142013,244761;154120,245745;166882,245745" o:connectangles="0,0,0,0,0,0,0,0,0,0,0,0,0,0,0,0,0,0,0,0,0,0,0,0,0,0,0,0,0,0,0,0,0,0,0,0,0,0,0,0,0,0,0,0,0,0,0,0,0,0,0,0,0,0,0,0,0,0"/>
                      <o:lock v:ext="edit" verticies="t"/>
                    </v:shape>
                  </w:pict>
                </mc:Fallback>
              </mc:AlternateContent>
            </w:r>
          </w:p>
        </w:tc>
        <w:tc>
          <w:tcPr>
            <w:tcW w:w="2136" w:type="dxa"/>
          </w:tcPr>
          <w:p w14:paraId="6F751DC4"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Оновлення списку інсайдерів</w:t>
            </w:r>
          </w:p>
        </w:tc>
        <w:tc>
          <w:tcPr>
            <w:tcW w:w="6007" w:type="dxa"/>
          </w:tcPr>
          <w:p w14:paraId="7B03E4CE" w14:textId="77777777" w:rsidR="00DA6587" w:rsidRPr="007E5633" w:rsidRDefault="00DA6587" w:rsidP="00824B4E">
            <w:pPr>
              <w:rPr>
                <w:rFonts w:ascii="Arial" w:hAnsi="Arial" w:cs="Arial"/>
                <w:lang w:val="uk-UA"/>
              </w:rPr>
            </w:pPr>
            <w:r w:rsidRPr="007E5633">
              <w:rPr>
                <w:rFonts w:ascii="Arial" w:hAnsi="Arial" w:cs="Arial"/>
                <w:lang w:val="uk-UA"/>
              </w:rPr>
              <w:t>Оновлення списку інсайдерів слід здійснювати негайно, коли:</w:t>
            </w:r>
          </w:p>
          <w:p w14:paraId="5F6DB5BC" w14:textId="77777777" w:rsidR="00DA6587" w:rsidRPr="007E5633" w:rsidRDefault="00DA6587" w:rsidP="00824B4E">
            <w:pPr>
              <w:rPr>
                <w:rFonts w:ascii="Arial" w:hAnsi="Arial" w:cs="Arial"/>
                <w:lang w:val="uk-UA"/>
              </w:rPr>
            </w:pPr>
            <w:r w:rsidRPr="007E5633">
              <w:rPr>
                <w:rFonts w:ascii="Arial" w:hAnsi="Arial" w:cs="Arial"/>
                <w:lang w:val="uk-UA"/>
              </w:rPr>
              <w:t>• є зміна причини включення людини до списку інсайдерів,</w:t>
            </w:r>
          </w:p>
          <w:p w14:paraId="0EE1D3BA" w14:textId="77777777" w:rsidR="00DA6587" w:rsidRPr="007E5633" w:rsidRDefault="00DA6587" w:rsidP="00824B4E">
            <w:pPr>
              <w:rPr>
                <w:rFonts w:ascii="Arial" w:hAnsi="Arial" w:cs="Arial"/>
                <w:lang w:val="uk-UA"/>
              </w:rPr>
            </w:pPr>
            <w:r w:rsidRPr="007E5633">
              <w:rPr>
                <w:rFonts w:ascii="Arial" w:hAnsi="Arial" w:cs="Arial"/>
                <w:lang w:val="uk-UA"/>
              </w:rPr>
              <w:t>• є нова людина, яким надано доступ до внутрішньої інформації, тому його потрібно додати до списку інсайдерів та</w:t>
            </w:r>
          </w:p>
          <w:p w14:paraId="088445AA" w14:textId="77777777" w:rsidR="00DA6587" w:rsidRPr="007E5633" w:rsidRDefault="00DA6587" w:rsidP="00824B4E">
            <w:pPr>
              <w:rPr>
                <w:rFonts w:ascii="Arial" w:hAnsi="Arial" w:cs="Arial"/>
                <w:lang w:val="uk-UA"/>
              </w:rPr>
            </w:pPr>
            <w:r w:rsidRPr="007E5633">
              <w:rPr>
                <w:rFonts w:ascii="Arial" w:hAnsi="Arial" w:cs="Arial"/>
                <w:lang w:val="uk-UA"/>
              </w:rPr>
              <w:t>• особа перестає мати доступ до внутрішньої інформації.</w:t>
            </w:r>
          </w:p>
          <w:p w14:paraId="55713BFC" w14:textId="77777777" w:rsidR="00DA6587" w:rsidRPr="007E5633" w:rsidRDefault="00DA6587" w:rsidP="000A7BA9">
            <w:pPr>
              <w:rPr>
                <w:rFonts w:ascii="Arial" w:hAnsi="Arial" w:cs="Arial"/>
                <w:highlight w:val="yellow"/>
                <w:lang w:val="uk-UA"/>
              </w:rPr>
            </w:pPr>
            <w:r w:rsidRPr="007E5633">
              <w:rPr>
                <w:rFonts w:ascii="Arial" w:hAnsi="Arial" w:cs="Arial"/>
                <w:lang w:val="uk-UA"/>
              </w:rPr>
              <w:t>Історію змін списку слід зберегти.</w:t>
            </w:r>
          </w:p>
        </w:tc>
      </w:tr>
      <w:tr w:rsidR="00DA6587" w:rsidRPr="007E5633" w14:paraId="1BF93540" w14:textId="77777777" w:rsidTr="00DA6587">
        <w:trPr>
          <w:trHeight w:val="692"/>
        </w:trPr>
        <w:tc>
          <w:tcPr>
            <w:tcW w:w="1100" w:type="dxa"/>
            <w:shd w:val="clear" w:color="auto" w:fill="auto"/>
          </w:tcPr>
          <w:p w14:paraId="35344D44"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8464" behindDoc="0" locked="0" layoutInCell="1" allowOverlap="1" wp14:anchorId="222BFEA4" wp14:editId="0CD4A9C1">
                      <wp:simplePos x="0" y="0"/>
                      <wp:positionH relativeFrom="column">
                        <wp:posOffset>95250</wp:posOffset>
                      </wp:positionH>
                      <wp:positionV relativeFrom="paragraph">
                        <wp:posOffset>106680</wp:posOffset>
                      </wp:positionV>
                      <wp:extent cx="273685" cy="224155"/>
                      <wp:effectExtent l="0" t="0" r="0" b="4445"/>
                      <wp:wrapNone/>
                      <wp:docPr id="10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3685" cy="224155"/>
                              </a:xfrm>
                              <a:custGeom>
                                <a:avLst/>
                                <a:gdLst>
                                  <a:gd name="T0" fmla="*/ 426 w 761"/>
                                  <a:gd name="T1" fmla="*/ 504 h 625"/>
                                  <a:gd name="T2" fmla="*/ 753 w 761"/>
                                  <a:gd name="T3" fmla="*/ 333 h 625"/>
                                  <a:gd name="T4" fmla="*/ 761 w 761"/>
                                  <a:gd name="T5" fmla="*/ 318 h 625"/>
                                  <a:gd name="T6" fmla="*/ 758 w 761"/>
                                  <a:gd name="T7" fmla="*/ 306 h 625"/>
                                  <a:gd name="T8" fmla="*/ 746 w 761"/>
                                  <a:gd name="T9" fmla="*/ 295 h 625"/>
                                  <a:gd name="T10" fmla="*/ 728 w 761"/>
                                  <a:gd name="T11" fmla="*/ 296 h 625"/>
                                  <a:gd name="T12" fmla="*/ 67 w 761"/>
                                  <a:gd name="T13" fmla="*/ 384 h 625"/>
                                  <a:gd name="T14" fmla="*/ 48 w 761"/>
                                  <a:gd name="T15" fmla="*/ 364 h 625"/>
                                  <a:gd name="T16" fmla="*/ 45 w 761"/>
                                  <a:gd name="T17" fmla="*/ 341 h 625"/>
                                  <a:gd name="T18" fmla="*/ 62 w 761"/>
                                  <a:gd name="T19" fmla="*/ 318 h 625"/>
                                  <a:gd name="T20" fmla="*/ 89 w 761"/>
                                  <a:gd name="T21" fmla="*/ 313 h 625"/>
                                  <a:gd name="T22" fmla="*/ 427 w 761"/>
                                  <a:gd name="T23" fmla="*/ 383 h 625"/>
                                  <a:gd name="T24" fmla="*/ 753 w 761"/>
                                  <a:gd name="T25" fmla="*/ 212 h 625"/>
                                  <a:gd name="T26" fmla="*/ 761 w 761"/>
                                  <a:gd name="T27" fmla="*/ 197 h 625"/>
                                  <a:gd name="T28" fmla="*/ 758 w 761"/>
                                  <a:gd name="T29" fmla="*/ 185 h 625"/>
                                  <a:gd name="T30" fmla="*/ 746 w 761"/>
                                  <a:gd name="T31" fmla="*/ 173 h 625"/>
                                  <a:gd name="T32" fmla="*/ 728 w 761"/>
                                  <a:gd name="T33" fmla="*/ 176 h 625"/>
                                  <a:gd name="T34" fmla="*/ 67 w 761"/>
                                  <a:gd name="T35" fmla="*/ 263 h 625"/>
                                  <a:gd name="T36" fmla="*/ 48 w 761"/>
                                  <a:gd name="T37" fmla="*/ 243 h 625"/>
                                  <a:gd name="T38" fmla="*/ 45 w 761"/>
                                  <a:gd name="T39" fmla="*/ 221 h 625"/>
                                  <a:gd name="T40" fmla="*/ 62 w 761"/>
                                  <a:gd name="T41" fmla="*/ 197 h 625"/>
                                  <a:gd name="T42" fmla="*/ 89 w 761"/>
                                  <a:gd name="T43" fmla="*/ 192 h 625"/>
                                  <a:gd name="T44" fmla="*/ 407 w 761"/>
                                  <a:gd name="T45" fmla="*/ 257 h 625"/>
                                  <a:gd name="T46" fmla="*/ 729 w 761"/>
                                  <a:gd name="T47" fmla="*/ 90 h 625"/>
                                  <a:gd name="T48" fmla="*/ 744 w 761"/>
                                  <a:gd name="T49" fmla="*/ 74 h 625"/>
                                  <a:gd name="T50" fmla="*/ 726 w 761"/>
                                  <a:gd name="T51" fmla="*/ 61 h 625"/>
                                  <a:gd name="T52" fmla="*/ 398 w 761"/>
                                  <a:gd name="T53" fmla="*/ 0 h 625"/>
                                  <a:gd name="T54" fmla="*/ 354 w 761"/>
                                  <a:gd name="T55" fmla="*/ 5 h 625"/>
                                  <a:gd name="T56" fmla="*/ 50 w 761"/>
                                  <a:gd name="T57" fmla="*/ 153 h 625"/>
                                  <a:gd name="T58" fmla="*/ 33 w 761"/>
                                  <a:gd name="T59" fmla="*/ 164 h 625"/>
                                  <a:gd name="T60" fmla="*/ 12 w 761"/>
                                  <a:gd name="T61" fmla="*/ 188 h 625"/>
                                  <a:gd name="T62" fmla="*/ 3 w 761"/>
                                  <a:gd name="T63" fmla="*/ 212 h 625"/>
                                  <a:gd name="T64" fmla="*/ 5 w 761"/>
                                  <a:gd name="T65" fmla="*/ 255 h 625"/>
                                  <a:gd name="T66" fmla="*/ 28 w 761"/>
                                  <a:gd name="T67" fmla="*/ 289 h 625"/>
                                  <a:gd name="T68" fmla="*/ 6 w 761"/>
                                  <a:gd name="T69" fmla="*/ 319 h 625"/>
                                  <a:gd name="T70" fmla="*/ 0 w 761"/>
                                  <a:gd name="T71" fmla="*/ 354 h 625"/>
                                  <a:gd name="T72" fmla="*/ 14 w 761"/>
                                  <a:gd name="T73" fmla="*/ 395 h 625"/>
                                  <a:gd name="T74" fmla="*/ 19 w 761"/>
                                  <a:gd name="T75" fmla="*/ 419 h 625"/>
                                  <a:gd name="T76" fmla="*/ 3 w 761"/>
                                  <a:gd name="T77" fmla="*/ 454 h 625"/>
                                  <a:gd name="T78" fmla="*/ 3 w 761"/>
                                  <a:gd name="T79" fmla="*/ 486 h 625"/>
                                  <a:gd name="T80" fmla="*/ 14 w 761"/>
                                  <a:gd name="T81" fmla="*/ 515 h 625"/>
                                  <a:gd name="T82" fmla="*/ 35 w 761"/>
                                  <a:gd name="T83" fmla="*/ 537 h 625"/>
                                  <a:gd name="T84" fmla="*/ 65 w 761"/>
                                  <a:gd name="T85" fmla="*/ 551 h 625"/>
                                  <a:gd name="T86" fmla="*/ 426 w 761"/>
                                  <a:gd name="T87" fmla="*/ 625 h 625"/>
                                  <a:gd name="T88" fmla="*/ 753 w 761"/>
                                  <a:gd name="T89" fmla="*/ 454 h 625"/>
                                  <a:gd name="T90" fmla="*/ 761 w 761"/>
                                  <a:gd name="T91" fmla="*/ 440 h 625"/>
                                  <a:gd name="T92" fmla="*/ 758 w 761"/>
                                  <a:gd name="T93" fmla="*/ 427 h 625"/>
                                  <a:gd name="T94" fmla="*/ 746 w 761"/>
                                  <a:gd name="T95" fmla="*/ 416 h 625"/>
                                  <a:gd name="T96" fmla="*/ 728 w 761"/>
                                  <a:gd name="T97" fmla="*/ 418 h 625"/>
                                  <a:gd name="T98" fmla="*/ 67 w 761"/>
                                  <a:gd name="T99" fmla="*/ 505 h 625"/>
                                  <a:gd name="T100" fmla="*/ 48 w 761"/>
                                  <a:gd name="T101" fmla="*/ 485 h 625"/>
                                  <a:gd name="T102" fmla="*/ 45 w 761"/>
                                  <a:gd name="T103" fmla="*/ 463 h 625"/>
                                  <a:gd name="T104" fmla="*/ 62 w 761"/>
                                  <a:gd name="T105" fmla="*/ 439 h 625"/>
                                  <a:gd name="T106" fmla="*/ 89 w 761"/>
                                  <a:gd name="T107" fmla="*/ 434 h 625"/>
                                  <a:gd name="T108" fmla="*/ 399 w 761"/>
                                  <a:gd name="T109" fmla="*/ 74 h 625"/>
                                  <a:gd name="T110" fmla="*/ 399 w 761"/>
                                  <a:gd name="T111" fmla="*/ 74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1" h="625">
                                    <a:moveTo>
                                      <a:pt x="418" y="505"/>
                                    </a:moveTo>
                                    <a:lnTo>
                                      <a:pt x="418" y="505"/>
                                    </a:lnTo>
                                    <a:lnTo>
                                      <a:pt x="421" y="505"/>
                                    </a:lnTo>
                                    <a:lnTo>
                                      <a:pt x="426" y="504"/>
                                    </a:lnTo>
                                    <a:lnTo>
                                      <a:pt x="433" y="503"/>
                                    </a:lnTo>
                                    <a:lnTo>
                                      <a:pt x="749" y="336"/>
                                    </a:lnTo>
                                    <a:lnTo>
                                      <a:pt x="749" y="336"/>
                                    </a:lnTo>
                                    <a:lnTo>
                                      <a:pt x="753" y="333"/>
                                    </a:lnTo>
                                    <a:lnTo>
                                      <a:pt x="756" y="330"/>
                                    </a:lnTo>
                                    <a:lnTo>
                                      <a:pt x="758" y="326"/>
                                    </a:lnTo>
                                    <a:lnTo>
                                      <a:pt x="759" y="322"/>
                                    </a:lnTo>
                                    <a:lnTo>
                                      <a:pt x="761" y="318"/>
                                    </a:lnTo>
                                    <a:lnTo>
                                      <a:pt x="761" y="314"/>
                                    </a:lnTo>
                                    <a:lnTo>
                                      <a:pt x="759" y="310"/>
                                    </a:lnTo>
                                    <a:lnTo>
                                      <a:pt x="758" y="306"/>
                                    </a:lnTo>
                                    <a:lnTo>
                                      <a:pt x="758" y="306"/>
                                    </a:lnTo>
                                    <a:lnTo>
                                      <a:pt x="756" y="302"/>
                                    </a:lnTo>
                                    <a:lnTo>
                                      <a:pt x="753" y="299"/>
                                    </a:lnTo>
                                    <a:lnTo>
                                      <a:pt x="749" y="296"/>
                                    </a:lnTo>
                                    <a:lnTo>
                                      <a:pt x="746" y="295"/>
                                    </a:lnTo>
                                    <a:lnTo>
                                      <a:pt x="741" y="294"/>
                                    </a:lnTo>
                                    <a:lnTo>
                                      <a:pt x="737" y="294"/>
                                    </a:lnTo>
                                    <a:lnTo>
                                      <a:pt x="733" y="295"/>
                                    </a:lnTo>
                                    <a:lnTo>
                                      <a:pt x="728" y="296"/>
                                    </a:lnTo>
                                    <a:lnTo>
                                      <a:pt x="419" y="460"/>
                                    </a:lnTo>
                                    <a:lnTo>
                                      <a:pt x="74" y="387"/>
                                    </a:lnTo>
                                    <a:lnTo>
                                      <a:pt x="74" y="387"/>
                                    </a:lnTo>
                                    <a:lnTo>
                                      <a:pt x="67" y="384"/>
                                    </a:lnTo>
                                    <a:lnTo>
                                      <a:pt x="60" y="381"/>
                                    </a:lnTo>
                                    <a:lnTo>
                                      <a:pt x="55" y="376"/>
                                    </a:lnTo>
                                    <a:lnTo>
                                      <a:pt x="50" y="370"/>
                                    </a:lnTo>
                                    <a:lnTo>
                                      <a:pt x="48" y="364"/>
                                    </a:lnTo>
                                    <a:lnTo>
                                      <a:pt x="45" y="357"/>
                                    </a:lnTo>
                                    <a:lnTo>
                                      <a:pt x="44" y="350"/>
                                    </a:lnTo>
                                    <a:lnTo>
                                      <a:pt x="45" y="341"/>
                                    </a:lnTo>
                                    <a:lnTo>
                                      <a:pt x="45" y="341"/>
                                    </a:lnTo>
                                    <a:lnTo>
                                      <a:pt x="48" y="335"/>
                                    </a:lnTo>
                                    <a:lnTo>
                                      <a:pt x="51" y="328"/>
                                    </a:lnTo>
                                    <a:lnTo>
                                      <a:pt x="56" y="323"/>
                                    </a:lnTo>
                                    <a:lnTo>
                                      <a:pt x="62" y="318"/>
                                    </a:lnTo>
                                    <a:lnTo>
                                      <a:pt x="69" y="315"/>
                                    </a:lnTo>
                                    <a:lnTo>
                                      <a:pt x="76" y="313"/>
                                    </a:lnTo>
                                    <a:lnTo>
                                      <a:pt x="83" y="313"/>
                                    </a:lnTo>
                                    <a:lnTo>
                                      <a:pt x="89" y="313"/>
                                    </a:lnTo>
                                    <a:lnTo>
                                      <a:pt x="89" y="313"/>
                                    </a:lnTo>
                                    <a:lnTo>
                                      <a:pt x="422" y="383"/>
                                    </a:lnTo>
                                    <a:lnTo>
                                      <a:pt x="422" y="383"/>
                                    </a:lnTo>
                                    <a:lnTo>
                                      <a:pt x="427" y="383"/>
                                    </a:lnTo>
                                    <a:lnTo>
                                      <a:pt x="433" y="381"/>
                                    </a:lnTo>
                                    <a:lnTo>
                                      <a:pt x="749" y="214"/>
                                    </a:lnTo>
                                    <a:lnTo>
                                      <a:pt x="749" y="214"/>
                                    </a:lnTo>
                                    <a:lnTo>
                                      <a:pt x="753" y="212"/>
                                    </a:lnTo>
                                    <a:lnTo>
                                      <a:pt x="756" y="208"/>
                                    </a:lnTo>
                                    <a:lnTo>
                                      <a:pt x="758" y="205"/>
                                    </a:lnTo>
                                    <a:lnTo>
                                      <a:pt x="759" y="201"/>
                                    </a:lnTo>
                                    <a:lnTo>
                                      <a:pt x="761" y="197"/>
                                    </a:lnTo>
                                    <a:lnTo>
                                      <a:pt x="761" y="193"/>
                                    </a:lnTo>
                                    <a:lnTo>
                                      <a:pt x="759" y="188"/>
                                    </a:lnTo>
                                    <a:lnTo>
                                      <a:pt x="758" y="185"/>
                                    </a:lnTo>
                                    <a:lnTo>
                                      <a:pt x="758" y="185"/>
                                    </a:lnTo>
                                    <a:lnTo>
                                      <a:pt x="756" y="180"/>
                                    </a:lnTo>
                                    <a:lnTo>
                                      <a:pt x="753" y="178"/>
                                    </a:lnTo>
                                    <a:lnTo>
                                      <a:pt x="749" y="176"/>
                                    </a:lnTo>
                                    <a:lnTo>
                                      <a:pt x="746" y="173"/>
                                    </a:lnTo>
                                    <a:lnTo>
                                      <a:pt x="741" y="173"/>
                                    </a:lnTo>
                                    <a:lnTo>
                                      <a:pt x="737" y="172"/>
                                    </a:lnTo>
                                    <a:lnTo>
                                      <a:pt x="733" y="173"/>
                                    </a:lnTo>
                                    <a:lnTo>
                                      <a:pt x="728" y="176"/>
                                    </a:lnTo>
                                    <a:lnTo>
                                      <a:pt x="418" y="339"/>
                                    </a:lnTo>
                                    <a:lnTo>
                                      <a:pt x="74" y="265"/>
                                    </a:lnTo>
                                    <a:lnTo>
                                      <a:pt x="74" y="265"/>
                                    </a:lnTo>
                                    <a:lnTo>
                                      <a:pt x="67" y="263"/>
                                    </a:lnTo>
                                    <a:lnTo>
                                      <a:pt x="60" y="259"/>
                                    </a:lnTo>
                                    <a:lnTo>
                                      <a:pt x="55" y="255"/>
                                    </a:lnTo>
                                    <a:lnTo>
                                      <a:pt x="50" y="249"/>
                                    </a:lnTo>
                                    <a:lnTo>
                                      <a:pt x="48" y="243"/>
                                    </a:lnTo>
                                    <a:lnTo>
                                      <a:pt x="45" y="236"/>
                                    </a:lnTo>
                                    <a:lnTo>
                                      <a:pt x="44" y="228"/>
                                    </a:lnTo>
                                    <a:lnTo>
                                      <a:pt x="45" y="221"/>
                                    </a:lnTo>
                                    <a:lnTo>
                                      <a:pt x="45" y="221"/>
                                    </a:lnTo>
                                    <a:lnTo>
                                      <a:pt x="48" y="213"/>
                                    </a:lnTo>
                                    <a:lnTo>
                                      <a:pt x="51" y="207"/>
                                    </a:lnTo>
                                    <a:lnTo>
                                      <a:pt x="56" y="201"/>
                                    </a:lnTo>
                                    <a:lnTo>
                                      <a:pt x="62" y="197"/>
                                    </a:lnTo>
                                    <a:lnTo>
                                      <a:pt x="69" y="193"/>
                                    </a:lnTo>
                                    <a:lnTo>
                                      <a:pt x="76" y="192"/>
                                    </a:lnTo>
                                    <a:lnTo>
                                      <a:pt x="83" y="191"/>
                                    </a:lnTo>
                                    <a:lnTo>
                                      <a:pt x="89" y="192"/>
                                    </a:lnTo>
                                    <a:lnTo>
                                      <a:pt x="89" y="192"/>
                                    </a:lnTo>
                                    <a:lnTo>
                                      <a:pt x="401" y="258"/>
                                    </a:lnTo>
                                    <a:lnTo>
                                      <a:pt x="401" y="258"/>
                                    </a:lnTo>
                                    <a:lnTo>
                                      <a:pt x="407" y="257"/>
                                    </a:lnTo>
                                    <a:lnTo>
                                      <a:pt x="412" y="255"/>
                                    </a:lnTo>
                                    <a:lnTo>
                                      <a:pt x="412" y="255"/>
                                    </a:lnTo>
                                    <a:lnTo>
                                      <a:pt x="729" y="90"/>
                                    </a:lnTo>
                                    <a:lnTo>
                                      <a:pt x="729" y="90"/>
                                    </a:lnTo>
                                    <a:lnTo>
                                      <a:pt x="736" y="86"/>
                                    </a:lnTo>
                                    <a:lnTo>
                                      <a:pt x="742" y="82"/>
                                    </a:lnTo>
                                    <a:lnTo>
                                      <a:pt x="744" y="77"/>
                                    </a:lnTo>
                                    <a:lnTo>
                                      <a:pt x="744" y="74"/>
                                    </a:lnTo>
                                    <a:lnTo>
                                      <a:pt x="743" y="70"/>
                                    </a:lnTo>
                                    <a:lnTo>
                                      <a:pt x="740" y="67"/>
                                    </a:lnTo>
                                    <a:lnTo>
                                      <a:pt x="734" y="63"/>
                                    </a:lnTo>
                                    <a:lnTo>
                                      <a:pt x="726" y="61"/>
                                    </a:lnTo>
                                    <a:lnTo>
                                      <a:pt x="418" y="1"/>
                                    </a:lnTo>
                                    <a:lnTo>
                                      <a:pt x="418" y="1"/>
                                    </a:lnTo>
                                    <a:lnTo>
                                      <a:pt x="408" y="0"/>
                                    </a:lnTo>
                                    <a:lnTo>
                                      <a:pt x="398" y="0"/>
                                    </a:lnTo>
                                    <a:lnTo>
                                      <a:pt x="386" y="0"/>
                                    </a:lnTo>
                                    <a:lnTo>
                                      <a:pt x="376" y="1"/>
                                    </a:lnTo>
                                    <a:lnTo>
                                      <a:pt x="364" y="3"/>
                                    </a:lnTo>
                                    <a:lnTo>
                                      <a:pt x="354" y="5"/>
                                    </a:lnTo>
                                    <a:lnTo>
                                      <a:pt x="343" y="8"/>
                                    </a:lnTo>
                                    <a:lnTo>
                                      <a:pt x="335" y="12"/>
                                    </a:lnTo>
                                    <a:lnTo>
                                      <a:pt x="50" y="153"/>
                                    </a:lnTo>
                                    <a:lnTo>
                                      <a:pt x="50" y="153"/>
                                    </a:lnTo>
                                    <a:lnTo>
                                      <a:pt x="43" y="156"/>
                                    </a:lnTo>
                                    <a:lnTo>
                                      <a:pt x="40" y="160"/>
                                    </a:lnTo>
                                    <a:lnTo>
                                      <a:pt x="40" y="160"/>
                                    </a:lnTo>
                                    <a:lnTo>
                                      <a:pt x="33" y="164"/>
                                    </a:lnTo>
                                    <a:lnTo>
                                      <a:pt x="27" y="169"/>
                                    </a:lnTo>
                                    <a:lnTo>
                                      <a:pt x="21" y="175"/>
                                    </a:lnTo>
                                    <a:lnTo>
                                      <a:pt x="15" y="182"/>
                                    </a:lnTo>
                                    <a:lnTo>
                                      <a:pt x="12" y="188"/>
                                    </a:lnTo>
                                    <a:lnTo>
                                      <a:pt x="7" y="195"/>
                                    </a:lnTo>
                                    <a:lnTo>
                                      <a:pt x="5" y="204"/>
                                    </a:lnTo>
                                    <a:lnTo>
                                      <a:pt x="3" y="212"/>
                                    </a:lnTo>
                                    <a:lnTo>
                                      <a:pt x="3" y="212"/>
                                    </a:lnTo>
                                    <a:lnTo>
                                      <a:pt x="1" y="222"/>
                                    </a:lnTo>
                                    <a:lnTo>
                                      <a:pt x="0" y="234"/>
                                    </a:lnTo>
                                    <a:lnTo>
                                      <a:pt x="3" y="244"/>
                                    </a:lnTo>
                                    <a:lnTo>
                                      <a:pt x="5" y="255"/>
                                    </a:lnTo>
                                    <a:lnTo>
                                      <a:pt x="8" y="264"/>
                                    </a:lnTo>
                                    <a:lnTo>
                                      <a:pt x="14" y="273"/>
                                    </a:lnTo>
                                    <a:lnTo>
                                      <a:pt x="20" y="281"/>
                                    </a:lnTo>
                                    <a:lnTo>
                                      <a:pt x="28" y="289"/>
                                    </a:lnTo>
                                    <a:lnTo>
                                      <a:pt x="28" y="289"/>
                                    </a:lnTo>
                                    <a:lnTo>
                                      <a:pt x="19" y="299"/>
                                    </a:lnTo>
                                    <a:lnTo>
                                      <a:pt x="12" y="309"/>
                                    </a:lnTo>
                                    <a:lnTo>
                                      <a:pt x="6" y="319"/>
                                    </a:lnTo>
                                    <a:lnTo>
                                      <a:pt x="3" y="332"/>
                                    </a:lnTo>
                                    <a:lnTo>
                                      <a:pt x="3" y="332"/>
                                    </a:lnTo>
                                    <a:lnTo>
                                      <a:pt x="1" y="344"/>
                                    </a:lnTo>
                                    <a:lnTo>
                                      <a:pt x="0" y="354"/>
                                    </a:lnTo>
                                    <a:lnTo>
                                      <a:pt x="3" y="366"/>
                                    </a:lnTo>
                                    <a:lnTo>
                                      <a:pt x="5" y="375"/>
                                    </a:lnTo>
                                    <a:lnTo>
                                      <a:pt x="8" y="386"/>
                                    </a:lnTo>
                                    <a:lnTo>
                                      <a:pt x="14" y="395"/>
                                    </a:lnTo>
                                    <a:lnTo>
                                      <a:pt x="20" y="403"/>
                                    </a:lnTo>
                                    <a:lnTo>
                                      <a:pt x="28" y="410"/>
                                    </a:lnTo>
                                    <a:lnTo>
                                      <a:pt x="28" y="410"/>
                                    </a:lnTo>
                                    <a:lnTo>
                                      <a:pt x="19" y="419"/>
                                    </a:lnTo>
                                    <a:lnTo>
                                      <a:pt x="12" y="430"/>
                                    </a:lnTo>
                                    <a:lnTo>
                                      <a:pt x="6" y="441"/>
                                    </a:lnTo>
                                    <a:lnTo>
                                      <a:pt x="3" y="454"/>
                                    </a:lnTo>
                                    <a:lnTo>
                                      <a:pt x="3" y="454"/>
                                    </a:lnTo>
                                    <a:lnTo>
                                      <a:pt x="1" y="462"/>
                                    </a:lnTo>
                                    <a:lnTo>
                                      <a:pt x="0" y="470"/>
                                    </a:lnTo>
                                    <a:lnTo>
                                      <a:pt x="1" y="478"/>
                                    </a:lnTo>
                                    <a:lnTo>
                                      <a:pt x="3" y="486"/>
                                    </a:lnTo>
                                    <a:lnTo>
                                      <a:pt x="4" y="494"/>
                                    </a:lnTo>
                                    <a:lnTo>
                                      <a:pt x="6" y="501"/>
                                    </a:lnTo>
                                    <a:lnTo>
                                      <a:pt x="9" y="508"/>
                                    </a:lnTo>
                                    <a:lnTo>
                                      <a:pt x="14" y="515"/>
                                    </a:lnTo>
                                    <a:lnTo>
                                      <a:pt x="19" y="521"/>
                                    </a:lnTo>
                                    <a:lnTo>
                                      <a:pt x="23" y="528"/>
                                    </a:lnTo>
                                    <a:lnTo>
                                      <a:pt x="29" y="533"/>
                                    </a:lnTo>
                                    <a:lnTo>
                                      <a:pt x="35" y="537"/>
                                    </a:lnTo>
                                    <a:lnTo>
                                      <a:pt x="42" y="542"/>
                                    </a:lnTo>
                                    <a:lnTo>
                                      <a:pt x="49" y="546"/>
                                    </a:lnTo>
                                    <a:lnTo>
                                      <a:pt x="57" y="549"/>
                                    </a:lnTo>
                                    <a:lnTo>
                                      <a:pt x="65" y="551"/>
                                    </a:lnTo>
                                    <a:lnTo>
                                      <a:pt x="65" y="551"/>
                                    </a:lnTo>
                                    <a:lnTo>
                                      <a:pt x="420" y="625"/>
                                    </a:lnTo>
                                    <a:lnTo>
                                      <a:pt x="420" y="625"/>
                                    </a:lnTo>
                                    <a:lnTo>
                                      <a:pt x="426" y="625"/>
                                    </a:lnTo>
                                    <a:lnTo>
                                      <a:pt x="433" y="623"/>
                                    </a:lnTo>
                                    <a:lnTo>
                                      <a:pt x="749" y="456"/>
                                    </a:lnTo>
                                    <a:lnTo>
                                      <a:pt x="749" y="456"/>
                                    </a:lnTo>
                                    <a:lnTo>
                                      <a:pt x="753" y="454"/>
                                    </a:lnTo>
                                    <a:lnTo>
                                      <a:pt x="756" y="452"/>
                                    </a:lnTo>
                                    <a:lnTo>
                                      <a:pt x="758" y="447"/>
                                    </a:lnTo>
                                    <a:lnTo>
                                      <a:pt x="759" y="443"/>
                                    </a:lnTo>
                                    <a:lnTo>
                                      <a:pt x="761" y="440"/>
                                    </a:lnTo>
                                    <a:lnTo>
                                      <a:pt x="761" y="435"/>
                                    </a:lnTo>
                                    <a:lnTo>
                                      <a:pt x="759" y="431"/>
                                    </a:lnTo>
                                    <a:lnTo>
                                      <a:pt x="758" y="427"/>
                                    </a:lnTo>
                                    <a:lnTo>
                                      <a:pt x="758" y="427"/>
                                    </a:lnTo>
                                    <a:lnTo>
                                      <a:pt x="756" y="423"/>
                                    </a:lnTo>
                                    <a:lnTo>
                                      <a:pt x="753" y="420"/>
                                    </a:lnTo>
                                    <a:lnTo>
                                      <a:pt x="749" y="418"/>
                                    </a:lnTo>
                                    <a:lnTo>
                                      <a:pt x="746" y="416"/>
                                    </a:lnTo>
                                    <a:lnTo>
                                      <a:pt x="741" y="416"/>
                                    </a:lnTo>
                                    <a:lnTo>
                                      <a:pt x="737" y="416"/>
                                    </a:lnTo>
                                    <a:lnTo>
                                      <a:pt x="733" y="416"/>
                                    </a:lnTo>
                                    <a:lnTo>
                                      <a:pt x="728" y="418"/>
                                    </a:lnTo>
                                    <a:lnTo>
                                      <a:pt x="418" y="581"/>
                                    </a:lnTo>
                                    <a:lnTo>
                                      <a:pt x="74" y="507"/>
                                    </a:lnTo>
                                    <a:lnTo>
                                      <a:pt x="74" y="507"/>
                                    </a:lnTo>
                                    <a:lnTo>
                                      <a:pt x="67" y="505"/>
                                    </a:lnTo>
                                    <a:lnTo>
                                      <a:pt x="60" y="501"/>
                                    </a:lnTo>
                                    <a:lnTo>
                                      <a:pt x="55" y="497"/>
                                    </a:lnTo>
                                    <a:lnTo>
                                      <a:pt x="50" y="491"/>
                                    </a:lnTo>
                                    <a:lnTo>
                                      <a:pt x="48" y="485"/>
                                    </a:lnTo>
                                    <a:lnTo>
                                      <a:pt x="45" y="478"/>
                                    </a:lnTo>
                                    <a:lnTo>
                                      <a:pt x="44" y="470"/>
                                    </a:lnTo>
                                    <a:lnTo>
                                      <a:pt x="45" y="463"/>
                                    </a:lnTo>
                                    <a:lnTo>
                                      <a:pt x="45" y="463"/>
                                    </a:lnTo>
                                    <a:lnTo>
                                      <a:pt x="48" y="456"/>
                                    </a:lnTo>
                                    <a:lnTo>
                                      <a:pt x="51" y="449"/>
                                    </a:lnTo>
                                    <a:lnTo>
                                      <a:pt x="56" y="443"/>
                                    </a:lnTo>
                                    <a:lnTo>
                                      <a:pt x="62" y="439"/>
                                    </a:lnTo>
                                    <a:lnTo>
                                      <a:pt x="69" y="437"/>
                                    </a:lnTo>
                                    <a:lnTo>
                                      <a:pt x="76" y="434"/>
                                    </a:lnTo>
                                    <a:lnTo>
                                      <a:pt x="83" y="433"/>
                                    </a:lnTo>
                                    <a:lnTo>
                                      <a:pt x="89" y="434"/>
                                    </a:lnTo>
                                    <a:lnTo>
                                      <a:pt x="89" y="434"/>
                                    </a:lnTo>
                                    <a:lnTo>
                                      <a:pt x="418" y="505"/>
                                    </a:lnTo>
                                    <a:lnTo>
                                      <a:pt x="418" y="505"/>
                                    </a:lnTo>
                                    <a:close/>
                                    <a:moveTo>
                                      <a:pt x="399" y="74"/>
                                    </a:moveTo>
                                    <a:lnTo>
                                      <a:pt x="546" y="103"/>
                                    </a:lnTo>
                                    <a:lnTo>
                                      <a:pt x="481" y="134"/>
                                    </a:lnTo>
                                    <a:lnTo>
                                      <a:pt x="334" y="104"/>
                                    </a:lnTo>
                                    <a:lnTo>
                                      <a:pt x="399" y="74"/>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2A1EF" id="Freeform 67" o:spid="_x0000_s1026" style="position:absolute;margin-left:7.5pt;margin-top:8.4pt;width:21.55pt;height:1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IXgwAAL1BAAAOAAAAZHJzL2Uyb0RvYy54bWysXF2P27oRfS/Q/yD4sUCzpkRJ9iKbiyK3&#10;KQqktwGSos9a25s1aluu5GQ3/fU9Qw614xuRw3uRl+Xu6njIOSTni5Rf//R8PBRfd8O47093C/Nq&#10;uSh2p02/3Z8+3y3+9endn1eLYrx0p2136E+7u8W33bj46c0f//D66Xy7K/vH/rDdDQWEnMbbp/Pd&#10;4vFyOd/e3Iybx92xG1/1590JDx/64dhd8Ofw+WY7dE+QfjzclMtlc/PUD9vz0G9244j//uwfLt44&#10;+Q8Pu83lnw8P4+5SHO4WGNvF/Rzcz3v6efPmdXf7eejOj/sND6P7HaM4dvsTOp1E/dxduuLLsP9O&#10;1HG/Gfqxf7i82vTHm/7hYb/ZOR2gjVn+SpuPj91553QBOeN5omn8cWI3v3z9MBT7LeZuuV4Up+6I&#10;SXo37HZEedG0RNDTebwF7uP5w0Aqjuf3/eY/Y3Hq/7rdXz70+9MFAzKEvLmC0h8jPlTcP/2j30Ju&#10;9+XSO5aeH4YjiYL+xbObjG/TZOyeL8UG/yzbqlnVi2KDR2VpTV27Hrrb8OHNl/Hyt13vBHVf348X&#10;P5db/OZmYsvafMK8PxwPmNY/3RS2bIqnom3ccDFdE8gIUL20xWPRlK5HCSoFqK2reUmVAFVVNS/J&#10;ChBGMy8J2k8Dr8xqXlIjQG29mpfUClC1bOYlYatO3bU2whMWyQQq1/W8JCMpb8vIoIzkvFxHRmUk&#10;6U07r5+5In0VmT4jWbexUV2x3sRESdptHRnVFe3WRMiSvDdlRJTkPboWSsn7aj0vqpS0VyayQEtJ&#10;uy0jvJfXvMdkSd6j+wbbTSwtU86zVUriozunlMybdRuRJZmP7p1SUm9WkSVfSeqju6eS3Js2wlcl&#10;uY9un0pyb9rI9qkk97HtU11R38SGJamPbZ9KMl/amCjJfGz7VJL4soxsHyuJj20fe8V7bD1YyXts&#10;+9gr2teRZWol7XYZ2T72ivc6skyt5L0tI9vaSuLXy/kVbyXvrbXzFsJK4tuIBawl723MrdaSePi5&#10;WbdaS96rdcQw15L4iH61pL2qI/ohlHixNJH9XEvS6+U8UbXk3CAgmFdPko6AYDb+qCXnJuZ2Gkk6&#10;TOSsKAQ3L+qZVSxuuCI9IklSXsZMciNJj7jCRlJe1hHSG0l6LGxAUPqiXoltOkt6I0mPxDKN5Lwy&#10;EUmt5DyyEFpJOa272TG1knITWZyt5LyKRVit5Bwjn10IrSTdRvWTpEdWZys5t1H9JOcxSZJzu4p4&#10;rZXkPMbUSpJem8iaWknSq8jyXEnS6ypiiFeS9CYmSpJe1xGTt5KkR5OSlaQd+cj8slpJ2qPh1eqK&#10;+NgUriXx0fBqLZm3NmKM15L5aHi1ltRToDm7ddaS+mh4tZbcWxNZXGvJfTS8WkvubSz7WkvuY+HV&#10;WlJfLyPTaJaS+1h8ZZZX3MfCUbOU5MciLLO8Ij8W+JmlZD8WY5nlFftVxJyapaQ/FmWZ5RX9VcSi&#10;mqXkv1pHDKGrbUxpayyiMVdpa1zYVd4qhd1QrYDLD91jqEhsnk/8P/xWdFQYW7oqyLkfqfpB9QnU&#10;OD75Ckp3CxTVLyJgTCuBKy6GpMGYNgKHykkajGkhsCv5QJM0GLQTeJ01DOKV0CCOikSabMr4HTxP&#10;ScrqHTxPTcN6mjxFDWtq8lSlDJwGgyQ7R1XKsh08T9WSVfWVKZVIypWd9DxVS1YVCW/O2CnjJenI&#10;abPgYeXmqUp5q5OeN6sVq4r0M2swrCpSzBw45Zg0GKSRWXBWFaliFpxVRTaYBWdVkfBlwVlVJHU5&#10;cErrSFUkbllwVhXJWRacVZ2KuWkrQ0mYG0yeqjWrilwqZzCUTJF0XwxWd1PDqjZ5qlJW5KTnzSql&#10;Pg6epyqlNw6epyrlMARHnpLDDCUqDp6nKiUjDp6nasuqIqnIGgyr2uapSqkDDQbZQY50Sg8cPE9V&#10;SgEcPE9VCvMdPE9ViuQdPE9VCtYJjnA8R1WKxx08T1UKuR08T1WKqh08T1UKnB08T1UXHBOe4t8c&#10;ZV0A7D+Qp64Lcv0H8hR2gaz/QJ7KLlj1H8hU+iVwulLamyoOKgeccf76dHNYFDjdvCeiuttzd6FY&#10;NPxaPN0t6PyreLxb0BEX/f/Yf9196h3iQiEp0h03O8hVmOwXxOGURobnoT17iXTqAN1fJIbnoQ04&#10;v4xwBMc9h+ehZRxVv528MLvheWg9rqVaJnAVAgS/bMLz0P5GHFUhnTylX3ZdFaKkZL/ssyrEamkc&#10;64GIMYmjmaXxYQbzcGmeW6pLOnmZeiC7S/Yb9FVxfh1UyGPT8vx8lMixkzheBzhmVHC+XxxtKjjP&#10;cwkrmeyXzkPAn44Leij9cpCu6YFqn+vXIshJjs8b+QqVph8Ao9IsLRZ4yZQ0DryqyUWHvRhavyep&#10;TE/SEC+kpHHEWiHGScHo6IOkIS5LwrhTlPaTMOYNnSdhLG1KHIKGoWVrlgljFXBcl+qUzlxIUyyV&#10;JIx3GM5wUzAOezWDQrV06tSkx8axH46dk51SPdZJU2Ch0x8Cs5yNV+g9xUg+LmwHRR77Mm0/BF9W&#10;ouKRGl82jn0ZDnbS8tiXlSi2Jftl215OUUNY5aFlX8s+BTee0vLYl+H8PhOX5jn4MhyJpeWxHjjr&#10;/0E4v9MMUpM0f37Vm1YZH/synPmn5dHBMXYR7hkoOG8wVBz7MoP0MKkHr2dVHvsyTY8QjVZTtSas&#10;p9CGGM6pW+KsMTk8b7o1GPuyckr3Q2eh9Z2yLyunmkN4HFoPY1+Gk8/k2NiXlVOxJkgJrZfGvgzX&#10;K5LS6HoB5r9UYl+6q0AwxV8EaVNpM4wptDw27lSDeV9WKo6AfVmJ44DUnE4WKm1R2JdpBoV9mcHR&#10;VKpT9mUGeXUKxr7MTFl64Cu0njc6n6PNqknLg1k6JqJJhS1LDS4fx3GsFhdx8V5b6DYTh+suTg+U&#10;OlJq5MK4TIyyTFIaXQQCeagNpWF+40x1rDChofUTi2s2ThqqZGlp3vorYWzLtWh/NReVgNBZaLlT&#10;rp8r1gv3dtzYphJokBJa3tNcD0jvrmCnFRQd2YHc9ITiFlAOiutriqywUZP8U2JA40rvedztcKi0&#10;Ga/okhgtoHSPdO0OKCX8Yp+A60VJaZkwHpmBxUytRl5lRkkfM2EhIFByL7q1SXzA/qbGxqUkg+st&#10;KRgyESdN2cVsiNSg0AtTygLs+5TilV8cWtidh2Izr5SFfKG4hFFIMcY9wl6lUKyjEsmwe1dmnM9u&#10;cdc/2SWfqpZKwYDjSdwJS0vjsSkwrqBolSVePxVen0ixxsn2dIwcDGxovaH1M1DhAnBKVh6KqwDK&#10;bPqVQWYto0ccUqVQfmVUyr707FeKD+aVgQtwyS55ZVhcZEmNjFeGRUH9B8BCbU2ZTF4ZVikB+5Vh&#10;lRKRn3NcvUsqkIfyK8MiGk6R4VeGVeIRlqWkrDwuZc69a7VKSdXzVSvFAx821krJglcZLg8mqeAJ&#10;r5Wcht6GgP+qlUSKQ9oaXjHFP0cHuI2YhHGsWqNNSeOaQY2aQApGN5pJBSUBpeu8BJtuCQQzFlpv&#10;zjJhlncxv3EVDWrzcRzVTvdkwrBCy2EtxyWNUgINBTWrBE3ZOC68abu55bTW4oJ8atJwt9JNh52u&#10;hAQ9Q+v1DQUwq9QN3PEgphc3O9P9coHOKgXpqd/pqlAYV2jD+FgPBIJZ+qo4tq3a/Ib5wDpM9sub&#10;iBKdNI77xV2zNI6tp4bjwhtutKbl8XpWcZM7TOsRErpaibv4/ketFGkyYVx4006KufCm+QEuvFml&#10;hszZk1WKNFx4s0plmEtlVvGKXBjQXGyQpuTyuTDeY4ot48KbVRxBsFCKReHCm1UquFx4s4rL43ze&#10;KukMF96s4me58KZK8xGFBpv2jHIIEsdtDv24g9n4/loGriQ7Oz9VkmK3MsjLu9xXCYstNrbDKUxW&#10;XE2iOzIpg/bdAIN9DzrBtdN1FHcJeLqXQtdZxLvcY3/Yb9/tDweiYBw+3789DMXXDi/wv3v3FztF&#10;HFewg7syferpY2GA9HG8TO6vYbs30+lldP86+32//YYX0/HFBfhGgMd++N+ieMKXANwtxv9+6Ybd&#10;ojj8/YSX2teGXGBxcX/YuqU4ZZBP7uWT05fj2x7DBKfdaQOpd4tL+PXtxX/pAN76h97vTx/PGwK6&#10;KzfDePn0/O9uOBdn/IoPYdS/9OHl/+42vNxO5E1YftneK8J/4DsCHLP8fQb0JQTyb4d6+daFN/8H&#10;AAD//wMAUEsDBBQABgAIAAAAIQA/ntTa3AAAAAcBAAAPAAAAZHJzL2Rvd25yZXYueG1sTI9BS8NA&#10;EIXvgv9hGcGL2E0qqSFmU0TooQcFqweP0+yYRHdnQ3bbpv/e8aSnx+MNb75Xr2fv1JGmOAQ2kC8y&#10;UMRtsAN3Bt7fNrclqJiQLbrAZOBMEdbN5UWNlQ0nfqXjLnVKSjhWaKBPaay0jm1PHuMijMSSfYbJ&#10;YxI7ddpOeJJy7/Qyy1ba48DyoceRnnpqv3cHb4CKl4/t1n3Fm/sz0l1hW/28KY25vpofH0AlmtPf&#10;MfziCzo0wrQPB7ZROfGFTEmiK1kgeVHmoPaiyxx0U+v//M0PAAAA//8DAFBLAQItABQABgAIAAAA&#10;IQC2gziS/gAAAOEBAAATAAAAAAAAAAAAAAAAAAAAAABbQ29udGVudF9UeXBlc10ueG1sUEsBAi0A&#10;FAAGAAgAAAAhADj9If/WAAAAlAEAAAsAAAAAAAAAAAAAAAAALwEAAF9yZWxzLy5yZWxzUEsBAi0A&#10;FAAGAAgAAAAhAKBAv4heDAAAvUEAAA4AAAAAAAAAAAAAAAAALgIAAGRycy9lMm9Eb2MueG1sUEsB&#10;Ai0AFAAGAAgAAAAhAD+e1NrcAAAABwEAAA8AAAAAAAAAAAAAAAAAuA4AAGRycy9kb3ducmV2Lnht&#10;bFBLBQYAAAAABAAEAPMAAADBDwAAAAA=&#10;" path="m418,505r,l421,505r5,-1l433,503,749,336r,l753,333r3,-3l758,326r1,-4l761,318r,-4l759,310r-1,-4l758,306r-2,-4l753,299r-4,-3l746,295r-5,-1l737,294r-4,1l728,296,419,460,74,387r,l67,384r-7,-3l55,376r-5,-6l48,364r-3,-7l44,350r1,-9l45,341r3,-6l51,328r5,-5l62,318r7,-3l76,313r7,l89,313r,l422,383r,l427,383r6,-2l749,214r,l753,212r3,-4l758,205r1,-4l761,197r,-4l759,188r-1,-3l758,185r-2,-5l753,178r-4,-2l746,173r-5,l737,172r-4,1l728,176,418,339,74,265r,l67,263r-7,-4l55,255r-5,-6l48,243r-3,-7l44,228r1,-7l45,221r3,-8l51,207r5,-6l62,197r7,-4l76,192r7,-1l89,192r,l401,258r,l407,257r5,-2l412,255,729,90r,l736,86r6,-4l744,77r,-3l743,70r-3,-3l734,63r-8,-2l418,1r,l408,,398,,386,,376,1,364,3,354,5,343,8r-8,4l50,153r,l43,156r-3,4l40,160r-7,4l27,169r-6,6l15,182r-3,6l7,195r-2,9l3,212r,l1,222,,234r3,10l5,255r3,9l14,273r6,8l28,289r,l19,299r-7,10l6,319,3,332r,l1,344,,354r3,12l5,375r3,11l14,395r6,8l28,410r,l19,419r-7,11l6,441,3,454r,l1,462,,470r1,8l3,486r1,8l6,501r3,7l14,515r5,6l23,528r6,5l35,537r7,5l49,546r8,3l65,551r,l420,625r,l426,625r7,-2l749,456r,l753,454r3,-2l758,447r1,-4l761,440r,-5l759,431r-1,-4l758,427r-2,-4l753,420r-4,-2l746,416r-5,l737,416r-4,l728,418,418,581,74,507r,l67,505r-7,-4l55,497r-5,-6l48,485r-3,-7l44,470r1,-7l45,463r3,-7l51,449r5,-6l62,439r7,-2l76,434r7,-1l89,434r,l418,505r,xm399,74r147,29l481,134,334,104,399,74xe" fillcolor="#ffa451" stroked="f">
                      <v:path arrowok="t" o:connecttype="custom" o:connectlocs="153206,180759;270808,119430;273685,114050;272606,109746;268290,105801;261817,106160;24096,137721;17263,130548;16184,122299;22298,114050;32008,112257;153566,137362;270808,76033;273685,70654;272606,66350;268290,62046;261817,63122;24096,94324;17263,87151;16184,79261;22298,70654;32008,68860;146373,92173;262177,32278;267571,26540;261098,21878;143136,0;127312,1793;17982,54873;11868,58818;4316,67426;1079,76033;1798,91455;10070,103649;2158,114409;0,126961;5035,141666;6833,150274;1079,162826;1079,174303;5035,184704;12587,192594;23377,197615;153206,224155;270808,162826;273685,157805;272606,153143;268290,149198;261817,149915;24096,181117;17263,173944;16184,166054;22298,157446;32008,155653;143496,26540;143496,26540" o:connectangles="0,0,0,0,0,0,0,0,0,0,0,0,0,0,0,0,0,0,0,0,0,0,0,0,0,0,0,0,0,0,0,0,0,0,0,0,0,0,0,0,0,0,0,0,0,0,0,0,0,0,0,0,0,0,0,0"/>
                      <o:lock v:ext="edit" verticies="t"/>
                    </v:shape>
                  </w:pict>
                </mc:Fallback>
              </mc:AlternateContent>
            </w:r>
          </w:p>
        </w:tc>
        <w:tc>
          <w:tcPr>
            <w:tcW w:w="2136" w:type="dxa"/>
          </w:tcPr>
          <w:p w14:paraId="3284ECC4"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Зберігання інсайдерського списку</w:t>
            </w:r>
          </w:p>
        </w:tc>
        <w:tc>
          <w:tcPr>
            <w:tcW w:w="6007" w:type="dxa"/>
          </w:tcPr>
          <w:p w14:paraId="307BE47C" w14:textId="77777777" w:rsidR="00DA6587" w:rsidRPr="007E5633" w:rsidRDefault="00DA6587" w:rsidP="000A7BA9">
            <w:pPr>
              <w:rPr>
                <w:rFonts w:ascii="Arial" w:hAnsi="Arial" w:cs="Arial"/>
                <w:highlight w:val="yellow"/>
                <w:lang w:val="uk-UA"/>
              </w:rPr>
            </w:pPr>
            <w:r w:rsidRPr="007E5633">
              <w:rPr>
                <w:rFonts w:ascii="Arial" w:hAnsi="Arial" w:cs="Arial"/>
                <w:lang w:val="uk-UA"/>
              </w:rPr>
              <w:t>Інсайдерський список слід зберігати в електронному вигляді протягом п'яти років з моменту створення чи оновлення</w:t>
            </w:r>
          </w:p>
        </w:tc>
      </w:tr>
      <w:tr w:rsidR="00DA6587" w:rsidRPr="007E5633" w14:paraId="204421DE" w14:textId="77777777" w:rsidTr="00DA6587">
        <w:trPr>
          <w:trHeight w:val="692"/>
        </w:trPr>
        <w:tc>
          <w:tcPr>
            <w:tcW w:w="1100" w:type="dxa"/>
            <w:shd w:val="clear" w:color="auto" w:fill="auto"/>
          </w:tcPr>
          <w:p w14:paraId="427CA7AD" w14:textId="77777777" w:rsidR="00DA6587" w:rsidRPr="007E5633" w:rsidRDefault="008C252E" w:rsidP="000A7BA9">
            <w:pPr>
              <w:rPr>
                <w:rFonts w:ascii="Arial" w:hAnsi="Arial" w:cs="Arial"/>
                <w:highlight w:val="yellow"/>
                <w:lang w:val="uk-UA"/>
              </w:rPr>
            </w:pPr>
            <w:r>
              <w:rPr>
                <w:rFonts w:ascii="Arial" w:hAnsi="Arial" w:cs="Arial"/>
                <w:noProof/>
                <w:lang w:val="en-US"/>
              </w:rPr>
              <mc:AlternateContent>
                <mc:Choice Requires="wps">
                  <w:drawing>
                    <wp:anchor distT="0" distB="0" distL="114300" distR="114300" simplePos="0" relativeHeight="251839488" behindDoc="0" locked="0" layoutInCell="1" allowOverlap="1" wp14:anchorId="5581123A" wp14:editId="53A50EFD">
                      <wp:simplePos x="0" y="0"/>
                      <wp:positionH relativeFrom="column">
                        <wp:posOffset>158115</wp:posOffset>
                      </wp:positionH>
                      <wp:positionV relativeFrom="paragraph">
                        <wp:posOffset>103505</wp:posOffset>
                      </wp:positionV>
                      <wp:extent cx="149860" cy="248285"/>
                      <wp:effectExtent l="0" t="0" r="2540" b="0"/>
                      <wp:wrapNone/>
                      <wp:docPr id="110" name="Freeform 48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9860" cy="248285"/>
                              </a:xfrm>
                              <a:custGeom>
                                <a:avLst/>
                                <a:gdLst>
                                  <a:gd name="T0" fmla="*/ 162 w 232"/>
                                  <a:gd name="T1" fmla="*/ 346 h 384"/>
                                  <a:gd name="T2" fmla="*/ 152 w 232"/>
                                  <a:gd name="T3" fmla="*/ 352 h 384"/>
                                  <a:gd name="T4" fmla="*/ 76 w 232"/>
                                  <a:gd name="T5" fmla="*/ 350 h 384"/>
                                  <a:gd name="T6" fmla="*/ 70 w 232"/>
                                  <a:gd name="T7" fmla="*/ 342 h 384"/>
                                  <a:gd name="T8" fmla="*/ 72 w 232"/>
                                  <a:gd name="T9" fmla="*/ 334 h 384"/>
                                  <a:gd name="T10" fmla="*/ 152 w 232"/>
                                  <a:gd name="T11" fmla="*/ 332 h 384"/>
                                  <a:gd name="T12" fmla="*/ 160 w 232"/>
                                  <a:gd name="T13" fmla="*/ 334 h 384"/>
                                  <a:gd name="T14" fmla="*/ 162 w 232"/>
                                  <a:gd name="T15" fmla="*/ 342 h 384"/>
                                  <a:gd name="T16" fmla="*/ 92 w 232"/>
                                  <a:gd name="T17" fmla="*/ 364 h 384"/>
                                  <a:gd name="T18" fmla="*/ 84 w 232"/>
                                  <a:gd name="T19" fmla="*/ 370 h 384"/>
                                  <a:gd name="T20" fmla="*/ 84 w 232"/>
                                  <a:gd name="T21" fmla="*/ 378 h 384"/>
                                  <a:gd name="T22" fmla="*/ 92 w 232"/>
                                  <a:gd name="T23" fmla="*/ 384 h 384"/>
                                  <a:gd name="T24" fmla="*/ 142 w 232"/>
                                  <a:gd name="T25" fmla="*/ 382 h 384"/>
                                  <a:gd name="T26" fmla="*/ 150 w 232"/>
                                  <a:gd name="T27" fmla="*/ 374 h 384"/>
                                  <a:gd name="T28" fmla="*/ 146 w 232"/>
                                  <a:gd name="T29" fmla="*/ 366 h 384"/>
                                  <a:gd name="T30" fmla="*/ 140 w 232"/>
                                  <a:gd name="T31" fmla="*/ 364 h 384"/>
                                  <a:gd name="T32" fmla="*/ 232 w 232"/>
                                  <a:gd name="T33" fmla="*/ 132 h 384"/>
                                  <a:gd name="T34" fmla="*/ 214 w 232"/>
                                  <a:gd name="T35" fmla="*/ 180 h 384"/>
                                  <a:gd name="T36" fmla="*/ 190 w 232"/>
                                  <a:gd name="T37" fmla="*/ 212 h 384"/>
                                  <a:gd name="T38" fmla="*/ 174 w 232"/>
                                  <a:gd name="T39" fmla="*/ 248 h 384"/>
                                  <a:gd name="T40" fmla="*/ 166 w 232"/>
                                  <a:gd name="T41" fmla="*/ 302 h 384"/>
                                  <a:gd name="T42" fmla="*/ 160 w 232"/>
                                  <a:gd name="T43" fmla="*/ 312 h 384"/>
                                  <a:gd name="T44" fmla="*/ 82 w 232"/>
                                  <a:gd name="T45" fmla="*/ 318 h 384"/>
                                  <a:gd name="T46" fmla="*/ 72 w 232"/>
                                  <a:gd name="T47" fmla="*/ 312 h 384"/>
                                  <a:gd name="T48" fmla="*/ 66 w 232"/>
                                  <a:gd name="T49" fmla="*/ 302 h 384"/>
                                  <a:gd name="T50" fmla="*/ 58 w 232"/>
                                  <a:gd name="T51" fmla="*/ 248 h 384"/>
                                  <a:gd name="T52" fmla="*/ 42 w 232"/>
                                  <a:gd name="T53" fmla="*/ 212 h 384"/>
                                  <a:gd name="T54" fmla="*/ 18 w 232"/>
                                  <a:gd name="T55" fmla="*/ 180 h 384"/>
                                  <a:gd name="T56" fmla="*/ 0 w 232"/>
                                  <a:gd name="T57" fmla="*/ 132 h 384"/>
                                  <a:gd name="T58" fmla="*/ 2 w 232"/>
                                  <a:gd name="T59" fmla="*/ 98 h 384"/>
                                  <a:gd name="T60" fmla="*/ 28 w 232"/>
                                  <a:gd name="T61" fmla="*/ 38 h 384"/>
                                  <a:gd name="T62" fmla="*/ 54 w 232"/>
                                  <a:gd name="T63" fmla="*/ 16 h 384"/>
                                  <a:gd name="T64" fmla="*/ 88 w 232"/>
                                  <a:gd name="T65" fmla="*/ 4 h 384"/>
                                  <a:gd name="T66" fmla="*/ 116 w 232"/>
                                  <a:gd name="T67" fmla="*/ 0 h 384"/>
                                  <a:gd name="T68" fmla="*/ 156 w 232"/>
                                  <a:gd name="T69" fmla="*/ 6 h 384"/>
                                  <a:gd name="T70" fmla="*/ 188 w 232"/>
                                  <a:gd name="T71" fmla="*/ 24 h 384"/>
                                  <a:gd name="T72" fmla="*/ 216 w 232"/>
                                  <a:gd name="T73" fmla="*/ 56 h 384"/>
                                  <a:gd name="T74" fmla="*/ 232 w 232"/>
                                  <a:gd name="T75" fmla="*/ 120 h 384"/>
                                  <a:gd name="T76" fmla="*/ 126 w 232"/>
                                  <a:gd name="T77" fmla="*/ 42 h 384"/>
                                  <a:gd name="T78" fmla="*/ 120 w 232"/>
                                  <a:gd name="T79" fmla="*/ 32 h 384"/>
                                  <a:gd name="T80" fmla="*/ 100 w 232"/>
                                  <a:gd name="T81" fmla="*/ 32 h 384"/>
                                  <a:gd name="T82" fmla="*/ 56 w 232"/>
                                  <a:gd name="T83" fmla="*/ 54 h 384"/>
                                  <a:gd name="T84" fmla="*/ 30 w 232"/>
                                  <a:gd name="T85" fmla="*/ 100 h 384"/>
                                  <a:gd name="T86" fmla="*/ 30 w 232"/>
                                  <a:gd name="T87" fmla="*/ 124 h 384"/>
                                  <a:gd name="T88" fmla="*/ 40 w 232"/>
                                  <a:gd name="T89" fmla="*/ 132 h 384"/>
                                  <a:gd name="T90" fmla="*/ 46 w 232"/>
                                  <a:gd name="T91" fmla="*/ 128 h 384"/>
                                  <a:gd name="T92" fmla="*/ 50 w 232"/>
                                  <a:gd name="T93" fmla="*/ 122 h 384"/>
                                  <a:gd name="T94" fmla="*/ 62 w 232"/>
                                  <a:gd name="T95" fmla="*/ 76 h 384"/>
                                  <a:gd name="T96" fmla="*/ 92 w 232"/>
                                  <a:gd name="T97" fmla="*/ 56 h 384"/>
                                  <a:gd name="T98" fmla="*/ 116 w 232"/>
                                  <a:gd name="T99" fmla="*/ 52 h 384"/>
                                  <a:gd name="T100" fmla="*/ 126 w 232"/>
                                  <a:gd name="T101" fmla="*/ 4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2" h="384">
                                    <a:moveTo>
                                      <a:pt x="162" y="342"/>
                                    </a:moveTo>
                                    <a:lnTo>
                                      <a:pt x="162" y="342"/>
                                    </a:lnTo>
                                    <a:lnTo>
                                      <a:pt x="162" y="346"/>
                                    </a:lnTo>
                                    <a:lnTo>
                                      <a:pt x="160" y="348"/>
                                    </a:lnTo>
                                    <a:lnTo>
                                      <a:pt x="156" y="350"/>
                                    </a:lnTo>
                                    <a:lnTo>
                                      <a:pt x="152" y="352"/>
                                    </a:lnTo>
                                    <a:lnTo>
                                      <a:pt x="80" y="352"/>
                                    </a:lnTo>
                                    <a:lnTo>
                                      <a:pt x="80" y="352"/>
                                    </a:lnTo>
                                    <a:lnTo>
                                      <a:pt x="76" y="350"/>
                                    </a:lnTo>
                                    <a:lnTo>
                                      <a:pt x="72" y="348"/>
                                    </a:lnTo>
                                    <a:lnTo>
                                      <a:pt x="70" y="346"/>
                                    </a:lnTo>
                                    <a:lnTo>
                                      <a:pt x="70" y="342"/>
                                    </a:lnTo>
                                    <a:lnTo>
                                      <a:pt x="70" y="342"/>
                                    </a:lnTo>
                                    <a:lnTo>
                                      <a:pt x="70" y="338"/>
                                    </a:lnTo>
                                    <a:lnTo>
                                      <a:pt x="72" y="334"/>
                                    </a:lnTo>
                                    <a:lnTo>
                                      <a:pt x="76" y="332"/>
                                    </a:lnTo>
                                    <a:lnTo>
                                      <a:pt x="80" y="332"/>
                                    </a:lnTo>
                                    <a:lnTo>
                                      <a:pt x="152" y="332"/>
                                    </a:lnTo>
                                    <a:lnTo>
                                      <a:pt x="152" y="332"/>
                                    </a:lnTo>
                                    <a:lnTo>
                                      <a:pt x="156" y="332"/>
                                    </a:lnTo>
                                    <a:lnTo>
                                      <a:pt x="160" y="334"/>
                                    </a:lnTo>
                                    <a:lnTo>
                                      <a:pt x="162" y="338"/>
                                    </a:lnTo>
                                    <a:lnTo>
                                      <a:pt x="162" y="342"/>
                                    </a:lnTo>
                                    <a:lnTo>
                                      <a:pt x="162" y="342"/>
                                    </a:lnTo>
                                    <a:close/>
                                    <a:moveTo>
                                      <a:pt x="140" y="364"/>
                                    </a:moveTo>
                                    <a:lnTo>
                                      <a:pt x="92" y="364"/>
                                    </a:lnTo>
                                    <a:lnTo>
                                      <a:pt x="92" y="364"/>
                                    </a:lnTo>
                                    <a:lnTo>
                                      <a:pt x="90" y="364"/>
                                    </a:lnTo>
                                    <a:lnTo>
                                      <a:pt x="86" y="366"/>
                                    </a:lnTo>
                                    <a:lnTo>
                                      <a:pt x="84" y="370"/>
                                    </a:lnTo>
                                    <a:lnTo>
                                      <a:pt x="82" y="374"/>
                                    </a:lnTo>
                                    <a:lnTo>
                                      <a:pt x="82" y="374"/>
                                    </a:lnTo>
                                    <a:lnTo>
                                      <a:pt x="84" y="378"/>
                                    </a:lnTo>
                                    <a:lnTo>
                                      <a:pt x="86" y="380"/>
                                    </a:lnTo>
                                    <a:lnTo>
                                      <a:pt x="90" y="382"/>
                                    </a:lnTo>
                                    <a:lnTo>
                                      <a:pt x="92" y="384"/>
                                    </a:lnTo>
                                    <a:lnTo>
                                      <a:pt x="140" y="384"/>
                                    </a:lnTo>
                                    <a:lnTo>
                                      <a:pt x="140" y="384"/>
                                    </a:lnTo>
                                    <a:lnTo>
                                      <a:pt x="142" y="382"/>
                                    </a:lnTo>
                                    <a:lnTo>
                                      <a:pt x="146" y="380"/>
                                    </a:lnTo>
                                    <a:lnTo>
                                      <a:pt x="148" y="378"/>
                                    </a:lnTo>
                                    <a:lnTo>
                                      <a:pt x="150" y="374"/>
                                    </a:lnTo>
                                    <a:lnTo>
                                      <a:pt x="150" y="374"/>
                                    </a:lnTo>
                                    <a:lnTo>
                                      <a:pt x="148" y="370"/>
                                    </a:lnTo>
                                    <a:lnTo>
                                      <a:pt x="146" y="366"/>
                                    </a:lnTo>
                                    <a:lnTo>
                                      <a:pt x="142" y="364"/>
                                    </a:lnTo>
                                    <a:lnTo>
                                      <a:pt x="140" y="364"/>
                                    </a:lnTo>
                                    <a:lnTo>
                                      <a:pt x="140" y="364"/>
                                    </a:lnTo>
                                    <a:close/>
                                    <a:moveTo>
                                      <a:pt x="232" y="120"/>
                                    </a:moveTo>
                                    <a:lnTo>
                                      <a:pt x="232" y="120"/>
                                    </a:lnTo>
                                    <a:lnTo>
                                      <a:pt x="232" y="132"/>
                                    </a:lnTo>
                                    <a:lnTo>
                                      <a:pt x="230" y="144"/>
                                    </a:lnTo>
                                    <a:lnTo>
                                      <a:pt x="222" y="164"/>
                                    </a:lnTo>
                                    <a:lnTo>
                                      <a:pt x="214" y="180"/>
                                    </a:lnTo>
                                    <a:lnTo>
                                      <a:pt x="202" y="194"/>
                                    </a:lnTo>
                                    <a:lnTo>
                                      <a:pt x="202" y="194"/>
                                    </a:lnTo>
                                    <a:lnTo>
                                      <a:pt x="190" y="212"/>
                                    </a:lnTo>
                                    <a:lnTo>
                                      <a:pt x="184" y="224"/>
                                    </a:lnTo>
                                    <a:lnTo>
                                      <a:pt x="178" y="234"/>
                                    </a:lnTo>
                                    <a:lnTo>
                                      <a:pt x="174" y="248"/>
                                    </a:lnTo>
                                    <a:lnTo>
                                      <a:pt x="170" y="264"/>
                                    </a:lnTo>
                                    <a:lnTo>
                                      <a:pt x="166" y="280"/>
                                    </a:lnTo>
                                    <a:lnTo>
                                      <a:pt x="166" y="302"/>
                                    </a:lnTo>
                                    <a:lnTo>
                                      <a:pt x="166" y="302"/>
                                    </a:lnTo>
                                    <a:lnTo>
                                      <a:pt x="164" y="308"/>
                                    </a:lnTo>
                                    <a:lnTo>
                                      <a:pt x="160" y="312"/>
                                    </a:lnTo>
                                    <a:lnTo>
                                      <a:pt x="156" y="316"/>
                                    </a:lnTo>
                                    <a:lnTo>
                                      <a:pt x="150" y="318"/>
                                    </a:lnTo>
                                    <a:lnTo>
                                      <a:pt x="82" y="318"/>
                                    </a:lnTo>
                                    <a:lnTo>
                                      <a:pt x="82" y="318"/>
                                    </a:lnTo>
                                    <a:lnTo>
                                      <a:pt x="76" y="316"/>
                                    </a:lnTo>
                                    <a:lnTo>
                                      <a:pt x="72" y="312"/>
                                    </a:lnTo>
                                    <a:lnTo>
                                      <a:pt x="68" y="308"/>
                                    </a:lnTo>
                                    <a:lnTo>
                                      <a:pt x="66" y="302"/>
                                    </a:lnTo>
                                    <a:lnTo>
                                      <a:pt x="66" y="302"/>
                                    </a:lnTo>
                                    <a:lnTo>
                                      <a:pt x="66" y="280"/>
                                    </a:lnTo>
                                    <a:lnTo>
                                      <a:pt x="62" y="264"/>
                                    </a:lnTo>
                                    <a:lnTo>
                                      <a:pt x="58" y="248"/>
                                    </a:lnTo>
                                    <a:lnTo>
                                      <a:pt x="54" y="234"/>
                                    </a:lnTo>
                                    <a:lnTo>
                                      <a:pt x="48" y="224"/>
                                    </a:lnTo>
                                    <a:lnTo>
                                      <a:pt x="42" y="212"/>
                                    </a:lnTo>
                                    <a:lnTo>
                                      <a:pt x="30" y="194"/>
                                    </a:lnTo>
                                    <a:lnTo>
                                      <a:pt x="30" y="194"/>
                                    </a:lnTo>
                                    <a:lnTo>
                                      <a:pt x="18" y="180"/>
                                    </a:lnTo>
                                    <a:lnTo>
                                      <a:pt x="10" y="164"/>
                                    </a:lnTo>
                                    <a:lnTo>
                                      <a:pt x="2" y="144"/>
                                    </a:lnTo>
                                    <a:lnTo>
                                      <a:pt x="0" y="132"/>
                                    </a:lnTo>
                                    <a:lnTo>
                                      <a:pt x="0" y="120"/>
                                    </a:lnTo>
                                    <a:lnTo>
                                      <a:pt x="0" y="120"/>
                                    </a:lnTo>
                                    <a:lnTo>
                                      <a:pt x="2" y="98"/>
                                    </a:lnTo>
                                    <a:lnTo>
                                      <a:pt x="8" y="76"/>
                                    </a:lnTo>
                                    <a:lnTo>
                                      <a:pt x="16" y="56"/>
                                    </a:lnTo>
                                    <a:lnTo>
                                      <a:pt x="28" y="38"/>
                                    </a:lnTo>
                                    <a:lnTo>
                                      <a:pt x="36" y="30"/>
                                    </a:lnTo>
                                    <a:lnTo>
                                      <a:pt x="44" y="24"/>
                                    </a:lnTo>
                                    <a:lnTo>
                                      <a:pt x="54" y="16"/>
                                    </a:lnTo>
                                    <a:lnTo>
                                      <a:pt x="64" y="12"/>
                                    </a:lnTo>
                                    <a:lnTo>
                                      <a:pt x="76" y="6"/>
                                    </a:lnTo>
                                    <a:lnTo>
                                      <a:pt x="88" y="4"/>
                                    </a:lnTo>
                                    <a:lnTo>
                                      <a:pt x="102" y="2"/>
                                    </a:lnTo>
                                    <a:lnTo>
                                      <a:pt x="116" y="0"/>
                                    </a:lnTo>
                                    <a:lnTo>
                                      <a:pt x="116" y="0"/>
                                    </a:lnTo>
                                    <a:lnTo>
                                      <a:pt x="130" y="2"/>
                                    </a:lnTo>
                                    <a:lnTo>
                                      <a:pt x="144" y="4"/>
                                    </a:lnTo>
                                    <a:lnTo>
                                      <a:pt x="156" y="6"/>
                                    </a:lnTo>
                                    <a:lnTo>
                                      <a:pt x="168" y="12"/>
                                    </a:lnTo>
                                    <a:lnTo>
                                      <a:pt x="178" y="16"/>
                                    </a:lnTo>
                                    <a:lnTo>
                                      <a:pt x="188" y="24"/>
                                    </a:lnTo>
                                    <a:lnTo>
                                      <a:pt x="196" y="30"/>
                                    </a:lnTo>
                                    <a:lnTo>
                                      <a:pt x="204" y="38"/>
                                    </a:lnTo>
                                    <a:lnTo>
                                      <a:pt x="216" y="56"/>
                                    </a:lnTo>
                                    <a:lnTo>
                                      <a:pt x="224" y="76"/>
                                    </a:lnTo>
                                    <a:lnTo>
                                      <a:pt x="230" y="98"/>
                                    </a:lnTo>
                                    <a:lnTo>
                                      <a:pt x="232" y="120"/>
                                    </a:lnTo>
                                    <a:lnTo>
                                      <a:pt x="232" y="120"/>
                                    </a:lnTo>
                                    <a:close/>
                                    <a:moveTo>
                                      <a:pt x="126" y="42"/>
                                    </a:moveTo>
                                    <a:lnTo>
                                      <a:pt x="126" y="42"/>
                                    </a:lnTo>
                                    <a:lnTo>
                                      <a:pt x="126" y="38"/>
                                    </a:lnTo>
                                    <a:lnTo>
                                      <a:pt x="124" y="34"/>
                                    </a:lnTo>
                                    <a:lnTo>
                                      <a:pt x="120" y="32"/>
                                    </a:lnTo>
                                    <a:lnTo>
                                      <a:pt x="116" y="32"/>
                                    </a:lnTo>
                                    <a:lnTo>
                                      <a:pt x="116" y="32"/>
                                    </a:lnTo>
                                    <a:lnTo>
                                      <a:pt x="100" y="32"/>
                                    </a:lnTo>
                                    <a:lnTo>
                                      <a:pt x="84" y="36"/>
                                    </a:lnTo>
                                    <a:lnTo>
                                      <a:pt x="70" y="44"/>
                                    </a:lnTo>
                                    <a:lnTo>
                                      <a:pt x="56" y="54"/>
                                    </a:lnTo>
                                    <a:lnTo>
                                      <a:pt x="46" y="66"/>
                                    </a:lnTo>
                                    <a:lnTo>
                                      <a:pt x="36" y="82"/>
                                    </a:lnTo>
                                    <a:lnTo>
                                      <a:pt x="30" y="100"/>
                                    </a:lnTo>
                                    <a:lnTo>
                                      <a:pt x="30" y="122"/>
                                    </a:lnTo>
                                    <a:lnTo>
                                      <a:pt x="30" y="122"/>
                                    </a:lnTo>
                                    <a:lnTo>
                                      <a:pt x="30" y="124"/>
                                    </a:lnTo>
                                    <a:lnTo>
                                      <a:pt x="32" y="128"/>
                                    </a:lnTo>
                                    <a:lnTo>
                                      <a:pt x="36" y="130"/>
                                    </a:lnTo>
                                    <a:lnTo>
                                      <a:pt x="40" y="132"/>
                                    </a:lnTo>
                                    <a:lnTo>
                                      <a:pt x="40" y="132"/>
                                    </a:lnTo>
                                    <a:lnTo>
                                      <a:pt x="42" y="130"/>
                                    </a:lnTo>
                                    <a:lnTo>
                                      <a:pt x="46" y="128"/>
                                    </a:lnTo>
                                    <a:lnTo>
                                      <a:pt x="48" y="124"/>
                                    </a:lnTo>
                                    <a:lnTo>
                                      <a:pt x="50" y="122"/>
                                    </a:lnTo>
                                    <a:lnTo>
                                      <a:pt x="50" y="122"/>
                                    </a:lnTo>
                                    <a:lnTo>
                                      <a:pt x="50" y="104"/>
                                    </a:lnTo>
                                    <a:lnTo>
                                      <a:pt x="56" y="88"/>
                                    </a:lnTo>
                                    <a:lnTo>
                                      <a:pt x="62" y="76"/>
                                    </a:lnTo>
                                    <a:lnTo>
                                      <a:pt x="70" y="68"/>
                                    </a:lnTo>
                                    <a:lnTo>
                                      <a:pt x="82" y="60"/>
                                    </a:lnTo>
                                    <a:lnTo>
                                      <a:pt x="92" y="56"/>
                                    </a:lnTo>
                                    <a:lnTo>
                                      <a:pt x="104" y="52"/>
                                    </a:lnTo>
                                    <a:lnTo>
                                      <a:pt x="116" y="52"/>
                                    </a:lnTo>
                                    <a:lnTo>
                                      <a:pt x="116" y="52"/>
                                    </a:lnTo>
                                    <a:lnTo>
                                      <a:pt x="120" y="50"/>
                                    </a:lnTo>
                                    <a:lnTo>
                                      <a:pt x="124" y="48"/>
                                    </a:lnTo>
                                    <a:lnTo>
                                      <a:pt x="126" y="46"/>
                                    </a:lnTo>
                                    <a:lnTo>
                                      <a:pt x="126" y="42"/>
                                    </a:lnTo>
                                    <a:lnTo>
                                      <a:pt x="126" y="42"/>
                                    </a:lnTo>
                                    <a:close/>
                                  </a:path>
                                </a:pathLst>
                              </a:custGeom>
                              <a:solidFill>
                                <a:srgbClr val="FFA45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2D98F" id="Freeform 4898" o:spid="_x0000_s1026" style="position:absolute;margin-left:12.45pt;margin-top:8.15pt;width:11.8pt;height:19.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1+ywkAALo0AAAOAAAAZHJzL2Uyb0RvYy54bWysW+9v47gR/V6g/4PgjwVubUqyLQebPRR7&#10;zaHA3nWBTdHPii1vjNqWKyk/9v76e0MNlVFWQ3KLfImT+Hk475EznCGt9z8/n47JY9W0h/p8PTPv&#10;FrOkOm/r3eH89Xr279ubn4pZ0nbleVce63N1PftWtbOfP/z1L++fLldVWt/Xx13VJDBybq+eLtez&#10;+667XM3n7fa+OpXtu/pSnfHmvm5OZYc/m6/zXVM+wfrpOE8Xi9X8qW52l6beVm2L//7Svzn7YO3v&#10;99W2+9d+31ZdcryewbfO/mzszzv6Of/wvrz62pSX+8OW3Sj/Dy9O5eGMQQdTv5RdmTw0h+9MnQ7b&#10;pm7rffduW5/m9X5/2FaWA9iYxSs2X+7LS2W5QJz2MsjUvp3Z7e+Pn5vksMPcGehzLk+YpJumqkjy&#10;JC82BUn0dGmvgPxy+dwQyfbyqd7+t03O9T92h+5zfTh3cMkQcj6C0h8tPpTcPf1W72C5fOhqq9Pz&#10;vjmRKSiQPNvp+DZMR/XcJVv80+SbYgWntngrzYu0WNoRyiv34e1D2/1a1dZQ+fip7frZ3OE3Oxc7&#10;5nMLI/vTERP7t3liVmnylKRZynM/gIwAZfkquU+yIn8NSgXILBVLmQBlAE1aygVovZp2aSkw2XIx&#10;bWglQOvFtKG1wGS54hFCdVBprVDbCEyW5dMe0UoaLKkqmZHgmeKUGSm+UviZkeSqX1JzfR2MVNfE&#10;MlL2jaKWGem+0uSSwhf59AyakfKY58lFlUrlNVPpSPh1oZiSwmsE05HuGHDaq5HuUHQy/tKR7oWy&#10;HlKpu0FMTNsaCb/W/JLCG4T8tK2R8islMWRSeZMrfmUj6bUFgdz0Ej/IVNN+ZVJ7o8VPJrVPjbK6&#10;Mqm9KZTVlY2032gcpfapUeYxG2mPGZrUPpPaYw+YXl/5SHvM0KStfKT9QvErl9obLd/kUvtM45hL&#10;7bGgp92S0mdGoyil15JzLpXXvZLKq2JJ4TNNrKUUfllME1xK3dU5XErdtRSxlLKrS2spZYegk7Iv&#10;pezqil9K2ZX1vpSqq3G4lKorS2EpRd8oK4EqomFzTRV2K6l5plmSki+VCFxJyY2S/FZS8ULzSSqu&#10;ZOSV1NtguMm5W0nFlVy1knqbpWZJKq6QW0vBjcZuLRVPFXprqXiq0VtLyeH55J66lpKre8Raam5S&#10;Rav1SPVU0WotVdfKovVIdgw4OYFrKbu2cxUj3ReKqULqrpqSumtroRjJrswgOoKX6Ms0n0aqw/PJ&#10;GSyk6qopKbrR1lUhVddqj0KKruapjVRdK4k2UnSDJDRJcDNSXdFqI1U3qbIrb6TsWgO3kbKjpZp2&#10;SqqulbUbqboWgWiNX5aCmqs2UnWtFzQLqbrRItAspO6yRZ3j5MG1veW964S3z2duhfFbUtKRzMJ2&#10;35e6pa6b+mL01rd9515eAUV9swLGbBI44ybcD8Z8Edh17H4wpoTA6yjLUJ3AmygwdaKERq9JhxMh&#10;itRsWngcScMsTRxNahmt9Tiihpmi84vxnVo/so7uLgrOVNHBRcGZKpq0KDhTTeOopkw1jaNKvRZR&#10;RTcV4wy1UxYeR5U6JguPo0pNkYXHUaW+x8LjqFJrQ3A0LzFUqXux8Diq1KBYeBzVnKmiz4hyhqnm&#10;cVSpmSBn0C/EWKeGwcLjqFJTYOFxVKnwt/A4qlTdW3gcVarhCY4yPYbqiqmiFo+CM9VVHFWqua0z&#10;cVSpsLbwOKpUPRMc9XGM71QhW3gcVaqCLTyOKhW6Fh5HlYpZC4+jSgUrwVGSxlAtmCrqzig4Ux1O&#10;wf17KlWX1pk4qlRBWngcVaoSCY5CMMZ3qgQtPI4qVXsWHjerG6aKqi3KGaaKyiwGbmsz8oaqL/GB&#10;vpjg+qrBRdPrK6ZmluCK6Y4+U15dyo7KMvdr8oQrDdqX7q9ndMtA/z/Vj9VtbREdVWc4oLYy4Lye&#10;x31BHM9+pHvfvV5eWVyxRfe+e3W4fnqz3N7+gKl7370yjrMkrib89jhX4y7Ei+MAeiMYB3vIOc44&#10;Ia6cx3Ax5KUwwPxMfxCGoqFfeU5/99rPg6OAysUL6+Mk66++1Fl1sxCA4V6nX55vhotzD2eyPK6f&#10;7RA+AfEG3BBmTlz36oLidTi697fHuq1slL8EKH+Gy7cMB2T9zLwg3Kd7JGfIF6B7273+GIwlGoZ1&#10;Vtxrb433iAwVgG/d0JkHEmCGReuFsT7Yk98C5gb1L31HAYvWNyjvVxn2XC+MKfT3vmqE4HqnV+TN&#10;cG5cv3u4ouJx/WwN8nY/Y37xcH3GOP+UReOGcUP+MY/AwjPczoSiYpiPwHrXcXoI210aqx+Hp7x0&#10;tBD+Humizb32UTfgAokz5TbXoEvzLdo07VePCbDH5Z+dbVx2+O0t2B7KMO+4kTjDwYf7Gq89w3km&#10;Tf3jGi7L08B2Z7g5wJWTf1zejNOAfoYbpTSgn8Ph1sw/LtsL4zgVLgI83MYY0tlVbTiP8s3vEPU4&#10;iPLhuI/B1eVbwFzVFnDOlTwBrtysZgHpImfix2ChdcLlfWjZ8dFCaBXz+UYoKDhDh2KME28oZF2G&#10;CmSKSBgfeIbyE5/pBtNdn+wCybPfAHEb4l27jBq2AJfQ3Wuf2ONQfXLtv1enVhj9/o1Y8AUenycj&#10;nH0oPlsNVMF8iomZ8tni88JAgualGIhgZFuqUQIBzOnAT5EPLwLbBm9X/pnGPY51y69DJIrXfWBE&#10;FjXgPSdtvxCG811AVLeDBmYId91Wi8B0Gz5/CayddMHbmH+bwK24HTS0quEULZ9AiLgaKhBuQ0kW&#10;iHAdpxeQuM2zng7tpVY/fgd02cW99lnGwQIBjbtiO2yoSOJro0ACdAv+jWB03UkdpT8yXN/pX/Nc&#10;vQXyPIcPUpM3v/VThX3eh+JcGegl3aYHrl5jbtfwa+GsodaPsubnCeH73OuPRSZqApHN3XBoE42F&#10;sW+hQfupwpcPvIJwvUPR4NONG2F8/+AtYch43kF7CsiyPhSXiYFEx1GA/O+zxaU6GgUfis+iAhnY&#10;cD4PnOm6zPFGME5XoQNnTn6hzs+lZn+8u4w7ZHCXkN3rODF/B3N7A6o9ugaw30MY7gPwT/kYQ1sf&#10;D7ubw/FI9wBt8/Xu47FJHks8vXJz8/d8uBodwY72Wxvnmj7m5pU+juco+m+C2Icy6DmM/kmOu3r3&#10;Dc9k4KkdPA5zXzd/zJInPAFzPWv/91A21Sw5/vOM5zk2OHhAcursH/lyTdI38p07+c754fSxhpv4&#10;hkp53sLq9axzv37s+idu8MgLeH86f7lsCWivOpq2u33+T9lckgt+xYfg9e+1e/KlvHLPdZB4A5af&#10;M+mJ8B94QMYqyw/z0BM48m+Lennk6MOfAAAA//8DAFBLAwQUAAYACAAAACEABwBHw9sAAAAHAQAA&#10;DwAAAGRycy9kb3ducmV2LnhtbEyOTUvEMBRF94L/ITzBnZMa21Jr02EYGDci6Ci4TZtnWsxHaTLT&#10;+u99rnT57r2cd5rt6iw74xzH4CXcbjJg6PugR28kvL8dbipgMSmvlQ0eJXxjhG17edGoWofFv+L5&#10;mAwjiI+1kjCkNNWcx35Ap+ImTOip+wyzU4nO2XA9q4XgznKRZSV3avT0YVAT7gfsv44nJ0E8mupD&#10;iefOlKLaaXt4edqLRcrrq3X3ACzhmv7G8KtP6tCSUxdOXkdmiZHf05Ly8g4Y9XlVAOskFEUOvG34&#10;f//2BwAA//8DAFBLAQItABQABgAIAAAAIQC2gziS/gAAAOEBAAATAAAAAAAAAAAAAAAAAAAAAABb&#10;Q29udGVudF9UeXBlc10ueG1sUEsBAi0AFAAGAAgAAAAhADj9If/WAAAAlAEAAAsAAAAAAAAAAAAA&#10;AAAALwEAAF9yZWxzLy5yZWxzUEsBAi0AFAAGAAgAAAAhAC9ILX7LCQAAujQAAA4AAAAAAAAAAAAA&#10;AAAALgIAAGRycy9lMm9Eb2MueG1sUEsBAi0AFAAGAAgAAAAhAAcAR8PbAAAABwEAAA8AAAAAAAAA&#10;AAAAAAAAJQwAAGRycy9kb3ducmV2LnhtbFBLBQYAAAAABAAEAPMAAAAtDQAAAAA=&#10;" path="m162,342r,l162,346r-2,2l156,350r-4,2l80,352r,l76,350r-4,-2l70,346r,-4l70,342r,-4l72,334r4,-2l80,332r72,l152,332r4,l160,334r2,4l162,342r,xm140,364r-48,l92,364r-2,l86,366r-2,4l82,374r,l84,378r2,2l90,382r2,2l140,384r,l142,382r4,-2l148,378r2,-4l150,374r-2,-4l146,366r-4,-2l140,364r,xm232,120r,l232,132r-2,12l222,164r-8,16l202,194r,l190,212r-6,12l178,234r-4,14l170,264r-4,16l166,302r,l164,308r-4,4l156,316r-6,2l82,318r,l76,316r-4,-4l68,308r-2,-6l66,302r,-22l62,264,58,248,54,234,48,224,42,212,30,194r,l18,180,10,164,2,144,,132,,120r,l2,98,8,76,16,56,28,38r8,-8l44,24,54,16,64,12,76,6,88,4,102,2,116,r,l130,2r14,2l156,6r12,6l178,16r10,8l196,30r8,8l216,56r8,20l230,98r2,22l232,120xm126,42r,l126,38r-2,-4l120,32r-4,l116,32r-16,l84,36,70,44,56,54,46,66,36,82r-6,18l30,122r,l30,124r2,4l36,130r4,2l40,132r2,-2l46,128r2,-4l50,122r,l50,104,56,88,62,76r8,-8l82,60,92,56r12,-4l116,52r,l120,50r4,-2l126,46r,-4l126,42xe" fillcolor="#ffa451" stroked="f">
                      <v:path arrowok="t" o:connecttype="custom" o:connectlocs="104644,223715;98184,227595;49092,226301;45216,221129;46508,215956;98184,214663;103352,215956;104644,221129;59427,235353;54260,239233;54260,244406;59427,248285;91725,246992;96892,241819;94308,236647;90433,235353;149860,85348;138233,116384;122730,137074;112395,160351;107227,195266;103352,201732;52968,205611;46508,201732;42633,195266;37465,160351;27130,137074;11627,116384;0,85348;1292,63364;18087,24570;34881,10345;56843,2586;74930,0;100768,3879;121438,15518;139525,36208;149860,77589;81389,27156;77514,20690;64595,20690;36173,34915;19378,64658;19378,80175;25838,85348;29714,82762;32297,78882;40049,49140;59427,36208;74930,33622;81389,29742" o:connectangles="0,0,0,0,0,0,0,0,0,0,0,0,0,0,0,0,0,0,0,0,0,0,0,0,0,0,0,0,0,0,0,0,0,0,0,0,0,0,0,0,0,0,0,0,0,0,0,0,0,0,0"/>
                      <o:lock v:ext="edit" verticies="t"/>
                    </v:shape>
                  </w:pict>
                </mc:Fallback>
              </mc:AlternateContent>
            </w:r>
          </w:p>
        </w:tc>
        <w:tc>
          <w:tcPr>
            <w:tcW w:w="2136" w:type="dxa"/>
          </w:tcPr>
          <w:p w14:paraId="43396001" w14:textId="77777777" w:rsidR="00DA6587" w:rsidRPr="007E5633" w:rsidRDefault="00DA6587" w:rsidP="000A7BA9">
            <w:pPr>
              <w:rPr>
                <w:rFonts w:ascii="Arial" w:hAnsi="Arial" w:cs="Arial"/>
                <w:b/>
                <w:color w:val="404040" w:themeColor="text1" w:themeTint="BF"/>
                <w:highlight w:val="yellow"/>
                <w:lang w:val="uk-UA"/>
              </w:rPr>
            </w:pPr>
            <w:r w:rsidRPr="007E5633">
              <w:rPr>
                <w:rFonts w:ascii="Arial" w:hAnsi="Arial" w:cs="Arial"/>
                <w:b/>
                <w:color w:val="404040" w:themeColor="text1" w:themeTint="BF"/>
                <w:lang w:val="uk-UA"/>
              </w:rPr>
              <w:t>Підтвердження</w:t>
            </w:r>
          </w:p>
        </w:tc>
        <w:tc>
          <w:tcPr>
            <w:tcW w:w="6007" w:type="dxa"/>
          </w:tcPr>
          <w:p w14:paraId="0B24DD22" w14:textId="77777777" w:rsidR="00DA6587" w:rsidRPr="007E5633" w:rsidRDefault="00DA6587" w:rsidP="000A7BA9">
            <w:pPr>
              <w:rPr>
                <w:rFonts w:ascii="Arial" w:hAnsi="Arial" w:cs="Arial"/>
                <w:highlight w:val="yellow"/>
                <w:lang w:val="uk-UA"/>
              </w:rPr>
            </w:pPr>
            <w:r w:rsidRPr="007E5633">
              <w:rPr>
                <w:rFonts w:ascii="Arial" w:hAnsi="Arial" w:cs="Arial"/>
                <w:lang w:val="uk-UA"/>
              </w:rPr>
              <w:t>Кожна особа, що додається до списку інсайдерів, повинна письмово підтвердити інформацію про те, що вона усвідомлює про можливі наслідки наявності у неї доступу до внутрішньої інформації</w:t>
            </w:r>
          </w:p>
        </w:tc>
      </w:tr>
    </w:tbl>
    <w:p w14:paraId="70D4042F" w14:textId="77777777" w:rsidR="00500A13" w:rsidRPr="007E5633" w:rsidRDefault="00500A13" w:rsidP="00500A13">
      <w:pPr>
        <w:pStyle w:val="af1"/>
        <w:jc w:val="both"/>
        <w:rPr>
          <w:rFonts w:cs="Arial"/>
          <w:b w:val="0"/>
          <w:sz w:val="22"/>
          <w:szCs w:val="22"/>
          <w:lang w:val="uk-UA"/>
        </w:rPr>
      </w:pPr>
      <w:r w:rsidRPr="007E5633">
        <w:rPr>
          <w:rFonts w:cs="Arial"/>
          <w:b w:val="0"/>
          <w:sz w:val="22"/>
          <w:szCs w:val="22"/>
          <w:lang w:val="uk-UA"/>
        </w:rPr>
        <w:lastRenderedPageBreak/>
        <w:t>Відповідно до статті 19 MAR, особи, які виконують обов'язки керівництва в межах емітентів, повинні повідомити компетентний орган та емітента щодо відповідних особистих операцій, які вони здійснюють з акціями емітента, борговими інструментами, деривативами або іншими пов'язаними фінансовими інструментами, якщо загальна сума операцій за календарний рік сягає € 5000. Така інформація повинна бути надана протягом 3 робочих днів.</w:t>
      </w:r>
    </w:p>
    <w:p w14:paraId="10B1644E" w14:textId="77777777" w:rsidR="00500A13" w:rsidRPr="007E5633" w:rsidRDefault="00500A13" w:rsidP="00500A13">
      <w:pPr>
        <w:pStyle w:val="af1"/>
        <w:jc w:val="both"/>
        <w:rPr>
          <w:rFonts w:cs="Arial"/>
          <w:b w:val="0"/>
          <w:sz w:val="22"/>
          <w:szCs w:val="22"/>
          <w:lang w:val="uk-UA"/>
        </w:rPr>
      </w:pPr>
      <w:r w:rsidRPr="007E5633">
        <w:rPr>
          <w:rFonts w:cs="Arial"/>
          <w:b w:val="0"/>
          <w:sz w:val="22"/>
          <w:szCs w:val="22"/>
          <w:lang w:val="uk-UA"/>
        </w:rPr>
        <w:t>Відповідно до Статті 3 (25) MAR, "особа, яка виконує керівні обов'язки", означає особу в межах емітента, учасника ринку емісій СО2 або іншого суб'єкта, зазначеного у статті 19 (10), який є:</w:t>
      </w:r>
    </w:p>
    <w:p w14:paraId="0061C71A" w14:textId="77777777" w:rsidR="00500A13" w:rsidRPr="007E5633" w:rsidRDefault="00500A13" w:rsidP="00500A13">
      <w:pPr>
        <w:pStyle w:val="af1"/>
        <w:jc w:val="both"/>
        <w:rPr>
          <w:rFonts w:cs="Arial"/>
          <w:b w:val="0"/>
          <w:sz w:val="22"/>
          <w:szCs w:val="22"/>
          <w:lang w:val="uk-UA"/>
        </w:rPr>
      </w:pPr>
      <w:r w:rsidRPr="007E5633">
        <w:rPr>
          <w:rFonts w:cs="Arial"/>
          <w:b w:val="0"/>
          <w:sz w:val="22"/>
          <w:szCs w:val="22"/>
          <w:lang w:val="uk-UA"/>
        </w:rPr>
        <w:t>(a) членом адміністративного, керівного або наглядового органу цього суб'єкта; або</w:t>
      </w:r>
    </w:p>
    <w:p w14:paraId="421FDDDA" w14:textId="77777777" w:rsidR="00500A13" w:rsidRPr="007E5633" w:rsidRDefault="00500A13" w:rsidP="00500A13">
      <w:pPr>
        <w:pStyle w:val="af1"/>
        <w:jc w:val="both"/>
        <w:rPr>
          <w:rFonts w:cs="Arial"/>
          <w:b w:val="0"/>
          <w:sz w:val="22"/>
          <w:szCs w:val="22"/>
          <w:lang w:val="uk-UA"/>
        </w:rPr>
      </w:pPr>
      <w:r w:rsidRPr="007E5633">
        <w:rPr>
          <w:rFonts w:cs="Arial"/>
          <w:b w:val="0"/>
          <w:sz w:val="22"/>
          <w:szCs w:val="22"/>
          <w:lang w:val="uk-UA"/>
        </w:rPr>
        <w:t>(b) вищим керівником, який не є членом органів, зазначених у підпункті (а), який має регулярний доступ до внутрішньої інформації, що безпосередньо чи опосередковано стосується цього суб'єкта та повноваження приймати управлінські рішення, що впливають на майбутні події та перспективи бізнесу цього суб'єкта;</w:t>
      </w:r>
    </w:p>
    <w:p w14:paraId="5B8ED0E2" w14:textId="77777777" w:rsidR="00500A13" w:rsidRPr="007E5633" w:rsidRDefault="00500A13" w:rsidP="006A36B9">
      <w:pPr>
        <w:pStyle w:val="af1"/>
        <w:spacing w:before="240"/>
        <w:jc w:val="both"/>
        <w:rPr>
          <w:rFonts w:cs="Arial"/>
          <w:b w:val="0"/>
          <w:sz w:val="22"/>
          <w:szCs w:val="22"/>
          <w:lang w:val="uk-UA"/>
        </w:rPr>
      </w:pPr>
      <w:r w:rsidRPr="007E5633">
        <w:rPr>
          <w:rFonts w:cs="Arial"/>
          <w:b w:val="0"/>
          <w:sz w:val="22"/>
          <w:szCs w:val="22"/>
          <w:lang w:val="uk-UA"/>
        </w:rPr>
        <w:t xml:space="preserve">Також транзакції, укладені особами, тісно пов'язаними з особами, які виконують обов'язки керівництва, повинні бути розкриті у відповідності з вимогами MAR. </w:t>
      </w:r>
    </w:p>
    <w:p w14:paraId="10F04A6B" w14:textId="77777777" w:rsidR="00500A13" w:rsidRPr="007E5633" w:rsidRDefault="00500A13" w:rsidP="00500A13">
      <w:pPr>
        <w:pStyle w:val="af1"/>
        <w:jc w:val="both"/>
        <w:rPr>
          <w:rFonts w:cs="Arial"/>
          <w:b w:val="0"/>
          <w:sz w:val="22"/>
          <w:szCs w:val="22"/>
          <w:lang w:val="uk-UA"/>
        </w:rPr>
      </w:pPr>
      <w:r w:rsidRPr="007E5633">
        <w:rPr>
          <w:rFonts w:cs="Arial"/>
          <w:b w:val="0"/>
          <w:sz w:val="22"/>
          <w:szCs w:val="22"/>
          <w:lang w:val="uk-UA"/>
        </w:rPr>
        <w:t>Особа, яка тісно пов'язана, відповідно до Статті 3 (26) MAR, означає:</w:t>
      </w:r>
    </w:p>
    <w:p w14:paraId="6D6395F4" w14:textId="77777777" w:rsidR="009A4011"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a. чоловік/дружина або партнер, який вважається рівноцінним чоловікові/дружині, відповідно до національного законодавства;</w:t>
      </w:r>
    </w:p>
    <w:p w14:paraId="207C9C7E" w14:textId="77777777" w:rsidR="009A4011"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 xml:space="preserve">б залежна дитина, відповідно </w:t>
      </w:r>
      <w:r w:rsidR="009A4011" w:rsidRPr="007E5633">
        <w:rPr>
          <w:rFonts w:cs="Arial"/>
          <w:b w:val="0"/>
          <w:sz w:val="22"/>
          <w:szCs w:val="22"/>
          <w:lang w:val="uk-UA"/>
        </w:rPr>
        <w:t>до національного законодавства;</w:t>
      </w:r>
    </w:p>
    <w:p w14:paraId="678C4225" w14:textId="77777777" w:rsidR="00500A13"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в родич(ка), який(а) жила під одним дахом протягом щонайменше одного року на дату відповідної операції; або</w:t>
      </w:r>
    </w:p>
    <w:p w14:paraId="0AD28460" w14:textId="77777777" w:rsidR="00500A13" w:rsidRPr="007E5633" w:rsidRDefault="00500A13" w:rsidP="009A4011">
      <w:pPr>
        <w:pStyle w:val="af1"/>
        <w:spacing w:before="120"/>
        <w:jc w:val="both"/>
        <w:rPr>
          <w:rFonts w:cs="Arial"/>
          <w:b w:val="0"/>
          <w:sz w:val="22"/>
          <w:szCs w:val="22"/>
          <w:lang w:val="uk-UA"/>
        </w:rPr>
      </w:pPr>
      <w:r w:rsidRPr="007E5633">
        <w:rPr>
          <w:rFonts w:cs="Arial"/>
          <w:b w:val="0"/>
          <w:sz w:val="22"/>
          <w:szCs w:val="22"/>
          <w:lang w:val="uk-UA"/>
        </w:rPr>
        <w:t>Більше того, юридична особа, траст або партнерство можуть бути класифіковані як тісно пов'язані, якщо виконується одне з наступних правил:</w:t>
      </w:r>
    </w:p>
    <w:p w14:paraId="492CFED0" w14:textId="77777777" w:rsidR="009A4011"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a. така особа займає керівну посаду,</w:t>
      </w:r>
    </w:p>
    <w:p w14:paraId="5E384448" w14:textId="77777777" w:rsidR="009A4011"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б така особа прямо або опосередковано ко</w:t>
      </w:r>
      <w:r w:rsidR="009A4011" w:rsidRPr="007E5633">
        <w:rPr>
          <w:rFonts w:cs="Arial"/>
          <w:b w:val="0"/>
          <w:sz w:val="22"/>
          <w:szCs w:val="22"/>
          <w:lang w:val="uk-UA"/>
        </w:rPr>
        <w:t>нтролює суб'єкт господарювання,</w:t>
      </w:r>
    </w:p>
    <w:p w14:paraId="2FA06C61" w14:textId="77777777" w:rsidR="009A4011"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в суб'єкт господарювання був створе</w:t>
      </w:r>
      <w:r w:rsidR="009A4011" w:rsidRPr="007E5633">
        <w:rPr>
          <w:rFonts w:cs="Arial"/>
          <w:b w:val="0"/>
          <w:sz w:val="22"/>
          <w:szCs w:val="22"/>
          <w:lang w:val="uk-UA"/>
        </w:rPr>
        <w:t>ний на користь такої особи, або</w:t>
      </w:r>
    </w:p>
    <w:p w14:paraId="386A8022" w14:textId="77777777" w:rsidR="00500A13" w:rsidRPr="007E5633" w:rsidRDefault="00500A13" w:rsidP="009A4011">
      <w:pPr>
        <w:pStyle w:val="af1"/>
        <w:ind w:left="567"/>
        <w:jc w:val="both"/>
        <w:rPr>
          <w:rFonts w:cs="Arial"/>
          <w:b w:val="0"/>
          <w:sz w:val="22"/>
          <w:szCs w:val="22"/>
          <w:lang w:val="uk-UA"/>
        </w:rPr>
      </w:pPr>
      <w:r w:rsidRPr="007E5633">
        <w:rPr>
          <w:rFonts w:cs="Arial"/>
          <w:b w:val="0"/>
          <w:sz w:val="22"/>
          <w:szCs w:val="22"/>
          <w:lang w:val="uk-UA"/>
        </w:rPr>
        <w:t>г. економічний інтерес суб'єкта господарювання узгоджується з такими особами.</w:t>
      </w:r>
    </w:p>
    <w:p w14:paraId="68C26959" w14:textId="77777777" w:rsidR="00A046FD" w:rsidRPr="007E5633" w:rsidRDefault="00500A13" w:rsidP="009A4011">
      <w:pPr>
        <w:pStyle w:val="af1"/>
        <w:spacing w:before="120"/>
        <w:jc w:val="both"/>
        <w:rPr>
          <w:rFonts w:cs="Arial"/>
          <w:b w:val="0"/>
          <w:sz w:val="22"/>
          <w:szCs w:val="22"/>
          <w:lang w:val="uk-UA"/>
        </w:rPr>
      </w:pPr>
      <w:r w:rsidRPr="007E5633">
        <w:rPr>
          <w:rFonts w:cs="Arial"/>
          <w:b w:val="0"/>
          <w:sz w:val="22"/>
          <w:szCs w:val="22"/>
          <w:lang w:val="uk-UA"/>
        </w:rPr>
        <w:t>Формат звітів про операції менеджерів регулюється в Регламенті ЄС (ЄС) 2016/523 від 10 березня 2016 р., Що встановлює виконавчі технічні стандарти щодо формату та шаблону для повідомлення та публічного відкриття операцій керівництва відповідно до Регламенту (ЄС) № 596/2014 Європейського Парламенту та Ради.</w:t>
      </w:r>
    </w:p>
    <w:p w14:paraId="055062BD" w14:textId="77777777" w:rsidR="00A046FD" w:rsidRPr="007E5633" w:rsidRDefault="00500A13" w:rsidP="009A4011">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122" w:name="_Toc533093941"/>
      <w:r w:rsidRPr="007E5633">
        <w:rPr>
          <w:rFonts w:ascii="Arial" w:hAnsi="Arial" w:cs="Arial"/>
          <w:color w:val="auto"/>
          <w:sz w:val="22"/>
          <w:szCs w:val="22"/>
          <w:lang w:val="uk-UA"/>
        </w:rPr>
        <w:t>Обов'язок подання звітності за REMIT</w:t>
      </w:r>
      <w:bookmarkEnd w:id="122"/>
    </w:p>
    <w:p w14:paraId="77E8933F" w14:textId="77777777" w:rsidR="00500A13" w:rsidRPr="007E5633" w:rsidRDefault="00500A13" w:rsidP="00500A13">
      <w:pPr>
        <w:jc w:val="both"/>
        <w:rPr>
          <w:rFonts w:ascii="Arial" w:hAnsi="Arial" w:cs="Arial"/>
          <w:lang w:val="uk-UA"/>
        </w:rPr>
      </w:pPr>
      <w:r w:rsidRPr="007E5633">
        <w:rPr>
          <w:rFonts w:ascii="Arial" w:hAnsi="Arial" w:cs="Arial"/>
          <w:lang w:val="uk-UA"/>
        </w:rPr>
        <w:t xml:space="preserve">Регламент REMIT забороняє маніпулювати ринком та здійснювати інсайдерську торгівлю на оптових енергетичних ринках. Визначення ринкової маніпуляції та інсайдерської торгівлі в REMIT відповідають тим, що застосовуються в Регламенті MAR. Заборони маніпулювання ринком та інсайдерської торгівлі в REMIT не поширюються на оптові енергетичні продукти, які є фінансовими інструментами, однак Стаття 9 MAR застосовується замість них. Тому, якщо інвестиційна фірма відповідає MAR, вона автоматично відповідає вимогам REMIT. </w:t>
      </w:r>
    </w:p>
    <w:p w14:paraId="3065C6A2" w14:textId="77777777" w:rsidR="00500A13" w:rsidRPr="007E5633" w:rsidRDefault="00500A13" w:rsidP="00500A13">
      <w:pPr>
        <w:jc w:val="both"/>
        <w:rPr>
          <w:rFonts w:ascii="Arial" w:hAnsi="Arial" w:cs="Arial"/>
          <w:lang w:val="uk-UA"/>
        </w:rPr>
      </w:pPr>
      <w:r w:rsidRPr="007E5633">
        <w:rPr>
          <w:rFonts w:ascii="Arial" w:hAnsi="Arial" w:cs="Arial"/>
          <w:lang w:val="uk-UA"/>
        </w:rPr>
        <w:t>Найбільш вирішальними відмінностями між вищезгаданими режимами є:</w:t>
      </w:r>
    </w:p>
    <w:p w14:paraId="4B81FA4F"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Інструменти, що підпадають під REMIT - це лише оптові енергетичні продукти;</w:t>
      </w:r>
    </w:p>
    <w:p w14:paraId="546C9126"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Розкриття внутрішньої інформації на офіційній веб-сторінці компанії відповідає рамкам REMIT, однак вона не виконує вимоги MAR, яка є розкриттям на публічному форумі, визначеному NCA;</w:t>
      </w:r>
    </w:p>
    <w:p w14:paraId="64094096"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MAR застосовується до дозволів на викиди, подібно до застосування REMIT до енергоресурсів, але сегмент емітента MAR не має еквіваленту в REMIT;</w:t>
      </w:r>
    </w:p>
    <w:p w14:paraId="51FF95E7"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lastRenderedPageBreak/>
        <w:t>Поріг для установок, які вважатимуться учасниками ринку дозволів на викиди в рамках MAR, значно перевищує аналогічну межу для розміру генераторних установок в REMIT (що в основному виключає мікрообладнання);</w:t>
      </w:r>
    </w:p>
    <w:p w14:paraId="5526AFD5"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моніторинг підозрілих замовлень та маніпулятивної поведінки з точки зору MAR по всіх трейдерських, брокерських та торгових площадках. У режимі REMIT існує аналогічне положення, але це стосується лише організованих ринків, а не брокерських операцій або трейдерів;</w:t>
      </w:r>
    </w:p>
    <w:p w14:paraId="48347451" w14:textId="77777777" w:rsidR="00CA4AB9"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Питання, які потрібно розглянути при розробці програми моніторингу торгівлі, наприклад сценарії зловживання ринком та процеси управління ринком, в рамках системи REMIT обмежені, порівняно з рамками MAR;</w:t>
      </w:r>
    </w:p>
    <w:p w14:paraId="1F5F1D85" w14:textId="77777777" w:rsidR="00500A13" w:rsidRPr="007E5633" w:rsidRDefault="00CA4AB9" w:rsidP="000D248B">
      <w:pPr>
        <w:pStyle w:val="a4"/>
        <w:numPr>
          <w:ilvl w:val="0"/>
          <w:numId w:val="31"/>
        </w:numPr>
        <w:jc w:val="both"/>
        <w:rPr>
          <w:rFonts w:ascii="Arial" w:hAnsi="Arial" w:cs="Arial"/>
          <w:lang w:val="uk-UA"/>
        </w:rPr>
      </w:pPr>
      <w:r w:rsidRPr="007E5633">
        <w:rPr>
          <w:rFonts w:ascii="Arial" w:hAnsi="Arial" w:cs="Arial"/>
          <w:lang w:val="uk-UA"/>
        </w:rPr>
        <w:t>MAR має першорядне значення над REMIT у зв'язку із запровадженням кримінальних санкцій за зловживання ринком</w:t>
      </w:r>
    </w:p>
    <w:p w14:paraId="1EFC45D8" w14:textId="77777777" w:rsidR="00A046FD" w:rsidRPr="007E5633" w:rsidRDefault="00CA4AB9"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23" w:name="_Toc533093942"/>
      <w:r w:rsidRPr="007E5633">
        <w:rPr>
          <w:rFonts w:ascii="Arial" w:hAnsi="Arial" w:cs="Arial"/>
          <w:color w:val="auto"/>
          <w:sz w:val="22"/>
          <w:szCs w:val="22"/>
          <w:lang w:val="uk-UA"/>
        </w:rPr>
        <w:t>Звітування щодо позиції</w:t>
      </w:r>
      <w:bookmarkEnd w:id="123"/>
    </w:p>
    <w:p w14:paraId="4F1030BB" w14:textId="77777777" w:rsidR="00A046FD" w:rsidRPr="007E5633" w:rsidRDefault="00CA4AB9" w:rsidP="007A2C78">
      <w:pPr>
        <w:pStyle w:val="FSHeader1"/>
        <w:keepNext w:val="0"/>
        <w:pageBreakBefore w:val="0"/>
        <w:numPr>
          <w:ilvl w:val="3"/>
          <w:numId w:val="27"/>
        </w:numPr>
        <w:spacing w:before="120" w:after="120"/>
        <w:rPr>
          <w:rFonts w:ascii="Arial" w:hAnsi="Arial" w:cs="Arial"/>
          <w:color w:val="auto"/>
          <w:sz w:val="22"/>
          <w:szCs w:val="22"/>
          <w:lang w:val="uk-UA"/>
        </w:rPr>
      </w:pPr>
      <w:bookmarkStart w:id="124" w:name="_Toc533093943"/>
      <w:r w:rsidRPr="007E5633">
        <w:rPr>
          <w:rFonts w:ascii="Arial" w:hAnsi="Arial" w:cs="Arial"/>
          <w:color w:val="auto"/>
          <w:sz w:val="22"/>
          <w:szCs w:val="22"/>
          <w:lang w:val="uk-UA"/>
        </w:rPr>
        <w:t>Звітні зобов'язання в рамках MIFID II</w:t>
      </w:r>
      <w:bookmarkEnd w:id="124"/>
    </w:p>
    <w:p w14:paraId="3B2A57CA" w14:textId="77777777" w:rsidR="00CA4AB9" w:rsidRPr="007E5633" w:rsidRDefault="00CA4AB9" w:rsidP="00CA4AB9">
      <w:pPr>
        <w:pStyle w:val="af4"/>
        <w:rPr>
          <w:color w:val="000000"/>
          <w:sz w:val="22"/>
          <w:szCs w:val="22"/>
          <w:lang w:val="uk-UA"/>
        </w:rPr>
      </w:pPr>
      <w:r w:rsidRPr="007E5633">
        <w:rPr>
          <w:color w:val="000000"/>
          <w:sz w:val="22"/>
          <w:szCs w:val="22"/>
          <w:lang w:val="uk-UA"/>
        </w:rPr>
        <w:t>Мотивація реалізації режиму лімітів позицій в рамках MIFID II полягає у обмеженні спекуляцій на товарних ринках. Гармонізований підхід також дозволить запобігти регуляторному арбітражу, підтримувати впорядковані ціни та умови розрахунків та сприяти послідовності в рамках Європейського Союзу. Відповідно до статті 57, ліміти позицій встановлюються на розмір чистої позиції, яку учасник може тримати в будь-який час у деривативах</w:t>
      </w:r>
      <w:r w:rsidR="00601569">
        <w:rPr>
          <w:color w:val="000000"/>
          <w:sz w:val="22"/>
          <w:szCs w:val="22"/>
          <w:lang w:val="uk-UA"/>
        </w:rPr>
        <w:t xml:space="preserve"> від </w:t>
      </w:r>
      <w:r w:rsidR="00601569" w:rsidRPr="00601569">
        <w:rPr>
          <w:color w:val="000000"/>
          <w:sz w:val="22"/>
          <w:szCs w:val="22"/>
          <w:lang w:val="uk-UA"/>
        </w:rPr>
        <w:t>товарних контрактів</w:t>
      </w:r>
      <w:r w:rsidRPr="007E5633">
        <w:rPr>
          <w:color w:val="000000"/>
          <w:sz w:val="22"/>
          <w:szCs w:val="22"/>
          <w:lang w:val="uk-UA"/>
        </w:rPr>
        <w:t xml:space="preserve">, що торгуються на торгових майданчиках та через економічно еквівалентні позабіржові контракти. Через те, що режим лімітів позицій застосовується лише до позицій похідних фінансових інструментів </w:t>
      </w:r>
      <w:r w:rsidR="00601569">
        <w:rPr>
          <w:color w:val="000000"/>
          <w:sz w:val="22"/>
          <w:szCs w:val="22"/>
          <w:lang w:val="uk-UA"/>
        </w:rPr>
        <w:t xml:space="preserve">від </w:t>
      </w:r>
      <w:r w:rsidR="00601569" w:rsidRPr="00601569">
        <w:rPr>
          <w:color w:val="000000"/>
          <w:sz w:val="22"/>
          <w:szCs w:val="22"/>
          <w:lang w:val="uk-UA"/>
        </w:rPr>
        <w:t xml:space="preserve">товарних контрактів </w:t>
      </w:r>
      <w:r w:rsidRPr="007E5633">
        <w:rPr>
          <w:color w:val="000000"/>
          <w:sz w:val="22"/>
          <w:szCs w:val="22"/>
          <w:lang w:val="uk-UA"/>
        </w:rPr>
        <w:t>(але незалежно від того, чи вони виконуються фізично або готівковими коштами), дозволи на викиди виключаються з режиму лімітів позицій. Проте похідні фінансові інструменти, що стосуються дозволів на викиди, все ще включаються до схеми подання позицій.</w:t>
      </w:r>
    </w:p>
    <w:p w14:paraId="6276C2C3" w14:textId="77777777" w:rsidR="00B518C7" w:rsidRPr="007E5633" w:rsidRDefault="00CA4AB9" w:rsidP="00CA4AB9">
      <w:pPr>
        <w:pStyle w:val="af4"/>
        <w:rPr>
          <w:sz w:val="22"/>
          <w:szCs w:val="22"/>
          <w:highlight w:val="yellow"/>
          <w:lang w:val="uk-UA"/>
        </w:rPr>
      </w:pPr>
      <w:r w:rsidRPr="007E5633">
        <w:rPr>
          <w:color w:val="000000"/>
          <w:sz w:val="22"/>
          <w:szCs w:val="22"/>
          <w:lang w:val="uk-UA"/>
        </w:rPr>
        <w:t>Після затвердження компетентним органом, суб'єкти господарювання, що здійснюють хеджування (утримують позиції, щоб зменшити ризики, безпосередньо пов'язані з їх комерційною діяльністю), можуть виключати такі позиції з-під лімітів. Хоча ці позиції все ж треба повідомляти. Також слід зазначити, що ліміти позицій повинні бути розраховані по кожному суб’єкту і об'єднуються на рівні групи.</w:t>
      </w:r>
    </w:p>
    <w:p w14:paraId="011A9FA4" w14:textId="77777777" w:rsidR="00B518C7" w:rsidRPr="007E5633" w:rsidRDefault="00B518C7" w:rsidP="00B518C7">
      <w:pPr>
        <w:jc w:val="both"/>
        <w:rPr>
          <w:rFonts w:ascii="Arial" w:hAnsi="Arial" w:cs="Arial"/>
          <w:lang w:val="uk-UA"/>
        </w:rPr>
      </w:pPr>
      <w:r w:rsidRPr="007E5633">
        <w:rPr>
          <w:rFonts w:ascii="Arial" w:hAnsi="Arial" w:cs="Arial"/>
          <w:lang w:val="uk-UA"/>
        </w:rPr>
        <w:t xml:space="preserve">Мета звітування про позиції, запроваджена статтею 58 MIFID та затверджена в Положенні Commission Implementing Regulation (ЄС) 2017/1093 від 20 червня 2017 року, що визначає впровадження технічних стандартів щодо формату звітів про позиції інвестиційними компаніями та операторами ринку (ITS 4) полягає в </w:t>
      </w:r>
      <w:r w:rsidRPr="008B6474">
        <w:rPr>
          <w:rFonts w:ascii="Arial" w:hAnsi="Arial" w:cs="Arial"/>
          <w:lang w:val="uk-UA"/>
        </w:rPr>
        <w:t>контролі за дотриманням режиму обмеження позиції.</w:t>
      </w:r>
    </w:p>
    <w:p w14:paraId="756B0029" w14:textId="77777777" w:rsidR="00B518C7" w:rsidRPr="007E5633" w:rsidRDefault="00B518C7" w:rsidP="00B518C7">
      <w:pPr>
        <w:jc w:val="both"/>
        <w:rPr>
          <w:rFonts w:ascii="Arial" w:hAnsi="Arial" w:cs="Arial"/>
          <w:lang w:val="uk-UA"/>
        </w:rPr>
      </w:pPr>
      <w:r w:rsidRPr="007E5633">
        <w:rPr>
          <w:rFonts w:ascii="Arial" w:hAnsi="Arial" w:cs="Arial"/>
          <w:lang w:val="uk-UA"/>
        </w:rPr>
        <w:t>У поле зору звітності про позиції підпадає кожен учасник ринку, що тримає відповідну позицію, але зобов'язання звітності стосується лише інвестиційних компаній, які управляють торгівельними майданчиками, та операторів ринку (а отже, всіх RMs, MTFs та OTFs), які торгують похідними інструментами</w:t>
      </w:r>
      <w:r w:rsidR="00601569">
        <w:rPr>
          <w:rFonts w:ascii="Arial" w:hAnsi="Arial" w:cs="Arial"/>
          <w:lang w:val="uk-UA"/>
        </w:rPr>
        <w:t xml:space="preserve"> від</w:t>
      </w:r>
      <w:r w:rsidR="00601569" w:rsidRPr="00601569">
        <w:t xml:space="preserve"> </w:t>
      </w:r>
      <w:r w:rsidR="00601569" w:rsidRPr="00601569">
        <w:rPr>
          <w:rFonts w:ascii="Arial" w:hAnsi="Arial" w:cs="Arial"/>
          <w:lang w:val="uk-UA"/>
        </w:rPr>
        <w:t>товарних контрактів</w:t>
      </w:r>
      <w:r w:rsidRPr="007E5633">
        <w:rPr>
          <w:rFonts w:ascii="Arial" w:hAnsi="Arial" w:cs="Arial"/>
          <w:lang w:val="uk-UA"/>
        </w:rPr>
        <w:t>, дозволами на емісії або пов'язаними похідними інструментами (Примітка: поза межами режиму лімітів позицій, тільки виконують вимоги до звітування про позиції). Ці суб'єкти повинні звітувати про позиції всіх учасників ринку, включаючи позиції, які вони можуть зберігати на інших торгових майданчиках або на позабіржовому ринку. Тому торгові майданчики змушені вимагати додаткової форми звітності своїх учасників / клієнтів, але цей крок не регулюється безпосередньо MiFID та його нормативними актами.</w:t>
      </w:r>
    </w:p>
    <w:p w14:paraId="24F21DD5" w14:textId="77777777" w:rsidR="00B518C7" w:rsidRPr="007E5633" w:rsidRDefault="00B518C7" w:rsidP="00B518C7">
      <w:pPr>
        <w:jc w:val="both"/>
        <w:rPr>
          <w:rFonts w:ascii="Arial" w:hAnsi="Arial" w:cs="Arial"/>
          <w:lang w:val="uk-UA"/>
        </w:rPr>
      </w:pPr>
      <w:r w:rsidRPr="007E5633">
        <w:rPr>
          <w:rFonts w:ascii="Arial" w:hAnsi="Arial" w:cs="Arial"/>
          <w:lang w:val="uk-UA"/>
        </w:rPr>
        <w:lastRenderedPageBreak/>
        <w:t>Незважаючи на те, що ліміти позицій, як правило, відображаються наприкінці кожного торгового дня, такі обмеження застосовуються протягом усього торгового дня (тобто весь час).</w:t>
      </w:r>
    </w:p>
    <w:p w14:paraId="776F39D6" w14:textId="77777777" w:rsidR="00B518C7" w:rsidRPr="007E5633" w:rsidRDefault="00B518C7" w:rsidP="00B518C7">
      <w:pPr>
        <w:jc w:val="both"/>
        <w:rPr>
          <w:rFonts w:ascii="Arial" w:hAnsi="Arial" w:cs="Arial"/>
          <w:lang w:val="uk-UA"/>
        </w:rPr>
      </w:pPr>
      <w:r w:rsidRPr="007E5633">
        <w:rPr>
          <w:rFonts w:ascii="Arial" w:hAnsi="Arial" w:cs="Arial"/>
          <w:lang w:val="uk-UA"/>
        </w:rPr>
        <w:t>Методика визначення лімітів позицій передбачає, що ліміти встановлюються з урахуванням багатьох факторів, окрім іншого, - загального відкритого інтересу, волатильності, кількості та розміру учасників ринку та характеристик базового ринку</w:t>
      </w:r>
      <w:r w:rsidR="00F966A5" w:rsidRPr="00F966A5">
        <w:t xml:space="preserve"> </w:t>
      </w:r>
      <w:r w:rsidR="00F966A5" w:rsidRPr="00F966A5">
        <w:rPr>
          <w:rFonts w:ascii="Arial" w:hAnsi="Arial" w:cs="Arial"/>
          <w:lang w:val="uk-UA"/>
        </w:rPr>
        <w:t>товарних контрактів</w:t>
      </w:r>
      <w:r w:rsidRPr="007E5633">
        <w:rPr>
          <w:rFonts w:ascii="Arial" w:hAnsi="Arial" w:cs="Arial"/>
          <w:lang w:val="uk-UA"/>
        </w:rPr>
        <w:t xml:space="preserve">. Ліміти застосовуються до певного типу контрактів (наприклад, Czech Power BASE Futures, API Rotterdam Coal or London Cocoa Futures), і вони включають і форварди, і опціони в одному ліміті. Ліміти встановлюються стосовно спотового ринку (це обмеження в основному </w:t>
      </w:r>
      <w:r w:rsidR="00BD153C" w:rsidRPr="007E5633">
        <w:rPr>
          <w:rFonts w:ascii="Arial" w:hAnsi="Arial" w:cs="Arial"/>
          <w:lang w:val="uk-UA"/>
        </w:rPr>
        <w:t>ґрунтується</w:t>
      </w:r>
      <w:r w:rsidRPr="007E5633">
        <w:rPr>
          <w:rFonts w:ascii="Arial" w:hAnsi="Arial" w:cs="Arial"/>
          <w:lang w:val="uk-UA"/>
        </w:rPr>
        <w:t xml:space="preserve"> на </w:t>
      </w:r>
      <w:r w:rsidR="00BD153C">
        <w:rPr>
          <w:rFonts w:ascii="Arial" w:hAnsi="Arial" w:cs="Arial"/>
          <w:lang w:val="uk-UA"/>
        </w:rPr>
        <w:t>обсягу пропозиції, який може бути поставлений</w:t>
      </w:r>
      <w:r w:rsidRPr="007E5633">
        <w:rPr>
          <w:rFonts w:ascii="Arial" w:hAnsi="Arial" w:cs="Arial"/>
          <w:lang w:val="uk-UA"/>
        </w:rPr>
        <w:t>) та у відношенні до інших місяців (цей ліміт в основному базується на open interest (загальна кількість незакритих опціонів і ф’ючерсів)). Ліміти визначаються NCA від держави-члена ЄС, що має найбільший оборот операцій у відповідному похідному контракті. Вони повинні бути повідомлені до ESMA, яка публікує їх на своєму веб-сайті.</w:t>
      </w:r>
    </w:p>
    <w:p w14:paraId="010AAF32" w14:textId="77777777" w:rsidR="00B518C7" w:rsidRPr="007E5633" w:rsidRDefault="00B518C7" w:rsidP="00B518C7">
      <w:pPr>
        <w:jc w:val="both"/>
        <w:rPr>
          <w:rFonts w:ascii="Arial" w:hAnsi="Arial" w:cs="Arial"/>
          <w:lang w:val="uk-UA"/>
        </w:rPr>
      </w:pPr>
      <w:r w:rsidRPr="007E5633">
        <w:rPr>
          <w:rFonts w:ascii="Arial" w:hAnsi="Arial" w:cs="Arial"/>
          <w:lang w:val="uk-UA"/>
        </w:rPr>
        <w:t>Нижче представлений потік інформації між учасниками ринку:</w:t>
      </w:r>
    </w:p>
    <w:p w14:paraId="11EFCCBC" w14:textId="035B3DA5" w:rsidR="00F35712" w:rsidRPr="007E5633" w:rsidRDefault="00B518C7" w:rsidP="009A4011">
      <w:pPr>
        <w:pStyle w:val="af1"/>
        <w:spacing w:after="60"/>
        <w:jc w:val="left"/>
        <w:rPr>
          <w:rFonts w:cs="Arial"/>
          <w:sz w:val="22"/>
          <w:szCs w:val="22"/>
          <w:lang w:val="uk-UA"/>
        </w:rPr>
      </w:pPr>
      <w:bookmarkStart w:id="125" w:name="_Toc533094059"/>
      <w:r w:rsidRPr="007E5633">
        <w:rPr>
          <w:rFonts w:cs="Arial"/>
          <w:sz w:val="22"/>
          <w:szCs w:val="22"/>
          <w:lang w:val="uk-UA"/>
        </w:rPr>
        <w:t>Схема</w:t>
      </w:r>
      <w:r w:rsidR="00F35712" w:rsidRPr="007E5633">
        <w:rPr>
          <w:rFonts w:cs="Arial"/>
          <w:sz w:val="22"/>
          <w:szCs w:val="22"/>
          <w:lang w:val="uk-UA"/>
        </w:rPr>
        <w:t xml:space="preserve"> </w:t>
      </w:r>
      <w:r w:rsidR="00622EE2" w:rsidRPr="007E5633">
        <w:rPr>
          <w:rFonts w:cs="Arial"/>
          <w:sz w:val="22"/>
          <w:szCs w:val="22"/>
          <w:lang w:val="uk-UA"/>
        </w:rPr>
        <w:fldChar w:fldCharType="begin"/>
      </w:r>
      <w:r w:rsidR="00F35712"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32</w:t>
      </w:r>
      <w:r w:rsidR="00622EE2" w:rsidRPr="007E5633">
        <w:rPr>
          <w:rFonts w:cs="Arial"/>
          <w:sz w:val="22"/>
          <w:szCs w:val="22"/>
          <w:lang w:val="uk-UA"/>
        </w:rPr>
        <w:fldChar w:fldCharType="end"/>
      </w:r>
      <w:r w:rsidR="00F35712" w:rsidRPr="007E5633">
        <w:rPr>
          <w:rFonts w:cs="Arial"/>
          <w:sz w:val="22"/>
          <w:szCs w:val="22"/>
          <w:lang w:val="uk-UA"/>
        </w:rPr>
        <w:t xml:space="preserve">: </w:t>
      </w:r>
      <w:r w:rsidRPr="007E5633">
        <w:rPr>
          <w:rFonts w:cs="Arial"/>
          <w:sz w:val="22"/>
          <w:szCs w:val="22"/>
          <w:lang w:val="uk-UA"/>
        </w:rPr>
        <w:t>Інформаційний потік між учасниками ринку</w:t>
      </w:r>
      <w:bookmarkEnd w:id="125"/>
    </w:p>
    <w:p w14:paraId="378E0B49" w14:textId="77777777" w:rsidR="00A046FD" w:rsidRPr="007E5633" w:rsidRDefault="00AC669B" w:rsidP="00A046FD">
      <w:pPr>
        <w:pStyle w:val="Bullety"/>
        <w:numPr>
          <w:ilvl w:val="0"/>
          <w:numId w:val="0"/>
        </w:numPr>
        <w:ind w:left="360" w:hanging="360"/>
        <w:jc w:val="left"/>
        <w:rPr>
          <w:sz w:val="22"/>
          <w:szCs w:val="22"/>
          <w:lang w:val="uk-UA"/>
        </w:rPr>
      </w:pPr>
      <w:r w:rsidRPr="007E5633">
        <w:rPr>
          <w:noProof/>
          <w:sz w:val="22"/>
          <w:szCs w:val="22"/>
          <w:lang w:val="en-US"/>
        </w:rPr>
        <w:drawing>
          <wp:inline distT="0" distB="0" distL="0" distR="0" wp14:anchorId="7E3CEA88" wp14:editId="01FE4F75">
            <wp:extent cx="5778743" cy="3729162"/>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01281" cy="3743707"/>
                    </a:xfrm>
                    <a:prstGeom prst="rect">
                      <a:avLst/>
                    </a:prstGeom>
                    <a:noFill/>
                    <a:ln>
                      <a:noFill/>
                    </a:ln>
                  </pic:spPr>
                </pic:pic>
              </a:graphicData>
            </a:graphic>
          </wp:inline>
        </w:drawing>
      </w:r>
    </w:p>
    <w:p w14:paraId="5F53BD55" w14:textId="77777777" w:rsidR="00A046FD" w:rsidRPr="007E5633" w:rsidRDefault="00A046FD" w:rsidP="00A046FD">
      <w:pPr>
        <w:pStyle w:val="Bullety"/>
        <w:numPr>
          <w:ilvl w:val="0"/>
          <w:numId w:val="0"/>
        </w:numPr>
        <w:ind w:left="360" w:hanging="360"/>
        <w:jc w:val="left"/>
        <w:rPr>
          <w:sz w:val="22"/>
          <w:szCs w:val="22"/>
          <w:lang w:val="uk-UA"/>
        </w:rPr>
      </w:pPr>
      <w:r w:rsidRPr="007E5633">
        <w:rPr>
          <w:noProof/>
          <w:sz w:val="22"/>
          <w:szCs w:val="22"/>
          <w:lang w:val="en-US"/>
        </w:rPr>
        <w:lastRenderedPageBreak/>
        <w:drawing>
          <wp:inline distT="0" distB="0" distL="0" distR="0" wp14:anchorId="143AEC49" wp14:editId="33876984">
            <wp:extent cx="5712460" cy="354563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7129"/>
                    <a:stretch/>
                  </pic:blipFill>
                  <pic:spPr bwMode="auto">
                    <a:xfrm>
                      <a:off x="0" y="0"/>
                      <a:ext cx="5712460" cy="3545633"/>
                    </a:xfrm>
                    <a:prstGeom prst="rect">
                      <a:avLst/>
                    </a:prstGeom>
                    <a:noFill/>
                    <a:ln>
                      <a:noFill/>
                    </a:ln>
                    <a:extLst>
                      <a:ext uri="{53640926-AAD7-44D8-BBD7-CCE9431645EC}">
                        <a14:shadowObscured xmlns:a14="http://schemas.microsoft.com/office/drawing/2010/main"/>
                      </a:ext>
                    </a:extLst>
                  </pic:spPr>
                </pic:pic>
              </a:graphicData>
            </a:graphic>
          </wp:inline>
        </w:drawing>
      </w:r>
    </w:p>
    <w:p w14:paraId="2A9344E4" w14:textId="77777777" w:rsidR="00A046FD" w:rsidRPr="007E5633" w:rsidRDefault="00A046FD" w:rsidP="00A046FD">
      <w:pPr>
        <w:pStyle w:val="Bullety"/>
        <w:numPr>
          <w:ilvl w:val="0"/>
          <w:numId w:val="0"/>
        </w:numPr>
        <w:rPr>
          <w:sz w:val="22"/>
          <w:szCs w:val="22"/>
          <w:lang w:val="uk-UA"/>
        </w:rPr>
      </w:pPr>
      <w:r w:rsidRPr="007E5633">
        <w:rPr>
          <w:noProof/>
          <w:sz w:val="22"/>
          <w:szCs w:val="22"/>
          <w:lang w:val="en-US"/>
        </w:rPr>
        <w:drawing>
          <wp:inline distT="0" distB="0" distL="0" distR="0" wp14:anchorId="6CE7B1E2" wp14:editId="0FA02F81">
            <wp:extent cx="5712460" cy="319792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2314"/>
                    <a:stretch/>
                  </pic:blipFill>
                  <pic:spPr bwMode="auto">
                    <a:xfrm>
                      <a:off x="0" y="0"/>
                      <a:ext cx="5712460" cy="3197925"/>
                    </a:xfrm>
                    <a:prstGeom prst="rect">
                      <a:avLst/>
                    </a:prstGeom>
                    <a:noFill/>
                    <a:ln>
                      <a:noFill/>
                    </a:ln>
                    <a:extLst>
                      <a:ext uri="{53640926-AAD7-44D8-BBD7-CCE9431645EC}">
                        <a14:shadowObscured xmlns:a14="http://schemas.microsoft.com/office/drawing/2010/main"/>
                      </a:ext>
                    </a:extLst>
                  </pic:spPr>
                </pic:pic>
              </a:graphicData>
            </a:graphic>
          </wp:inline>
        </w:drawing>
      </w:r>
    </w:p>
    <w:p w14:paraId="6EC69E97" w14:textId="77777777" w:rsidR="00B518C7" w:rsidRPr="007E5633" w:rsidRDefault="00B518C7" w:rsidP="00B518C7">
      <w:pPr>
        <w:jc w:val="both"/>
        <w:rPr>
          <w:rFonts w:ascii="Arial" w:hAnsi="Arial" w:cs="Arial"/>
          <w:i/>
          <w:lang w:val="uk-UA"/>
        </w:rPr>
      </w:pPr>
      <w:r w:rsidRPr="007E5633">
        <w:rPr>
          <w:rFonts w:ascii="Arial" w:hAnsi="Arial" w:cs="Arial"/>
          <w:i/>
          <w:lang w:val="uk-UA"/>
        </w:rPr>
        <w:t>Джерело: PwC</w:t>
      </w:r>
    </w:p>
    <w:p w14:paraId="54BEF6CC" w14:textId="77777777" w:rsidR="00B518C7" w:rsidRPr="007E5633" w:rsidRDefault="00B518C7" w:rsidP="00B518C7">
      <w:pPr>
        <w:jc w:val="both"/>
        <w:rPr>
          <w:rFonts w:ascii="Arial" w:hAnsi="Arial" w:cs="Arial"/>
          <w:lang w:val="uk-UA"/>
        </w:rPr>
      </w:pPr>
      <w:r w:rsidRPr="007E5633">
        <w:rPr>
          <w:rFonts w:ascii="Arial" w:hAnsi="Arial" w:cs="Arial"/>
          <w:lang w:val="uk-UA"/>
        </w:rPr>
        <w:t>Щотижневий звіт до ESMA та NCA визначає кількість довгих та коротких позицій за категоріями суб’єктів, будь-які пов'язані зміни від попереднього звіту, відсоток загального open interest, представлений кожною категорією, та кількість осіб у кожній категорії. Критерії категоризації визначаються згідно зі статтею 58 (4) MIFID II.</w:t>
      </w:r>
    </w:p>
    <w:p w14:paraId="3D0ED856" w14:textId="77777777" w:rsidR="00B518C7" w:rsidRPr="007E5633" w:rsidRDefault="00B518C7" w:rsidP="00B518C7">
      <w:pPr>
        <w:jc w:val="both"/>
        <w:rPr>
          <w:rFonts w:ascii="Arial" w:hAnsi="Arial" w:cs="Arial"/>
          <w:lang w:val="uk-UA"/>
        </w:rPr>
      </w:pPr>
      <w:r w:rsidRPr="007E5633">
        <w:rPr>
          <w:rFonts w:ascii="Arial" w:hAnsi="Arial" w:cs="Arial"/>
          <w:lang w:val="uk-UA"/>
        </w:rPr>
        <w:t xml:space="preserve">Звіти готуються у форматі, викладеному у таблицях до Додатку І та Додатку ІІ ITS 4. Серед необхідних даних є ідентифікатор юридичної особи (LEI), ідентифікатор утримувача позиції, ідентифікатор основного бенефіціара для юридичних осіб та ISIN, </w:t>
      </w:r>
      <w:r w:rsidRPr="007E5633">
        <w:rPr>
          <w:rFonts w:ascii="Arial" w:hAnsi="Arial" w:cs="Arial"/>
          <w:lang w:val="uk-UA"/>
        </w:rPr>
        <w:lastRenderedPageBreak/>
        <w:t>тип позиції, кількість позицій, строки погашення позиції, індикатор хеджування для даних про рівень позиції.</w:t>
      </w:r>
    </w:p>
    <w:p w14:paraId="7D8E281D" w14:textId="77777777" w:rsidR="00E4309C" w:rsidRPr="007E5633" w:rsidRDefault="00B518C7"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26" w:name="_Toc533093944"/>
      <w:bookmarkEnd w:id="104"/>
      <w:bookmarkEnd w:id="105"/>
      <w:r w:rsidRPr="007E5633">
        <w:rPr>
          <w:rFonts w:ascii="Arial" w:hAnsi="Arial" w:cs="Arial"/>
          <w:color w:val="auto"/>
          <w:sz w:val="22"/>
          <w:szCs w:val="22"/>
          <w:lang w:val="uk-UA"/>
        </w:rPr>
        <w:t>Прозорість та звітність</w:t>
      </w:r>
      <w:bookmarkEnd w:id="126"/>
    </w:p>
    <w:p w14:paraId="51A5EEAC" w14:textId="77777777" w:rsidR="00B518C7" w:rsidRPr="007E5633" w:rsidRDefault="00B518C7" w:rsidP="00B518C7">
      <w:pPr>
        <w:pStyle w:val="NormalGTP"/>
        <w:spacing w:line="240" w:lineRule="auto"/>
        <w:ind w:right="77"/>
        <w:rPr>
          <w:rFonts w:cs="Arial"/>
          <w:noProof w:val="0"/>
          <w:sz w:val="22"/>
          <w:lang w:val="uk-UA"/>
        </w:rPr>
      </w:pPr>
      <w:bookmarkStart w:id="127" w:name="_Toc426099435"/>
      <w:bookmarkStart w:id="128" w:name="_Toc426099436"/>
      <w:bookmarkStart w:id="129" w:name="_Toc426099437"/>
      <w:bookmarkStart w:id="130" w:name="_Toc426099438"/>
      <w:bookmarkStart w:id="131" w:name="_Toc426099439"/>
      <w:bookmarkStart w:id="132" w:name="_Toc426099440"/>
      <w:bookmarkStart w:id="133" w:name="_Toc428217557"/>
      <w:bookmarkEnd w:id="127"/>
      <w:bookmarkEnd w:id="128"/>
      <w:bookmarkEnd w:id="129"/>
      <w:bookmarkEnd w:id="130"/>
      <w:bookmarkEnd w:id="131"/>
      <w:r w:rsidRPr="007E5633">
        <w:rPr>
          <w:rFonts w:cs="Arial"/>
          <w:noProof w:val="0"/>
          <w:sz w:val="22"/>
          <w:lang w:val="uk-UA"/>
        </w:rPr>
        <w:t>Реалізація законодавства про прозорість та, таким чином, недискримінаційне надання інформації для нових учасників ринку, а також відокремлені організації на національних ринках є вирішальним для створення ефективного та конкурентноздатного ринку. Недискримінаційний доступ до газової інфраструктури, таких як мережі передачі та розподільчої мережі, сховищ, терміналів для ЗПГ, став можливим завдяки далекосяжній публікації умов і положень все більшої кількості загальнонаціональних стандартизованих виробничих потужностей та даних про фактичну експлуатацію на платформі прозорості ENTSOG та платформах бронювання (таких, як PRISMA). Відкриття роздрібного ринку та посилення прав споживачів поступово змінили ринок і створили тиск на появу конкурентоспроможних цін н</w:t>
      </w:r>
      <w:r w:rsidR="00BD153C">
        <w:rPr>
          <w:rFonts w:cs="Arial"/>
          <w:noProof w:val="0"/>
          <w:sz w:val="22"/>
          <w:lang w:val="uk-UA"/>
        </w:rPr>
        <w:t>а енергоносії для домогосподарств</w:t>
      </w:r>
      <w:r w:rsidRPr="007E5633">
        <w:rPr>
          <w:rFonts w:cs="Arial"/>
          <w:noProof w:val="0"/>
          <w:sz w:val="22"/>
          <w:lang w:val="uk-UA"/>
        </w:rPr>
        <w:t>. Національні регулятори, ACER та Європейська комісія почали проводити комплексний моніторинг внутрішнього енергетичного ринку та отримали право втручатися та карати такі недоліки на ринку, як зловживання ринком. Проте високий ступінь прозорості також ставить перед собою проблеми щодо можливості генерування даних та забезпечення їх в реальному часі. Важко адаптувати численні розбіжності інтересів та технічні процеси учасників ринку з одного боку, а з іншого - обробляти та аналізувати отримані дані комерційно відповідальним та орієнтованим на цілі шляхом з боку регуляторів.</w:t>
      </w:r>
    </w:p>
    <w:p w14:paraId="65C22C5A" w14:textId="77777777" w:rsidR="00E4309C"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У наступних розділах викладено короткий виклад того, якими були вимоги щодо прозорості на рівні операторів системи передачі та розподілу.</w:t>
      </w:r>
    </w:p>
    <w:p w14:paraId="652C59CD" w14:textId="77777777" w:rsidR="00E4309C" w:rsidRPr="007E5633" w:rsidRDefault="00B518C7" w:rsidP="009A4011">
      <w:pPr>
        <w:pStyle w:val="FSHeader1"/>
        <w:keepNext w:val="0"/>
        <w:pageBreakBefore w:val="0"/>
        <w:numPr>
          <w:ilvl w:val="3"/>
          <w:numId w:val="27"/>
        </w:numPr>
        <w:spacing w:before="120" w:after="120"/>
        <w:rPr>
          <w:rFonts w:ascii="Arial" w:hAnsi="Arial" w:cs="Arial"/>
          <w:color w:val="auto"/>
          <w:sz w:val="22"/>
          <w:szCs w:val="22"/>
          <w:lang w:val="uk-UA"/>
        </w:rPr>
      </w:pPr>
      <w:bookmarkStart w:id="134" w:name="_Toc533093945"/>
      <w:bookmarkEnd w:id="132"/>
      <w:bookmarkEnd w:id="133"/>
      <w:r w:rsidRPr="007E5633">
        <w:rPr>
          <w:rFonts w:ascii="Arial" w:hAnsi="Arial" w:cs="Arial"/>
          <w:color w:val="auto"/>
          <w:sz w:val="22"/>
          <w:szCs w:val="22"/>
          <w:lang w:val="uk-UA"/>
        </w:rPr>
        <w:t>Європейські платформи прозорості для TSOs</w:t>
      </w:r>
      <w:bookmarkEnd w:id="134"/>
    </w:p>
    <w:p w14:paraId="717DF6E5"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Відповідно до принципів інтеграції ринку Європейського Союзу, прозорість є необхідною умовою функціонування внутрішнього ринку та є центральною темою, яка формує внутрішній європейський ринок (IEM) та програму лібералізації протягом останніх п'ятнадцяти років. Перше покоління європейського газорегулювання, що складається з трьох газових директив (Директиви 98/30 / EC, 2003/55, 2009/73), запровадило нову ринкову структуру та створила нове управління, в якому держави-члени спочатку мали більше дискрецій вибирати шляхи впровадження та набори регуляторних інструментів. Друге покоління енергетичного регулювання запровадило на 2009 рік безпосередньо юридично обов'язкове регулювання у формі мережевих кодексів та нормативних актів для сприяння гармонізації газових ринків. Частина порядку денного лібералізації та прозорості полягала в реорганізації структури галузі шляхом відокремлення колишніх інтегрованих компаній, відмови від перехресного субсидіювання та недискримінаційного доступу третьої сторони для сприяння конкуренції на оптовому та споживчому ринку. Ролі та відповідальність були поступово перевизначені і вимагали більшої координації між учасниками ринку та викликали поступово більш стандартизовані процеси прозорості.</w:t>
      </w:r>
    </w:p>
    <w:p w14:paraId="08759ED7"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Регламент (ЄС) № 715/2009 визначив умови для доступу до системи транспортування природного газу та запровадив ряд вимог прозорості для TSOs, СПГ та операторів зберігання. Це регулювання встановило меню для другого покоління правил та мережевих кодексів шляхом введення перших вимог щодо прозорості та принципів механізму розподілу потужності та процедур управління завантаженістю для TSOs, зберігання та СПГ. TSOs повинні були розробити правила балансування та встановити розміри платежів за дисбаланси, щоб поділити затрати на систему серед учасників ринку, як вантажовідправників та кінцевих споживачів. Крім того, оператори системи газотранспортної інфраструктури мали вести облік у розпорядженні національних органів усієї інформації, зазначеної у статтях 18 та 19 та частині 3 додатка I протягом п'яти років (див. Регламент 715/2009, стаття 20).</w:t>
      </w:r>
    </w:p>
    <w:p w14:paraId="235B4419"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lastRenderedPageBreak/>
        <w:t>Відповідно до Постанови 715/2009 та доданих керівних принципів, 1 грудня 2009 року було започатковано створення Європейської мережі операторів системи транспортування газу (ENTSOG) для забезпечення дієвої співпраці між європейськими TSOs. Серед інших завдань ENTSOG було запропоновано розробляти мережеві кодекси (наприклад, механізм розподілу потужності, процедури управління завантаженням та правила збалансування) та зробити їх відповідні дані доступними учасникам ринку. Для дотримання Правил прозорості та процедур управління завантаженістю, TSOs повинні були опублікувати, наприклад, опис різних послуг та їх зборів, різні види наявних контрактів, положення про розподіл потужності, управління завантаженням, процедури запобігання накопичення та повторного використання, правила, що застосовуються до торгівлі потужністю на вторинному ринку, наявною потужністю (визначеною та перервною) та багато інших вимог (див. Регламент 715/2009, глава 3 Додатка 1 до Регламенту (ЄС) № 715/2009 та поправки до неї).</w:t>
      </w:r>
    </w:p>
    <w:p w14:paraId="7F502A13"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Для цілей публікації TSOs добровільно створили першу загальну платформу в 2009 році, яку 1 жовтня 2014 року замінив оновлений цифровий інтерфейс на весь ЄС так званої ENTSOG Transparency Platform</w:t>
      </w:r>
      <w:r w:rsidRPr="007E5633">
        <w:rPr>
          <w:rStyle w:val="aa"/>
          <w:rFonts w:cs="Arial"/>
          <w:noProof w:val="0"/>
          <w:sz w:val="22"/>
          <w:lang w:val="uk-UA"/>
        </w:rPr>
        <w:footnoteReference w:id="19"/>
      </w:r>
      <w:r w:rsidRPr="007E5633">
        <w:rPr>
          <w:rFonts w:cs="Arial"/>
          <w:noProof w:val="0"/>
          <w:sz w:val="22"/>
          <w:lang w:val="uk-UA"/>
        </w:rPr>
        <w:t>. У 2015 році на Платформі прозорості зберігається інформація з деталізацією до години, а також розрахунок агрегатів до рівня TSO та балансувальної зони. Відповідно до ENTSOG, "ці агреговані показники складаються з суми значень, наданих на рівні точки взаємоз'єднання TSOs, що виробляють сукупні фізичні потоки, призначення / перепризначення та розподіл між кожним TSO та його суміжною системою"</w:t>
      </w:r>
      <w:r w:rsidRPr="007E5633">
        <w:rPr>
          <w:rStyle w:val="aa"/>
          <w:rFonts w:cs="Arial"/>
          <w:noProof w:val="0"/>
          <w:sz w:val="22"/>
          <w:lang w:val="uk-UA"/>
        </w:rPr>
        <w:footnoteReference w:id="20"/>
      </w:r>
      <w:r w:rsidR="00BD153C">
        <w:rPr>
          <w:rFonts w:cs="Arial"/>
          <w:noProof w:val="0"/>
          <w:sz w:val="22"/>
          <w:lang w:val="uk-UA"/>
        </w:rPr>
        <w:t>.</w:t>
      </w:r>
    </w:p>
    <w:p w14:paraId="416B278B"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 xml:space="preserve">У 2011 році Європейська комісія прийняла Постанову № 1227/2011 про цілісність та прозорість оптового енергетичного ринку (REMIT) і тим самим розширила обсяги вимог прозорості та звітності від TSOs до оптового енергетичного ринку. </w:t>
      </w:r>
      <w:r w:rsidR="00BD153C" w:rsidRPr="007E5633">
        <w:rPr>
          <w:rFonts w:cs="Arial"/>
          <w:noProof w:val="0"/>
          <w:sz w:val="22"/>
          <w:lang w:val="uk-UA"/>
        </w:rPr>
        <w:t>Обґрунтування</w:t>
      </w:r>
      <w:r w:rsidRPr="007E5633">
        <w:rPr>
          <w:rFonts w:cs="Arial"/>
          <w:noProof w:val="0"/>
          <w:sz w:val="22"/>
          <w:lang w:val="uk-UA"/>
        </w:rPr>
        <w:t xml:space="preserve"> цього значного кількісного та якісного втручання на ринки електроенергії та газу ґрунтується на припущенні, що належне функціонування європейських оптових енергетичних ринків є захистом ефективної промислової та кінцевої споживчої цін. У свою чергу, Європейський Союз тепер оснащений комплексними завданнями та інструментами моніторингу, які дозволяють ACER, національним регуляторам та Європейській комісії (Directorate General Competition) розпочати запити та судові справи, якщо є факти, що свідчать про зловживання ринком або інсайдерську торгівлю.</w:t>
      </w:r>
    </w:p>
    <w:p w14:paraId="46D8D716"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Імплементація REMIT була доповнена Commission Implementation Act (№ 1348/2014), щоб визначити канали звітування та визначити конкретні зобов'язання та процедури звітності. ACER створив Remit Portal</w:t>
      </w:r>
      <w:r w:rsidRPr="007E5633">
        <w:rPr>
          <w:rStyle w:val="aa"/>
          <w:rFonts w:cs="Arial"/>
          <w:noProof w:val="0"/>
          <w:sz w:val="22"/>
          <w:lang w:val="uk-UA"/>
        </w:rPr>
        <w:footnoteReference w:id="21"/>
      </w:r>
      <w:r w:rsidRPr="007E5633">
        <w:rPr>
          <w:rFonts w:cs="Arial"/>
          <w:noProof w:val="0"/>
          <w:sz w:val="22"/>
          <w:lang w:val="uk-UA"/>
        </w:rPr>
        <w:t xml:space="preserve"> з системою даних, що називається ARIS, де учасникам ринку пропонується завантажувати фундаментальні та транзакційні дані за станом на 7 жовтня 2015 року (стандартні контракти) або з 7 квітня 2016 року (обумовлені договори). Обсяг звітності охоплює рівень виробничих потужностей системи передачі, виробничі потужності СПГ, фізичні та віртуальні вузли, точки з'єднання, точки виходу-входу місця зберігання, точки виходу від окремих замовників (наприклад, технічна потужність&gt; 600 ГВт / год). Контрактна сфера охоплює фізичну енергію та газ, а також фінансові продукти, починаючи з внутрішньоденних або впродовж дня до опціонів, ф'ючерсів та свопів (Положення 1348/2014, стаття 3-5). Також може бути запропоновано повідомити ACER про двосторонні, позабіржові, а також контракти, укладені за межами організованих ринків. На малюнку нижче представлений ландшафт звітності REMIT.</w:t>
      </w:r>
    </w:p>
    <w:p w14:paraId="07C04DCC"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Положення 1775/2005 говорить на сторінці L211 / 52-53:</w:t>
      </w:r>
    </w:p>
    <w:p w14:paraId="777546AD"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lastRenderedPageBreak/>
        <w:t>"3.3 Інформація, яка буде опублікована у всіх відповідних пунктах, та графік, згідно з яким ця інформація повинна бути опублікована:</w:t>
      </w:r>
    </w:p>
    <w:p w14:paraId="69254432"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(1) У всіх відповідних пунктах оператори системи передачі повинні публікувати наступну інформацію про ситуацію з виробничими потужностями до щоденних періодів в Інтернеті на регулярній / постійній основі та у зручний для користувачів стандартний спосіб:</w:t>
      </w:r>
    </w:p>
    <w:p w14:paraId="55B61AFD" w14:textId="77777777" w:rsidR="00B518C7" w:rsidRPr="007E5633" w:rsidRDefault="00B518C7" w:rsidP="009A4011">
      <w:pPr>
        <w:pStyle w:val="NormalGTP"/>
        <w:spacing w:line="240" w:lineRule="auto"/>
        <w:ind w:left="851" w:right="77"/>
        <w:rPr>
          <w:rFonts w:cs="Arial"/>
          <w:noProof w:val="0"/>
          <w:sz w:val="22"/>
          <w:lang w:val="uk-UA"/>
        </w:rPr>
      </w:pPr>
      <w:r w:rsidRPr="007E5633">
        <w:rPr>
          <w:rFonts w:cs="Arial"/>
          <w:noProof w:val="0"/>
          <w:sz w:val="22"/>
          <w:lang w:val="uk-UA"/>
        </w:rPr>
        <w:t>(а) максимальна технічна потужність для потоків в обох напрямках,</w:t>
      </w:r>
    </w:p>
    <w:p w14:paraId="46363A2B" w14:textId="77777777" w:rsidR="00B518C7" w:rsidRPr="007E5633" w:rsidRDefault="00B518C7" w:rsidP="009A4011">
      <w:pPr>
        <w:pStyle w:val="NormalGTP"/>
        <w:spacing w:line="240" w:lineRule="auto"/>
        <w:ind w:left="851" w:right="77"/>
        <w:rPr>
          <w:rFonts w:cs="Arial"/>
          <w:noProof w:val="0"/>
          <w:sz w:val="22"/>
          <w:lang w:val="uk-UA"/>
        </w:rPr>
      </w:pPr>
      <w:r w:rsidRPr="007E5633">
        <w:rPr>
          <w:rFonts w:cs="Arial"/>
          <w:noProof w:val="0"/>
          <w:sz w:val="22"/>
          <w:lang w:val="uk-UA"/>
        </w:rPr>
        <w:t>(б) загальна контрактна та перервна потужність,</w:t>
      </w:r>
    </w:p>
    <w:p w14:paraId="296270CB" w14:textId="77777777" w:rsidR="00B518C7" w:rsidRPr="007E5633" w:rsidRDefault="00B518C7" w:rsidP="009A4011">
      <w:pPr>
        <w:pStyle w:val="NormalGTP"/>
        <w:spacing w:line="240" w:lineRule="auto"/>
        <w:ind w:left="851" w:right="77"/>
        <w:rPr>
          <w:rFonts w:cs="Arial"/>
          <w:noProof w:val="0"/>
          <w:sz w:val="22"/>
          <w:lang w:val="uk-UA"/>
        </w:rPr>
      </w:pPr>
      <w:r w:rsidRPr="007E5633">
        <w:rPr>
          <w:rFonts w:cs="Arial"/>
          <w:noProof w:val="0"/>
          <w:sz w:val="22"/>
          <w:lang w:val="uk-UA"/>
        </w:rPr>
        <w:t>(в) наявна потужність.</w:t>
      </w:r>
    </w:p>
    <w:p w14:paraId="408DE82C"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(2) Для всіх відповідних пунктів оператори системи передачі оприлюднюють наявні потужності протягом не менше 18 місяців вперед і оновлюють цю інформацію принаймні щомісяця або частіше, якщо нова інформація стає доступною.</w:t>
      </w:r>
    </w:p>
    <w:p w14:paraId="1F10C451"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(3) Оператори системи передачі публікують щодня оновлення наявності короткострокових послуг (на наступний день та на наступний тиждень), що базується, зокрема, на номінаціях, переважаючих договірних зобов'язаннях та регулярних довгострокових прогнозах наявних потужностей щороку на період до 10 років за всі відповідні пункти.</w:t>
      </w:r>
    </w:p>
    <w:p w14:paraId="61481338"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(4) Оператори системи передачі публікують історичні максимальні та мінімальні місячні норми використання ресурсів та річні середні потоки у всіх відповідних пунктах протягом останніх трьох років на постійній основі.</w:t>
      </w:r>
    </w:p>
    <w:p w14:paraId="2516233D"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(5) Операційні системи передачі повинні щоденно вести журнал фактичних агрегованих потоків щонайменше протягом трьох місяців.</w:t>
      </w:r>
    </w:p>
    <w:p w14:paraId="5D52911B"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(6) Оператори системи передачі повинні зберігати ефективні документи про всі контракти про пропускну здатність та всю іншу відповідну інформацію щодо розрахунку та забезпечення доступу до наявних потужностей, до яких відповідні національні органи мають доступ для виконання своїх обов'язків.</w:t>
      </w:r>
    </w:p>
    <w:p w14:paraId="4395B09E" w14:textId="77777777" w:rsidR="00B518C7" w:rsidRPr="007E5633" w:rsidRDefault="00B518C7" w:rsidP="00B518C7">
      <w:pPr>
        <w:pStyle w:val="NormalGTP"/>
        <w:spacing w:line="240" w:lineRule="auto"/>
        <w:ind w:right="77"/>
        <w:rPr>
          <w:rFonts w:cs="Arial"/>
          <w:noProof w:val="0"/>
          <w:sz w:val="22"/>
          <w:lang w:val="uk-UA"/>
        </w:rPr>
      </w:pPr>
      <w:r w:rsidRPr="007E5633">
        <w:rPr>
          <w:rFonts w:cs="Arial"/>
          <w:noProof w:val="0"/>
          <w:sz w:val="22"/>
          <w:lang w:val="uk-UA"/>
        </w:rPr>
        <w:t>(7) Оператори системи передачі повинні надавати зручні інструменти для розрахунку тарифів на доступні послуги та для он-лайн перевірки наявної потужності.</w:t>
      </w:r>
    </w:p>
    <w:p w14:paraId="60A5883F" w14:textId="77777777" w:rsidR="00B518C7" w:rsidRPr="007E5633" w:rsidRDefault="00B518C7" w:rsidP="00B518C7">
      <w:pPr>
        <w:pStyle w:val="NormalGTP"/>
        <w:spacing w:line="240" w:lineRule="auto"/>
        <w:ind w:right="77"/>
        <w:rPr>
          <w:rFonts w:cs="Arial"/>
          <w:noProof w:val="0"/>
          <w:sz w:val="22"/>
          <w:highlight w:val="yellow"/>
          <w:lang w:val="uk-UA"/>
        </w:rPr>
      </w:pPr>
      <w:r w:rsidRPr="007E5633">
        <w:rPr>
          <w:rFonts w:cs="Arial"/>
          <w:noProof w:val="0"/>
          <w:sz w:val="22"/>
          <w:lang w:val="uk-UA"/>
        </w:rPr>
        <w:t>(8) Якщо оператори системи передачі не можуть оприлюднити інформацію відповідно до пунктів 1, 3 та 7, вони мають провести консультації з відповідними національними органами та розробити План дій для реалізації якомога швидше, але не пізніше 31 грудня 2006 року."</w:t>
      </w:r>
    </w:p>
    <w:p w14:paraId="4968B37A" w14:textId="77777777" w:rsidR="00F925AB" w:rsidRPr="007E5633" w:rsidRDefault="00B518C7"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35" w:name="_Toc533093946"/>
      <w:r w:rsidRPr="007E5633">
        <w:rPr>
          <w:rFonts w:ascii="Arial" w:hAnsi="Arial" w:cs="Arial"/>
          <w:color w:val="auto"/>
          <w:sz w:val="22"/>
          <w:szCs w:val="22"/>
          <w:lang w:val="uk-UA"/>
        </w:rPr>
        <w:t>Процес прозорості після завершення угоди</w:t>
      </w:r>
      <w:bookmarkEnd w:id="135"/>
    </w:p>
    <w:p w14:paraId="50BA19F3" w14:textId="77777777" w:rsidR="00E4309C" w:rsidRPr="007E5633" w:rsidRDefault="00B518C7" w:rsidP="009A4011">
      <w:pPr>
        <w:pStyle w:val="FSHeader1"/>
        <w:keepNext w:val="0"/>
        <w:pageBreakBefore w:val="0"/>
        <w:numPr>
          <w:ilvl w:val="3"/>
          <w:numId w:val="27"/>
        </w:numPr>
        <w:spacing w:before="120" w:after="120"/>
        <w:rPr>
          <w:rFonts w:ascii="Arial" w:hAnsi="Arial" w:cs="Arial"/>
          <w:color w:val="auto"/>
          <w:sz w:val="22"/>
          <w:szCs w:val="22"/>
          <w:lang w:val="uk-UA"/>
        </w:rPr>
      </w:pPr>
      <w:bookmarkStart w:id="136" w:name="_Toc533093947"/>
      <w:r w:rsidRPr="007E5633">
        <w:rPr>
          <w:rFonts w:ascii="Arial" w:hAnsi="Arial" w:cs="Arial"/>
          <w:color w:val="auto"/>
          <w:sz w:val="22"/>
          <w:szCs w:val="22"/>
          <w:lang w:val="uk-UA"/>
        </w:rPr>
        <w:t>Процес завершення позабіржових угод та розрахунки по них</w:t>
      </w:r>
      <w:bookmarkEnd w:id="136"/>
    </w:p>
    <w:p w14:paraId="0E8255D3" w14:textId="77777777" w:rsidR="00824B4E" w:rsidRPr="007E5633" w:rsidRDefault="00824B4E" w:rsidP="00824B4E">
      <w:pPr>
        <w:pStyle w:val="NormalGTP"/>
        <w:spacing w:line="240" w:lineRule="auto"/>
        <w:rPr>
          <w:rFonts w:cs="Arial"/>
          <w:noProof w:val="0"/>
          <w:sz w:val="22"/>
          <w:lang w:val="uk-UA"/>
        </w:rPr>
      </w:pPr>
      <w:r w:rsidRPr="007E5633">
        <w:rPr>
          <w:rFonts w:cs="Arial"/>
          <w:noProof w:val="0"/>
          <w:sz w:val="22"/>
          <w:lang w:val="uk-UA"/>
        </w:rPr>
        <w:t>Більшість енергоносіїв не торгуються на організованому ринку (енергобіржі), а на двосторонній основі або через платформи, якими користуються товарні брокери. Цей спосіб торгівлі енергією називається "позабіржовий" (“Over the Counter” – OTC). У позабіржовій торгівлі брокери запускають платформи, які використовуються учасниками ринку для співставлення/поєднання попиту та пропозиції. Брокери надають посередницькі послуги, вони лише об'єднують покупців і продавців на майданчику, тоді як операція здійснюється між покупцем і продавцем. Подальші процеси після виконання угоди виконуються двосторонньо між учасниками ринку та їх діловими партнерами (контрагентом, TSO, брокером тощо).</w:t>
      </w:r>
    </w:p>
    <w:p w14:paraId="39232B43" w14:textId="77777777" w:rsidR="00824B4E" w:rsidRPr="007E5633" w:rsidRDefault="00824B4E" w:rsidP="00824B4E">
      <w:pPr>
        <w:pStyle w:val="NormalGTP"/>
        <w:spacing w:line="240" w:lineRule="auto"/>
        <w:rPr>
          <w:rFonts w:cs="Arial"/>
          <w:noProof w:val="0"/>
          <w:sz w:val="22"/>
          <w:lang w:val="uk-UA"/>
        </w:rPr>
      </w:pPr>
      <w:r w:rsidRPr="007E5633">
        <w:rPr>
          <w:rFonts w:cs="Arial"/>
          <w:noProof w:val="0"/>
          <w:sz w:val="22"/>
          <w:lang w:val="uk-UA"/>
        </w:rPr>
        <w:t>Нижче описані після</w:t>
      </w:r>
      <w:r w:rsidR="00BD153C">
        <w:rPr>
          <w:rFonts w:cs="Arial"/>
          <w:noProof w:val="0"/>
          <w:sz w:val="22"/>
          <w:lang w:val="uk-UA"/>
        </w:rPr>
        <w:t>торговельні аспекти позабіржової</w:t>
      </w:r>
      <w:r w:rsidRPr="007E5633">
        <w:rPr>
          <w:rFonts w:cs="Arial"/>
          <w:noProof w:val="0"/>
          <w:sz w:val="22"/>
          <w:lang w:val="uk-UA"/>
        </w:rPr>
        <w:t xml:space="preserve"> </w:t>
      </w:r>
      <w:r w:rsidR="00BD153C">
        <w:rPr>
          <w:rFonts w:cs="Arial"/>
          <w:noProof w:val="0"/>
          <w:sz w:val="22"/>
          <w:lang w:val="uk-UA"/>
        </w:rPr>
        <w:t>торгівлі</w:t>
      </w:r>
      <w:r w:rsidRPr="007E5633">
        <w:rPr>
          <w:rFonts w:cs="Arial"/>
          <w:noProof w:val="0"/>
          <w:sz w:val="22"/>
          <w:lang w:val="uk-UA"/>
        </w:rPr>
        <w:t>:</w:t>
      </w:r>
    </w:p>
    <w:p w14:paraId="153F783E" w14:textId="77777777" w:rsidR="00824B4E" w:rsidRPr="007E5633" w:rsidRDefault="00824B4E" w:rsidP="000D248B">
      <w:pPr>
        <w:pStyle w:val="NormalGTP"/>
        <w:numPr>
          <w:ilvl w:val="2"/>
          <w:numId w:val="60"/>
        </w:numPr>
        <w:spacing w:line="240" w:lineRule="auto"/>
        <w:ind w:left="426"/>
        <w:rPr>
          <w:rFonts w:cs="Arial"/>
          <w:noProof w:val="0"/>
          <w:sz w:val="22"/>
          <w:lang w:val="uk-UA"/>
        </w:rPr>
      </w:pPr>
      <w:r w:rsidRPr="007E5633">
        <w:rPr>
          <w:rFonts w:cs="Arial"/>
          <w:noProof w:val="0"/>
          <w:sz w:val="22"/>
          <w:lang w:val="uk-UA"/>
        </w:rPr>
        <w:t>Торговельні підтвердження (Trade Confirmations) та електронне підтвердження відповідності (Confirmation Matching)</w:t>
      </w:r>
    </w:p>
    <w:p w14:paraId="3EF4A044" w14:textId="77777777" w:rsidR="00824B4E" w:rsidRPr="007E5633" w:rsidRDefault="00824B4E" w:rsidP="000D248B">
      <w:pPr>
        <w:pStyle w:val="NormalGTP"/>
        <w:numPr>
          <w:ilvl w:val="2"/>
          <w:numId w:val="60"/>
        </w:numPr>
        <w:spacing w:line="240" w:lineRule="auto"/>
        <w:ind w:left="426"/>
        <w:rPr>
          <w:rFonts w:cs="Arial"/>
          <w:noProof w:val="0"/>
          <w:sz w:val="22"/>
          <w:lang w:val="uk-UA"/>
        </w:rPr>
      </w:pPr>
      <w:r w:rsidRPr="007E5633">
        <w:rPr>
          <w:rFonts w:cs="Arial"/>
          <w:noProof w:val="0"/>
          <w:sz w:val="22"/>
          <w:lang w:val="uk-UA"/>
        </w:rPr>
        <w:t>Процес реєстрації клірингу</w:t>
      </w:r>
    </w:p>
    <w:p w14:paraId="49B51DF4" w14:textId="77777777" w:rsidR="00824B4E" w:rsidRPr="007E5633" w:rsidRDefault="00824B4E" w:rsidP="000D248B">
      <w:pPr>
        <w:pStyle w:val="NormalGTP"/>
        <w:numPr>
          <w:ilvl w:val="2"/>
          <w:numId w:val="60"/>
        </w:numPr>
        <w:spacing w:line="240" w:lineRule="auto"/>
        <w:ind w:left="426"/>
        <w:rPr>
          <w:rFonts w:cs="Arial"/>
          <w:noProof w:val="0"/>
          <w:sz w:val="22"/>
          <w:lang w:val="uk-UA"/>
        </w:rPr>
      </w:pPr>
      <w:r w:rsidRPr="007E5633">
        <w:rPr>
          <w:rFonts w:cs="Arial"/>
          <w:noProof w:val="0"/>
          <w:sz w:val="22"/>
          <w:lang w:val="uk-UA"/>
        </w:rPr>
        <w:lastRenderedPageBreak/>
        <w:t>Подальші позабіржові процеси практикуються на двосторонній основі між торговою організацією на етапі розрахунків. Вони не розглядаються більш детально, оскільки вони є "позабіржовими" та "не-TSO":</w:t>
      </w:r>
    </w:p>
    <w:p w14:paraId="444AFDE5" w14:textId="77777777" w:rsidR="00824B4E" w:rsidRPr="007E5633" w:rsidRDefault="00824B4E" w:rsidP="000D248B">
      <w:pPr>
        <w:pStyle w:val="NormalGTP"/>
        <w:numPr>
          <w:ilvl w:val="2"/>
          <w:numId w:val="60"/>
        </w:numPr>
        <w:spacing w:line="240" w:lineRule="auto"/>
        <w:ind w:left="426"/>
        <w:rPr>
          <w:rFonts w:cs="Arial"/>
          <w:noProof w:val="0"/>
          <w:sz w:val="22"/>
          <w:lang w:val="uk-UA"/>
        </w:rPr>
      </w:pPr>
      <w:r w:rsidRPr="007E5633">
        <w:rPr>
          <w:rFonts w:cs="Arial"/>
          <w:noProof w:val="0"/>
          <w:sz w:val="22"/>
          <w:lang w:val="uk-UA"/>
        </w:rPr>
        <w:t>Процес управління заставою</w:t>
      </w:r>
    </w:p>
    <w:p w14:paraId="0BFB1562" w14:textId="77777777" w:rsidR="00824B4E" w:rsidRPr="007E5633" w:rsidRDefault="00824B4E" w:rsidP="000D248B">
      <w:pPr>
        <w:pStyle w:val="NormalGTP"/>
        <w:numPr>
          <w:ilvl w:val="2"/>
          <w:numId w:val="60"/>
        </w:numPr>
        <w:spacing w:line="240" w:lineRule="auto"/>
        <w:ind w:left="426"/>
        <w:rPr>
          <w:rFonts w:cs="Arial"/>
          <w:noProof w:val="0"/>
          <w:sz w:val="22"/>
          <w:lang w:val="uk-UA"/>
        </w:rPr>
      </w:pPr>
      <w:r w:rsidRPr="007E5633">
        <w:rPr>
          <w:rFonts w:cs="Arial"/>
          <w:noProof w:val="0"/>
          <w:sz w:val="22"/>
          <w:lang w:val="uk-UA"/>
        </w:rPr>
        <w:t>Двосторонній процес розрахунків</w:t>
      </w:r>
    </w:p>
    <w:p w14:paraId="3A700640" w14:textId="77777777" w:rsidR="00BD153C" w:rsidRDefault="00BD153C" w:rsidP="000D248B">
      <w:pPr>
        <w:pStyle w:val="NormalGTP"/>
        <w:numPr>
          <w:ilvl w:val="2"/>
          <w:numId w:val="60"/>
        </w:numPr>
        <w:spacing w:line="240" w:lineRule="auto"/>
        <w:ind w:left="426"/>
        <w:rPr>
          <w:rFonts w:cs="Arial"/>
          <w:noProof w:val="0"/>
          <w:sz w:val="22"/>
          <w:lang w:val="uk-UA"/>
        </w:rPr>
      </w:pPr>
      <w:r>
        <w:rPr>
          <w:rFonts w:cs="Arial"/>
          <w:noProof w:val="0"/>
          <w:sz w:val="22"/>
          <w:lang w:val="uk-UA"/>
        </w:rPr>
        <w:t>Процес узгодження портфелю</w:t>
      </w:r>
    </w:p>
    <w:p w14:paraId="76ACA12F" w14:textId="77777777" w:rsidR="00F925AB" w:rsidRDefault="00BD153C" w:rsidP="000D248B">
      <w:pPr>
        <w:pStyle w:val="NormalGTP"/>
        <w:numPr>
          <w:ilvl w:val="2"/>
          <w:numId w:val="60"/>
        </w:numPr>
        <w:spacing w:line="240" w:lineRule="auto"/>
        <w:ind w:left="426"/>
        <w:rPr>
          <w:rFonts w:cs="Arial"/>
          <w:noProof w:val="0"/>
          <w:sz w:val="22"/>
          <w:lang w:val="uk-UA"/>
        </w:rPr>
      </w:pPr>
      <w:r>
        <w:rPr>
          <w:rFonts w:cs="Arial"/>
          <w:noProof w:val="0"/>
          <w:sz w:val="22"/>
          <w:lang w:val="uk-UA"/>
        </w:rPr>
        <w:t>Процес стиснення портфелю</w:t>
      </w:r>
    </w:p>
    <w:p w14:paraId="57B08368" w14:textId="77777777" w:rsidR="00BD153C" w:rsidRPr="007E5633" w:rsidRDefault="00BD153C" w:rsidP="00BD153C">
      <w:pPr>
        <w:pStyle w:val="NormalGTP"/>
        <w:spacing w:line="240" w:lineRule="auto"/>
        <w:ind w:left="426"/>
        <w:rPr>
          <w:rFonts w:cs="Arial"/>
          <w:noProof w:val="0"/>
          <w:sz w:val="22"/>
          <w:lang w:val="uk-UA"/>
        </w:rPr>
      </w:pPr>
    </w:p>
    <w:p w14:paraId="29AE0606" w14:textId="77777777" w:rsidR="00E4309C" w:rsidRPr="007E5633" w:rsidRDefault="00824B4E" w:rsidP="009A4011">
      <w:pPr>
        <w:pStyle w:val="FSHeader1"/>
        <w:keepNext w:val="0"/>
        <w:pageBreakBefore w:val="0"/>
        <w:numPr>
          <w:ilvl w:val="3"/>
          <w:numId w:val="27"/>
        </w:numPr>
        <w:spacing w:before="120" w:after="120"/>
        <w:ind w:left="567" w:hanging="567"/>
        <w:rPr>
          <w:rFonts w:ascii="Arial" w:hAnsi="Arial" w:cs="Arial"/>
          <w:color w:val="auto"/>
          <w:sz w:val="22"/>
          <w:szCs w:val="22"/>
          <w:lang w:val="uk-UA"/>
        </w:rPr>
      </w:pPr>
      <w:bookmarkStart w:id="137" w:name="_Toc533093948"/>
      <w:r w:rsidRPr="007E5633">
        <w:rPr>
          <w:rFonts w:ascii="Arial" w:hAnsi="Arial" w:cs="Arial"/>
          <w:color w:val="auto"/>
          <w:sz w:val="22"/>
          <w:szCs w:val="22"/>
          <w:lang w:val="uk-UA"/>
        </w:rPr>
        <w:t>Електронне підтвердження відповідності (eCM)</w:t>
      </w:r>
      <w:bookmarkEnd w:id="137"/>
    </w:p>
    <w:p w14:paraId="1429D479" w14:textId="77777777" w:rsidR="00824B4E" w:rsidRPr="007E5633" w:rsidRDefault="00824B4E" w:rsidP="00824B4E">
      <w:pPr>
        <w:pStyle w:val="af1"/>
        <w:jc w:val="both"/>
        <w:rPr>
          <w:rFonts w:eastAsia="Calibri" w:cs="Arial"/>
          <w:b w:val="0"/>
          <w:iCs w:val="0"/>
          <w:sz w:val="22"/>
          <w:szCs w:val="22"/>
          <w:lang w:val="uk-UA"/>
        </w:rPr>
      </w:pPr>
      <w:r w:rsidRPr="007E5633">
        <w:rPr>
          <w:rFonts w:eastAsia="Calibri" w:cs="Arial"/>
          <w:b w:val="0"/>
          <w:iCs w:val="0"/>
          <w:sz w:val="22"/>
          <w:szCs w:val="22"/>
          <w:lang w:val="uk-UA"/>
        </w:rPr>
        <w:t>Процес Electronic Confirmation Matching (eCM) практикується з 2005 року понад 100 європейськими торговцями енергією та брокерами. Це класичний бек-офісний процес, який практикується в позабіржовому світі торгівлі. eCM стандартизував бізнес-процес підтвердження відповідності за допомогою стандартних форматів даних підтвердження угод та стандартного протоколу зв'язку, який використовується між учасниками ринку.</w:t>
      </w:r>
    </w:p>
    <w:p w14:paraId="23C8D397" w14:textId="77777777" w:rsidR="00824B4E" w:rsidRPr="007E5633" w:rsidRDefault="00824B4E" w:rsidP="00824B4E">
      <w:pPr>
        <w:pStyle w:val="af1"/>
        <w:jc w:val="both"/>
        <w:rPr>
          <w:rFonts w:eastAsia="Calibri" w:cs="Arial"/>
          <w:b w:val="0"/>
          <w:iCs w:val="0"/>
          <w:sz w:val="22"/>
          <w:szCs w:val="22"/>
          <w:lang w:val="uk-UA"/>
        </w:rPr>
      </w:pPr>
      <w:r w:rsidRPr="007E5633">
        <w:rPr>
          <w:rFonts w:eastAsia="Calibri" w:cs="Arial"/>
          <w:b w:val="0"/>
          <w:iCs w:val="0"/>
          <w:sz w:val="22"/>
          <w:szCs w:val="22"/>
          <w:lang w:val="uk-UA"/>
        </w:rPr>
        <w:t>Мета полягає в тому, щоб уникнути розбіжностей в даних про угоди, що зберігаються у відповідних системах ETRMsystems учасників ринку, які можуть виникати через непорозуміння під час процесу голосової торгівлі або помилок обробки даних при отриманні даних торгівлі з платформи брокера.</w:t>
      </w:r>
    </w:p>
    <w:p w14:paraId="6A6A1315" w14:textId="77777777" w:rsidR="00824B4E" w:rsidRPr="007E5633" w:rsidRDefault="00824B4E" w:rsidP="00824B4E">
      <w:pPr>
        <w:pStyle w:val="af1"/>
        <w:jc w:val="both"/>
        <w:rPr>
          <w:rFonts w:eastAsia="Calibri" w:cs="Arial"/>
          <w:b w:val="0"/>
          <w:iCs w:val="0"/>
          <w:sz w:val="22"/>
          <w:szCs w:val="22"/>
          <w:lang w:val="uk-UA"/>
        </w:rPr>
      </w:pPr>
      <w:r w:rsidRPr="007E5633">
        <w:rPr>
          <w:rFonts w:eastAsia="Calibri" w:cs="Arial"/>
          <w:b w:val="0"/>
          <w:iCs w:val="0"/>
          <w:sz w:val="22"/>
          <w:szCs w:val="22"/>
          <w:lang w:val="uk-UA"/>
        </w:rPr>
        <w:t>Використовуючи EFETnet CMS (Central Matching System), трейдери та брокери поєднуються один з одним у трьохсторонніх відносинах:</w:t>
      </w:r>
    </w:p>
    <w:p w14:paraId="026AF48F" w14:textId="77777777" w:rsidR="00824B4E" w:rsidRPr="007E5633" w:rsidRDefault="00824B4E" w:rsidP="00824B4E">
      <w:pPr>
        <w:pStyle w:val="af1"/>
        <w:jc w:val="left"/>
        <w:rPr>
          <w:rFonts w:eastAsia="Calibri" w:cs="Arial"/>
          <w:b w:val="0"/>
          <w:iCs w:val="0"/>
          <w:sz w:val="22"/>
          <w:szCs w:val="22"/>
          <w:lang w:val="uk-UA"/>
        </w:rPr>
      </w:pPr>
    </w:p>
    <w:p w14:paraId="5C34C2F3" w14:textId="1CA13C0A" w:rsidR="00E4309C" w:rsidRPr="007E5633" w:rsidRDefault="00824B4E" w:rsidP="00824B4E">
      <w:pPr>
        <w:pStyle w:val="af1"/>
        <w:jc w:val="left"/>
        <w:rPr>
          <w:rFonts w:cs="Arial"/>
          <w:sz w:val="22"/>
          <w:szCs w:val="22"/>
          <w:highlight w:val="yellow"/>
          <w:lang w:val="uk-UA"/>
        </w:rPr>
      </w:pPr>
      <w:bookmarkStart w:id="138" w:name="_Toc533094060"/>
      <w:r w:rsidRPr="007E5633">
        <w:rPr>
          <w:rFonts w:cs="Arial"/>
          <w:iCs w:val="0"/>
          <w:sz w:val="22"/>
          <w:szCs w:val="22"/>
          <w:lang w:val="uk-UA"/>
        </w:rPr>
        <w:t xml:space="preserve">Схема </w:t>
      </w:r>
      <w:r w:rsidR="00622EE2" w:rsidRPr="007E5633">
        <w:rPr>
          <w:rFonts w:cs="Arial"/>
          <w:sz w:val="22"/>
          <w:szCs w:val="22"/>
          <w:lang w:val="uk-UA"/>
        </w:rPr>
        <w:fldChar w:fldCharType="begin"/>
      </w:r>
      <w:r w:rsidR="00F35712"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33</w:t>
      </w:r>
      <w:r w:rsidR="00622EE2" w:rsidRPr="007E5633">
        <w:rPr>
          <w:rFonts w:cs="Arial"/>
          <w:sz w:val="22"/>
          <w:szCs w:val="22"/>
          <w:lang w:val="uk-UA"/>
        </w:rPr>
        <w:fldChar w:fldCharType="end"/>
      </w:r>
      <w:r w:rsidR="00F35712" w:rsidRPr="007E5633">
        <w:rPr>
          <w:rFonts w:cs="Arial"/>
          <w:sz w:val="22"/>
          <w:szCs w:val="22"/>
          <w:lang w:val="uk-UA"/>
        </w:rPr>
        <w:t xml:space="preserve">: </w:t>
      </w:r>
      <w:r w:rsidRPr="007E5633">
        <w:rPr>
          <w:rFonts w:cs="Arial"/>
          <w:iCs w:val="0"/>
          <w:sz w:val="22"/>
          <w:szCs w:val="22"/>
          <w:lang w:val="uk-UA"/>
        </w:rPr>
        <w:t>Торгове підтвердження відповідності відносин</w:t>
      </w:r>
      <w:bookmarkEnd w:id="138"/>
    </w:p>
    <w:p w14:paraId="6F27DC89" w14:textId="77777777" w:rsidR="00E4309C" w:rsidRPr="007E5633" w:rsidRDefault="00E4309C" w:rsidP="00E4309C">
      <w:pPr>
        <w:spacing w:line="240" w:lineRule="auto"/>
        <w:jc w:val="center"/>
        <w:rPr>
          <w:rFonts w:ascii="Arial" w:hAnsi="Arial" w:cs="Arial"/>
          <w:highlight w:val="yellow"/>
          <w:lang w:val="uk-UA"/>
        </w:rPr>
      </w:pPr>
      <w:r w:rsidRPr="007E5633">
        <w:rPr>
          <w:rFonts w:ascii="Arial" w:hAnsi="Arial" w:cs="Arial"/>
          <w:noProof/>
          <w:lang w:val="en-US"/>
        </w:rPr>
        <w:drawing>
          <wp:inline distT="0" distB="0" distL="0" distR="0" wp14:anchorId="0F4B19D8" wp14:editId="4F2B2CDD">
            <wp:extent cx="3278038" cy="2868283"/>
            <wp:effectExtent l="0" t="0" r="0" b="8890"/>
            <wp:docPr id="59" name="Picture 59" descr="eCM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M_onlin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80986" cy="2870863"/>
                    </a:xfrm>
                    <a:prstGeom prst="rect">
                      <a:avLst/>
                    </a:prstGeom>
                    <a:noFill/>
                    <a:ln>
                      <a:noFill/>
                    </a:ln>
                  </pic:spPr>
                </pic:pic>
              </a:graphicData>
            </a:graphic>
          </wp:inline>
        </w:drawing>
      </w:r>
    </w:p>
    <w:p w14:paraId="67447911" w14:textId="77777777" w:rsidR="00824B4E" w:rsidRPr="007E5633" w:rsidRDefault="00824B4E" w:rsidP="00824B4E">
      <w:pPr>
        <w:jc w:val="both"/>
        <w:rPr>
          <w:rFonts w:ascii="Arial" w:hAnsi="Arial" w:cs="Arial"/>
          <w:lang w:val="uk-UA"/>
        </w:rPr>
      </w:pPr>
      <w:r w:rsidRPr="007E5633">
        <w:rPr>
          <w:rFonts w:ascii="Arial" w:hAnsi="Arial" w:cs="Arial"/>
          <w:lang w:val="uk-UA"/>
        </w:rPr>
        <w:t>Процес електронного підтвердження відповідності (eCM) дозволяє трейдерам та брокеру завантажувати свої відповідні дані про торгівлю в CML для узгодження. Відповідність відбувається між:</w:t>
      </w:r>
    </w:p>
    <w:p w14:paraId="48E56069" w14:textId="77777777" w:rsidR="00824B4E" w:rsidRPr="007E5633" w:rsidRDefault="00824B4E" w:rsidP="000D248B">
      <w:pPr>
        <w:pStyle w:val="a4"/>
        <w:numPr>
          <w:ilvl w:val="0"/>
          <w:numId w:val="32"/>
        </w:numPr>
        <w:jc w:val="both"/>
        <w:rPr>
          <w:rFonts w:ascii="Arial" w:hAnsi="Arial" w:cs="Arial"/>
          <w:lang w:val="uk-UA"/>
        </w:rPr>
      </w:pPr>
      <w:r w:rsidRPr="007E5633">
        <w:rPr>
          <w:rFonts w:ascii="Arial" w:hAnsi="Arial" w:cs="Arial"/>
          <w:lang w:val="uk-UA"/>
        </w:rPr>
        <w:t>двома контрагентами</w:t>
      </w:r>
    </w:p>
    <w:p w14:paraId="22B070D1" w14:textId="77777777" w:rsidR="00824B4E" w:rsidRPr="007E5633" w:rsidRDefault="00824B4E" w:rsidP="000D248B">
      <w:pPr>
        <w:pStyle w:val="a4"/>
        <w:numPr>
          <w:ilvl w:val="0"/>
          <w:numId w:val="32"/>
        </w:numPr>
        <w:jc w:val="both"/>
        <w:rPr>
          <w:rFonts w:ascii="Arial" w:hAnsi="Arial" w:cs="Arial"/>
          <w:lang w:val="uk-UA"/>
        </w:rPr>
      </w:pPr>
      <w:r w:rsidRPr="007E5633">
        <w:rPr>
          <w:rFonts w:ascii="Arial" w:hAnsi="Arial" w:cs="Arial"/>
          <w:lang w:val="uk-UA"/>
        </w:rPr>
        <w:t>брокером і покупцем</w:t>
      </w:r>
    </w:p>
    <w:p w14:paraId="65E4BF24" w14:textId="77777777" w:rsidR="00824B4E" w:rsidRPr="007E5633" w:rsidRDefault="00824B4E" w:rsidP="000D248B">
      <w:pPr>
        <w:pStyle w:val="a4"/>
        <w:numPr>
          <w:ilvl w:val="0"/>
          <w:numId w:val="32"/>
        </w:numPr>
        <w:jc w:val="both"/>
        <w:rPr>
          <w:rFonts w:ascii="Arial" w:hAnsi="Arial" w:cs="Arial"/>
          <w:lang w:val="uk-UA"/>
        </w:rPr>
      </w:pPr>
      <w:r w:rsidRPr="007E5633">
        <w:rPr>
          <w:rFonts w:ascii="Arial" w:hAnsi="Arial" w:cs="Arial"/>
          <w:lang w:val="uk-UA"/>
        </w:rPr>
        <w:t>брокером і продавцем.</w:t>
      </w:r>
    </w:p>
    <w:p w14:paraId="1385B148" w14:textId="77777777" w:rsidR="00824B4E" w:rsidRPr="007E5633" w:rsidRDefault="00824B4E" w:rsidP="00824B4E">
      <w:pPr>
        <w:jc w:val="both"/>
        <w:rPr>
          <w:rFonts w:ascii="Arial" w:hAnsi="Arial" w:cs="Arial"/>
          <w:lang w:val="uk-UA"/>
        </w:rPr>
      </w:pPr>
      <w:r w:rsidRPr="007E5633">
        <w:rPr>
          <w:rFonts w:ascii="Arial" w:hAnsi="Arial" w:cs="Arial"/>
          <w:lang w:val="uk-UA"/>
        </w:rPr>
        <w:t xml:space="preserve">Тільки якщо всі підтвердження було укладено, угода вважається </w:t>
      </w:r>
      <w:r w:rsidR="00BD153C" w:rsidRPr="007E5633">
        <w:rPr>
          <w:rFonts w:ascii="Arial" w:hAnsi="Arial" w:cs="Arial"/>
          <w:lang w:val="uk-UA"/>
        </w:rPr>
        <w:t>підтвердженню</w:t>
      </w:r>
      <w:r w:rsidRPr="007E5633">
        <w:rPr>
          <w:rFonts w:ascii="Arial" w:hAnsi="Arial" w:cs="Arial"/>
          <w:lang w:val="uk-UA"/>
        </w:rPr>
        <w:t>.</w:t>
      </w:r>
    </w:p>
    <w:p w14:paraId="0AEECB89" w14:textId="77777777" w:rsidR="00824B4E" w:rsidRPr="007E5633" w:rsidRDefault="00824B4E" w:rsidP="00824B4E">
      <w:pPr>
        <w:jc w:val="both"/>
        <w:rPr>
          <w:rFonts w:ascii="Arial" w:hAnsi="Arial" w:cs="Arial"/>
          <w:lang w:val="uk-UA"/>
        </w:rPr>
      </w:pPr>
      <w:r w:rsidRPr="007E5633">
        <w:rPr>
          <w:rFonts w:ascii="Arial" w:hAnsi="Arial" w:cs="Arial"/>
          <w:lang w:val="uk-UA"/>
        </w:rPr>
        <w:lastRenderedPageBreak/>
        <w:t>Технічно CMS шукає існуючі угоди після того, як завантажується нова угода. Якщо така угода була знайдена, порівнюються всі основні дані, і лише якщо всі вони попарно рівні, дві торговельні підтвердження розглядаються як «узгоджені». У такому випадку контрагенти та брокер отримують позитивне підтвердження, що вони можуть позначати торгівлю як "підтверджену" у своїх торговельних системах.</w:t>
      </w:r>
    </w:p>
    <w:p w14:paraId="0602F8FA" w14:textId="77777777" w:rsidR="00824B4E" w:rsidRPr="007E5633" w:rsidRDefault="00824B4E" w:rsidP="00824B4E">
      <w:pPr>
        <w:jc w:val="both"/>
        <w:rPr>
          <w:rFonts w:ascii="Arial" w:hAnsi="Arial" w:cs="Arial"/>
          <w:lang w:val="uk-UA"/>
        </w:rPr>
      </w:pPr>
      <w:r w:rsidRPr="007E5633">
        <w:rPr>
          <w:rFonts w:ascii="Arial" w:hAnsi="Arial" w:cs="Arial"/>
          <w:lang w:val="uk-UA"/>
        </w:rPr>
        <w:t>У 2016 р. Понад 600 000 позабіржових операцій підтверджувалися з використанням EFETnet CMS. Менше 2% з них потребують додаткової уваги через невідповідність. На основі функціональності EFETnet мав змогу запропонувати процес реєстрації звітності в рамках EMIR та REMIT (eRR). EFETnet бере 2,99 євро за угоду з кожного контрагента. Для дрібних торговців, що мають &lt;250 угод протягом місяця, підтвердження відповідності є безкоштовним. Для великих торговців кожна угода понад 10 000 угод на місяць також безкоштовна. Вартість EFETnet для eCM включає також процес подання регуляторних звітів в рамках EMIR та REMIT (див. відповідний розділ нижче).</w:t>
      </w:r>
    </w:p>
    <w:p w14:paraId="3B1636C2" w14:textId="77777777" w:rsidR="00824B4E" w:rsidRPr="007E5633" w:rsidRDefault="00824B4E" w:rsidP="00824B4E">
      <w:pPr>
        <w:jc w:val="both"/>
        <w:rPr>
          <w:rFonts w:ascii="Arial" w:hAnsi="Arial" w:cs="Arial"/>
          <w:lang w:val="uk-UA"/>
        </w:rPr>
      </w:pPr>
      <w:r w:rsidRPr="007E5633">
        <w:rPr>
          <w:rFonts w:ascii="Arial" w:hAnsi="Arial" w:cs="Arial"/>
          <w:lang w:val="uk-UA"/>
        </w:rPr>
        <w:t>Якщо нова угода не буде співставлена, вона може бути першою, завантаженою учасником. У цьому випадку вона залишатиметься зі статусом "очікує на розгляд", доки відповідна угода не буде завантажена іншими сторонами.</w:t>
      </w:r>
    </w:p>
    <w:p w14:paraId="5E3F8332" w14:textId="77777777" w:rsidR="00824B4E" w:rsidRPr="007E5633" w:rsidRDefault="00824B4E" w:rsidP="00824B4E">
      <w:pPr>
        <w:jc w:val="both"/>
        <w:rPr>
          <w:rFonts w:ascii="Arial" w:hAnsi="Arial" w:cs="Arial"/>
          <w:lang w:val="uk-UA"/>
        </w:rPr>
      </w:pPr>
      <w:r w:rsidRPr="007E5633">
        <w:rPr>
          <w:rFonts w:ascii="Arial" w:hAnsi="Arial" w:cs="Arial"/>
          <w:lang w:val="uk-UA"/>
        </w:rPr>
        <w:t>У рідкісних випадках підтвердження торгівлі мають розбіжності, наприклад, помилки округлення, різні пункти доставки тощо. У такому випадку підтвердження угоди залишатиметься в системі - навіть якщо інша сторона вже завантажила свою версію підтвердження торгівлі .</w:t>
      </w:r>
    </w:p>
    <w:p w14:paraId="45990362" w14:textId="77777777" w:rsidR="00824B4E" w:rsidRPr="007E5633" w:rsidRDefault="00824B4E" w:rsidP="00824B4E">
      <w:pPr>
        <w:jc w:val="both"/>
        <w:rPr>
          <w:rFonts w:ascii="Arial" w:hAnsi="Arial" w:cs="Arial"/>
          <w:lang w:val="uk-UA"/>
        </w:rPr>
      </w:pPr>
      <w:r w:rsidRPr="007E5633">
        <w:rPr>
          <w:rFonts w:ascii="Arial" w:hAnsi="Arial" w:cs="Arial"/>
          <w:lang w:val="uk-UA"/>
        </w:rPr>
        <w:t>Підтвердження, що очікує на розгляд, залишається в CMS доти, поки учасник не виявить, що малося відбутися співставлення, наприклад, оскільки відповідність чомусь не відбулася навіть на наступний день. З цієї причини співробітники бек-офісу час від часу перевіряють загальний статус підтвердження, використовуючи дані панелі керування в процесі eCM. Тут, очікувані угоди можуть легко бути ідентифіковані та проаналізовані, при необхідності, також у співпраці з бек-офісом контрагента. Коли помилка була виявлена ​​на стороні однієї сторони, відповідальна сторона коригує дані у своїй системі ETRM і знову завантажує змінені дані, доки вона остаточно не буде узгоджена.</w:t>
      </w:r>
    </w:p>
    <w:p w14:paraId="1A23A7DC" w14:textId="77777777" w:rsidR="00824B4E" w:rsidRPr="007E5633" w:rsidRDefault="00824B4E" w:rsidP="00824B4E">
      <w:pPr>
        <w:jc w:val="both"/>
        <w:rPr>
          <w:rFonts w:ascii="Arial" w:hAnsi="Arial" w:cs="Arial"/>
          <w:lang w:val="uk-UA"/>
        </w:rPr>
      </w:pPr>
      <w:r w:rsidRPr="007E5633">
        <w:rPr>
          <w:rFonts w:ascii="Arial" w:hAnsi="Arial" w:cs="Arial"/>
          <w:lang w:val="uk-UA"/>
        </w:rPr>
        <w:t>Щоб допомогти знайти кандидатів для підтверджень контрагентами з розбіжністю у значеннях даних, використовується інструмент Near-Match Finder: цей інструмент розраховує найменшу близькість з точки зору розбіжностей між елементами даних, по яких не відбулося підтвердження відповідності та не було здійснено відповідне підтвердження від контрагента. Це дозволяє у більшості випадків співробітникам бек-офісу легко ідентифікувати найбільш імовірне підтвердження торгівлі контрагентом та визначити помилку, і яка сторона повинна її виправити.</w:t>
      </w:r>
    </w:p>
    <w:p w14:paraId="64EB73EB" w14:textId="77777777" w:rsidR="009A4011" w:rsidRPr="007E5633" w:rsidRDefault="009A4011">
      <w:pPr>
        <w:suppressAutoHyphens w:val="0"/>
        <w:rPr>
          <w:rFonts w:ascii="Arial" w:eastAsia="Times New Roman" w:hAnsi="Arial" w:cs="Arial"/>
          <w:b/>
          <w:lang w:val="uk-UA"/>
        </w:rPr>
      </w:pPr>
      <w:bookmarkStart w:id="139" w:name="_Toc428388857"/>
      <w:r w:rsidRPr="007E5633">
        <w:rPr>
          <w:rFonts w:cs="Arial"/>
          <w:iCs/>
          <w:lang w:val="uk-UA"/>
        </w:rPr>
        <w:br w:type="page"/>
      </w:r>
    </w:p>
    <w:p w14:paraId="37CAE5C6" w14:textId="60184343" w:rsidR="00E4309C" w:rsidRPr="007E5633" w:rsidRDefault="00824B4E" w:rsidP="004C5694">
      <w:pPr>
        <w:pStyle w:val="af1"/>
        <w:jc w:val="left"/>
        <w:rPr>
          <w:rFonts w:cs="Arial"/>
          <w:sz w:val="22"/>
          <w:szCs w:val="22"/>
          <w:lang w:val="uk-UA"/>
        </w:rPr>
      </w:pPr>
      <w:bookmarkStart w:id="140" w:name="_Toc533094061"/>
      <w:r w:rsidRPr="007E5633">
        <w:rPr>
          <w:rFonts w:cs="Arial"/>
          <w:iCs w:val="0"/>
          <w:sz w:val="22"/>
          <w:szCs w:val="22"/>
          <w:lang w:val="uk-UA"/>
        </w:rPr>
        <w:lastRenderedPageBreak/>
        <w:t>Схема</w:t>
      </w:r>
      <w:r w:rsidR="004C5694" w:rsidRPr="007E5633">
        <w:rPr>
          <w:rFonts w:cs="Arial"/>
          <w:sz w:val="22"/>
          <w:szCs w:val="22"/>
          <w:lang w:val="uk-UA"/>
        </w:rPr>
        <w:t xml:space="preserve"> </w:t>
      </w:r>
      <w:r w:rsidR="00622EE2" w:rsidRPr="007E5633">
        <w:rPr>
          <w:rFonts w:cs="Arial"/>
          <w:sz w:val="22"/>
          <w:szCs w:val="22"/>
          <w:lang w:val="uk-UA"/>
        </w:rPr>
        <w:fldChar w:fldCharType="begin"/>
      </w:r>
      <w:r w:rsidR="004C5694"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34</w:t>
      </w:r>
      <w:r w:rsidR="00622EE2" w:rsidRPr="007E5633">
        <w:rPr>
          <w:rFonts w:cs="Arial"/>
          <w:sz w:val="22"/>
          <w:szCs w:val="22"/>
          <w:lang w:val="uk-UA"/>
        </w:rPr>
        <w:fldChar w:fldCharType="end"/>
      </w:r>
      <w:r w:rsidR="004C5694" w:rsidRPr="007E5633">
        <w:rPr>
          <w:rFonts w:cs="Arial"/>
          <w:sz w:val="22"/>
          <w:szCs w:val="22"/>
          <w:lang w:val="uk-UA"/>
        </w:rPr>
        <w:t xml:space="preserve">: </w:t>
      </w:r>
      <w:bookmarkEnd w:id="139"/>
      <w:r w:rsidRPr="007E5633">
        <w:rPr>
          <w:rFonts w:cs="Arial"/>
          <w:iCs w:val="0"/>
          <w:sz w:val="22"/>
          <w:szCs w:val="22"/>
          <w:lang w:val="uk-UA"/>
        </w:rPr>
        <w:t>eCM Near-Match Finder</w:t>
      </w:r>
      <w:bookmarkEnd w:id="140"/>
    </w:p>
    <w:p w14:paraId="7DDDA9E1" w14:textId="77777777" w:rsidR="00E4309C" w:rsidRPr="007E5633" w:rsidRDefault="00E4309C" w:rsidP="00E4309C">
      <w:pPr>
        <w:spacing w:line="240" w:lineRule="auto"/>
        <w:jc w:val="center"/>
        <w:rPr>
          <w:rFonts w:ascii="Arial" w:hAnsi="Arial" w:cs="Arial"/>
          <w:highlight w:val="yellow"/>
          <w:lang w:val="uk-UA"/>
        </w:rPr>
      </w:pPr>
      <w:r w:rsidRPr="007E5633">
        <w:rPr>
          <w:rFonts w:ascii="Arial" w:hAnsi="Arial" w:cs="Arial"/>
          <w:noProof/>
          <w:lang w:val="en-US"/>
        </w:rPr>
        <w:drawing>
          <wp:inline distT="0" distB="0" distL="0" distR="0" wp14:anchorId="4664F95E" wp14:editId="2ABF783F">
            <wp:extent cx="5924550" cy="2619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4550" cy="2619375"/>
                    </a:xfrm>
                    <a:prstGeom prst="rect">
                      <a:avLst/>
                    </a:prstGeom>
                    <a:noFill/>
                    <a:ln>
                      <a:noFill/>
                    </a:ln>
                  </pic:spPr>
                </pic:pic>
              </a:graphicData>
            </a:graphic>
          </wp:inline>
        </w:drawing>
      </w:r>
    </w:p>
    <w:p w14:paraId="3BCB0B7C" w14:textId="77777777" w:rsidR="00824B4E" w:rsidRPr="007E5633" w:rsidRDefault="00824B4E" w:rsidP="00824B4E">
      <w:pPr>
        <w:jc w:val="both"/>
        <w:rPr>
          <w:rFonts w:ascii="Arial" w:hAnsi="Arial" w:cs="Arial"/>
          <w:lang w:val="uk-UA"/>
        </w:rPr>
      </w:pPr>
      <w:r w:rsidRPr="007E5633">
        <w:rPr>
          <w:rFonts w:ascii="Arial" w:hAnsi="Arial" w:cs="Arial"/>
          <w:lang w:val="uk-UA"/>
        </w:rPr>
        <w:t>Електронне підтвердження відповідності допомогло знизити вартість операцій для торгових бек-офісів і зменшити ризик, оскільки дані системи ETRM синхронізувалися по всій галузі.</w:t>
      </w:r>
    </w:p>
    <w:p w14:paraId="77845981" w14:textId="37D37973" w:rsidR="00E4309C" w:rsidRPr="007E5633" w:rsidRDefault="00824B4E" w:rsidP="004C5694">
      <w:pPr>
        <w:pStyle w:val="af1"/>
        <w:jc w:val="left"/>
        <w:rPr>
          <w:rFonts w:cs="Arial"/>
          <w:sz w:val="22"/>
          <w:szCs w:val="22"/>
          <w:highlight w:val="yellow"/>
          <w:lang w:val="uk-UA"/>
        </w:rPr>
      </w:pPr>
      <w:bookmarkStart w:id="141" w:name="_Toc533094062"/>
      <w:r w:rsidRPr="007E5633">
        <w:rPr>
          <w:rFonts w:cs="Arial"/>
          <w:iCs w:val="0"/>
          <w:sz w:val="22"/>
          <w:szCs w:val="22"/>
          <w:lang w:val="uk-UA"/>
        </w:rPr>
        <w:t>Схема</w:t>
      </w:r>
      <w:r w:rsidR="004C5694" w:rsidRPr="007E5633">
        <w:rPr>
          <w:rFonts w:cs="Arial"/>
          <w:sz w:val="22"/>
          <w:szCs w:val="22"/>
          <w:lang w:val="uk-UA"/>
        </w:rPr>
        <w:t xml:space="preserve"> </w:t>
      </w:r>
      <w:r w:rsidR="00622EE2" w:rsidRPr="007E5633">
        <w:rPr>
          <w:rFonts w:cs="Arial"/>
          <w:sz w:val="22"/>
          <w:szCs w:val="22"/>
          <w:lang w:val="uk-UA"/>
        </w:rPr>
        <w:fldChar w:fldCharType="begin"/>
      </w:r>
      <w:r w:rsidR="004C5694"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35</w:t>
      </w:r>
      <w:r w:rsidR="00622EE2" w:rsidRPr="007E5633">
        <w:rPr>
          <w:rFonts w:cs="Arial"/>
          <w:sz w:val="22"/>
          <w:szCs w:val="22"/>
          <w:lang w:val="uk-UA"/>
        </w:rPr>
        <w:fldChar w:fldCharType="end"/>
      </w:r>
      <w:r w:rsidR="004C5694" w:rsidRPr="007E5633">
        <w:rPr>
          <w:rFonts w:cs="Arial"/>
          <w:sz w:val="22"/>
          <w:szCs w:val="22"/>
          <w:lang w:val="uk-UA"/>
        </w:rPr>
        <w:t xml:space="preserve">: </w:t>
      </w:r>
      <w:r w:rsidRPr="007E5633">
        <w:rPr>
          <w:rFonts w:cs="Arial"/>
          <w:sz w:val="22"/>
          <w:szCs w:val="22"/>
          <w:lang w:val="uk-UA"/>
        </w:rPr>
        <w:t>Архітектура центральної системи відповідності EFETnet (EFETnet Central Matching System)</w:t>
      </w:r>
      <w:bookmarkEnd w:id="141"/>
    </w:p>
    <w:p w14:paraId="2B6A9251" w14:textId="77777777" w:rsidR="00E4309C" w:rsidRPr="007E5633" w:rsidRDefault="00E4309C" w:rsidP="00E4309C">
      <w:pPr>
        <w:spacing w:line="240" w:lineRule="auto"/>
        <w:jc w:val="center"/>
        <w:rPr>
          <w:rFonts w:ascii="Arial" w:hAnsi="Arial" w:cs="Arial"/>
          <w:highlight w:val="yellow"/>
          <w:lang w:val="uk-UA"/>
        </w:rPr>
      </w:pPr>
      <w:r w:rsidRPr="007E5633">
        <w:rPr>
          <w:rFonts w:ascii="Arial" w:hAnsi="Arial" w:cs="Arial"/>
          <w:noProof/>
          <w:lang w:val="en-US"/>
        </w:rPr>
        <w:drawing>
          <wp:inline distT="0" distB="0" distL="0" distR="0" wp14:anchorId="0E74CE59" wp14:editId="321CEE6C">
            <wp:extent cx="4822166" cy="3499271"/>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24385" cy="3500881"/>
                    </a:xfrm>
                    <a:prstGeom prst="rect">
                      <a:avLst/>
                    </a:prstGeom>
                    <a:noFill/>
                    <a:ln>
                      <a:noFill/>
                    </a:ln>
                  </pic:spPr>
                </pic:pic>
              </a:graphicData>
            </a:graphic>
          </wp:inline>
        </w:drawing>
      </w:r>
    </w:p>
    <w:p w14:paraId="327BE8FF" w14:textId="77777777" w:rsidR="00A44CF0" w:rsidRPr="007E5633" w:rsidRDefault="00824B4E" w:rsidP="009A4011">
      <w:pPr>
        <w:pStyle w:val="FSHeader1"/>
        <w:keepNext w:val="0"/>
        <w:pageBreakBefore w:val="0"/>
        <w:numPr>
          <w:ilvl w:val="1"/>
          <w:numId w:val="27"/>
        </w:numPr>
        <w:spacing w:after="120"/>
        <w:ind w:left="434" w:hanging="434"/>
        <w:rPr>
          <w:rFonts w:ascii="Arial" w:hAnsi="Arial" w:cs="Arial"/>
          <w:sz w:val="26"/>
          <w:szCs w:val="26"/>
          <w:lang w:val="uk-UA"/>
        </w:rPr>
      </w:pPr>
      <w:bookmarkStart w:id="142" w:name="_Toc533093949"/>
      <w:r w:rsidRPr="007E5633">
        <w:rPr>
          <w:rFonts w:ascii="Arial" w:hAnsi="Arial" w:cs="Arial"/>
          <w:sz w:val="26"/>
          <w:szCs w:val="26"/>
          <w:lang w:val="uk-UA"/>
        </w:rPr>
        <w:t>Оподаткування енергетичних продуктів</w:t>
      </w:r>
      <w:bookmarkEnd w:id="142"/>
    </w:p>
    <w:p w14:paraId="56A6419F"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43" w:name="_Toc533093950"/>
      <w:r w:rsidRPr="007E5633">
        <w:rPr>
          <w:rFonts w:ascii="Arial" w:hAnsi="Arial" w:cs="Arial"/>
          <w:color w:val="auto"/>
          <w:sz w:val="22"/>
          <w:szCs w:val="22"/>
          <w:lang w:val="uk-UA"/>
        </w:rPr>
        <w:t>Вступ</w:t>
      </w:r>
      <w:bookmarkEnd w:id="143"/>
    </w:p>
    <w:p w14:paraId="43305970" w14:textId="77777777" w:rsidR="00824B4E" w:rsidRPr="007E5633" w:rsidRDefault="00824B4E" w:rsidP="00824B4E">
      <w:pPr>
        <w:pStyle w:val="af4"/>
        <w:rPr>
          <w:sz w:val="22"/>
          <w:szCs w:val="22"/>
          <w:lang w:val="uk-UA"/>
        </w:rPr>
      </w:pPr>
      <w:r w:rsidRPr="007E5633">
        <w:rPr>
          <w:sz w:val="22"/>
          <w:szCs w:val="22"/>
          <w:lang w:val="uk-UA"/>
        </w:rPr>
        <w:t xml:space="preserve">Оптова торгівля енергоносіями, як правило, у чистому вигляді не оподатковується у Європейському Союзі. Проте існують численні податки, що стягуються за газ / електроенергію та послуги, пов'язані з ними на різних етапах їх ланцюжка створення вартості. Оскільки податки, як правило, стягуються національними урядами, існує </w:t>
      </w:r>
      <w:r w:rsidRPr="007E5633">
        <w:rPr>
          <w:sz w:val="22"/>
          <w:szCs w:val="22"/>
          <w:lang w:val="uk-UA"/>
        </w:rPr>
        <w:lastRenderedPageBreak/>
        <w:t>широкий спектр схем та шляхів, в результаті яких оподатковується енергія. Оскільки податки, як правило, не обмежуються цими ринками та є частиною загальноекономічної системи (наприклад, податок на прибуток або ПДВ), мало користі від детального аналізу того, який їх специфічний вплив на оптову торгівлю.</w:t>
      </w:r>
    </w:p>
    <w:p w14:paraId="30E3EE03" w14:textId="77777777" w:rsidR="00824B4E" w:rsidRPr="007E5633" w:rsidRDefault="00824B4E" w:rsidP="00824B4E">
      <w:pPr>
        <w:pStyle w:val="af4"/>
        <w:rPr>
          <w:sz w:val="22"/>
          <w:szCs w:val="22"/>
          <w:lang w:val="uk-UA"/>
        </w:rPr>
      </w:pPr>
      <w:r w:rsidRPr="007E5633">
        <w:rPr>
          <w:sz w:val="22"/>
          <w:szCs w:val="22"/>
          <w:lang w:val="uk-UA"/>
        </w:rPr>
        <w:t>Натомість, у звіті ми використаємо приклад однієї з країн-членів, щоб показати, як оптова торгівля енергією вписуються в звичайне податкове середовище та як енергопродукти та податки взаємодіють взагалі. Крім того, ми будемо обговорювати окремі екологічні податки та існуючі схеми стимулювання, що стосуються оптової торгівлі електроенергією та газом. Нарешті, ми надамо загальний огляд системи торгівлі викидами в ЄС (EU Emissions Trading System) - єдиної загальноєвропейської схеми оподаткування, безпосередньо пов'язаної з енергетичним ринком.</w:t>
      </w:r>
    </w:p>
    <w:p w14:paraId="332EB824"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44" w:name="_Toc533093951"/>
      <w:bookmarkStart w:id="145" w:name="_Toc526775046"/>
      <w:r w:rsidRPr="007E5633">
        <w:rPr>
          <w:rFonts w:ascii="Arial" w:hAnsi="Arial" w:cs="Arial"/>
          <w:color w:val="auto"/>
          <w:sz w:val="22"/>
          <w:szCs w:val="22"/>
          <w:lang w:val="uk-UA"/>
        </w:rPr>
        <w:t>Система оподаткування в ЄС</w:t>
      </w:r>
      <w:bookmarkEnd w:id="144"/>
      <w:r w:rsidRPr="007E5633">
        <w:rPr>
          <w:rFonts w:ascii="Arial" w:hAnsi="Arial" w:cs="Arial"/>
          <w:color w:val="auto"/>
          <w:sz w:val="22"/>
          <w:szCs w:val="22"/>
          <w:lang w:val="uk-UA"/>
        </w:rPr>
        <w:t xml:space="preserve"> </w:t>
      </w:r>
      <w:bookmarkEnd w:id="145"/>
    </w:p>
    <w:p w14:paraId="225B08C2" w14:textId="77777777" w:rsidR="00824B4E" w:rsidRPr="007E5633" w:rsidRDefault="00824B4E" w:rsidP="00824B4E">
      <w:pPr>
        <w:pStyle w:val="af4"/>
        <w:rPr>
          <w:sz w:val="22"/>
          <w:szCs w:val="22"/>
          <w:lang w:val="uk-UA"/>
        </w:rPr>
      </w:pPr>
      <w:r w:rsidRPr="007E5633">
        <w:rPr>
          <w:sz w:val="22"/>
          <w:szCs w:val="22"/>
          <w:lang w:val="uk-UA"/>
        </w:rPr>
        <w:t>Загалом, ЄС не встановлює прямих податків чи зборів. Це питання залишається на розсуд національних урядів. Роль ЄС, як встановлено Договором про функціонування ЄС, полягає в тому, щоб гармонізувати законодавство держав-членів стосовно непрямих податків у міру необхідності забезпечення належного функціонування спільного ринку та прийняття директив, які б наближували закони, які безпосередньо впливають на функціонування спільного ринку, включаючи прямі податки.</w:t>
      </w:r>
    </w:p>
    <w:p w14:paraId="196BBF7D" w14:textId="77777777" w:rsidR="00824B4E" w:rsidRPr="007E5633" w:rsidRDefault="00824B4E" w:rsidP="00824B4E">
      <w:pPr>
        <w:pStyle w:val="af4"/>
        <w:rPr>
          <w:sz w:val="22"/>
          <w:szCs w:val="22"/>
          <w:lang w:val="uk-UA"/>
        </w:rPr>
      </w:pPr>
      <w:r w:rsidRPr="007E5633">
        <w:rPr>
          <w:sz w:val="22"/>
          <w:szCs w:val="22"/>
          <w:lang w:val="uk-UA"/>
        </w:rPr>
        <w:t>Крім того, у своїй нинішній стратегії Європейська Комісія зазначає, що не бачить необхідності широкої гармонізації податкових систем і зосереджується головним чином на усуненні податкових перешкод для транскордонної діяльності. Крім того, Комісія зосереджується на сприянні ефективному управлінню, прозорості та обміну інформацією у сфері оподаткування. На європейському рівні податки, що стосуються енергетичного ринку, - це податок на додану вартість та акцизний податок на енергоносії.</w:t>
      </w:r>
    </w:p>
    <w:p w14:paraId="559DDD0D" w14:textId="77777777" w:rsidR="00824B4E" w:rsidRPr="007E5633" w:rsidRDefault="00824B4E" w:rsidP="00824B4E">
      <w:pPr>
        <w:pStyle w:val="af4"/>
        <w:rPr>
          <w:sz w:val="22"/>
          <w:szCs w:val="22"/>
          <w:lang w:val="uk-UA"/>
        </w:rPr>
      </w:pPr>
      <w:r w:rsidRPr="007E5633">
        <w:rPr>
          <w:sz w:val="22"/>
          <w:szCs w:val="22"/>
          <w:lang w:val="uk-UA"/>
        </w:rPr>
        <w:t>Акцизний податок на енергетичні продукти регулюється Директивою Ради ЄС 2003/96 / ЄС від 27 жовтня 2003 р., яка реструктурує в ЄС систему оподаткування енергетичних продуктів та електроенергії. Вона встановлює мінімальні рівні оподаткування щодо енергетичних продуктів та електроенергії. Директива гарантує, що державам-членам надаються гнучкість у застосуванні своїх фіскальних заходів та надаються численні пільги, наприклад, для товарів, які зазвичай не торгуються через національні кордони (наприклад, тепло), або вважаються екологічно корисними (наприклад, когенерація або відновлювані джерела енергії). Предмет та місце (час) оподаткування відрізняються між країнами, але зазвичай податками обкладається електроенергія та газ, що продаються кінцевому споживачеві. У цій моделі оптова торгівля не підпадає під вплив акцизних податків.</w:t>
      </w:r>
    </w:p>
    <w:p w14:paraId="24360FDF" w14:textId="77777777" w:rsidR="00824B4E" w:rsidRPr="007E5633" w:rsidRDefault="00824B4E" w:rsidP="00824B4E">
      <w:pPr>
        <w:pStyle w:val="af4"/>
        <w:rPr>
          <w:sz w:val="22"/>
          <w:szCs w:val="22"/>
          <w:lang w:val="uk-UA"/>
        </w:rPr>
      </w:pPr>
      <w:r w:rsidRPr="007E5633">
        <w:rPr>
          <w:sz w:val="22"/>
          <w:szCs w:val="22"/>
          <w:lang w:val="uk-UA"/>
        </w:rPr>
        <w:t xml:space="preserve">Правила ПДВ мають важливе значення для транскордонної торгівлі, тому вони відносно ретельно регулюються на європейському рівні. Директива Ради 2006/112 / ЄС від 28 листопада 2006 р. Про загальну систему податку на додану вартість регулює ряд питань у </w:t>
      </w:r>
      <w:r w:rsidR="00BD153C" w:rsidRPr="007E5633">
        <w:rPr>
          <w:sz w:val="22"/>
          <w:szCs w:val="22"/>
          <w:lang w:val="uk-UA"/>
        </w:rPr>
        <w:t>закон</w:t>
      </w:r>
      <w:r w:rsidR="00BD153C">
        <w:rPr>
          <w:sz w:val="22"/>
          <w:szCs w:val="22"/>
          <w:lang w:val="uk-UA"/>
        </w:rPr>
        <w:t>о</w:t>
      </w:r>
      <w:r w:rsidR="00BD153C" w:rsidRPr="007E5633">
        <w:rPr>
          <w:sz w:val="22"/>
          <w:szCs w:val="22"/>
          <w:lang w:val="uk-UA"/>
        </w:rPr>
        <w:t>давстві</w:t>
      </w:r>
      <w:r w:rsidRPr="007E5633">
        <w:rPr>
          <w:sz w:val="22"/>
          <w:szCs w:val="22"/>
          <w:lang w:val="uk-UA"/>
        </w:rPr>
        <w:t xml:space="preserve"> про ПДВ, гармонізує податкові декларації, правила бухгалтерського обліку, структури рахунків-фактур та зміст податкового законодавства. Директива встановлює діапазон податкових ставок, винятків, правил застосування знижених ставок, важливих визначень та інших питань, що мають вирішальне значення для уніфікованого застосування принципу податку. Електроенергія та природний газ вважаються товарами згідно з законодавством про ПДВ, але правила, що застосовуються до них, змінюються, щоб уникнути податкового шахрайства, подвійного оподаткування або </w:t>
      </w:r>
      <w:r w:rsidR="00BD153C" w:rsidRPr="007E5633">
        <w:rPr>
          <w:sz w:val="22"/>
          <w:szCs w:val="22"/>
          <w:lang w:val="uk-UA"/>
        </w:rPr>
        <w:t>не оподаткування</w:t>
      </w:r>
      <w:r w:rsidRPr="007E5633">
        <w:rPr>
          <w:sz w:val="22"/>
          <w:szCs w:val="22"/>
          <w:lang w:val="uk-UA"/>
        </w:rPr>
        <w:t xml:space="preserve">. Відповідно до статті 19 Директиви, перед досягненням кінцевого споживача ці товари повинні оподатковуватись у країнах </w:t>
      </w:r>
      <w:r w:rsidRPr="007E5633">
        <w:rPr>
          <w:sz w:val="22"/>
          <w:szCs w:val="22"/>
          <w:lang w:val="uk-UA"/>
        </w:rPr>
        <w:lastRenderedPageBreak/>
        <w:t>реєстрації споживача. Тільки кінцеві користувачі мають оподатковуватись у країні фактичного використання.</w:t>
      </w:r>
    </w:p>
    <w:p w14:paraId="490B90D0" w14:textId="77777777" w:rsidR="00824B4E" w:rsidRPr="007E5633" w:rsidRDefault="00824B4E" w:rsidP="00824B4E">
      <w:pPr>
        <w:pStyle w:val="af4"/>
        <w:rPr>
          <w:sz w:val="22"/>
          <w:szCs w:val="22"/>
          <w:lang w:val="uk-UA"/>
        </w:rPr>
      </w:pPr>
      <w:r w:rsidRPr="007E5633">
        <w:rPr>
          <w:sz w:val="22"/>
          <w:szCs w:val="22"/>
          <w:lang w:val="uk-UA"/>
        </w:rPr>
        <w:t>Крім того, оптовий ринок електроенергії, природного газу та дозволів на викиди в даний час звільняється від ПДВ, щоб уникнути схем шахрайства. Режим звільнення від ПДВ планується закінчити в середині 2022 року.</w:t>
      </w:r>
    </w:p>
    <w:p w14:paraId="5BBF5B3F" w14:textId="77777777" w:rsidR="00824B4E" w:rsidRPr="007E5633" w:rsidRDefault="00824B4E" w:rsidP="00824B4E">
      <w:pPr>
        <w:pStyle w:val="af4"/>
        <w:rPr>
          <w:sz w:val="22"/>
          <w:szCs w:val="22"/>
          <w:lang w:val="uk-UA"/>
        </w:rPr>
      </w:pPr>
      <w:r w:rsidRPr="007E5633">
        <w:rPr>
          <w:sz w:val="22"/>
          <w:szCs w:val="22"/>
          <w:lang w:val="uk-UA"/>
        </w:rPr>
        <w:t xml:space="preserve">Коли закінчується режим звільнення від оподаткування, на цьому ринку передбачається запровадити інші механізми запобігання шахрайству з ПДВ, наприклад, механізм </w:t>
      </w:r>
      <w:r w:rsidR="00BD153C" w:rsidRPr="007E5633">
        <w:rPr>
          <w:sz w:val="22"/>
          <w:szCs w:val="22"/>
          <w:lang w:val="uk-UA"/>
        </w:rPr>
        <w:t>зворотного</w:t>
      </w:r>
      <w:r w:rsidRPr="007E5633">
        <w:rPr>
          <w:sz w:val="22"/>
          <w:szCs w:val="22"/>
          <w:lang w:val="uk-UA"/>
        </w:rPr>
        <w:t xml:space="preserve"> оподаткування (Reverse Charge Mechanism) - він передає відповідальність за звітність про ПДВ, а також тягар його сплати від продавця до покупця товару чи послуги. Таким чином, сплата ПДВ сплачується у бюджет безпосередньо покупцем, а не через продавця, таким чином, виключаючи потенціал для так званих схем "карусель" або "відсутній трейдер". Тому, навіть якщо ПДВ не має безпосереднього відношення до торгівлі оптовою торгівлею енергоносіями на даний момент, його слід розглянути в розрізі майбутніх змін. Держави-члени, які в даний час не застосовують внутрішній механізм </w:t>
      </w:r>
      <w:r w:rsidR="00BD153C" w:rsidRPr="007E5633">
        <w:rPr>
          <w:sz w:val="22"/>
          <w:szCs w:val="22"/>
          <w:lang w:val="uk-UA"/>
        </w:rPr>
        <w:t>зворот нього</w:t>
      </w:r>
      <w:r w:rsidRPr="007E5633">
        <w:rPr>
          <w:sz w:val="22"/>
          <w:szCs w:val="22"/>
          <w:lang w:val="uk-UA"/>
        </w:rPr>
        <w:t xml:space="preserve"> оподаткування щодо оптової торгівлі газом, електроенергією або викидами, можуть запроваджувати цей захід до 30 червня 2020 року.</w:t>
      </w:r>
    </w:p>
    <w:p w14:paraId="571C5800" w14:textId="77777777" w:rsidR="00824B4E" w:rsidRPr="007E5633" w:rsidRDefault="00824B4E" w:rsidP="00824B4E">
      <w:pPr>
        <w:pStyle w:val="af4"/>
        <w:rPr>
          <w:sz w:val="22"/>
          <w:szCs w:val="22"/>
          <w:highlight w:val="yellow"/>
          <w:lang w:val="uk-UA"/>
        </w:rPr>
      </w:pPr>
      <w:r w:rsidRPr="007E5633">
        <w:rPr>
          <w:sz w:val="22"/>
          <w:szCs w:val="22"/>
          <w:lang w:val="uk-UA"/>
        </w:rPr>
        <w:t>ПДВ може також застосовуватися до послуг, що надаються біржами та кліринговими будинками, включаючи торгівельні та членські внески - сфера зазвичай залежить значною мірою від внутрішнього законодавства та може бути іноді суперечливою. У Польщі збори, що сплачуються кліринговому дому, не обкладаються податком, однак комісійні, що сплачуються на біржі</w:t>
      </w:r>
      <w:r w:rsidR="00F966A5" w:rsidRPr="00F966A5">
        <w:rPr>
          <w:lang w:val="uk-UA"/>
        </w:rPr>
        <w:t xml:space="preserve"> </w:t>
      </w:r>
      <w:r w:rsidR="00F966A5" w:rsidRPr="00F966A5">
        <w:rPr>
          <w:sz w:val="22"/>
          <w:szCs w:val="22"/>
          <w:lang w:val="uk-UA"/>
        </w:rPr>
        <w:t>товарних контрактів</w:t>
      </w:r>
      <w:r w:rsidRPr="007E5633">
        <w:rPr>
          <w:sz w:val="22"/>
          <w:szCs w:val="22"/>
          <w:lang w:val="uk-UA"/>
        </w:rPr>
        <w:t>, обкладаються. Біржа заперечувала таке тлумачення протягом кількох років, перш ніж остаточно сплатити податки за цей період єдиною сумою в 2017 році, що підірвало її ліквідність. Цей приклад показує необхідність наявності чіткого законодавства в правовому та податковому середовищі оптової торгівлі енергоносіями, з огляду на його специфічний характер.</w:t>
      </w:r>
    </w:p>
    <w:p w14:paraId="7568E937"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46" w:name="_Toc533093952"/>
      <w:r w:rsidRPr="007E5633">
        <w:rPr>
          <w:rFonts w:ascii="Arial" w:hAnsi="Arial" w:cs="Arial"/>
          <w:color w:val="auto"/>
          <w:sz w:val="22"/>
          <w:szCs w:val="22"/>
          <w:lang w:val="uk-UA"/>
        </w:rPr>
        <w:t>Типова національна податкова система у застосуванні до оптового енергетичного ринку</w:t>
      </w:r>
      <w:bookmarkEnd w:id="146"/>
    </w:p>
    <w:p w14:paraId="54C7CE6D" w14:textId="77777777" w:rsidR="00824B4E" w:rsidRPr="007E5633" w:rsidRDefault="00824B4E" w:rsidP="00824B4E">
      <w:pPr>
        <w:pStyle w:val="af4"/>
        <w:rPr>
          <w:sz w:val="22"/>
          <w:szCs w:val="22"/>
          <w:lang w:val="uk-UA"/>
        </w:rPr>
      </w:pPr>
      <w:r w:rsidRPr="007E5633">
        <w:rPr>
          <w:sz w:val="22"/>
          <w:szCs w:val="22"/>
          <w:lang w:val="uk-UA"/>
        </w:rPr>
        <w:t>Оптовий енергетичний ринок, як правило, не є прямим предметом будь-якого оподаткування, при цьому багато податків або квазі-податків впливають на нього через ціну. Незважаючи на те, що деякі з податків здаються в основному нейтральними щодо ринкових сил, якщо застосовуються опосередковано, разом з іншими сферами діяльності компаній (наприклад, ПДВ або податок на прибуток), інші ж можуть суттєво вплинути на структуру пропозиції або попиту на енергію, значним чином впливаючи на ринок. Податки, що стосуються енергопродуктів, можуть мати такий вигляд:</w:t>
      </w:r>
    </w:p>
    <w:p w14:paraId="104717B9" w14:textId="77777777" w:rsidR="00824B4E" w:rsidRPr="007E5633" w:rsidRDefault="00824B4E" w:rsidP="000D248B">
      <w:pPr>
        <w:pStyle w:val="af4"/>
        <w:numPr>
          <w:ilvl w:val="0"/>
          <w:numId w:val="33"/>
        </w:numPr>
        <w:rPr>
          <w:sz w:val="22"/>
          <w:szCs w:val="22"/>
          <w:lang w:val="uk-UA"/>
        </w:rPr>
      </w:pPr>
      <w:r w:rsidRPr="007E5633">
        <w:rPr>
          <w:sz w:val="22"/>
          <w:szCs w:val="22"/>
          <w:lang w:val="uk-UA"/>
        </w:rPr>
        <w:t>акцизні збори</w:t>
      </w:r>
    </w:p>
    <w:p w14:paraId="1265CBCF" w14:textId="77777777" w:rsidR="00824B4E" w:rsidRPr="007E5633" w:rsidRDefault="00824B4E" w:rsidP="000D248B">
      <w:pPr>
        <w:pStyle w:val="af4"/>
        <w:numPr>
          <w:ilvl w:val="0"/>
          <w:numId w:val="33"/>
        </w:numPr>
        <w:rPr>
          <w:sz w:val="22"/>
          <w:szCs w:val="22"/>
          <w:lang w:val="uk-UA"/>
        </w:rPr>
      </w:pPr>
      <w:r w:rsidRPr="007E5633">
        <w:rPr>
          <w:sz w:val="22"/>
          <w:szCs w:val="22"/>
          <w:lang w:val="uk-UA"/>
        </w:rPr>
        <w:t>екологічні податки</w:t>
      </w:r>
    </w:p>
    <w:p w14:paraId="66486F22" w14:textId="77777777" w:rsidR="00824B4E" w:rsidRPr="007E5633" w:rsidRDefault="00824B4E" w:rsidP="000D248B">
      <w:pPr>
        <w:pStyle w:val="af4"/>
        <w:numPr>
          <w:ilvl w:val="0"/>
          <w:numId w:val="33"/>
        </w:numPr>
        <w:rPr>
          <w:sz w:val="22"/>
          <w:szCs w:val="22"/>
          <w:lang w:val="uk-UA"/>
        </w:rPr>
      </w:pPr>
      <w:r w:rsidRPr="007E5633">
        <w:rPr>
          <w:sz w:val="22"/>
          <w:szCs w:val="22"/>
          <w:lang w:val="uk-UA"/>
        </w:rPr>
        <w:t>схеми підтримки відновлюваної енергетики / ТЕЦ (наприклад, податки або зелені сертифікати)</w:t>
      </w:r>
    </w:p>
    <w:p w14:paraId="03DC4844" w14:textId="77777777" w:rsidR="00824B4E" w:rsidRPr="007E5633" w:rsidRDefault="00824B4E" w:rsidP="000D248B">
      <w:pPr>
        <w:pStyle w:val="af4"/>
        <w:numPr>
          <w:ilvl w:val="0"/>
          <w:numId w:val="33"/>
        </w:numPr>
        <w:rPr>
          <w:sz w:val="22"/>
          <w:szCs w:val="22"/>
          <w:lang w:val="uk-UA"/>
        </w:rPr>
      </w:pPr>
      <w:r w:rsidRPr="007E5633">
        <w:rPr>
          <w:sz w:val="22"/>
          <w:szCs w:val="22"/>
          <w:lang w:val="uk-UA"/>
        </w:rPr>
        <w:t>податки на викиди (і / або система ЄС ETS)</w:t>
      </w:r>
    </w:p>
    <w:p w14:paraId="34CD152C" w14:textId="77777777" w:rsidR="00824B4E" w:rsidRPr="007E5633" w:rsidRDefault="00824B4E" w:rsidP="000D248B">
      <w:pPr>
        <w:pStyle w:val="af4"/>
        <w:numPr>
          <w:ilvl w:val="0"/>
          <w:numId w:val="33"/>
        </w:numPr>
        <w:rPr>
          <w:sz w:val="22"/>
          <w:szCs w:val="22"/>
          <w:lang w:val="uk-UA"/>
        </w:rPr>
      </w:pPr>
      <w:r w:rsidRPr="007E5633">
        <w:rPr>
          <w:sz w:val="22"/>
          <w:szCs w:val="22"/>
          <w:lang w:val="uk-UA"/>
        </w:rPr>
        <w:t>плата за обслуговування інфраструктури та / або внески в TSO або DSO</w:t>
      </w:r>
    </w:p>
    <w:p w14:paraId="3AB202DD" w14:textId="77777777" w:rsidR="00824B4E" w:rsidRPr="007E5633" w:rsidRDefault="00824B4E" w:rsidP="000D248B">
      <w:pPr>
        <w:pStyle w:val="af4"/>
        <w:numPr>
          <w:ilvl w:val="0"/>
          <w:numId w:val="33"/>
        </w:numPr>
        <w:rPr>
          <w:sz w:val="22"/>
          <w:szCs w:val="22"/>
          <w:lang w:val="uk-UA"/>
        </w:rPr>
      </w:pPr>
      <w:r w:rsidRPr="007E5633">
        <w:rPr>
          <w:sz w:val="22"/>
          <w:szCs w:val="22"/>
          <w:lang w:val="uk-UA"/>
        </w:rPr>
        <w:t>податки на соціальні субсидії</w:t>
      </w:r>
    </w:p>
    <w:p w14:paraId="5A24B5DF" w14:textId="77777777" w:rsidR="00824B4E" w:rsidRPr="007E5633" w:rsidRDefault="00824B4E" w:rsidP="000D248B">
      <w:pPr>
        <w:pStyle w:val="af4"/>
        <w:numPr>
          <w:ilvl w:val="0"/>
          <w:numId w:val="33"/>
        </w:numPr>
        <w:rPr>
          <w:sz w:val="22"/>
          <w:szCs w:val="22"/>
          <w:lang w:val="uk-UA"/>
        </w:rPr>
      </w:pPr>
      <w:r w:rsidRPr="007E5633">
        <w:rPr>
          <w:sz w:val="22"/>
          <w:szCs w:val="22"/>
          <w:lang w:val="uk-UA"/>
        </w:rPr>
        <w:t>концесійні збори</w:t>
      </w:r>
    </w:p>
    <w:p w14:paraId="4D6200D4" w14:textId="77777777" w:rsidR="00824B4E" w:rsidRPr="007E5633" w:rsidRDefault="00824B4E" w:rsidP="000D248B">
      <w:pPr>
        <w:pStyle w:val="af4"/>
        <w:numPr>
          <w:ilvl w:val="0"/>
          <w:numId w:val="33"/>
        </w:numPr>
        <w:rPr>
          <w:sz w:val="22"/>
          <w:szCs w:val="22"/>
          <w:lang w:val="uk-UA"/>
        </w:rPr>
      </w:pPr>
      <w:r w:rsidRPr="007E5633">
        <w:rPr>
          <w:sz w:val="22"/>
          <w:szCs w:val="22"/>
          <w:lang w:val="uk-UA"/>
        </w:rPr>
        <w:t>внески для забезпечення фондів безпеки</w:t>
      </w:r>
    </w:p>
    <w:p w14:paraId="43C6B688" w14:textId="77777777" w:rsidR="00824B4E" w:rsidRPr="007E5633" w:rsidRDefault="00824B4E" w:rsidP="00824B4E">
      <w:pPr>
        <w:pStyle w:val="af4"/>
        <w:rPr>
          <w:sz w:val="22"/>
          <w:szCs w:val="22"/>
          <w:lang w:val="uk-UA"/>
        </w:rPr>
      </w:pPr>
      <w:r w:rsidRPr="007E5633">
        <w:rPr>
          <w:sz w:val="22"/>
          <w:szCs w:val="22"/>
          <w:lang w:val="uk-UA"/>
        </w:rPr>
        <w:lastRenderedPageBreak/>
        <w:t xml:space="preserve">Акцизи, екологічні податки, схеми підтримки відновлюваної енергетики / ТЕЦ та податки на викиди деталізуються в наступних підрозділах Звіту. Як зазначалося раніше, обговорення окремих податків не є корисним для мети цього звіту, оскільки ці податки переважно стягуються всередині країни та не підпадають під дію регуляторних актів ЄС. Натомість, вплив оподаткування польського енергетичного ринку наведений в якості прикладу, а також наводиться інформація про наслідки </w:t>
      </w:r>
      <w:r w:rsidR="00BD153C" w:rsidRPr="007E5633">
        <w:rPr>
          <w:sz w:val="22"/>
          <w:szCs w:val="22"/>
          <w:lang w:val="uk-UA"/>
        </w:rPr>
        <w:t>запровадження</w:t>
      </w:r>
      <w:r w:rsidRPr="007E5633">
        <w:rPr>
          <w:sz w:val="22"/>
          <w:szCs w:val="22"/>
          <w:lang w:val="uk-UA"/>
        </w:rPr>
        <w:t xml:space="preserve"> такої системи оподаткування.</w:t>
      </w:r>
    </w:p>
    <w:p w14:paraId="3955605D" w14:textId="654251A5" w:rsidR="004C5694" w:rsidRPr="007E5633" w:rsidRDefault="00824B4E" w:rsidP="004C5694">
      <w:pPr>
        <w:pStyle w:val="af1"/>
        <w:jc w:val="left"/>
        <w:rPr>
          <w:rFonts w:cs="Arial"/>
          <w:sz w:val="22"/>
          <w:szCs w:val="22"/>
          <w:lang w:val="uk-UA"/>
        </w:rPr>
      </w:pPr>
      <w:bookmarkStart w:id="147" w:name="_Toc533094063"/>
      <w:r w:rsidRPr="007E5633">
        <w:rPr>
          <w:rFonts w:cs="Arial"/>
          <w:sz w:val="22"/>
          <w:szCs w:val="22"/>
          <w:lang w:val="uk-UA"/>
        </w:rPr>
        <w:t>Схема</w:t>
      </w:r>
      <w:r w:rsidR="004C5694" w:rsidRPr="007E5633">
        <w:rPr>
          <w:rFonts w:cs="Arial"/>
          <w:sz w:val="22"/>
          <w:szCs w:val="22"/>
          <w:lang w:val="uk-UA"/>
        </w:rPr>
        <w:t xml:space="preserve"> </w:t>
      </w:r>
      <w:r w:rsidR="00622EE2" w:rsidRPr="007E5633">
        <w:rPr>
          <w:rFonts w:cs="Arial"/>
          <w:sz w:val="22"/>
          <w:szCs w:val="22"/>
          <w:lang w:val="uk-UA"/>
        </w:rPr>
        <w:fldChar w:fldCharType="begin"/>
      </w:r>
      <w:r w:rsidR="004C5694"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36</w:t>
      </w:r>
      <w:r w:rsidR="00622EE2" w:rsidRPr="007E5633">
        <w:rPr>
          <w:rFonts w:cs="Arial"/>
          <w:sz w:val="22"/>
          <w:szCs w:val="22"/>
          <w:lang w:val="uk-UA"/>
        </w:rPr>
        <w:fldChar w:fldCharType="end"/>
      </w:r>
      <w:r w:rsidR="004C5694" w:rsidRPr="007E5633">
        <w:rPr>
          <w:rFonts w:cs="Arial"/>
          <w:sz w:val="22"/>
          <w:szCs w:val="22"/>
          <w:lang w:val="uk-UA"/>
        </w:rPr>
        <w:t xml:space="preserve">: </w:t>
      </w:r>
      <w:r w:rsidRPr="007E5633">
        <w:rPr>
          <w:rFonts w:cs="Arial"/>
          <w:sz w:val="22"/>
          <w:szCs w:val="22"/>
          <w:lang w:val="uk-UA"/>
        </w:rPr>
        <w:t>Огляд податків, що стосуються енергетичного ринку Польщі</w:t>
      </w:r>
      <w:bookmarkEnd w:id="147"/>
    </w:p>
    <w:tbl>
      <w:tblPr>
        <w:tblStyle w:val="af6"/>
        <w:tblpPr w:leftFromText="180" w:rightFromText="180" w:vertAnchor="text" w:horzAnchor="margin" w:tblpY="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3313"/>
        <w:gridCol w:w="3787"/>
      </w:tblGrid>
      <w:tr w:rsidR="00824B4E" w:rsidRPr="007E5633" w14:paraId="6AFA702F" w14:textId="77777777" w:rsidTr="00824B4E">
        <w:tc>
          <w:tcPr>
            <w:tcW w:w="1951" w:type="dxa"/>
            <w:tcBorders>
              <w:bottom w:val="single" w:sz="4" w:space="0" w:color="F79646" w:themeColor="accent6"/>
            </w:tcBorders>
            <w:shd w:val="clear" w:color="auto" w:fill="auto"/>
            <w:vAlign w:val="bottom"/>
            <w:hideMark/>
          </w:tcPr>
          <w:p w14:paraId="1B5EAB46"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Податок</w:t>
            </w:r>
          </w:p>
        </w:tc>
        <w:tc>
          <w:tcPr>
            <w:tcW w:w="3402" w:type="dxa"/>
            <w:tcBorders>
              <w:bottom w:val="single" w:sz="4" w:space="0" w:color="F79646" w:themeColor="accent6"/>
            </w:tcBorders>
            <w:shd w:val="clear" w:color="auto" w:fill="auto"/>
            <w:vAlign w:val="bottom"/>
            <w:hideMark/>
          </w:tcPr>
          <w:p w14:paraId="19DD6DF4"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Податкова база</w:t>
            </w:r>
          </w:p>
        </w:tc>
        <w:tc>
          <w:tcPr>
            <w:tcW w:w="3889" w:type="dxa"/>
            <w:tcBorders>
              <w:bottom w:val="single" w:sz="4" w:space="0" w:color="F79646" w:themeColor="accent6"/>
            </w:tcBorders>
            <w:shd w:val="clear" w:color="auto" w:fill="auto"/>
            <w:vAlign w:val="bottom"/>
            <w:hideMark/>
          </w:tcPr>
          <w:p w14:paraId="5ECFF518"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Вплив на торгівлю енергією</w:t>
            </w:r>
          </w:p>
        </w:tc>
      </w:tr>
      <w:tr w:rsidR="00824B4E" w:rsidRPr="007E5633" w14:paraId="20ABBDBB" w14:textId="77777777" w:rsidTr="00824B4E">
        <w:tc>
          <w:tcPr>
            <w:tcW w:w="1951" w:type="dxa"/>
            <w:tcBorders>
              <w:top w:val="single" w:sz="4" w:space="0" w:color="F79646" w:themeColor="accent6"/>
              <w:bottom w:val="single" w:sz="4" w:space="0" w:color="A6A6A6" w:themeColor="background1" w:themeShade="A6"/>
            </w:tcBorders>
            <w:shd w:val="clear" w:color="auto" w:fill="auto"/>
            <w:hideMark/>
          </w:tcPr>
          <w:p w14:paraId="24AEAC71"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Податок на прибуток</w:t>
            </w:r>
          </w:p>
        </w:tc>
        <w:tc>
          <w:tcPr>
            <w:tcW w:w="3402" w:type="dxa"/>
            <w:tcBorders>
              <w:top w:val="single" w:sz="4" w:space="0" w:color="F79646" w:themeColor="accent6"/>
              <w:bottom w:val="single" w:sz="4" w:space="0" w:color="A6A6A6" w:themeColor="background1" w:themeShade="A6"/>
            </w:tcBorders>
            <w:shd w:val="clear" w:color="auto" w:fill="auto"/>
            <w:hideMark/>
          </w:tcPr>
          <w:p w14:paraId="5C1A3E25"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Чистий прибуток компанії</w:t>
            </w:r>
          </w:p>
        </w:tc>
        <w:tc>
          <w:tcPr>
            <w:tcW w:w="3889" w:type="dxa"/>
            <w:tcBorders>
              <w:top w:val="single" w:sz="4" w:space="0" w:color="F79646" w:themeColor="accent6"/>
              <w:bottom w:val="single" w:sz="4" w:space="0" w:color="A6A6A6" w:themeColor="background1" w:themeShade="A6"/>
            </w:tcBorders>
            <w:shd w:val="clear" w:color="auto" w:fill="auto"/>
            <w:hideMark/>
          </w:tcPr>
          <w:p w14:paraId="75CEFC23"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Торговий прибуток оподатковується разом з усіма іншими джерелами доходу - не має суттєвого впливу</w:t>
            </w:r>
          </w:p>
        </w:tc>
      </w:tr>
      <w:tr w:rsidR="00824B4E" w:rsidRPr="007E5633" w14:paraId="3AD784A1" w14:textId="77777777" w:rsidTr="00824B4E">
        <w:tc>
          <w:tcPr>
            <w:tcW w:w="1951" w:type="dxa"/>
            <w:tcBorders>
              <w:top w:val="single" w:sz="4" w:space="0" w:color="A6A6A6" w:themeColor="background1" w:themeShade="A6"/>
              <w:bottom w:val="single" w:sz="4" w:space="0" w:color="A6A6A6" w:themeColor="background1" w:themeShade="A6"/>
            </w:tcBorders>
            <w:shd w:val="clear" w:color="auto" w:fill="auto"/>
            <w:hideMark/>
          </w:tcPr>
          <w:p w14:paraId="779A81E0"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ПДВ</w:t>
            </w:r>
          </w:p>
        </w:tc>
        <w:tc>
          <w:tcPr>
            <w:tcW w:w="3402" w:type="dxa"/>
            <w:tcBorders>
              <w:top w:val="single" w:sz="4" w:space="0" w:color="A6A6A6" w:themeColor="background1" w:themeShade="A6"/>
              <w:bottom w:val="single" w:sz="4" w:space="0" w:color="A6A6A6" w:themeColor="background1" w:themeShade="A6"/>
            </w:tcBorders>
            <w:shd w:val="clear" w:color="auto" w:fill="auto"/>
            <w:hideMark/>
          </w:tcPr>
          <w:p w14:paraId="7D75717F"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Вартість проданої енергії мінус податок, сплачений під час отримання енергії (після закінчення періоду звільнення від оподаткування)</w:t>
            </w:r>
          </w:p>
        </w:tc>
        <w:tc>
          <w:tcPr>
            <w:tcW w:w="3889" w:type="dxa"/>
            <w:tcBorders>
              <w:top w:val="single" w:sz="4" w:space="0" w:color="A6A6A6" w:themeColor="background1" w:themeShade="A6"/>
              <w:bottom w:val="single" w:sz="4" w:space="0" w:color="A6A6A6" w:themeColor="background1" w:themeShade="A6"/>
            </w:tcBorders>
            <w:shd w:val="clear" w:color="auto" w:fill="auto"/>
            <w:hideMark/>
          </w:tcPr>
          <w:p w14:paraId="1D90108C"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Тільки додана вартість оподатковується - відсутній значний ефект на внутрішньому ринку,  можливі деякі механізми оптимізації податкової політики на міжнародному ринку</w:t>
            </w:r>
          </w:p>
        </w:tc>
      </w:tr>
      <w:tr w:rsidR="00824B4E" w:rsidRPr="007E5633" w14:paraId="10A097C7" w14:textId="77777777" w:rsidTr="00824B4E">
        <w:tc>
          <w:tcPr>
            <w:tcW w:w="1951" w:type="dxa"/>
            <w:tcBorders>
              <w:top w:val="single" w:sz="4" w:space="0" w:color="A6A6A6" w:themeColor="background1" w:themeShade="A6"/>
              <w:bottom w:val="single" w:sz="4" w:space="0" w:color="A6A6A6" w:themeColor="background1" w:themeShade="A6"/>
            </w:tcBorders>
            <w:shd w:val="clear" w:color="auto" w:fill="auto"/>
            <w:hideMark/>
          </w:tcPr>
          <w:p w14:paraId="7907F00C"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Акцизний збір</w:t>
            </w:r>
          </w:p>
        </w:tc>
        <w:tc>
          <w:tcPr>
            <w:tcW w:w="3402" w:type="dxa"/>
            <w:tcBorders>
              <w:top w:val="single" w:sz="4" w:space="0" w:color="A6A6A6" w:themeColor="background1" w:themeShade="A6"/>
              <w:bottom w:val="single" w:sz="4" w:space="0" w:color="A6A6A6" w:themeColor="background1" w:themeShade="A6"/>
            </w:tcBorders>
            <w:shd w:val="clear" w:color="auto" w:fill="auto"/>
            <w:hideMark/>
          </w:tcPr>
          <w:p w14:paraId="4090FB37"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Енергія, що використовується торговою компанією або продана кінцевому споживачеві</w:t>
            </w:r>
          </w:p>
        </w:tc>
        <w:tc>
          <w:tcPr>
            <w:tcW w:w="3889" w:type="dxa"/>
            <w:tcBorders>
              <w:top w:val="single" w:sz="4" w:space="0" w:color="A6A6A6" w:themeColor="background1" w:themeShade="A6"/>
              <w:bottom w:val="single" w:sz="4" w:space="0" w:color="A6A6A6" w:themeColor="background1" w:themeShade="A6"/>
            </w:tcBorders>
            <w:shd w:val="clear" w:color="auto" w:fill="auto"/>
            <w:hideMark/>
          </w:tcPr>
          <w:p w14:paraId="15023464"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Ніякого впливу на торгівлю, впливає на поведінку споживачів (зниження ефективного попиту на енергію)</w:t>
            </w:r>
          </w:p>
        </w:tc>
      </w:tr>
      <w:tr w:rsidR="00824B4E" w:rsidRPr="007E5633" w14:paraId="5EF7322D" w14:textId="77777777" w:rsidTr="00824B4E">
        <w:tc>
          <w:tcPr>
            <w:tcW w:w="1951" w:type="dxa"/>
            <w:tcBorders>
              <w:top w:val="single" w:sz="4" w:space="0" w:color="A6A6A6" w:themeColor="background1" w:themeShade="A6"/>
              <w:bottom w:val="single" w:sz="4" w:space="0" w:color="A6A6A6" w:themeColor="background1" w:themeShade="A6"/>
            </w:tcBorders>
            <w:shd w:val="clear" w:color="auto" w:fill="auto"/>
            <w:hideMark/>
          </w:tcPr>
          <w:p w14:paraId="7BEB70A6"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Податок на цивільно-правові угоди</w:t>
            </w:r>
          </w:p>
        </w:tc>
        <w:tc>
          <w:tcPr>
            <w:tcW w:w="3402" w:type="dxa"/>
            <w:tcBorders>
              <w:top w:val="single" w:sz="4" w:space="0" w:color="A6A6A6" w:themeColor="background1" w:themeShade="A6"/>
              <w:bottom w:val="single" w:sz="4" w:space="0" w:color="A6A6A6" w:themeColor="background1" w:themeShade="A6"/>
            </w:tcBorders>
            <w:shd w:val="clear" w:color="auto" w:fill="auto"/>
            <w:hideMark/>
          </w:tcPr>
          <w:p w14:paraId="124D9BD3"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 xml:space="preserve">Валова вартість транзакції за винятком деяких фінансових інструментів та  </w:t>
            </w:r>
            <w:r w:rsidR="00F966A5">
              <w:rPr>
                <w:rFonts w:ascii="Arial" w:hAnsi="Arial" w:cs="Arial"/>
                <w:szCs w:val="24"/>
                <w:lang w:val="uk-UA"/>
              </w:rPr>
              <w:t xml:space="preserve"> товарних контрактів</w:t>
            </w:r>
            <w:r w:rsidRPr="007E5633">
              <w:rPr>
                <w:rFonts w:ascii="Arial" w:hAnsi="Arial" w:cs="Arial"/>
                <w:lang w:val="uk-UA"/>
              </w:rPr>
              <w:t>, що торгуються на біржі.</w:t>
            </w:r>
          </w:p>
        </w:tc>
        <w:tc>
          <w:tcPr>
            <w:tcW w:w="3889" w:type="dxa"/>
            <w:tcBorders>
              <w:top w:val="single" w:sz="4" w:space="0" w:color="A6A6A6" w:themeColor="background1" w:themeShade="A6"/>
              <w:bottom w:val="single" w:sz="4" w:space="0" w:color="A6A6A6" w:themeColor="background1" w:themeShade="A6"/>
            </w:tcBorders>
            <w:shd w:val="clear" w:color="auto" w:fill="auto"/>
            <w:hideMark/>
          </w:tcPr>
          <w:p w14:paraId="465FA985"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Має негативний стимул для  торгівлі на ринках, що не звільнені від оподаткування (наприклад, позабіржовий), якщо звільнення не є загальним</w:t>
            </w:r>
          </w:p>
        </w:tc>
      </w:tr>
      <w:tr w:rsidR="00824B4E" w:rsidRPr="007E5633" w14:paraId="5063A213" w14:textId="77777777" w:rsidTr="00824B4E">
        <w:tc>
          <w:tcPr>
            <w:tcW w:w="1951" w:type="dxa"/>
            <w:tcBorders>
              <w:top w:val="single" w:sz="4" w:space="0" w:color="A6A6A6" w:themeColor="background1" w:themeShade="A6"/>
              <w:bottom w:val="single" w:sz="4" w:space="0" w:color="A6A6A6" w:themeColor="background1" w:themeShade="A6"/>
            </w:tcBorders>
            <w:shd w:val="clear" w:color="auto" w:fill="auto"/>
            <w:hideMark/>
          </w:tcPr>
          <w:p w14:paraId="4C4CC08A"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Зелений / жовтий / інші сертифікати</w:t>
            </w:r>
          </w:p>
        </w:tc>
        <w:tc>
          <w:tcPr>
            <w:tcW w:w="3402" w:type="dxa"/>
            <w:tcBorders>
              <w:top w:val="single" w:sz="4" w:space="0" w:color="A6A6A6" w:themeColor="background1" w:themeShade="A6"/>
              <w:bottom w:val="single" w:sz="4" w:space="0" w:color="A6A6A6" w:themeColor="background1" w:themeShade="A6"/>
            </w:tcBorders>
            <w:shd w:val="clear" w:color="auto" w:fill="auto"/>
            <w:hideMark/>
          </w:tcPr>
          <w:p w14:paraId="37833FF5"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Енергія, що використовується торговою компанією або продана кінцевому споживачеві</w:t>
            </w:r>
          </w:p>
        </w:tc>
        <w:tc>
          <w:tcPr>
            <w:tcW w:w="3889" w:type="dxa"/>
            <w:tcBorders>
              <w:top w:val="single" w:sz="4" w:space="0" w:color="A6A6A6" w:themeColor="background1" w:themeShade="A6"/>
              <w:bottom w:val="single" w:sz="4" w:space="0" w:color="A6A6A6" w:themeColor="background1" w:themeShade="A6"/>
            </w:tcBorders>
            <w:shd w:val="clear" w:color="auto" w:fill="auto"/>
            <w:hideMark/>
          </w:tcPr>
          <w:p w14:paraId="41395AF8"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Стимулювання інвестицій у відновлювані джерела енергії / когенерація / тощо; не впливає на торгівлю</w:t>
            </w:r>
          </w:p>
        </w:tc>
      </w:tr>
      <w:tr w:rsidR="00824B4E" w:rsidRPr="007E5633" w14:paraId="20D00F0A" w14:textId="77777777" w:rsidTr="00824B4E">
        <w:tc>
          <w:tcPr>
            <w:tcW w:w="1951" w:type="dxa"/>
            <w:tcBorders>
              <w:top w:val="single" w:sz="4" w:space="0" w:color="A6A6A6" w:themeColor="background1" w:themeShade="A6"/>
              <w:bottom w:val="single" w:sz="4" w:space="0" w:color="A6A6A6" w:themeColor="background1" w:themeShade="A6"/>
            </w:tcBorders>
            <w:shd w:val="clear" w:color="auto" w:fill="auto"/>
            <w:hideMark/>
          </w:tcPr>
          <w:p w14:paraId="194DA5C5"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Білі сертифікати</w:t>
            </w:r>
          </w:p>
        </w:tc>
        <w:tc>
          <w:tcPr>
            <w:tcW w:w="3402" w:type="dxa"/>
            <w:tcBorders>
              <w:top w:val="single" w:sz="4" w:space="0" w:color="A6A6A6" w:themeColor="background1" w:themeShade="A6"/>
              <w:bottom w:val="single" w:sz="4" w:space="0" w:color="A6A6A6" w:themeColor="background1" w:themeShade="A6"/>
            </w:tcBorders>
            <w:shd w:val="clear" w:color="auto" w:fill="auto"/>
            <w:hideMark/>
          </w:tcPr>
          <w:p w14:paraId="52DD3B80"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Енергія, що використовується торговою компанією або продана кінцевому споживачеві</w:t>
            </w:r>
          </w:p>
        </w:tc>
        <w:tc>
          <w:tcPr>
            <w:tcW w:w="3889" w:type="dxa"/>
            <w:tcBorders>
              <w:top w:val="single" w:sz="4" w:space="0" w:color="A6A6A6" w:themeColor="background1" w:themeShade="A6"/>
              <w:bottom w:val="single" w:sz="4" w:space="0" w:color="A6A6A6" w:themeColor="background1" w:themeShade="A6"/>
            </w:tcBorders>
            <w:shd w:val="clear" w:color="auto" w:fill="auto"/>
            <w:hideMark/>
          </w:tcPr>
          <w:p w14:paraId="0C407B8A" w14:textId="77777777" w:rsidR="00824B4E" w:rsidRPr="007E5633" w:rsidRDefault="00824B4E" w:rsidP="00824B4E">
            <w:pPr>
              <w:rPr>
                <w:rFonts w:ascii="Arial" w:hAnsi="Arial" w:cs="Arial"/>
                <w:lang w:val="uk-UA"/>
              </w:rPr>
            </w:pPr>
            <w:r w:rsidRPr="007E5633">
              <w:rPr>
                <w:rFonts w:ascii="Arial" w:hAnsi="Arial" w:cs="Arial"/>
                <w:lang w:val="uk-UA"/>
              </w:rPr>
              <w:t>Стимулювання інвестицій в енергоефективність; не впливає на торгівлю</w:t>
            </w:r>
          </w:p>
        </w:tc>
      </w:tr>
      <w:tr w:rsidR="00824B4E" w:rsidRPr="007E5633" w14:paraId="172EF750" w14:textId="77777777" w:rsidTr="00824B4E">
        <w:tc>
          <w:tcPr>
            <w:tcW w:w="1951" w:type="dxa"/>
            <w:tcBorders>
              <w:top w:val="single" w:sz="4" w:space="0" w:color="A6A6A6" w:themeColor="background1" w:themeShade="A6"/>
            </w:tcBorders>
            <w:shd w:val="clear" w:color="auto" w:fill="auto"/>
            <w:hideMark/>
          </w:tcPr>
          <w:p w14:paraId="68DDA50F" w14:textId="77777777" w:rsidR="00824B4E" w:rsidRPr="007E5633" w:rsidRDefault="00824B4E" w:rsidP="00824B4E">
            <w:pPr>
              <w:spacing w:before="120" w:after="120"/>
              <w:rPr>
                <w:rFonts w:ascii="Arial" w:hAnsi="Arial" w:cs="Arial"/>
                <w:b/>
                <w:lang w:val="uk-UA"/>
              </w:rPr>
            </w:pPr>
            <w:r w:rsidRPr="007E5633">
              <w:rPr>
                <w:rFonts w:ascii="Arial" w:hAnsi="Arial" w:cs="Arial"/>
                <w:b/>
                <w:lang w:val="uk-UA"/>
              </w:rPr>
              <w:t>Дозволи на викиди</w:t>
            </w:r>
          </w:p>
        </w:tc>
        <w:tc>
          <w:tcPr>
            <w:tcW w:w="3402" w:type="dxa"/>
            <w:tcBorders>
              <w:top w:val="single" w:sz="4" w:space="0" w:color="A6A6A6" w:themeColor="background1" w:themeShade="A6"/>
            </w:tcBorders>
            <w:shd w:val="clear" w:color="auto" w:fill="auto"/>
            <w:hideMark/>
          </w:tcPr>
          <w:p w14:paraId="1A1213A8" w14:textId="77777777" w:rsidR="00824B4E" w:rsidRPr="007E5633" w:rsidRDefault="00824B4E" w:rsidP="00824B4E">
            <w:pPr>
              <w:spacing w:before="120" w:after="120"/>
              <w:rPr>
                <w:rFonts w:ascii="Arial" w:hAnsi="Arial" w:cs="Arial"/>
                <w:lang w:val="uk-UA"/>
              </w:rPr>
            </w:pPr>
            <w:r w:rsidRPr="007E5633">
              <w:rPr>
                <w:rFonts w:ascii="Arial" w:hAnsi="Arial" w:cs="Arial"/>
                <w:lang w:val="uk-UA"/>
              </w:rPr>
              <w:t>Викиди, які генеруються установкою.</w:t>
            </w:r>
          </w:p>
        </w:tc>
        <w:tc>
          <w:tcPr>
            <w:tcW w:w="3889" w:type="dxa"/>
            <w:tcBorders>
              <w:top w:val="single" w:sz="4" w:space="0" w:color="A6A6A6" w:themeColor="background1" w:themeShade="A6"/>
            </w:tcBorders>
            <w:shd w:val="clear" w:color="auto" w:fill="auto"/>
            <w:hideMark/>
          </w:tcPr>
          <w:p w14:paraId="4288DA64" w14:textId="77777777" w:rsidR="00824B4E" w:rsidRPr="007E5633" w:rsidRDefault="00824B4E" w:rsidP="00824B4E">
            <w:pPr>
              <w:rPr>
                <w:rFonts w:ascii="Arial" w:hAnsi="Arial" w:cs="Arial"/>
                <w:lang w:val="uk-UA"/>
              </w:rPr>
            </w:pPr>
            <w:r w:rsidRPr="007E5633">
              <w:rPr>
                <w:rFonts w:ascii="Arial" w:hAnsi="Arial" w:cs="Arial"/>
                <w:lang w:val="uk-UA"/>
              </w:rPr>
              <w:t>Стимул для обмеження викидів; відсутність впливу на торгівлю</w:t>
            </w:r>
          </w:p>
        </w:tc>
      </w:tr>
    </w:tbl>
    <w:p w14:paraId="7FD26863" w14:textId="77777777" w:rsidR="00824B4E" w:rsidRPr="007E5633" w:rsidRDefault="00824B4E" w:rsidP="00824B4E">
      <w:pPr>
        <w:pStyle w:val="af4"/>
        <w:spacing w:before="240"/>
        <w:rPr>
          <w:sz w:val="22"/>
          <w:szCs w:val="22"/>
          <w:lang w:val="uk-UA"/>
        </w:rPr>
      </w:pPr>
      <w:r w:rsidRPr="007E5633">
        <w:rPr>
          <w:sz w:val="22"/>
          <w:szCs w:val="22"/>
          <w:lang w:val="uk-UA"/>
        </w:rPr>
        <w:t xml:space="preserve">Як видно вище, податки, як правило, будуються навколо оптового енергетичного ринку, при цьому загальні податки розроблені таким чином, щоб бути нейтральними для цього ринку, а податки на енергоносії стягуються з кінцевих споживачів або виробників, а не з торгових компаній. Оскільки ліквідність енергетичного ринку вважається корисною для конкуренції, бо вона знижує «ренту» від вертикальної інтеграції і, відповідно, сприяє </w:t>
      </w:r>
      <w:r w:rsidRPr="007E5633">
        <w:rPr>
          <w:sz w:val="22"/>
          <w:szCs w:val="22"/>
          <w:lang w:val="uk-UA"/>
        </w:rPr>
        <w:lastRenderedPageBreak/>
        <w:t>підвищенню конкуренції, не можна пригнічувати торгівлю через оподаткування. Існує давня пропозиція запровадити міжнародний податок на фінансові операції, який буде робити саме це (так званий "податок Тобіна" або FTT), але цю пропозицію не було реалізовано до теперішнього часу, і не зрозуміло, чи буде такий податок включати енергетичні деривативи.</w:t>
      </w:r>
    </w:p>
    <w:p w14:paraId="45FBA43C" w14:textId="77777777" w:rsidR="00824B4E" w:rsidRPr="007E5633" w:rsidRDefault="00824B4E" w:rsidP="00824B4E">
      <w:pPr>
        <w:pStyle w:val="af4"/>
        <w:spacing w:before="240"/>
        <w:rPr>
          <w:sz w:val="22"/>
          <w:szCs w:val="22"/>
          <w:lang w:val="uk-UA"/>
        </w:rPr>
      </w:pPr>
      <w:r w:rsidRPr="007E5633">
        <w:rPr>
          <w:sz w:val="22"/>
          <w:szCs w:val="22"/>
          <w:lang w:val="uk-UA"/>
        </w:rPr>
        <w:t>Знову ж таки, приклад Польщі демонструє важливість якості законодавства у сфері оптової торгівлі енергією. Податок на цивільно-правові угоди схожий на податок на зміну права власності і, як правило, складає 1% або 2% від номінальної вартості будь-якої угоди про продаж, позику, дарування чи іпотеку. Існує безліч винятків з цього податку, і організована торгівля, за задумом його розробників, не підпадає під нього. Що стосується оптової торгівлі енергоносіями, Закон про оподаткування цивільно-правових угод (Civil Law Actions Tax Act) звільняє від податку будь-які угоди, що здійснюються на біржах</w:t>
      </w:r>
      <w:r w:rsidR="00F966A5" w:rsidRPr="00F966A5">
        <w:rPr>
          <w:lang w:val="uk-UA"/>
        </w:rPr>
        <w:t xml:space="preserve"> </w:t>
      </w:r>
      <w:r w:rsidR="00F966A5" w:rsidRPr="00F966A5">
        <w:rPr>
          <w:sz w:val="22"/>
          <w:szCs w:val="22"/>
          <w:lang w:val="uk-UA"/>
        </w:rPr>
        <w:t>товарних контрактів</w:t>
      </w:r>
      <w:r w:rsidRPr="007E5633">
        <w:rPr>
          <w:sz w:val="22"/>
          <w:szCs w:val="22"/>
          <w:lang w:val="uk-UA"/>
        </w:rPr>
        <w:t xml:space="preserve">, та будь-які угоди, укладені з фінансовими інструментами на торгових майданчиках. Проте, Закон про біржі </w:t>
      </w:r>
      <w:r w:rsidR="00F966A5" w:rsidRPr="00F966A5">
        <w:rPr>
          <w:sz w:val="22"/>
          <w:szCs w:val="22"/>
          <w:lang w:val="uk-UA"/>
        </w:rPr>
        <w:t xml:space="preserve">товарних контрактів </w:t>
      </w:r>
      <w:r w:rsidRPr="007E5633">
        <w:rPr>
          <w:sz w:val="22"/>
          <w:szCs w:val="22"/>
          <w:lang w:val="uk-UA"/>
        </w:rPr>
        <w:t>(Commodity Exchanges Act), запроваджений через впровадження MiFID II, створив нову категорію оптових енергетичних інструментів (електроенергетичні та газові форвардні контракти з фізичною доставкою), які не є ані фінансовим інструментом, ані торгуються на біржі</w:t>
      </w:r>
      <w:r w:rsidR="00F966A5" w:rsidRPr="00F966A5">
        <w:rPr>
          <w:lang w:val="uk-UA"/>
        </w:rPr>
        <w:t xml:space="preserve"> </w:t>
      </w:r>
      <w:r w:rsidR="00F966A5" w:rsidRPr="00F966A5">
        <w:rPr>
          <w:sz w:val="22"/>
          <w:szCs w:val="22"/>
          <w:lang w:val="uk-UA"/>
        </w:rPr>
        <w:t>товарних контрактів</w:t>
      </w:r>
      <w:r w:rsidRPr="007E5633">
        <w:rPr>
          <w:sz w:val="22"/>
          <w:szCs w:val="22"/>
          <w:lang w:val="uk-UA"/>
        </w:rPr>
        <w:t xml:space="preserve">. Через заплутану (непослідовну) імплементацію нового закону більшість організованої оптової торговельної енергії в Польщі можуть ненавмисно стати об'єктом податку на цивільно-правові угоди. Це може потенційно спричинити зсув певного обсягу торгів від форвардних інструментів (які потенційно стали предметом </w:t>
      </w:r>
      <w:r w:rsidR="00BD153C" w:rsidRPr="007E5633">
        <w:rPr>
          <w:sz w:val="22"/>
          <w:szCs w:val="22"/>
          <w:lang w:val="uk-UA"/>
        </w:rPr>
        <w:t>оподаткування</w:t>
      </w:r>
      <w:r w:rsidRPr="007E5633">
        <w:rPr>
          <w:sz w:val="22"/>
          <w:szCs w:val="22"/>
          <w:lang w:val="uk-UA"/>
        </w:rPr>
        <w:t>) до контрактів «на день вперед» (які все ще звільняються від оподаткування) (Автори Звіту не дають юридичного висновку з цього питання, і жодні твердження у цьому Звіті не слід вважати такими, що претендують на якусь форму юридичного висновку).</w:t>
      </w:r>
    </w:p>
    <w:p w14:paraId="61D87ED1" w14:textId="77777777" w:rsidR="00A44CF0" w:rsidRPr="007E5633" w:rsidRDefault="00824B4E" w:rsidP="00824B4E">
      <w:pPr>
        <w:pStyle w:val="af4"/>
        <w:spacing w:before="240"/>
        <w:rPr>
          <w:sz w:val="22"/>
          <w:szCs w:val="22"/>
          <w:highlight w:val="yellow"/>
          <w:lang w:val="uk-UA"/>
        </w:rPr>
      </w:pPr>
      <w:r w:rsidRPr="007E5633">
        <w:rPr>
          <w:sz w:val="22"/>
          <w:szCs w:val="22"/>
          <w:lang w:val="uk-UA"/>
        </w:rPr>
        <w:t>Ряд інших податків також залежать від країни, тому у Звіті подається лише короткий огляд, щоб показати логіку та механізм роботи таких податкових заходів. Як видно з наведеного нижче, майже всі енергетичні податки стягуються на етапі, коли енергія продається кінцевому користувачеві або коли торгова компанія сама використовує енергопродукти.</w:t>
      </w:r>
    </w:p>
    <w:p w14:paraId="4985FCC7" w14:textId="4CE95ACD" w:rsidR="00A44CF0" w:rsidRPr="007E5633" w:rsidRDefault="00824B4E" w:rsidP="004C5694">
      <w:pPr>
        <w:pStyle w:val="af1"/>
        <w:jc w:val="left"/>
        <w:rPr>
          <w:rFonts w:cs="Arial"/>
          <w:sz w:val="22"/>
          <w:szCs w:val="22"/>
          <w:lang w:val="uk-UA"/>
        </w:rPr>
      </w:pPr>
      <w:bookmarkStart w:id="148" w:name="_Toc533094064"/>
      <w:r w:rsidRPr="007E5633">
        <w:rPr>
          <w:rFonts w:cs="Arial"/>
          <w:sz w:val="22"/>
          <w:szCs w:val="22"/>
          <w:lang w:val="uk-UA"/>
        </w:rPr>
        <w:t>Схема</w:t>
      </w:r>
      <w:r w:rsidR="004C5694" w:rsidRPr="007E5633">
        <w:rPr>
          <w:rFonts w:cs="Arial"/>
          <w:sz w:val="22"/>
          <w:szCs w:val="22"/>
          <w:lang w:val="uk-UA"/>
        </w:rPr>
        <w:t xml:space="preserve"> </w:t>
      </w:r>
      <w:r w:rsidR="00622EE2" w:rsidRPr="007E5633">
        <w:rPr>
          <w:rFonts w:cs="Arial"/>
          <w:sz w:val="22"/>
          <w:szCs w:val="22"/>
          <w:lang w:val="uk-UA"/>
        </w:rPr>
        <w:fldChar w:fldCharType="begin"/>
      </w:r>
      <w:r w:rsidR="004C5694" w:rsidRPr="007E5633">
        <w:rPr>
          <w:rFonts w:cs="Arial"/>
          <w:sz w:val="22"/>
          <w:szCs w:val="22"/>
          <w:lang w:val="uk-UA"/>
        </w:rPr>
        <w:instrText xml:space="preserve"> SEQ Figure \* ARABIC </w:instrText>
      </w:r>
      <w:r w:rsidR="00622EE2" w:rsidRPr="007E5633">
        <w:rPr>
          <w:rFonts w:cs="Arial"/>
          <w:sz w:val="22"/>
          <w:szCs w:val="22"/>
          <w:lang w:val="uk-UA"/>
        </w:rPr>
        <w:fldChar w:fldCharType="separate"/>
      </w:r>
      <w:r w:rsidR="00221E0D">
        <w:rPr>
          <w:rFonts w:cs="Arial"/>
          <w:noProof/>
          <w:sz w:val="22"/>
          <w:szCs w:val="22"/>
          <w:lang w:val="uk-UA"/>
        </w:rPr>
        <w:t>37</w:t>
      </w:r>
      <w:r w:rsidR="00622EE2" w:rsidRPr="007E5633">
        <w:rPr>
          <w:rFonts w:cs="Arial"/>
          <w:sz w:val="22"/>
          <w:szCs w:val="22"/>
          <w:lang w:val="uk-UA"/>
        </w:rPr>
        <w:fldChar w:fldCharType="end"/>
      </w:r>
      <w:r w:rsidR="004C5694" w:rsidRPr="007E5633">
        <w:rPr>
          <w:rFonts w:cs="Arial"/>
          <w:sz w:val="22"/>
          <w:szCs w:val="22"/>
          <w:lang w:val="uk-UA"/>
        </w:rPr>
        <w:t xml:space="preserve">: </w:t>
      </w:r>
      <w:r w:rsidRPr="007E5633">
        <w:rPr>
          <w:rFonts w:cs="Arial"/>
          <w:sz w:val="22"/>
          <w:szCs w:val="22"/>
          <w:lang w:val="uk-UA"/>
        </w:rPr>
        <w:t>Приклади податків, що стосуються енергетичної торгівлі у Європі</w:t>
      </w:r>
      <w:bookmarkEnd w:id="148"/>
    </w:p>
    <w:tbl>
      <w:tblPr>
        <w:tblStyle w:val="af6"/>
        <w:tblW w:w="9843" w:type="dxa"/>
        <w:tblLook w:val="04A0" w:firstRow="1" w:lastRow="0" w:firstColumn="1" w:lastColumn="0" w:noHBand="0" w:noVBand="1"/>
      </w:tblPr>
      <w:tblGrid>
        <w:gridCol w:w="1946"/>
        <w:gridCol w:w="1933"/>
        <w:gridCol w:w="2608"/>
        <w:gridCol w:w="3356"/>
      </w:tblGrid>
      <w:tr w:rsidR="00824B4E" w:rsidRPr="007E5633" w14:paraId="75DC0292" w14:textId="77777777" w:rsidTr="00824B4E">
        <w:tc>
          <w:tcPr>
            <w:tcW w:w="1946" w:type="dxa"/>
            <w:tcBorders>
              <w:top w:val="nil"/>
              <w:left w:val="nil"/>
              <w:bottom w:val="single" w:sz="4" w:space="0" w:color="F79646" w:themeColor="accent6"/>
              <w:right w:val="nil"/>
            </w:tcBorders>
          </w:tcPr>
          <w:p w14:paraId="343F4ADD" w14:textId="77777777" w:rsidR="00824B4E" w:rsidRPr="007E5633" w:rsidRDefault="00824B4E" w:rsidP="000A7BA9">
            <w:pPr>
              <w:spacing w:before="120" w:after="120"/>
              <w:rPr>
                <w:rFonts w:ascii="Arial" w:hAnsi="Arial" w:cs="Arial"/>
                <w:b/>
                <w:highlight w:val="yellow"/>
                <w:lang w:val="uk-UA"/>
              </w:rPr>
            </w:pPr>
            <w:r w:rsidRPr="007E5633">
              <w:rPr>
                <w:rFonts w:ascii="Arial" w:hAnsi="Arial" w:cs="Arial"/>
                <w:b/>
                <w:lang w:val="uk-UA"/>
              </w:rPr>
              <w:t>Податок</w:t>
            </w:r>
          </w:p>
        </w:tc>
        <w:tc>
          <w:tcPr>
            <w:tcW w:w="1933" w:type="dxa"/>
            <w:tcBorders>
              <w:top w:val="nil"/>
              <w:left w:val="nil"/>
              <w:bottom w:val="single" w:sz="4" w:space="0" w:color="F79646" w:themeColor="accent6"/>
              <w:right w:val="nil"/>
            </w:tcBorders>
          </w:tcPr>
          <w:p w14:paraId="7B27E1B0" w14:textId="77777777" w:rsidR="00824B4E" w:rsidRPr="007E5633" w:rsidRDefault="00824B4E" w:rsidP="000A7BA9">
            <w:pPr>
              <w:spacing w:before="120" w:after="120"/>
              <w:rPr>
                <w:rFonts w:ascii="Arial" w:hAnsi="Arial" w:cs="Arial"/>
                <w:b/>
                <w:highlight w:val="yellow"/>
                <w:lang w:val="uk-UA"/>
              </w:rPr>
            </w:pPr>
            <w:r w:rsidRPr="007E5633">
              <w:rPr>
                <w:rFonts w:ascii="Arial" w:hAnsi="Arial" w:cs="Arial"/>
                <w:b/>
                <w:lang w:val="uk-UA"/>
              </w:rPr>
              <w:t>Приклад країни</w:t>
            </w:r>
          </w:p>
        </w:tc>
        <w:tc>
          <w:tcPr>
            <w:tcW w:w="2608" w:type="dxa"/>
            <w:tcBorders>
              <w:top w:val="nil"/>
              <w:left w:val="nil"/>
              <w:bottom w:val="single" w:sz="4" w:space="0" w:color="F79646" w:themeColor="accent6"/>
              <w:right w:val="nil"/>
            </w:tcBorders>
          </w:tcPr>
          <w:p w14:paraId="440A223C" w14:textId="77777777" w:rsidR="00824B4E" w:rsidRPr="007E5633" w:rsidRDefault="00824B4E" w:rsidP="000A7BA9">
            <w:pPr>
              <w:spacing w:before="120" w:after="120"/>
              <w:rPr>
                <w:rFonts w:ascii="Arial" w:hAnsi="Arial" w:cs="Arial"/>
                <w:b/>
                <w:highlight w:val="yellow"/>
                <w:lang w:val="uk-UA"/>
              </w:rPr>
            </w:pPr>
            <w:r w:rsidRPr="007E5633">
              <w:rPr>
                <w:rFonts w:ascii="Arial" w:hAnsi="Arial" w:cs="Arial"/>
                <w:b/>
                <w:lang w:val="uk-UA"/>
              </w:rPr>
              <w:t>Механізм застосування</w:t>
            </w:r>
          </w:p>
        </w:tc>
        <w:tc>
          <w:tcPr>
            <w:tcW w:w="3356" w:type="dxa"/>
            <w:tcBorders>
              <w:top w:val="nil"/>
              <w:left w:val="nil"/>
              <w:bottom w:val="single" w:sz="4" w:space="0" w:color="F79646" w:themeColor="accent6"/>
              <w:right w:val="nil"/>
            </w:tcBorders>
          </w:tcPr>
          <w:p w14:paraId="53D03708" w14:textId="77777777" w:rsidR="00824B4E" w:rsidRPr="007E5633" w:rsidRDefault="00824B4E" w:rsidP="000A7BA9">
            <w:pPr>
              <w:spacing w:before="120" w:after="120"/>
              <w:rPr>
                <w:rFonts w:ascii="Arial" w:hAnsi="Arial" w:cs="Arial"/>
                <w:b/>
                <w:highlight w:val="yellow"/>
                <w:lang w:val="uk-UA"/>
              </w:rPr>
            </w:pPr>
            <w:r w:rsidRPr="007E5633">
              <w:rPr>
                <w:rFonts w:ascii="Arial" w:hAnsi="Arial" w:cs="Arial"/>
                <w:b/>
                <w:lang w:val="uk-UA"/>
              </w:rPr>
              <w:t>Мета</w:t>
            </w:r>
          </w:p>
        </w:tc>
      </w:tr>
      <w:tr w:rsidR="00824B4E" w:rsidRPr="007E5633" w14:paraId="524DAC90" w14:textId="77777777" w:rsidTr="00824B4E">
        <w:tc>
          <w:tcPr>
            <w:tcW w:w="1946" w:type="dxa"/>
            <w:tcBorders>
              <w:top w:val="single" w:sz="4" w:space="0" w:color="F79646" w:themeColor="accent6"/>
              <w:left w:val="nil"/>
              <w:bottom w:val="single" w:sz="4" w:space="0" w:color="A6A6A6" w:themeColor="background1" w:themeShade="A6"/>
              <w:right w:val="nil"/>
            </w:tcBorders>
          </w:tcPr>
          <w:p w14:paraId="145BA4FC"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Плата за утримання інфраструктури та / або внески в TSO</w:t>
            </w:r>
          </w:p>
        </w:tc>
        <w:tc>
          <w:tcPr>
            <w:tcW w:w="1933" w:type="dxa"/>
            <w:tcBorders>
              <w:top w:val="single" w:sz="4" w:space="0" w:color="F79646" w:themeColor="accent6"/>
              <w:left w:val="nil"/>
              <w:bottom w:val="single" w:sz="4" w:space="0" w:color="A6A6A6" w:themeColor="background1" w:themeShade="A6"/>
              <w:right w:val="nil"/>
            </w:tcBorders>
          </w:tcPr>
          <w:p w14:paraId="1AD51A76"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Бельгія</w:t>
            </w:r>
          </w:p>
        </w:tc>
        <w:tc>
          <w:tcPr>
            <w:tcW w:w="2608" w:type="dxa"/>
            <w:tcBorders>
              <w:top w:val="single" w:sz="4" w:space="0" w:color="F79646" w:themeColor="accent6"/>
              <w:left w:val="nil"/>
              <w:bottom w:val="single" w:sz="4" w:space="0" w:color="A6A6A6" w:themeColor="background1" w:themeShade="A6"/>
              <w:right w:val="nil"/>
            </w:tcBorders>
          </w:tcPr>
          <w:p w14:paraId="7C64DC35"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Федеральний збір, який поєднується з регіональними зборами RES / ТЕЦ, що сплачується з кінцевого продажу</w:t>
            </w:r>
          </w:p>
        </w:tc>
        <w:tc>
          <w:tcPr>
            <w:tcW w:w="3356" w:type="dxa"/>
            <w:tcBorders>
              <w:top w:val="single" w:sz="4" w:space="0" w:color="F79646" w:themeColor="accent6"/>
              <w:left w:val="nil"/>
              <w:bottom w:val="single" w:sz="4" w:space="0" w:color="A6A6A6" w:themeColor="background1" w:themeShade="A6"/>
              <w:right w:val="nil"/>
            </w:tcBorders>
          </w:tcPr>
          <w:p w14:paraId="4460D810"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Для фінансування офшорної енергосистеми.</w:t>
            </w:r>
          </w:p>
        </w:tc>
      </w:tr>
      <w:tr w:rsidR="00824B4E" w:rsidRPr="007E5633" w14:paraId="0190F089" w14:textId="77777777" w:rsidTr="00824B4E">
        <w:tc>
          <w:tcPr>
            <w:tcW w:w="1946" w:type="dxa"/>
            <w:tcBorders>
              <w:top w:val="single" w:sz="4" w:space="0" w:color="A6A6A6" w:themeColor="background1" w:themeShade="A6"/>
              <w:left w:val="nil"/>
              <w:bottom w:val="single" w:sz="4" w:space="0" w:color="A6A6A6" w:themeColor="background1" w:themeShade="A6"/>
              <w:right w:val="nil"/>
            </w:tcBorders>
          </w:tcPr>
          <w:p w14:paraId="08E1E67C"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Податки на соціальні субсидії</w:t>
            </w:r>
          </w:p>
        </w:tc>
        <w:tc>
          <w:tcPr>
            <w:tcW w:w="1933" w:type="dxa"/>
            <w:tcBorders>
              <w:top w:val="single" w:sz="4" w:space="0" w:color="A6A6A6" w:themeColor="background1" w:themeShade="A6"/>
              <w:left w:val="nil"/>
              <w:bottom w:val="single" w:sz="4" w:space="0" w:color="A6A6A6" w:themeColor="background1" w:themeShade="A6"/>
              <w:right w:val="nil"/>
            </w:tcBorders>
          </w:tcPr>
          <w:p w14:paraId="5D53D22D"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Бельгія, Франція</w:t>
            </w:r>
          </w:p>
        </w:tc>
        <w:tc>
          <w:tcPr>
            <w:tcW w:w="2608" w:type="dxa"/>
            <w:tcBorders>
              <w:top w:val="single" w:sz="4" w:space="0" w:color="A6A6A6" w:themeColor="background1" w:themeShade="A6"/>
              <w:left w:val="nil"/>
              <w:bottom w:val="single" w:sz="4" w:space="0" w:color="A6A6A6" w:themeColor="background1" w:themeShade="A6"/>
              <w:right w:val="nil"/>
            </w:tcBorders>
          </w:tcPr>
          <w:p w14:paraId="73B2EBD9"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Податок на кінцевий продаж</w:t>
            </w:r>
          </w:p>
        </w:tc>
        <w:tc>
          <w:tcPr>
            <w:tcW w:w="3356" w:type="dxa"/>
            <w:tcBorders>
              <w:top w:val="single" w:sz="4" w:space="0" w:color="A6A6A6" w:themeColor="background1" w:themeShade="A6"/>
              <w:left w:val="nil"/>
              <w:bottom w:val="single" w:sz="4" w:space="0" w:color="A6A6A6" w:themeColor="background1" w:themeShade="A6"/>
              <w:right w:val="nil"/>
            </w:tcBorders>
          </w:tcPr>
          <w:p w14:paraId="320EEC6D"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Для фінансування знижок (субсидій, rebates) для певних домогосподарств</w:t>
            </w:r>
          </w:p>
        </w:tc>
      </w:tr>
      <w:tr w:rsidR="00824B4E" w:rsidRPr="007E5633" w14:paraId="0DEE6F96" w14:textId="77777777" w:rsidTr="00824B4E">
        <w:tc>
          <w:tcPr>
            <w:tcW w:w="1946" w:type="dxa"/>
            <w:tcBorders>
              <w:top w:val="single" w:sz="4" w:space="0" w:color="A6A6A6" w:themeColor="background1" w:themeShade="A6"/>
              <w:left w:val="nil"/>
              <w:bottom w:val="single" w:sz="4" w:space="0" w:color="A6A6A6" w:themeColor="background1" w:themeShade="A6"/>
              <w:right w:val="nil"/>
            </w:tcBorders>
          </w:tcPr>
          <w:p w14:paraId="30687091"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Концесійні збори</w:t>
            </w:r>
          </w:p>
        </w:tc>
        <w:tc>
          <w:tcPr>
            <w:tcW w:w="1933" w:type="dxa"/>
            <w:tcBorders>
              <w:top w:val="single" w:sz="4" w:space="0" w:color="A6A6A6" w:themeColor="background1" w:themeShade="A6"/>
              <w:left w:val="nil"/>
              <w:bottom w:val="single" w:sz="4" w:space="0" w:color="A6A6A6" w:themeColor="background1" w:themeShade="A6"/>
              <w:right w:val="nil"/>
            </w:tcBorders>
          </w:tcPr>
          <w:p w14:paraId="31B33861"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Німеччина</w:t>
            </w:r>
          </w:p>
        </w:tc>
        <w:tc>
          <w:tcPr>
            <w:tcW w:w="2608" w:type="dxa"/>
            <w:tcBorders>
              <w:top w:val="single" w:sz="4" w:space="0" w:color="A6A6A6" w:themeColor="background1" w:themeShade="A6"/>
              <w:left w:val="nil"/>
              <w:bottom w:val="single" w:sz="4" w:space="0" w:color="A6A6A6" w:themeColor="background1" w:themeShade="A6"/>
              <w:right w:val="nil"/>
            </w:tcBorders>
          </w:tcPr>
          <w:p w14:paraId="4386AE14"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Сплачується з кінцевого продажу</w:t>
            </w:r>
          </w:p>
        </w:tc>
        <w:tc>
          <w:tcPr>
            <w:tcW w:w="3356" w:type="dxa"/>
            <w:tcBorders>
              <w:top w:val="single" w:sz="4" w:space="0" w:color="A6A6A6" w:themeColor="background1" w:themeShade="A6"/>
              <w:left w:val="nil"/>
              <w:bottom w:val="single" w:sz="4" w:space="0" w:color="A6A6A6" w:themeColor="background1" w:themeShade="A6"/>
              <w:right w:val="nil"/>
            </w:tcBorders>
          </w:tcPr>
          <w:p w14:paraId="20D10661"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 xml:space="preserve">Вартість використання громадського простору для ліній електропередачі, яку </w:t>
            </w:r>
            <w:r w:rsidRPr="007E5633">
              <w:rPr>
                <w:rFonts w:ascii="Arial" w:hAnsi="Arial" w:cs="Arial"/>
                <w:lang w:val="uk-UA"/>
              </w:rPr>
              <w:lastRenderedPageBreak/>
              <w:t>комунальне підприємство перекладає на споживача</w:t>
            </w:r>
          </w:p>
        </w:tc>
      </w:tr>
      <w:tr w:rsidR="00824B4E" w:rsidRPr="007E5633" w14:paraId="3ACF0136" w14:textId="77777777" w:rsidTr="00824B4E">
        <w:tc>
          <w:tcPr>
            <w:tcW w:w="1946" w:type="dxa"/>
            <w:tcBorders>
              <w:top w:val="single" w:sz="4" w:space="0" w:color="A6A6A6" w:themeColor="background1" w:themeShade="A6"/>
              <w:left w:val="nil"/>
              <w:bottom w:val="nil"/>
              <w:right w:val="nil"/>
            </w:tcBorders>
          </w:tcPr>
          <w:p w14:paraId="0F3B97C0"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lastRenderedPageBreak/>
              <w:t>Внески на формування фондів безпеки</w:t>
            </w:r>
          </w:p>
        </w:tc>
        <w:tc>
          <w:tcPr>
            <w:tcW w:w="1933" w:type="dxa"/>
            <w:tcBorders>
              <w:top w:val="single" w:sz="4" w:space="0" w:color="A6A6A6" w:themeColor="background1" w:themeShade="A6"/>
              <w:left w:val="nil"/>
              <w:bottom w:val="nil"/>
              <w:right w:val="nil"/>
            </w:tcBorders>
          </w:tcPr>
          <w:p w14:paraId="7C395472"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Данія, Німеччина</w:t>
            </w:r>
          </w:p>
        </w:tc>
        <w:tc>
          <w:tcPr>
            <w:tcW w:w="2608" w:type="dxa"/>
            <w:tcBorders>
              <w:top w:val="single" w:sz="4" w:space="0" w:color="A6A6A6" w:themeColor="background1" w:themeShade="A6"/>
              <w:left w:val="nil"/>
              <w:bottom w:val="nil"/>
              <w:right w:val="nil"/>
            </w:tcBorders>
          </w:tcPr>
          <w:p w14:paraId="3E69A65B"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Тариф / збір, що сплачується з кінцевого продажу.</w:t>
            </w:r>
          </w:p>
        </w:tc>
        <w:tc>
          <w:tcPr>
            <w:tcW w:w="3356" w:type="dxa"/>
            <w:tcBorders>
              <w:top w:val="single" w:sz="4" w:space="0" w:color="A6A6A6" w:themeColor="background1" w:themeShade="A6"/>
              <w:left w:val="nil"/>
              <w:bottom w:val="nil"/>
              <w:right w:val="nil"/>
            </w:tcBorders>
          </w:tcPr>
          <w:p w14:paraId="761FBE28" w14:textId="77777777" w:rsidR="00824B4E" w:rsidRPr="007E5633" w:rsidRDefault="00824B4E" w:rsidP="000A7BA9">
            <w:pPr>
              <w:spacing w:before="120" w:after="120"/>
              <w:rPr>
                <w:rFonts w:ascii="Arial" w:hAnsi="Arial" w:cs="Arial"/>
                <w:highlight w:val="yellow"/>
                <w:lang w:val="uk-UA"/>
              </w:rPr>
            </w:pPr>
            <w:r w:rsidRPr="007E5633">
              <w:rPr>
                <w:rFonts w:ascii="Arial" w:hAnsi="Arial" w:cs="Arial"/>
                <w:lang w:val="uk-UA"/>
              </w:rPr>
              <w:t>Для покриття витрат на заходи з аварійного енергопостачання</w:t>
            </w:r>
          </w:p>
        </w:tc>
      </w:tr>
    </w:tbl>
    <w:p w14:paraId="326E580C" w14:textId="77777777" w:rsidR="00A44CF0" w:rsidRPr="007E5633" w:rsidRDefault="00824B4E" w:rsidP="00A44CF0">
      <w:pPr>
        <w:spacing w:before="120" w:after="120" w:line="240" w:lineRule="auto"/>
        <w:jc w:val="both"/>
        <w:rPr>
          <w:rFonts w:ascii="Arial" w:hAnsi="Arial" w:cs="Arial"/>
          <w:highlight w:val="yellow"/>
          <w:lang w:val="uk-UA"/>
        </w:rPr>
      </w:pPr>
      <w:r w:rsidRPr="007E5633">
        <w:rPr>
          <w:rFonts w:ascii="Arial" w:hAnsi="Arial" w:cs="Arial"/>
          <w:lang w:val="uk-UA"/>
        </w:rPr>
        <w:t>Як зазначено вище, цілі енергетичного оподаткування значною мірою залежать від цілей політики та інституційного середовища певної країни. Як правило, однак, податкові системи країн-членів намагаються перекласти структуру загального енергетичного ринку до бажаних екологічних та соціальних цілей, одночасно уникаючи оподаткування, яке б могло призвести до спотворення цін на оптовому енергетичному ринку. Саме тому оподаткування на енергоносії в основному перекладається на виробників або кінцевих споживачів, а не на торговців та посередників. Оскільки ефективний та ліквідний оптовий ринок має вирішальне значення для збалансування виробництва та споживання енергії, ретельна імплементація фіскального тягаря має вирішальне значення для безпеки національних енергетичних систем.</w:t>
      </w:r>
    </w:p>
    <w:p w14:paraId="4E349F9F"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49" w:name="_Toc533093953"/>
      <w:r w:rsidRPr="007E5633">
        <w:rPr>
          <w:rFonts w:ascii="Arial" w:hAnsi="Arial" w:cs="Arial"/>
          <w:color w:val="auto"/>
          <w:sz w:val="22"/>
          <w:szCs w:val="22"/>
          <w:lang w:val="uk-UA"/>
        </w:rPr>
        <w:t>Екологічні податки та схеми стимулювання</w:t>
      </w:r>
      <w:bookmarkEnd w:id="149"/>
    </w:p>
    <w:p w14:paraId="53DC79BE" w14:textId="77777777" w:rsidR="00824B4E" w:rsidRPr="007E5633" w:rsidRDefault="00824B4E" w:rsidP="00824B4E">
      <w:pPr>
        <w:pStyle w:val="af4"/>
        <w:rPr>
          <w:sz w:val="22"/>
          <w:szCs w:val="22"/>
          <w:lang w:val="uk-UA"/>
        </w:rPr>
      </w:pPr>
      <w:r w:rsidRPr="007E5633">
        <w:rPr>
          <w:sz w:val="22"/>
          <w:szCs w:val="22"/>
          <w:lang w:val="uk-UA"/>
        </w:rPr>
        <w:t>Окрім системи торгівлі дозволами на викиди ЄС (ETS), екологічні податки та схеми стимулювання не регулюються безпосередньо на європейському рівні. Більшість з них, однак, стосується лише електроенергії та витікає з цілей та схем підтримки, визначених Директивою 2009/28 / ЄС Європейського Парламенту та Ради від 23 квітня 2009 р. Про сприяння використанню енергії з відновлюваних джерел. Директива встановлює цілі для держав-членів для подальшого збільшення частки відновлюваної енергії, енергозбереження та енергоефективності. Крім того, вона створює основу для здійснення ряду заходів, спрямованих на досягнення цих цілей, а впровадження та деталізація цих заходів повністю залишається на розсуд країн-членів ЄС. Єдині схеми підтримки, які регулюються більш детально, - це спільні підприємства (проекти), які можуть здійснюватися кількома країнами.</w:t>
      </w:r>
    </w:p>
    <w:p w14:paraId="4C3745D7" w14:textId="77777777" w:rsidR="00824B4E" w:rsidRPr="007E5633" w:rsidRDefault="00824B4E" w:rsidP="00824B4E">
      <w:pPr>
        <w:pStyle w:val="af4"/>
        <w:rPr>
          <w:sz w:val="22"/>
          <w:szCs w:val="22"/>
          <w:lang w:val="uk-UA"/>
        </w:rPr>
      </w:pPr>
      <w:r w:rsidRPr="007E5633">
        <w:rPr>
          <w:sz w:val="22"/>
          <w:szCs w:val="22"/>
          <w:lang w:val="uk-UA"/>
        </w:rPr>
        <w:t>Клас рішень, які повністю або частково заснований на ринкових підходах, використовує так звані "зелені сертифікати", хоча іноді існує кілька «кольорових» схем, що стосуються різних джерел енергії. У цій системі оператори певного типу установки (зазвичай, що базується на поновлюваних джерелах енергії) отримують сертифікат для кожного МВт-г електроенергії, виробленої з певного джерела. Цей сертифікат пізніше обов'язково скасовується / погашається, коли енергія продається кінцевому користувачеві (або коли вона використовується торговою компанією, яка займається торгівлею енергією). Сертифікатами можна торгувати, тому система забезпечує ринкову ціну на "зелений" компонент енергії окремо від ціни самої енергії. У деяких схемах, за будь-яку енергію, продану кінцевому споживачеві, продавець може замість скасування сертифікату сплачувати за заміну (replacement fee), тобто платіж за заміну фактично є максимальною вартістю сертифіката.</w:t>
      </w:r>
    </w:p>
    <w:p w14:paraId="7F7F1E72" w14:textId="77777777" w:rsidR="00824B4E" w:rsidRPr="007E5633" w:rsidRDefault="00824B4E" w:rsidP="00824B4E">
      <w:pPr>
        <w:pStyle w:val="af4"/>
        <w:rPr>
          <w:sz w:val="22"/>
          <w:szCs w:val="22"/>
          <w:lang w:val="uk-UA"/>
        </w:rPr>
      </w:pPr>
      <w:r w:rsidRPr="007E5633">
        <w:rPr>
          <w:sz w:val="22"/>
          <w:szCs w:val="22"/>
          <w:lang w:val="uk-UA"/>
        </w:rPr>
        <w:t>Така система дозволяє покласти зобов'язання щодо джерела енергії на комунальні підприємства, не змушуючи їх інтегруватися вертикально, ефективно забезпечуючи централізоване рішення для досягнення централізованої мети. Точна специфікація схеми, така як платіж за заміну або різні коефіцієнти для різних джерел енергії, надає цим заходам гнучкості, необхідної для реалізації різноманітних системних цілей.</w:t>
      </w:r>
    </w:p>
    <w:p w14:paraId="4ABFF758" w14:textId="77777777" w:rsidR="00824B4E" w:rsidRPr="007E5633" w:rsidRDefault="00824B4E" w:rsidP="00824B4E">
      <w:pPr>
        <w:pStyle w:val="af4"/>
        <w:rPr>
          <w:sz w:val="22"/>
          <w:szCs w:val="22"/>
          <w:lang w:val="uk-UA"/>
        </w:rPr>
      </w:pPr>
      <w:r w:rsidRPr="007E5633">
        <w:rPr>
          <w:sz w:val="22"/>
          <w:szCs w:val="22"/>
          <w:lang w:val="uk-UA"/>
        </w:rPr>
        <w:t xml:space="preserve">"Зелені сертифікати" є загальною назвою для таких інструментів, однак національні схеми (методи їх реалізації на рівні країн-членів ЄС) відрізняються між собою як щодо джерел енергії, які відповідають сертифікатам, так і щодо зобов'язань для кінцевого продавця, дат закінчення терміну дії та інших важливих показників, які можуть суттєво </w:t>
      </w:r>
      <w:r w:rsidRPr="007E5633">
        <w:rPr>
          <w:sz w:val="22"/>
          <w:szCs w:val="22"/>
          <w:lang w:val="uk-UA"/>
        </w:rPr>
        <w:lastRenderedPageBreak/>
        <w:t>змінити характеристику такої системи. Тому сертифікати з різних країн зазвичай не є взаємозамінними. Одним помітним винятком є спільна система зелених сертифікатів Швеції та Норвегії, створена в 2012 році. Крім того, в певній країні іноді існує більше одного виду сертифікатів. Наприклад, у Польщі існують різні види сертифікатів на енергію RES ("зелений"), ТЕЦ ("червоний"), малих газових ТЕЦ ("жовтий") та біогаз ("фіолетовий"), які не є взаємозамінними – кінцевий споживач повинен погасити правильний набір сертифікатів кожного кольорі.</w:t>
      </w:r>
    </w:p>
    <w:p w14:paraId="4180D598" w14:textId="77777777" w:rsidR="00824B4E" w:rsidRPr="007E5633" w:rsidRDefault="00824B4E" w:rsidP="00824B4E">
      <w:pPr>
        <w:pStyle w:val="af4"/>
        <w:rPr>
          <w:sz w:val="22"/>
          <w:szCs w:val="22"/>
          <w:lang w:val="uk-UA"/>
        </w:rPr>
      </w:pPr>
      <w:r w:rsidRPr="007E5633">
        <w:rPr>
          <w:sz w:val="22"/>
          <w:szCs w:val="22"/>
          <w:lang w:val="uk-UA"/>
        </w:rPr>
        <w:t>Інша популярна схема сертифікації так званих "білих" сертифікатів, працює на аналогічній основі, але має дещо іншу мету - підвищити енергоефективність. У цій системі зобов'язання про скасування (погашення) є подібним, оскільки існує квота енергії, яка продається кінцевому споживачеві, яка приходить від підвищеної енергетичної ефективності, а не від генерації. Сертифікати надаються за будь-які заходи, що підвищують ефективність, після аудиту енергоефективності. Таким чином, сертифікати можуть бути надані будь-якій компанії або особі, якщо вони здійснюють енергоефективні заходи, такі як термомодернізація, заміна старого освітлення світлодіодними панелями, модернізація ліній мережі тощо. Отже, мета цього заходу є іншою, а діапазон осіб, що беруть участь, набагато ширший, але загальна передумова системи така сама, як із зеленими сертифікатами.</w:t>
      </w:r>
    </w:p>
    <w:p w14:paraId="068EEDE8" w14:textId="77777777" w:rsidR="00824B4E" w:rsidRPr="007E5633" w:rsidRDefault="00824B4E" w:rsidP="00824B4E">
      <w:pPr>
        <w:pStyle w:val="af4"/>
        <w:rPr>
          <w:sz w:val="22"/>
          <w:szCs w:val="22"/>
          <w:lang w:val="uk-UA"/>
        </w:rPr>
      </w:pPr>
      <w:r w:rsidRPr="007E5633">
        <w:rPr>
          <w:sz w:val="22"/>
          <w:szCs w:val="22"/>
          <w:lang w:val="uk-UA"/>
        </w:rPr>
        <w:t>Можливості торгівлі сертифікатами залежать від їх юридичного конструювання, але зазвичай це може бути здійснено шляхом укладання позабіржових угод між компаніями через брокерів (як на двосторонній основі, так і на їхніх багатосторонніх платформах) або на регульованих державою організованих ринках. Сертифікати, як правило, записуються в електронному вигляді в реєстрі, контрольованому державою, і угоди повинні включати номінації до цього реєстру. Реєстр у Польщі підтримується польською біржею електроенергії, яка також керує організованим спотовим ринком цих сертифікатів. Серед брокерів, голландська компанія, що називається STX Commodities, надає послуги на найбільш значущих європейських ринках як за допомогою власного трейдингу, так шляхом надання багатосторонніх послуг. Компанія не регулюється як фінансова установа. Деривативи на сертифікати, особливо форвардні контракти, можуть вважатись фінансовими інстру</w:t>
      </w:r>
      <w:r w:rsidR="000771AF">
        <w:rPr>
          <w:sz w:val="22"/>
          <w:szCs w:val="22"/>
          <w:lang w:val="uk-UA"/>
        </w:rPr>
        <w:t>ментами за певних умов, і тому ни</w:t>
      </w:r>
      <w:r w:rsidRPr="007E5633">
        <w:rPr>
          <w:sz w:val="22"/>
          <w:szCs w:val="22"/>
          <w:lang w:val="uk-UA"/>
        </w:rPr>
        <w:t>ми можна торгувати на OTFs, MTFs та на регульованих ринках, але такі продукти не мають широкого поширення на 2018 рік.</w:t>
      </w:r>
    </w:p>
    <w:p w14:paraId="34498DE9" w14:textId="77777777" w:rsidR="00824B4E" w:rsidRPr="007E5633" w:rsidRDefault="00824B4E" w:rsidP="00824B4E">
      <w:pPr>
        <w:pStyle w:val="af4"/>
        <w:rPr>
          <w:sz w:val="22"/>
          <w:szCs w:val="22"/>
          <w:lang w:val="uk-UA"/>
        </w:rPr>
      </w:pPr>
      <w:r w:rsidRPr="007E5633">
        <w:rPr>
          <w:sz w:val="22"/>
          <w:szCs w:val="22"/>
          <w:lang w:val="uk-UA"/>
        </w:rPr>
        <w:t xml:space="preserve">Ще одним інструментом, що регулюється Директивою 2009/28 / ЄС, є система стимулів, яка називається «гарантіями походження», яка дуже схожа за природою з зеленими сертифікатами і також застосовується щодо </w:t>
      </w:r>
      <w:r w:rsidR="000771AF" w:rsidRPr="007E5633">
        <w:rPr>
          <w:sz w:val="22"/>
          <w:szCs w:val="22"/>
          <w:lang w:val="uk-UA"/>
        </w:rPr>
        <w:t>відновлювальної</w:t>
      </w:r>
      <w:r w:rsidRPr="007E5633">
        <w:rPr>
          <w:sz w:val="22"/>
          <w:szCs w:val="22"/>
          <w:lang w:val="uk-UA"/>
        </w:rPr>
        <w:t xml:space="preserve"> електроенергії (RES), однак має дві істотні відмінності від них. По-перше, вони є добровільними - немає необхідності скасувати (погашати) гарантію походження, окрім вимоги надання клієнту достовірної інформації про джерело походження електроенергії. Друга різниця полягає в тому, що вони є загальноєвропейськими, тобто сертифікати, створені в Німеччині, можуть бути скасовані (погашені) італійським </w:t>
      </w:r>
      <w:r w:rsidR="000771AF" w:rsidRPr="007E5633">
        <w:rPr>
          <w:sz w:val="22"/>
          <w:szCs w:val="22"/>
          <w:lang w:val="uk-UA"/>
        </w:rPr>
        <w:t>комунальним</w:t>
      </w:r>
      <w:r w:rsidRPr="007E5633">
        <w:rPr>
          <w:sz w:val="22"/>
          <w:szCs w:val="22"/>
          <w:lang w:val="uk-UA"/>
        </w:rPr>
        <w:t xml:space="preserve"> підприємством і т.п. Гарантії походження також звичайно торгуються двосторонніми або брокерськими угодами, а система сертифікації та управління (Європейська система сертифікатів енергії - European Energy Certificate System) управляється Асоціацією емітентів (Association of Issuing Bodies) - альянсу емітентів. У 2017 році система сертифікувала 525 ТВт-г. енергії, а погашено було 471 ТВт-г енергії.</w:t>
      </w:r>
    </w:p>
    <w:p w14:paraId="04D5F911" w14:textId="77777777" w:rsidR="00A44CF0" w:rsidRPr="007E5633" w:rsidRDefault="00824B4E" w:rsidP="00824B4E">
      <w:pPr>
        <w:pStyle w:val="af4"/>
        <w:rPr>
          <w:sz w:val="22"/>
          <w:szCs w:val="22"/>
          <w:highlight w:val="yellow"/>
          <w:lang w:val="uk-UA"/>
        </w:rPr>
      </w:pPr>
      <w:r w:rsidRPr="007E5633">
        <w:rPr>
          <w:sz w:val="22"/>
          <w:szCs w:val="22"/>
          <w:lang w:val="uk-UA"/>
        </w:rPr>
        <w:t xml:space="preserve">Не всі схеми є ринковими. У деяких країнах при продажу електроенергії кінцевому споживачеві застосовується податок, який фінансує субсидії на проекти з енергоефективності RES and CHP. У таких випадках він працює як будь-який спеціальний податок. Деякими прикладами країн, що включають такий підхід, є Чеська </w:t>
      </w:r>
      <w:r w:rsidRPr="007E5633">
        <w:rPr>
          <w:sz w:val="22"/>
          <w:szCs w:val="22"/>
          <w:lang w:val="uk-UA"/>
        </w:rPr>
        <w:lastRenderedPageBreak/>
        <w:t>Республіка ("податок на підтримку відновлюваної енергетики"), Данія (частина "тарифу PSO"), Естонія ("Збір на підтримку RES/CHP") або Нідерланди ("opzlag duurzame energie" – «підтримка поновлюваних джерел енергії»).</w:t>
      </w:r>
      <w:r w:rsidR="00A44CF0" w:rsidRPr="007E5633">
        <w:rPr>
          <w:sz w:val="22"/>
          <w:szCs w:val="22"/>
          <w:highlight w:val="yellow"/>
          <w:lang w:val="uk-UA"/>
        </w:rPr>
        <w:t xml:space="preserve"> </w:t>
      </w:r>
    </w:p>
    <w:p w14:paraId="1FC0B75A"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0" w:name="_Toc533093954"/>
      <w:r w:rsidRPr="007E5633">
        <w:rPr>
          <w:rFonts w:ascii="Arial" w:hAnsi="Arial" w:cs="Arial"/>
          <w:color w:val="auto"/>
          <w:sz w:val="22"/>
          <w:szCs w:val="22"/>
          <w:lang w:val="uk-UA"/>
        </w:rPr>
        <w:t>Система торгівлі викидами в ЄС</w:t>
      </w:r>
      <w:bookmarkEnd w:id="150"/>
    </w:p>
    <w:p w14:paraId="3F46B7AF" w14:textId="77777777" w:rsidR="00824B4E" w:rsidRPr="007E5633" w:rsidRDefault="00824B4E" w:rsidP="00824B4E">
      <w:pPr>
        <w:spacing w:before="120" w:after="120" w:line="240" w:lineRule="auto"/>
        <w:jc w:val="both"/>
        <w:rPr>
          <w:rFonts w:ascii="Arial" w:hAnsi="Arial" w:cs="Arial"/>
          <w:lang w:val="uk-UA"/>
        </w:rPr>
      </w:pPr>
      <w:r w:rsidRPr="007E5633">
        <w:rPr>
          <w:rFonts w:ascii="Arial" w:hAnsi="Arial" w:cs="Arial"/>
          <w:lang w:val="uk-UA"/>
        </w:rPr>
        <w:t>Система торгівлі викидами Європейського Союзу (European Union Emissions Trading System) або EU ETS є великим ринковим рішенням для підтримки обмеження викидів парникових газів. Вона була запроваджена в 2005 році і реалізується на основі "поетапного" (пофазового) впровадження з конкретними правилами, встановленими лише для певної фази або торговельного періоду, які потім змінюються, щоб краще виконувати поточні цілі та враховувати минулий досвід по схемі. Поточна фаза закінчиться в 2020 році, і наступний етап, який буде застосовуватися у 2021-2030 роках, зараз обговорюється в ЄС. Хоча більшість податків та схем стимулювання націлені на кінцевого споживача енергії, ETS орієнтована на виробників, незалежно від типу установки або обсягів/виду енергії. Установки, що входять до ETS, охоплюють, наприклад, електростанції, газові насосні станції, теплові електростанції, а також фабрики та нафтопереробні заводи.</w:t>
      </w:r>
    </w:p>
    <w:p w14:paraId="17019310" w14:textId="77777777" w:rsidR="00824B4E" w:rsidRPr="007E5633" w:rsidRDefault="00824B4E" w:rsidP="00824B4E">
      <w:pPr>
        <w:spacing w:before="120" w:after="120" w:line="240" w:lineRule="auto"/>
        <w:jc w:val="both"/>
        <w:rPr>
          <w:rFonts w:ascii="Arial" w:hAnsi="Arial" w:cs="Arial"/>
          <w:lang w:val="uk-UA"/>
        </w:rPr>
      </w:pPr>
      <w:r w:rsidRPr="007E5633">
        <w:rPr>
          <w:rFonts w:ascii="Arial" w:hAnsi="Arial" w:cs="Arial"/>
          <w:lang w:val="uk-UA"/>
        </w:rPr>
        <w:t>Відповідно до Директиви 2003/87 / ЄС Європейського Парламенту та Ради від 13 жовтня 2003 року, яка встановлює схему торгівлі викидами парникових газів в межах Співтовариства, експлуатація будь-якої установки, що призводить до викидів парникових газів, вимагає дозволу та щорічного скасування (погашення) дозволів у сумі, що дорівнює загальним викидам  з цієї установки. Кількість дозволів встановлюється заздалегідь. Щороку надбавки частково виділяються безкоштовно операторам та частково продаються через аукціони на спеціальних біржах. На попередніх етапах кількість безкоштовних дозволів приблизно дорівнювала попиту, але в даний час менше половини необхідних надбавок надається безкоштовно, і ця сума щорічно зменшується.</w:t>
      </w:r>
    </w:p>
    <w:p w14:paraId="3273822A" w14:textId="77777777" w:rsidR="00824B4E" w:rsidRPr="007E5633" w:rsidRDefault="00824B4E" w:rsidP="00824B4E">
      <w:pPr>
        <w:spacing w:before="120" w:after="120" w:line="240" w:lineRule="auto"/>
        <w:jc w:val="both"/>
        <w:rPr>
          <w:rFonts w:ascii="Arial" w:hAnsi="Arial" w:cs="Arial"/>
          <w:lang w:val="uk-UA"/>
        </w:rPr>
      </w:pPr>
      <w:r w:rsidRPr="007E5633">
        <w:rPr>
          <w:rFonts w:ascii="Arial" w:hAnsi="Arial" w:cs="Arial"/>
          <w:lang w:val="uk-UA"/>
        </w:rPr>
        <w:t>Загальний механізм називається "cap-and-trade", оскільки ЄС встановлює максимальну кількість викидів з усіх установок, а точний розподіл викидів покладається на ринкові механізми. З часом вер</w:t>
      </w:r>
      <w:r w:rsidR="000771AF">
        <w:rPr>
          <w:rFonts w:ascii="Arial" w:hAnsi="Arial" w:cs="Arial"/>
          <w:lang w:val="uk-UA"/>
        </w:rPr>
        <w:t>х</w:t>
      </w:r>
      <w:r w:rsidRPr="007E5633">
        <w:rPr>
          <w:rFonts w:ascii="Arial" w:hAnsi="Arial" w:cs="Arial"/>
          <w:lang w:val="uk-UA"/>
        </w:rPr>
        <w:t>нє обмеження зменшуються, і механізм торгівлі теоретично гарантує, що викиди скорочуються там, де це є економічно найдешевшим. Хоча надто великий перерозподіл якимось конкретним гравцям може призвести до неочікуваного прибутку для деяких сильно забруднюючих підприємств, система поступово переходить на механізм аукціону, що викорінить такі ситуації. Окрім головного інструменту (EUA), існують також Одиниці скорочення викидів (Emission Reduction Units (ERUs)) та Сертифіковані скорочення викидів (Certified Emission Reductions (CERs)) - інструменти, засновані на Кіотському протоколі, які дозволяють європейським компаніям "купувати" іноземні скорочення викидів замість скорочення власних викидів.</w:t>
      </w:r>
    </w:p>
    <w:p w14:paraId="14554553" w14:textId="77777777" w:rsidR="00824B4E" w:rsidRPr="007E5633" w:rsidRDefault="00824B4E" w:rsidP="00824B4E">
      <w:pPr>
        <w:spacing w:before="120" w:after="120" w:line="240" w:lineRule="auto"/>
        <w:jc w:val="both"/>
        <w:rPr>
          <w:rFonts w:ascii="Arial" w:hAnsi="Arial" w:cs="Arial"/>
          <w:lang w:val="uk-UA"/>
        </w:rPr>
      </w:pPr>
      <w:r w:rsidRPr="007E5633">
        <w:rPr>
          <w:rFonts w:ascii="Arial" w:hAnsi="Arial" w:cs="Arial"/>
          <w:lang w:val="uk-UA"/>
        </w:rPr>
        <w:t>Дозволи зберігаються у національних реєстрах, які обробляють і безкоштовні розподіли, і скасування (погашення). Аукціони проводяться через загальну торгівельну платформу, призначену за тендерною процедурою - вона повинна бути регульованою платформою, і в даний час загальна платформа базується на Європейській енергетичній біржі AG (European Energy Exchange AG - EEX). Є «положення про відмову», на підставі якої Великобританія, Німеччина та Польща можуть призначити свою власну аукціонну платформу. Німеччина також призначила EEX, Великобританія призначила Міжконтинентальну товарну біржу (Intercontinental Commodity Exchange  - ICE), а Польща поки не обрала свою платформу, але в майбутньому вона, найімовірніше, буде на базі Польської енергетичної біржі (Polish Power Exchange).</w:t>
      </w:r>
    </w:p>
    <w:p w14:paraId="2651403E" w14:textId="77777777" w:rsidR="00824B4E" w:rsidRPr="007E5633" w:rsidRDefault="00824B4E" w:rsidP="00824B4E">
      <w:pPr>
        <w:spacing w:before="120" w:after="120" w:line="240" w:lineRule="auto"/>
        <w:jc w:val="both"/>
        <w:rPr>
          <w:rFonts w:ascii="Arial" w:hAnsi="Arial" w:cs="Arial"/>
          <w:lang w:val="uk-UA"/>
        </w:rPr>
      </w:pPr>
      <w:r w:rsidRPr="007E5633">
        <w:rPr>
          <w:rFonts w:ascii="Arial" w:hAnsi="Arial" w:cs="Arial"/>
          <w:lang w:val="uk-UA"/>
        </w:rPr>
        <w:t xml:space="preserve">Вторинний ринок включає в себе, перш за все, спотовий вторинний ринок на EEX та ринки деривативів на ICE та EEX. Стандартними інструментами є грудневі (кінець року) та березневі (до дати скасування в квітні) ф'ючерси на наступні кілька років. Крім того, спотові контракти та деривативи пропонуються генераторам інвестиційними фірмами. Ціни на дозволи протягом останніх декількох років були в основному стабільними в </w:t>
      </w:r>
      <w:r w:rsidRPr="007E5633">
        <w:rPr>
          <w:rFonts w:ascii="Arial" w:hAnsi="Arial" w:cs="Arial"/>
          <w:lang w:val="uk-UA"/>
        </w:rPr>
        <w:lastRenderedPageBreak/>
        <w:t>межах від 4 до 8 євро, але, починаючи з середини 2017 року, вона склала більше 20 євро на момент написання Звіту. Ціни EUAs є дуже політичним питанням завдяки різним варіантам енергоресурсів та різною політикою щодо цього питання різних країнах, але ЄС, ймовірно, прийме вищу ціну як стимулюючий механізм, щоб зменшити викиди більш агресивно.</w:t>
      </w:r>
    </w:p>
    <w:p w14:paraId="161A621E" w14:textId="77777777" w:rsidR="00A44CF0" w:rsidRPr="007E5633" w:rsidRDefault="00824B4E" w:rsidP="00824B4E">
      <w:pPr>
        <w:spacing w:before="120" w:after="120" w:line="240" w:lineRule="auto"/>
        <w:jc w:val="both"/>
        <w:rPr>
          <w:rFonts w:ascii="Arial" w:hAnsi="Arial" w:cs="Arial"/>
          <w:highlight w:val="yellow"/>
          <w:lang w:val="uk-UA"/>
        </w:rPr>
      </w:pPr>
      <w:r w:rsidRPr="007E5633">
        <w:rPr>
          <w:rFonts w:ascii="Arial" w:hAnsi="Arial" w:cs="Arial"/>
          <w:lang w:val="uk-UA"/>
        </w:rPr>
        <w:t>З 3 січня 2018 року EUAs, ERUs та CERs та їх похідні інструменти є фінансовими інструментами, незалежно від правил проведення розрахунків або торговельних майданчиків. Існують винятки з вимоги до авторизації (ліцензування) для компаній, що торгують на них в якості допоміжної діяльності, і для операторів установок, але нагляд з боку регулятора за торгівлею дозволами значно ретельніший. Наприклад, компанії зобов'язані звітувати про свої позиції та операції з контрактами по деривативах, що їх стосуються, а фінансові установи повинні забезпечувати захист інвесторів під час торгівлі ними з клієнтами.</w:t>
      </w:r>
    </w:p>
    <w:p w14:paraId="0D32D957" w14:textId="77777777" w:rsidR="00A44CF0" w:rsidRPr="007E5633" w:rsidRDefault="00824B4E"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1" w:name="_Toc533093955"/>
      <w:r w:rsidRPr="007E5633">
        <w:rPr>
          <w:rFonts w:ascii="Arial" w:hAnsi="Arial" w:cs="Arial"/>
          <w:color w:val="auto"/>
          <w:sz w:val="22"/>
          <w:szCs w:val="22"/>
          <w:lang w:val="uk-UA"/>
        </w:rPr>
        <w:t>Резюме</w:t>
      </w:r>
      <w:bookmarkEnd w:id="151"/>
    </w:p>
    <w:p w14:paraId="72C89A2C" w14:textId="77777777" w:rsidR="00824B4E" w:rsidRPr="007E5633" w:rsidRDefault="00824B4E" w:rsidP="00824B4E">
      <w:pPr>
        <w:pStyle w:val="af4"/>
        <w:rPr>
          <w:sz w:val="22"/>
          <w:szCs w:val="22"/>
          <w:lang w:val="uk-UA"/>
        </w:rPr>
      </w:pPr>
      <w:r w:rsidRPr="007E5633">
        <w:rPr>
          <w:sz w:val="22"/>
          <w:szCs w:val="22"/>
          <w:lang w:val="uk-UA"/>
        </w:rPr>
        <w:t>Податки, пов'язані з енергетичним ринком, можна поділити на загальні (наприклад, ПДВ) та енергетичні (наприклад, акцизи). Обидва не повинні мати керівного впливу на саму діяльність оптової торгівлі, але податки на енергоносії, як правило, призначені, щоб впливати на структуру ринку в цілому. При розробці законодавства про оптову торгівлю важливо аналізувати його з фіскальної точки зору та забезпечити комплексне регулювання цього ринку в податковому законодавстві, включаючи відповідні винятки. Енергетичні податки слід застосовувати лише до кінцевого споживача або лише на рівні генерації, щоб уникнути багаторазового оподаткування та спотворення механізму ціноутворення на оптовому ринку. Оскільки ліквідність та ефективність оптових ринків мають вирішальне значення для стабільності та безпеки електричних та газових систем, важливо уникати або мінімізувати податковий вплив на цьому ринку.</w:t>
      </w:r>
    </w:p>
    <w:p w14:paraId="14CF7356" w14:textId="77777777" w:rsidR="00A61BEE" w:rsidRPr="007E5633" w:rsidRDefault="00720BD1" w:rsidP="009A4011">
      <w:pPr>
        <w:pStyle w:val="FSHeader1"/>
        <w:keepNext w:val="0"/>
        <w:pageBreakBefore w:val="0"/>
        <w:numPr>
          <w:ilvl w:val="1"/>
          <w:numId w:val="27"/>
        </w:numPr>
        <w:spacing w:after="120"/>
        <w:ind w:left="434" w:hanging="434"/>
        <w:rPr>
          <w:rFonts w:ascii="Arial" w:hAnsi="Arial" w:cs="Arial"/>
          <w:sz w:val="26"/>
          <w:szCs w:val="26"/>
          <w:lang w:val="uk-UA"/>
        </w:rPr>
      </w:pPr>
      <w:bookmarkStart w:id="152" w:name="_Toc533093956"/>
      <w:r w:rsidRPr="007E5633">
        <w:rPr>
          <w:rFonts w:ascii="Arial" w:hAnsi="Arial" w:cs="Arial"/>
          <w:sz w:val="26"/>
          <w:szCs w:val="26"/>
          <w:lang w:val="uk-UA"/>
        </w:rPr>
        <w:t>Транспортні умови (електроенергія та газ)</w:t>
      </w:r>
      <w:bookmarkEnd w:id="152"/>
    </w:p>
    <w:p w14:paraId="75886CB3" w14:textId="77777777" w:rsidR="00720BD1" w:rsidRPr="007E5633" w:rsidRDefault="00720BD1" w:rsidP="00720BD1">
      <w:pPr>
        <w:pStyle w:val="af4"/>
        <w:spacing w:before="240"/>
        <w:rPr>
          <w:sz w:val="22"/>
          <w:szCs w:val="22"/>
          <w:lang w:val="uk-UA"/>
        </w:rPr>
      </w:pPr>
      <w:r w:rsidRPr="007E5633">
        <w:rPr>
          <w:sz w:val="22"/>
          <w:szCs w:val="22"/>
          <w:lang w:val="uk-UA"/>
        </w:rPr>
        <w:t xml:space="preserve">Загальні положення щодо умов транспортування електроенергії та природного газу визначені, відповідно, Директивою Європейського Парламенту та Ради від 2009/72 / ЄС від 13 липня 2009 р. Щодо загальних правил щодо внутрішнього ринку електроенергії та Директиви 2009 / 73 / ЄС Європейського Парламенту та Ради від 13 липня 2009 р. Щодо загальних правил щодо внутрішнього ринку природного газу, які зазвичай спільно називають "Директивою щодо електроенергії та газу 2009 року" або разом із додатковими правилами "Третім Енергетичним пакетом" (“Third Energy Package”). Їх основна мета полягає у встановленні таких правил для інституційної інфраструктури фізичних електроенергетичних та газових систем, які підтримують конкуренцію та загальний ринок цих </w:t>
      </w:r>
      <w:r w:rsidR="00F966A5" w:rsidRPr="00F966A5">
        <w:rPr>
          <w:sz w:val="22"/>
          <w:szCs w:val="22"/>
          <w:lang w:val="uk-UA"/>
        </w:rPr>
        <w:t>товарних контрактів</w:t>
      </w:r>
      <w:r w:rsidRPr="007E5633">
        <w:rPr>
          <w:sz w:val="22"/>
          <w:szCs w:val="22"/>
          <w:lang w:val="uk-UA"/>
        </w:rPr>
        <w:t>.</w:t>
      </w:r>
    </w:p>
    <w:p w14:paraId="0DBF13A7" w14:textId="77777777" w:rsidR="00720BD1" w:rsidRPr="007E5633" w:rsidRDefault="00720BD1" w:rsidP="00720BD1">
      <w:pPr>
        <w:pStyle w:val="af4"/>
        <w:rPr>
          <w:sz w:val="22"/>
          <w:szCs w:val="22"/>
          <w:lang w:val="uk-UA"/>
        </w:rPr>
      </w:pPr>
      <w:r w:rsidRPr="007E5633">
        <w:rPr>
          <w:sz w:val="22"/>
          <w:szCs w:val="22"/>
          <w:lang w:val="uk-UA"/>
        </w:rPr>
        <w:t>Існування робочої системи передачі або розподілу електроенергії або газу необхідне для самого існування цих комунальних послуг, але це також є природною монополією. Очевидно, що вертикально інтегровані компанії, що експлуатують транспортні та розподільні системи, отримають значні переваги у виробництві, торгівлі та продажу енергії або газу над своїми конкурентами. Тому для забезпечення рівних умов використання основними принципами роботи енергетичної інфраструктури визначаються прозорість, відсутність дискримінації та чесна конкуренція. Створено спеціальний правовий статус операторів системи передачі (TSOs) та операторів розподільчих систем (DSOs) разом із суворими принципами щодо їх діяльності. Більше того, для налагодження співпраці між національними TSOs, було створено European Networks of Transmission System Operators (ENTSO) як для газу, так і для електроенергії.</w:t>
      </w:r>
    </w:p>
    <w:p w14:paraId="7661B49F" w14:textId="77777777" w:rsidR="00720BD1" w:rsidRPr="007E5633" w:rsidRDefault="00720BD1" w:rsidP="00720BD1">
      <w:pPr>
        <w:pStyle w:val="af4"/>
        <w:rPr>
          <w:sz w:val="22"/>
          <w:szCs w:val="22"/>
          <w:lang w:val="uk-UA"/>
        </w:rPr>
      </w:pPr>
      <w:r w:rsidRPr="007E5633">
        <w:rPr>
          <w:sz w:val="22"/>
          <w:szCs w:val="22"/>
          <w:lang w:val="uk-UA"/>
        </w:rPr>
        <w:lastRenderedPageBreak/>
        <w:t xml:space="preserve">Отже, система може бути розділена на три шари (рівні). Транскордонне перевезення та стабільність системи контролюються ENTSO і виконуються через спеціалізовані платформи для координації між TSOs. TSOs несуть відповідальність за інфраструктурну "основу" національної або регіональної мережі, обробку передачі на національному або регіональному рівні та забезпечення стабільності внутрішніх систем. Нарешті, </w:t>
      </w:r>
      <w:r w:rsidR="00F966A5">
        <w:rPr>
          <w:sz w:val="22"/>
          <w:szCs w:val="22"/>
          <w:lang w:val="uk-UA"/>
        </w:rPr>
        <w:t>товар</w:t>
      </w:r>
      <w:r w:rsidRPr="007E5633">
        <w:rPr>
          <w:sz w:val="22"/>
          <w:szCs w:val="22"/>
          <w:lang w:val="uk-UA"/>
        </w:rPr>
        <w:t xml:space="preserve"> постачається кінцевим користувачам DSO, які оперують локальними мережами. Що стосується природного газу, аналогічні рамки застосовуються для зберігання газу та сховищ СПГ - відповідно, на даний момент немає великомасштабного методу для зберігання електроенергії.</w:t>
      </w:r>
    </w:p>
    <w:p w14:paraId="1D5B387E" w14:textId="77777777" w:rsidR="00A61BEE" w:rsidRPr="007E5633" w:rsidRDefault="00720BD1" w:rsidP="00720BD1">
      <w:pPr>
        <w:spacing w:before="120" w:after="120" w:line="240" w:lineRule="auto"/>
        <w:jc w:val="both"/>
        <w:rPr>
          <w:rFonts w:ascii="Arial" w:hAnsi="Arial" w:cs="Arial"/>
          <w:highlight w:val="yellow"/>
          <w:lang w:val="uk-UA"/>
        </w:rPr>
      </w:pPr>
      <w:r w:rsidRPr="007E5633">
        <w:rPr>
          <w:rFonts w:ascii="Arial" w:hAnsi="Arial" w:cs="Arial"/>
          <w:lang w:val="uk-UA"/>
        </w:rPr>
        <w:t xml:space="preserve">Правові системні рамки для електроенергії та газу в основному еквівалентні, беручи до уваги технічні відмінності між цими </w:t>
      </w:r>
      <w:r w:rsidR="00F966A5">
        <w:rPr>
          <w:rFonts w:ascii="Arial" w:hAnsi="Arial" w:cs="Arial"/>
          <w:lang w:val="uk-UA"/>
        </w:rPr>
        <w:t>товарами</w:t>
      </w:r>
      <w:r w:rsidRPr="007E5633">
        <w:rPr>
          <w:rFonts w:ascii="Arial" w:hAnsi="Arial" w:cs="Arial"/>
          <w:lang w:val="uk-UA"/>
        </w:rPr>
        <w:t>. У наступній главі обидва ці питання будуть розглядатися разом, а відмінності в системах будуть зазначені безпосередньо.</w:t>
      </w:r>
    </w:p>
    <w:p w14:paraId="4F92EFA5" w14:textId="77777777" w:rsidR="00A61BEE" w:rsidRPr="007E5633" w:rsidRDefault="00720BD1"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3" w:name="_Toc533093957"/>
      <w:r w:rsidRPr="007E5633">
        <w:rPr>
          <w:rFonts w:ascii="Arial" w:hAnsi="Arial" w:cs="Arial"/>
          <w:color w:val="auto"/>
          <w:sz w:val="22"/>
          <w:szCs w:val="22"/>
          <w:lang w:val="uk-UA"/>
        </w:rPr>
        <w:t>Транскордонна передача</w:t>
      </w:r>
      <w:bookmarkEnd w:id="153"/>
    </w:p>
    <w:p w14:paraId="53007DC8"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Сучасна енергетична інфраструктура значною мірою пов'язана між країнами, а сама стабільність національних систем залежить від міжнародних потоків електроенергії та газу. Шматкове вирішення цієї проблеми значно знизить як безпеку внутрішніх систем, так і можливості для розвитку справжнього спільного ринку. Саме тому в рамках третього енергетичного пакета було створено ENTSO як для електроенергії, так і для газу, щоб координувати дії TSOs, ефективно та прозоро контролювати доступ до мереж передачі через кордони та забезпечити послідовне та обґрунтоване планування розвитку технічної інфраструктури.</w:t>
      </w:r>
    </w:p>
    <w:p w14:paraId="54E650A0"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Одним з основних зобов'язань ENTSO є забезпечення прозорості, необхідної для функціонування спільних ринків. Частина порядку денного лібералізації та прозорості полягала в реорганізації структури галузі шляхом відокремлення колишніх інтегрованих компаній, відмови від перехресного субсидіювання та недискримінаційного доступу третьої сторони для сприяння конкуренції на оптовому та споживчому ринку. Ролі та відповідальність були поступово перевизначені і вимагали більшої координації між учасниками ринку та стимулювали запровадження поступово більш стандартизованих процесів прозорості.</w:t>
      </w:r>
    </w:p>
    <w:p w14:paraId="22AFE457"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 xml:space="preserve">Третій енергетичний пакет разом з останнім регламентом REMIT створив основу для співпраці та прозорості щодо передачі газу та електроенергії на спільному ринку, зосередженому навколо ENTSO. Їм було запропоновано розробляти мережеві кодекси (наприклад, механізм розподілу потужності, процедури управління перевантаженнями та правила збалансування) та зробити їх відповідні дані доступними учасникам ринку. Для дотримання Правил прозорості (Transparency Guidelines) та процедур управління завантаженістю (Congestion Management Procedures), TSOs повинні були опублікувати, наприклад, опис різних послуг та їх тарифів, різні види наявних контрактів, положення розподілу потужності, управління завантаженням, процедури запобігання накопичення та повторного використання, правила, що застосовуються до торгівлі потужністю на вторинному ринку, наявні (фіксовані та </w:t>
      </w:r>
      <w:r w:rsidR="00E04052" w:rsidRPr="007E5633">
        <w:rPr>
          <w:rFonts w:ascii="Arial" w:hAnsi="Arial" w:cs="Arial"/>
          <w:lang w:val="uk-UA"/>
        </w:rPr>
        <w:t>переривані</w:t>
      </w:r>
      <w:r w:rsidRPr="007E5633">
        <w:rPr>
          <w:rFonts w:ascii="Arial" w:hAnsi="Arial" w:cs="Arial"/>
          <w:lang w:val="uk-UA"/>
        </w:rPr>
        <w:t>) потужності та багато інших вимог.</w:t>
      </w:r>
    </w:p>
    <w:p w14:paraId="50D7ABC1"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Природними наслідками для цих дій були Платформи прозорості, які містять поточну інформацію про балансування та розрахунок агрегатів на рівні TSO та балансувальної зони. Після впровадження REMIT канали звітності були додатково встановлені, а детальні обов'язки та процедури звітності були визначені. ACER створила портал Remit (Remit Portal) з системою даних, що називається ARIS, де учасникам ринку пропонується завантажувати фундаментальні та транзакційні дані.</w:t>
      </w:r>
    </w:p>
    <w:p w14:paraId="7CE4F642"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 xml:space="preserve">Вищезгадані дії дозволили створити платформи </w:t>
      </w:r>
      <w:r w:rsidR="00E04052" w:rsidRPr="007E5633">
        <w:rPr>
          <w:rFonts w:ascii="Arial" w:hAnsi="Arial" w:cs="Arial"/>
          <w:lang w:val="uk-UA"/>
        </w:rPr>
        <w:t>потужності</w:t>
      </w:r>
      <w:r w:rsidRPr="007E5633">
        <w:rPr>
          <w:rFonts w:ascii="Arial" w:hAnsi="Arial" w:cs="Arial"/>
          <w:lang w:val="uk-UA"/>
        </w:rPr>
        <w:t xml:space="preserve">, такі як PRISMA для природного газу та майбутня платформа розподілу електроенергії. Незважаючи на те, що платформа єдиного розподілу електроенергії залишається на стадії розробки / обговорення (планується здійснити його до кінця 2019 року), платформа PRISMA </w:t>
      </w:r>
      <w:r w:rsidRPr="007E5633">
        <w:rPr>
          <w:rFonts w:ascii="Arial" w:hAnsi="Arial" w:cs="Arial"/>
          <w:lang w:val="uk-UA"/>
        </w:rPr>
        <w:lastRenderedPageBreak/>
        <w:t>працює з 2013 року і постійно оновлюється. PRISMA об'єднує газові ринки у 16 країнах, і завдяки інтеграції з платформами кількох TSOs перевізники газу користуються системою легкого бронювання та торгівлі потужностями через кордони. Такий інтегрований підхід не є просто операційним спрощенням - він збільшує ліквідність на ринку потужності та, у свою чергу, ліквідність та конкуренцію на місцевих газових ринках. Більш того, послуги платформи включають звіти REMIT та іншу інформацію та функціонал для забезпечення відповідності (compliance functionalities). PRISMA є комерційною організацією, але вона належить TSOs у тій самій пропорції, що і їх права голосу в ENTSOG, і застосовує недискримінаційні стандарти для всіх учасників.</w:t>
      </w:r>
    </w:p>
    <w:p w14:paraId="76C8386F" w14:textId="77777777" w:rsidR="00A61BEE" w:rsidRPr="007E5633" w:rsidRDefault="00720BD1" w:rsidP="00720BD1">
      <w:pPr>
        <w:spacing w:before="120" w:after="120" w:line="240" w:lineRule="auto"/>
        <w:jc w:val="both"/>
        <w:rPr>
          <w:rFonts w:ascii="Arial" w:hAnsi="Arial" w:cs="Arial"/>
          <w:highlight w:val="yellow"/>
          <w:lang w:val="uk-UA"/>
        </w:rPr>
      </w:pPr>
      <w:r w:rsidRPr="007E5633">
        <w:rPr>
          <w:rFonts w:ascii="Arial" w:hAnsi="Arial" w:cs="Arial"/>
          <w:lang w:val="uk-UA"/>
        </w:rPr>
        <w:t>Останній аспект транскордонної передачі є механізмом оплати за витрати, понесені TSOs, коли електроенергія надсилається по багатьом мережам. Очікується, що такі витрати будуть компенсовані операторами систем, з яких походять транскордонні потоки, та систем, в яких ці потоки закінчуються. Компенсація базується на фактичній кількості потоків, а сума компенсації, яка сплачується, визначається Європейською Комісією.</w:t>
      </w:r>
    </w:p>
    <w:p w14:paraId="7A2A0144" w14:textId="77777777" w:rsidR="00A61BEE" w:rsidRPr="007E5633" w:rsidRDefault="00720BD1"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4" w:name="_Toc533093958"/>
      <w:r w:rsidRPr="007E5633">
        <w:rPr>
          <w:rFonts w:ascii="Arial" w:hAnsi="Arial" w:cs="Arial"/>
          <w:color w:val="auto"/>
          <w:sz w:val="22"/>
          <w:szCs w:val="22"/>
          <w:lang w:val="uk-UA"/>
        </w:rPr>
        <w:t>Оператори системи передачі</w:t>
      </w:r>
      <w:bookmarkEnd w:id="154"/>
    </w:p>
    <w:p w14:paraId="387F9327"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 xml:space="preserve">Як було сказано раніше, TSOs оперують інфраструктурою, що стоїть за основними енергетичними або газовими мережами, </w:t>
      </w:r>
      <w:r w:rsidR="00E04052" w:rsidRPr="007E5633">
        <w:rPr>
          <w:rFonts w:ascii="Arial" w:hAnsi="Arial" w:cs="Arial"/>
          <w:lang w:val="uk-UA"/>
        </w:rPr>
        <w:t>здійснюють</w:t>
      </w:r>
      <w:r w:rsidRPr="007E5633">
        <w:rPr>
          <w:rFonts w:ascii="Arial" w:hAnsi="Arial" w:cs="Arial"/>
          <w:lang w:val="uk-UA"/>
        </w:rPr>
        <w:t xml:space="preserve"> внутрішньорегіональні перевезення цих товарів та забезпечують стабільність національної системи. Їх робота включає в себе збалансування пропозиції та попиту і експлуатацію всіх технічних функцій, необхідних для підтримки системи, наприклад, прийняття номінацій з оптового ринку, координація виробництва електроенергії, управління надзвичайними ситуаціями та інше. Всі TSOs повинні бути сертифіковані національним регулюючим органом.</w:t>
      </w:r>
    </w:p>
    <w:p w14:paraId="113D05FA"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Хоча функція TSO є подібною у сфері газу та електроенергії, вони, природно, мають  відмінності, обумовлені технічними характеристиками передачі обох операторів. Транскордонні потоки електроенергії, як правило, набагато менші, ніж внутрішні потоки, а газосистеми керують великою кількістю транзиту, крім балансування внутрішнього ринку. Крім того, електроенергія створюється і використовується одночасно і не може зберігатися, на відміну від газових систем, які, зазвичай, мають стійкий приплив і нестабільний відтік, а управління зберіганням є важливою частиною бізнесу.</w:t>
      </w:r>
    </w:p>
    <w:p w14:paraId="6D1B143F"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Електроенергетичні TSOs, як правило, несуть відповідальність за всі лінії в мережі, які перевищують 220 кВ, за багато ліній, вищих за 110 кВ (особливо якщо вони транскордонні) та ланки постійного струму. У більшості країн є лише один TSO, але в деяких країнах їх може бути більше - у Німеччині та Великобританії є по чотири TSOs. TSOs газу в основному відповідають за трубопроводи високого тиску, транскордонні або міжсистемні з'єднання та віртуальні точки. Знову ж таки, в більшості країн існує лише один TSO, але це не правило, в той час, коли по кілька операторів зв'язку є в Німеччині, Італії та Великобританії.</w:t>
      </w:r>
    </w:p>
    <w:p w14:paraId="42E49937"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TSO повинен бути далеким від контролю будь-якого підприємства, що виконує будь-які функції генерації, виробництва або постачання, і навпаки. Багато електроенергетичних TSO є державними (наприклад, у Нідерландах, Ірландії, Норвегії та Польщі) або мають змішану структуру власності з великою часткою державних суб'єктів (наприклад, в Бельгії, Румунії та Іспанії), а деякі - компанії, які торгуються публічно з різним рівнем залучення з боку суб'єктів енергетичного сектору та державних органів – у газових TSOs ситуація така ж. Це є результатом трьох підходів до відокремлення TSO від енергетичних компаній:</w:t>
      </w:r>
    </w:p>
    <w:p w14:paraId="56D6B536" w14:textId="77777777" w:rsidR="00720BD1" w:rsidRPr="007E5633" w:rsidRDefault="00720BD1" w:rsidP="000D248B">
      <w:pPr>
        <w:pStyle w:val="a4"/>
        <w:numPr>
          <w:ilvl w:val="0"/>
          <w:numId w:val="61"/>
        </w:numPr>
        <w:spacing w:before="120" w:after="120" w:line="240" w:lineRule="auto"/>
        <w:jc w:val="both"/>
        <w:rPr>
          <w:rFonts w:ascii="Arial" w:hAnsi="Arial" w:cs="Arial"/>
          <w:lang w:val="uk-UA"/>
        </w:rPr>
      </w:pPr>
      <w:r w:rsidRPr="007E5633">
        <w:rPr>
          <w:rFonts w:ascii="Arial" w:hAnsi="Arial" w:cs="Arial"/>
          <w:lang w:val="uk-UA"/>
        </w:rPr>
        <w:t>відокремлення власності, де відносини власності між TSO та енергетичними компаніями були просто розірвані через відчуження,</w:t>
      </w:r>
    </w:p>
    <w:p w14:paraId="05F2B77B" w14:textId="77777777" w:rsidR="00720BD1" w:rsidRPr="007E5633" w:rsidRDefault="00720BD1" w:rsidP="000D248B">
      <w:pPr>
        <w:pStyle w:val="a4"/>
        <w:numPr>
          <w:ilvl w:val="0"/>
          <w:numId w:val="61"/>
        </w:numPr>
        <w:spacing w:before="120" w:after="120" w:line="240" w:lineRule="auto"/>
        <w:jc w:val="both"/>
        <w:rPr>
          <w:rFonts w:ascii="Arial" w:hAnsi="Arial" w:cs="Arial"/>
          <w:lang w:val="uk-UA"/>
        </w:rPr>
      </w:pPr>
      <w:r w:rsidRPr="007E5633">
        <w:rPr>
          <w:rFonts w:ascii="Arial" w:hAnsi="Arial" w:cs="Arial"/>
          <w:lang w:val="uk-UA"/>
        </w:rPr>
        <w:t>статус Незалежного системного оператора (ISO), який включає передачу виконання операційних функцій довірителю замість відчуження, і</w:t>
      </w:r>
    </w:p>
    <w:p w14:paraId="4B759B83" w14:textId="77777777" w:rsidR="00720BD1" w:rsidRPr="007E5633" w:rsidRDefault="00720BD1" w:rsidP="000D248B">
      <w:pPr>
        <w:pStyle w:val="a4"/>
        <w:numPr>
          <w:ilvl w:val="0"/>
          <w:numId w:val="61"/>
        </w:numPr>
        <w:spacing w:before="120" w:after="120" w:line="240" w:lineRule="auto"/>
        <w:jc w:val="both"/>
        <w:rPr>
          <w:rFonts w:ascii="Arial" w:hAnsi="Arial" w:cs="Arial"/>
          <w:lang w:val="uk-UA"/>
        </w:rPr>
      </w:pPr>
      <w:r w:rsidRPr="007E5633">
        <w:rPr>
          <w:rFonts w:ascii="Arial" w:hAnsi="Arial" w:cs="Arial"/>
          <w:lang w:val="uk-UA"/>
        </w:rPr>
        <w:lastRenderedPageBreak/>
        <w:t>статут Незалежного оператора передачі (ITO), при якому зберігається право власності, але TSO стає юридично незалежною публічною компанією, яка має автономне управління та підпадає під суворий регуляторний нагляд.</w:t>
      </w:r>
    </w:p>
    <w:p w14:paraId="79DBC269"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 xml:space="preserve">Балансування є основною відповідальністю як TSOs в сфері електроенергії, так і в сфері газу – вони повинні розробляти відповідні правила справедливим, </w:t>
      </w:r>
      <w:r w:rsidR="00E04052">
        <w:rPr>
          <w:rFonts w:ascii="Arial" w:hAnsi="Arial" w:cs="Arial"/>
          <w:lang w:val="uk-UA"/>
        </w:rPr>
        <w:t>не</w:t>
      </w:r>
      <w:r w:rsidRPr="007E5633">
        <w:rPr>
          <w:rFonts w:ascii="Arial" w:hAnsi="Arial" w:cs="Arial"/>
          <w:lang w:val="uk-UA"/>
        </w:rPr>
        <w:t>дискримінаційним та прозорим шляхом. Правила балансування повинні базуватися на об'єктивних критеріях, враховувати фактичні потреби та ресурси та включати ринковий механізм. Крім того, вони повинні збирати та надавати надійні та своєчасні дані про стан балансування та безкоштовно надавати їх користувачам мережі. Будь-яка плата за дисбаланс має бути недискримінаційною та відображати витрати.</w:t>
      </w:r>
    </w:p>
    <w:p w14:paraId="7EBE1D78"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 xml:space="preserve">Платежі ("тарифи"), що застосовуються TSO для передачі, також повинні бути прозорими та недискримінаційними (включаючи положення про те, що вони повинні бути незалежними від тієї відстані, на яку </w:t>
      </w:r>
      <w:r w:rsidR="00F966A5">
        <w:rPr>
          <w:rFonts w:ascii="Arial" w:hAnsi="Arial" w:cs="Arial"/>
          <w:lang w:val="uk-UA"/>
        </w:rPr>
        <w:t>товар</w:t>
      </w:r>
      <w:r w:rsidRPr="007E5633">
        <w:rPr>
          <w:rFonts w:ascii="Arial" w:hAnsi="Arial" w:cs="Arial"/>
          <w:lang w:val="uk-UA"/>
        </w:rPr>
        <w:t xml:space="preserve"> теоретично передавався). Вони розраховуються щорічно на основі витрат і платежів, отриманих в минулому, шляхом екстраполяції на майбутнє. Загальне припущення полягає в тому, що тариф повинен просто перекладати витрати на управління мережею / системою на плечі своїх користувачів, включаючи розумну надбавку. І правила балансування, і тарифи повинні бути схвалені національним регулюючим органом до набрання чинності.</w:t>
      </w:r>
    </w:p>
    <w:p w14:paraId="5E7D7103"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Крім того, TSOs зобов'язані зберігати конфіденційність щодо будь-якої комерційно конфіденційної інформації, отриманої в ході їх діяльності. Виключенням є інформація, необхідна для забезпечення ефективної конкуренції на ринку, яка повинна бути оприлюднена.</w:t>
      </w:r>
    </w:p>
    <w:p w14:paraId="0D657A00" w14:textId="77777777" w:rsidR="00720BD1" w:rsidRPr="007E5633" w:rsidRDefault="00720BD1" w:rsidP="00720BD1">
      <w:pPr>
        <w:spacing w:before="120" w:after="120" w:line="240" w:lineRule="auto"/>
        <w:jc w:val="both"/>
        <w:rPr>
          <w:rFonts w:ascii="Arial" w:hAnsi="Arial" w:cs="Arial"/>
          <w:u w:val="single"/>
          <w:lang w:val="uk-UA"/>
        </w:rPr>
      </w:pPr>
      <w:r w:rsidRPr="007E5633">
        <w:rPr>
          <w:rFonts w:ascii="Arial" w:hAnsi="Arial" w:cs="Arial"/>
          <w:u w:val="single"/>
          <w:lang w:val="uk-UA"/>
        </w:rPr>
        <w:t>Оператор системи розподілу</w:t>
      </w:r>
    </w:p>
    <w:p w14:paraId="090619C9"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Системи розподілу страждають від подібних побоювань щодо природної монополії та звинувачень у тому, що вони «наживаються» на інших гравцях, як і системи передачі, але завдяки своїй більш локальній та менш складній функції, робота DSO є набагато простішою. Їхнє завдання полягає в тому, щоб постачати електроенергію або газ з системи передачі кінцевому користувачеві, і в основному це стосується низьковольтних мереж та газопроводів низького тиску. Це означає, що в більшості випадків балансування не потрібно, тому найважче і важливе завдання PSO відсутнє. Тому їхнє завдання полягає в основному в забезпеченні довготривалого обслуговування та розвитку розподільної мережі / ліній, забезпечення їх безпечної та ефективної роботи та покриття втрат енергії, що виникають на етапі розподілу.</w:t>
      </w:r>
    </w:p>
    <w:p w14:paraId="4A17E7F2"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Навіть якщо завдання DSO є простішим, ніж TSO, заборона антиконкурентної поведінки не менш важлива в першому випадку, ніж у останньому. Власники розподільних мереж можуть все ще зірвати роботу підприємств-трейдерів електроенергією / газом шляхом, наприклад, накладання несправедливо високих цін на доступ для клієнтів. Саме тому DSOs підлягають подібним відокремленням (unbundling) та антидискримінаційним заходам, як і TSOs. Основна відмінність в плані відокремлення полягає в тому, що для DSOs немає необхідності у відокремленні вертикально інтегрованими енергетичними компаніями. Натомість достатньо правового відокремлення (виокремлення оператора розподільної мережі як окремого суб'єкта, при цьому зберігаючи його структуру власності) з певними організаційними обмеженнями. Керівництво DSO не повинно брати участь у інших сферах діяльності вертикально інтегрованої корпорації (тобто не повинно безпосередньо чи опосередковано брати участь у щоденній роботі з генерації, виробництва, передачі або постачання електроенергії / газу), повинно діяти незалежно шляхом виконання відповідних заходів, що вживаються для забезпечення такої незалежності, а також повинні встановити сувору функцію дотримання (compliance), щоб запобігти дискримінаційній практиці.</w:t>
      </w:r>
    </w:p>
    <w:p w14:paraId="122A0409"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lastRenderedPageBreak/>
        <w:t xml:space="preserve">І доступ до системи дистрибуції, і тарифи на використання </w:t>
      </w:r>
      <w:r w:rsidR="00E04052" w:rsidRPr="007E5633">
        <w:rPr>
          <w:rFonts w:ascii="Arial" w:hAnsi="Arial" w:cs="Arial"/>
          <w:lang w:val="uk-UA"/>
        </w:rPr>
        <w:t>доступу</w:t>
      </w:r>
      <w:r w:rsidRPr="007E5633">
        <w:rPr>
          <w:rFonts w:ascii="Arial" w:hAnsi="Arial" w:cs="Arial"/>
          <w:lang w:val="uk-UA"/>
        </w:rPr>
        <w:t xml:space="preserve"> повинні бути недискримінаційними та прозорими. Тарифи на розподіл затверджуються національним регулюючим органом і включають в себе як витрати, понесені під час роботи мережі / ліній, так і витрати на їх розширення, щоб дозволити новим клієнтам приєднатися. Коли DSOs несуть відповідальність за балансування мережі, правила балансування також повинні бути прозорими та недискримінаційними, як це має місце у випадку з TSOs. Крім того, будь-яка інформація, яка потрапляє в процесі діяльності DSOs, повинна залишатись конфіденційною для оператора та не повинна бути передана їх власникам або іншим особам.</w:t>
      </w:r>
    </w:p>
    <w:p w14:paraId="70E98DEE" w14:textId="77777777" w:rsidR="00720BD1" w:rsidRPr="007E5633" w:rsidRDefault="00720BD1" w:rsidP="00720BD1">
      <w:pPr>
        <w:spacing w:before="120" w:after="120" w:line="240" w:lineRule="auto"/>
        <w:jc w:val="both"/>
        <w:rPr>
          <w:rFonts w:ascii="Arial" w:hAnsi="Arial" w:cs="Arial"/>
          <w:lang w:val="uk-UA"/>
        </w:rPr>
      </w:pPr>
      <w:r w:rsidRPr="007E5633">
        <w:rPr>
          <w:rFonts w:ascii="Arial" w:hAnsi="Arial" w:cs="Arial"/>
          <w:lang w:val="uk-UA"/>
        </w:rPr>
        <w:t>Через відсутність розподілу власності, більшість DSOs все ще належать великим енергетичним корпораціям або місцевим (наприклад, муніципальним) мережевим або комунальним підприємствам. Деякі з них належать TSOs, що чітко визначено Директивами, за умови, що виконуються відповідні стандарти. Більше того, невеликі системи розподілу, які обслуговують менше 100 000 клієнтів, розподіляючи газ або електроенергію, можуть бути виключені з вищезазначених правил.</w:t>
      </w:r>
    </w:p>
    <w:p w14:paraId="4AF6DA4C" w14:textId="77777777" w:rsidR="00A61BEE" w:rsidRPr="007E5633" w:rsidRDefault="00720BD1"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5" w:name="_Toc533093959"/>
      <w:r w:rsidRPr="007E5633">
        <w:rPr>
          <w:rFonts w:ascii="Arial" w:hAnsi="Arial" w:cs="Arial"/>
          <w:color w:val="auto"/>
          <w:sz w:val="22"/>
          <w:szCs w:val="22"/>
          <w:lang w:val="uk-UA"/>
        </w:rPr>
        <w:t>Установки зберігання газу та СПГ</w:t>
      </w:r>
      <w:bookmarkEnd w:id="155"/>
    </w:p>
    <w:p w14:paraId="7B2172BE" w14:textId="77777777" w:rsidR="00720BD1" w:rsidRPr="007E5633" w:rsidRDefault="00720BD1" w:rsidP="00720BD1">
      <w:pPr>
        <w:pStyle w:val="af4"/>
        <w:rPr>
          <w:sz w:val="22"/>
          <w:szCs w:val="22"/>
          <w:lang w:val="uk-UA"/>
        </w:rPr>
      </w:pPr>
      <w:r w:rsidRPr="007E5633">
        <w:rPr>
          <w:sz w:val="22"/>
          <w:szCs w:val="22"/>
          <w:lang w:val="uk-UA"/>
        </w:rPr>
        <w:t>Газ відрізняється від електроенергії, головним чином його зберіганням та режимами перевезень. Природний газ може зберігатися (як правило, в резервуарах під тиском або в печерах, що залишаються після видобутку газу) або у зрідженому вигляді, що дає змогу здійснювати його морську доставку або перевезення автомобільним або залізничним транспортом. Установки для зберігання газу та споруд СПГ (а саме установки для зрідження, повторної газифікації та розвантажувальних терміналів) дотримуються правил, подібних до DSOs.</w:t>
      </w:r>
    </w:p>
    <w:p w14:paraId="4D3BDAC2" w14:textId="77777777" w:rsidR="00720BD1" w:rsidRPr="007E5633" w:rsidRDefault="00720BD1" w:rsidP="00720BD1">
      <w:pPr>
        <w:pStyle w:val="af4"/>
        <w:rPr>
          <w:sz w:val="22"/>
          <w:szCs w:val="22"/>
          <w:lang w:val="uk-UA"/>
        </w:rPr>
      </w:pPr>
      <w:r w:rsidRPr="007E5633">
        <w:rPr>
          <w:sz w:val="22"/>
          <w:szCs w:val="22"/>
          <w:lang w:val="uk-UA"/>
        </w:rPr>
        <w:t>По-перше, об'єкти зберігання повинні, принаймні, бути юридично відокремлені від власників TSO та виконувати аналогічні вимоги до DSOs щодо їхньої незалежності. По-друге, оператори систем зберігання та транспортування СПГ зобов'язані зберігати конфіденційність щодо будь-якої комерційно конфіденційної інформації, отриманої в ході її діяльності. Нарешті, послуги з зберігання газу та сховища для СПГ повинні надаватися на недискримінаційній та прозорій основі, а будь-які збори за них розраховуються на основі витрат, понесених операторами, і повинні бути схвалені національним регулюючим органом.</w:t>
      </w:r>
    </w:p>
    <w:p w14:paraId="0C442882" w14:textId="77777777" w:rsidR="00720BD1" w:rsidRPr="007E5633" w:rsidRDefault="00720BD1" w:rsidP="00720BD1">
      <w:pPr>
        <w:pStyle w:val="af4"/>
        <w:rPr>
          <w:sz w:val="22"/>
          <w:szCs w:val="22"/>
          <w:lang w:val="uk-UA"/>
        </w:rPr>
      </w:pPr>
      <w:r w:rsidRPr="007E5633">
        <w:rPr>
          <w:sz w:val="22"/>
          <w:szCs w:val="22"/>
          <w:lang w:val="uk-UA"/>
        </w:rPr>
        <w:t>Існує можливе звільнення (пільговий, винятковий статус) для нових сховищ газу та об'єктів для збору газу, а також нових мереж зв'язку, з огляду на деякі антидискримінаційні положення Директиви. Якщо такі інвестиції в нову інфраструктуру збільшать конкуренцію на газовому ринку та не загрожують ефективному функціонуванню внутрішнього ринку, але присутній достатній ризик, що її не буде побудовано без надання такого звільнення (пільгового, виняткового статусу), національний регулюючий орган може надавати звільнення (пільговий статус) від дотримання певних правил щодо роз'єднання та рівного доступу до цих об'єктів.</w:t>
      </w:r>
    </w:p>
    <w:p w14:paraId="2DD2C983" w14:textId="77777777" w:rsidR="00720BD1" w:rsidRPr="007E5633" w:rsidRDefault="00720BD1" w:rsidP="00720BD1">
      <w:pPr>
        <w:pStyle w:val="af4"/>
        <w:rPr>
          <w:b/>
          <w:sz w:val="22"/>
          <w:szCs w:val="22"/>
          <w:lang w:val="uk-UA"/>
        </w:rPr>
      </w:pPr>
      <w:r w:rsidRPr="007E5633">
        <w:rPr>
          <w:b/>
          <w:sz w:val="22"/>
          <w:szCs w:val="22"/>
          <w:lang w:val="uk-UA"/>
        </w:rPr>
        <w:t>Оператори - оператор ринку / оператор електроенергетичної біржі / NEMO</w:t>
      </w:r>
    </w:p>
    <w:p w14:paraId="0A89689B" w14:textId="77777777" w:rsidR="00720BD1" w:rsidRPr="007E5633" w:rsidRDefault="00720BD1" w:rsidP="00720BD1">
      <w:pPr>
        <w:pStyle w:val="af4"/>
        <w:rPr>
          <w:sz w:val="22"/>
          <w:szCs w:val="22"/>
          <w:lang w:val="uk-UA"/>
        </w:rPr>
      </w:pPr>
      <w:r w:rsidRPr="007E5633">
        <w:rPr>
          <w:sz w:val="22"/>
          <w:szCs w:val="22"/>
          <w:lang w:val="uk-UA"/>
        </w:rPr>
        <w:t xml:space="preserve">У ЄС, а також на інших ринках електроенергії є плутанина під час використання терміну "оператор ринку". Термін "оператор ринку" в основному відноситься до суб'єкта, який виконує певні "системні" ролі на ринку електроенергії, які можуть навіть не існувати в кожній країні (як правило, завдання, що виконуються TSO), наприклад, управління балансуванням, облік укладених контрактів та операційний прогноз, балансування ринку, дисбалансове врегулювання. Хоча це і не є характерним для всіх країн ЄС, </w:t>
      </w:r>
      <w:r w:rsidRPr="007E5633">
        <w:rPr>
          <w:sz w:val="22"/>
          <w:szCs w:val="22"/>
          <w:lang w:val="uk-UA"/>
        </w:rPr>
        <w:lastRenderedPageBreak/>
        <w:t>створення оператора ринку як окремого суб'єкта (за межами TSO) є досить поширеним явищем</w:t>
      </w:r>
      <w:r w:rsidRPr="007E5633">
        <w:rPr>
          <w:rStyle w:val="aa"/>
          <w:sz w:val="22"/>
          <w:szCs w:val="22"/>
          <w:lang w:val="uk-UA"/>
        </w:rPr>
        <w:footnoteReference w:id="22"/>
      </w:r>
      <w:r w:rsidRPr="007E5633">
        <w:rPr>
          <w:sz w:val="22"/>
          <w:szCs w:val="22"/>
          <w:lang w:val="uk-UA"/>
        </w:rPr>
        <w:t>.</w:t>
      </w:r>
    </w:p>
    <w:p w14:paraId="547EB6C2" w14:textId="77777777" w:rsidR="00720BD1" w:rsidRPr="007E5633" w:rsidRDefault="00720BD1" w:rsidP="00720BD1">
      <w:pPr>
        <w:pStyle w:val="af4"/>
        <w:rPr>
          <w:sz w:val="22"/>
          <w:szCs w:val="22"/>
          <w:lang w:val="uk-UA"/>
        </w:rPr>
      </w:pPr>
      <w:r w:rsidRPr="007E5633">
        <w:rPr>
          <w:sz w:val="22"/>
          <w:szCs w:val="22"/>
          <w:lang w:val="uk-UA"/>
        </w:rPr>
        <w:t>Приклади (як окрема юридична особа) включають Borzen (Словенія), ELEXON (Великобританія), SEMO (Ірландія), APCS (Австрія), HROTE (Хорватія), OKTE (Словаччина), OTE (Чехія), OPCOM (Румунія) - та інші (наприклад, COTEE (Чорногорія)).</w:t>
      </w:r>
    </w:p>
    <w:p w14:paraId="1C361003" w14:textId="77777777" w:rsidR="00720BD1" w:rsidRPr="007E5633" w:rsidRDefault="00720BD1" w:rsidP="00720BD1">
      <w:pPr>
        <w:pStyle w:val="af4"/>
        <w:rPr>
          <w:sz w:val="22"/>
          <w:szCs w:val="22"/>
          <w:lang w:val="uk-UA"/>
        </w:rPr>
      </w:pPr>
      <w:r w:rsidRPr="007E5633">
        <w:rPr>
          <w:sz w:val="22"/>
          <w:szCs w:val="22"/>
          <w:lang w:val="uk-UA"/>
        </w:rPr>
        <w:t>В Мережевому кодексі з балансування електроенергії (Network Code on Electricity Balancing) та Мережевому кодексі з надзвичайних ситуацій та відновлення (Network Code on Emergency and Restoration) функції "традиційних" операторів ринку визнані "третіми сторонами". Хоча в Пакеті "Чиста енергія" (Clean Energy Package), який в даний час знаходиться в процедурі прийняття, вони були визнані в Загальному підході Ради (7а), Статті 2 (2) ff, Статті 3 (1), Статті 5 (10)) як "делеговані оператори". Визначення делегованих операторів (також називають сторонніми операторами ринку) та їх роль на ринку електроенергії є підтвердженням існуючих механізмів у деяких державах-членах, завдяки чому спеціальні завдання, такі як врегулювання дисбалансу, покладаються або делегуються державою-членом ЄС або оператором системи передачі (TSO) стороннім операторам, які не є TSO.</w:t>
      </w:r>
    </w:p>
    <w:p w14:paraId="61110D44" w14:textId="77777777" w:rsidR="00720BD1" w:rsidRPr="007E5633" w:rsidRDefault="00720BD1" w:rsidP="00720BD1">
      <w:pPr>
        <w:pStyle w:val="af4"/>
        <w:rPr>
          <w:sz w:val="22"/>
          <w:szCs w:val="22"/>
          <w:lang w:val="uk-UA"/>
        </w:rPr>
      </w:pPr>
      <w:r w:rsidRPr="007E5633">
        <w:rPr>
          <w:sz w:val="22"/>
          <w:szCs w:val="22"/>
          <w:lang w:val="uk-UA"/>
        </w:rPr>
        <w:t>Виходячи з досвіду, завдання операторів ринку можна підсумувати у таких сферах:</w:t>
      </w:r>
    </w:p>
    <w:p w14:paraId="6636E329" w14:textId="77777777" w:rsidR="00720BD1" w:rsidRPr="007E5633" w:rsidRDefault="00720BD1" w:rsidP="000D248B">
      <w:pPr>
        <w:pStyle w:val="af4"/>
        <w:numPr>
          <w:ilvl w:val="0"/>
          <w:numId w:val="62"/>
        </w:numPr>
        <w:rPr>
          <w:sz w:val="22"/>
          <w:szCs w:val="22"/>
          <w:lang w:val="uk-UA"/>
        </w:rPr>
      </w:pPr>
      <w:r w:rsidRPr="007E5633">
        <w:rPr>
          <w:sz w:val="22"/>
          <w:szCs w:val="22"/>
          <w:lang w:val="uk-UA"/>
        </w:rPr>
        <w:t>адміністрування двостороннього ринку електроенергії,</w:t>
      </w:r>
    </w:p>
    <w:p w14:paraId="62B58697" w14:textId="77777777" w:rsidR="00720BD1" w:rsidRPr="007E5633" w:rsidRDefault="00720BD1" w:rsidP="000D248B">
      <w:pPr>
        <w:pStyle w:val="af4"/>
        <w:numPr>
          <w:ilvl w:val="0"/>
          <w:numId w:val="62"/>
        </w:numPr>
        <w:rPr>
          <w:sz w:val="22"/>
          <w:szCs w:val="22"/>
          <w:lang w:val="uk-UA"/>
        </w:rPr>
      </w:pPr>
      <w:r w:rsidRPr="007E5633">
        <w:rPr>
          <w:sz w:val="22"/>
          <w:szCs w:val="22"/>
          <w:lang w:val="uk-UA"/>
        </w:rPr>
        <w:t xml:space="preserve">розрахунок дизбалансів відповідальними за балансування </w:t>
      </w:r>
      <w:r w:rsidR="00E04052" w:rsidRPr="007E5633">
        <w:rPr>
          <w:sz w:val="22"/>
          <w:szCs w:val="22"/>
          <w:lang w:val="uk-UA"/>
        </w:rPr>
        <w:t>сторо</w:t>
      </w:r>
      <w:r w:rsidR="00E04052">
        <w:rPr>
          <w:sz w:val="22"/>
          <w:szCs w:val="22"/>
          <w:lang w:val="uk-UA"/>
        </w:rPr>
        <w:t>на</w:t>
      </w:r>
      <w:r w:rsidR="00E04052" w:rsidRPr="007E5633">
        <w:rPr>
          <w:sz w:val="22"/>
          <w:szCs w:val="22"/>
          <w:lang w:val="uk-UA"/>
        </w:rPr>
        <w:t>ми</w:t>
      </w:r>
      <w:r w:rsidRPr="007E5633">
        <w:rPr>
          <w:sz w:val="22"/>
          <w:szCs w:val="22"/>
          <w:lang w:val="uk-UA"/>
        </w:rPr>
        <w:t xml:space="preserve"> відповідно до остаточного щоденного графіку та вимірювань, отриманих від оператора електропостачання та операторів електричних розподільчих систем,</w:t>
      </w:r>
    </w:p>
    <w:p w14:paraId="68F941DE" w14:textId="77777777" w:rsidR="00720BD1" w:rsidRPr="007E5633" w:rsidRDefault="00720BD1" w:rsidP="000D248B">
      <w:pPr>
        <w:pStyle w:val="af4"/>
        <w:numPr>
          <w:ilvl w:val="0"/>
          <w:numId w:val="62"/>
        </w:numPr>
        <w:rPr>
          <w:sz w:val="22"/>
          <w:szCs w:val="22"/>
          <w:lang w:val="uk-UA"/>
        </w:rPr>
      </w:pPr>
      <w:r w:rsidRPr="007E5633">
        <w:rPr>
          <w:sz w:val="22"/>
          <w:szCs w:val="22"/>
          <w:lang w:val="uk-UA"/>
        </w:rPr>
        <w:t>своєчасне подання оператору системи передачі електричної енергії всієї інформації, необхідної для підготовки остаточних щоденних графіків купівлі та продажу електроенергії,</w:t>
      </w:r>
    </w:p>
    <w:p w14:paraId="3D60DAE2" w14:textId="77777777" w:rsidR="00720BD1" w:rsidRPr="007E5633" w:rsidRDefault="00720BD1" w:rsidP="000D248B">
      <w:pPr>
        <w:pStyle w:val="af4"/>
        <w:numPr>
          <w:ilvl w:val="0"/>
          <w:numId w:val="62"/>
        </w:numPr>
        <w:rPr>
          <w:sz w:val="22"/>
          <w:szCs w:val="22"/>
          <w:lang w:val="uk-UA"/>
        </w:rPr>
      </w:pPr>
      <w:r w:rsidRPr="007E5633">
        <w:rPr>
          <w:sz w:val="22"/>
          <w:szCs w:val="22"/>
          <w:lang w:val="uk-UA"/>
        </w:rPr>
        <w:t>ведення обліку всіх договорів на участь у ринкових відносинах, укладених з учасниками ринку електроенергії,</w:t>
      </w:r>
    </w:p>
    <w:p w14:paraId="47B9E5E5" w14:textId="77777777" w:rsidR="00720BD1" w:rsidRPr="007E5633" w:rsidRDefault="00720BD1" w:rsidP="000D248B">
      <w:pPr>
        <w:pStyle w:val="af4"/>
        <w:numPr>
          <w:ilvl w:val="0"/>
          <w:numId w:val="62"/>
        </w:numPr>
        <w:rPr>
          <w:sz w:val="22"/>
          <w:szCs w:val="22"/>
          <w:lang w:val="uk-UA"/>
        </w:rPr>
      </w:pPr>
      <w:r w:rsidRPr="007E5633">
        <w:rPr>
          <w:sz w:val="22"/>
          <w:szCs w:val="22"/>
          <w:lang w:val="uk-UA"/>
        </w:rPr>
        <w:t>ведення обліку всіх угод щодо створення груп балансу, укладених між учасниками ринку електроенергії та оператором ринку електроенергії,</w:t>
      </w:r>
    </w:p>
    <w:p w14:paraId="41B55B35" w14:textId="77777777" w:rsidR="00720BD1" w:rsidRPr="007E5633" w:rsidRDefault="00720BD1" w:rsidP="000D248B">
      <w:pPr>
        <w:pStyle w:val="af4"/>
        <w:numPr>
          <w:ilvl w:val="0"/>
          <w:numId w:val="62"/>
        </w:numPr>
        <w:rPr>
          <w:sz w:val="22"/>
          <w:szCs w:val="22"/>
          <w:lang w:val="uk-UA"/>
        </w:rPr>
      </w:pPr>
      <w:r w:rsidRPr="007E5633">
        <w:rPr>
          <w:sz w:val="22"/>
          <w:szCs w:val="22"/>
          <w:lang w:val="uk-UA"/>
        </w:rPr>
        <w:t>підготовка щоденного ринкового плану,</w:t>
      </w:r>
    </w:p>
    <w:p w14:paraId="6578D200" w14:textId="77777777" w:rsidR="00720BD1" w:rsidRPr="007E5633" w:rsidRDefault="00720BD1" w:rsidP="000D248B">
      <w:pPr>
        <w:pStyle w:val="af4"/>
        <w:numPr>
          <w:ilvl w:val="0"/>
          <w:numId w:val="62"/>
        </w:numPr>
        <w:rPr>
          <w:sz w:val="22"/>
          <w:szCs w:val="22"/>
          <w:lang w:val="uk-UA"/>
        </w:rPr>
      </w:pPr>
      <w:r w:rsidRPr="007E5633">
        <w:rPr>
          <w:sz w:val="22"/>
          <w:szCs w:val="22"/>
          <w:lang w:val="uk-UA"/>
        </w:rPr>
        <w:t>ведення реєстру учасників ринку;</w:t>
      </w:r>
    </w:p>
    <w:p w14:paraId="671D2A5B" w14:textId="77777777" w:rsidR="00720BD1" w:rsidRPr="007E5633" w:rsidRDefault="00720BD1" w:rsidP="000D248B">
      <w:pPr>
        <w:pStyle w:val="af4"/>
        <w:numPr>
          <w:ilvl w:val="0"/>
          <w:numId w:val="62"/>
        </w:numPr>
        <w:rPr>
          <w:sz w:val="22"/>
          <w:szCs w:val="22"/>
          <w:lang w:val="uk-UA"/>
        </w:rPr>
      </w:pPr>
      <w:r w:rsidRPr="007E5633">
        <w:rPr>
          <w:sz w:val="22"/>
          <w:szCs w:val="22"/>
          <w:lang w:val="uk-UA"/>
        </w:rPr>
        <w:t>ведення реєстру груп балансу на ринку,</w:t>
      </w:r>
    </w:p>
    <w:p w14:paraId="64EED586" w14:textId="77777777" w:rsidR="00720BD1" w:rsidRPr="007E5633" w:rsidRDefault="00720BD1" w:rsidP="000D248B">
      <w:pPr>
        <w:pStyle w:val="af4"/>
        <w:numPr>
          <w:ilvl w:val="0"/>
          <w:numId w:val="62"/>
        </w:numPr>
        <w:rPr>
          <w:sz w:val="22"/>
          <w:szCs w:val="22"/>
          <w:lang w:val="uk-UA"/>
        </w:rPr>
      </w:pPr>
      <w:r w:rsidRPr="007E5633">
        <w:rPr>
          <w:sz w:val="22"/>
          <w:szCs w:val="22"/>
          <w:lang w:val="uk-UA"/>
        </w:rPr>
        <w:t>своєчасне подання оператору системи передачі електричної енергії всієї інформації для зареєстрованих учасників ринку електроенергії,</w:t>
      </w:r>
    </w:p>
    <w:p w14:paraId="3982682C" w14:textId="77777777" w:rsidR="00720BD1" w:rsidRPr="007E5633" w:rsidRDefault="00720BD1" w:rsidP="000D248B">
      <w:pPr>
        <w:pStyle w:val="af4"/>
        <w:numPr>
          <w:ilvl w:val="0"/>
          <w:numId w:val="62"/>
        </w:numPr>
        <w:rPr>
          <w:sz w:val="22"/>
          <w:szCs w:val="22"/>
          <w:lang w:val="uk-UA"/>
        </w:rPr>
      </w:pPr>
      <w:r w:rsidRPr="007E5633">
        <w:rPr>
          <w:sz w:val="22"/>
          <w:szCs w:val="22"/>
          <w:lang w:val="uk-UA"/>
        </w:rPr>
        <w:t>укладання договорів купівлі-продажу, а також збалансована відповідальність за електроенергію, що виробляється привілейованими виробниками, використовуючи  feed-in tariff (оплата домашнім господарствам або підприємствам, що виробляють власну електроенергію за допомогою методів, які не сприяють вичерпанню природних ресурсів, пропорційно кількості виробленої електроенергії).</w:t>
      </w:r>
    </w:p>
    <w:p w14:paraId="5AE32870" w14:textId="77777777" w:rsidR="00720BD1" w:rsidRPr="007E5633" w:rsidRDefault="00720BD1" w:rsidP="00720BD1">
      <w:pPr>
        <w:pStyle w:val="af4"/>
        <w:rPr>
          <w:sz w:val="22"/>
          <w:szCs w:val="22"/>
          <w:lang w:val="uk-UA"/>
        </w:rPr>
      </w:pPr>
      <w:r w:rsidRPr="007E5633">
        <w:rPr>
          <w:sz w:val="22"/>
          <w:szCs w:val="22"/>
          <w:lang w:val="uk-UA"/>
        </w:rPr>
        <w:lastRenderedPageBreak/>
        <w:t> </w:t>
      </w:r>
      <w:r w:rsidRPr="00557232">
        <w:rPr>
          <w:sz w:val="22"/>
          <w:szCs w:val="22"/>
          <w:lang w:val="uk-UA"/>
        </w:rPr>
        <w:t xml:space="preserve">З іншого боку, оператор PX (національного PX) – це </w:t>
      </w:r>
      <w:r w:rsidR="00557232" w:rsidRPr="00557232">
        <w:rPr>
          <w:sz w:val="22"/>
          <w:szCs w:val="22"/>
          <w:lang w:val="uk-UA"/>
        </w:rPr>
        <w:t>організований</w:t>
      </w:r>
      <w:r w:rsidR="00557232">
        <w:rPr>
          <w:sz w:val="22"/>
          <w:szCs w:val="22"/>
          <w:lang w:val="uk-UA"/>
        </w:rPr>
        <w:t xml:space="preserve"> ринковий майданчик</w:t>
      </w:r>
    </w:p>
    <w:p w14:paraId="57934354" w14:textId="77777777" w:rsidR="00720BD1" w:rsidRPr="007E5633" w:rsidRDefault="00720BD1" w:rsidP="00720BD1">
      <w:pPr>
        <w:pStyle w:val="af4"/>
        <w:rPr>
          <w:sz w:val="22"/>
          <w:szCs w:val="22"/>
          <w:lang w:val="uk-UA"/>
        </w:rPr>
      </w:pPr>
      <w:r w:rsidRPr="007E5633">
        <w:rPr>
          <w:sz w:val="22"/>
          <w:szCs w:val="22"/>
          <w:lang w:val="uk-UA"/>
        </w:rPr>
        <w:t>В даний час на території Європейського Союзу розташовані 15 організованих торгових майданчиків (біржі електроенергії), а також 1 зареєстровано в Сербії. Вони розглядаються як один з найважливіших учасників процесів лібералізації в Європі. Організовані ринкові майданчики визнані ключовим фактором створення конкурентного середовища та є рушійною силою підвищення конкурентоспроможності електроенергетичної галузі.</w:t>
      </w:r>
    </w:p>
    <w:p w14:paraId="478AC3E8" w14:textId="77777777" w:rsidR="00720BD1" w:rsidRPr="007E5633" w:rsidRDefault="00720BD1" w:rsidP="00720BD1">
      <w:pPr>
        <w:pStyle w:val="af4"/>
        <w:rPr>
          <w:sz w:val="22"/>
          <w:szCs w:val="22"/>
          <w:lang w:val="uk-UA"/>
        </w:rPr>
      </w:pPr>
      <w:r w:rsidRPr="007E5633">
        <w:rPr>
          <w:sz w:val="22"/>
          <w:szCs w:val="22"/>
          <w:lang w:val="uk-UA"/>
        </w:rPr>
        <w:t>З точки зору торгівлі електроенергією, організовані ринкові майданчики доповнюють двосторонні фізичні контракти, що часто називаються Over Counter markets (OTC) – позабіржові контракти. Позабіржові ринки завжди будуть більшими за розміром, оскільки учасники ринку завжди можуть мати необхідні їм індивідуальні (розроблені під їх потреби) контракти та продукти. Проте, організований торговельний майданчик дає багато переваг, а також надає учасникам ринку:</w:t>
      </w:r>
    </w:p>
    <w:p w14:paraId="318A85AE" w14:textId="77777777" w:rsidR="00720BD1" w:rsidRPr="007E5633" w:rsidRDefault="00720BD1" w:rsidP="000D248B">
      <w:pPr>
        <w:pStyle w:val="af4"/>
        <w:numPr>
          <w:ilvl w:val="0"/>
          <w:numId w:val="63"/>
        </w:numPr>
        <w:rPr>
          <w:sz w:val="22"/>
          <w:szCs w:val="22"/>
          <w:lang w:val="uk-UA"/>
        </w:rPr>
      </w:pPr>
      <w:r w:rsidRPr="007E5633">
        <w:rPr>
          <w:sz w:val="22"/>
          <w:szCs w:val="22"/>
          <w:lang w:val="uk-UA"/>
        </w:rPr>
        <w:t>надійний індекс цін на електроенергію,</w:t>
      </w:r>
    </w:p>
    <w:p w14:paraId="2A373B5B" w14:textId="77777777" w:rsidR="00720BD1" w:rsidRPr="007E5633" w:rsidRDefault="00720BD1" w:rsidP="000D248B">
      <w:pPr>
        <w:pStyle w:val="af4"/>
        <w:numPr>
          <w:ilvl w:val="0"/>
          <w:numId w:val="63"/>
        </w:numPr>
        <w:rPr>
          <w:sz w:val="22"/>
          <w:szCs w:val="22"/>
          <w:lang w:val="uk-UA"/>
        </w:rPr>
      </w:pPr>
      <w:r w:rsidRPr="007E5633">
        <w:rPr>
          <w:sz w:val="22"/>
          <w:szCs w:val="22"/>
          <w:lang w:val="uk-UA"/>
        </w:rPr>
        <w:t>прозорість пропонує більше можливостей та більш високу безпеку інвесторів,</w:t>
      </w:r>
    </w:p>
    <w:p w14:paraId="23ECCF0D" w14:textId="77777777" w:rsidR="00720BD1" w:rsidRPr="007E5633" w:rsidRDefault="00720BD1" w:rsidP="000D248B">
      <w:pPr>
        <w:pStyle w:val="af4"/>
        <w:numPr>
          <w:ilvl w:val="0"/>
          <w:numId w:val="63"/>
        </w:numPr>
        <w:rPr>
          <w:sz w:val="22"/>
          <w:szCs w:val="22"/>
          <w:lang w:val="uk-UA"/>
        </w:rPr>
      </w:pPr>
      <w:r w:rsidRPr="007E5633">
        <w:rPr>
          <w:sz w:val="22"/>
          <w:szCs w:val="22"/>
          <w:lang w:val="uk-UA"/>
        </w:rPr>
        <w:t>це дозволяє ефективніше закуповувати або продавати електроенергію (порівняно з класичними тендерними процедурами на державні закупівлі);</w:t>
      </w:r>
    </w:p>
    <w:p w14:paraId="4ECFFA04" w14:textId="77777777" w:rsidR="00720BD1" w:rsidRPr="007E5633" w:rsidRDefault="00720BD1" w:rsidP="000D248B">
      <w:pPr>
        <w:pStyle w:val="af4"/>
        <w:numPr>
          <w:ilvl w:val="0"/>
          <w:numId w:val="63"/>
        </w:numPr>
        <w:rPr>
          <w:sz w:val="22"/>
          <w:szCs w:val="22"/>
          <w:lang w:val="uk-UA"/>
        </w:rPr>
      </w:pPr>
      <w:r w:rsidRPr="007E5633">
        <w:rPr>
          <w:sz w:val="22"/>
          <w:szCs w:val="22"/>
          <w:lang w:val="uk-UA"/>
        </w:rPr>
        <w:t>зменшено ризики контрагента та можливості зменшення ризику,</w:t>
      </w:r>
    </w:p>
    <w:p w14:paraId="1BB7528F" w14:textId="77777777" w:rsidR="00720BD1" w:rsidRPr="007E5633" w:rsidRDefault="00720BD1" w:rsidP="000D248B">
      <w:pPr>
        <w:pStyle w:val="af4"/>
        <w:numPr>
          <w:ilvl w:val="0"/>
          <w:numId w:val="63"/>
        </w:numPr>
        <w:rPr>
          <w:sz w:val="22"/>
          <w:szCs w:val="22"/>
          <w:lang w:val="uk-UA"/>
        </w:rPr>
      </w:pPr>
      <w:r w:rsidRPr="007E5633">
        <w:rPr>
          <w:sz w:val="22"/>
          <w:szCs w:val="22"/>
          <w:lang w:val="uk-UA"/>
        </w:rPr>
        <w:t>додатковий інструмент управління торговим ризиком (створення цінового сигналу дозволяє операторам приймати економічно раціональні рішення – купувати/ продавати дозволи на викиди, здійснювати модуляцію виробництва, вибір виробництва);</w:t>
      </w:r>
    </w:p>
    <w:p w14:paraId="62E6E907" w14:textId="77777777" w:rsidR="00720BD1" w:rsidRPr="007E5633" w:rsidRDefault="00720BD1" w:rsidP="000D248B">
      <w:pPr>
        <w:pStyle w:val="af4"/>
        <w:numPr>
          <w:ilvl w:val="0"/>
          <w:numId w:val="63"/>
        </w:numPr>
        <w:rPr>
          <w:sz w:val="22"/>
          <w:szCs w:val="22"/>
          <w:lang w:val="uk-UA"/>
        </w:rPr>
      </w:pPr>
      <w:r w:rsidRPr="007E5633">
        <w:rPr>
          <w:sz w:val="22"/>
          <w:szCs w:val="22"/>
          <w:lang w:val="uk-UA"/>
        </w:rPr>
        <w:t>ключова роль у управлінні перевантаженням системи передач;</w:t>
      </w:r>
    </w:p>
    <w:p w14:paraId="4F868A68" w14:textId="77777777" w:rsidR="00720BD1" w:rsidRPr="007E5633" w:rsidRDefault="00720BD1" w:rsidP="000D248B">
      <w:pPr>
        <w:pStyle w:val="af4"/>
        <w:numPr>
          <w:ilvl w:val="0"/>
          <w:numId w:val="63"/>
        </w:numPr>
        <w:rPr>
          <w:sz w:val="22"/>
          <w:szCs w:val="22"/>
          <w:lang w:val="uk-UA"/>
        </w:rPr>
      </w:pPr>
      <w:r w:rsidRPr="007E5633">
        <w:rPr>
          <w:sz w:val="22"/>
          <w:szCs w:val="22"/>
          <w:lang w:val="uk-UA"/>
        </w:rPr>
        <w:t>торговельна діяльність є більш ефективною, оскільки в процесі укладання угод через торгову платформу менше роботи, ніж у двосторонній торгівлі.</w:t>
      </w:r>
    </w:p>
    <w:p w14:paraId="7778A1F4" w14:textId="77777777" w:rsidR="00720BD1" w:rsidRPr="007E5633" w:rsidRDefault="00720BD1" w:rsidP="00720BD1">
      <w:pPr>
        <w:pStyle w:val="af4"/>
        <w:rPr>
          <w:sz w:val="22"/>
          <w:szCs w:val="22"/>
          <w:lang w:val="uk-UA"/>
        </w:rPr>
      </w:pPr>
      <w:r w:rsidRPr="007E5633">
        <w:rPr>
          <w:sz w:val="22"/>
          <w:szCs w:val="22"/>
          <w:lang w:val="uk-UA"/>
        </w:rPr>
        <w:t>Завдання оператора PX включають:</w:t>
      </w:r>
    </w:p>
    <w:p w14:paraId="69E9F63D" w14:textId="77777777" w:rsidR="00720BD1" w:rsidRPr="007E5633" w:rsidRDefault="00720BD1" w:rsidP="000D248B">
      <w:pPr>
        <w:pStyle w:val="af4"/>
        <w:numPr>
          <w:ilvl w:val="0"/>
          <w:numId w:val="64"/>
        </w:numPr>
        <w:spacing w:after="0"/>
        <w:rPr>
          <w:sz w:val="22"/>
          <w:szCs w:val="22"/>
          <w:lang w:val="uk-UA"/>
        </w:rPr>
      </w:pPr>
      <w:r w:rsidRPr="007E5633">
        <w:rPr>
          <w:sz w:val="22"/>
          <w:szCs w:val="22"/>
          <w:lang w:val="uk-UA"/>
        </w:rPr>
        <w:t>отримання замовлень від учасників ринку;</w:t>
      </w:r>
    </w:p>
    <w:p w14:paraId="4F9871E1" w14:textId="77777777" w:rsidR="00720BD1" w:rsidRPr="007E5633" w:rsidRDefault="00720BD1" w:rsidP="000D248B">
      <w:pPr>
        <w:pStyle w:val="af4"/>
        <w:numPr>
          <w:ilvl w:val="0"/>
          <w:numId w:val="64"/>
        </w:numPr>
        <w:spacing w:after="0"/>
        <w:rPr>
          <w:sz w:val="22"/>
          <w:szCs w:val="22"/>
          <w:lang w:val="uk-UA"/>
        </w:rPr>
      </w:pPr>
      <w:r w:rsidRPr="007E5633">
        <w:rPr>
          <w:sz w:val="22"/>
          <w:szCs w:val="22"/>
          <w:lang w:val="uk-UA"/>
        </w:rPr>
        <w:t>загальна відповідальність за узгодження та розподіл замовлень відповідно до встановлених правил;</w:t>
      </w:r>
    </w:p>
    <w:p w14:paraId="265597E9" w14:textId="77777777" w:rsidR="00720BD1" w:rsidRPr="007E5633" w:rsidRDefault="00720BD1" w:rsidP="000D248B">
      <w:pPr>
        <w:pStyle w:val="af4"/>
        <w:numPr>
          <w:ilvl w:val="0"/>
          <w:numId w:val="64"/>
        </w:numPr>
        <w:spacing w:after="0"/>
        <w:rPr>
          <w:sz w:val="22"/>
          <w:szCs w:val="22"/>
          <w:lang w:val="uk-UA"/>
        </w:rPr>
      </w:pPr>
      <w:r w:rsidRPr="007E5633">
        <w:rPr>
          <w:sz w:val="22"/>
          <w:szCs w:val="22"/>
          <w:lang w:val="uk-UA"/>
        </w:rPr>
        <w:t>публікація цін та</w:t>
      </w:r>
    </w:p>
    <w:p w14:paraId="3CB190F3" w14:textId="77777777" w:rsidR="00735BAF" w:rsidRPr="007E5633" w:rsidRDefault="00720BD1" w:rsidP="000D248B">
      <w:pPr>
        <w:pStyle w:val="af4"/>
        <w:numPr>
          <w:ilvl w:val="0"/>
          <w:numId w:val="64"/>
        </w:numPr>
        <w:spacing w:after="0"/>
        <w:rPr>
          <w:sz w:val="22"/>
          <w:szCs w:val="22"/>
          <w:lang w:val="uk-UA"/>
        </w:rPr>
      </w:pPr>
      <w:r w:rsidRPr="007E5633">
        <w:rPr>
          <w:sz w:val="22"/>
          <w:szCs w:val="22"/>
          <w:lang w:val="uk-UA"/>
        </w:rPr>
        <w:t>якщо не передано на аутсорс, то виконання функції центрального контрагента для клірингу та розрахунків.</w:t>
      </w:r>
    </w:p>
    <w:p w14:paraId="031282D0" w14:textId="77777777" w:rsidR="00720BD1" w:rsidRPr="007E5633" w:rsidRDefault="00720BD1" w:rsidP="00735BAF">
      <w:pPr>
        <w:pStyle w:val="af4"/>
        <w:spacing w:before="240" w:after="0"/>
        <w:rPr>
          <w:sz w:val="22"/>
          <w:szCs w:val="22"/>
          <w:lang w:val="uk-UA"/>
        </w:rPr>
      </w:pPr>
      <w:r w:rsidRPr="007E5633">
        <w:rPr>
          <w:sz w:val="22"/>
          <w:szCs w:val="22"/>
          <w:lang w:val="uk-UA"/>
        </w:rPr>
        <w:t>Існує кілька варіантів, як організувати та оперувати енергобіржею в плані регулювання, власності, партнерства та надання послуг з торгівлі та клірингу.</w:t>
      </w:r>
    </w:p>
    <w:p w14:paraId="78311271" w14:textId="77777777" w:rsidR="00720BD1" w:rsidRPr="007E5633" w:rsidRDefault="00720BD1" w:rsidP="00720BD1">
      <w:pPr>
        <w:pStyle w:val="af4"/>
        <w:rPr>
          <w:sz w:val="22"/>
          <w:szCs w:val="22"/>
          <w:lang w:val="uk-UA"/>
        </w:rPr>
      </w:pPr>
      <w:r w:rsidRPr="007E5633">
        <w:rPr>
          <w:sz w:val="22"/>
          <w:szCs w:val="22"/>
          <w:lang w:val="uk-UA"/>
        </w:rPr>
        <w:t xml:space="preserve">Отже, той самий оператор може виступати як оператор ринку та як оператор PX (у Європейському Союзі існує шість (6) енергетичних бірж, що діють одночасно як оператор ринку та як електроенергетична біржа, яка також номінована як NEMO). Після перенесення CACM оператор PX стане NEMO, якому також можуть передати функції MCO. Як альтернатива, оператор ринку може відрізнятись від оператора PX або NEMO. У таких випадках TSO може бути оператором ринку або іншою сторонньою </w:t>
      </w:r>
      <w:r w:rsidR="00557232" w:rsidRPr="007E5633">
        <w:rPr>
          <w:sz w:val="22"/>
          <w:szCs w:val="22"/>
          <w:lang w:val="uk-UA"/>
        </w:rPr>
        <w:t>організацією</w:t>
      </w:r>
      <w:r w:rsidRPr="007E5633">
        <w:rPr>
          <w:sz w:val="22"/>
          <w:szCs w:val="22"/>
          <w:lang w:val="uk-UA"/>
        </w:rPr>
        <w:t>.</w:t>
      </w:r>
    </w:p>
    <w:p w14:paraId="0D9D71B1" w14:textId="77777777" w:rsidR="00720BD1" w:rsidRPr="007E5633" w:rsidRDefault="00720BD1" w:rsidP="00720BD1">
      <w:pPr>
        <w:spacing w:before="120" w:after="120" w:line="240" w:lineRule="auto"/>
        <w:jc w:val="both"/>
        <w:rPr>
          <w:rFonts w:ascii="Arial" w:hAnsi="Arial" w:cs="Arial"/>
          <w:highlight w:val="yellow"/>
          <w:lang w:val="uk-UA"/>
        </w:rPr>
      </w:pPr>
      <w:r w:rsidRPr="007E5633">
        <w:rPr>
          <w:rFonts w:ascii="Arial" w:hAnsi="Arial" w:cs="Arial"/>
          <w:lang w:val="uk-UA"/>
        </w:rPr>
        <w:t>Номінований оператор ринку електроенергії (Nominated Electricity Market Operator  - NEMO) як оператор ринку буде описаний і розглянутий у наступному розділі про інтеграцію транскордонного ринку, тобто з'єднання ринку.</w:t>
      </w:r>
    </w:p>
    <w:p w14:paraId="6C1F486C" w14:textId="77777777" w:rsidR="00DE395F" w:rsidRPr="007E5633" w:rsidRDefault="00DE395F" w:rsidP="009A4011">
      <w:pPr>
        <w:pStyle w:val="FSHeader1"/>
        <w:keepNext w:val="0"/>
        <w:pageBreakBefore w:val="0"/>
        <w:numPr>
          <w:ilvl w:val="2"/>
          <w:numId w:val="27"/>
        </w:numPr>
        <w:spacing w:before="120" w:after="120"/>
        <w:ind w:left="567" w:hanging="567"/>
        <w:rPr>
          <w:rFonts w:ascii="Arial" w:hAnsi="Arial" w:cs="Arial"/>
          <w:color w:val="auto"/>
          <w:sz w:val="22"/>
          <w:szCs w:val="22"/>
          <w:lang w:val="uk-UA"/>
        </w:rPr>
      </w:pPr>
      <w:bookmarkStart w:id="156" w:name="_Toc533093960"/>
      <w:r w:rsidRPr="007E5633">
        <w:rPr>
          <w:rFonts w:ascii="Arial" w:hAnsi="Arial" w:cs="Arial"/>
          <w:color w:val="auto"/>
          <w:sz w:val="22"/>
          <w:szCs w:val="22"/>
          <w:lang w:val="uk-UA"/>
        </w:rPr>
        <w:lastRenderedPageBreak/>
        <w:t>Резюме</w:t>
      </w:r>
      <w:bookmarkEnd w:id="156"/>
    </w:p>
    <w:p w14:paraId="072A4F20" w14:textId="77777777" w:rsidR="00A61BEE" w:rsidRPr="007E5633" w:rsidRDefault="00DE395F" w:rsidP="00A61BEE">
      <w:pPr>
        <w:spacing w:before="120" w:after="120" w:line="240" w:lineRule="auto"/>
        <w:jc w:val="both"/>
        <w:rPr>
          <w:rFonts w:ascii="Arial" w:hAnsi="Arial" w:cs="Arial"/>
          <w:lang w:val="uk-UA"/>
        </w:rPr>
      </w:pPr>
      <w:r w:rsidRPr="007E5633">
        <w:rPr>
          <w:rFonts w:ascii="Arial" w:hAnsi="Arial" w:cs="Arial"/>
          <w:lang w:val="uk-UA"/>
        </w:rPr>
        <w:t xml:space="preserve">Спільний ринок електроенергії та природного газу стає дедалі складнішим, а з ним і інфраструктура, що його підтримує. Правила прозорості та транскордонні платформи дозволяють забезпечити більшу інтеграцію спільного ринку та таким чином сприяти конкуренції. Проте, ще більш важливим питанням для розвитку енергетичного ринку полягає у розвитку енергоринку на внутрішньому рівні країн ЄС. Відокремлення операторів системи транспортування та розподілу від вертикально інтегрованих енергетичних компаній, поява прозорих та недискримінаційних правил надання послуг з передачі та розподілу, а також встановлення чітких і сприятливих для ринку законодавчих рамок для транспортування енергії є найважливішими для самого існування ринку енергії. Без відкритого доступу до технічної інфраструктури та чітких стимулів для розвитку цієї інфраструктури реальна конкуренція не зможе існувати, а оптовий ринок енергії має мало місця для існування. Структура, </w:t>
      </w:r>
      <w:r w:rsidR="00557232" w:rsidRPr="007E5633">
        <w:rPr>
          <w:rFonts w:ascii="Arial" w:hAnsi="Arial" w:cs="Arial"/>
          <w:lang w:val="uk-UA"/>
        </w:rPr>
        <w:t>розроблена</w:t>
      </w:r>
      <w:r w:rsidRPr="007E5633">
        <w:rPr>
          <w:rFonts w:ascii="Arial" w:hAnsi="Arial" w:cs="Arial"/>
          <w:lang w:val="uk-UA"/>
        </w:rPr>
        <w:t xml:space="preserve"> ЄС, гарантує, що кожен тип спільної інфраструктури доступний для всіх сторін, окремо і за справедливою ціною, а також належним чином контролюється.</w:t>
      </w:r>
    </w:p>
    <w:p w14:paraId="7D2A23B6" w14:textId="77777777" w:rsidR="00DE395F" w:rsidRPr="007E5633" w:rsidRDefault="00DE395F" w:rsidP="000D248B">
      <w:pPr>
        <w:pStyle w:val="FSHeader1"/>
        <w:numPr>
          <w:ilvl w:val="0"/>
          <w:numId w:val="34"/>
        </w:numPr>
        <w:rPr>
          <w:rFonts w:ascii="Arial" w:hAnsi="Arial" w:cs="Arial"/>
          <w:lang w:val="uk-UA"/>
        </w:rPr>
      </w:pPr>
      <w:bookmarkStart w:id="157" w:name="_Toc533093961"/>
      <w:r w:rsidRPr="007E5633">
        <w:rPr>
          <w:rFonts w:ascii="Arial" w:hAnsi="Arial" w:cs="Arial"/>
          <w:lang w:val="uk-UA"/>
        </w:rPr>
        <w:lastRenderedPageBreak/>
        <w:t>Частина III: Аналіз існуючої української законодавчої бази для спотової і ф'ючерсної торгівлі природним газом та електроенергією:</w:t>
      </w:r>
      <w:bookmarkEnd w:id="157"/>
    </w:p>
    <w:p w14:paraId="54A8F9F2" w14:textId="77777777" w:rsidR="00672962" w:rsidRPr="007E5633" w:rsidRDefault="00DE395F"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58" w:name="_Toc533093962"/>
      <w:r w:rsidRPr="007E5633">
        <w:rPr>
          <w:rFonts w:ascii="Arial" w:hAnsi="Arial" w:cs="Arial"/>
          <w:sz w:val="26"/>
          <w:szCs w:val="26"/>
          <w:lang w:val="uk-UA"/>
        </w:rPr>
        <w:t>Існуюча спотова та форвардна торговельна активність та торгові майданчики</w:t>
      </w:r>
      <w:bookmarkEnd w:id="158"/>
    </w:p>
    <w:p w14:paraId="7189AA6D"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Україна не регулює стандартизацію контрактів, однак, закон встановлює вимоги до певних торгових сторін та якості деяких </w:t>
      </w:r>
      <w:r w:rsidR="00F966A5">
        <w:rPr>
          <w:rFonts w:ascii="Arial" w:hAnsi="Arial" w:cs="Arial"/>
          <w:lang w:val="uk-UA"/>
        </w:rPr>
        <w:t xml:space="preserve">товарів та </w:t>
      </w:r>
      <w:r w:rsidR="00F966A5">
        <w:rPr>
          <w:rFonts w:ascii="Arial" w:hAnsi="Arial" w:cs="Arial"/>
          <w:szCs w:val="24"/>
          <w:lang w:val="uk-UA"/>
        </w:rPr>
        <w:t>товарних контрактів</w:t>
      </w:r>
      <w:r w:rsidRPr="007E5633">
        <w:rPr>
          <w:rFonts w:ascii="Arial" w:hAnsi="Arial" w:cs="Arial"/>
          <w:lang w:val="uk-UA"/>
        </w:rPr>
        <w:t xml:space="preserve">. У разі необхідності ліцензування, головним принципом є "одна уповноважена сторона є достатньою для операції з будь-якою кількістю контрагентів. Двостороння торгівля </w:t>
      </w:r>
      <w:r w:rsidR="00F966A5">
        <w:rPr>
          <w:rFonts w:ascii="Arial" w:hAnsi="Arial" w:cs="Arial"/>
          <w:lang w:val="uk-UA"/>
        </w:rPr>
        <w:t>товарами з родовими ознаками</w:t>
      </w:r>
      <w:r w:rsidRPr="007E5633">
        <w:rPr>
          <w:rFonts w:ascii="Arial" w:hAnsi="Arial" w:cs="Arial"/>
          <w:lang w:val="uk-UA"/>
        </w:rPr>
        <w:t xml:space="preserve"> регулюється Цивільним кодексом та Господарським кодексом (контракти на купівлю-продаж та постачання), немає спеціальних правил щодо розрахунків або забезпечення операцій. Схеми розрахункових агентств не регулюються спеціально. Хоча товарні біржі та інші торгові майданчики, як передбачається, будуть вільно регулюватися Міністерством економічного розвитку та торгівлі України, але закон передбачає лише кілька аспектів, що підлягають нагляду.</w:t>
      </w:r>
    </w:p>
    <w:p w14:paraId="495C1EEB"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Форвардні контракти на основі </w:t>
      </w:r>
      <w:r w:rsidR="00F966A5">
        <w:rPr>
          <w:rFonts w:ascii="Arial" w:hAnsi="Arial" w:cs="Arial"/>
          <w:lang w:val="uk-UA"/>
        </w:rPr>
        <w:t>родових товарів</w:t>
      </w:r>
      <w:r w:rsidRPr="007E5633">
        <w:rPr>
          <w:rFonts w:ascii="Arial" w:hAnsi="Arial" w:cs="Arial"/>
          <w:lang w:val="uk-UA"/>
        </w:rPr>
        <w:t xml:space="preserve"> (тобто поставкові) підлягають нагляду з боку НКЦПФР як тип фінансових інструментів (Закон про цінні папери та фондові біржі, розділ 1.1 (20)), проте не було прийнято жодних нормативних актів для визначення стандартизації контрактів та умов їх обігу; основними умовами для таких договорів, таким чином, є Цивільний кодекс та Господарський кодекс, розділи контрактів на постачання. Ми зазначаємо, що Господарський кодекс не застосовується до операцій з фізичними особами, і Контракти про поставки не поширюються на споживання домогосподарств. Форвардні контракти використовуються в трансфертному ціноутворенні, і, отже, податкові правила (Що стосується контрольованих операцій, зокрема - див. Розділи 14.1.45.3, 14.1.71, 39.2.1.3, 39.3.3.3 Податкового кодексу) грали визначальну роль у їхньому розвитку.</w:t>
      </w:r>
    </w:p>
    <w:p w14:paraId="6E1AF902"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Українське законодавство встановлює два види організованої торгівлі: біржі </w:t>
      </w:r>
      <w:r w:rsidR="00F966A5" w:rsidRPr="00F966A5">
        <w:rPr>
          <w:rFonts w:ascii="Arial" w:hAnsi="Arial" w:cs="Arial"/>
          <w:lang w:val="uk-UA"/>
        </w:rPr>
        <w:t xml:space="preserve">товарних контрактів </w:t>
      </w:r>
      <w:r w:rsidRPr="007E5633">
        <w:rPr>
          <w:rFonts w:ascii="Arial" w:hAnsi="Arial" w:cs="Arial"/>
          <w:lang w:val="uk-UA"/>
        </w:rPr>
        <w:t>та фондової біржі. Останні є актуальними, оскільки на них торгуються фінансові інструменти, в тому числі форварди. Крім того, лише закони та правила стосовно фондових бірж містять поняття інсайдерської інформації, інсайдерської торгівлі (Закон про цінні папери та фондові біржі, статті 40-45.), ринкової маніпуляції (Рішення НКЦПФР № 716 від 14 червня 2011 р. - лише стосовно цінних паперів.) тощо.</w:t>
      </w:r>
    </w:p>
    <w:p w14:paraId="1BCFA130"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Таким чином, спотові контракти теоретично можуть торгуватися на будь-якому типі бірж. Більш того, компанії, що контролюються державою, та їх дочірні компанії повинні продавати на товарній біржі видобутий ними СПГ, природний газовий конденсат і нафту на товарній біржі (Постанова КМУ № 570 від 16 жовтня 2014 року). Примітно, що, хоча газовий конденсат і сира нафта отримують стартові ціни на аукціонах на основі аналогічних операцій з імпортними </w:t>
      </w:r>
      <w:r w:rsidR="00F966A5" w:rsidRPr="00F966A5">
        <w:rPr>
          <w:rFonts w:ascii="Arial" w:hAnsi="Arial" w:cs="Arial"/>
          <w:lang w:val="uk-UA"/>
        </w:rPr>
        <w:t>товар</w:t>
      </w:r>
      <w:r w:rsidR="00F966A5">
        <w:rPr>
          <w:rFonts w:ascii="Arial" w:hAnsi="Arial" w:cs="Arial"/>
          <w:lang w:val="uk-UA"/>
        </w:rPr>
        <w:t>ами</w:t>
      </w:r>
      <w:r w:rsidRPr="007E5633">
        <w:rPr>
          <w:rFonts w:ascii="Arial" w:hAnsi="Arial" w:cs="Arial"/>
          <w:lang w:val="uk-UA"/>
        </w:rPr>
        <w:t>, початкова ціна на частину СПГ (до 4000 т на місяць) базується на субсидованій ціні природного газу в Україні (Постанова КМУ № 570 від 16 жовтня 2014 року, розділ 19, дев'ятий пункт) та покупці повинні мати ліцензію на операції з газом, тобто отримати дозвіл на початок роботи з підвищеною небезпекою, а також почати експлуатацію машин, механізмів, обладнання підвищеної небезпеки та одночасно продавати такий скраплений газ виключно для населення шляхом власних або орендованих об'єктів.</w:t>
      </w:r>
    </w:p>
    <w:p w14:paraId="076771CD"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Незважаючи на те, що Кодекс GTS дає можливість роботи торгової платформи по газу, він не визначає її як особливий майданчик.</w:t>
      </w:r>
    </w:p>
    <w:p w14:paraId="26858444" w14:textId="77777777" w:rsidR="000D248B" w:rsidRPr="007E5633" w:rsidRDefault="000D248B">
      <w:pPr>
        <w:suppressAutoHyphens w:val="0"/>
        <w:rPr>
          <w:rFonts w:ascii="Arial" w:hAnsi="Arial" w:cs="Arial"/>
          <w:b/>
          <w:lang w:val="uk-UA"/>
        </w:rPr>
      </w:pPr>
      <w:r w:rsidRPr="007E5633">
        <w:rPr>
          <w:rFonts w:ascii="Arial" w:hAnsi="Arial" w:cs="Arial"/>
          <w:b/>
          <w:lang w:val="uk-UA"/>
        </w:rPr>
        <w:br w:type="page"/>
      </w:r>
    </w:p>
    <w:p w14:paraId="6B2FE06B" w14:textId="77777777" w:rsidR="00F2582F" w:rsidRPr="007E5633" w:rsidRDefault="00F2582F" w:rsidP="00F2582F">
      <w:pPr>
        <w:spacing w:after="120"/>
        <w:jc w:val="both"/>
        <w:rPr>
          <w:rFonts w:ascii="Arial" w:hAnsi="Arial" w:cs="Arial"/>
          <w:b/>
          <w:lang w:val="uk-UA"/>
        </w:rPr>
      </w:pPr>
      <w:r w:rsidRPr="007E5633">
        <w:rPr>
          <w:rFonts w:ascii="Arial" w:hAnsi="Arial" w:cs="Arial"/>
          <w:b/>
          <w:lang w:val="uk-UA"/>
        </w:rPr>
        <w:lastRenderedPageBreak/>
        <w:t>a. Продукти газової торгівлі</w:t>
      </w:r>
    </w:p>
    <w:p w14:paraId="26C16029"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На фізичній стороні газового ринку можна виділити наступні продукти:</w:t>
      </w:r>
    </w:p>
    <w:p w14:paraId="6392BEF6" w14:textId="77777777" w:rsidR="00F2582F" w:rsidRPr="007E5633" w:rsidRDefault="00F966A5" w:rsidP="000D248B">
      <w:pPr>
        <w:pStyle w:val="a4"/>
        <w:numPr>
          <w:ilvl w:val="0"/>
          <w:numId w:val="65"/>
        </w:numPr>
        <w:spacing w:after="120"/>
        <w:jc w:val="both"/>
        <w:rPr>
          <w:rFonts w:ascii="Arial" w:hAnsi="Arial" w:cs="Arial"/>
          <w:lang w:val="uk-UA"/>
        </w:rPr>
      </w:pPr>
      <w:r>
        <w:rPr>
          <w:rFonts w:ascii="Arial" w:hAnsi="Arial" w:cs="Arial"/>
          <w:lang w:val="uk-UA"/>
        </w:rPr>
        <w:t>Товар</w:t>
      </w:r>
      <w:r w:rsidR="00F2582F" w:rsidRPr="007E5633">
        <w:rPr>
          <w:rFonts w:ascii="Arial" w:hAnsi="Arial" w:cs="Arial"/>
          <w:lang w:val="uk-UA"/>
        </w:rPr>
        <w:t xml:space="preserve"> природний газ, у тому числі СПГ (для постачання для споживачів) за всіма видами договорів;</w:t>
      </w:r>
    </w:p>
    <w:p w14:paraId="0FB4DACE" w14:textId="77777777" w:rsidR="00F2582F" w:rsidRPr="007E5633" w:rsidRDefault="00F2582F" w:rsidP="000D248B">
      <w:pPr>
        <w:pStyle w:val="a4"/>
        <w:numPr>
          <w:ilvl w:val="0"/>
          <w:numId w:val="65"/>
        </w:numPr>
        <w:spacing w:after="120"/>
        <w:jc w:val="both"/>
        <w:rPr>
          <w:rFonts w:ascii="Arial" w:hAnsi="Arial" w:cs="Arial"/>
          <w:lang w:val="uk-UA"/>
        </w:rPr>
      </w:pPr>
      <w:r w:rsidRPr="007E5633">
        <w:rPr>
          <w:rFonts w:ascii="Arial" w:hAnsi="Arial" w:cs="Arial"/>
          <w:lang w:val="uk-UA"/>
        </w:rPr>
        <w:t>паливо та балансування природного газу (що буде використовуватися TSO та DSO для потреб системи) - щомісячно;</w:t>
      </w:r>
    </w:p>
    <w:p w14:paraId="283AD8D8" w14:textId="77777777" w:rsidR="00F2582F" w:rsidRPr="007E5633" w:rsidRDefault="00F2582F" w:rsidP="000D248B">
      <w:pPr>
        <w:pStyle w:val="a4"/>
        <w:numPr>
          <w:ilvl w:val="0"/>
          <w:numId w:val="65"/>
        </w:numPr>
        <w:spacing w:after="120"/>
        <w:jc w:val="both"/>
        <w:rPr>
          <w:rFonts w:ascii="Arial" w:hAnsi="Arial" w:cs="Arial"/>
          <w:lang w:val="uk-UA"/>
        </w:rPr>
      </w:pPr>
      <w:r w:rsidRPr="007E5633">
        <w:rPr>
          <w:rFonts w:ascii="Arial" w:hAnsi="Arial" w:cs="Arial"/>
          <w:lang w:val="uk-UA"/>
        </w:rPr>
        <w:t>зріджений нафтовий газ (LPG);</w:t>
      </w:r>
    </w:p>
    <w:p w14:paraId="749D9F4C" w14:textId="77777777" w:rsidR="00F2582F" w:rsidRPr="007E5633" w:rsidRDefault="00F2582F" w:rsidP="000D248B">
      <w:pPr>
        <w:pStyle w:val="a4"/>
        <w:numPr>
          <w:ilvl w:val="0"/>
          <w:numId w:val="65"/>
        </w:numPr>
        <w:spacing w:after="120"/>
        <w:jc w:val="both"/>
        <w:rPr>
          <w:rFonts w:ascii="Arial" w:hAnsi="Arial" w:cs="Arial"/>
          <w:lang w:val="uk-UA"/>
        </w:rPr>
      </w:pPr>
      <w:r w:rsidRPr="007E5633">
        <w:rPr>
          <w:rFonts w:ascii="Arial" w:hAnsi="Arial" w:cs="Arial"/>
          <w:lang w:val="uk-UA"/>
        </w:rPr>
        <w:t>послуги з транспортування та розподілу (DSO, TSO);</w:t>
      </w:r>
    </w:p>
    <w:p w14:paraId="5DF515BA" w14:textId="77777777" w:rsidR="00F2582F" w:rsidRPr="007E5633" w:rsidRDefault="00F2582F" w:rsidP="000D248B">
      <w:pPr>
        <w:pStyle w:val="a4"/>
        <w:numPr>
          <w:ilvl w:val="0"/>
          <w:numId w:val="65"/>
        </w:numPr>
        <w:spacing w:after="120"/>
        <w:jc w:val="both"/>
        <w:rPr>
          <w:rFonts w:ascii="Arial" w:hAnsi="Arial" w:cs="Arial"/>
          <w:lang w:val="uk-UA"/>
        </w:rPr>
      </w:pPr>
      <w:r w:rsidRPr="007E5633">
        <w:rPr>
          <w:rFonts w:ascii="Arial" w:hAnsi="Arial" w:cs="Arial"/>
          <w:lang w:val="uk-UA"/>
        </w:rPr>
        <w:t>Послуги зберігання (СПГ, підземні сховища (ПСГ)).</w:t>
      </w:r>
    </w:p>
    <w:p w14:paraId="1E4F68CC" w14:textId="77777777" w:rsidR="00F2582F" w:rsidRPr="007E5633" w:rsidRDefault="00F2582F" w:rsidP="00F2582F">
      <w:pPr>
        <w:spacing w:after="120"/>
        <w:jc w:val="both"/>
        <w:rPr>
          <w:rFonts w:ascii="Arial" w:hAnsi="Arial" w:cs="Arial"/>
          <w:b/>
          <w:lang w:val="uk-UA"/>
        </w:rPr>
      </w:pPr>
      <w:r w:rsidRPr="007E5633">
        <w:rPr>
          <w:rFonts w:ascii="Arial" w:hAnsi="Arial" w:cs="Arial"/>
          <w:b/>
          <w:lang w:val="uk-UA"/>
        </w:rPr>
        <w:t>б. Продукти електроенергетичної торгівлі</w:t>
      </w:r>
    </w:p>
    <w:p w14:paraId="677426FC"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(Поточний закон про ринок електроенергії, прийнятий у 2017 році, передбачає запуск ринку на 1 липня 2019 року; однак, звіти про хід роботи показують, що регулювання та інституційна спроможність істотно відстають в деяких аспектах. Цей звіт базується на прогнозі, оскільки поточний ринок електроенергії детально не розглядається.)</w:t>
      </w:r>
    </w:p>
    <w:p w14:paraId="6E087952"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На фізичній стороні ринку електроенергії можна виділити наступні продукти:</w:t>
      </w:r>
    </w:p>
    <w:p w14:paraId="56232E95" w14:textId="77777777" w:rsidR="00F2582F" w:rsidRPr="007E5633" w:rsidRDefault="00F966A5" w:rsidP="000D248B">
      <w:pPr>
        <w:pStyle w:val="a4"/>
        <w:numPr>
          <w:ilvl w:val="0"/>
          <w:numId w:val="66"/>
        </w:numPr>
        <w:spacing w:after="120"/>
        <w:jc w:val="both"/>
        <w:rPr>
          <w:rFonts w:ascii="Arial" w:hAnsi="Arial" w:cs="Arial"/>
          <w:lang w:val="uk-UA"/>
        </w:rPr>
      </w:pPr>
      <w:r>
        <w:rPr>
          <w:rFonts w:ascii="Arial" w:hAnsi="Arial" w:cs="Arial"/>
          <w:lang w:val="uk-UA"/>
        </w:rPr>
        <w:t>Товар</w:t>
      </w:r>
      <w:r w:rsidR="00F2582F" w:rsidRPr="007E5633">
        <w:rPr>
          <w:rFonts w:ascii="Arial" w:hAnsi="Arial" w:cs="Arial"/>
          <w:lang w:val="uk-UA"/>
        </w:rPr>
        <w:t xml:space="preserve"> електроенергія (для доставки клієнтам) - довготермінові, на наступний день та внутрішньоденні (1-годинний інтервал);</w:t>
      </w:r>
    </w:p>
    <w:p w14:paraId="1EBEE445" w14:textId="77777777" w:rsidR="00F2582F" w:rsidRPr="007E5633" w:rsidRDefault="00F2582F" w:rsidP="000D248B">
      <w:pPr>
        <w:pStyle w:val="a4"/>
        <w:numPr>
          <w:ilvl w:val="0"/>
          <w:numId w:val="66"/>
        </w:numPr>
        <w:spacing w:after="120"/>
        <w:jc w:val="both"/>
        <w:rPr>
          <w:rFonts w:ascii="Arial" w:hAnsi="Arial" w:cs="Arial"/>
          <w:lang w:val="uk-UA"/>
        </w:rPr>
      </w:pPr>
      <w:r w:rsidRPr="007E5633">
        <w:rPr>
          <w:rFonts w:ascii="Arial" w:hAnsi="Arial" w:cs="Arial"/>
          <w:lang w:val="uk-UA"/>
        </w:rPr>
        <w:t>ринок балансування - внутрішньоденні (1-годинний інтервал);</w:t>
      </w:r>
    </w:p>
    <w:p w14:paraId="1C47F240" w14:textId="77777777" w:rsidR="00F2582F" w:rsidRPr="007E5633" w:rsidRDefault="00F2582F" w:rsidP="000D248B">
      <w:pPr>
        <w:pStyle w:val="a4"/>
        <w:numPr>
          <w:ilvl w:val="0"/>
          <w:numId w:val="66"/>
        </w:numPr>
        <w:spacing w:after="120"/>
        <w:jc w:val="both"/>
        <w:rPr>
          <w:rFonts w:ascii="Arial" w:hAnsi="Arial" w:cs="Arial"/>
          <w:lang w:val="uk-UA"/>
        </w:rPr>
      </w:pPr>
      <w:r w:rsidRPr="007E5633">
        <w:rPr>
          <w:rFonts w:ascii="Arial" w:hAnsi="Arial" w:cs="Arial"/>
          <w:lang w:val="uk-UA"/>
        </w:rPr>
        <w:t>допоміжні послуги (річний, щомісячний, щотижневий та щодня):</w:t>
      </w:r>
    </w:p>
    <w:p w14:paraId="0F254A29"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первинне Frequency Response and Regulation, автоматичне та ручне;</w:t>
      </w:r>
    </w:p>
    <w:p w14:paraId="249AB042"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вторинне FRR (Теплий / Гарячий Резерв), автоматичний та ручний;</w:t>
      </w:r>
    </w:p>
    <w:p w14:paraId="5D6891A4"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запасний резерв (третинне FRR);</w:t>
      </w:r>
    </w:p>
    <w:p w14:paraId="0FA82D3A"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регулювання напруги та реактивної потужності в режимі синхронної компенсації;</w:t>
      </w:r>
    </w:p>
    <w:p w14:paraId="41DBCC15"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потужність «чорного старту»;</w:t>
      </w:r>
    </w:p>
    <w:p w14:paraId="28311C72" w14:textId="77777777" w:rsidR="00F2582F" w:rsidRPr="007E5633" w:rsidRDefault="00F2582F" w:rsidP="000D248B">
      <w:pPr>
        <w:pStyle w:val="a4"/>
        <w:numPr>
          <w:ilvl w:val="0"/>
          <w:numId w:val="67"/>
        </w:numPr>
        <w:spacing w:after="120"/>
        <w:jc w:val="both"/>
        <w:rPr>
          <w:rFonts w:ascii="Arial" w:hAnsi="Arial" w:cs="Arial"/>
          <w:lang w:val="uk-UA"/>
        </w:rPr>
      </w:pPr>
      <w:r w:rsidRPr="007E5633">
        <w:rPr>
          <w:rFonts w:ascii="Arial" w:hAnsi="Arial" w:cs="Arial"/>
          <w:lang w:val="uk-UA"/>
        </w:rPr>
        <w:t>Потужність переорієнтації попиту з пікових на непікові проміжки (Demand Response Capacity).</w:t>
      </w:r>
    </w:p>
    <w:p w14:paraId="7F1CFA95"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Здається, що регулювання допоміжних послуг може бути надто деталізованим та негнучким, щоб відповідати реальним потребам інтегрованої системи та TSO.</w:t>
      </w:r>
    </w:p>
    <w:p w14:paraId="15C616AD" w14:textId="77777777" w:rsidR="00F2582F" w:rsidRPr="007E5633" w:rsidRDefault="00F61E5D" w:rsidP="00F2582F">
      <w:pPr>
        <w:spacing w:after="120"/>
        <w:jc w:val="both"/>
        <w:rPr>
          <w:rFonts w:ascii="Arial" w:hAnsi="Arial" w:cs="Arial"/>
          <w:b/>
          <w:lang w:val="uk-UA"/>
        </w:rPr>
      </w:pPr>
      <w:r>
        <w:rPr>
          <w:rFonts w:ascii="Arial" w:hAnsi="Arial" w:cs="Arial"/>
          <w:b/>
          <w:lang w:val="uk-UA"/>
        </w:rPr>
        <w:t>в</w:t>
      </w:r>
      <w:r w:rsidR="00F2582F" w:rsidRPr="007E5633">
        <w:rPr>
          <w:rFonts w:ascii="Arial" w:hAnsi="Arial" w:cs="Arial"/>
          <w:b/>
          <w:lang w:val="uk-UA"/>
        </w:rPr>
        <w:t xml:space="preserve"> Торгова платформа згідно Кодексу GTS</w:t>
      </w:r>
    </w:p>
    <w:p w14:paraId="6B6097BA"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Правила торгової платформи газу (GTP) встановлюються адміністраторами такої платформи; Адміністратори та оператори GTP повинні бути одніми й тими ж. TSO та GTP повинні укласти угоду про співпрацю щодо обміну інформацією, TSO має право придбати на платформі короткострокові стандартні продукти (Кодекс ГТС, розділ XIV, глава 4.). GTP повинен надати рівний доступ учасникам ринку, забезпечити анонімність торгівлі (але може містити систему ідентифікації контрактів, якщо це необхідно), розподіл детальних пропозицій всім учасникам.</w:t>
      </w:r>
    </w:p>
    <w:p w14:paraId="73A9B334"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TSO повинен відправити GTP проект угоди про взаємодію протягом 10 днів з моменту запиту; за такою угодою TSO зобов'язаний негайно повідомити оператора GTP, що будь-який споживач транспортної послуги втратив своє право надавати повідомлення про торгівлю (сповіщення) на зміну права власності. Такий клієнт буде відсторонений від торгів на GTP. У той же час, TSO, у випадку, якщо фінансова безпека падає нижче </w:t>
      </w:r>
      <w:r w:rsidRPr="007E5633">
        <w:rPr>
          <w:rFonts w:ascii="Arial" w:hAnsi="Arial" w:cs="Arial"/>
          <w:lang w:val="uk-UA"/>
        </w:rPr>
        <w:lastRenderedPageBreak/>
        <w:t>нормативного порогу, скорочує номінації щодо перевезень відправника протягом 3 днів або, у випадку з хімічними та сталевими компаніями-клієнтами, протягом 5 днів. TSO негайно інформує DSO про вищезгадані випадки.</w:t>
      </w:r>
    </w:p>
    <w:p w14:paraId="504CBCD0" w14:textId="77777777" w:rsidR="00F2582F" w:rsidRPr="007E5633" w:rsidRDefault="00F61E5D" w:rsidP="00F2582F">
      <w:pPr>
        <w:spacing w:after="120"/>
        <w:jc w:val="both"/>
        <w:rPr>
          <w:rFonts w:ascii="Arial" w:hAnsi="Arial" w:cs="Arial"/>
          <w:b/>
          <w:lang w:val="uk-UA"/>
        </w:rPr>
      </w:pPr>
      <w:r>
        <w:rPr>
          <w:rFonts w:ascii="Arial" w:hAnsi="Arial" w:cs="Arial"/>
          <w:b/>
          <w:lang w:val="uk-UA"/>
        </w:rPr>
        <w:t>г</w:t>
      </w:r>
      <w:r w:rsidR="00F2582F" w:rsidRPr="007E5633">
        <w:rPr>
          <w:rFonts w:ascii="Arial" w:hAnsi="Arial" w:cs="Arial"/>
          <w:b/>
          <w:lang w:val="uk-UA"/>
        </w:rPr>
        <w:t>. Закупівля газобалансування (Prozorro)</w:t>
      </w:r>
    </w:p>
    <w:p w14:paraId="2AF45932"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TSO може купувати послуги з балансування через прямі закупівлі, якщо короткострокові стандартні продукти не можуть задовольнити потреби TS або якщо ліквідність недоступна. У такому випадку TSO повинна враховувати швидкість, функціональні обмеження TS, переваги у порівнянні зі стандартними продуктами, вплив на ліквідність ринку природного газу. TSO повинен оцінити використання стандартних продуктів та послуг з балансування.</w:t>
      </w:r>
    </w:p>
    <w:p w14:paraId="7B0EA0A3"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Прямі закупівлі TSO повинні відповідати законам та нормам державних закупівель і не повинні виключати торгівлю TSO короткотерміновими стандартними продуктами на оптовому ринку. Прямий контракт з TSO не може перевищувати одного року (але НКРЕКП може надати виключення). TSO має оприлюднювати витрати на балансування послуг щорічно (протягом 2 місяців після звітного року).</w:t>
      </w:r>
    </w:p>
    <w:p w14:paraId="7B35865F"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Проте необхідно розробити чіткий договір про балансування послуг для вирішення проблем, пов'язаних із дисбалансом PSO.</w:t>
      </w:r>
    </w:p>
    <w:p w14:paraId="4F70DFC6" w14:textId="77777777" w:rsidR="00F2582F" w:rsidRPr="007E5633" w:rsidRDefault="00F61E5D" w:rsidP="00F2582F">
      <w:pPr>
        <w:spacing w:after="120"/>
        <w:jc w:val="both"/>
        <w:rPr>
          <w:rFonts w:ascii="Arial" w:hAnsi="Arial" w:cs="Arial"/>
          <w:b/>
          <w:lang w:val="uk-UA"/>
        </w:rPr>
      </w:pPr>
      <w:r>
        <w:rPr>
          <w:rFonts w:ascii="Arial" w:hAnsi="Arial" w:cs="Arial"/>
          <w:b/>
          <w:lang w:val="uk-UA"/>
        </w:rPr>
        <w:t>д</w:t>
      </w:r>
      <w:r w:rsidR="00F2582F" w:rsidRPr="007E5633">
        <w:rPr>
          <w:rFonts w:ascii="Arial" w:hAnsi="Arial" w:cs="Arial"/>
          <w:b/>
          <w:lang w:val="uk-UA"/>
        </w:rPr>
        <w:t xml:space="preserve"> Платформи для торгівлі електроенергією</w:t>
      </w:r>
    </w:p>
    <w:p w14:paraId="3845931C"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Закон передбачає два програмно-апаратних комплекси: (i) система управління ринками (за допомогою TSO), яка передбачає, зокрема, реєстрацію позабіржових операцій, угоди на ринку балансування, клірингові та дисбалансові розрахунки, а також аукціони допоміжного ринку (включаючи резерви); і (ii) ринкові системи DA та ID, надані Оператором ринку.</w:t>
      </w:r>
    </w:p>
    <w:p w14:paraId="60296D64"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Закон встановлює позабіржові операції як базову модель для функціонування ринку. Генеруючі компанії, що контролюються державою, та їх дочірні компанії повинні аукціонувати свою електроенергію на позабіржовому ринку відповідно до постанов, які будуть прийняті КМУ (Закон про ринок електроенергії, стаття 66.).</w:t>
      </w:r>
    </w:p>
    <w:p w14:paraId="30567576"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Усі двосторонні контракти повинні бути зареєстровані на платформі TSO до 10:00 ранку на D-1 для забезпечення диспетчеризації; ціна не вказується. Максимальний строк двосторонньої угоди, встановлений НКРЕКП, не може бути менше 6 місяців (Закон про ринок електроенергії, стаття 66; Правила ринку електроенергії, глава 2.2.).</w:t>
      </w:r>
    </w:p>
    <w:p w14:paraId="7FE50B6D"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На аукціонній платформі для закупівлі допоміжних послуг та на ринковій платформі потреб балансування, TSO також стає покупцем по всіх обраних тендерах (центральний контрагент). TSO також виступає адміністратором розрахунків та адміністратором комерційного обліку (згідно лічильників).</w:t>
      </w:r>
    </w:p>
    <w:p w14:paraId="10F45374"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TSO також може закуповувати послуги з розвитку генеруючих потужностей, якщо ринок не відповідає попиту (Закон про ринок електроенергії, стаття 29). Такі закупівлі будуть здійснюватися за рішенням КМУ, і, на наш погляд, така послуга повинна надаватися на допоміжній основі у відповідності до ринкової пропозиції, включаючи імпортні можливості.</w:t>
      </w:r>
    </w:p>
    <w:p w14:paraId="0832508D"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Оператор ринку керує платформою для ринку DA та ID; до 10:00 ранку на D-1, TSO інформує учасників про обсяги, наявні для DA по кожному учаснику; DA закривається до 14:00 EET D-1 та до 14:00 Оператор ринку повинен повідомити TSO та учасників ринку та TSO про обсяги, що обертаються, для формування графіку відправки. Залишки потужностей можуть продаватися на ринках ID. На наш погляд, торгові періоди на ринку (погодинно – на ID та балансуванні, щоденні – по допоміжним послугам та резервам) занадто довгі, щоб відобразити ціноутворення та залучити ліквідність (Схема </w:t>
      </w:r>
      <w:r w:rsidRPr="007E5633">
        <w:rPr>
          <w:rFonts w:ascii="Arial" w:hAnsi="Arial" w:cs="Arial"/>
          <w:lang w:val="uk-UA"/>
        </w:rPr>
        <w:lastRenderedPageBreak/>
        <w:t>гарантованого покупця (guaranteed buyer scheme) для RES не розглядається, оскільки вона продовжуватиме використовувати feed-in tariff (оплата домашнім господарствам або підприємствам, що виробляють власну електроенергію за допомогою методів, які не сприяють вичерпанню природних ресурсів, пропорційно кількості виробленої електроенергії) до 2030 року.). Оператор ринку також забезпечить фінансове врегулювання укладених операцій по DAM та IDM на основі фінансової (готівкової) застави, розміщеної учасниками ринку.</w:t>
      </w:r>
    </w:p>
    <w:p w14:paraId="0D48E8AC"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Фінансові гарантії для позабіржових операцій не регулюються. Щомісячні витрати на фінансові гарантії дисбалансу не можуть разом перевищувати 20 млн. грн. (Досить невелика сума) (Правила ринку електроенергії, розділ 5.28.2). Гарантії повинні бути надані принаймні за 2 дні до торгового дня та залишатись діючими принаймні до D + 3 робочих днів. З іншого боку, сума гарантій для TSO повинна покривати всі ризики, пов'язані з дисбалансом, і може бути зменшена до 80-60% -40% від базової суми, якщо балансова група не мала дисбалансу протягом останніх 60-120 -180 днів. КМУ може вибрати банки, які мають право проведення клірингу і розрахунків по транзакціях з електроенергії (Правила ринку електроенергії, розділ 1.10.5.).</w:t>
      </w:r>
    </w:p>
    <w:p w14:paraId="4112D1D8" w14:textId="77777777" w:rsidR="00F2582F" w:rsidRPr="007E5633" w:rsidRDefault="00F61E5D" w:rsidP="00F2582F">
      <w:pPr>
        <w:spacing w:after="120"/>
        <w:jc w:val="both"/>
        <w:rPr>
          <w:rFonts w:ascii="Arial" w:hAnsi="Arial" w:cs="Arial"/>
          <w:b/>
          <w:lang w:val="uk-UA"/>
        </w:rPr>
      </w:pPr>
      <w:r>
        <w:rPr>
          <w:rFonts w:ascii="Arial" w:hAnsi="Arial" w:cs="Arial"/>
          <w:b/>
          <w:lang w:val="uk-UA"/>
        </w:rPr>
        <w:t>е</w:t>
      </w:r>
      <w:r w:rsidR="00F2582F" w:rsidRPr="007E5633">
        <w:rPr>
          <w:rFonts w:ascii="Arial" w:hAnsi="Arial" w:cs="Arial"/>
          <w:b/>
          <w:lang w:val="uk-UA"/>
        </w:rPr>
        <w:t xml:space="preserve"> Спеціальні розрахунки</w:t>
      </w:r>
    </w:p>
    <w:p w14:paraId="0A0930A0"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Парламент України прийняв спеціальний закон, що забезпечує стабільн</w:t>
      </w:r>
      <w:r w:rsidR="00F61E5D">
        <w:rPr>
          <w:rFonts w:ascii="Arial" w:hAnsi="Arial" w:cs="Arial"/>
          <w:lang w:val="uk-UA"/>
        </w:rPr>
        <w:t>у роботу енергетичного сектору. В</w:t>
      </w:r>
      <w:r w:rsidRPr="007E5633">
        <w:rPr>
          <w:rFonts w:ascii="Arial" w:hAnsi="Arial" w:cs="Arial"/>
          <w:lang w:val="uk-UA"/>
        </w:rPr>
        <w:t>ін передбачає спеціальний реєстр компаній, що мають заборгованості, спеціальний розрахунковий відділ на базі оператора оптового ринку електричної енергії, додаткові можливості для компенсації та неттінгу тощо (Закон № 2711-IV від 23 червня 2005 р., Там само. Розділ 3.7.). Політика спеціальних розрахунків встановлює спеціальні правила для учасників спеціального реєстру (теплопостачальних підприємств, вугільних підприємств тощо) по відношенню до інших учасників ринку: боржники в реєстрі не можуть бути предметом банкрутства, не можуть підпадати під судове виконання, не можуть позбавлятися основних засобів. Крім того, якщо такими учасниками ринку є компанії, контрольовані державою (урядом України), вони користуються мораторієм на банкрутство та позбавлення основних засобів. Серед усіх продавців газу та електроенергії лише "Нафтогаз України" може у деяких випадках подолати мораторій і забирати свою дебіторську заборгованість за газ, але мораторій все ще застосовується там, де боржник є теплопостачальною компанією або стратегічно важливою компанією, яка не може бути приватизована.</w:t>
      </w:r>
    </w:p>
    <w:p w14:paraId="1D9B25D8"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До середини 2017 року також були промислові споживачі, які мають критичний вплив на навколишнє середовище, які повинні були забезпечуватися мінімальною кількістю електроенергії, незалежно від того, чи платять такі клієнти за надану електроенергію. Погашення кредиторської заборгованості таких постачальників повинно було покриватися з державних коштів - державного та місцевих бюджетів (Закон про електроенергетику № 575/97 від 16 жовтня 1997 року, стаття 20.), однак такі витрати були важко планувати і вони рідко сплачувались - отже, деякі поточні заборгованості з виплат на ринку в Україні можна пояснити такою практикою.</w:t>
      </w:r>
    </w:p>
    <w:p w14:paraId="6407A064" w14:textId="77777777" w:rsidR="00F2582F" w:rsidRPr="007E5633" w:rsidRDefault="00F61E5D" w:rsidP="00F2582F">
      <w:pPr>
        <w:spacing w:after="120"/>
        <w:jc w:val="both"/>
        <w:rPr>
          <w:rFonts w:ascii="Arial" w:hAnsi="Arial" w:cs="Arial"/>
          <w:b/>
          <w:lang w:val="uk-UA"/>
        </w:rPr>
      </w:pPr>
      <w:r>
        <w:rPr>
          <w:rFonts w:ascii="Arial" w:hAnsi="Arial" w:cs="Arial"/>
          <w:b/>
          <w:lang w:val="uk-UA"/>
        </w:rPr>
        <w:t xml:space="preserve">є </w:t>
      </w:r>
      <w:r w:rsidR="00F2582F" w:rsidRPr="007E5633">
        <w:rPr>
          <w:rFonts w:ascii="Arial" w:hAnsi="Arial" w:cs="Arial"/>
          <w:b/>
          <w:lang w:val="uk-UA"/>
        </w:rPr>
        <w:t>CO2</w:t>
      </w:r>
    </w:p>
    <w:p w14:paraId="13A0FCC4" w14:textId="77777777" w:rsidR="00F2582F" w:rsidRPr="007E5633" w:rsidRDefault="00F2582F" w:rsidP="00F2582F">
      <w:pPr>
        <w:spacing w:after="120" w:line="240" w:lineRule="auto"/>
        <w:jc w:val="both"/>
        <w:rPr>
          <w:rFonts w:ascii="Arial" w:hAnsi="Arial" w:cs="Arial"/>
          <w:highlight w:val="yellow"/>
          <w:lang w:val="uk-UA"/>
        </w:rPr>
      </w:pPr>
      <w:r w:rsidRPr="007E5633">
        <w:rPr>
          <w:rFonts w:ascii="Arial" w:hAnsi="Arial" w:cs="Arial"/>
          <w:lang w:val="uk-UA"/>
        </w:rPr>
        <w:t>Україна не має регуляторної системи для позабіржової торгівлі або організованої торгівлі дозволами на викиди.</w:t>
      </w:r>
    </w:p>
    <w:p w14:paraId="220D95EA" w14:textId="77777777" w:rsidR="00672962" w:rsidRPr="007E5633" w:rsidRDefault="00F2582F"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59" w:name="_Toc533093963"/>
      <w:bookmarkStart w:id="160" w:name="_Toc526775058"/>
      <w:r w:rsidRPr="007E5633">
        <w:rPr>
          <w:rFonts w:ascii="Arial" w:hAnsi="Arial" w:cs="Arial"/>
          <w:sz w:val="26"/>
          <w:szCs w:val="26"/>
          <w:lang w:val="uk-UA"/>
        </w:rPr>
        <w:t>Аналіз системи ліцензування для торгових майданчиків</w:t>
      </w:r>
      <w:bookmarkEnd w:id="159"/>
      <w:r w:rsidRPr="007E5633">
        <w:rPr>
          <w:rFonts w:ascii="Arial" w:hAnsi="Arial" w:cs="Arial"/>
          <w:sz w:val="26"/>
          <w:szCs w:val="26"/>
          <w:lang w:val="uk-UA"/>
        </w:rPr>
        <w:t xml:space="preserve"> </w:t>
      </w:r>
      <w:bookmarkEnd w:id="160"/>
    </w:p>
    <w:p w14:paraId="7E3CFA03" w14:textId="77777777" w:rsidR="00F2582F" w:rsidRPr="007E5633" w:rsidRDefault="00F2582F" w:rsidP="00F2582F">
      <w:pPr>
        <w:spacing w:after="120"/>
        <w:jc w:val="both"/>
        <w:rPr>
          <w:rFonts w:ascii="Arial" w:hAnsi="Arial" w:cs="Arial"/>
          <w:b/>
          <w:lang w:val="uk-UA"/>
        </w:rPr>
      </w:pPr>
      <w:r w:rsidRPr="007E5633">
        <w:rPr>
          <w:rFonts w:ascii="Arial" w:hAnsi="Arial" w:cs="Arial"/>
          <w:b/>
          <w:lang w:val="uk-UA"/>
        </w:rPr>
        <w:t xml:space="preserve">a Біржа </w:t>
      </w:r>
      <w:r w:rsidR="00F966A5" w:rsidRPr="00F966A5">
        <w:rPr>
          <w:rFonts w:ascii="Arial" w:hAnsi="Arial" w:cs="Arial"/>
          <w:b/>
          <w:lang w:val="uk-UA"/>
        </w:rPr>
        <w:t>товарних контрактів</w:t>
      </w:r>
    </w:p>
    <w:p w14:paraId="0450344A" w14:textId="77777777" w:rsidR="00F2582F" w:rsidRPr="007E5633" w:rsidRDefault="00F966A5" w:rsidP="00F2582F">
      <w:pPr>
        <w:spacing w:after="120"/>
        <w:jc w:val="both"/>
        <w:rPr>
          <w:rFonts w:ascii="Arial" w:hAnsi="Arial" w:cs="Arial"/>
          <w:lang w:val="uk-UA"/>
        </w:rPr>
      </w:pPr>
      <w:r>
        <w:rPr>
          <w:rFonts w:ascii="Arial" w:hAnsi="Arial" w:cs="Arial"/>
          <w:lang w:val="uk-UA"/>
        </w:rPr>
        <w:t>Б</w:t>
      </w:r>
      <w:r w:rsidR="00F2582F" w:rsidRPr="007E5633">
        <w:rPr>
          <w:rFonts w:ascii="Arial" w:hAnsi="Arial" w:cs="Arial"/>
          <w:lang w:val="uk-UA"/>
        </w:rPr>
        <w:t xml:space="preserve">іржі </w:t>
      </w:r>
      <w:r w:rsidRPr="00F966A5">
        <w:rPr>
          <w:rFonts w:ascii="Arial" w:hAnsi="Arial" w:cs="Arial"/>
          <w:lang w:val="uk-UA"/>
        </w:rPr>
        <w:t xml:space="preserve">товарних контрактів </w:t>
      </w:r>
      <w:r w:rsidR="00F2582F" w:rsidRPr="007E5633">
        <w:rPr>
          <w:rFonts w:ascii="Arial" w:hAnsi="Arial" w:cs="Arial"/>
          <w:lang w:val="uk-UA"/>
        </w:rPr>
        <w:t xml:space="preserve">є саморегулівними суб'єктами у спеціальній формі неприбуткових організацій. Незважаючи на те, що вже в 1991 році був прийнятий спеціальний закон про товарні біржі, їх фінансова інфраструктура та правила торгівлі не </w:t>
      </w:r>
      <w:r w:rsidR="00F2582F" w:rsidRPr="007E5633">
        <w:rPr>
          <w:rFonts w:ascii="Arial" w:hAnsi="Arial" w:cs="Arial"/>
          <w:lang w:val="uk-UA"/>
        </w:rPr>
        <w:lastRenderedPageBreak/>
        <w:t xml:space="preserve">були належним чином визначені в законах чи нормативних актах; вони повинні створити свої власні підзаконні акти та правила для роботи. Закон перш за все визначає корпоративні аспекти біржі і охоплює лише деякі договірні аспекти (такі як визначення критеріїв для </w:t>
      </w:r>
      <w:r w:rsidRPr="00F966A5">
        <w:rPr>
          <w:rFonts w:ascii="Arial" w:hAnsi="Arial" w:cs="Arial"/>
          <w:lang w:val="uk-UA"/>
        </w:rPr>
        <w:t>товарних контрактів</w:t>
      </w:r>
      <w:r w:rsidR="00F2582F" w:rsidRPr="007E5633">
        <w:rPr>
          <w:rFonts w:ascii="Arial" w:hAnsi="Arial" w:cs="Arial"/>
          <w:lang w:val="uk-UA"/>
        </w:rPr>
        <w:t xml:space="preserve">, звільнення від нотаріального посвідчення угоди та інше). Важливо, що </w:t>
      </w:r>
      <w:r w:rsidRPr="007E5633">
        <w:rPr>
          <w:rFonts w:ascii="Arial" w:hAnsi="Arial" w:cs="Arial"/>
          <w:lang w:val="uk-UA"/>
        </w:rPr>
        <w:t xml:space="preserve">біржа </w:t>
      </w:r>
      <w:r w:rsidRPr="00F966A5">
        <w:rPr>
          <w:rFonts w:ascii="Arial" w:hAnsi="Arial" w:cs="Arial"/>
          <w:lang w:val="uk-UA"/>
        </w:rPr>
        <w:t xml:space="preserve">товарних контрактів </w:t>
      </w:r>
      <w:r w:rsidR="00F2582F" w:rsidRPr="007E5633">
        <w:rPr>
          <w:rFonts w:ascii="Arial" w:hAnsi="Arial" w:cs="Arial"/>
          <w:lang w:val="uk-UA"/>
        </w:rPr>
        <w:t>не може бути "</w:t>
      </w:r>
      <w:r>
        <w:rPr>
          <w:rFonts w:ascii="Arial" w:hAnsi="Arial" w:cs="Arial"/>
          <w:lang w:val="uk-UA"/>
        </w:rPr>
        <w:t>не</w:t>
      </w:r>
      <w:r w:rsidR="00F2582F" w:rsidRPr="007E5633">
        <w:rPr>
          <w:rFonts w:ascii="Arial" w:hAnsi="Arial" w:cs="Arial"/>
          <w:lang w:val="uk-UA"/>
        </w:rPr>
        <w:t xml:space="preserve">комерційним посередником" (Закон про товарні біржі, ст. 1 абз. 3.). Можливо, це положення виключає комерційне посередництво з торговельними системами центральних контрагентів і, фактично, зводить такі біржі до платформ обміну даними та / або розрахункових агентів. У базовому сценарії біржі </w:t>
      </w:r>
      <w:r w:rsidRPr="00F966A5">
        <w:rPr>
          <w:rFonts w:ascii="Arial" w:hAnsi="Arial" w:cs="Arial"/>
          <w:lang w:val="uk-UA"/>
        </w:rPr>
        <w:t xml:space="preserve">товарних контрактів </w:t>
      </w:r>
      <w:r w:rsidR="00F2582F" w:rsidRPr="007E5633">
        <w:rPr>
          <w:rFonts w:ascii="Arial" w:hAnsi="Arial" w:cs="Arial"/>
          <w:lang w:val="uk-UA"/>
        </w:rPr>
        <w:t>працюватимуть як контрактний дім (місце реєстрації для двох або більше сторін, які хочуть укласти угоду).</w:t>
      </w:r>
    </w:p>
    <w:p w14:paraId="13F29D47" w14:textId="77777777" w:rsidR="00F2582F" w:rsidRPr="007E5633" w:rsidRDefault="00F966A5" w:rsidP="00F2582F">
      <w:pPr>
        <w:spacing w:after="120"/>
        <w:jc w:val="both"/>
        <w:rPr>
          <w:rFonts w:ascii="Arial" w:hAnsi="Arial" w:cs="Arial"/>
          <w:lang w:val="uk-UA"/>
        </w:rPr>
      </w:pPr>
      <w:r>
        <w:rPr>
          <w:rFonts w:ascii="Arial" w:hAnsi="Arial" w:cs="Arial"/>
          <w:lang w:val="uk-UA"/>
        </w:rPr>
        <w:t>Б</w:t>
      </w:r>
      <w:r w:rsidR="00F2582F" w:rsidRPr="007E5633">
        <w:rPr>
          <w:rFonts w:ascii="Arial" w:hAnsi="Arial" w:cs="Arial"/>
          <w:lang w:val="uk-UA"/>
        </w:rPr>
        <w:t xml:space="preserve">іржа </w:t>
      </w:r>
      <w:r w:rsidRPr="00F966A5">
        <w:rPr>
          <w:rFonts w:ascii="Arial" w:hAnsi="Arial" w:cs="Arial"/>
          <w:lang w:val="uk-UA"/>
        </w:rPr>
        <w:t xml:space="preserve">товарних контрактів </w:t>
      </w:r>
      <w:r w:rsidR="00F2582F" w:rsidRPr="007E5633">
        <w:rPr>
          <w:rFonts w:ascii="Arial" w:hAnsi="Arial" w:cs="Arial"/>
          <w:lang w:val="uk-UA"/>
        </w:rPr>
        <w:t>не повинна розкривати імена сторін угоди та іншу інформацію про зареєстрований контракт, крім назви товару, кількості, ціни, місця та терміну. Досить розпливчасто визначається виключення з правила конфіденційності задля забезпечення інформацією судової влади та правоохоронних органів.</w:t>
      </w:r>
    </w:p>
    <w:p w14:paraId="5D886E94" w14:textId="77777777" w:rsidR="00F2582F" w:rsidRPr="007E5633" w:rsidRDefault="00F2582F" w:rsidP="00F2582F">
      <w:pPr>
        <w:spacing w:after="120"/>
        <w:jc w:val="both"/>
        <w:rPr>
          <w:rFonts w:ascii="Arial" w:hAnsi="Arial" w:cs="Arial"/>
          <w:b/>
          <w:lang w:val="uk-UA"/>
        </w:rPr>
      </w:pPr>
      <w:r w:rsidRPr="007E5633">
        <w:rPr>
          <w:rFonts w:ascii="Arial" w:hAnsi="Arial" w:cs="Arial"/>
          <w:b/>
          <w:lang w:val="uk-UA"/>
        </w:rPr>
        <w:t>б Фондова біржа</w:t>
      </w:r>
    </w:p>
    <w:p w14:paraId="56071009"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Закон про фондову біржу було оновлено у 2012 році. Він визначає організовану торгівлю на фондовому ринку як складну діяльність фондових бірж з погляду не лише на цінні папери, а й на інші фінансові інструменти. Іншими словами, форвардний контракт є інструментом, який торгується на фондовій біржі. Фондова біржа повинна бути створена у формі неприбуткової акціонерної компанії з мінімальним статутним капіталом 15 мільйонів гривень, вона може, але не повинна включати центрального контрагента, систему клірингу та розрахунків. Якщо біржа має клірингову систему (кожна біржа може мати лише одну клірингову систему / компанію), то її статутний капітал має становити щонайменше 25 мільйонів гривень.</w:t>
      </w:r>
    </w:p>
    <w:p w14:paraId="67FF152A"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Фондова біржа не може поєднувати свою торгівельну діяльність (забезпечення заставами та кліринг) з будь-якою іншою професійною діяльністю на фондовому ринку. НКЦПФР є регуляторним та наглядовим органом над фондовими біржами. НКЦПФР видає ліцензію на роботу на фондовій біржі принаймні 20 членам. Якщо членство в фондовій біржі падає нижче 20 членів, її діяльність припиняється і впродовж шести місяців зупиняється зовсім. SE повинна дотримуватися вимог до угод про розрахунки, встановлених NSSMC (Рішення НУЦПФР № 1527 від 20 серпня 2013 року.), правила торгівлі фондової біржі повинні бути зареєстровані регулюючим органом (Закон про цінні папери та фондові біржі, стаття 24.).</w:t>
      </w:r>
    </w:p>
    <w:p w14:paraId="3FDBDBAD"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Цей закон описує кілька форм фінансової забезпеченості (застави), а також можливість створення гарантійного фонду для зменшення ризиків організованої торгівлі на фондовій біржі (Закон про цінні папери та фондові біржі, ст. 19-4, розділ 2). Закон делегував повноваження регулювати НКЦПФР та Національному банку України (НБУ), які не розробили жодного положення стосовно такого гарантійного фонду та фінансового забезпечення. НКЦПФР прийняла рішення про умови гарантійного фонду в кліринговій організації, а НБУ не розробив спеціальних правил для клірингу. Незважаючи на те, що фінансове забезпечення зараз передбачено законом, банківські установи не наважуються здійснювати кліринг, оскільки нормативна база НБУ не змінилася.</w:t>
      </w:r>
    </w:p>
    <w:p w14:paraId="70875981"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 xml:space="preserve">Інші ліцензійні умови для фондових бірж (Рішення НКЦПФР № 818 від 14 травня 2013 року) включають: належну ділову репутацію керівництва, директорів та акціонерів (а також їх пов'язаних осіб та партнерів, вимоги до технології, неконсолідовану (максимум 5% акцій) структуру акціонерів, незалежність, професійну кваліфікацію та чесність (Рішення НКЦПФР № 64 від 22 січня 2013 року), дотримання пруденційних правил та коефіцієнтів (Рішення НКЦПФР № 1597 від 01 жовтня 2015 року), придбання відповідної </w:t>
      </w:r>
      <w:r w:rsidRPr="007E5633">
        <w:rPr>
          <w:rFonts w:ascii="Arial" w:hAnsi="Arial" w:cs="Arial"/>
          <w:lang w:val="uk-UA"/>
        </w:rPr>
        <w:lastRenderedPageBreak/>
        <w:t>програмної та технічної бази для автоматизації торгівлі, створення підрозділів для клірингу фінансових інструментів тощо; НКЦПФР розглядає заявку на отримання ліцензії протягом 3 місяців (6 місяців, якщо заявка стосується юридичної особи-нерезидента).</w:t>
      </w:r>
    </w:p>
    <w:p w14:paraId="1381AC04" w14:textId="77777777" w:rsidR="00F2582F" w:rsidRPr="007E5633" w:rsidRDefault="00F2582F" w:rsidP="00F2582F">
      <w:pPr>
        <w:spacing w:after="120"/>
        <w:jc w:val="both"/>
        <w:rPr>
          <w:rFonts w:ascii="Arial" w:hAnsi="Arial" w:cs="Arial"/>
          <w:lang w:val="uk-UA"/>
        </w:rPr>
      </w:pPr>
      <w:r w:rsidRPr="007E5633">
        <w:rPr>
          <w:rFonts w:ascii="Arial" w:hAnsi="Arial" w:cs="Arial"/>
          <w:lang w:val="uk-UA"/>
        </w:rPr>
        <w:t>Фондова біржа повинна подати список керівників та директорів (і всіх постійних комісій, комісій, рад тощо) регуляторові не пізніше</w:t>
      </w:r>
      <w:r w:rsidR="00F759F3">
        <w:rPr>
          <w:rFonts w:ascii="Arial" w:hAnsi="Arial" w:cs="Arial"/>
          <w:lang w:val="uk-UA"/>
        </w:rPr>
        <w:t>,</w:t>
      </w:r>
      <w:r w:rsidRPr="007E5633">
        <w:rPr>
          <w:rFonts w:ascii="Arial" w:hAnsi="Arial" w:cs="Arial"/>
          <w:lang w:val="uk-UA"/>
        </w:rPr>
        <w:t xml:space="preserve"> ніж через 45 днів після отримання ліцензії.</w:t>
      </w:r>
    </w:p>
    <w:p w14:paraId="70B0DC8F" w14:textId="77777777" w:rsidR="00F2582F" w:rsidRPr="007E5633" w:rsidRDefault="00F61E5D" w:rsidP="00F2582F">
      <w:pPr>
        <w:spacing w:after="120"/>
        <w:jc w:val="both"/>
        <w:rPr>
          <w:rFonts w:ascii="Arial" w:hAnsi="Arial" w:cs="Arial"/>
          <w:b/>
          <w:lang w:val="uk-UA"/>
        </w:rPr>
      </w:pPr>
      <w:r>
        <w:rPr>
          <w:rFonts w:ascii="Arial" w:hAnsi="Arial" w:cs="Arial"/>
          <w:b/>
          <w:lang w:val="uk-UA"/>
        </w:rPr>
        <w:t xml:space="preserve">в  </w:t>
      </w:r>
      <w:r w:rsidR="00F2582F" w:rsidRPr="007E5633">
        <w:rPr>
          <w:rFonts w:ascii="Arial" w:hAnsi="Arial" w:cs="Arial"/>
          <w:b/>
          <w:lang w:val="uk-UA"/>
        </w:rPr>
        <w:t xml:space="preserve"> Платформи енергетичного ринку</w:t>
      </w:r>
    </w:p>
    <w:p w14:paraId="4C0A4240" w14:textId="77777777" w:rsidR="00F2582F" w:rsidRDefault="00F2582F" w:rsidP="00F2582F">
      <w:pPr>
        <w:spacing w:before="60" w:after="60" w:line="240" w:lineRule="auto"/>
        <w:jc w:val="both"/>
        <w:rPr>
          <w:rFonts w:ascii="Arial" w:hAnsi="Arial" w:cs="Arial"/>
          <w:lang w:val="uk-UA"/>
        </w:rPr>
      </w:pPr>
      <w:r w:rsidRPr="007E5633">
        <w:rPr>
          <w:rFonts w:ascii="Arial" w:hAnsi="Arial" w:cs="Arial"/>
          <w:lang w:val="uk-UA"/>
        </w:rPr>
        <w:t>Ліцензування не потрібне для GTP, системи управління ринком (та її підсистем) за допомогою TSO електроенергії або програмного забезпечення оп</w:t>
      </w:r>
      <w:r w:rsidR="00F759F3">
        <w:rPr>
          <w:rFonts w:ascii="Arial" w:hAnsi="Arial" w:cs="Arial"/>
          <w:lang w:val="uk-UA"/>
        </w:rPr>
        <w:t>ератором ринку електроенергії. У законі н</w:t>
      </w:r>
      <w:r w:rsidRPr="007E5633">
        <w:rPr>
          <w:rFonts w:ascii="Arial" w:hAnsi="Arial" w:cs="Arial"/>
          <w:lang w:val="uk-UA"/>
        </w:rPr>
        <w:t>е</w:t>
      </w:r>
      <w:r w:rsidR="00F759F3">
        <w:rPr>
          <w:rFonts w:ascii="Arial" w:hAnsi="Arial" w:cs="Arial"/>
          <w:lang w:val="uk-UA"/>
        </w:rPr>
        <w:t>має якогось експрес-дозволу або</w:t>
      </w:r>
      <w:r w:rsidRPr="007E5633">
        <w:rPr>
          <w:rFonts w:ascii="Arial" w:hAnsi="Arial" w:cs="Arial"/>
          <w:lang w:val="uk-UA"/>
        </w:rPr>
        <w:t xml:space="preserve"> заборони</w:t>
      </w:r>
      <w:r w:rsidR="00F759F3">
        <w:rPr>
          <w:rFonts w:ascii="Arial" w:hAnsi="Arial" w:cs="Arial"/>
          <w:lang w:val="uk-UA"/>
        </w:rPr>
        <w:t xml:space="preserve"> того</w:t>
      </w:r>
      <w:r w:rsidRPr="007E5633">
        <w:rPr>
          <w:rFonts w:ascii="Arial" w:hAnsi="Arial" w:cs="Arial"/>
          <w:lang w:val="uk-UA"/>
        </w:rPr>
        <w:t>, що така платформа не може торгувати фінансовими інструментами.</w:t>
      </w:r>
    </w:p>
    <w:p w14:paraId="409C6518" w14:textId="77777777" w:rsidR="00F759F3" w:rsidRPr="007E5633" w:rsidRDefault="00F759F3" w:rsidP="00F2582F">
      <w:pPr>
        <w:spacing w:before="60" w:after="60" w:line="240" w:lineRule="auto"/>
        <w:jc w:val="both"/>
        <w:rPr>
          <w:rFonts w:ascii="Arial" w:hAnsi="Arial" w:cs="Arial"/>
          <w:lang w:val="uk-UA"/>
        </w:rPr>
      </w:pPr>
    </w:p>
    <w:p w14:paraId="4ADF2D5F" w14:textId="77777777" w:rsidR="00672962" w:rsidRPr="007E5633" w:rsidRDefault="00F2582F"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61" w:name="_Toc526775059"/>
      <w:bookmarkStart w:id="162" w:name="_Toc533093964"/>
      <w:r w:rsidRPr="007E5633">
        <w:rPr>
          <w:rFonts w:ascii="Arial" w:hAnsi="Arial" w:cs="Arial"/>
          <w:sz w:val="26"/>
          <w:szCs w:val="26"/>
          <w:lang w:val="uk-UA"/>
        </w:rPr>
        <w:t>Аналіз системи ліцензування для трейдерів</w:t>
      </w:r>
      <w:bookmarkEnd w:id="161"/>
      <w:bookmarkEnd w:id="162"/>
      <w:r w:rsidR="00DE516D" w:rsidRPr="007E5633">
        <w:rPr>
          <w:rFonts w:ascii="Arial" w:hAnsi="Arial" w:cs="Arial"/>
          <w:sz w:val="26"/>
          <w:szCs w:val="26"/>
          <w:lang w:val="uk-UA"/>
        </w:rPr>
        <w:t xml:space="preserve"> </w:t>
      </w:r>
    </w:p>
    <w:p w14:paraId="6EDC85A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Торговці газом та електрикою отримують ліцензії по-різному; однак, в більшості випадків одна і та ж юридична особа або приватний підприємець можуть мати обидві ліцензії на торгівлю і газом, і електроенергію. Постачальники газу повинні підтримувати певний обсяг газу в UGS як гарантію до TSO щодо обов'язків з постачання.</w:t>
      </w:r>
    </w:p>
    <w:p w14:paraId="1D013AD5"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Що стосується форвардів як фінансових інструментів, то немає чітких вимог щодо отримання ліцензії для участі у торгівлі. Проте суб'єкти, які виключно займаються торгівлею цінних паперів та іншими фінансовими інструментами, повинні мати ліцензію від НКЦПФР як професійного трейдера (брокера або дилера).</w:t>
      </w:r>
    </w:p>
    <w:p w14:paraId="533AAFF4"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t>a. Газ</w:t>
      </w:r>
    </w:p>
    <w:p w14:paraId="0D7D14C9"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TSO, DSO, LNG та оператори UGS повинні бути нейтральними і не можуть займатися торгівлею газом, за винятком власних технічних потреб та балансування. Закон передбачає дві моделі відокремлення - ISO та OU, тоді як ITO не передбачено (Закон про ринок природного газу, ст. 23-29). Поточне регулювання, яке діє, переслідує модель OU, яка ще має бути реалізована (Про відокремлення діяльності з транспортування та зберігання природного газу: Постанова КМУ № 496 від 1 липня 2016 року, розділ 2.) з певними кроками. Є рішення акціонера, яке наказує операторові підземного сховища (UGS) стати незалежною юридичною особою, але вона не тільки не є реалізованою, але і схема виконання рішення не схвалена. Сьогодні "Укртрансгаз" виступає як оператор системи транспорту та системний оператор UGS, який ще має бути сертифікованим відповідно до нового закону.</w:t>
      </w:r>
    </w:p>
    <w:p w14:paraId="12932123"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 xml:space="preserve">Закон передбачає кілька типів торговельних контрагентів у природному газі: (i) оптові торговці (покупці та продавці), які можуть спекулювати на природному газі, але не можуть здійснити доставку кінцевому споживачеві; (ii) постачальники - </w:t>
      </w:r>
      <w:r w:rsidR="00557232" w:rsidRPr="007E5633">
        <w:rPr>
          <w:rFonts w:ascii="Arial" w:hAnsi="Arial" w:cs="Arial"/>
          <w:lang w:val="uk-UA"/>
        </w:rPr>
        <w:t>підприємства</w:t>
      </w:r>
      <w:r w:rsidRPr="007E5633">
        <w:rPr>
          <w:rFonts w:ascii="Arial" w:hAnsi="Arial" w:cs="Arial"/>
          <w:lang w:val="uk-UA"/>
        </w:rPr>
        <w:t>, відповідальні за доставку до кінцевого споживача; (ііі) клієнти; (iv) TSO, DSO, оператор підрозділу СПГ, оператор UGS, який може купувати газ для своїх потреб з балансування; (v) споживачі природного газу - домашні господарства, підприємства централізованого теплопостачання та промислові споживачі.</w:t>
      </w:r>
    </w:p>
    <w:p w14:paraId="316B0572"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Наступні учасники ринку (потенційні оптові покупці та продавці газу) підлягають ліцензуванню НКРЕКП:</w:t>
      </w:r>
    </w:p>
    <w:p w14:paraId="71BCB60F" w14:textId="77777777" w:rsidR="00C01A4E" w:rsidRPr="007E5633" w:rsidRDefault="00C01A4E" w:rsidP="000D248B">
      <w:pPr>
        <w:pStyle w:val="a4"/>
        <w:numPr>
          <w:ilvl w:val="0"/>
          <w:numId w:val="68"/>
        </w:numPr>
        <w:spacing w:after="120"/>
        <w:jc w:val="both"/>
        <w:rPr>
          <w:rFonts w:ascii="Arial" w:hAnsi="Arial" w:cs="Arial"/>
          <w:lang w:val="uk-UA"/>
        </w:rPr>
      </w:pPr>
      <w:r w:rsidRPr="007E5633">
        <w:rPr>
          <w:rFonts w:ascii="Arial" w:hAnsi="Arial" w:cs="Arial"/>
          <w:lang w:val="uk-UA"/>
        </w:rPr>
        <w:t>TSO (також повинен бути сертифікований відповідно до Третього енергетичного пакета). TSO не може мати ліцензії на DSO, діяльність з видобутку газу або постачання газу. Існує відокремлення на рівні посадових осіб та директорів, спеціальна програма забезпечення нейтралітету;</w:t>
      </w:r>
    </w:p>
    <w:p w14:paraId="6FA160DF" w14:textId="77777777" w:rsidR="00C01A4E" w:rsidRPr="007E5633" w:rsidRDefault="00C01A4E" w:rsidP="000D248B">
      <w:pPr>
        <w:pStyle w:val="a4"/>
        <w:numPr>
          <w:ilvl w:val="0"/>
          <w:numId w:val="68"/>
        </w:numPr>
        <w:spacing w:after="120"/>
        <w:jc w:val="both"/>
        <w:rPr>
          <w:rFonts w:ascii="Arial" w:hAnsi="Arial" w:cs="Arial"/>
          <w:lang w:val="uk-UA"/>
        </w:rPr>
      </w:pPr>
      <w:r w:rsidRPr="007E5633">
        <w:rPr>
          <w:rFonts w:ascii="Arial" w:hAnsi="Arial" w:cs="Arial"/>
          <w:lang w:val="uk-UA"/>
        </w:rPr>
        <w:lastRenderedPageBreak/>
        <w:t>DSO. DSO не може володіти ліцензіями на ТSO, діяльність з видобутку газу або постачання газу, відокремлення має здійснюватися на рівні акціонерів, посадових осіб та директорів, щоб забезпечити нейтралітет;</w:t>
      </w:r>
    </w:p>
    <w:p w14:paraId="1D0E3BEE" w14:textId="77777777" w:rsidR="00C01A4E" w:rsidRPr="007E5633" w:rsidRDefault="00C01A4E" w:rsidP="000D248B">
      <w:pPr>
        <w:pStyle w:val="a4"/>
        <w:numPr>
          <w:ilvl w:val="0"/>
          <w:numId w:val="68"/>
        </w:numPr>
        <w:spacing w:after="120"/>
        <w:jc w:val="both"/>
        <w:rPr>
          <w:rFonts w:ascii="Arial" w:hAnsi="Arial" w:cs="Arial"/>
          <w:lang w:val="uk-UA"/>
        </w:rPr>
      </w:pPr>
      <w:r w:rsidRPr="007E5633">
        <w:rPr>
          <w:rFonts w:ascii="Arial" w:hAnsi="Arial" w:cs="Arial"/>
          <w:lang w:val="uk-UA"/>
        </w:rPr>
        <w:t>оператор підрозділу СПГ (скраплення або регазифікація) - може поєднуватися з UGS та однією з таких ліцензованих видів діяльності: DSO або TSO. Не може мати ліцензії на видобуток або постачання газу. Розмежування має здійснюватися на рівні генерального директора, посадових осіб та директорів, щоб забезпечити нейтралітет;</w:t>
      </w:r>
    </w:p>
    <w:p w14:paraId="461DE91C" w14:textId="77777777" w:rsidR="00C01A4E" w:rsidRPr="007E5633" w:rsidRDefault="00C01A4E" w:rsidP="000D248B">
      <w:pPr>
        <w:pStyle w:val="a4"/>
        <w:numPr>
          <w:ilvl w:val="0"/>
          <w:numId w:val="68"/>
        </w:numPr>
        <w:spacing w:after="120"/>
        <w:jc w:val="both"/>
        <w:rPr>
          <w:rFonts w:ascii="Arial" w:hAnsi="Arial" w:cs="Arial"/>
          <w:lang w:val="uk-UA"/>
        </w:rPr>
      </w:pPr>
      <w:r w:rsidRPr="007E5633">
        <w:rPr>
          <w:rFonts w:ascii="Arial" w:hAnsi="Arial" w:cs="Arial"/>
          <w:lang w:val="uk-UA"/>
        </w:rPr>
        <w:t>UGS - такий же, як СПГ, з урахуванням відповідних змін;</w:t>
      </w:r>
    </w:p>
    <w:p w14:paraId="0484B43D" w14:textId="77777777" w:rsidR="00C01A4E" w:rsidRPr="007E5633" w:rsidRDefault="00C01A4E" w:rsidP="000D248B">
      <w:pPr>
        <w:pStyle w:val="a4"/>
        <w:numPr>
          <w:ilvl w:val="0"/>
          <w:numId w:val="68"/>
        </w:numPr>
        <w:spacing w:after="120"/>
        <w:jc w:val="both"/>
        <w:rPr>
          <w:rFonts w:ascii="Arial" w:hAnsi="Arial" w:cs="Arial"/>
          <w:lang w:val="uk-UA"/>
        </w:rPr>
      </w:pPr>
      <w:r w:rsidRPr="007E5633">
        <w:rPr>
          <w:rFonts w:ascii="Arial" w:hAnsi="Arial" w:cs="Arial"/>
          <w:lang w:val="uk-UA"/>
        </w:rPr>
        <w:t>постачальник споживачам; постачальник не може мати ліцензію на LNG або UGS, TSO, DSO або газодобувну діяльність.</w:t>
      </w:r>
    </w:p>
    <w:p w14:paraId="72032C33"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Діяльність оптових торговців (покупців і продавців) не ліцензована, проте вони не мають прямого доступу до послуг доставки TSO або DSO.</w:t>
      </w:r>
    </w:p>
    <w:p w14:paraId="7EC38886"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Ми також відзначаємо, що торгівля зрідженим нафтовим газом (LPG), яка часто є замінним продуктом для природного газу, не має спеціального закону чи системи ліцензування, і тому будь-яка особа може займатися торгівлею LPG.</w:t>
      </w:r>
    </w:p>
    <w:p w14:paraId="2E598161"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(і) Заявка на отримання ліцензії</w:t>
      </w:r>
    </w:p>
    <w:p w14:paraId="3AC53417"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 xml:space="preserve">Комерційне підприємство, яке подає заявку на отримання ліцензії, подає заявку та підтверджуючі документи (в правилах наведено вичерпний перелік) (Умови ліцензування </w:t>
      </w:r>
      <w:r w:rsidR="00557232" w:rsidRPr="007E5633">
        <w:rPr>
          <w:rFonts w:ascii="Arial" w:hAnsi="Arial" w:cs="Arial"/>
          <w:lang w:val="uk-UA"/>
        </w:rPr>
        <w:t>транспортування</w:t>
      </w:r>
      <w:r w:rsidRPr="007E5633">
        <w:rPr>
          <w:rFonts w:ascii="Arial" w:hAnsi="Arial" w:cs="Arial"/>
          <w:lang w:val="uk-UA"/>
        </w:rPr>
        <w:t xml:space="preserve"> газу). Рішення щодо заяви має бути прийнято протягом 10 робочих днів. Державне мито за ліцензію складає один мінімальний прожитковий мінімум і підлягає сплаті після позитивного рішення про видачу ліцензії (Закон про ліцензування підприємницької діяльності, статті 13.8, 14.1.). Будь-які зміни в умовах ліцензування повинні надати принаймні два місяці для адаптації власником ліцензії. Власник ліцензії зобов'язаний протягом місяця повідомити НКРЕКП про істотні зміни в його статусі.</w:t>
      </w:r>
    </w:p>
    <w:p w14:paraId="3A6C25A1"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(ii) Тривалість ліцензії</w:t>
      </w:r>
    </w:p>
    <w:p w14:paraId="61EC7212"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Ліцензія видається на невизначений термін, і закон не передбачає зобов'язання ліцензованого суб'єкта оголосити про припинення чи припинення своєї діяльності (крім зобов'язань за двосторонніми угодами з іншими учасниками ринку). Ліцензія може бути призупинена або зупинена власником ліцензії або НКРЕКП за недотримання умов ліцензування. Відкликання (скасування) ліцензії НКРЕКП може бути оскаржене в апеляційній комісії центрального уряду або в суді.</w:t>
      </w:r>
    </w:p>
    <w:p w14:paraId="46E0FB8C"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(iii) Регульовані ціни</w:t>
      </w:r>
    </w:p>
    <w:p w14:paraId="401F0FF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НКРЕКП затверджує тариф за послуги, надані оператором TSO, DSO та UGS (Закон про ринок природного газу, стаття 4.6.); ціноутворення та тарифи на зобов'язання PSO встановлюються Кабінетом Міністрів, а також механізми компенсації, включаючи ціни на газ для певних категорій споживачів. Ціни на балансувальний газ визначаються Кодексом ГТС (як комбінація державних закупівель та закупівель на організованій торговій платформі, ціни на газ, що поставляються не-PSO споживачам, зазвичай не регулюються.</w:t>
      </w:r>
    </w:p>
    <w:p w14:paraId="02B5267E"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(iv) Обов'язки ліцензованого постачальника</w:t>
      </w:r>
    </w:p>
    <w:p w14:paraId="7A92717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Постачальник зобов'язаний підтримувати Інтернет-сайт та опублікувати на ньому: Правила постачання газу (нормативні акти), шаблон договору про постачання, ціни на газ, умови оплати / розрахунків, перелік застосовних законів та положень, умови позасудового врегулювання спорів.</w:t>
      </w:r>
    </w:p>
    <w:p w14:paraId="5F18875A"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lastRenderedPageBreak/>
        <w:t>Постачальник повинен підтримувати голосову телефонну лінію, реєструвати вхідну кореспонденцію та мати персональний віртуальний кабінет для кожного споживача, прагнути до повного розкриття умов надання послуг, включаючи якість та історію платежів, дозволяти кожному споживачеві вільний вибір постачальника.</w:t>
      </w:r>
    </w:p>
    <w:p w14:paraId="4B0D686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Постачальник повинен уникати перехресного субсидування, звітувати в НКРЕКП, платити щоквартальні збори для фінансування діяльності НКРЕКП.</w:t>
      </w:r>
    </w:p>
    <w:p w14:paraId="5C6C0A8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PSO та постачальники газу, до яких звертатимуться у найскрутніших ситуаціях, підпадають під додаткове регулювання та особливі умови дотримання правил ліцензій.</w:t>
      </w:r>
    </w:p>
    <w:p w14:paraId="37DD5462"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t>б PSO - газовий ринок</w:t>
      </w:r>
    </w:p>
    <w:p w14:paraId="40FAFDEE"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(Положення про зобов'язання державної служби учасників ринку природного газу для задоволення інтересів громадськості щодо функціонування газового ринку: Постанова КМУ №. 187 від 22 березня 2017 року.)</w:t>
      </w:r>
    </w:p>
    <w:p w14:paraId="77EC747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КМУ зобов'язав дочірні компанії НАК "Нафтогаз України" продавати [майже весь] видобутий ними газ до "Нафтогазу України", а "Нафтогаз України" повинен продавати постачальникам певних споживачів на основі прогнозів або, якщо такі споживачі не мають лічильників, на основі попередньо затверджених норм споживання. Якщо газ, видобутий дочірніми компаніями та добровільно проданий іншими учасниками ринку, недостатній, Нафтогаз України повинен закуповувати газ для покриття прогнозованих обсягів з інших джерел.</w:t>
      </w:r>
    </w:p>
    <w:p w14:paraId="453DE83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Таке PSO зобов'язання було подовжено до 27 жовтня 2018 року. Нафтогаз України повинен продавати газ за ціною, яка визначається як (а) фіксована ціна 8981 грн. за 1000 м3 (без урахування ПДВ, тарифів та зборів) з урахуванням знижки 30,57% (до 1 травня 2019 року) та знижки у 20% до 1 січня 2020 року; б) за середньою ціною промислових споживачів з 1 січня 2020 року.</w:t>
      </w:r>
    </w:p>
    <w:p w14:paraId="7302ECF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ТЕЦ та інші постачальники тепла (крім наведених вище) - фізичним та юридичним особам, гуртожиткам, кооперативам та ін. Можуть придбати газ за 1,6 базової ціни на опалювальну та ко-генеровану електроенергію.</w:t>
      </w:r>
    </w:p>
    <w:p w14:paraId="524A594F"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Закон передбачає, що постачання природного газу споживачам, які не є домогосподарствами, без вимірювального пристрою, повинно було бути зупинено з 1 липня 2011 року; жодна пропозиція PSO не буде доступна, якщо клієнти не мають EIC. Для домогосподарств, які не мають приладів обліку, подача повинна бути (була бути) зупинена:</w:t>
      </w:r>
    </w:p>
    <w:p w14:paraId="09511CEB" w14:textId="77777777" w:rsidR="00C01A4E" w:rsidRPr="007E5633" w:rsidRDefault="00C01A4E" w:rsidP="000D248B">
      <w:pPr>
        <w:pStyle w:val="a4"/>
        <w:numPr>
          <w:ilvl w:val="0"/>
          <w:numId w:val="45"/>
        </w:numPr>
        <w:spacing w:after="120"/>
        <w:ind w:left="426" w:hanging="284"/>
        <w:jc w:val="both"/>
        <w:rPr>
          <w:rFonts w:ascii="Arial" w:hAnsi="Arial" w:cs="Arial"/>
          <w:lang w:val="uk-UA"/>
        </w:rPr>
      </w:pPr>
      <w:r w:rsidRPr="007E5633">
        <w:rPr>
          <w:rFonts w:ascii="Arial" w:hAnsi="Arial" w:cs="Arial"/>
          <w:lang w:val="uk-UA"/>
        </w:rPr>
        <w:t>з 1 січня 2021 року, якщо природний газ використовується тільки в кухонних плитах;</w:t>
      </w:r>
    </w:p>
    <w:p w14:paraId="07CF2875" w14:textId="77777777" w:rsidR="00C01A4E" w:rsidRPr="007E5633" w:rsidRDefault="00C01A4E" w:rsidP="000D248B">
      <w:pPr>
        <w:pStyle w:val="a4"/>
        <w:numPr>
          <w:ilvl w:val="0"/>
          <w:numId w:val="45"/>
        </w:numPr>
        <w:spacing w:after="120"/>
        <w:ind w:left="426" w:hanging="284"/>
        <w:jc w:val="both"/>
        <w:rPr>
          <w:rFonts w:ascii="Arial" w:hAnsi="Arial" w:cs="Arial"/>
          <w:lang w:val="uk-UA"/>
        </w:rPr>
      </w:pPr>
      <w:r w:rsidRPr="007E5633">
        <w:rPr>
          <w:rFonts w:ascii="Arial" w:hAnsi="Arial" w:cs="Arial"/>
          <w:lang w:val="uk-UA"/>
        </w:rPr>
        <w:t>з 1 січня 2016 року, якщо природний газ використовується у побутових водогрійних котлах та кухонних плитах;</w:t>
      </w:r>
    </w:p>
    <w:p w14:paraId="314FD61D" w14:textId="77777777" w:rsidR="00C01A4E" w:rsidRPr="007E5633" w:rsidRDefault="00C01A4E" w:rsidP="000D248B">
      <w:pPr>
        <w:pStyle w:val="a4"/>
        <w:numPr>
          <w:ilvl w:val="0"/>
          <w:numId w:val="45"/>
        </w:numPr>
        <w:spacing w:after="120"/>
        <w:ind w:left="426" w:hanging="284"/>
        <w:jc w:val="both"/>
        <w:rPr>
          <w:rFonts w:ascii="Arial" w:hAnsi="Arial" w:cs="Arial"/>
          <w:lang w:val="uk-UA"/>
        </w:rPr>
      </w:pPr>
      <w:r w:rsidRPr="007E5633">
        <w:rPr>
          <w:rFonts w:ascii="Arial" w:hAnsi="Arial" w:cs="Arial"/>
          <w:lang w:val="uk-UA"/>
        </w:rPr>
        <w:t>з 1 січня 2012 року, якщо природний газ використовується для комплексних потреб, включаючи опалення приміщень (Там само, стаття 2.1.).</w:t>
      </w:r>
    </w:p>
    <w:p w14:paraId="5ED5E68F" w14:textId="77777777" w:rsidR="00C01A4E" w:rsidRPr="007E5633" w:rsidRDefault="00F759F3" w:rsidP="00C01A4E">
      <w:pPr>
        <w:spacing w:after="120"/>
        <w:jc w:val="both"/>
        <w:rPr>
          <w:rFonts w:ascii="Arial" w:hAnsi="Arial" w:cs="Arial"/>
          <w:b/>
          <w:lang w:val="uk-UA"/>
        </w:rPr>
      </w:pPr>
      <w:r>
        <w:rPr>
          <w:rFonts w:ascii="Arial" w:hAnsi="Arial" w:cs="Arial"/>
          <w:b/>
          <w:lang w:val="uk-UA"/>
        </w:rPr>
        <w:t>в</w:t>
      </w:r>
      <w:r w:rsidR="00C01A4E" w:rsidRPr="007E5633">
        <w:rPr>
          <w:rFonts w:ascii="Arial" w:hAnsi="Arial" w:cs="Arial"/>
          <w:b/>
          <w:lang w:val="uk-UA"/>
        </w:rPr>
        <w:t xml:space="preserve"> Електроенергія</w:t>
      </w:r>
    </w:p>
    <w:p w14:paraId="4EFAD57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Поточна система забезпечує існування ринку електроенергії та перекреслюється (згідно із законом, прийнятим у 2017 році) з метою переходу на ринок двосторонніх контрактів у найближчому майбутньому (Закон про ринок електроенергії передбачає, що двосторонні ринки повинні були діяти з 1 липня 2018 року); ми, таким чином, підсумовуємо тут лише прогнозовані ринкові правила.</w:t>
      </w:r>
    </w:p>
    <w:p w14:paraId="07DCF893"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Ліцензія видається наступним організаціям, що займаються ринковою торгівлею: торговці, TSO, DSO, постачальник (споживачам).</w:t>
      </w:r>
    </w:p>
    <w:p w14:paraId="4338E2EA"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lastRenderedPageBreak/>
        <w:t>Комерційне підприємство, яке подає заявку на отримання ліцензії, подає заявку та підтверджуючі документи (в правилах подано вичерпний перелік) (Умови ліцензування транспортування газу: Постанова НКРЕКП №. 201 від 16 лютого 2017 р.). Рішення про заяву має бути опрацьовано протягом 10 робочих днів. Державне мито за ліцензію складає 1 мінімальний прожитковий мінімум і підлягає сплаті після позитивного рішення про видачу ліцензії (Закон про ліцензування підприємницької діяльності, статті 13.8, 14.1.). Будь-які зміни в умовах ліцензування повинні надати принаймні два місяці для адаптації власником ліцензії. Власник ліцензії зобов'язаний протягом місяця повідомити про істотні зміни в його статусі.</w:t>
      </w:r>
    </w:p>
    <w:p w14:paraId="7865F7B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Ліцензований суб'єкт господарювання не зобов'язаний попереджати TSO чи регулятора про вихід з ринку.</w:t>
      </w:r>
    </w:p>
    <w:p w14:paraId="7ADDC122"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Трейдери можуть об'єднати свою діяльність з постачанням електроенергії споживачам; трейдери та постачальники повинні бути незалежними від генеруючих компаній, DSO та TSO, хоча вони можуть бути частиною вертикально інтегрованої компанії з DSO.</w:t>
      </w:r>
    </w:p>
    <w:p w14:paraId="28472D77" w14:textId="77777777" w:rsidR="00C01A4E" w:rsidRPr="007E5633" w:rsidRDefault="00F759F3" w:rsidP="00C01A4E">
      <w:pPr>
        <w:spacing w:after="120"/>
        <w:jc w:val="both"/>
        <w:rPr>
          <w:rFonts w:ascii="Arial" w:hAnsi="Arial" w:cs="Arial"/>
          <w:b/>
          <w:lang w:val="uk-UA"/>
        </w:rPr>
      </w:pPr>
      <w:r>
        <w:rPr>
          <w:rFonts w:ascii="Arial" w:hAnsi="Arial" w:cs="Arial"/>
          <w:b/>
          <w:lang w:val="uk-UA"/>
        </w:rPr>
        <w:t>г</w:t>
      </w:r>
      <w:r w:rsidR="00C01A4E" w:rsidRPr="007E5633">
        <w:rPr>
          <w:rFonts w:ascii="Arial" w:hAnsi="Arial" w:cs="Arial"/>
          <w:b/>
          <w:lang w:val="uk-UA"/>
        </w:rPr>
        <w:t>. PSO - Електроенергія</w:t>
      </w:r>
    </w:p>
    <w:p w14:paraId="4DA7E84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PSO призначається законом для проникнення більш чистих та альтернативних джерел енергії - TSO та оптовий ринок призначаються "гарантованими" покупцями; ТЕЦ (централізоване теплопостачання) також надається спеціальна додаткова плата за модернізацію систем централізованого теплопостачання. За винятком гарантованого покупця, закон делегує регулювання іншої PSO до КМУ (сфера, предмети, механізм компенсації) та НКРЕКП (методологія тарифу та витрат, моніторинг та нагляд).</w:t>
      </w:r>
    </w:p>
    <w:p w14:paraId="3D87A30C" w14:textId="77777777" w:rsidR="00C01A4E" w:rsidRPr="007E5633" w:rsidRDefault="00F759F3" w:rsidP="00C01A4E">
      <w:pPr>
        <w:spacing w:after="120"/>
        <w:jc w:val="both"/>
        <w:rPr>
          <w:rFonts w:ascii="Arial" w:hAnsi="Arial" w:cs="Arial"/>
          <w:b/>
          <w:lang w:val="uk-UA"/>
        </w:rPr>
      </w:pPr>
      <w:r>
        <w:rPr>
          <w:rFonts w:ascii="Arial" w:hAnsi="Arial" w:cs="Arial"/>
          <w:b/>
          <w:lang w:val="uk-UA"/>
        </w:rPr>
        <w:t>д.</w:t>
      </w:r>
      <w:r w:rsidR="00C01A4E" w:rsidRPr="007E5633">
        <w:rPr>
          <w:rFonts w:ascii="Arial" w:hAnsi="Arial" w:cs="Arial"/>
          <w:b/>
          <w:lang w:val="uk-UA"/>
        </w:rPr>
        <w:t xml:space="preserve"> Професійний трейдер цінними паперами</w:t>
      </w:r>
    </w:p>
    <w:p w14:paraId="1786CB5E" w14:textId="77777777" w:rsidR="00C01A4E" w:rsidRDefault="00C01A4E" w:rsidP="00C01A4E">
      <w:pPr>
        <w:spacing w:after="120"/>
        <w:jc w:val="both"/>
        <w:rPr>
          <w:rFonts w:ascii="Arial" w:hAnsi="Arial" w:cs="Arial"/>
          <w:lang w:val="uk-UA"/>
        </w:rPr>
      </w:pPr>
      <w:r w:rsidRPr="007E5633">
        <w:rPr>
          <w:rFonts w:ascii="Arial" w:hAnsi="Arial" w:cs="Arial"/>
          <w:lang w:val="uk-UA"/>
        </w:rPr>
        <w:t>Отримує ліцензію від НКЦПФР; процедура схожа на ліцензування фондової біржі; банківська установа також має право на отримання ліцензії професійного трейдера цінними паперами (Рішення НКЦПФР № 819 від 14 травня 2013 року.).</w:t>
      </w:r>
    </w:p>
    <w:p w14:paraId="29349DFB" w14:textId="77777777" w:rsidR="00F759F3" w:rsidRPr="007E5633" w:rsidRDefault="00F759F3" w:rsidP="00C01A4E">
      <w:pPr>
        <w:spacing w:after="120"/>
        <w:jc w:val="both"/>
        <w:rPr>
          <w:rFonts w:ascii="Arial" w:hAnsi="Arial" w:cs="Arial"/>
          <w:lang w:val="uk-UA"/>
        </w:rPr>
      </w:pPr>
    </w:p>
    <w:p w14:paraId="629D6EF0" w14:textId="77777777" w:rsidR="00036154" w:rsidRPr="007E5633" w:rsidRDefault="00C01A4E"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63" w:name="_Toc533093965"/>
      <w:r w:rsidRPr="007E5633">
        <w:rPr>
          <w:rFonts w:ascii="Arial" w:hAnsi="Arial" w:cs="Arial"/>
          <w:sz w:val="26"/>
          <w:szCs w:val="26"/>
          <w:lang w:val="uk-UA"/>
        </w:rPr>
        <w:t>Перехід права власності у торгівлі</w:t>
      </w:r>
      <w:bookmarkEnd w:id="163"/>
    </w:p>
    <w:p w14:paraId="4CB5D556"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t>a. Інформаційна платформа газового ринку - TSO, СПГ та оператори UGS</w:t>
      </w:r>
    </w:p>
    <w:p w14:paraId="76C63083"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Передача права власності на газ TSO та Оператором ПГС має здійснюватися безкоштовно. Немає обмежень на передачу права власності на газ, передача здійснюється через торговельні сповіщення на інформаційній платформі продавцем відповідному оператору. TSO не може вимагати підтвердження передачі права власності від повідомляючого суб'єкта (Кодекс ГТС, глава XIV, глава 2, розділ 1).</w:t>
      </w:r>
    </w:p>
    <w:p w14:paraId="2C3FFD7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Клієнти повідомляють оператору UGS та TSO про зміну власника через повідомлення про торгівлю (сповіщення); кількість повідомлень, які можна надіслати протягом дня, не обмежується. TSO повинен обробляти сповіщення 24 години на добу протягом 30 хвилин, за винятком випадків, коли клієнт дозволяє продовжити термін обробки, але в будь-якому випадку не більше 2 годин. Повідомлення (сповіщення) може бути скасоване в будь-який час до підтвердження TSO. Зміни вводяться після співпадіння отриманих підтверджень продажу та покупки (таке саме правило застосовується для позабіржових операцій та GTP).</w:t>
      </w:r>
    </w:p>
    <w:p w14:paraId="2DEC6D77" w14:textId="77777777" w:rsidR="00C01A4E" w:rsidRPr="007E5633" w:rsidRDefault="00C01A4E" w:rsidP="00C01A4E">
      <w:pPr>
        <w:spacing w:after="120"/>
        <w:jc w:val="both"/>
        <w:rPr>
          <w:rFonts w:ascii="Arial" w:hAnsi="Arial" w:cs="Arial"/>
          <w:lang w:val="uk-UA"/>
        </w:rPr>
      </w:pPr>
    </w:p>
    <w:p w14:paraId="62304BE4" w14:textId="77777777" w:rsidR="000D248B" w:rsidRPr="007E5633" w:rsidRDefault="000D248B" w:rsidP="00C01A4E">
      <w:pPr>
        <w:spacing w:after="120"/>
        <w:jc w:val="both"/>
        <w:rPr>
          <w:rFonts w:ascii="Arial" w:hAnsi="Arial" w:cs="Arial"/>
          <w:b/>
          <w:lang w:val="uk-UA"/>
        </w:rPr>
      </w:pPr>
    </w:p>
    <w:p w14:paraId="71DC459D" w14:textId="77777777" w:rsidR="000D248B" w:rsidRPr="007E5633" w:rsidRDefault="000D248B">
      <w:pPr>
        <w:suppressAutoHyphens w:val="0"/>
        <w:rPr>
          <w:rFonts w:ascii="Arial" w:hAnsi="Arial" w:cs="Arial"/>
          <w:b/>
          <w:lang w:val="uk-UA"/>
        </w:rPr>
      </w:pPr>
      <w:r w:rsidRPr="007E5633">
        <w:rPr>
          <w:rFonts w:ascii="Arial" w:hAnsi="Arial" w:cs="Arial"/>
          <w:b/>
          <w:lang w:val="uk-UA"/>
        </w:rPr>
        <w:br w:type="page"/>
      </w:r>
    </w:p>
    <w:p w14:paraId="2A67856F"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lastRenderedPageBreak/>
        <w:t>б Двостороння торгівля</w:t>
      </w:r>
    </w:p>
    <w:p w14:paraId="6076AE4B"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Газові трейдери на позабіржових ринках підтверджують передачу права власності  "сертифікатом", що служить підтвердженням угоди; Кодекс GTS встановлює, що повідомлення (сповіщення) про торгівлю до TSO повинно бути надано лише тоді, якщо нове право власності було отримано відповідним VTP. Оскільки такі сертифікати є бізнес-практикою та не мають чітко визначеного формату, для підтвердження передачі можуть бути використані інші письмові докази. Таким чином, повідомлення про торгівлю (сповіщення) згідно з розділом 3.4 (а) вище можна охарактеризувати як покращення документа про право власності, а не як доведення права власності як таке. На відміну від твердження в Кодексі ГТС, НКРЕКП не має повноважень регулювати питання права власності (перенесення права власності), що є суто областю законодавчої влади. Тому придбання в VTP використовується задля зручності сторонами на випадок, якщо стандартний продукт буде розроблено і можливість напівстандартної передачі прав власності (VTP+, VTP-) залишається можливістю.</w:t>
      </w:r>
    </w:p>
    <w:p w14:paraId="44094B36"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Торговці повинні подати торговельні повідомлення (сповіщення) власнику газу (оператор TSO, UGS або LNG), а їхні повідомлення (сповіщення) від покупця та від продавця повинні збігатися; після цього TSO вносить відповідні зміни на сторону споживання (</w:t>
      </w:r>
      <w:r w:rsidR="00A34EA4" w:rsidRPr="007E5633">
        <w:rPr>
          <w:rFonts w:ascii="Arial" w:hAnsi="Arial" w:cs="Arial"/>
          <w:lang w:val="uk-UA"/>
        </w:rPr>
        <w:t>покупця</w:t>
      </w:r>
      <w:r w:rsidRPr="007E5633">
        <w:rPr>
          <w:rFonts w:ascii="Arial" w:hAnsi="Arial" w:cs="Arial"/>
          <w:lang w:val="uk-UA"/>
        </w:rPr>
        <w:t>) та сторону відвантаження (продавця) у реєстрі портф</w:t>
      </w:r>
      <w:r w:rsidR="00A34EA4">
        <w:rPr>
          <w:rFonts w:ascii="Arial" w:hAnsi="Arial" w:cs="Arial"/>
          <w:lang w:val="uk-UA"/>
        </w:rPr>
        <w:t>елів</w:t>
      </w:r>
      <w:r w:rsidRPr="007E5633">
        <w:rPr>
          <w:rFonts w:ascii="Arial" w:hAnsi="Arial" w:cs="Arial"/>
          <w:lang w:val="uk-UA"/>
        </w:rPr>
        <w:t>. Передача здійснюється у віртуальній точці прийому.</w:t>
      </w:r>
    </w:p>
    <w:p w14:paraId="339739E6"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DSO не зобов'язаний надавати інформаційну платформу; Положення щодо оператора установки СПГ у цьому відношенні не схвалені, але слід очікувати вимоги до деякого реєстру, аналогічного оператору ПГС (див. нижче). TSO повинна керувати платформою для клієнтів, які перевозять газу (постачальники, оптові покупці та продавці тощо) – відсутні обмеження по транзакціях з неліцензованими сторонами (крім домашніх господарств).</w:t>
      </w:r>
    </w:p>
    <w:p w14:paraId="4B94F9E1" w14:textId="77777777" w:rsidR="00C01A4E" w:rsidRPr="007E5633" w:rsidRDefault="00F759F3" w:rsidP="00C01A4E">
      <w:pPr>
        <w:spacing w:after="120"/>
        <w:jc w:val="both"/>
        <w:rPr>
          <w:rFonts w:ascii="Arial" w:hAnsi="Arial" w:cs="Arial"/>
          <w:b/>
          <w:lang w:val="uk-UA"/>
        </w:rPr>
      </w:pPr>
      <w:r>
        <w:rPr>
          <w:rFonts w:ascii="Arial" w:hAnsi="Arial" w:cs="Arial"/>
          <w:b/>
          <w:lang w:val="uk-UA"/>
        </w:rPr>
        <w:t>в</w:t>
      </w:r>
      <w:r w:rsidR="00C01A4E" w:rsidRPr="007E5633">
        <w:rPr>
          <w:rFonts w:ascii="Arial" w:hAnsi="Arial" w:cs="Arial"/>
          <w:b/>
          <w:lang w:val="uk-UA"/>
        </w:rPr>
        <w:t xml:space="preserve"> Електроенергетика</w:t>
      </w:r>
    </w:p>
    <w:p w14:paraId="2D4317F6"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Ринкові платформи (DA, ID, балансування, допоміжні послуги) фіксують момент передачі права власності відповідно до їх правил. Слід зазначити, що електронний підпис може замінити паперову форму контракту, однак, немає гарантії, що платформа на ринку буде відповідати законам електронного підпису.</w:t>
      </w:r>
    </w:p>
    <w:p w14:paraId="01FB0F70" w14:textId="77777777" w:rsidR="00672962" w:rsidRPr="007E5633" w:rsidRDefault="00C01A4E"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64" w:name="_Toc533093966"/>
      <w:r w:rsidRPr="007E5633">
        <w:rPr>
          <w:rFonts w:ascii="Arial" w:hAnsi="Arial" w:cs="Arial"/>
          <w:sz w:val="26"/>
          <w:szCs w:val="26"/>
          <w:lang w:val="uk-UA"/>
        </w:rPr>
        <w:t>Режими звітності щодо транзакцій</w:t>
      </w:r>
      <w:bookmarkEnd w:id="164"/>
    </w:p>
    <w:p w14:paraId="178BF1B7"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t>a. Постачальники газу</w:t>
      </w:r>
    </w:p>
    <w:p w14:paraId="6EC4AB88"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Постачальники зобов'язані звітувати про операції з оптовими продавцями в НКРЕКП щоквартально - за кожного постачальника сукупно, окремо для імпортних та внутрішніх джерел постачання. Інші дані не повинні повідомлятися регулятору постачальником, оприлюднення обмежене функціональною необхідністю: передача назви, відіслати (прийняти) газ в ПСГ, СПГ-термінал, TS або DS. Постачальник зобов'язаний звітувати НКРЕКП щокварталу статистичною інформацією, що узагальнює інформацію про кожного типу споживачів (домогосподарства з різним рівнем споживання, різними галузями промисловості з різним використанням газу та рівнем споживання):</w:t>
      </w:r>
    </w:p>
    <w:p w14:paraId="09F57E24" w14:textId="77777777" w:rsidR="00C01A4E" w:rsidRPr="007E5633" w:rsidRDefault="00C01A4E" w:rsidP="000D248B">
      <w:pPr>
        <w:pStyle w:val="a4"/>
        <w:numPr>
          <w:ilvl w:val="0"/>
          <w:numId w:val="69"/>
        </w:numPr>
        <w:spacing w:after="120"/>
        <w:jc w:val="both"/>
        <w:rPr>
          <w:rFonts w:ascii="Arial" w:hAnsi="Arial" w:cs="Arial"/>
          <w:lang w:val="uk-UA"/>
        </w:rPr>
      </w:pPr>
      <w:r w:rsidRPr="007E5633">
        <w:rPr>
          <w:rFonts w:ascii="Arial" w:hAnsi="Arial" w:cs="Arial"/>
          <w:lang w:val="uk-UA"/>
        </w:rPr>
        <w:t>Кількість та міграція споживачів, кількість скарг та запитів;</w:t>
      </w:r>
    </w:p>
    <w:p w14:paraId="29F4D6C3" w14:textId="77777777" w:rsidR="00C01A4E" w:rsidRPr="007E5633" w:rsidRDefault="00C01A4E" w:rsidP="000D248B">
      <w:pPr>
        <w:pStyle w:val="a4"/>
        <w:numPr>
          <w:ilvl w:val="0"/>
          <w:numId w:val="69"/>
        </w:numPr>
        <w:spacing w:after="120"/>
        <w:jc w:val="both"/>
        <w:rPr>
          <w:rFonts w:ascii="Arial" w:hAnsi="Arial" w:cs="Arial"/>
          <w:lang w:val="uk-UA"/>
        </w:rPr>
      </w:pPr>
      <w:r w:rsidRPr="007E5633">
        <w:rPr>
          <w:rFonts w:ascii="Arial" w:hAnsi="Arial" w:cs="Arial"/>
          <w:lang w:val="uk-UA"/>
        </w:rPr>
        <w:t>агрегована та щомісячна кількість поставленого газу, включаючи постачання "останньої інстанції";</w:t>
      </w:r>
    </w:p>
    <w:p w14:paraId="30DFCCB5" w14:textId="77777777" w:rsidR="00C01A4E" w:rsidRPr="007E5633" w:rsidRDefault="00C01A4E" w:rsidP="000D248B">
      <w:pPr>
        <w:pStyle w:val="a4"/>
        <w:numPr>
          <w:ilvl w:val="0"/>
          <w:numId w:val="69"/>
        </w:numPr>
        <w:spacing w:after="120"/>
        <w:jc w:val="both"/>
        <w:rPr>
          <w:rFonts w:ascii="Arial" w:hAnsi="Arial" w:cs="Arial"/>
          <w:lang w:val="uk-UA"/>
        </w:rPr>
      </w:pPr>
      <w:r w:rsidRPr="007E5633">
        <w:rPr>
          <w:rFonts w:ascii="Arial" w:hAnsi="Arial" w:cs="Arial"/>
          <w:lang w:val="uk-UA"/>
        </w:rPr>
        <w:t>Ціни (сукупні та щомісячні), кредиторська заборгованість та дебіторська заборгованість;</w:t>
      </w:r>
    </w:p>
    <w:p w14:paraId="14BD1BBD" w14:textId="77777777" w:rsidR="00C01A4E" w:rsidRPr="007E5633" w:rsidRDefault="00C01A4E" w:rsidP="000D248B">
      <w:pPr>
        <w:pStyle w:val="a4"/>
        <w:numPr>
          <w:ilvl w:val="0"/>
          <w:numId w:val="69"/>
        </w:numPr>
        <w:spacing w:after="120"/>
        <w:jc w:val="both"/>
        <w:rPr>
          <w:rFonts w:ascii="Arial" w:hAnsi="Arial" w:cs="Arial"/>
          <w:lang w:val="uk-UA"/>
        </w:rPr>
      </w:pPr>
      <w:r w:rsidRPr="007E5633">
        <w:rPr>
          <w:rFonts w:ascii="Arial" w:hAnsi="Arial" w:cs="Arial"/>
          <w:lang w:val="uk-UA"/>
        </w:rPr>
        <w:lastRenderedPageBreak/>
        <w:t>договірні умови щодо вибору постачальника, передоплата, штрафи за зміну постачальника;</w:t>
      </w:r>
    </w:p>
    <w:p w14:paraId="35DDEF49" w14:textId="77777777" w:rsidR="00C01A4E" w:rsidRPr="007E5633" w:rsidRDefault="00C01A4E" w:rsidP="000D248B">
      <w:pPr>
        <w:pStyle w:val="a4"/>
        <w:numPr>
          <w:ilvl w:val="0"/>
          <w:numId w:val="69"/>
        </w:numPr>
        <w:spacing w:after="120"/>
        <w:jc w:val="both"/>
        <w:rPr>
          <w:rFonts w:ascii="Arial" w:hAnsi="Arial" w:cs="Arial"/>
          <w:lang w:val="uk-UA"/>
        </w:rPr>
      </w:pPr>
      <w:r w:rsidRPr="007E5633">
        <w:rPr>
          <w:rFonts w:ascii="Arial" w:hAnsi="Arial" w:cs="Arial"/>
          <w:lang w:val="uk-UA"/>
        </w:rPr>
        <w:t>баланс купленого природного газу, що зберігається та постачається.</w:t>
      </w:r>
    </w:p>
    <w:p w14:paraId="1E31A441" w14:textId="77777777" w:rsidR="00C01A4E" w:rsidRPr="007E5633" w:rsidRDefault="00C01A4E" w:rsidP="00C01A4E">
      <w:pPr>
        <w:spacing w:after="120"/>
        <w:jc w:val="both"/>
        <w:rPr>
          <w:rFonts w:ascii="Arial" w:hAnsi="Arial" w:cs="Arial"/>
          <w:b/>
          <w:lang w:val="uk-UA"/>
        </w:rPr>
      </w:pPr>
      <w:r w:rsidRPr="007E5633">
        <w:rPr>
          <w:rFonts w:ascii="Arial" w:hAnsi="Arial" w:cs="Arial"/>
          <w:b/>
          <w:lang w:val="uk-UA"/>
        </w:rPr>
        <w:t>б Оператори GTS та GDS</w:t>
      </w:r>
    </w:p>
    <w:p w14:paraId="71771831"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DSO повідомляє показники лічильників для TSO. TSO та DSO обмінюються інформацією з постачальником, яка необхідна для підтвердження доставки та кредиторської заборгованості.</w:t>
      </w:r>
    </w:p>
    <w:p w14:paraId="00E8140E"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 xml:space="preserve">На 14 день після звітного місяця TSO має опублікувати на своєму веб-сайті інформацію про доходи та витрати для балансування (відкрито </w:t>
      </w:r>
      <w:r w:rsidR="00A34EA4" w:rsidRPr="007E5633">
        <w:rPr>
          <w:rFonts w:ascii="Arial" w:hAnsi="Arial" w:cs="Arial"/>
          <w:lang w:val="uk-UA"/>
        </w:rPr>
        <w:t>показуючи</w:t>
      </w:r>
      <w:r w:rsidRPr="007E5633">
        <w:rPr>
          <w:rFonts w:ascii="Arial" w:hAnsi="Arial" w:cs="Arial"/>
          <w:lang w:val="uk-UA"/>
        </w:rPr>
        <w:t>, таким чином, плату за балансування).</w:t>
      </w:r>
    </w:p>
    <w:p w14:paraId="62560120" w14:textId="77777777" w:rsidR="00C01A4E" w:rsidRPr="007E5633" w:rsidRDefault="00F759F3" w:rsidP="00C01A4E">
      <w:pPr>
        <w:spacing w:after="120"/>
        <w:jc w:val="both"/>
        <w:rPr>
          <w:rFonts w:ascii="Arial" w:hAnsi="Arial" w:cs="Arial"/>
          <w:b/>
          <w:lang w:val="uk-UA"/>
        </w:rPr>
      </w:pPr>
      <w:r>
        <w:rPr>
          <w:rFonts w:ascii="Arial" w:hAnsi="Arial" w:cs="Arial"/>
          <w:b/>
          <w:lang w:val="uk-UA"/>
        </w:rPr>
        <w:t>в</w:t>
      </w:r>
      <w:r w:rsidR="00C01A4E" w:rsidRPr="007E5633">
        <w:rPr>
          <w:rFonts w:ascii="Arial" w:hAnsi="Arial" w:cs="Arial"/>
          <w:b/>
          <w:lang w:val="uk-UA"/>
        </w:rPr>
        <w:t xml:space="preserve"> Оператор UGS (установки СПГ)</w:t>
      </w:r>
    </w:p>
    <w:p w14:paraId="187610A1"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На веб-сайті мають бути наступні дані: ціни та тарифи, потужність та наявність UGS (установка СПГ), потужність, визначена на наступний день, графіки (блок-схеми) щодо загальних витрат та споживання, щоденні обсяги газу та їх зміни (включаючи загальний обсяг надходження та виходу) в кожному UGS, призупинення послуг UGS (надходження, вихід) в історичній перспективі та майбутніх ремонтних роботах, деталях надзвичайного режиму, кількості зареєстрованих учасників та угод.</w:t>
      </w:r>
    </w:p>
    <w:p w14:paraId="0468B3ED"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Оператор UGS повинен повідомити TSO: співвідношення номінацій та повторних номінацій на виділені обсяги, обсяги на кожного клієнта, обсяги надходження та споживання за попередній 24-годинний період, обсяги робочого дня на попередній день, планове технічне обслуговування, незвичайні та надзвичайні режими, які вплинули на UGS (Кодекс UGS, глава XI, глава 2.).</w:t>
      </w:r>
    </w:p>
    <w:p w14:paraId="3FCB50DB" w14:textId="77777777" w:rsidR="00C01A4E" w:rsidRPr="007E5633" w:rsidRDefault="00F759F3" w:rsidP="00C01A4E">
      <w:pPr>
        <w:spacing w:after="120"/>
        <w:jc w:val="both"/>
        <w:rPr>
          <w:rFonts w:ascii="Arial" w:hAnsi="Arial" w:cs="Arial"/>
          <w:b/>
          <w:lang w:val="uk-UA"/>
        </w:rPr>
      </w:pPr>
      <w:r>
        <w:rPr>
          <w:rFonts w:ascii="Arial" w:hAnsi="Arial" w:cs="Arial"/>
          <w:b/>
          <w:lang w:val="uk-UA"/>
        </w:rPr>
        <w:t>г</w:t>
      </w:r>
      <w:r w:rsidR="00C01A4E" w:rsidRPr="007E5633">
        <w:rPr>
          <w:rFonts w:ascii="Arial" w:hAnsi="Arial" w:cs="Arial"/>
          <w:b/>
          <w:lang w:val="uk-UA"/>
        </w:rPr>
        <w:t>. Оптовий продавець газу</w:t>
      </w:r>
    </w:p>
    <w:p w14:paraId="75E9BF84"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Оптовий продавець повинен зберігати (5 років) і подати на вимогу Секретаріату ЄС або іншого органу інформацію про всі операції з іншими учасниками ринку, включаючи операторів TSO, UGS та LNG: тривалість контракту, обсяг, дату і час операція, ціну, загальні умови доставки та оплати, контактну та платіжну інформацію щодо постачальника або оптового покупця, статус дебіторської заборгованості (Закон про ринок природного газу, стаття 17). Інформація, надана органам влади, повинна залишатись конфіденційною.</w:t>
      </w:r>
    </w:p>
    <w:p w14:paraId="2365229E" w14:textId="77777777" w:rsidR="00C01A4E" w:rsidRPr="007E5633" w:rsidRDefault="00F759F3" w:rsidP="00C01A4E">
      <w:pPr>
        <w:spacing w:after="120"/>
        <w:jc w:val="both"/>
        <w:rPr>
          <w:rFonts w:ascii="Arial" w:hAnsi="Arial" w:cs="Arial"/>
          <w:b/>
          <w:lang w:val="uk-UA"/>
        </w:rPr>
      </w:pPr>
      <w:r>
        <w:rPr>
          <w:rFonts w:ascii="Arial" w:hAnsi="Arial" w:cs="Arial"/>
          <w:b/>
          <w:lang w:val="uk-UA"/>
        </w:rPr>
        <w:t>д</w:t>
      </w:r>
      <w:r w:rsidR="00C01A4E" w:rsidRPr="007E5633">
        <w:rPr>
          <w:rFonts w:ascii="Arial" w:hAnsi="Arial" w:cs="Arial"/>
          <w:b/>
          <w:lang w:val="uk-UA"/>
        </w:rPr>
        <w:t xml:space="preserve"> Торгова платформа для газу</w:t>
      </w:r>
    </w:p>
    <w:p w14:paraId="79EDBE05"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Оператор GTP повинен публікувати зміни до граничної ціни купівлі та продажу після кожної транзакції; ціни та обсяги продажу природного газу за кожний 24-годинний період та "інші показники, які можуть бути використані як показник цін для учасників ринку" (Код ГТС, розділ XIV, глава 4.).</w:t>
      </w:r>
    </w:p>
    <w:p w14:paraId="309FAF9E" w14:textId="77777777" w:rsidR="00C01A4E" w:rsidRPr="007E5633" w:rsidRDefault="00F759F3" w:rsidP="00C01A4E">
      <w:pPr>
        <w:spacing w:after="120"/>
        <w:jc w:val="both"/>
        <w:rPr>
          <w:rFonts w:ascii="Arial" w:hAnsi="Arial" w:cs="Arial"/>
          <w:b/>
          <w:lang w:val="uk-UA"/>
        </w:rPr>
      </w:pPr>
      <w:r>
        <w:rPr>
          <w:rFonts w:ascii="Arial" w:hAnsi="Arial" w:cs="Arial"/>
          <w:b/>
          <w:lang w:val="uk-UA"/>
        </w:rPr>
        <w:t>е</w:t>
      </w:r>
      <w:r w:rsidR="00C01A4E" w:rsidRPr="007E5633">
        <w:rPr>
          <w:rFonts w:ascii="Arial" w:hAnsi="Arial" w:cs="Arial"/>
          <w:b/>
          <w:lang w:val="uk-UA"/>
        </w:rPr>
        <w:t xml:space="preserve"> ETS та оператори ринку електроенергії</w:t>
      </w:r>
    </w:p>
    <w:p w14:paraId="79210627"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 xml:space="preserve">TSO має опублікувати прогноз та фактичну інформацію за останні два роки щодо попиту та пропозиції </w:t>
      </w:r>
      <w:r w:rsidR="00A34EA4">
        <w:rPr>
          <w:rFonts w:ascii="Arial" w:hAnsi="Arial" w:cs="Arial"/>
          <w:lang w:val="uk-UA"/>
        </w:rPr>
        <w:t>виробничих</w:t>
      </w:r>
      <w:r w:rsidRPr="007E5633">
        <w:rPr>
          <w:rFonts w:ascii="Arial" w:hAnsi="Arial" w:cs="Arial"/>
          <w:lang w:val="uk-UA"/>
        </w:rPr>
        <w:t xml:space="preserve"> потужностей, FRR, балансування електроенергії та резервів (Закон про ринок електроенергії, стаття 40.). TSO публікує докладну інформацію про балансування сторін, учасників ринків (Правила ринку електроенергії, розділ 1.5.1.); збирає та публікує на сайті ENTSO-E дані щодо (i) ринкових цін DA в гривні / МВт-г у кожному звітному періоді та по кожній торговій зоні; (ii) прихованих аукціонів у кожній торговій зоні - чистої позиції (МВт) та доходу від управління обмеженнями (Грн.), (іii) дані переадресації та контр-торгівля та пов'язані з ними витрати, (iv) фактична кількість відправок на одиницю виробництва, запаси води на ТЕЦ та ТЕС, (v) наявні резерви з цінами, інформація про постачальників та прийняті пропозиції, активовані резерви, (vi) </w:t>
      </w:r>
      <w:r w:rsidRPr="007E5633">
        <w:rPr>
          <w:rFonts w:ascii="Arial" w:hAnsi="Arial" w:cs="Arial"/>
          <w:lang w:val="uk-UA"/>
        </w:rPr>
        <w:lastRenderedPageBreak/>
        <w:t>ціни на дизбаланси (Рішення НКРЕКП № 459 від 19 червня 2018 року.). TSO публікує обсяг і вартість закуплених допоміжних послуг.</w:t>
      </w:r>
    </w:p>
    <w:p w14:paraId="02F60A7F"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Оператор ринку повинен опублікувати реєстр всіх учасників на ринках DA та ID; він також повинен опублікувати ціни та обсяги торгівлі електроенергією та "іншу інформацію, яку можна використовувати як еталон (індикативний показник)" (Закон про ринок електроенергії, Стаття 51, Розділ 67.6.).</w:t>
      </w:r>
    </w:p>
    <w:p w14:paraId="33FD5539" w14:textId="77777777" w:rsidR="00C01A4E" w:rsidRPr="007E5633" w:rsidRDefault="00F759F3" w:rsidP="00C01A4E">
      <w:pPr>
        <w:spacing w:after="120"/>
        <w:jc w:val="both"/>
        <w:rPr>
          <w:rFonts w:ascii="Arial" w:hAnsi="Arial" w:cs="Arial"/>
          <w:b/>
          <w:lang w:val="uk-UA"/>
        </w:rPr>
      </w:pPr>
      <w:r>
        <w:rPr>
          <w:rFonts w:ascii="Arial" w:hAnsi="Arial" w:cs="Arial"/>
          <w:b/>
          <w:lang w:val="uk-UA"/>
        </w:rPr>
        <w:t>є</w:t>
      </w:r>
      <w:r w:rsidR="00C01A4E" w:rsidRPr="007E5633">
        <w:rPr>
          <w:rFonts w:ascii="Arial" w:hAnsi="Arial" w:cs="Arial"/>
          <w:b/>
          <w:lang w:val="uk-UA"/>
        </w:rPr>
        <w:t xml:space="preserve"> Постачальники електроенергії</w:t>
      </w:r>
    </w:p>
    <w:p w14:paraId="18BB3032"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Двосторонні угоди мають бути зареєстровані на платформі TSO для планування обсягу торгівлі на організованих ринках (DA, ID, балансування, допоміжні послуги) та організації фізичної доставки TSO. Немає вимоги повідомляти про транзакцію купівлі та продажу як таку від TSO та DSO. Вони обмінюються інформацією між собою у міру необхідності, щоб підтвердити доставку та кредиторську заборгованість.</w:t>
      </w:r>
    </w:p>
    <w:p w14:paraId="6034B964"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Постачальник "останньої інстанції" повинен щорічно звітувати про кількість споживачів, загальний обсяг постачання електроенергії, середню тривалість постачання (Там само, стаття 64.).</w:t>
      </w:r>
    </w:p>
    <w:p w14:paraId="61B91940" w14:textId="77777777" w:rsidR="00C01A4E" w:rsidRPr="007E5633" w:rsidRDefault="00F759F3" w:rsidP="00C01A4E">
      <w:pPr>
        <w:spacing w:after="120"/>
        <w:jc w:val="both"/>
        <w:rPr>
          <w:rFonts w:ascii="Arial" w:hAnsi="Arial" w:cs="Arial"/>
          <w:b/>
          <w:lang w:val="uk-UA"/>
        </w:rPr>
      </w:pPr>
      <w:r>
        <w:rPr>
          <w:rFonts w:ascii="Arial" w:hAnsi="Arial" w:cs="Arial"/>
          <w:b/>
          <w:lang w:val="uk-UA"/>
        </w:rPr>
        <w:t xml:space="preserve">ж </w:t>
      </w:r>
      <w:r w:rsidR="00C01A4E" w:rsidRPr="007E5633">
        <w:rPr>
          <w:rFonts w:ascii="Arial" w:hAnsi="Arial" w:cs="Arial"/>
          <w:b/>
          <w:lang w:val="uk-UA"/>
        </w:rPr>
        <w:t>SE Фінансові інструменти</w:t>
      </w:r>
    </w:p>
    <w:p w14:paraId="150AA9FC"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 xml:space="preserve">Фондова біржа зобов'язана звітувати про статистику торгів за кожним фінансовим інструментом, що є в лістингу та обертається (щоденно), і звітувати про власну фінансову стійкість, а також про коефіцієнт обслуговування боргу учасників клірингу (щомісяця); крім того, біржа повинні подати, коли виникає потреба, звіти про зміни щодо </w:t>
      </w:r>
      <w:r w:rsidR="00A34EA4" w:rsidRPr="007E5633">
        <w:rPr>
          <w:rFonts w:ascii="Arial" w:hAnsi="Arial" w:cs="Arial"/>
          <w:lang w:val="uk-UA"/>
        </w:rPr>
        <w:t>інструментів</w:t>
      </w:r>
      <w:r w:rsidRPr="007E5633">
        <w:rPr>
          <w:rFonts w:ascii="Arial" w:hAnsi="Arial" w:cs="Arial"/>
          <w:lang w:val="uk-UA"/>
        </w:rPr>
        <w:t xml:space="preserve"> у лістингу, анульовані операції та волатильність цін по кожному фінансовому інструменту (Рішення НКПЦФР № 1284 від 25 вересня 2012 року; Рішення НКПЦФР № 131 від 05 лютого 2013 року.).</w:t>
      </w:r>
    </w:p>
    <w:p w14:paraId="5527D414" w14:textId="77777777" w:rsidR="00C01A4E" w:rsidRPr="007E5633" w:rsidRDefault="00F759F3" w:rsidP="00C01A4E">
      <w:pPr>
        <w:spacing w:after="120"/>
        <w:jc w:val="both"/>
        <w:rPr>
          <w:rFonts w:ascii="Arial" w:hAnsi="Arial" w:cs="Arial"/>
          <w:b/>
          <w:lang w:val="uk-UA"/>
        </w:rPr>
      </w:pPr>
      <w:r>
        <w:rPr>
          <w:rFonts w:ascii="Arial" w:hAnsi="Arial" w:cs="Arial"/>
          <w:b/>
          <w:lang w:val="uk-UA"/>
        </w:rPr>
        <w:t xml:space="preserve">з </w:t>
      </w:r>
      <w:r w:rsidR="00C01A4E" w:rsidRPr="007E5633">
        <w:rPr>
          <w:rFonts w:ascii="Arial" w:hAnsi="Arial" w:cs="Arial"/>
          <w:b/>
          <w:lang w:val="uk-UA"/>
        </w:rPr>
        <w:t>Професійний трейдер фінансовими інструментами</w:t>
      </w:r>
    </w:p>
    <w:p w14:paraId="73FFF18F" w14:textId="77777777" w:rsidR="00C01A4E" w:rsidRPr="007E5633" w:rsidRDefault="00C01A4E" w:rsidP="00C01A4E">
      <w:pPr>
        <w:spacing w:after="120"/>
        <w:jc w:val="both"/>
        <w:rPr>
          <w:rFonts w:ascii="Arial" w:hAnsi="Arial" w:cs="Arial"/>
          <w:lang w:val="uk-UA"/>
        </w:rPr>
      </w:pPr>
      <w:r w:rsidRPr="007E5633">
        <w:rPr>
          <w:rFonts w:ascii="Arial" w:hAnsi="Arial" w:cs="Arial"/>
          <w:lang w:val="uk-UA"/>
        </w:rPr>
        <w:t>Професійний трейдер цінними паперами повинен повідомити НКПЦФР відкриті дані про всю позабіржову діяльність з "цінних паперів", яка на практиці також включає інші фінансові інструменти, такі як форвардні контракти (Рішення НКПЦФР № 131 від 05 лютого 2013 року); звіт має бути поданий (і опублікований НКПЦФР в Інтернеті) протягом 3 робочих днів у форматі XML з наступними полями: дата та тип операції, тип, кількість, ціна та ISIN фінансового інструмента, назва та код контрагента.</w:t>
      </w:r>
    </w:p>
    <w:p w14:paraId="3CE2E32D" w14:textId="77777777" w:rsidR="00672962" w:rsidRPr="007E5633" w:rsidRDefault="0042516F"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65" w:name="_Toc533093967"/>
      <w:r w:rsidRPr="007E5633">
        <w:rPr>
          <w:rFonts w:ascii="Arial" w:hAnsi="Arial" w:cs="Arial"/>
          <w:sz w:val="26"/>
          <w:szCs w:val="26"/>
          <w:lang w:val="uk-UA"/>
        </w:rPr>
        <w:t>Оподаткування енергопродуктів</w:t>
      </w:r>
      <w:bookmarkEnd w:id="165"/>
    </w:p>
    <w:p w14:paraId="6732024C" w14:textId="77777777" w:rsidR="0042516F" w:rsidRPr="007E5633" w:rsidRDefault="0042516F" w:rsidP="0042516F">
      <w:pPr>
        <w:spacing w:after="120"/>
        <w:jc w:val="both"/>
        <w:rPr>
          <w:rFonts w:ascii="Arial" w:hAnsi="Arial" w:cs="Arial"/>
          <w:b/>
          <w:lang w:val="uk-UA"/>
        </w:rPr>
      </w:pPr>
      <w:r w:rsidRPr="007E5633">
        <w:rPr>
          <w:rFonts w:ascii="Arial" w:hAnsi="Arial" w:cs="Arial"/>
          <w:b/>
          <w:lang w:val="uk-UA"/>
        </w:rPr>
        <w:t>a. Операції з газовою торгівлею</w:t>
      </w:r>
    </w:p>
    <w:p w14:paraId="048F0C5B"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Торгівля газом підпадає під корпоративний податок на прибуток, а особливими податками, пов'язані з торгівлею, є: (i) акцизний податок та (іі) ПДВ. Хоча розвідка та видобуток не підходять для цього Звіту, варто зазначити, що Податковий кодекс встановлює податкові пільги (звільнення від сплати податку на прибуток підприємств та рентної плати) для компаній, які виробляють метан з вугільних шахт, який має невисоку якість, тобто не підходять для транспортування або споживання промислових / комунальних послуг. Акцизний податок, сплачений за операції з СПГ та природний газ, встановлюється в розмірі 3 євро за м3, а з LPG - 52 євро за м3 (Там само, розділ 193.1.).</w:t>
      </w:r>
    </w:p>
    <w:p w14:paraId="7ED9C45D"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ПДВ за операціями з газом та електроенергією сплачується за базовою ставкою 20%, за винятком природного газу в режимі транзиту. Якщо передача газу може бути охарактеризована як перехід вимоги, а не права власності (наприклад, торгівля безпоставковими форвардними зобов'язаннями або іншими вимогами, які можуть бути виплачені грошовими коштами), вона може бути звільнена від сплати ПДВ.</w:t>
      </w:r>
    </w:p>
    <w:p w14:paraId="034F24AA"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lastRenderedPageBreak/>
        <w:t>Зазначимо, що віднесення вимог та прийняття боргу – головні операції з номінаціями на транспортування та зберігання - звільнені від ПДВ (Там само. Розділ 196.1.5.).</w:t>
      </w:r>
    </w:p>
    <w:p w14:paraId="0E3E516C" w14:textId="77777777" w:rsidR="0042516F" w:rsidRPr="007E5633" w:rsidRDefault="0042516F" w:rsidP="0042516F">
      <w:pPr>
        <w:spacing w:after="120"/>
        <w:jc w:val="both"/>
        <w:rPr>
          <w:rFonts w:ascii="Arial" w:hAnsi="Arial" w:cs="Arial"/>
          <w:b/>
          <w:lang w:val="uk-UA"/>
        </w:rPr>
      </w:pPr>
      <w:r w:rsidRPr="007E5633">
        <w:rPr>
          <w:rFonts w:ascii="Arial" w:hAnsi="Arial" w:cs="Arial"/>
          <w:b/>
          <w:lang w:val="uk-UA"/>
        </w:rPr>
        <w:t>б Торгівля електроенергією</w:t>
      </w:r>
    </w:p>
    <w:p w14:paraId="07C6508A"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Торги електроенергією підлягають оподаткуванню податком на прибуток підприємств, зокрема податками, що пов'язані з торгівлею, є: (i) акцизний податок у розмірі 3,2%; (іі) митні збори - ввізне мито в розмірі 2% (код 2716) (Там само, розділи 215.1, 215.3.9) / без експортного мита; iii) ПДВ - 20% за всіма торговими та імпортними операціями.</w:t>
      </w:r>
    </w:p>
    <w:p w14:paraId="5E0C805E" w14:textId="77777777" w:rsidR="0042516F" w:rsidRPr="007E5633" w:rsidRDefault="00F759F3" w:rsidP="0042516F">
      <w:pPr>
        <w:spacing w:after="120"/>
        <w:jc w:val="both"/>
        <w:rPr>
          <w:rFonts w:ascii="Arial" w:hAnsi="Arial" w:cs="Arial"/>
          <w:b/>
          <w:lang w:val="uk-UA"/>
        </w:rPr>
      </w:pPr>
      <w:r>
        <w:rPr>
          <w:rFonts w:ascii="Arial" w:hAnsi="Arial" w:cs="Arial"/>
          <w:b/>
          <w:lang w:val="uk-UA"/>
        </w:rPr>
        <w:t>в</w:t>
      </w:r>
      <w:r w:rsidR="0042516F" w:rsidRPr="007E5633">
        <w:rPr>
          <w:rFonts w:ascii="Arial" w:hAnsi="Arial" w:cs="Arial"/>
          <w:b/>
          <w:lang w:val="uk-UA"/>
        </w:rPr>
        <w:t xml:space="preserve"> Адміністрування ПДВ на оптову торгівлю</w:t>
      </w:r>
    </w:p>
    <w:p w14:paraId="20A585DE"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ПДВ-рахунок-фактура повинна бути створена на дату виникнення зобов'язання, тобто на більш ранню подію з-поміж: оплата або відправлення товарів / послуг (Там само, Розділ 201.1.). Ми відзначаємо невідповідність загальних зобов'язань з ПДВ у відношенні TSO, DSO та постачальників, які застосовують касовий метод (тобто, відповідальність створюється на дату отримання платежу) та імпортні операції (дата подання митної вантажної декларації) (Там само, розділи 187.1, 187.7, 187.10.).</w:t>
      </w:r>
    </w:p>
    <w:p w14:paraId="090D68D3"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ПДВ-рахунок-фактура повинна бути введена в онлайн електронний реєстр на дату виникнення зобов'язання.</w:t>
      </w:r>
    </w:p>
    <w:p w14:paraId="627B0B97" w14:textId="77777777" w:rsidR="0042516F" w:rsidRPr="007E5633" w:rsidRDefault="00F759F3" w:rsidP="0042516F">
      <w:pPr>
        <w:spacing w:after="120"/>
        <w:jc w:val="both"/>
        <w:rPr>
          <w:rFonts w:ascii="Arial" w:hAnsi="Arial" w:cs="Arial"/>
          <w:b/>
          <w:lang w:val="uk-UA"/>
        </w:rPr>
      </w:pPr>
      <w:r>
        <w:rPr>
          <w:rFonts w:ascii="Arial" w:hAnsi="Arial" w:cs="Arial"/>
          <w:b/>
          <w:lang w:val="uk-UA"/>
        </w:rPr>
        <w:t>г</w:t>
      </w:r>
      <w:r w:rsidR="0042516F" w:rsidRPr="007E5633">
        <w:rPr>
          <w:rFonts w:ascii="Arial" w:hAnsi="Arial" w:cs="Arial"/>
          <w:b/>
          <w:lang w:val="uk-UA"/>
        </w:rPr>
        <w:t>. Оренда UGS</w:t>
      </w:r>
    </w:p>
    <w:p w14:paraId="25788EC0"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 xml:space="preserve">Рентна плата для </w:t>
      </w:r>
      <w:r w:rsidRPr="007E5633">
        <w:rPr>
          <w:rFonts w:ascii="Arial" w:hAnsi="Arial" w:cs="Arial"/>
          <w:b/>
          <w:lang w:val="uk-UA"/>
        </w:rPr>
        <w:t>UGS</w:t>
      </w:r>
      <w:r w:rsidRPr="007E5633">
        <w:rPr>
          <w:rFonts w:ascii="Arial" w:hAnsi="Arial" w:cs="Arial"/>
          <w:lang w:val="uk-UA"/>
        </w:rPr>
        <w:t xml:space="preserve"> - 0,49 грн. / 1000 м3 підземних свердловин; оренда сплачується оператором </w:t>
      </w:r>
      <w:r w:rsidRPr="007E5633">
        <w:rPr>
          <w:rFonts w:ascii="Arial" w:hAnsi="Arial" w:cs="Arial"/>
          <w:b/>
          <w:lang w:val="uk-UA"/>
        </w:rPr>
        <w:t>UGS</w:t>
      </w:r>
      <w:r w:rsidRPr="007E5633">
        <w:rPr>
          <w:rFonts w:ascii="Arial" w:hAnsi="Arial" w:cs="Arial"/>
          <w:lang w:val="uk-UA"/>
        </w:rPr>
        <w:t>.</w:t>
      </w:r>
    </w:p>
    <w:p w14:paraId="1D092EFF" w14:textId="77777777" w:rsidR="0042516F" w:rsidRPr="007E5633" w:rsidRDefault="00F759F3" w:rsidP="0042516F">
      <w:pPr>
        <w:spacing w:after="120"/>
        <w:jc w:val="both"/>
        <w:rPr>
          <w:rFonts w:ascii="Arial" w:hAnsi="Arial" w:cs="Arial"/>
          <w:b/>
          <w:lang w:val="uk-UA"/>
        </w:rPr>
      </w:pPr>
      <w:r>
        <w:rPr>
          <w:rFonts w:ascii="Arial" w:hAnsi="Arial" w:cs="Arial"/>
          <w:b/>
          <w:lang w:val="uk-UA"/>
        </w:rPr>
        <w:t>д</w:t>
      </w:r>
      <w:r w:rsidR="0042516F" w:rsidRPr="007E5633">
        <w:rPr>
          <w:rFonts w:ascii="Arial" w:hAnsi="Arial" w:cs="Arial"/>
          <w:b/>
          <w:lang w:val="uk-UA"/>
        </w:rPr>
        <w:t xml:space="preserve"> </w:t>
      </w:r>
      <w:r w:rsidR="00A34EA4" w:rsidRPr="007E5633">
        <w:rPr>
          <w:rFonts w:ascii="Arial" w:hAnsi="Arial" w:cs="Arial"/>
          <w:b/>
          <w:lang w:val="uk-UA"/>
        </w:rPr>
        <w:t>Податки</w:t>
      </w:r>
      <w:r w:rsidR="0042516F" w:rsidRPr="007E5633">
        <w:rPr>
          <w:rFonts w:ascii="Arial" w:hAnsi="Arial" w:cs="Arial"/>
          <w:b/>
          <w:lang w:val="uk-UA"/>
        </w:rPr>
        <w:t xml:space="preserve"> при імпорті та експорті</w:t>
      </w:r>
    </w:p>
    <w:p w14:paraId="045CBEE9"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 xml:space="preserve">Зазначимо, що на імпорт СПГ, природного газу, нафтового газу або LPG не сплачується мито (код тарифного плану 2711). Проте експортні операції з такими самими </w:t>
      </w:r>
      <w:r w:rsidR="00F966A5">
        <w:rPr>
          <w:rFonts w:ascii="Arial" w:hAnsi="Arial" w:cs="Arial"/>
          <w:lang w:val="uk-UA"/>
        </w:rPr>
        <w:t xml:space="preserve">товарними контрактами </w:t>
      </w:r>
      <w:r w:rsidRPr="007E5633">
        <w:rPr>
          <w:rFonts w:ascii="Arial" w:hAnsi="Arial" w:cs="Arial"/>
          <w:lang w:val="uk-UA"/>
        </w:rPr>
        <w:t>підлягають сплаті митного мита у розмірі 35% (щонайменше 400 грн. за тис. М3), за винятком режиму транзиту газу та експорту газу до держав-членів Енергетичного Співтовариства (Закон про внесення змін до деяких законодавчих актів України № 309-VI від 3 червня 2008 року, розділ ІІ (Заключні положення), розділ 9.).</w:t>
      </w:r>
    </w:p>
    <w:p w14:paraId="7514B50D" w14:textId="77777777" w:rsidR="0042516F" w:rsidRPr="007E5633" w:rsidRDefault="00F759F3" w:rsidP="0042516F">
      <w:pPr>
        <w:spacing w:after="120"/>
        <w:jc w:val="both"/>
        <w:rPr>
          <w:rFonts w:ascii="Arial" w:hAnsi="Arial" w:cs="Arial"/>
          <w:b/>
          <w:lang w:val="uk-UA"/>
        </w:rPr>
      </w:pPr>
      <w:r>
        <w:rPr>
          <w:rFonts w:ascii="Arial" w:hAnsi="Arial" w:cs="Arial"/>
          <w:b/>
          <w:lang w:val="uk-UA"/>
        </w:rPr>
        <w:t>е</w:t>
      </w:r>
      <w:r w:rsidR="0042516F" w:rsidRPr="007E5633">
        <w:rPr>
          <w:rFonts w:ascii="Arial" w:hAnsi="Arial" w:cs="Arial"/>
          <w:b/>
          <w:lang w:val="uk-UA"/>
        </w:rPr>
        <w:t xml:space="preserve"> Податок на прибуток підприємств</w:t>
      </w:r>
    </w:p>
    <w:p w14:paraId="3672ADB5" w14:textId="77777777" w:rsidR="00B450BD" w:rsidRPr="007E5633" w:rsidRDefault="0042516F" w:rsidP="0042516F">
      <w:pPr>
        <w:spacing w:after="120"/>
        <w:jc w:val="both"/>
        <w:rPr>
          <w:rFonts w:ascii="Arial" w:hAnsi="Arial" w:cs="Arial"/>
          <w:lang w:val="uk-UA"/>
        </w:rPr>
      </w:pPr>
      <w:r w:rsidRPr="007E5633">
        <w:rPr>
          <w:rFonts w:ascii="Arial" w:hAnsi="Arial" w:cs="Arial"/>
          <w:lang w:val="uk-UA"/>
        </w:rPr>
        <w:t>Фінансові інструменти мають окремий баланс для податкової звітності (та зобов'язання), як частина інвестиційної діяльності; угоди з спот-контрактами, з іншого боку, є частиною загального комерційного результату (дохід проти витрат).</w:t>
      </w:r>
    </w:p>
    <w:p w14:paraId="687EC780" w14:textId="77777777" w:rsidR="00672962" w:rsidRPr="007E5633" w:rsidRDefault="0042516F" w:rsidP="000D248B">
      <w:pPr>
        <w:pStyle w:val="FSHeader1"/>
        <w:keepNext w:val="0"/>
        <w:pageBreakBefore w:val="0"/>
        <w:numPr>
          <w:ilvl w:val="1"/>
          <w:numId w:val="34"/>
        </w:numPr>
        <w:spacing w:after="120"/>
        <w:ind w:left="434" w:hanging="434"/>
        <w:rPr>
          <w:rFonts w:ascii="Arial" w:hAnsi="Arial" w:cs="Arial"/>
          <w:sz w:val="26"/>
          <w:szCs w:val="26"/>
          <w:lang w:val="uk-UA"/>
        </w:rPr>
      </w:pPr>
      <w:bookmarkStart w:id="166" w:name="_Toc533093968"/>
      <w:r w:rsidRPr="007E5633">
        <w:rPr>
          <w:rFonts w:ascii="Arial" w:hAnsi="Arial" w:cs="Arial"/>
          <w:sz w:val="26"/>
          <w:szCs w:val="26"/>
          <w:lang w:val="uk-UA"/>
        </w:rPr>
        <w:t>Умови транспортування та зберігання</w:t>
      </w:r>
      <w:bookmarkEnd w:id="166"/>
    </w:p>
    <w:p w14:paraId="62B87607" w14:textId="77777777" w:rsidR="0042516F" w:rsidRPr="007E5633" w:rsidRDefault="0042516F" w:rsidP="0042516F">
      <w:pPr>
        <w:spacing w:after="120"/>
        <w:jc w:val="both"/>
        <w:rPr>
          <w:rFonts w:ascii="Arial" w:hAnsi="Arial" w:cs="Arial"/>
          <w:b/>
          <w:lang w:val="uk-UA"/>
        </w:rPr>
      </w:pPr>
      <w:r w:rsidRPr="007E5633">
        <w:rPr>
          <w:rFonts w:ascii="Arial" w:hAnsi="Arial" w:cs="Arial"/>
          <w:b/>
          <w:lang w:val="uk-UA"/>
        </w:rPr>
        <w:t>a. Газовий TSO</w:t>
      </w:r>
    </w:p>
    <w:p w14:paraId="5994E666"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Газ для транспортування повинен відповідати стандартним фізико-хімічним параметрам. TSO несе відповідальність за дотримання та гарантує, що вимірювальні прилади здатні вимірювати параметри (точку роси, щільність потоку, хроматограф та ін.) в точках фізичного прийому та виходу без перерви (Кодекс ГТС, глава VI, глави 1 і 2.). Контроль якості у договірних відносинах визначається досить широко.</w:t>
      </w:r>
    </w:p>
    <w:p w14:paraId="4057BA8F"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Кожен споживач повинен мати одного постачальника для кожного комерційного вимірювального агрегату, якому відповідно до правил ENTSOG та коду GTS DSO надається ідентифікаційний код (EIC) (крім самого DSO, який, як споживач, отримує EIC TSO). База даних клієнтів кожного постачальника входить до інформаційної платформи TSO.</w:t>
      </w:r>
    </w:p>
    <w:p w14:paraId="009CE22F"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 xml:space="preserve">TSO та замовник (будь-яка комерційна організація) повинні укласти договір про транспортування газу, який слідує типовій угоді, затвердженій НКРЕКП; немає ліцензії, </w:t>
      </w:r>
      <w:r w:rsidRPr="007E5633">
        <w:rPr>
          <w:rFonts w:ascii="Arial" w:hAnsi="Arial" w:cs="Arial"/>
          <w:lang w:val="uk-UA"/>
        </w:rPr>
        <w:lastRenderedPageBreak/>
        <w:t>необхідної для того, щоб бути клієнтом TSO. До 11:00 за UTC за день, що передує доставці (D-1), TSO повинен інформувати контрагента про прогнози щодо його споживання (відвантаження), яке не вимірюється щоденно; на D-день TSO повинна оновити такі прогнози принаймні вдвічі до 13:00 UTC та 17:00 UTC - з відповідним коригуванням на стандартний час в літній період.</w:t>
      </w:r>
    </w:p>
    <w:p w14:paraId="1D9DDD93"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При щоденних дисбалансах гранична ціна газу розраховується для виставлення рахунку стороні, відповідальної за дисбаланс. Така ціна базується на цінах короткотермінових стандартних продуктів у той самий день, коли це можливо; наступна альтернатива - фактична щоденна балансова вартість послуг мінус 10%; і ще одна наступна альтернатива - фактична щомісячна вартість (М-1) мінус 10%, така вартість (М-1) повинна бути опублікована на веб-сайті TSO. Віднімання не відбувається, якщо дисбаланс перебуває у межах мінімальної норми (10-15%). При диспропорції PSO, однак, гранична ціна дорівнює фіксованій базовій ціні, встановленій КМУ (Кодекс ГТС, глава XIV, глава 6.), що створює невідповідність цін.</w:t>
      </w:r>
    </w:p>
    <w:p w14:paraId="4C4A023B"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 xml:space="preserve">Потужність ГТС на віртуальних точках входу виділяється клієнтам за контрактами; Фізичні точки з'єднання є виключно для власників підключених об'єктів  пропорційно їх потужності. Розподіл потужності клієнтам здійснюється щорічно, щомісячно та щоденно за кожним з наступних режимів: (i) гарантована потужність, (ii) </w:t>
      </w:r>
      <w:r w:rsidRPr="007E5633">
        <w:rPr>
          <w:rFonts w:ascii="Arial" w:hAnsi="Arial" w:cs="Arial"/>
          <w:color w:val="000000"/>
          <w:shd w:val="clear" w:color="auto" w:fill="F1F3F4"/>
          <w:lang w:val="uk-UA"/>
        </w:rPr>
        <w:t>переривчаста</w:t>
      </w:r>
      <w:r w:rsidRPr="007E5633">
        <w:rPr>
          <w:rFonts w:ascii="Arial" w:hAnsi="Arial" w:cs="Arial"/>
          <w:lang w:val="uk-UA"/>
        </w:rPr>
        <w:t xml:space="preserve"> потужність, (iii) </w:t>
      </w:r>
      <w:r w:rsidR="00A34EA4" w:rsidRPr="007E5633">
        <w:rPr>
          <w:rFonts w:ascii="Arial" w:hAnsi="Arial" w:cs="Arial"/>
          <w:lang w:val="uk-UA"/>
        </w:rPr>
        <w:t>зворотна</w:t>
      </w:r>
      <w:r w:rsidRPr="007E5633">
        <w:rPr>
          <w:rFonts w:ascii="Arial" w:hAnsi="Arial" w:cs="Arial"/>
          <w:lang w:val="uk-UA"/>
        </w:rPr>
        <w:t xml:space="preserve"> та обмежена можливість доступу. Номінації та зміни до них (пере-номінації) здійснюються клієнтами щодня в м3 і кВт-год з 16:00 UTC (D-1) до 2:00 UTC (D) і, у будь-якому випадку, принаймні 3 години до запланованої зміни; номінації та пере-номінації обробляються через інформаційну платформу TSO цілодобово.</w:t>
      </w:r>
    </w:p>
    <w:p w14:paraId="4E446EC2"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Потужність міждержавних з'єднань може бути виставлена ​​на аукціон, якщо сукупні заявки на номінацію перевищують виробничі потужності (Там само, глава IX.).</w:t>
      </w:r>
    </w:p>
    <w:p w14:paraId="3259D80D"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Порядок перевезення повинен бути гарантований на рівні щоденних та місячних дисбалансів за допомогою: банківської гарантії, грошової застави (Там само, глава VIII, глава II.). Жодна така механіка не передбачена для постачання PSO - тільки спеціальні рахунки.</w:t>
      </w:r>
    </w:p>
    <w:p w14:paraId="3BC240D1"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Користувач мережі (видобувна компанія, оператор установки СПГ, оператор UGS, DSO) та TSO підтверджують фактичні обсяги транспортування газу на 5-й день після місяця перевезення. на 8-й день після для видобувних підприємств, СПГ та оператори UGS повинні сертифікувати, відповідно, обсяги видобутого газу та чисті обсяги зберігання газу.</w:t>
      </w:r>
    </w:p>
    <w:p w14:paraId="263D6074"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Плата за балансування: TSO зобов'язаний виплатити клієнтові від'ємне сальдо надходження на 20-й день після відповідного місяця; якщо розміщення перевищує номінації для замовника, TSO зараховує його за ціною газу, що закуповується для потреб балансування. Ставка комісії визначається щоквартально і повинна бути опублікована до 12 числа після звітного кварталу (Згідно з зауваженнями Секретаріату Енергетичного Співтовариства, плата за балансування все ще є предметом суперечки між UTG та НКРЕКП у Energy Community DRN Centre).</w:t>
      </w:r>
    </w:p>
    <w:p w14:paraId="1BAA0368" w14:textId="77777777" w:rsidR="0042516F" w:rsidRPr="007E5633" w:rsidRDefault="0042516F" w:rsidP="0042516F">
      <w:pPr>
        <w:spacing w:after="120"/>
        <w:jc w:val="both"/>
        <w:rPr>
          <w:rFonts w:ascii="Arial" w:hAnsi="Arial" w:cs="Arial"/>
          <w:b/>
          <w:lang w:val="uk-UA"/>
        </w:rPr>
      </w:pPr>
      <w:r w:rsidRPr="007E5633">
        <w:rPr>
          <w:rFonts w:ascii="Arial" w:hAnsi="Arial" w:cs="Arial"/>
          <w:b/>
          <w:lang w:val="uk-UA"/>
        </w:rPr>
        <w:t>б Газовий DSO</w:t>
      </w:r>
    </w:p>
    <w:p w14:paraId="64516846"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DSO та споживач газу (будь-який суб'єкт господарювання) повинні укласти угоду про розподіл газу, яка відповідає модельній угоді, затвердженій НКРЕКП (Кодекс DSO, глава I, глава 1, розділ 4.). DSO надає TSO дані про прогнозоване та фактичне споживання. Постачальник призначає обсяги TSO для транспортування, а DSO забезпечує відправку (доставку) замовнику. Транспортні суми фіксуються в сертифікаті переказу між DSO та клієнтом, який підписується до 5-го числа місяця, що настає після транспортування (Кодекс DSO, глава IX, глава 3, розділи 3 та 4.).</w:t>
      </w:r>
    </w:p>
    <w:p w14:paraId="221A27D0"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lastRenderedPageBreak/>
        <w:t>DSO повинен заблокувати фізичну доставку клієнтам (і клієнт повинен подати заявку на фізичне блокування), якщо: (i) клієнт не зареєстрований у жодного постачальника; (іі) відсутня угода про розподіл газу; (ііі) поставлений газ не сплачується замовником тощо. DSO або постачальник, залежно від обставин, зобов'язаний письмово попередити споживача про блокування щонайменше за 72 години наперед; хімічні та металургійні компанії повинні бути попереджені, принаймні, за 120 годин. Постачальник має право, але не зобов'язаний підписати договір з DSO щодо блокування відключення покупцями такого постачальника.</w:t>
      </w:r>
    </w:p>
    <w:p w14:paraId="60761CFE"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Вимірювання здійснюється DSO щодня (на основі прогнозу) і коригується щомісяця. Якщо вимірювальний пристрій не має протоколу передачі даних, DSO може покладатися на щоденні дані, надані споживачем. DSO засвідчує споживачем та забезпечує дані вимірювання (кВт.год, Гкал, МДж) на одного споживача для TSO, який розподіляє обсяги постачальнику; ці дані також є правовою базою для сплати споживачем постачальнику (Там само, глава IX, глава 3, розділ 6.). DSO має опублікувати інформацію про прогноз та фактичні обсяги газу, потужності DS, тарифи та ціни на послуги, що надаються DSO.</w:t>
      </w:r>
    </w:p>
    <w:p w14:paraId="2E433296"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Нерозподілені (незареєстровані) споживачі платять DSO за ціною за спожитий газ без контракту на поставку.</w:t>
      </w:r>
    </w:p>
    <w:p w14:paraId="62F87710"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Обмін інформацією з DSO повинен здійснюватися в форматі EDI (</w:t>
      </w:r>
      <w:hyperlink r:id="rId71" w:history="1">
        <w:r w:rsidRPr="007E5633">
          <w:rPr>
            <w:rStyle w:val="ab"/>
            <w:rFonts w:ascii="Arial" w:hAnsi="Arial" w:cs="Arial"/>
            <w:lang w:val="uk-UA"/>
          </w:rPr>
          <w:t>www.edigas.org</w:t>
        </w:r>
      </w:hyperlink>
      <w:r w:rsidRPr="007E5633">
        <w:rPr>
          <w:rFonts w:ascii="Arial" w:hAnsi="Arial" w:cs="Arial"/>
          <w:lang w:val="uk-UA"/>
        </w:rPr>
        <w:t>).</w:t>
      </w:r>
    </w:p>
    <w:p w14:paraId="70FC8118" w14:textId="77777777" w:rsidR="0042516F" w:rsidRPr="007E5633" w:rsidRDefault="00F759F3" w:rsidP="0042516F">
      <w:pPr>
        <w:spacing w:after="120"/>
        <w:jc w:val="both"/>
        <w:rPr>
          <w:rFonts w:ascii="Arial" w:hAnsi="Arial" w:cs="Arial"/>
          <w:b/>
          <w:lang w:val="uk-UA"/>
        </w:rPr>
      </w:pPr>
      <w:r>
        <w:rPr>
          <w:rFonts w:ascii="Arial" w:hAnsi="Arial" w:cs="Arial"/>
          <w:b/>
          <w:lang w:val="uk-UA"/>
        </w:rPr>
        <w:t>в</w:t>
      </w:r>
      <w:r w:rsidR="0042516F" w:rsidRPr="007E5633">
        <w:rPr>
          <w:rFonts w:ascii="Arial" w:hAnsi="Arial" w:cs="Arial"/>
          <w:b/>
          <w:lang w:val="uk-UA"/>
        </w:rPr>
        <w:t xml:space="preserve"> Оператори UGS та СПГ</w:t>
      </w:r>
    </w:p>
    <w:p w14:paraId="21F15F38"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 xml:space="preserve">Замовник послуг </w:t>
      </w:r>
      <w:r w:rsidRPr="007E5633">
        <w:rPr>
          <w:rFonts w:ascii="Arial" w:hAnsi="Arial" w:cs="Arial"/>
          <w:b/>
          <w:lang w:val="uk-UA"/>
        </w:rPr>
        <w:t>UGS</w:t>
      </w:r>
      <w:r w:rsidRPr="007E5633">
        <w:rPr>
          <w:rFonts w:ascii="Arial" w:hAnsi="Arial" w:cs="Arial"/>
          <w:lang w:val="uk-UA"/>
        </w:rPr>
        <w:t xml:space="preserve"> укладає договір з оператором </w:t>
      </w:r>
      <w:r w:rsidRPr="007E5633">
        <w:rPr>
          <w:rFonts w:ascii="Arial" w:hAnsi="Arial" w:cs="Arial"/>
          <w:b/>
          <w:lang w:val="uk-UA"/>
        </w:rPr>
        <w:t>UGS</w:t>
      </w:r>
      <w:r w:rsidRPr="007E5633">
        <w:rPr>
          <w:rFonts w:ascii="Arial" w:hAnsi="Arial" w:cs="Arial"/>
          <w:lang w:val="uk-UA"/>
        </w:rPr>
        <w:t xml:space="preserve"> та призначає потужність для прийому та відвантаження (річна, щомісячна), щоденні номінації на вході або вивантаження доступні тільки тим клієнтам, які висували річну потужність або щомісячний робочий обсяг . Немає жодних обмежень щодо операцій між оператором </w:t>
      </w:r>
      <w:r w:rsidRPr="007E5633">
        <w:rPr>
          <w:rFonts w:ascii="Arial" w:hAnsi="Arial" w:cs="Arial"/>
          <w:b/>
          <w:lang w:val="uk-UA"/>
        </w:rPr>
        <w:t>UGS</w:t>
      </w:r>
      <w:r w:rsidRPr="007E5633">
        <w:rPr>
          <w:rFonts w:ascii="Arial" w:hAnsi="Arial" w:cs="Arial"/>
          <w:lang w:val="uk-UA"/>
        </w:rPr>
        <w:t xml:space="preserve"> та неліцензованими суб'єктами господарювання (крім домашніх господарств).</w:t>
      </w:r>
    </w:p>
    <w:p w14:paraId="43DEB798"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Передача права на майно здійснюється безкоштовно. Розподіл фактичного внесення та відбору здійснюється до 12 числа місяця, що настає після надання послуги, і здійснюється на основі віртуальної точки входу.</w:t>
      </w:r>
    </w:p>
    <w:p w14:paraId="52360A4D"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Тільки щорічні номінації про потужність можуть бути передані; в той час як цілий період або його частина можуть бути призначені, номінації не можуть бути відокремлені (тобто надходження, вивантаження та робочий об'єм (газу) повинні бути передані разом) через заявку (Кодекс UGS, глава VIII, глава 2) правонаступником оператора UGS, така заявка повинна бути ефективною з 1-го календарного дня місяця (по газу). Оператор UGS має певну свободу дій, щоб відмовити в присвоєнні/розподілі (Кодекс UGS, там само, не визначає або не обмежує підстави для відмови від присвоєння). Таким чином, плавна передача фізичних об'ємів та номінацій UGS буде здійснюватися між трейдерами, які здійснюють операції (i), коли прямий контрагент оператора UGS діє аналогічно центральному контрагенту або гарантійному агенту або (ii) між прямими контрагентами оператора UGS (який діє аналогічно центральному контрагенту).</w:t>
      </w:r>
    </w:p>
    <w:p w14:paraId="7E35FBC5"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Оператори установок СПГ повинні дотримуватися тих самих правил, що й оператор UGS за винятком того, що їхні послуги оцінюються вільно.</w:t>
      </w:r>
    </w:p>
    <w:p w14:paraId="78089F90" w14:textId="77777777" w:rsidR="0042516F" w:rsidRPr="007E5633" w:rsidRDefault="00F759F3" w:rsidP="0042516F">
      <w:pPr>
        <w:spacing w:after="120"/>
        <w:jc w:val="both"/>
        <w:rPr>
          <w:rFonts w:ascii="Arial" w:hAnsi="Arial" w:cs="Arial"/>
          <w:b/>
          <w:lang w:val="uk-UA"/>
        </w:rPr>
      </w:pPr>
      <w:r>
        <w:rPr>
          <w:rFonts w:ascii="Arial" w:hAnsi="Arial" w:cs="Arial"/>
          <w:b/>
          <w:lang w:val="uk-UA"/>
        </w:rPr>
        <w:t>г</w:t>
      </w:r>
      <w:r w:rsidR="0042516F" w:rsidRPr="007E5633">
        <w:rPr>
          <w:rFonts w:ascii="Arial" w:hAnsi="Arial" w:cs="Arial"/>
          <w:b/>
          <w:lang w:val="uk-UA"/>
        </w:rPr>
        <w:t>. ETS</w:t>
      </w:r>
    </w:p>
    <w:p w14:paraId="7DDE3FD6"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TSO несе відповідальність за якість та безпеку постачання. Контроль якості в договірних відносинах є досить загальним; з іншого боку, існує адміністративний закон, що стосується інспекцій та їх перевірок, які, однак, не дуже ефективні. Учасники ринку повинні укладати прямі контракти з TSO на умовах, що відповідають типовій угоді про взаємозв'язок та відповідно до технічних умов. Чисті трейдери можуть обмежуватись лише контрактами, пов'язаними з членством на ринкових платформах.</w:t>
      </w:r>
    </w:p>
    <w:p w14:paraId="5243DD91"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lastRenderedPageBreak/>
        <w:t>Ми відзначаємо, що діяльність із зберігання енергії в українському законодавстві та нормативних актах не визначені, хоча існує зацікавленість у розвитку цієї діяльності та продуктів.</w:t>
      </w:r>
    </w:p>
    <w:p w14:paraId="1097E204" w14:textId="77777777" w:rsidR="0042516F" w:rsidRPr="007E5633" w:rsidRDefault="0042516F" w:rsidP="0042516F">
      <w:pPr>
        <w:spacing w:after="120"/>
        <w:jc w:val="both"/>
        <w:rPr>
          <w:rFonts w:ascii="Arial" w:hAnsi="Arial" w:cs="Arial"/>
          <w:lang w:val="uk-UA"/>
        </w:rPr>
      </w:pPr>
      <w:r w:rsidRPr="007E5633">
        <w:rPr>
          <w:rFonts w:ascii="Arial" w:hAnsi="Arial" w:cs="Arial"/>
          <w:lang w:val="uk-UA"/>
        </w:rPr>
        <w:t>TSO має опублікувати прогноз та фактичну інформацію за останні два роки щодо:</w:t>
      </w:r>
    </w:p>
    <w:p w14:paraId="2DC65ADE"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Потужності та наявності ETS, фізичних обмежень та технічних заходів;</w:t>
      </w:r>
    </w:p>
    <w:p w14:paraId="2D98BEF5"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Обмежень доступу учасників ринку до ETS;</w:t>
      </w:r>
    </w:p>
    <w:p w14:paraId="57E27B58"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Розвитку інфраструктури ETS та ефекту її впливу на взаємозв'язки з ETS інших країн;</w:t>
      </w:r>
    </w:p>
    <w:p w14:paraId="26A2BD9B"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наявних та виділених щорічних, щомісячних, щотижневих, щоденних потужностей;</w:t>
      </w:r>
    </w:p>
    <w:p w14:paraId="4C50A698"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загальних фізичних та комерційних потоків за кожний звітний період, планові ремонти генераторних установок потужністю понад 100 МВт в номінальному об'ємі;</w:t>
      </w:r>
    </w:p>
    <w:p w14:paraId="4D13F367"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попиту та пропозиції виробничих потужностей, FRR, балансування електроенергії та резервів;</w:t>
      </w:r>
    </w:p>
    <w:p w14:paraId="116D9CA0" w14:textId="77777777" w:rsidR="0042516F" w:rsidRPr="007E5633" w:rsidRDefault="0042516F" w:rsidP="000D248B">
      <w:pPr>
        <w:pStyle w:val="a4"/>
        <w:numPr>
          <w:ilvl w:val="0"/>
          <w:numId w:val="70"/>
        </w:numPr>
        <w:spacing w:after="120"/>
        <w:ind w:left="567"/>
        <w:jc w:val="both"/>
        <w:rPr>
          <w:rFonts w:ascii="Arial" w:hAnsi="Arial" w:cs="Arial"/>
          <w:lang w:val="uk-UA"/>
        </w:rPr>
      </w:pPr>
      <w:r w:rsidRPr="007E5633">
        <w:rPr>
          <w:rFonts w:ascii="Arial" w:hAnsi="Arial" w:cs="Arial"/>
          <w:lang w:val="uk-UA"/>
        </w:rPr>
        <w:t>Відправлення електроенергії з відновлюваних джерел.</w:t>
      </w:r>
    </w:p>
    <w:p w14:paraId="351E5050" w14:textId="77777777" w:rsidR="006A6D87" w:rsidRPr="007E5633" w:rsidRDefault="0042516F" w:rsidP="000D248B">
      <w:pPr>
        <w:pStyle w:val="a4"/>
        <w:numPr>
          <w:ilvl w:val="0"/>
          <w:numId w:val="70"/>
        </w:numPr>
        <w:suppressAutoHyphens w:val="0"/>
        <w:ind w:left="567"/>
        <w:rPr>
          <w:rFonts w:ascii="Arial" w:hAnsi="Arial" w:cs="Arial"/>
          <w:sz w:val="20"/>
          <w:szCs w:val="20"/>
          <w:lang w:val="uk-UA"/>
        </w:rPr>
      </w:pPr>
      <w:r w:rsidRPr="007E5633">
        <w:rPr>
          <w:rFonts w:ascii="Arial" w:hAnsi="Arial" w:cs="Arial"/>
          <w:lang w:val="uk-UA"/>
        </w:rPr>
        <w:t>DSO та TSO забезпечують, щоб EIC були у відповідності до стандартів ENTSO-E.</w:t>
      </w:r>
    </w:p>
    <w:p w14:paraId="66FBCAA7" w14:textId="77777777" w:rsidR="00926A3C" w:rsidRPr="007E5633" w:rsidRDefault="0042516F" w:rsidP="000D248B">
      <w:pPr>
        <w:pStyle w:val="FSHeader1"/>
        <w:numPr>
          <w:ilvl w:val="0"/>
          <w:numId w:val="34"/>
        </w:numPr>
        <w:ind w:left="432" w:hanging="432"/>
        <w:rPr>
          <w:rFonts w:ascii="Arial" w:hAnsi="Arial" w:cs="Arial"/>
          <w:lang w:val="uk-UA"/>
        </w:rPr>
      </w:pPr>
      <w:bookmarkStart w:id="167" w:name="_Toc533093969"/>
      <w:r w:rsidRPr="007E5633">
        <w:rPr>
          <w:rFonts w:ascii="Arial" w:hAnsi="Arial" w:cs="Arial"/>
          <w:lang w:val="uk-UA"/>
        </w:rPr>
        <w:lastRenderedPageBreak/>
        <w:t>ЧАСТИНА IV: Аналіз прогалин</w:t>
      </w:r>
      <w:bookmarkEnd w:id="167"/>
    </w:p>
    <w:p w14:paraId="649A4E58"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На основі нашого аналізу ми виявили ряд системних недоліків у регулюванні </w:t>
      </w:r>
      <w:r w:rsidR="00F966A5" w:rsidRPr="00F966A5">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(сировинних ринків) в Україні. Наявні суттєві недоліки з точки зору змісту регулювання та відсутності структур повноцінного контролю та управління.</w:t>
      </w:r>
    </w:p>
    <w:p w14:paraId="0EBC7278"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Відсутність правової бази по забезпеченню прозорості є важливим системним ризиком для виникнення стійких ринкових структур. Існуюча сьогодні непрозорість визначення цін та приховування інформації про транзакції, що відбуваються на ринку, стимулюють зловживання на ринку і підривають довіру до механізму ціноутворення і до ринку в цілому.</w:t>
      </w:r>
    </w:p>
    <w:p w14:paraId="6E8019AB"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Україні необхідно створити інфраструктуру для зберігання зібраних ринкових даних та чіткі структури контролю та управління, щоб забезпечити ефективний нагляд з боку відповідних інституційних органів.</w:t>
      </w:r>
    </w:p>
    <w:p w14:paraId="4365982D"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Плутанина стосовно організованих торгових майданчиків</w:t>
      </w:r>
      <w:r w:rsidRPr="007E5633">
        <w:rPr>
          <w:rFonts w:ascii="Arial" w:eastAsia="Times New Roman" w:hAnsi="Arial" w:cs="Arial"/>
          <w:color w:val="000000"/>
          <w:lang w:val="uk-UA" w:eastAsia="ru-RU"/>
        </w:rPr>
        <w:t>: законодавство ЄС чітко визначає різні форми торгових майданчиків відповідно до правил, що застосовуються до організованих торгових майданчиків. Торгові майданчики можуть проводити торги різними типами класів активів та продуктів на основі точних умов, затверджених регулюючим органом. На оптових ринках електроенергії та газу регуляторна база ЄС чітко визначає питання ліцензування операторів таких майданчиків шляхом визначення зобов'язань таких операторів стосовно прозорості у наданні ринку інформації до проведення торгів і після проведення торгів.</w:t>
      </w:r>
    </w:p>
    <w:p w14:paraId="2B8BD549"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 Україні ж існує практика саморегулювання, а брокерські торгові платформи кваліфікуються як "біржі".</w:t>
      </w:r>
    </w:p>
    <w:p w14:paraId="2E820A51"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регуляторних стандартів.</w:t>
      </w:r>
      <w:r w:rsidRPr="007E5633">
        <w:rPr>
          <w:rFonts w:ascii="Arial" w:eastAsia="Times New Roman" w:hAnsi="Arial" w:cs="Arial"/>
          <w:color w:val="000000"/>
          <w:lang w:val="uk-UA" w:eastAsia="ru-RU"/>
        </w:rPr>
        <w:t> Платформи, що надають послуги з посередництва у позабіржовій торгівлі (OTC), працюють через брокерів, які зобов'язані забезпечити найкраще виконання та слідувати обов'язковим правилам прозорості, згідно визначених ліцензійних умов. Якщо вони не виконують ліцензійні умови і стандарти, вони можуть втратити свої ліцензії, бо брокерські платформи відіграють важливу роль у наданні даних ринку. Вони або пропонують звіти від імені своїх клієнтів, або співпрацюють з каналами звітування, обраними їхніми клієнтами.</w:t>
      </w:r>
    </w:p>
    <w:p w14:paraId="4DD29320"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 Україні ж такі платформи працюють як некомерційні підприємництва з добровільним саморегулюванням без належного нагляду.</w:t>
      </w:r>
    </w:p>
    <w:p w14:paraId="22631A54"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розмежування функціональних ролей на ринку (Роз'єднання, Unbundling)</w:t>
      </w:r>
      <w:r w:rsidRPr="007E5633">
        <w:rPr>
          <w:rFonts w:ascii="Arial" w:eastAsia="Times New Roman" w:hAnsi="Arial" w:cs="Arial"/>
          <w:color w:val="000000"/>
          <w:lang w:val="uk-UA" w:eastAsia="ru-RU"/>
        </w:rPr>
        <w:t>: в даний час відсутнє чітке розуміння ролей учасників ринку, оскільки Україна поки що не Роз'єднала мережі (grids) від функцій торгівлі та постачання як по електроенергії, так і по природному газу. В Європі незалежні оператори мереж взяли на себе роль створення ринку. Без ефективного роз'єднання мережі повноцінний ринок не з'явиться.</w:t>
      </w:r>
    </w:p>
    <w:p w14:paraId="4EF5CAFA"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Нинішня вертикально інтегрована інфраструктура в газовій галузі ("Нафтогаз") та електроенергетиці (Міністерство економіки та вугільної промисловості) не зможуть забезпечити розвиток енергетичного ринку. Тільки повністю незалежні Оператори системи передачі (ОСП), які працюють на основі прозорого та недискримінаційного режиму доступу третіх сторін до мережі, здатні забезпечити функціонування справжніх ринків.</w:t>
      </w:r>
    </w:p>
    <w:p w14:paraId="4678B714"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стандартизації:</w:t>
      </w:r>
      <w:r w:rsidRPr="007E5633">
        <w:rPr>
          <w:rFonts w:ascii="Arial" w:eastAsia="Times New Roman" w:hAnsi="Arial" w:cs="Arial"/>
          <w:color w:val="000000"/>
          <w:lang w:val="uk-UA" w:eastAsia="ru-RU"/>
        </w:rPr>
        <w:t xml:space="preserve"> українське законодавство не передбачає стандартизації контрактів на електроенергію, газ або CO2. Для розвитку торгівлі енергією міжнародні торгові компанії потребують наявності стандартних продуктів, що убезпечуватимуть їх від стандартних ризиків. В ідеалі, вони можуть продавати певні продукти як в межах </w:t>
      </w:r>
      <w:r w:rsidRPr="007E5633">
        <w:rPr>
          <w:rFonts w:ascii="Arial" w:eastAsia="Times New Roman" w:hAnsi="Arial" w:cs="Arial"/>
          <w:color w:val="000000"/>
          <w:lang w:val="uk-UA" w:eastAsia="ru-RU"/>
        </w:rPr>
        <w:lastRenderedPageBreak/>
        <w:t xml:space="preserve">певних країн, так і поза їх межами. Оскільки стандарти є ключовими для розвитку ліквідності у торгівлі </w:t>
      </w:r>
      <w:r w:rsidR="00F966A5" w:rsidRPr="00F966A5">
        <w:rPr>
          <w:rFonts w:ascii="Arial" w:eastAsia="Times New Roman" w:hAnsi="Arial" w:cs="Arial"/>
          <w:color w:val="000000"/>
          <w:lang w:val="uk-UA" w:eastAsia="ru-RU"/>
        </w:rPr>
        <w:t>товарни</w:t>
      </w:r>
      <w:r w:rsidR="00F966A5">
        <w:rPr>
          <w:rFonts w:ascii="Arial" w:eastAsia="Times New Roman" w:hAnsi="Arial" w:cs="Arial"/>
          <w:color w:val="000000"/>
          <w:lang w:val="uk-UA" w:eastAsia="ru-RU"/>
        </w:rPr>
        <w:t>ми</w:t>
      </w:r>
      <w:r w:rsidR="00F966A5" w:rsidRPr="00F966A5">
        <w:rPr>
          <w:rFonts w:ascii="Arial" w:eastAsia="Times New Roman" w:hAnsi="Arial" w:cs="Arial"/>
          <w:color w:val="000000"/>
          <w:lang w:val="uk-UA" w:eastAsia="ru-RU"/>
        </w:rPr>
        <w:t xml:space="preserve"> контракт</w:t>
      </w:r>
      <w:r w:rsidR="00F966A5">
        <w:rPr>
          <w:rFonts w:ascii="Arial" w:eastAsia="Times New Roman" w:hAnsi="Arial" w:cs="Arial"/>
          <w:color w:val="000000"/>
          <w:lang w:val="uk-UA" w:eastAsia="ru-RU"/>
        </w:rPr>
        <w:t>ами</w:t>
      </w:r>
      <w:r w:rsidRPr="007E5633">
        <w:rPr>
          <w:rFonts w:ascii="Arial" w:eastAsia="Times New Roman" w:hAnsi="Arial" w:cs="Arial"/>
          <w:color w:val="000000"/>
          <w:lang w:val="uk-UA" w:eastAsia="ru-RU"/>
        </w:rPr>
        <w:t>, Україна повинна працювати над торгівлею стандартними продуктами та забезпеченням стандартного завершення угод. Україні потрібно визначити спектр оптових енергетичних продуктів та слідувати європейському прикладу, оскільки якщо енергетичні продукти в Україні будуть відрізнятися від тих. які існують в Європі, то це може стати серйозною ринковою перешкодою для неукраїнських торговельних компаній.</w:t>
      </w:r>
    </w:p>
    <w:p w14:paraId="20146770"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Недостатня правова реформа:</w:t>
      </w:r>
      <w:r w:rsidRPr="007E5633">
        <w:rPr>
          <w:rFonts w:ascii="Arial" w:eastAsia="Times New Roman" w:hAnsi="Arial" w:cs="Arial"/>
          <w:color w:val="000000"/>
          <w:lang w:val="uk-UA" w:eastAsia="ru-RU"/>
        </w:rPr>
        <w:t xml:space="preserve"> пов'язана проблема полягає у подальшому розвитку сучасної правової системи з незалежними судами та ефективним виконанням судових рішень. Українське законодавство повинно включати в себе принципи взаємозаліку (netting) та відокремлення ринків високих частот. Відсутність стандартизації продукції </w:t>
      </w:r>
      <w:r w:rsidR="00F966A5">
        <w:rPr>
          <w:rFonts w:ascii="Arial" w:eastAsia="Times New Roman" w:hAnsi="Arial" w:cs="Arial"/>
          <w:color w:val="000000"/>
          <w:lang w:val="uk-UA" w:eastAsia="ru-RU"/>
        </w:rPr>
        <w:t xml:space="preserve">для </w:t>
      </w:r>
      <w:r w:rsidR="00F966A5" w:rsidRPr="00F966A5">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ускладнюється повною відсутністю будь-яких регуляторних вимог щодо збору прогнозних та фактичних даних задля забезпечення ефективного регуляторного нагляду. Національний регулятор повинен мати змогу контролювати ринки в режимі реального часу (он-лайн).</w:t>
      </w:r>
    </w:p>
    <w:p w14:paraId="49D1001D"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прозорості:</w:t>
      </w:r>
      <w:r w:rsidRPr="007E5633">
        <w:rPr>
          <w:rFonts w:ascii="Arial" w:eastAsia="Times New Roman" w:hAnsi="Arial" w:cs="Arial"/>
          <w:color w:val="000000"/>
          <w:lang w:val="uk-UA" w:eastAsia="ru-RU"/>
        </w:rPr>
        <w:t xml:space="preserve"> Україна не визнає ніякого конкретного режиму прозорості для ринку </w:t>
      </w:r>
      <w:r w:rsidR="00F966A5" w:rsidRPr="00F966A5">
        <w:rPr>
          <w:rFonts w:ascii="Arial" w:eastAsia="Times New Roman" w:hAnsi="Arial" w:cs="Arial"/>
          <w:color w:val="000000"/>
          <w:lang w:val="uk-UA" w:eastAsia="ru-RU"/>
        </w:rPr>
        <w:t>товарних контрактів</w:t>
      </w:r>
      <w:r w:rsidRPr="007E5633">
        <w:rPr>
          <w:rFonts w:ascii="Arial" w:eastAsia="Times New Roman" w:hAnsi="Arial" w:cs="Arial"/>
          <w:color w:val="000000"/>
          <w:lang w:val="uk-UA" w:eastAsia="ru-RU"/>
        </w:rPr>
        <w:t>. Інформація про учасників ринку не є загальнодоступною, немає жодної форми державної реєстрації або подання звітності щодо укладених контрактів у цій сфері. Крім того, інформація про торгівлю зберігається в якості приватної власності компаній, не існує обміну інформацією, не говорячи вже про сумісність обліку торгових операцій між «біржами».</w:t>
      </w:r>
    </w:p>
    <w:p w14:paraId="71FE3CDD"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В Європейському Союзі REMIT передбачає спеціальний режим прозорості у цій галузі для основних даних та для операцій у енергетичній галузі. Прозорість створює довіру, а довіра створює ліквідність. Існує чітка потреба в роботі над режимом прозорості в контексті відкритості енергетичного ринку.</w:t>
      </w:r>
    </w:p>
    <w:p w14:paraId="4171CC71"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Фундаментальні дані</w:t>
      </w:r>
      <w:r w:rsidRPr="007E5633">
        <w:rPr>
          <w:rFonts w:ascii="Arial" w:eastAsia="Times New Roman" w:hAnsi="Arial" w:cs="Arial"/>
          <w:color w:val="000000"/>
          <w:lang w:val="uk-UA" w:eastAsia="ru-RU"/>
        </w:rPr>
        <w:t> щодо потужностей та використання об'єктів для виробництва, зберігання, споживання або передачі електричної енергії або природного газу, включаючи планову чи позапланову наявність потужності. Одним із важливих аспектів подання звітності по фундаментальних даних є запобігання інсайдерській торгівлі у зв'язку з плановими або незапланованими простоями електростанцій та трубопровідних систем. Власники цих об’єктів в Україні та оператори системи повинні бути суб’єктами більш детальних правил щодо того, як публікувати повідомлення про відключення та про те, як пов'язані торговельні організації мають розглядати цю інформацію, щоб уникнути асиметричності інформації.</w:t>
      </w:r>
    </w:p>
    <w:p w14:paraId="45BCE317"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Звітність по транзакційних даних</w:t>
      </w:r>
      <w:r w:rsidRPr="007E5633">
        <w:rPr>
          <w:rFonts w:ascii="Arial" w:eastAsia="Times New Roman" w:hAnsi="Arial" w:cs="Arial"/>
          <w:color w:val="000000"/>
          <w:lang w:val="uk-UA" w:eastAsia="ru-RU"/>
        </w:rPr>
        <w:t> стосується прозорості торгівлі фізичною енергією (електроенергія та газ) в рамках REMIT. Кожна транзакція по оптовій торгівлі енергією повинна бути повідомлена, включаючи пов'язану інформацію, впродовж терміну дії транзакції. Оскільки оптова торгівля енергією починається з замовлення на організованому ринку (біржі) до останньої дати доставки, то вона може тривати від декількох хвилин (ринок балансування) до кількох років. У рамках REMIT до ACER подаються дані щодо замовлення; дані по транзакціях по електроенергії та газу, транспортні контракти, дані про первинну та вторинну потужність; транзакцій з балансування.</w:t>
      </w:r>
    </w:p>
    <w:p w14:paraId="7A60D39A"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Дані про будь-які енергетичні деривативи повідомляються в рамках EMIR, а ESMA надає їх ACER.</w:t>
      </w:r>
    </w:p>
    <w:p w14:paraId="6FA2AA83"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Сьогоднішня відсутність обов'язків щодо звітності стимулює інсайдерську торгівлю та зловживання на ринку та є основною перешкодою для створення сучасного ринку </w:t>
      </w:r>
      <w:r w:rsidR="00F966A5" w:rsidRPr="00F966A5">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в Україні. Інсайдерська торгівля на ринках</w:t>
      </w:r>
      <w:r w:rsidR="00F966A5" w:rsidRPr="00F966A5">
        <w:t xml:space="preserve"> </w:t>
      </w:r>
      <w:r w:rsidR="00F966A5" w:rsidRPr="00F966A5">
        <w:rPr>
          <w:rFonts w:ascii="Arial" w:eastAsia="Times New Roman" w:hAnsi="Arial" w:cs="Arial"/>
          <w:color w:val="000000"/>
          <w:lang w:val="uk-UA" w:eastAsia="ru-RU"/>
        </w:rPr>
        <w:t>товарних контрактів</w:t>
      </w:r>
      <w:r w:rsidRPr="007E5633">
        <w:rPr>
          <w:rFonts w:ascii="Arial" w:eastAsia="Times New Roman" w:hAnsi="Arial" w:cs="Arial"/>
          <w:color w:val="000000"/>
          <w:lang w:val="uk-UA" w:eastAsia="ru-RU"/>
        </w:rPr>
        <w:t xml:space="preserve">, з </w:t>
      </w:r>
      <w:r w:rsidRPr="007E5633">
        <w:rPr>
          <w:rFonts w:ascii="Arial" w:eastAsia="Times New Roman" w:hAnsi="Arial" w:cs="Arial"/>
          <w:color w:val="000000"/>
          <w:lang w:val="uk-UA" w:eastAsia="ru-RU"/>
        </w:rPr>
        <w:lastRenderedPageBreak/>
        <w:t>іншого боку, повинна бути поза законом в Україні, і регулятори повинні мати можливість застосовувати правові норми з метою боротьби з маніпуляціями.</w:t>
      </w:r>
    </w:p>
    <w:p w14:paraId="4E744F43"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Фізичний ринок</w:t>
      </w:r>
      <w:r w:rsidRPr="007E5633">
        <w:rPr>
          <w:rFonts w:ascii="Arial" w:eastAsia="Times New Roman" w:hAnsi="Arial" w:cs="Arial"/>
          <w:color w:val="000000"/>
          <w:lang w:val="uk-UA" w:eastAsia="ru-RU"/>
        </w:rPr>
        <w:t xml:space="preserve">: в Україні в даний час не існує будь-якого державного реєстру для торговців </w:t>
      </w:r>
      <w:r w:rsidR="00F966A5" w:rsidRPr="00F966A5">
        <w:rPr>
          <w:rFonts w:ascii="Arial" w:eastAsia="Times New Roman" w:hAnsi="Arial" w:cs="Arial"/>
          <w:color w:val="000000"/>
          <w:lang w:val="uk-UA" w:eastAsia="ru-RU"/>
        </w:rPr>
        <w:t>товарни</w:t>
      </w:r>
      <w:r w:rsidR="00F966A5">
        <w:rPr>
          <w:rFonts w:ascii="Arial" w:eastAsia="Times New Roman" w:hAnsi="Arial" w:cs="Arial"/>
          <w:color w:val="000000"/>
          <w:lang w:val="uk-UA" w:eastAsia="ru-RU"/>
        </w:rPr>
        <w:t>ми</w:t>
      </w:r>
      <w:r w:rsidR="00F966A5" w:rsidRPr="00F966A5">
        <w:rPr>
          <w:rFonts w:ascii="Arial" w:eastAsia="Times New Roman" w:hAnsi="Arial" w:cs="Arial"/>
          <w:color w:val="000000"/>
          <w:lang w:val="uk-UA" w:eastAsia="ru-RU"/>
        </w:rPr>
        <w:t xml:space="preserve"> контракт</w:t>
      </w:r>
      <w:r w:rsidR="00F966A5">
        <w:rPr>
          <w:rFonts w:ascii="Arial" w:eastAsia="Times New Roman" w:hAnsi="Arial" w:cs="Arial"/>
          <w:color w:val="000000"/>
          <w:lang w:val="uk-UA" w:eastAsia="ru-RU"/>
        </w:rPr>
        <w:t>ами</w:t>
      </w:r>
      <w:r w:rsidRPr="007E5633">
        <w:rPr>
          <w:rFonts w:ascii="Arial" w:eastAsia="Times New Roman" w:hAnsi="Arial" w:cs="Arial"/>
          <w:color w:val="000000"/>
          <w:lang w:val="uk-UA" w:eastAsia="ru-RU"/>
        </w:rPr>
        <w:t>, які здійснюють фізичні транзакції газом або електроенергією. Повністю відсутня публічно доступна інформація про учасників ринку. Трейдери не мають обов'язків звітувати по фізично здійснених (здійснюваних) угодах. Трейдери працюють без будь-якої ліцензії, окрім випадків, коли фізичне постачання здійснюється кінцевому споживачеві. Проте всі торговці можуть отримати унікальні ідентифікатори та реєструватися на платформі TSO.</w:t>
      </w:r>
    </w:p>
    <w:p w14:paraId="5F1197ED"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ефективних платформ:</w:t>
      </w:r>
      <w:r w:rsidRPr="007E5633">
        <w:rPr>
          <w:rFonts w:ascii="Arial" w:eastAsia="Times New Roman" w:hAnsi="Arial" w:cs="Arial"/>
          <w:color w:val="000000"/>
          <w:lang w:val="uk-UA" w:eastAsia="ru-RU"/>
        </w:rPr>
        <w:t> Українські ОСП в даний час закуповують балансування енергії на державній фінансованій платформі "</w:t>
      </w:r>
      <w:r w:rsidRPr="007E5633">
        <w:rPr>
          <w:rFonts w:ascii="Arial" w:eastAsia="Times New Roman" w:hAnsi="Arial" w:cs="Arial"/>
          <w:i/>
          <w:iCs/>
          <w:color w:val="000000"/>
          <w:lang w:val="uk-UA" w:eastAsia="ru-RU"/>
        </w:rPr>
        <w:t>Prozorro".</w:t>
      </w:r>
      <w:r w:rsidRPr="007E5633">
        <w:rPr>
          <w:rFonts w:ascii="Arial" w:eastAsia="Times New Roman" w:hAnsi="Arial" w:cs="Arial"/>
          <w:color w:val="000000"/>
          <w:lang w:val="uk-UA" w:eastAsia="ru-RU"/>
        </w:rPr>
        <w:t> Хоча платформа і ефективна у здійсненні державних закупівель (здійснюючи придбання для всіх держпідприємств), бо є більш прозорою, але вона не підходить для підтримки ліквідного та високостандартизованого ринку газо- та електропостачання. Необхідні спеціальні торгові платформи для газу і електроенергії, а також зобов'язання державних підприємств виступати на таких майданчиках в якості «маркет-мейкерів» (market-maker).</w:t>
      </w:r>
    </w:p>
    <w:p w14:paraId="40FE5017"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стандартних продуктів:</w:t>
      </w:r>
      <w:r w:rsidRPr="007E5633">
        <w:rPr>
          <w:rFonts w:ascii="Arial" w:eastAsia="Times New Roman" w:hAnsi="Arial" w:cs="Arial"/>
          <w:color w:val="000000"/>
          <w:lang w:val="uk-UA" w:eastAsia="ru-RU"/>
        </w:rPr>
        <w:t> для розвитку ліквідності на фізичному та фінансовому ринках необхідні стандартні «юридичні продукти».</w:t>
      </w:r>
    </w:p>
    <w:p w14:paraId="775358E5"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Неефективна передача прав власності</w:t>
      </w:r>
      <w:r w:rsidRPr="007E5633">
        <w:rPr>
          <w:rFonts w:ascii="Arial" w:eastAsia="Times New Roman" w:hAnsi="Arial" w:cs="Arial"/>
          <w:color w:val="000000"/>
          <w:lang w:val="uk-UA" w:eastAsia="ru-RU"/>
        </w:rPr>
        <w:t>: поточна практика закриття угод в Україні перешкоджає створенню ринкових структур для фізичної торгівлі газом через відсутність ефективного механізму передачі права власності (Title Transfer Facility)*. Двосторонні торговельні або брокерські платформи, такі як, наприклад, "Українська енергетична біржа", не можуть видати сертифікат на право власності при передачі газу. Кожного разу, коли брокер створює можливість здійснити транзакцію через свій майданчик, вводиться в дію складна система номінацій (призначень), які повинні підтверджуватися ОСП. Виконання угод здійснюється за умови підтвердження того, що газ може бути доставлений через ОСП, де ОСП виступатиме в якості розрахункового агента або за наявності достатньої суми застави. ОСП має право скасувати будь-яке виконання угоди в різних сценаріях, включаючи відсутність застави.</w:t>
      </w:r>
    </w:p>
    <w:p w14:paraId="53864186"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 TTF: термін TTF використовується голландським TSO Gasunie. Подібні послуги надаються </w:t>
      </w:r>
      <w:r w:rsidRPr="007E5633">
        <w:rPr>
          <w:rFonts w:ascii="Arial" w:hAnsi="Arial" w:cs="Arial"/>
          <w:sz w:val="24"/>
          <w:szCs w:val="24"/>
          <w:lang w:val="uk-UA"/>
        </w:rPr>
        <w:t>TSO</w:t>
      </w:r>
      <w:r w:rsidRPr="007E5633">
        <w:rPr>
          <w:rFonts w:ascii="Arial" w:eastAsia="Times New Roman" w:hAnsi="Arial" w:cs="Arial"/>
          <w:color w:val="000000"/>
          <w:lang w:val="uk-UA" w:eastAsia="ru-RU"/>
        </w:rPr>
        <w:t xml:space="preserve"> або операторами торговельних платформ (зокрема, CEGH) країн-членів ЄС, крім Нідерландів. Зокрема, послуги передачі прав власності надаються Eustream (див. Операційний замовлення Eustream / Eustream Operational Order), Energinet (див. Правила Energinet для GTF) тощо. У Нідерландах TTF є віртуальним майданчиком, де торгують газом і який вже був інтегрований у транспортну систему, що полегшує/спрощує торгівлю. Угоди реєструються шляхом "номінацій". Номінації - це електронні повідомлення, що вказують обсяг переданого газу, період та покупців і продавців.</w:t>
      </w:r>
    </w:p>
    <w:p w14:paraId="608CA717"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клірингу:</w:t>
      </w:r>
      <w:r w:rsidRPr="007E5633">
        <w:rPr>
          <w:rFonts w:ascii="Arial" w:eastAsia="Times New Roman" w:hAnsi="Arial" w:cs="Arial"/>
          <w:color w:val="000000"/>
          <w:lang w:val="uk-UA" w:eastAsia="ru-RU"/>
        </w:rPr>
        <w:t xml:space="preserve"> поточне закриття угод в Україні не дозволяє виникнути фінансовому та </w:t>
      </w:r>
      <w:r w:rsidR="00F966A5">
        <w:rPr>
          <w:rFonts w:ascii="Arial" w:eastAsia="Times New Roman" w:hAnsi="Arial" w:cs="Arial"/>
          <w:color w:val="000000"/>
          <w:lang w:val="uk-UA" w:eastAsia="ru-RU"/>
        </w:rPr>
        <w:t xml:space="preserve">товарному </w:t>
      </w:r>
      <w:r w:rsidRPr="007E5633">
        <w:rPr>
          <w:rFonts w:ascii="Arial" w:eastAsia="Times New Roman" w:hAnsi="Arial" w:cs="Arial"/>
          <w:color w:val="000000"/>
          <w:lang w:val="uk-UA" w:eastAsia="ru-RU"/>
        </w:rPr>
        <w:t>ф’ючерсн</w:t>
      </w:r>
      <w:r w:rsidR="00F966A5">
        <w:rPr>
          <w:rFonts w:ascii="Arial" w:eastAsia="Times New Roman" w:hAnsi="Arial" w:cs="Arial"/>
          <w:color w:val="000000"/>
          <w:lang w:val="uk-UA" w:eastAsia="ru-RU"/>
        </w:rPr>
        <w:t>им</w:t>
      </w:r>
      <w:r w:rsidRPr="007E5633">
        <w:rPr>
          <w:rFonts w:ascii="Arial" w:eastAsia="Times New Roman" w:hAnsi="Arial" w:cs="Arial"/>
          <w:color w:val="000000"/>
          <w:lang w:val="uk-UA" w:eastAsia="ru-RU"/>
        </w:rPr>
        <w:t xml:space="preserve"> ринк</w:t>
      </w:r>
      <w:r w:rsidR="00F966A5">
        <w:rPr>
          <w:rFonts w:ascii="Arial" w:eastAsia="Times New Roman" w:hAnsi="Arial" w:cs="Arial"/>
          <w:color w:val="000000"/>
          <w:lang w:val="uk-UA" w:eastAsia="ru-RU"/>
        </w:rPr>
        <w:t>ам</w:t>
      </w:r>
      <w:r w:rsidRPr="007E5633">
        <w:rPr>
          <w:rFonts w:ascii="Arial" w:eastAsia="Times New Roman" w:hAnsi="Arial" w:cs="Arial"/>
          <w:color w:val="000000"/>
          <w:lang w:val="uk-UA" w:eastAsia="ru-RU"/>
        </w:rPr>
        <w:t xml:space="preserve"> через відсутність центрального контрагента та закриття угод через кліринг. Існуюча система управління escrow рахунками не дозволяє виникнути ліквідності і не надає ніякого захисту від ринкового ризику та ризику контрагента. Захист від ризиків, що забезпечується центральним контрагентом у клірингу повинен розглядатися в якості ключової умови для злиття фінансового ринку та ринку </w:t>
      </w:r>
      <w:r w:rsidR="00F966A5" w:rsidRPr="00F966A5">
        <w:rPr>
          <w:rFonts w:ascii="Arial" w:eastAsia="Times New Roman" w:hAnsi="Arial" w:cs="Arial"/>
          <w:color w:val="000000"/>
          <w:lang w:val="uk-UA" w:eastAsia="ru-RU"/>
        </w:rPr>
        <w:t>товарних контрактів</w:t>
      </w:r>
      <w:r w:rsidRPr="007E5633">
        <w:rPr>
          <w:rFonts w:ascii="Arial" w:eastAsia="Times New Roman" w:hAnsi="Arial" w:cs="Arial"/>
          <w:color w:val="000000"/>
          <w:lang w:val="uk-UA" w:eastAsia="ru-RU"/>
        </w:rPr>
        <w:t>.</w:t>
      </w:r>
    </w:p>
    <w:p w14:paraId="0EF30F66"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Неефективний механізм закриття угод:</w:t>
      </w:r>
      <w:r w:rsidRPr="007E5633">
        <w:rPr>
          <w:rFonts w:ascii="Arial" w:eastAsia="Times New Roman" w:hAnsi="Arial" w:cs="Arial"/>
          <w:color w:val="000000"/>
          <w:lang w:val="uk-UA" w:eastAsia="ru-RU"/>
        </w:rPr>
        <w:t xml:space="preserve"> Системи попередньої оплати послуг, що зараз використовуються в Україні, не підходять для розвитку ринку </w:t>
      </w:r>
      <w:r w:rsidR="00F966A5" w:rsidRPr="00F966A5">
        <w:rPr>
          <w:rFonts w:ascii="Arial" w:eastAsia="Times New Roman" w:hAnsi="Arial" w:cs="Arial"/>
          <w:color w:val="000000"/>
          <w:lang w:val="uk-UA" w:eastAsia="ru-RU"/>
        </w:rPr>
        <w:t>товарних контрактів</w:t>
      </w:r>
      <w:r w:rsidRPr="007E5633">
        <w:rPr>
          <w:rFonts w:ascii="Arial" w:eastAsia="Times New Roman" w:hAnsi="Arial" w:cs="Arial"/>
          <w:color w:val="000000"/>
          <w:lang w:val="uk-UA" w:eastAsia="ru-RU"/>
        </w:rPr>
        <w:t xml:space="preserve">. Передоплата покладається винятково на практику «ручного управління» та </w:t>
      </w:r>
      <w:r w:rsidRPr="007E5633">
        <w:rPr>
          <w:rFonts w:ascii="Arial" w:eastAsia="Times New Roman" w:hAnsi="Arial" w:cs="Arial"/>
          <w:color w:val="000000"/>
          <w:lang w:val="uk-UA" w:eastAsia="ru-RU"/>
        </w:rPr>
        <w:lastRenderedPageBreak/>
        <w:t xml:space="preserve">лише частково виключає ринковий ризик. Клірингові структури відсутні, і така відсутність центрального контрагента перешкоджає розвитку ринку </w:t>
      </w:r>
      <w:r w:rsidR="00A3511B" w:rsidRPr="00A3511B">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ity.</w:t>
      </w:r>
    </w:p>
    <w:p w14:paraId="1DA28111" w14:textId="77777777" w:rsidR="0042516F" w:rsidRPr="007E5633" w:rsidRDefault="0042516F" w:rsidP="0042516F">
      <w:pPr>
        <w:spacing w:line="229" w:lineRule="atLeast"/>
        <w:jc w:val="both"/>
        <w:rPr>
          <w:rFonts w:ascii="Arial" w:eastAsia="Times New Roman" w:hAnsi="Arial" w:cs="Arial"/>
          <w:bCs/>
          <w:color w:val="000000"/>
          <w:lang w:val="uk-UA" w:eastAsia="ru-RU"/>
        </w:rPr>
      </w:pPr>
      <w:r w:rsidRPr="007E5633">
        <w:rPr>
          <w:rFonts w:ascii="Arial" w:eastAsia="Times New Roman" w:hAnsi="Arial" w:cs="Arial"/>
          <w:b/>
          <w:bCs/>
          <w:color w:val="000000"/>
          <w:lang w:val="uk-UA" w:eastAsia="ru-RU"/>
        </w:rPr>
        <w:t>Управління</w:t>
      </w:r>
      <w:r w:rsidRPr="007E5633">
        <w:rPr>
          <w:rFonts w:ascii="Arial" w:eastAsia="Times New Roman" w:hAnsi="Arial" w:cs="Arial"/>
          <w:b/>
          <w:color w:val="000000"/>
          <w:lang w:val="uk-UA" w:eastAsia="ru-RU"/>
        </w:rPr>
        <w:t> кредитним ризиком</w:t>
      </w:r>
      <w:r w:rsidRPr="007E5633">
        <w:rPr>
          <w:rFonts w:ascii="Arial" w:eastAsia="Times New Roman" w:hAnsi="Arial" w:cs="Arial"/>
          <w:b/>
          <w:bCs/>
          <w:color w:val="000000"/>
          <w:lang w:val="uk-UA" w:eastAsia="ru-RU"/>
        </w:rPr>
        <w:t xml:space="preserve">: </w:t>
      </w:r>
      <w:r w:rsidRPr="007E5633">
        <w:rPr>
          <w:rFonts w:ascii="Arial" w:eastAsia="Times New Roman" w:hAnsi="Arial" w:cs="Arial"/>
          <w:bCs/>
          <w:color w:val="000000"/>
          <w:lang w:val="uk-UA" w:eastAsia="ru-RU"/>
        </w:rPr>
        <w:t xml:space="preserve">Управління кредитним ризиком для позабіржових операцій в Україні в даний час виключно спирається на складну систему попередньої оплати та / або забезпечення угод через гарантійні рахунки. Поточна система може вирішити питання кредитних вимог для транзакції, але не дає розвивати ліквідність. Пом'якшення ризику контрагента за допомогою методів неттінгу платежів та закритого списання у випадку </w:t>
      </w:r>
      <w:r w:rsidR="00A34EA4" w:rsidRPr="007E5633">
        <w:rPr>
          <w:rFonts w:ascii="Arial" w:eastAsia="Times New Roman" w:hAnsi="Arial" w:cs="Arial"/>
          <w:bCs/>
          <w:color w:val="000000"/>
          <w:lang w:val="uk-UA" w:eastAsia="ru-RU"/>
        </w:rPr>
        <w:t>неплатоспроможності</w:t>
      </w:r>
      <w:r w:rsidRPr="007E5633">
        <w:rPr>
          <w:rFonts w:ascii="Arial" w:eastAsia="Times New Roman" w:hAnsi="Arial" w:cs="Arial"/>
          <w:bCs/>
          <w:color w:val="000000"/>
          <w:lang w:val="uk-UA" w:eastAsia="ru-RU"/>
        </w:rPr>
        <w:t xml:space="preserve"> не передбачено законодавством України.</w:t>
      </w:r>
    </w:p>
    <w:p w14:paraId="7E3E27D0" w14:textId="77777777" w:rsidR="0042516F" w:rsidRPr="007E5633" w:rsidRDefault="0042516F" w:rsidP="0042516F">
      <w:pPr>
        <w:spacing w:line="229" w:lineRule="atLeast"/>
        <w:jc w:val="both"/>
        <w:rPr>
          <w:rFonts w:ascii="Arial" w:eastAsia="Times New Roman" w:hAnsi="Arial" w:cs="Arial"/>
          <w:bCs/>
          <w:color w:val="000000"/>
          <w:lang w:val="uk-UA" w:eastAsia="ru-RU"/>
        </w:rPr>
      </w:pPr>
      <w:r w:rsidRPr="007E5633">
        <w:rPr>
          <w:rFonts w:ascii="Arial" w:eastAsia="Times New Roman" w:hAnsi="Arial" w:cs="Arial"/>
          <w:bCs/>
          <w:color w:val="000000"/>
          <w:lang w:val="uk-UA" w:eastAsia="ru-RU"/>
        </w:rPr>
        <w:t>Через відсутність кредитного рейтингу або будь-якої іншої форми прозорості щодо фінансових результатів учасників ринку сторонам потрібно покладатися на передоплату, яка не підходить для масового бізнесу, і є надто дорогою та складною для управління на ліквідних ринках.</w:t>
      </w:r>
    </w:p>
    <w:p w14:paraId="318A5112"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звітів про транзакції:</w:t>
      </w:r>
      <w:r w:rsidRPr="007E5633">
        <w:rPr>
          <w:rFonts w:ascii="Arial" w:eastAsia="Times New Roman" w:hAnsi="Arial" w:cs="Arial"/>
          <w:color w:val="000000"/>
          <w:lang w:val="uk-UA" w:eastAsia="ru-RU"/>
        </w:rPr>
        <w:t> Україна не має жодних режимів прозорості для фізично виконуваних енергетичних форвардних контрактів та спотових угод. Не існує вимог щодо звітності, відсутня інфраструктура для надання звітності та загалом відсутнє інституційне управління для нагляду за фізичними енергетичними ринками.</w:t>
      </w:r>
    </w:p>
    <w:p w14:paraId="2254F8C8"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Недостатнє інституційне управління:</w:t>
      </w:r>
      <w:r w:rsidRPr="007E5633">
        <w:rPr>
          <w:rFonts w:ascii="Arial" w:eastAsia="Times New Roman" w:hAnsi="Arial" w:cs="Arial"/>
          <w:color w:val="000000"/>
          <w:lang w:val="uk-UA" w:eastAsia="ru-RU"/>
        </w:rPr>
        <w:t> фінансові енергетичні ринки відсутні через нерозвиненість фізичного ринку. Комісія з питань комунального господарства не отримує ніякої інформації в режимі реального часу щодо торгів на енергетичних ринках і не має можливості здійснювати ефективний нагляд за фізичними газовими та електроенергетичними ринками. Усі звіти здійснюються заднім числом і без контролю з боку учасників ринку.</w:t>
      </w:r>
    </w:p>
    <w:p w14:paraId="30D8D0F2"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Недостатність нагляду:</w:t>
      </w:r>
      <w:r w:rsidRPr="007E5633">
        <w:rPr>
          <w:rFonts w:ascii="Arial" w:eastAsia="Times New Roman" w:hAnsi="Arial" w:cs="Arial"/>
          <w:color w:val="000000"/>
          <w:lang w:val="uk-UA" w:eastAsia="ru-RU"/>
        </w:rPr>
        <w:t xml:space="preserve"> за нинішньої ситуації будь-яке масштабне зловживання на ринку не може бути виявлене через відсутність регулювання та нагляду. Це створює суттєвий системний ризик для неуспішності ринку. Оскільки інсайдерська торгівля не підлягає санкціонуванню в конкретному контексті торгівлі </w:t>
      </w:r>
      <w:r w:rsidR="00120BAC" w:rsidRPr="00120BAC">
        <w:rPr>
          <w:rFonts w:ascii="Arial" w:eastAsia="Times New Roman" w:hAnsi="Arial" w:cs="Arial"/>
          <w:color w:val="000000"/>
          <w:lang w:val="uk-UA" w:eastAsia="ru-RU"/>
        </w:rPr>
        <w:t>товарними контрактами</w:t>
      </w:r>
      <w:r w:rsidRPr="007E5633">
        <w:rPr>
          <w:rFonts w:ascii="Arial" w:eastAsia="Times New Roman" w:hAnsi="Arial" w:cs="Arial"/>
          <w:color w:val="000000"/>
          <w:lang w:val="uk-UA" w:eastAsia="ru-RU"/>
        </w:rPr>
        <w:t>, зловживання на ринку фактично є можливими завдяки існуючій системі, оскільки ринок не захищений від зловживань. Наявна відсутність необхідних мінімальних стандартів прозорості, які перешкоджають виникненню біржового ринку в Україні. Існує великий ризик зловживань на ринку через відсутність нагляду та законодавства для забезпечення виконання учасниками ринку правил гри.</w:t>
      </w:r>
    </w:p>
    <w:p w14:paraId="08D4A7EA"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Поточні інституційні недоліки разом з повною відсутністю режиму прозорості є головним недоліком будь-якого розвитку ринку.</w:t>
      </w:r>
    </w:p>
    <w:p w14:paraId="613A60DF"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color w:val="000000"/>
          <w:lang w:val="uk-UA" w:eastAsia="ru-RU"/>
        </w:rPr>
        <w:t xml:space="preserve">Прозорість створює довіру до належного функціонування системи та дозволяє саме ринкове ціноутворення, яке, у свою чергу, може гарантувати найкращу ціну </w:t>
      </w:r>
      <w:r w:rsidR="00DF6CD4" w:rsidRPr="00DF6CD4">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в Україні, що базується на попиті і пропозиції.</w:t>
      </w:r>
    </w:p>
    <w:p w14:paraId="17A332F1" w14:textId="77777777" w:rsidR="0042516F" w:rsidRPr="007E5633" w:rsidRDefault="0042516F" w:rsidP="0042516F">
      <w:pPr>
        <w:spacing w:line="229" w:lineRule="atLeast"/>
        <w:jc w:val="both"/>
        <w:rPr>
          <w:rFonts w:ascii="Arial" w:eastAsia="Times New Roman" w:hAnsi="Arial" w:cs="Arial"/>
          <w:color w:val="000000"/>
          <w:lang w:val="uk-UA" w:eastAsia="ru-RU"/>
        </w:rPr>
      </w:pPr>
      <w:r w:rsidRPr="007E5633">
        <w:rPr>
          <w:rFonts w:ascii="Arial" w:eastAsia="Times New Roman" w:hAnsi="Arial" w:cs="Arial"/>
          <w:b/>
          <w:bCs/>
          <w:color w:val="000000"/>
          <w:lang w:val="uk-UA" w:eastAsia="ru-RU"/>
        </w:rPr>
        <w:t>Відсутність сховищ:</w:t>
      </w:r>
      <w:r w:rsidRPr="007E5633">
        <w:rPr>
          <w:rFonts w:ascii="Arial" w:eastAsia="Times New Roman" w:hAnsi="Arial" w:cs="Arial"/>
          <w:color w:val="000000"/>
          <w:lang w:val="uk-UA" w:eastAsia="ru-RU"/>
        </w:rPr>
        <w:t xml:space="preserve"> комерційна практика та правова база для готівкового ринку </w:t>
      </w:r>
      <w:r w:rsidR="00DF6CD4" w:rsidRPr="00DF6CD4">
        <w:rPr>
          <w:rFonts w:ascii="Arial" w:eastAsia="Times New Roman" w:hAnsi="Arial" w:cs="Arial"/>
          <w:color w:val="000000"/>
          <w:lang w:val="uk-UA" w:eastAsia="ru-RU"/>
        </w:rPr>
        <w:t xml:space="preserve">товарних контрактів </w:t>
      </w:r>
      <w:r w:rsidRPr="007E5633">
        <w:rPr>
          <w:rFonts w:ascii="Arial" w:eastAsia="Times New Roman" w:hAnsi="Arial" w:cs="Arial"/>
          <w:color w:val="000000"/>
          <w:lang w:val="uk-UA" w:eastAsia="ru-RU"/>
        </w:rPr>
        <w:t xml:space="preserve">та характер </w:t>
      </w:r>
      <w:r w:rsidR="00DF6CD4">
        <w:rPr>
          <w:rFonts w:ascii="Arial" w:eastAsia="Times New Roman" w:hAnsi="Arial" w:cs="Arial"/>
          <w:color w:val="000000"/>
          <w:lang w:val="uk-UA" w:eastAsia="ru-RU"/>
        </w:rPr>
        <w:t>товару</w:t>
      </w:r>
      <w:r w:rsidRPr="007E5633">
        <w:rPr>
          <w:rFonts w:ascii="Arial" w:eastAsia="Times New Roman" w:hAnsi="Arial" w:cs="Arial"/>
          <w:color w:val="000000"/>
          <w:lang w:val="uk-UA" w:eastAsia="ru-RU"/>
        </w:rPr>
        <w:t xml:space="preserve"> або класу </w:t>
      </w:r>
      <w:r w:rsidR="00DF6CD4">
        <w:rPr>
          <w:rFonts w:ascii="Arial" w:eastAsia="Times New Roman" w:hAnsi="Arial" w:cs="Arial"/>
          <w:color w:val="000000"/>
          <w:lang w:val="uk-UA" w:eastAsia="ru-RU"/>
        </w:rPr>
        <w:t>товару</w:t>
      </w:r>
      <w:r w:rsidRPr="007E5633">
        <w:rPr>
          <w:rFonts w:ascii="Arial" w:eastAsia="Times New Roman" w:hAnsi="Arial" w:cs="Arial"/>
          <w:color w:val="000000"/>
          <w:lang w:val="uk-UA" w:eastAsia="ru-RU"/>
        </w:rPr>
        <w:t xml:space="preserve"> в основному визначають практику зберігання </w:t>
      </w:r>
      <w:r w:rsidR="00DF6CD4">
        <w:rPr>
          <w:rFonts w:ascii="Arial" w:eastAsia="Times New Roman" w:hAnsi="Arial" w:cs="Arial"/>
          <w:color w:val="000000"/>
          <w:lang w:val="uk-UA" w:eastAsia="ru-RU"/>
        </w:rPr>
        <w:t xml:space="preserve">товарів </w:t>
      </w:r>
      <w:r w:rsidRPr="007E5633">
        <w:rPr>
          <w:rFonts w:ascii="Arial" w:eastAsia="Times New Roman" w:hAnsi="Arial" w:cs="Arial"/>
          <w:color w:val="000000"/>
          <w:lang w:val="uk-UA" w:eastAsia="ru-RU"/>
        </w:rPr>
        <w:t xml:space="preserve"> для контрактів </w:t>
      </w:r>
      <w:r w:rsidR="00DF6CD4">
        <w:rPr>
          <w:rFonts w:ascii="Arial" w:eastAsia="Times New Roman" w:hAnsi="Arial" w:cs="Arial"/>
          <w:color w:val="000000"/>
          <w:lang w:val="uk-UA" w:eastAsia="ru-RU"/>
        </w:rPr>
        <w:t xml:space="preserve">та </w:t>
      </w:r>
      <w:r w:rsidRPr="007E5633">
        <w:rPr>
          <w:rFonts w:ascii="Arial" w:eastAsia="Times New Roman" w:hAnsi="Arial" w:cs="Arial"/>
          <w:color w:val="000000"/>
          <w:lang w:val="uk-UA" w:eastAsia="ru-RU"/>
        </w:rPr>
        <w:t xml:space="preserve">щодо деривативів </w:t>
      </w:r>
      <w:r w:rsidR="00DF6CD4" w:rsidRPr="00DF6CD4">
        <w:rPr>
          <w:rFonts w:ascii="Arial" w:eastAsia="Times New Roman" w:hAnsi="Arial" w:cs="Arial"/>
          <w:color w:val="000000"/>
          <w:lang w:val="uk-UA" w:eastAsia="ru-RU"/>
        </w:rPr>
        <w:t>товарних контрактів</w:t>
      </w:r>
      <w:r w:rsidRPr="007E5633">
        <w:rPr>
          <w:rFonts w:ascii="Arial" w:eastAsia="Times New Roman" w:hAnsi="Arial" w:cs="Arial"/>
          <w:color w:val="000000"/>
          <w:lang w:val="uk-UA" w:eastAsia="ru-RU"/>
        </w:rPr>
        <w:t xml:space="preserve">. Оскільки вимоги щодо зберігання у різних торгових майданчиків відрізняються, можна знайти найбільш підходящі деривативні контракти </w:t>
      </w:r>
      <w:r w:rsidR="005F3F2A">
        <w:rPr>
          <w:rFonts w:ascii="Arial" w:eastAsia="Times New Roman" w:hAnsi="Arial" w:cs="Arial"/>
          <w:color w:val="000000"/>
          <w:lang w:val="uk-UA" w:eastAsia="ru-RU"/>
        </w:rPr>
        <w:t xml:space="preserve">на товари </w:t>
      </w:r>
      <w:r w:rsidRPr="007E5633">
        <w:rPr>
          <w:rFonts w:ascii="Arial" w:eastAsia="Times New Roman" w:hAnsi="Arial" w:cs="Arial"/>
          <w:color w:val="000000"/>
          <w:lang w:val="uk-UA" w:eastAsia="ru-RU"/>
        </w:rPr>
        <w:t>на та конкретні рішення, які б найкращим чином відповідати ситуації в Україні. Проте є певні регуляторні вимоги до зберігання, які є уніфікованими у всьому світі, незалежно від суб'єкта та способу виконання цих вимог. Україна повинна розглянути найкращі практики в Європі і відповідно визначити свою власну систему.</w:t>
      </w:r>
    </w:p>
    <w:p w14:paraId="6AE5F88D" w14:textId="77777777" w:rsidR="0042516F" w:rsidRPr="007E5633" w:rsidRDefault="0042516F" w:rsidP="0042516F">
      <w:pPr>
        <w:spacing w:after="0" w:line="240" w:lineRule="auto"/>
        <w:rPr>
          <w:rFonts w:ascii="Arial" w:eastAsia="Times New Roman" w:hAnsi="Arial" w:cs="Arial"/>
          <w:sz w:val="24"/>
          <w:szCs w:val="24"/>
          <w:lang w:val="uk-UA" w:eastAsia="ru-RU"/>
        </w:rPr>
      </w:pPr>
      <w:r w:rsidRPr="007E5633">
        <w:rPr>
          <w:rFonts w:ascii="Arial" w:eastAsia="Times New Roman" w:hAnsi="Arial" w:cs="Arial"/>
          <w:color w:val="000000"/>
          <w:sz w:val="27"/>
          <w:szCs w:val="27"/>
          <w:lang w:val="uk-UA" w:eastAsia="ru-RU"/>
        </w:rPr>
        <w:br w:type="textWrapping" w:clear="all"/>
      </w:r>
    </w:p>
    <w:tbl>
      <w:tblPr>
        <w:tblW w:w="0" w:type="auto"/>
        <w:tblCellMar>
          <w:left w:w="0" w:type="dxa"/>
          <w:right w:w="0" w:type="dxa"/>
        </w:tblCellMar>
        <w:tblLook w:val="04A0" w:firstRow="1" w:lastRow="0" w:firstColumn="1" w:lastColumn="0" w:noHBand="0" w:noVBand="1"/>
      </w:tblPr>
      <w:tblGrid>
        <w:gridCol w:w="2962"/>
        <w:gridCol w:w="2951"/>
        <w:gridCol w:w="3113"/>
      </w:tblGrid>
      <w:tr w:rsidR="0042516F" w:rsidRPr="007E5633" w14:paraId="4C7E2EC6" w14:textId="77777777" w:rsidTr="0042516F">
        <w:tc>
          <w:tcPr>
            <w:tcW w:w="3006" w:type="dxa"/>
            <w:tcBorders>
              <w:top w:val="nil"/>
              <w:left w:val="nil"/>
              <w:bottom w:val="single" w:sz="6" w:space="0" w:color="000000"/>
              <w:right w:val="nil"/>
            </w:tcBorders>
            <w:tcMar>
              <w:top w:w="57" w:type="dxa"/>
              <w:left w:w="108" w:type="dxa"/>
              <w:bottom w:w="57" w:type="dxa"/>
              <w:right w:w="108" w:type="dxa"/>
            </w:tcMar>
            <w:hideMark/>
          </w:tcPr>
          <w:p w14:paraId="137D317C" w14:textId="77777777" w:rsidR="0042516F" w:rsidRPr="007E5633" w:rsidRDefault="0042516F">
            <w:pPr>
              <w:spacing w:before="120" w:after="120" w:line="208" w:lineRule="atLeast"/>
              <w:rPr>
                <w:rFonts w:ascii="Arial" w:eastAsia="Times New Roman" w:hAnsi="Arial" w:cs="Arial"/>
                <w:sz w:val="20"/>
                <w:szCs w:val="20"/>
                <w:lang w:val="uk-UA" w:eastAsia="ru-RU"/>
              </w:rPr>
            </w:pPr>
            <w:r w:rsidRPr="007E5633">
              <w:rPr>
                <w:rFonts w:ascii="Arial" w:eastAsia="Times New Roman" w:hAnsi="Arial" w:cs="Arial"/>
                <w:b/>
                <w:bCs/>
                <w:sz w:val="20"/>
                <w:lang w:val="uk-UA" w:eastAsia="ru-RU"/>
              </w:rPr>
              <w:lastRenderedPageBreak/>
              <w:t>Нормативно-правова база ЄС</w:t>
            </w:r>
          </w:p>
        </w:tc>
        <w:tc>
          <w:tcPr>
            <w:tcW w:w="3021" w:type="dxa"/>
            <w:tcBorders>
              <w:top w:val="nil"/>
              <w:left w:val="nil"/>
              <w:bottom w:val="single" w:sz="6" w:space="0" w:color="000000"/>
              <w:right w:val="nil"/>
            </w:tcBorders>
            <w:tcMar>
              <w:top w:w="57" w:type="dxa"/>
              <w:left w:w="108" w:type="dxa"/>
              <w:bottom w:w="57" w:type="dxa"/>
              <w:right w:w="108" w:type="dxa"/>
            </w:tcMar>
            <w:hideMark/>
          </w:tcPr>
          <w:p w14:paraId="44E02A0E" w14:textId="77777777" w:rsidR="0042516F" w:rsidRPr="007E5633" w:rsidRDefault="0042516F">
            <w:pPr>
              <w:spacing w:before="120" w:after="120" w:line="208" w:lineRule="atLeast"/>
              <w:rPr>
                <w:rFonts w:ascii="Arial" w:eastAsia="Times New Roman" w:hAnsi="Arial" w:cs="Arial"/>
                <w:sz w:val="20"/>
                <w:szCs w:val="20"/>
                <w:lang w:val="uk-UA" w:eastAsia="ru-RU"/>
              </w:rPr>
            </w:pPr>
            <w:r w:rsidRPr="007E5633">
              <w:rPr>
                <w:rFonts w:ascii="Arial" w:eastAsia="Times New Roman" w:hAnsi="Arial" w:cs="Arial"/>
                <w:b/>
                <w:bCs/>
                <w:sz w:val="20"/>
                <w:lang w:val="uk-UA" w:eastAsia="ru-RU"/>
              </w:rPr>
              <w:t>Українські норми</w:t>
            </w:r>
          </w:p>
        </w:tc>
        <w:tc>
          <w:tcPr>
            <w:tcW w:w="3215" w:type="dxa"/>
            <w:tcBorders>
              <w:top w:val="nil"/>
              <w:left w:val="nil"/>
              <w:bottom w:val="single" w:sz="6" w:space="0" w:color="000000"/>
              <w:right w:val="nil"/>
            </w:tcBorders>
            <w:tcMar>
              <w:top w:w="57" w:type="dxa"/>
              <w:left w:w="108" w:type="dxa"/>
              <w:bottom w:w="57" w:type="dxa"/>
              <w:right w:w="108" w:type="dxa"/>
            </w:tcMar>
            <w:hideMark/>
          </w:tcPr>
          <w:p w14:paraId="66BA23EA" w14:textId="77777777" w:rsidR="0042516F" w:rsidRPr="007E5633" w:rsidRDefault="0042516F">
            <w:pPr>
              <w:spacing w:before="120" w:after="120" w:line="208" w:lineRule="atLeast"/>
              <w:rPr>
                <w:rFonts w:ascii="Arial" w:eastAsia="Times New Roman" w:hAnsi="Arial" w:cs="Arial"/>
                <w:sz w:val="20"/>
                <w:szCs w:val="20"/>
                <w:lang w:val="uk-UA" w:eastAsia="ru-RU"/>
              </w:rPr>
            </w:pPr>
            <w:r w:rsidRPr="007E5633">
              <w:rPr>
                <w:rFonts w:ascii="Arial" w:eastAsia="Times New Roman" w:hAnsi="Arial" w:cs="Arial"/>
                <w:b/>
                <w:bCs/>
                <w:sz w:val="20"/>
                <w:lang w:val="uk-UA" w:eastAsia="ru-RU"/>
              </w:rPr>
              <w:t>Прогалина</w:t>
            </w:r>
          </w:p>
          <w:p w14:paraId="0E00B721" w14:textId="77777777" w:rsidR="0042516F" w:rsidRPr="007E5633" w:rsidRDefault="0042516F">
            <w:pPr>
              <w:spacing w:before="120" w:after="120" w:line="208" w:lineRule="atLeast"/>
              <w:rPr>
                <w:rFonts w:ascii="Arial" w:eastAsia="Times New Roman" w:hAnsi="Arial" w:cs="Arial"/>
                <w:sz w:val="18"/>
                <w:szCs w:val="18"/>
                <w:lang w:val="uk-UA" w:eastAsia="ru-RU"/>
              </w:rPr>
            </w:pPr>
            <w:r w:rsidRPr="007E5633">
              <w:rPr>
                <w:rFonts w:ascii="Arial" w:eastAsia="Times New Roman" w:hAnsi="Arial" w:cs="Arial"/>
                <w:b/>
                <w:bCs/>
                <w:sz w:val="20"/>
                <w:lang w:val="uk-UA" w:eastAsia="ru-RU"/>
              </w:rPr>
              <w:t>Чи гальмує прогалина появу біржового ринку в Україні?</w:t>
            </w:r>
          </w:p>
        </w:tc>
      </w:tr>
      <w:tr w:rsidR="0042516F" w:rsidRPr="007E5633" w14:paraId="5525E66C"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1FD54E34"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Поточна спотова та форвардна торговельна активність</w:t>
            </w:r>
          </w:p>
        </w:tc>
      </w:tr>
      <w:tr w:rsidR="0042516F" w:rsidRPr="007E5633" w14:paraId="36BD6054"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2A05ACA8" w14:textId="77777777" w:rsidR="0042516F" w:rsidRPr="007E5633" w:rsidRDefault="0042516F" w:rsidP="000D248B">
            <w:pPr>
              <w:numPr>
                <w:ilvl w:val="0"/>
                <w:numId w:val="35"/>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Типи майданчиків (торговельних платформ)</w:t>
            </w:r>
          </w:p>
        </w:tc>
      </w:tr>
      <w:tr w:rsidR="0042516F" w:rsidRPr="007E5633" w14:paraId="4E24552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A25524E"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Визначені форми ліцензування бірж на повністю врегульованих платформах</w:t>
            </w:r>
          </w:p>
          <w:p w14:paraId="24D3415F"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MTF – OTF</w:t>
            </w:r>
          </w:p>
          <w:p w14:paraId="577F947B" w14:textId="77777777" w:rsidR="0042516F" w:rsidRPr="007E5633" w:rsidRDefault="0042516F">
            <w:pPr>
              <w:spacing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 xml:space="preserve">Нерегульований пошук посередником продавців і покупців </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4700AA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Немає стандартного визначення торговельного майданчика. Плутанина між «біржовими» та брокерськими майданчиками для двосторонньої чи cleared trading без чіткого розмежування торговельних платформ та відповідного регулювання.</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955659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Сучасна плутанина між типами платформ. Необхідно визначити розбіжності, щоб забезпечити ефективний ринковий нагляд. Імплементація регулювання ЄС вимагає визначення платформ.</w:t>
            </w:r>
          </w:p>
          <w:p w14:paraId="0C26F8D2"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поправки в закони України "Про цінні папери та фондовий ринок", "Про товарні біржі" та у Правила торгівлі цінними паперами: брокерські послуги, дилерська діяльність, андеррайтинг, управління цінними паперами.</w:t>
            </w:r>
          </w:p>
        </w:tc>
      </w:tr>
      <w:tr w:rsidR="0042516F" w:rsidRPr="007E5633" w14:paraId="49616C66"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62E369DF" w14:textId="77777777" w:rsidR="0042516F" w:rsidRPr="007E5633" w:rsidRDefault="0042516F" w:rsidP="000D248B">
            <w:pPr>
              <w:numPr>
                <w:ilvl w:val="0"/>
                <w:numId w:val="36"/>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Регуляторний режим</w:t>
            </w:r>
          </w:p>
        </w:tc>
      </w:tr>
      <w:tr w:rsidR="0042516F" w:rsidRPr="007E5633" w14:paraId="09CDFAA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9885D79"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Подвійна система:</w:t>
            </w:r>
          </w:p>
          <w:p w14:paraId="3F76AB52"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Фізичний режим REMIT</w:t>
            </w:r>
          </w:p>
          <w:p w14:paraId="469743C0"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Фінансовий режим MIFID / MIFIR / EMIR</w:t>
            </w:r>
          </w:p>
          <w:p w14:paraId="340F0A39" w14:textId="77777777" w:rsidR="0042516F" w:rsidRPr="007E5633" w:rsidRDefault="0042516F">
            <w:pPr>
              <w:spacing w:line="187" w:lineRule="atLeast"/>
              <w:jc w:val="both"/>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w:t>
            </w:r>
          </w:p>
          <w:p w14:paraId="4007EEA5" w14:textId="77777777" w:rsidR="0042516F" w:rsidRPr="007E5633" w:rsidRDefault="0042516F">
            <w:pPr>
              <w:spacing w:line="187" w:lineRule="atLeast"/>
              <w:jc w:val="both"/>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w:t>
            </w:r>
          </w:p>
          <w:p w14:paraId="0B5B03CA"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DAD19AD"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Існуючий режим для фондових бірж. Немає особливого режиму для ринків </w:t>
            </w:r>
            <w:r w:rsidR="005F3F2A" w:rsidRPr="005F3F2A">
              <w:rPr>
                <w:rFonts w:ascii="Arial" w:eastAsia="Times New Roman" w:hAnsi="Arial" w:cs="Arial"/>
                <w:sz w:val="18"/>
                <w:lang w:val="uk-UA" w:eastAsia="ru-RU"/>
              </w:rPr>
              <w:t>товарних контрактів</w:t>
            </w:r>
            <w:r w:rsidRPr="007E5633">
              <w:rPr>
                <w:rFonts w:ascii="Arial" w:eastAsia="Times New Roman" w:hAnsi="Arial" w:cs="Arial"/>
                <w:sz w:val="18"/>
                <w:lang w:val="uk-UA" w:eastAsia="ru-RU"/>
              </w:rPr>
              <w:t>.</w:t>
            </w:r>
          </w:p>
          <w:p w14:paraId="34BECBA7" w14:textId="77777777" w:rsidR="0042516F" w:rsidRPr="007E5633" w:rsidRDefault="0042516F">
            <w:pPr>
              <w:spacing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 xml:space="preserve">Біржі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 це "некомерційний" обмін даними з добровільним саморегулюванням. </w:t>
            </w:r>
            <w:r w:rsidR="005F3F2A">
              <w:rPr>
                <w:rFonts w:ascii="Arial" w:eastAsia="Times New Roman" w:hAnsi="Arial" w:cs="Arial"/>
                <w:sz w:val="18"/>
                <w:lang w:val="uk-UA" w:eastAsia="ru-RU"/>
              </w:rPr>
              <w:t>Б</w:t>
            </w:r>
            <w:r w:rsidRPr="007E5633">
              <w:rPr>
                <w:rFonts w:ascii="Arial" w:eastAsia="Times New Roman" w:hAnsi="Arial" w:cs="Arial"/>
                <w:sz w:val="18"/>
                <w:lang w:val="uk-UA" w:eastAsia="ru-RU"/>
              </w:rPr>
              <w:t xml:space="preserve">іржа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виключена як "комерційний посередник" (Закон про біржову торгівлю, Стаття 1) Біржа = "Контрактовий дім". Немає стандартних правил торгівлі. Ніякого нагляду.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6979C4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Торговельні правила та робота платформи вимагають найкращих стандартів відповідності (compliance). </w:t>
            </w:r>
            <w:r w:rsidR="005F3F2A">
              <w:rPr>
                <w:rFonts w:ascii="Arial" w:eastAsia="Times New Roman" w:hAnsi="Arial" w:cs="Arial"/>
                <w:sz w:val="18"/>
                <w:lang w:val="uk-UA" w:eastAsia="ru-RU"/>
              </w:rPr>
              <w:t>Б</w:t>
            </w:r>
            <w:r w:rsidRPr="007E5633">
              <w:rPr>
                <w:rFonts w:ascii="Arial" w:eastAsia="Times New Roman" w:hAnsi="Arial" w:cs="Arial"/>
                <w:sz w:val="18"/>
                <w:lang w:val="uk-UA" w:eastAsia="ru-RU"/>
              </w:rPr>
              <w:t xml:space="preserve">рокерські майданчики </w:t>
            </w:r>
            <w:r w:rsidR="005F3F2A">
              <w:rPr>
                <w:rFonts w:ascii="Arial" w:eastAsia="Times New Roman" w:hAnsi="Arial" w:cs="Arial"/>
                <w:sz w:val="18"/>
                <w:lang w:val="uk-UA" w:eastAsia="ru-RU"/>
              </w:rPr>
              <w:t xml:space="preserve">для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є комерційним посередником.</w:t>
            </w:r>
          </w:p>
          <w:p w14:paraId="51537575"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Закону України "Про товарні біржі" або прийняти новий закон, який буде містити положення, що відповідатимуть законодавству ЄС, але і в той же час відображатимуть місцеві особливості.</w:t>
            </w:r>
          </w:p>
        </w:tc>
      </w:tr>
      <w:tr w:rsidR="0042516F" w:rsidRPr="007E5633" w14:paraId="5786A8F6"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3E15706C" w14:textId="77777777" w:rsidR="0042516F" w:rsidRPr="007E5633" w:rsidRDefault="0042516F" w:rsidP="000D248B">
            <w:pPr>
              <w:numPr>
                <w:ilvl w:val="0"/>
                <w:numId w:val="37"/>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Режим прозорості</w:t>
            </w:r>
          </w:p>
        </w:tc>
      </w:tr>
      <w:tr w:rsidR="0042516F" w:rsidRPr="007E5633" w14:paraId="25070EB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40CDB61"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Усі учасники ринку, Оператори платформи, ОСП, Трейдери, Постачальники - всі включені в режим прозорості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C48F54C"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за винятком публікацій газових TSO про потужність, включаючи наявність точок взаємозв'язку (однак регулярність не встановлена); Електроенергетичний TSO повинен збирати інформацію відповідно до правил ENTSOE щодо прозорості та передавати її для публікації на сайті ENTSOE.</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5F75560" w14:textId="77777777" w:rsidR="0042516F" w:rsidRPr="007E5633" w:rsidRDefault="0042516F">
            <w:pPr>
              <w:spacing w:before="120" w:after="120" w:line="187" w:lineRule="atLeast"/>
              <w:rPr>
                <w:rFonts w:ascii="Arial" w:eastAsia="Times New Roman" w:hAnsi="Arial" w:cs="Arial"/>
                <w:b/>
                <w:bCs/>
                <w:color w:val="FF0000"/>
                <w:sz w:val="18"/>
                <w:lang w:val="uk-UA" w:eastAsia="ru-RU"/>
              </w:rPr>
            </w:pPr>
            <w:r w:rsidRPr="007E5633">
              <w:rPr>
                <w:rFonts w:ascii="Arial" w:eastAsia="Times New Roman" w:hAnsi="Arial" w:cs="Arial"/>
                <w:sz w:val="18"/>
                <w:lang w:val="uk-UA" w:eastAsia="ru-RU"/>
              </w:rPr>
              <w:t>Відсутність прозорості підриває довіру до ринку та вільне формування цін. </w:t>
            </w:r>
            <w:r w:rsidRPr="007E5633">
              <w:rPr>
                <w:rFonts w:ascii="Arial" w:eastAsia="Times New Roman" w:hAnsi="Arial" w:cs="Arial"/>
                <w:b/>
                <w:bCs/>
                <w:color w:val="FF0000"/>
                <w:sz w:val="18"/>
                <w:lang w:val="uk-UA" w:eastAsia="ru-RU"/>
              </w:rPr>
              <w:t xml:space="preserve">Відсутність регулювання створює системний ризик для неуспішності ринку. </w:t>
            </w:r>
          </w:p>
          <w:p w14:paraId="2C932BE1"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 xml:space="preserve">Для операторів платформи розробляється індивідуальний набір правил (кодекс), який буде містити всі вимоги щодо режиму прозорості. Що стосується TSO, то необхідно внести зміни до </w:t>
            </w:r>
            <w:r w:rsidRPr="007E5633">
              <w:rPr>
                <w:rFonts w:ascii="Arial" w:eastAsia="Times New Roman" w:hAnsi="Arial" w:cs="Arial"/>
                <w:sz w:val="18"/>
                <w:lang w:val="uk-UA" w:eastAsia="ru-RU"/>
              </w:rPr>
              <w:lastRenderedPageBreak/>
              <w:t>існуючого Кодексу системи передачі газу. Що стосується торговців та постачальників, то необхідно розробити окремий набір правил.</w:t>
            </w:r>
          </w:p>
        </w:tc>
      </w:tr>
      <w:tr w:rsidR="0042516F" w:rsidRPr="007E5633" w14:paraId="256FFE80"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1ACC29E5" w14:textId="77777777" w:rsidR="0042516F" w:rsidRPr="007E5633" w:rsidRDefault="0042516F" w:rsidP="000D248B">
            <w:pPr>
              <w:numPr>
                <w:ilvl w:val="0"/>
                <w:numId w:val="38"/>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lastRenderedPageBreak/>
              <w:t>Торгові продукти</w:t>
            </w:r>
          </w:p>
        </w:tc>
      </w:tr>
      <w:tr w:rsidR="0042516F" w:rsidRPr="007E5633" w14:paraId="11D7844F"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48332D7"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Продукти зрілі та повністю стандартизовані.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84240BD"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Продукти визначені лише для фондової біржі. Немає визначень продуктів на ринку</w:t>
            </w:r>
            <w:r w:rsidR="005F3F2A">
              <w:rPr>
                <w:rFonts w:ascii="Arial" w:eastAsia="Times New Roman" w:hAnsi="Arial" w:cs="Arial"/>
                <w:sz w:val="18"/>
                <w:lang w:val="uk-UA" w:eastAsia="ru-RU"/>
              </w:rPr>
              <w:t xml:space="preserve"> </w:t>
            </w:r>
            <w:r w:rsidR="005F3F2A" w:rsidRPr="005F3F2A">
              <w:rPr>
                <w:rFonts w:ascii="Arial" w:eastAsia="Times New Roman" w:hAnsi="Arial" w:cs="Arial"/>
                <w:sz w:val="18"/>
                <w:lang w:val="uk-UA" w:eastAsia="ru-RU"/>
              </w:rPr>
              <w:t>товарних</w:t>
            </w:r>
            <w:r w:rsidR="005F3F2A">
              <w:rPr>
                <w:rFonts w:ascii="Arial" w:eastAsia="Times New Roman" w:hAnsi="Arial" w:cs="Arial"/>
                <w:sz w:val="18"/>
                <w:lang w:val="uk-UA" w:eastAsia="ru-RU"/>
              </w:rPr>
              <w:t xml:space="preserve"> контрактів. </w:t>
            </w:r>
            <w:r w:rsidRPr="007E5633">
              <w:rPr>
                <w:rFonts w:ascii="Arial" w:eastAsia="Times New Roman" w:hAnsi="Arial" w:cs="Arial"/>
                <w:sz w:val="18"/>
                <w:lang w:val="uk-UA" w:eastAsia="ru-RU"/>
              </w:rPr>
              <w:t>Заплановані визначення продуктів для платформи оператора ринку електроенергії.</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0BA7C4F" w14:textId="77777777" w:rsidR="0042516F" w:rsidRPr="007E5633" w:rsidRDefault="0042516F">
            <w:pPr>
              <w:spacing w:before="120" w:after="120" w:line="187" w:lineRule="atLeast"/>
              <w:rPr>
                <w:rFonts w:ascii="Arial" w:eastAsia="Times New Roman" w:hAnsi="Arial" w:cs="Arial"/>
                <w:b/>
                <w:bCs/>
                <w:color w:val="FF0000"/>
                <w:sz w:val="18"/>
                <w:lang w:val="uk-UA" w:eastAsia="ru-RU"/>
              </w:rPr>
            </w:pPr>
            <w:r w:rsidRPr="007E5633">
              <w:rPr>
                <w:rFonts w:ascii="Arial" w:eastAsia="Times New Roman" w:hAnsi="Arial" w:cs="Arial"/>
                <w:b/>
                <w:bCs/>
                <w:color w:val="FF0000"/>
                <w:sz w:val="18"/>
                <w:lang w:val="uk-UA" w:eastAsia="ru-RU"/>
              </w:rPr>
              <w:t>Енергетичний ринок без стандартних продуктів неможливий.</w:t>
            </w:r>
          </w:p>
          <w:p w14:paraId="7D3FC0E1"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Одним з можливих варіантів є внесення змін до Закону України "Про товарну біржу" із загальними положеннями про продукти та одночасно прийняти індивідуальний кодекс для операторів платформ, що міститиме детальні положення про продукти.</w:t>
            </w:r>
          </w:p>
        </w:tc>
      </w:tr>
      <w:tr w:rsidR="0042516F" w:rsidRPr="007E5633" w14:paraId="30BFE60F"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13FB74E3" w14:textId="77777777" w:rsidR="0042516F" w:rsidRPr="007E5633" w:rsidRDefault="0042516F" w:rsidP="000D248B">
            <w:pPr>
              <w:numPr>
                <w:ilvl w:val="0"/>
                <w:numId w:val="39"/>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Питання застави</w:t>
            </w:r>
          </w:p>
        </w:tc>
      </w:tr>
      <w:tr w:rsidR="0042516F" w:rsidRPr="007E5633" w14:paraId="2BE66845"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CE98CC3"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 xml:space="preserve">Застосовується цивільне право </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6CA015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EA21AAD"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Працююча система використання застав дає можливість існування для ліквідних і безпечних ринків.</w:t>
            </w:r>
          </w:p>
        </w:tc>
      </w:tr>
      <w:tr w:rsidR="0042516F" w:rsidRPr="007E5633" w14:paraId="096F6761"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413AD7A3" w14:textId="77777777" w:rsidR="0042516F" w:rsidRPr="007E5633" w:rsidRDefault="0042516F" w:rsidP="000D248B">
            <w:pPr>
              <w:numPr>
                <w:ilvl w:val="0"/>
                <w:numId w:val="40"/>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Регулювання торгових майданчиків</w:t>
            </w:r>
          </w:p>
        </w:tc>
      </w:tr>
      <w:tr w:rsidR="0042516F" w:rsidRPr="007E5633" w14:paraId="6C622272"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1DD9B9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Фінансовий регулятор на фінансовому ринку, </w:t>
            </w:r>
          </w:p>
          <w:p w14:paraId="7DA63E1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Регулятор енергетики на фізичному ринку</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DA9544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Саморегульовані майданчики в якості неприбуткових інституцій. Добровільні правила не є надійними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412B967"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Ніякого нагляду. Покладання на добровільні правила не є достатнім для створення безпечної ринкової структури.</w:t>
            </w:r>
          </w:p>
          <w:p w14:paraId="2D5F7245"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w:t>
            </w:r>
          </w:p>
          <w:p w14:paraId="41AF9057" w14:textId="77777777" w:rsidR="0042516F" w:rsidRPr="007E5633" w:rsidRDefault="0042516F">
            <w:pPr>
              <w:spacing w:before="120" w:after="120" w:line="187" w:lineRule="atLeast"/>
              <w:rPr>
                <w:rFonts w:ascii="Arial" w:eastAsia="Times New Roman" w:hAnsi="Arial" w:cs="Arial"/>
                <w:b/>
                <w:bCs/>
                <w:color w:val="FF0000"/>
                <w:sz w:val="18"/>
                <w:lang w:val="uk-UA" w:eastAsia="ru-RU"/>
              </w:rPr>
            </w:pPr>
            <w:r w:rsidRPr="007E5633">
              <w:rPr>
                <w:rFonts w:ascii="Arial" w:eastAsia="Times New Roman" w:hAnsi="Arial" w:cs="Arial"/>
                <w:b/>
                <w:bCs/>
                <w:color w:val="FF0000"/>
                <w:sz w:val="18"/>
                <w:lang w:val="uk-UA" w:eastAsia="ru-RU"/>
              </w:rPr>
              <w:t>Відсутність регулювання та ефективного нагляду створює системний ризик для збою платформи (майданчика).</w:t>
            </w:r>
          </w:p>
          <w:p w14:paraId="07413A31"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Законів України "Про товарні біржі", а також до законодавства про НКЦПФР та про НКРЕКП.</w:t>
            </w:r>
          </w:p>
        </w:tc>
      </w:tr>
      <w:tr w:rsidR="0042516F" w:rsidRPr="007E5633" w14:paraId="526E7F26"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0BD0558B" w14:textId="77777777" w:rsidR="0042516F" w:rsidRPr="007E5633" w:rsidRDefault="0042516F" w:rsidP="000D248B">
            <w:pPr>
              <w:numPr>
                <w:ilvl w:val="0"/>
                <w:numId w:val="41"/>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Торгова платформа для газу</w:t>
            </w:r>
          </w:p>
        </w:tc>
      </w:tr>
      <w:tr w:rsidR="0042516F" w:rsidRPr="007E5633" w14:paraId="7FC380A7"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410C3D8"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Балансування закупівель газу на платформі оператора ринку.</w:t>
            </w:r>
          </w:p>
          <w:p w14:paraId="42363D0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5CF8C8F"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Торгова платформа для газу (Кодекс ГТС, глава XIV) визначена лише теоретично.</w:t>
            </w:r>
          </w:p>
          <w:p w14:paraId="76501613"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 </w:t>
            </w:r>
          </w:p>
          <w:p w14:paraId="796BC5B8"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Використання платформи закупівель Prozorro для газових аукціонів, у відповідності до загального законодавства про державні закупівлі.</w:t>
            </w:r>
          </w:p>
          <w:p w14:paraId="368D168F"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 </w:t>
            </w:r>
          </w:p>
          <w:p w14:paraId="5DA74962"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Нерозподілене (та невизначене) споживання газу включається до портфеля розподілу.</w:t>
            </w:r>
          </w:p>
          <w:p w14:paraId="75B721D8"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Платформа для торгівлі газом не вимагає ліцензії для платформи ринку електроенергії. Платформа для газового ринку в даний час не існує</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D9A553B"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Законодавство про державні закупівлі неприйнятне для розвитку ринку.</w:t>
            </w:r>
          </w:p>
          <w:p w14:paraId="74C4725A"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 </w:t>
            </w:r>
          </w:p>
          <w:p w14:paraId="2F63D032"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Нерозподілений спожитий газ повинен бути виключений з балансуючого портфеля та погашений за механізмом штрафних санкцій.</w:t>
            </w:r>
          </w:p>
          <w:p w14:paraId="2336DE6A" w14:textId="77777777" w:rsidR="0042516F" w:rsidRPr="007E5633" w:rsidRDefault="0042516F">
            <w:pPr>
              <w:spacing w:before="120" w:after="120" w:line="187" w:lineRule="atLeast"/>
              <w:rPr>
                <w:rFonts w:ascii="Arial" w:eastAsia="Times New Roman" w:hAnsi="Arial" w:cs="Arial"/>
                <w:b/>
                <w:bCs/>
                <w:color w:val="FF0000"/>
                <w:sz w:val="18"/>
                <w:lang w:val="uk-UA" w:eastAsia="ru-RU"/>
              </w:rPr>
            </w:pPr>
            <w:r w:rsidRPr="007E5633">
              <w:rPr>
                <w:rFonts w:ascii="Arial" w:eastAsia="Times New Roman" w:hAnsi="Arial" w:cs="Arial"/>
                <w:b/>
                <w:bCs/>
                <w:color w:val="FF0000"/>
                <w:sz w:val="18"/>
                <w:lang w:val="uk-UA" w:eastAsia="ru-RU"/>
              </w:rPr>
              <w:lastRenderedPageBreak/>
              <w:t>Відсутність платформи газового ринку, відсутність щоденного балансуючого ринку і стандартних продуктів перешкоджають розвитку спотового ринку газу.</w:t>
            </w:r>
          </w:p>
          <w:p w14:paraId="0AFF5098"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Закону України "Про державні закупівлі".</w:t>
            </w:r>
          </w:p>
        </w:tc>
      </w:tr>
      <w:tr w:rsidR="0042516F" w:rsidRPr="007E5633" w14:paraId="3FB46F48"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0A2B71AB" w14:textId="77777777" w:rsidR="0042516F" w:rsidRPr="007E5633" w:rsidRDefault="0042516F" w:rsidP="000D248B">
            <w:pPr>
              <w:numPr>
                <w:ilvl w:val="0"/>
                <w:numId w:val="42"/>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lastRenderedPageBreak/>
              <w:t>Регулювання цін на газ</w:t>
            </w:r>
          </w:p>
        </w:tc>
      </w:tr>
      <w:tr w:rsidR="0042516F" w:rsidRPr="007E5633" w14:paraId="3D930F51"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81E05E9"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Вільне визначення цін ринком.</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2D56C9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Нафтогаз повинен продавати газ за регульованою базовою ціною. Споживчі групи користуються регульованими цінами.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0B30E5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Прогалину визначено. «Вільний» енергетичний ринок базується на вільному визначенні цін на основі попиту та пропозиції.</w:t>
            </w:r>
          </w:p>
          <w:p w14:paraId="00399EF0"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прийняти відповідне рішення Кабінету Міністрів України, законодавство на ринку природного газу може бути змінено, щоб встановити принципи.</w:t>
            </w:r>
          </w:p>
        </w:tc>
      </w:tr>
      <w:tr w:rsidR="0042516F" w:rsidRPr="007E5633" w14:paraId="417CC0B4"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4DBF5DC2" w14:textId="77777777" w:rsidR="0042516F" w:rsidRPr="007E5633" w:rsidRDefault="0042516F" w:rsidP="000D248B">
            <w:pPr>
              <w:numPr>
                <w:ilvl w:val="0"/>
                <w:numId w:val="43"/>
              </w:numPr>
              <w:suppressAutoHyphens w:val="0"/>
              <w:autoSpaceDN/>
              <w:spacing w:before="120" w:after="120" w:line="240" w:lineRule="auto"/>
              <w:ind w:left="586" w:firstLine="0"/>
              <w:textAlignment w:val="auto"/>
              <w:rPr>
                <w:rFonts w:ascii="Arial" w:eastAsia="Times New Roman" w:hAnsi="Arial" w:cs="Arial"/>
                <w:b/>
                <w:bCs/>
                <w:i/>
                <w:iCs/>
                <w:sz w:val="18"/>
                <w:szCs w:val="18"/>
                <w:lang w:val="uk-UA" w:eastAsia="ru-RU"/>
              </w:rPr>
            </w:pPr>
            <w:r w:rsidRPr="007E5633">
              <w:rPr>
                <w:rFonts w:ascii="Arial" w:eastAsia="Times New Roman" w:hAnsi="Arial" w:cs="Arial"/>
                <w:b/>
                <w:bCs/>
                <w:i/>
                <w:iCs/>
                <w:sz w:val="18"/>
                <w:lang w:val="uk-UA" w:eastAsia="ru-RU"/>
              </w:rPr>
              <w:t>Торгова платформа електроенергією</w:t>
            </w:r>
          </w:p>
        </w:tc>
      </w:tr>
      <w:tr w:rsidR="0042516F" w:rsidRPr="007E5633" w14:paraId="6E7A64FD"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9F9A27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Платформа управлінням спотовим ринком, що організована операторами ринку, існує як на національному рівні (PolPX ), так і на міжнародному регіональному рівні ( Nordpool, EpexSpot)</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8D995DB"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Платформа управління спотовим ринком (на наступний день і день в день), яку організував оператор ринку, визначена Законом про ринок електроенергії.</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E56AD01"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Частково. Немає розвитку фізичного форвардного ринку.</w:t>
            </w:r>
          </w:p>
          <w:p w14:paraId="1E37CCEB"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Методи надання забезпечення не визначені (фінансові гарантії залишаються неврегульованими).</w:t>
            </w:r>
          </w:p>
          <w:p w14:paraId="5DBD06C5"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Ризики дисбалансу видаються неприйнятним, оскільки вони повинні покривати до 80% базової суми.</w:t>
            </w:r>
          </w:p>
          <w:p w14:paraId="37B9A4A2"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 </w:t>
            </w:r>
          </w:p>
          <w:p w14:paraId="67EDB85C"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Нечіткі маніпуляції цінами та обмеження цін, особливо в ситуації олігополії постачанні.</w:t>
            </w:r>
          </w:p>
          <w:p w14:paraId="25C695A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Повинні бути надані за 2 дні до Торгового дня. Відсутність центрального клірингу та механізму закриття угод</w:t>
            </w:r>
          </w:p>
          <w:p w14:paraId="4E675D7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Платформа торгівлі електроенергією планується і ведеться її розробка; торговельні інтервали (погодинні) повинні скоротитись; допоміжні послуги, які торгуються паралельно з електроенергією, будуть згладжувати волатильність цін.</w:t>
            </w:r>
          </w:p>
        </w:tc>
      </w:tr>
      <w:tr w:rsidR="0042516F" w:rsidRPr="007E5633" w14:paraId="41FF0749"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68814348"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 xml:space="preserve">Система </w:t>
            </w:r>
            <w:r w:rsidR="00A34EA4" w:rsidRPr="007E5633">
              <w:rPr>
                <w:rFonts w:ascii="Arial" w:eastAsia="Times New Roman" w:hAnsi="Arial" w:cs="Arial"/>
                <w:b/>
                <w:bCs/>
                <w:sz w:val="18"/>
                <w:lang w:val="uk-UA" w:eastAsia="ru-RU"/>
              </w:rPr>
              <w:t>Ліцензування</w:t>
            </w:r>
            <w:r w:rsidRPr="007E5633">
              <w:rPr>
                <w:rFonts w:ascii="Arial" w:eastAsia="Times New Roman" w:hAnsi="Arial" w:cs="Arial"/>
                <w:b/>
                <w:bCs/>
                <w:sz w:val="18"/>
                <w:lang w:val="uk-UA" w:eastAsia="ru-RU"/>
              </w:rPr>
              <w:t xml:space="preserve"> для торгових майданчиків</w:t>
            </w:r>
          </w:p>
        </w:tc>
      </w:tr>
      <w:tr w:rsidR="0042516F" w:rsidRPr="007E5633" w14:paraId="5ED8DDA0"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FC74519"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lastRenderedPageBreak/>
              <w:t xml:space="preserve">Уся торгівельна діяльність, крім спотових </w:t>
            </w:r>
            <w:r w:rsidR="005F3F2A">
              <w:rPr>
                <w:rFonts w:ascii="Arial" w:eastAsia="Times New Roman" w:hAnsi="Arial" w:cs="Arial"/>
                <w:sz w:val="18"/>
                <w:lang w:val="uk-UA" w:eastAsia="ru-RU"/>
              </w:rPr>
              <w:t xml:space="preserve">товарних </w:t>
            </w:r>
            <w:r w:rsidRPr="007E5633">
              <w:rPr>
                <w:rFonts w:ascii="Arial" w:eastAsia="Times New Roman" w:hAnsi="Arial" w:cs="Arial"/>
                <w:sz w:val="18"/>
                <w:lang w:val="uk-UA" w:eastAsia="ru-RU"/>
              </w:rPr>
              <w:t>ринків, вимагає попереднього дозволу (ліцензування).</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AB2B828"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В Україні лише фондовій біржі потрібна ліцензія. Всі інші торгові майданчики є самоврядними.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54FBBE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Усі торгові майданчики, що дозволяють здійснювати торги </w:t>
            </w:r>
            <w:r w:rsidR="005F3F2A">
              <w:rPr>
                <w:rFonts w:ascii="Arial" w:eastAsia="Times New Roman" w:hAnsi="Arial" w:cs="Arial"/>
                <w:sz w:val="18"/>
                <w:lang w:val="uk-UA" w:eastAsia="ru-RU"/>
              </w:rPr>
              <w:t xml:space="preserve">товарами </w:t>
            </w:r>
            <w:r w:rsidRPr="007E5633">
              <w:rPr>
                <w:rFonts w:ascii="Arial" w:eastAsia="Times New Roman" w:hAnsi="Arial" w:cs="Arial"/>
                <w:sz w:val="18"/>
                <w:lang w:val="uk-UA" w:eastAsia="ru-RU"/>
              </w:rPr>
              <w:t xml:space="preserve"> за грошові кошти та торги </w:t>
            </w:r>
            <w:r w:rsidR="005F3F2A">
              <w:rPr>
                <w:rFonts w:ascii="Arial" w:eastAsia="Times New Roman" w:hAnsi="Arial" w:cs="Arial"/>
                <w:sz w:val="18"/>
                <w:lang w:val="uk-UA" w:eastAsia="ru-RU"/>
              </w:rPr>
              <w:t xml:space="preserve">ф’ючерсами з </w:t>
            </w:r>
            <w:r w:rsidRPr="007E5633">
              <w:rPr>
                <w:rFonts w:ascii="Arial" w:eastAsia="Times New Roman" w:hAnsi="Arial" w:cs="Arial"/>
                <w:sz w:val="18"/>
                <w:lang w:val="uk-UA" w:eastAsia="ru-RU"/>
              </w:rPr>
              <w:t>фізично</w:t>
            </w:r>
            <w:r w:rsidR="005F3F2A">
              <w:rPr>
                <w:rFonts w:ascii="Arial" w:eastAsia="Times New Roman" w:hAnsi="Arial" w:cs="Arial"/>
                <w:sz w:val="18"/>
                <w:lang w:val="uk-UA" w:eastAsia="ru-RU"/>
              </w:rPr>
              <w:t>ю поставкою товарів</w:t>
            </w:r>
            <w:r w:rsidRPr="007E5633">
              <w:rPr>
                <w:rFonts w:ascii="Arial" w:eastAsia="Times New Roman" w:hAnsi="Arial" w:cs="Arial"/>
                <w:sz w:val="18"/>
                <w:lang w:val="uk-UA" w:eastAsia="ru-RU"/>
              </w:rPr>
              <w:t xml:space="preserve"> та похідними інструментами, повинні отримувати ліцензії від компетентного органу. Такі повноваження можуть бути незалежними і еквівалентними НКЦПФР.</w:t>
            </w:r>
          </w:p>
          <w:p w14:paraId="1EE8AA45"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Закону України "Про товарні біржі".</w:t>
            </w:r>
          </w:p>
        </w:tc>
      </w:tr>
      <w:tr w:rsidR="0042516F" w:rsidRPr="007E5633" w14:paraId="2ED4FC5C"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0BB24AF"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Ліцензування на спотових біржах є переважно нерегульованим на європейському рівні (ліцензія може вимагатись на національному рівні), але вони підлягають реєстрації, вимогам прозорості та звітності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67B141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Біржі</w:t>
            </w:r>
            <w:r w:rsidR="005F3F2A">
              <w:t xml:space="preserve"> </w:t>
            </w:r>
            <w:r w:rsidR="005F3F2A" w:rsidRPr="005F3F2A">
              <w:rPr>
                <w:rFonts w:ascii="Arial" w:eastAsia="Times New Roman" w:hAnsi="Arial" w:cs="Arial"/>
                <w:sz w:val="18"/>
                <w:lang w:val="uk-UA" w:eastAsia="ru-RU"/>
              </w:rPr>
              <w:t>товарних контрактів</w:t>
            </w:r>
            <w:r w:rsidRPr="007E5633">
              <w:rPr>
                <w:rFonts w:ascii="Arial" w:eastAsia="Times New Roman" w:hAnsi="Arial" w:cs="Arial"/>
                <w:sz w:val="18"/>
                <w:lang w:val="uk-UA" w:eastAsia="ru-RU"/>
              </w:rPr>
              <w:t xml:space="preserve"> визначаються як окремий вид юридичної особи, але вони, як правило, мають бути саморегульованими згідно з їх нормативними актами. Немає необхідності отримувати ліцензію на створення інших торгових майданчиків для енергетики.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ABE408C"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Не виявлено жодного нагляду та звітності про операції на біржах </w:t>
            </w:r>
            <w:r w:rsidR="005F3F2A" w:rsidRPr="005F3F2A">
              <w:rPr>
                <w:rFonts w:ascii="Arial" w:eastAsia="Times New Roman" w:hAnsi="Arial" w:cs="Arial"/>
                <w:sz w:val="18"/>
                <w:lang w:val="uk-UA" w:eastAsia="ru-RU"/>
              </w:rPr>
              <w:t>товарних контрактів</w:t>
            </w:r>
            <w:r w:rsidRPr="007E5633">
              <w:rPr>
                <w:rFonts w:ascii="Arial" w:eastAsia="Times New Roman" w:hAnsi="Arial" w:cs="Arial"/>
                <w:sz w:val="18"/>
                <w:lang w:val="uk-UA" w:eastAsia="ru-RU"/>
              </w:rPr>
              <w:t xml:space="preserve">. Україна повинна переглянути свій закон про біржі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з огляду на регулювання ринку деривативів, щоб забезпечити узгодженість між правовими режимами. Обсяг регулювання спотових бірж повинен бути обумовлений загальною ринковою інфраструктурою, наприклад, ліцензовані майданчики можуть бути використані для регульованих бірж, у той час як ліцензований MTF (оператор ринку) може пропонувати торгівлю спотовими контрактами без додаткового дозволу.</w:t>
            </w:r>
          </w:p>
          <w:p w14:paraId="0FBF095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szCs w:val="18"/>
                <w:lang w:val="uk-UA" w:eastAsia="ru-RU"/>
              </w:rPr>
              <w:t>Необхідно внести зміни до Закону України "Про товарні біржі".</w:t>
            </w:r>
          </w:p>
        </w:tc>
      </w:tr>
      <w:tr w:rsidR="0042516F" w:rsidRPr="007E5633" w14:paraId="46FD461E"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BE2150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Національний компетентний орган відіграє роль органу ліцензування, регулювання та нагляду для всіх торгових майданчиків, тобто формує регульовані біржі, багатосторонні торговельні установи та організовані торговельні майданчики.</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B4DDC4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НКЦПФР відіграє роль органу ліцензування, регулювання та нагляду лише для фондової біржі. Інші майданчики не є регульованими ні НКЦПФР, ні будь-яким іншим регулятором.</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50859C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Компетентний орган повинен контролювати торгові майданчики всіх типів, щоб забезпечити чесний і правильний ринок та захистити інвесторів / споживачів - НКРЕ та незалежна НКЦПФР обидві можуть бути задіяні.</w:t>
            </w:r>
          </w:p>
          <w:p w14:paraId="4C67D90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Законодавство України щодо НКРЕКП та НКЦПФР повинне бути змінено (а також спеціальні підзаконні акти, які регулюють відповідні торгові майданчики) відповідно до регуляторної моделі.</w:t>
            </w:r>
          </w:p>
        </w:tc>
      </w:tr>
      <w:tr w:rsidR="0042516F" w:rsidRPr="007E5633" w14:paraId="11564206" w14:textId="77777777" w:rsidTr="0042516F">
        <w:trPr>
          <w:trHeight w:val="895"/>
        </w:trPr>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D77DAA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Для того, щоб мати змогу запустити Багатосторонній торговий майданчик (MTF) або організований торговий майданчик (ONF), таким суб'єктами господарювання необхідно отримати ліцензію інвестиційної компанії, а це </w:t>
            </w:r>
            <w:r w:rsidRPr="007E5633">
              <w:rPr>
                <w:rFonts w:ascii="Arial" w:eastAsia="Times New Roman" w:hAnsi="Arial" w:cs="Arial"/>
                <w:sz w:val="18"/>
                <w:lang w:val="uk-UA" w:eastAsia="ru-RU"/>
              </w:rPr>
              <w:lastRenderedPageBreak/>
              <w:t>означає, що вони підпадатимуть під всебічний нагляду з боку національних компетентних органів.</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A0CAFEE"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Платформи на ринку енергії не є ліцензованим видом діяльності.</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3C6272F"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Україна повинна вимагати від регулятора вимогу ліцензування </w:t>
            </w:r>
            <w:r w:rsidR="005F3F2A" w:rsidRPr="007E5633">
              <w:rPr>
                <w:rFonts w:ascii="Arial" w:eastAsia="Times New Roman" w:hAnsi="Arial" w:cs="Arial"/>
                <w:sz w:val="18"/>
                <w:lang w:val="uk-UA" w:eastAsia="ru-RU"/>
              </w:rPr>
              <w:t xml:space="preserve">бірж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та торговельних платформ .</w:t>
            </w:r>
          </w:p>
          <w:p w14:paraId="73DA1B4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Законодавство України щодо НКРЕКП та НКЦПФР повинне бути змінено (а також спеціальні підзаконні акти, які регулюють </w:t>
            </w:r>
            <w:r w:rsidRPr="007E5633">
              <w:rPr>
                <w:rFonts w:ascii="Arial" w:eastAsia="Times New Roman" w:hAnsi="Arial" w:cs="Arial"/>
                <w:sz w:val="18"/>
                <w:lang w:val="uk-UA" w:eastAsia="ru-RU"/>
              </w:rPr>
              <w:lastRenderedPageBreak/>
              <w:t>відповідні торгові майданчики) відповідно до регуляторної моделі.</w:t>
            </w:r>
          </w:p>
        </w:tc>
      </w:tr>
      <w:tr w:rsidR="0042516F" w:rsidRPr="007E5633" w14:paraId="073287D1"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52FAD2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Інвестиційні фірми підлягають вимогам щодо початкового капіталу у розмірі 730 000 євро. Більший обсяг капіталу потрібен на регульованих ринках</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111B9B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 Україні вимога щодо початкового капіталу застосовується лише до фондової біржі (вимога - 15 млн. грн.). Якщо біржа має клірингову систему, тоді вимагається 25 млн. грн. (відповідно, 450 тис. євро та 773 тис. євро). Торгові платформи для енергетики не мають вимог до капіталу.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00F269C"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Усі торгові майданчики повинні бути предметом вимог до капіталу для забезпечення надійності системи.</w:t>
            </w:r>
          </w:p>
          <w:p w14:paraId="0048E2D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241547A1"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8911FE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Потенційний оператор торговельного майданчика разом з заявою подає великий пакет документів, що місти</w:t>
            </w:r>
            <w:r w:rsidR="00A34EA4">
              <w:rPr>
                <w:rFonts w:ascii="Arial" w:eastAsia="Times New Roman" w:hAnsi="Arial" w:cs="Arial"/>
                <w:sz w:val="18"/>
                <w:lang w:val="uk-UA" w:eastAsia="ru-RU"/>
              </w:rPr>
              <w:t>ть бізнес-план, організаційні</w:t>
            </w:r>
            <w:r w:rsidRPr="007E5633">
              <w:rPr>
                <w:rFonts w:ascii="Arial" w:eastAsia="Times New Roman" w:hAnsi="Arial" w:cs="Arial"/>
                <w:sz w:val="18"/>
                <w:lang w:val="uk-UA" w:eastAsia="ru-RU"/>
              </w:rPr>
              <w:t xml:space="preserve"> дані, дані щодо капіталу та фінансові дані. Документація повинна бути точною та докладною.</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280B4C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Тільки фондовим біржам потрібен попередній дозвіл (ліцензія), тому вони готують та подають пакет документів разом з заявою до НКЦПФР.</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EA36E5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Прогалина  стосується </w:t>
            </w:r>
            <w:r w:rsidR="005F3F2A" w:rsidRPr="007E5633">
              <w:rPr>
                <w:rFonts w:ascii="Arial" w:eastAsia="Times New Roman" w:hAnsi="Arial" w:cs="Arial"/>
                <w:sz w:val="18"/>
                <w:lang w:val="uk-UA" w:eastAsia="ru-RU"/>
              </w:rPr>
              <w:t xml:space="preserve">бірж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та торгових платформ, які в даний час не є предметом ліцензування.</w:t>
            </w:r>
          </w:p>
          <w:p w14:paraId="2ECDB13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282F811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F69B67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На етапі надання дозволу (ліцензії) компетентний орган перевіряє орган управління заявника з урахуванням їх навичок, знань, досвіду, репутації та чесності.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58AD2CB"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Встановлений процес перевірки органу управління біржі. Для інших торгових майданчиків орган управління не проходить перевірку.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9C5997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Органи управління бірж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та майданчиків для торгівлі енергією повинні підлягати належній перевірці.</w:t>
            </w:r>
          </w:p>
          <w:p w14:paraId="5C9DAE2B"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64CF4530"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177FE3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Коли компанія бажає отримати ліцензію на запуск регульованого майданчика, заявник повинен продемонструвати, що буде дотримано всіх правил, які регулюють його діяльність.</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35F3F1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 Україні фондова біржа повинна довести дотримання пруденційних вимог та правил.</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80361E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Якщо фондова біржа хоче  стати регульованим майданчиком, з точки зору процесу не виявлено жодних прогалин. Проте український ринок вважається недостатньо регульованим, тому необхідне зміцнення регуляторної бази.</w:t>
            </w:r>
          </w:p>
        </w:tc>
      </w:tr>
      <w:tr w:rsidR="0042516F" w:rsidRPr="007E5633" w14:paraId="148CCC00"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7E9E28B6"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Система ліцензування трейдерів</w:t>
            </w:r>
          </w:p>
        </w:tc>
      </w:tr>
      <w:tr w:rsidR="0042516F" w:rsidRPr="007E5633" w14:paraId="3CE529DF"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87AD578" w14:textId="77777777" w:rsidR="0042516F" w:rsidRPr="007E5633" w:rsidRDefault="0042516F">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Окремі національні закони для трейдерів </w:t>
            </w:r>
            <w:r w:rsidR="005F3F2A">
              <w:rPr>
                <w:rFonts w:ascii="Arial" w:eastAsia="Times New Roman" w:hAnsi="Arial" w:cs="Arial"/>
                <w:sz w:val="18"/>
                <w:lang w:val="uk-UA" w:eastAsia="ru-RU"/>
              </w:rPr>
              <w:t>товарними контрактами з фізичною поставкою</w:t>
            </w:r>
          </w:p>
          <w:p w14:paraId="1B5C42A6" w14:textId="77777777" w:rsidR="0042516F" w:rsidRPr="007E5633" w:rsidRDefault="00A34EA4">
            <w:pPr>
              <w:spacing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Дилери</w:t>
            </w:r>
            <w:r w:rsidR="0042516F" w:rsidRPr="007E5633">
              <w:rPr>
                <w:rFonts w:ascii="Arial" w:eastAsia="Times New Roman" w:hAnsi="Arial" w:cs="Arial"/>
                <w:sz w:val="18"/>
                <w:lang w:val="uk-UA" w:eastAsia="ru-RU"/>
              </w:rPr>
              <w:t xml:space="preserve"> у сфері фінансових інструментів підпадають під MIFID II</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D759D11"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Ліцензування на газопостачання та постачання електроенергії.</w:t>
            </w:r>
          </w:p>
          <w:p w14:paraId="641768F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Оптова торгівля без постачання - нерегульована, немає ні ліцензій, ні реєстру.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121E89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 не виявлено. Реєстрація учасників торгів у національного реєстратора сприятиме прозорості</w:t>
            </w:r>
          </w:p>
        </w:tc>
      </w:tr>
      <w:tr w:rsidR="0042516F" w:rsidRPr="007E5633" w14:paraId="6EBC6813"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3E842641"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lastRenderedPageBreak/>
              <w:t xml:space="preserve">Ліцензія Інфраструктурним компаніям (мережі - Grid) </w:t>
            </w:r>
          </w:p>
        </w:tc>
      </w:tr>
      <w:tr w:rsidR="0042516F" w:rsidRPr="007E5633" w14:paraId="0E624D80"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CF1804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3 варіанти. Транспорт завжди на 100% відокремлений від постачання, генерації та торгівлі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7D35333"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ОСП (3-й пакет)</w:t>
            </w:r>
          </w:p>
          <w:p w14:paraId="312BADD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Оператори системи дистрибуції (DSO) відокремлені (unbundling) тільки на вищому рівні </w:t>
            </w:r>
          </w:p>
          <w:p w14:paraId="73B8AA3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DSO може мати ліцензію на видобуток газу та постачання газу разом з ліцензією на мережу.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E66875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Прогалину виявлено. Розмежування (unbundling) на рівні DSO не дало результат.</w:t>
            </w:r>
          </w:p>
        </w:tc>
      </w:tr>
      <w:tr w:rsidR="0042516F" w:rsidRPr="007E5633" w14:paraId="05C9713E"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6C43F2E0"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Передача права власності</w:t>
            </w:r>
          </w:p>
        </w:tc>
      </w:tr>
      <w:tr w:rsidR="0042516F" w:rsidRPr="007E5633" w14:paraId="0BBC9338"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C0A005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Система передачі права власності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6BCA309"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Українська газова ОСП: Система надання повідомлень з можливістю скасування в разі непідтвердження протягом 10 (!) Днів</w:t>
            </w:r>
          </w:p>
          <w:p w14:paraId="4DC77366"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 </w:t>
            </w:r>
          </w:p>
          <w:p w14:paraId="77A2F5CE" w14:textId="77777777" w:rsidR="0042516F" w:rsidRPr="007E5633" w:rsidRDefault="0042516F">
            <w:pPr>
              <w:spacing w:line="187" w:lineRule="atLeast"/>
              <w:jc w:val="both"/>
              <w:rPr>
                <w:rFonts w:ascii="Arial" w:eastAsia="Times New Roman" w:hAnsi="Arial" w:cs="Arial"/>
                <w:sz w:val="18"/>
                <w:lang w:val="uk-UA" w:eastAsia="ru-RU"/>
              </w:rPr>
            </w:pPr>
            <w:r w:rsidRPr="007E5633">
              <w:rPr>
                <w:rFonts w:ascii="Arial" w:eastAsia="Times New Roman" w:hAnsi="Arial" w:cs="Arial"/>
                <w:sz w:val="18"/>
                <w:lang w:val="uk-UA" w:eastAsia="ru-RU"/>
              </w:rPr>
              <w:t>PSO - деякі споживачі мають право без гарантій вибирати газ.</w:t>
            </w:r>
          </w:p>
          <w:p w14:paraId="41BCD34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Платформи по електроенергії не існує.</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403075E"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Прогалину виявлено. Існуюча система лише передає умовну можливість передачі права власності. Недосконала система передачі права власності та ризик невизначеності з правом власності не дозволяють створити добре функціонуючий ринок.</w:t>
            </w:r>
          </w:p>
          <w:p w14:paraId="033E653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Формально було б достатньо внести поправки в Кодекси TSO та DSO газу та електроенергії. Проте Конституція передбачає, що закони мають регулювати права власності, і тому відповідні закони також можуть бути змінені для забезпечення принципів постійності (безперервності) роботи фізичних ринків.</w:t>
            </w:r>
          </w:p>
        </w:tc>
      </w:tr>
      <w:tr w:rsidR="0042516F" w:rsidRPr="007E5633" w14:paraId="31433688"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5C688856"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Звітування про транзакції</w:t>
            </w:r>
          </w:p>
        </w:tc>
      </w:tr>
      <w:tr w:rsidR="0042516F" w:rsidRPr="007E5633" w14:paraId="4720352C"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FCE27"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 ЄС існує два великих режими звітності - один по оптових енергетичних продуктах, а інший - по фінансових інструментах. Ці режими є всеосяжними у своїй сфері та частково перекриваються. Кожна відповідна операція з оптової енергії покривається принаймні одним з режимів</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4AAB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Система звітності стосовно оптових енергетичних продуктів в Україні не є цілісною. Вона охоплює лише частини ринку, а обсяг та потік даних значно відрізняються серед учасників. Вона істотно відстає від реального часу. Не існує всебічного визначення оптового енергетичного продукту чи фінансового інструмента.</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56AAB"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Україна повинна створити режими звітності щодо як оптового енергетичного ринку, так і ринку фінансових інструментів, що б чітко визначило обсяг регульованих інструментів та всебічно покрило би ринок. Нагляд за фінансовими інструментами має поширюватися за межі фондової біржі та торговельних платформ похідних інструментів.</w:t>
            </w:r>
          </w:p>
          <w:p w14:paraId="378A13A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117293F4"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4B47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Компетентні органи мають повну інформацію про кожний похідний контракт, тобто інформацію про саму операцію, а також дані про кліринг, </w:t>
            </w:r>
            <w:r w:rsidRPr="007E5633">
              <w:rPr>
                <w:rFonts w:ascii="Arial" w:eastAsia="Times New Roman" w:hAnsi="Arial" w:cs="Arial"/>
                <w:sz w:val="18"/>
                <w:lang w:val="uk-UA" w:eastAsia="ru-RU"/>
              </w:rPr>
              <w:lastRenderedPageBreak/>
              <w:t>забезпечення та поточну оцінку. Звітність стосується біржових контрактів, а також позабіржових. Необхідно повідомити відповідну інформацію не пізніше 1 робочого дня після укладання, модифікації або припинення дії контракту.</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C577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 xml:space="preserve">Лише інформація про операції, укладені на фондовій біржі, надається щоденно регулятору. Вимога щодо надання даних з позабіржового </w:t>
            </w:r>
            <w:r w:rsidRPr="007E5633">
              <w:rPr>
                <w:rFonts w:ascii="Arial" w:eastAsia="Times New Roman" w:hAnsi="Arial" w:cs="Arial"/>
                <w:sz w:val="18"/>
                <w:lang w:val="uk-UA" w:eastAsia="ru-RU"/>
              </w:rPr>
              <w:lastRenderedPageBreak/>
              <w:t>ринку покладається на професійних торговців (брокерів або дилерів) стосовно фінансових інструментів та охоплює лише обмежений обсяг інформації. Звітність на енергетичному ринку дуже обмежена як за масштабами, так і за частотою.</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4D52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 xml:space="preserve">Відповідні дані повинні бути зібрані з усіх торгових майданчиків (включаючи товарні біржі та торгові платформи). Усі учасники ринку повинні </w:t>
            </w:r>
            <w:r w:rsidRPr="007E5633">
              <w:rPr>
                <w:rFonts w:ascii="Arial" w:eastAsia="Times New Roman" w:hAnsi="Arial" w:cs="Arial"/>
                <w:sz w:val="18"/>
                <w:lang w:val="uk-UA" w:eastAsia="ru-RU"/>
              </w:rPr>
              <w:lastRenderedPageBreak/>
              <w:t>звітуватися щодо позабіржових угод. Обсяг інформації, що підлягає звітуванню, повинен бути розширений, а сама звітність повинна мати як мінімум щоденну частоту.</w:t>
            </w:r>
          </w:p>
          <w:p w14:paraId="3291764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76004050"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2A02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У ЄС високоякісні дані про транзакції забезпечуються режимом двосторонньої звітності. Цей режим застосовується до деривативних контрактів.</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7C27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 Україні немає двостороннього режиму звітності.</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BA96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Для посилення моніторингу ринку шляхом покращення якості даних Україна повинна встановити режими двостороннього звітування.</w:t>
            </w:r>
          </w:p>
          <w:p w14:paraId="3E3E459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29078D37"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03F71"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Учасники оптового енергетичного ринку зобов'язані перед ACER (Агентство співпраці регуляторів енергетики) публікувати дані про торгівлю. Дані надаються біржами та торговельними майданчиками. Учасники ринку несуть відповідальність лише за дані по позабіржових операціях.</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E87A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Деякі дані про торгівлю природним газом надаються НКРЕ щоквартально. Оптові продавці газу надають дані </w:t>
            </w:r>
            <w:r w:rsidRPr="007E5633">
              <w:rPr>
                <w:rFonts w:ascii="Arial" w:hAnsi="Arial" w:cs="Arial"/>
                <w:sz w:val="18"/>
                <w:szCs w:val="18"/>
                <w:lang w:val="uk-UA"/>
              </w:rPr>
              <w:t xml:space="preserve">EC Secretariat </w:t>
            </w:r>
            <w:r w:rsidRPr="007E5633">
              <w:rPr>
                <w:rFonts w:ascii="Arial" w:eastAsia="Times New Roman" w:hAnsi="Arial" w:cs="Arial"/>
                <w:sz w:val="18"/>
                <w:lang w:val="uk-UA" w:eastAsia="ru-RU"/>
              </w:rPr>
              <w:t>або іншим органам за їх запитом. Немає схеми звітування про торгівлю на ринку електроенергії</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5DA1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Україна повинна встановити режим звітування про транзакції до НКРЕ, який охоплюватиме всіх учасників ринку та всі оптові енергопродукти. Частота звітування повинна бути вищою - принаймні щодня.</w:t>
            </w:r>
          </w:p>
          <w:p w14:paraId="222CBAD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0541382A"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12DAE"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Учасники оптового енергетичного ринку зобов'язані перед ACER (Агентство співпраці регуляторів енергетики) публікувати основні дані (наприклад, планова або позапланова недоступність потужності, використання виробничих (генеруючих) активів)</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2369E"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Деякі фундаментальні дані публікуються на веб-сайтах окремих операторів, а ОСП є учасниками платформ прозорості ENTSO, але обсяг даних не є всеосяжним</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60D08"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Україна повинна вимагати від усіх учасників ринку енергії надавати НКРЕ / ACER відповідні основні дані щодо електроенергії та газу.</w:t>
            </w:r>
          </w:p>
          <w:p w14:paraId="705EF09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товарні біржі" та розширити відповідні нормативні акти, які регулюють торговельні платформи відповідно до регуляторної моделі.</w:t>
            </w:r>
          </w:p>
        </w:tc>
      </w:tr>
      <w:tr w:rsidR="0042516F" w:rsidRPr="007E5633" w14:paraId="675EFA85"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44C3F"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 ЄС ринкові зловживання, включаючи інсайдерську торгівлю, суворо заборонені (згідно з правилами MAR та REMIT)</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DCE1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 Україні лише закони та підзаконні акти щодо фондової біржі містять поняття маніпулювання ринком та інсайдерської торгівлі. Однак, що стосується маніпулювання на ринку, то це поняття застосовується лише до ринку цінних паперів.</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789C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Україна повинна розширити сферу застосування інструментів, що становлять предмет регулювання зловживання ринком, і, можливо, посилити регулятивно-правову базу у цій сфері.</w:t>
            </w:r>
          </w:p>
          <w:p w14:paraId="338DF0E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НКЦПФР та "Про цінні папери та фондовий ринок".</w:t>
            </w:r>
          </w:p>
        </w:tc>
      </w:tr>
      <w:tr w:rsidR="0042516F" w:rsidRPr="007E5633" w14:paraId="3C6C7BEA"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DBA2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 Внутрішня інформація повинна бути загальнодоступною на платформі, що забезпечує недискримінаційний доступ для всіх учасників ринку.</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B2AFC"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вимоги публічно розкривати інсайдерську інформацію.</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CBD98"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Правила регулювання зловживань на ринку України слід оновити, щоб запровадити вимогу публічно розкривати внутрішню інформацію.</w:t>
            </w:r>
          </w:p>
          <w:p w14:paraId="2E9244F7"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НКЦПФР та "Про цінні папери та фондовий ринок".</w:t>
            </w:r>
          </w:p>
        </w:tc>
      </w:tr>
      <w:tr w:rsidR="0042516F" w:rsidRPr="007E5633" w14:paraId="5090695B"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DAA51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 ЄС існують також правила, що забезпечують прозорість до торгівлі та після торгівлі. Оператори ринку публікують дані про ставки та ціни, про глибину торгових інтересів за цими цінами, а також основні дані про кожну транзакцію в реальному часі через компанії, що займаються постачанням даних</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C181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Торгові майданчики для торгівлі газом та електроенергією повинні оприлюднювати звітні дані, але обсяг даних обмежений та незрозумілий, а публікація може бути зроблена на веб-сайті - вимоги щодо створення потоків даних не існує.</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3598D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Для забезпечення повної прозорості ринку українське законодавство повинно вимагати від торговельних платформ публікувати звітну інформацію до торгівлі та після торгівлі через відповідні канали з правильним агрегуванням таких даних.</w:t>
            </w:r>
          </w:p>
          <w:p w14:paraId="5335C341"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НКЦПФР та "Про цінні папери та фондовий ринок".</w:t>
            </w:r>
          </w:p>
        </w:tc>
      </w:tr>
      <w:tr w:rsidR="0042516F" w:rsidRPr="007E5633" w14:paraId="4FDDA0C2"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6B29B"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Учасники ринку зобов'язані створювати та оновлювати список інсайдерів, тобто список осіб, які мають доступ до інсайдерської інформації.</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EC96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вимоги підтримувати список інсайдерів.</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0B61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Нормативну базу стосовно зловживання на ринку в Україні слід оновити, тобто ввести вимогу щодо підтримування списку інсайдерів.</w:t>
            </w:r>
          </w:p>
          <w:p w14:paraId="2875F25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товарні біржі", про НКРЕКП, до кодексів газових та електроенергетичних TSO та DSO та прийняти відповідні положення щодо торгових майданчиків.</w:t>
            </w:r>
          </w:p>
        </w:tc>
      </w:tr>
      <w:tr w:rsidR="0042516F" w:rsidRPr="007E5633" w14:paraId="17F51026"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D071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 відповідності до MAR, компетентний орган влади повинен бути поінформований про операції керівництва компаній</w:t>
            </w:r>
            <w:r w:rsidR="00F759F3">
              <w:rPr>
                <w:rFonts w:ascii="Arial" w:eastAsia="Times New Roman" w:hAnsi="Arial" w:cs="Arial"/>
                <w:sz w:val="18"/>
                <w:lang w:val="uk-UA" w:eastAsia="ru-RU"/>
              </w:rPr>
              <w:t xml:space="preserve"> з цінними паперами компанії</w:t>
            </w:r>
            <w:r w:rsidRPr="007E5633">
              <w:rPr>
                <w:rFonts w:ascii="Arial" w:eastAsia="Times New Roman" w:hAnsi="Arial" w:cs="Arial"/>
                <w:sz w:val="18"/>
                <w:lang w:val="uk-UA" w:eastAsia="ru-RU"/>
              </w:rPr>
              <w:t>, якщо загальна сума операцій за календарний рік досягла певного порогу.</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51A2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вимоги розкривати операції керівництва компаній.</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9111F"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Нормативну базу стосовно зловживання на ринку в Україні слід оновити, щоб запровадити вимогу розкривати операції керівництва.</w:t>
            </w:r>
          </w:p>
          <w:p w14:paraId="29D2D2F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товарні біржі", про НКРЕКП, до кодексів газових та електроенергетичних TSO та DSO та прийняти відповідні положення щодо торгових майданчиків.</w:t>
            </w:r>
          </w:p>
        </w:tc>
      </w:tr>
      <w:tr w:rsidR="0042516F" w:rsidRPr="007E5633" w14:paraId="269B0CD6" w14:textId="77777777" w:rsidTr="0042516F">
        <w:tc>
          <w:tcPr>
            <w:tcW w:w="30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94C4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Кожен учасник ринку, що має відповідну позицію у </w:t>
            </w:r>
            <w:r w:rsidR="005F3F2A" w:rsidRPr="005F3F2A">
              <w:rPr>
                <w:rFonts w:ascii="Arial" w:eastAsia="Times New Roman" w:hAnsi="Arial" w:cs="Arial"/>
                <w:sz w:val="18"/>
                <w:lang w:val="uk-UA" w:eastAsia="ru-RU"/>
              </w:rPr>
              <w:t>товарних контрактів</w:t>
            </w:r>
            <w:r w:rsidRPr="007E5633">
              <w:rPr>
                <w:rFonts w:ascii="Arial" w:eastAsia="Times New Roman" w:hAnsi="Arial" w:cs="Arial"/>
                <w:sz w:val="18"/>
                <w:lang w:val="uk-UA" w:eastAsia="ru-RU"/>
              </w:rPr>
              <w:t xml:space="preserve">, зобов'язаний звітувати перед NCA щодня, та перед NCA та ESMA щотижня. Звітування щодо позицій виходить з режиму лімітів по позиціях, спрямованого на обмеження спекуляцій на ринках </w:t>
            </w:r>
            <w:r w:rsidR="005F3F2A" w:rsidRPr="005F3F2A">
              <w:rPr>
                <w:rFonts w:ascii="Arial" w:eastAsia="Times New Roman" w:hAnsi="Arial" w:cs="Arial"/>
                <w:sz w:val="18"/>
                <w:lang w:val="uk-UA" w:eastAsia="ru-RU"/>
              </w:rPr>
              <w:t>товарних контрактів</w:t>
            </w:r>
            <w:r w:rsidRPr="007E5633">
              <w:rPr>
                <w:rFonts w:ascii="Arial" w:eastAsia="Times New Roman" w:hAnsi="Arial" w:cs="Arial"/>
                <w:sz w:val="18"/>
                <w:lang w:val="uk-UA" w:eastAsia="ru-RU"/>
              </w:rPr>
              <w:t>.</w:t>
            </w:r>
          </w:p>
        </w:tc>
        <w:tc>
          <w:tcPr>
            <w:tcW w:w="30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0552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В Україні чиста позиція у </w:t>
            </w:r>
            <w:r w:rsidR="005F3F2A" w:rsidRPr="005F3F2A">
              <w:rPr>
                <w:rFonts w:ascii="Arial" w:eastAsia="Times New Roman" w:hAnsi="Arial" w:cs="Arial"/>
                <w:sz w:val="18"/>
                <w:lang w:val="uk-UA" w:eastAsia="ru-RU"/>
              </w:rPr>
              <w:t xml:space="preserve">товарних контрактів </w:t>
            </w:r>
            <w:r w:rsidR="005F3F2A">
              <w:rPr>
                <w:rFonts w:ascii="Arial" w:eastAsia="Times New Roman" w:hAnsi="Arial" w:cs="Arial"/>
                <w:sz w:val="18"/>
                <w:lang w:val="uk-UA" w:eastAsia="ru-RU"/>
              </w:rPr>
              <w:t xml:space="preserve">та їх </w:t>
            </w:r>
            <w:r w:rsidRPr="007E5633">
              <w:rPr>
                <w:rFonts w:ascii="Arial" w:eastAsia="Times New Roman" w:hAnsi="Arial" w:cs="Arial"/>
                <w:sz w:val="18"/>
                <w:lang w:val="uk-UA" w:eastAsia="ru-RU"/>
              </w:rPr>
              <w:t>похідних інструментах не контролюється, тому в цій галузі немає звітних зобов'язань.</w:t>
            </w:r>
          </w:p>
        </w:tc>
        <w:tc>
          <w:tcPr>
            <w:tcW w:w="3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E86D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Для обмеження спекуляцій на ринку </w:t>
            </w:r>
            <w:r w:rsidR="005F3F2A" w:rsidRPr="005F3F2A">
              <w:rPr>
                <w:rFonts w:ascii="Arial" w:eastAsia="Times New Roman" w:hAnsi="Arial" w:cs="Arial"/>
                <w:sz w:val="18"/>
                <w:lang w:val="uk-UA" w:eastAsia="ru-RU"/>
              </w:rPr>
              <w:t xml:space="preserve">товарних контрактів </w:t>
            </w:r>
            <w:r w:rsidRPr="007E5633">
              <w:rPr>
                <w:rFonts w:ascii="Arial" w:eastAsia="Times New Roman" w:hAnsi="Arial" w:cs="Arial"/>
                <w:sz w:val="18"/>
                <w:lang w:val="uk-UA" w:eastAsia="ru-RU"/>
              </w:rPr>
              <w:t>слід встановити режим лімітів  позицій, включаючи його моніторинг за допомогою регулярних звітів про позиції.</w:t>
            </w:r>
          </w:p>
          <w:p w14:paraId="3407B44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Законів України "Про товарні біржі", а також в нормативну базу, що стосується звітності, що подається НКЦПФР та НКРЕКП по газу та електроенергетиці, а також прийняти положення про торгові майданчики.</w:t>
            </w:r>
          </w:p>
        </w:tc>
      </w:tr>
      <w:tr w:rsidR="0042516F" w:rsidRPr="007E5633" w14:paraId="60849596"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254844D0"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lastRenderedPageBreak/>
              <w:t>Оподаткування</w:t>
            </w:r>
          </w:p>
        </w:tc>
      </w:tr>
      <w:tr w:rsidR="0042516F" w:rsidRPr="007E5633" w14:paraId="7B55FA68"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96B73E8"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Механізм зворотної сплати (Reverse Charge Mechanism) або звільнення від оподаткування оптової торгівлі енергією та торгівлі викидами щодо сплати ПДВ</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A4A7203"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Звичайні правила сплати ПДВ застосовуються до оптової торгівлі енергією, за винятком транзиту природного газу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50491B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Україна повинна вжити заходів для запобігання шахрайству з податком на додану вартість, наприклад, механізм зворотної сплати (Reverse Charge Mechanism) або звільнення оптового енергетичного ринку від податку на додану вартість, доки такі заходи не будуть запроваджені.</w:t>
            </w:r>
          </w:p>
        </w:tc>
      </w:tr>
      <w:tr w:rsidR="0042516F" w:rsidRPr="007E5633" w14:paraId="0EBE7E9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C74501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Акцизи на електроенергію та газ, що застосовуються лише для кінцевого продажу або кінцевого споживання у визначеному діапазоні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531097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Акцизний податок сплачується як за операціями з торгівлі, так і при продажу кінцевим споживачам.</w:t>
            </w:r>
          </w:p>
          <w:p w14:paraId="45454A9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Торгівля електроенергією підпадає під дію податку на прибуток підприємств та ПДВ.</w:t>
            </w:r>
          </w:p>
          <w:p w14:paraId="0E4C32D8"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C4738BA"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Оптова торгівля енергією повинна бути звільнена від сплати ПДВ та податків.</w:t>
            </w:r>
          </w:p>
          <w:p w14:paraId="7357EA2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 xml:space="preserve">Торгівля електроенергією та газом не повинна бути суб’єктом акцизних зборів - їх мета полягає у зниженні загального попиту на </w:t>
            </w:r>
            <w:r w:rsidR="008F44DB" w:rsidRPr="008F44DB">
              <w:rPr>
                <w:rFonts w:ascii="Arial" w:eastAsia="Times New Roman" w:hAnsi="Arial" w:cs="Arial"/>
                <w:sz w:val="18"/>
                <w:lang w:val="uk-UA" w:eastAsia="ru-RU"/>
              </w:rPr>
              <w:t>товарн</w:t>
            </w:r>
            <w:r w:rsidR="008F44DB">
              <w:rPr>
                <w:rFonts w:ascii="Arial" w:eastAsia="Times New Roman" w:hAnsi="Arial" w:cs="Arial"/>
                <w:sz w:val="18"/>
                <w:lang w:val="uk-UA" w:eastAsia="ru-RU"/>
              </w:rPr>
              <w:t>і</w:t>
            </w:r>
            <w:r w:rsidR="008F44DB" w:rsidRPr="008F44DB">
              <w:rPr>
                <w:rFonts w:ascii="Arial" w:eastAsia="Times New Roman" w:hAnsi="Arial" w:cs="Arial"/>
                <w:sz w:val="18"/>
                <w:lang w:val="uk-UA" w:eastAsia="ru-RU"/>
              </w:rPr>
              <w:t xml:space="preserve"> контракт</w:t>
            </w:r>
            <w:r w:rsidR="008F44DB">
              <w:rPr>
                <w:rFonts w:ascii="Arial" w:eastAsia="Times New Roman" w:hAnsi="Arial" w:cs="Arial"/>
                <w:sz w:val="18"/>
                <w:lang w:val="uk-UA" w:eastAsia="ru-RU"/>
              </w:rPr>
              <w:t>и</w:t>
            </w:r>
            <w:r w:rsidRPr="007E5633">
              <w:rPr>
                <w:rFonts w:ascii="Arial" w:eastAsia="Times New Roman" w:hAnsi="Arial" w:cs="Arial"/>
                <w:sz w:val="18"/>
                <w:lang w:val="uk-UA" w:eastAsia="ru-RU"/>
              </w:rPr>
              <w:t>, а не у створенні перешкод для торгівлі.</w:t>
            </w:r>
          </w:p>
        </w:tc>
      </w:tr>
      <w:tr w:rsidR="0042516F" w:rsidRPr="007E5633" w14:paraId="2652DCA5"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D0AFEC2"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Схеми підтримки відновлюваних джерел енергії</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9DC302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ринкових схем підтримки відновлювальних джерел енергії - деякі податкові пільги застосовуються</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F2FC2D9"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 не виявлено. Україна не має схеми підтримки відновлюваних джерел енергії, але це не є необхідним для належного функціонування енергетичного ринку</w:t>
            </w:r>
          </w:p>
        </w:tc>
      </w:tr>
      <w:tr w:rsidR="0042516F" w:rsidRPr="007E5633" w14:paraId="29F0FDC1"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3E7694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Стимули для торгівлі на організованих ринках, підвищення ефективності використання чистої енергії.</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FBF942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правової бази, немає регулювання.</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3A271B5"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Може розглядатися в майбутньому запровадження якогось податку на цивільні контракти (наприклад, гербовий збір).</w:t>
            </w:r>
          </w:p>
        </w:tc>
      </w:tr>
      <w:tr w:rsidR="0042516F" w:rsidRPr="007E5633" w14:paraId="289E9340"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D439627"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Загальноєвропейська схема торгівлі викидами. Дозволи на викиди є фінансовими інструментами, до яких застосовуються спеціальні нормативні акти (наприклад, спеціальні положення в MAR, режим звітування про позиції, звільнення допоміжної діяльності від вимоги щодо отримання дозволу на ведення  інвестиційної діяльності)</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4E4231F"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Немає схеми торгівлі викидами, немає механізму обмеження викидів, немає ніяких нормативних актів стосовно дозволів на викиди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F2424A4" w14:textId="77777777" w:rsidR="0042516F" w:rsidRPr="007E5633" w:rsidRDefault="0042516F">
            <w:pPr>
              <w:spacing w:before="120" w:after="120" w:line="208" w:lineRule="atLeast"/>
              <w:rPr>
                <w:rFonts w:ascii="Arial" w:eastAsia="Times New Roman" w:hAnsi="Arial" w:cs="Arial"/>
                <w:sz w:val="18"/>
                <w:lang w:val="uk-UA" w:eastAsia="ru-RU"/>
              </w:rPr>
            </w:pPr>
            <w:r w:rsidRPr="007E5633">
              <w:rPr>
                <w:rFonts w:ascii="Arial" w:eastAsia="Times New Roman" w:hAnsi="Arial" w:cs="Arial"/>
                <w:sz w:val="18"/>
                <w:lang w:val="uk-UA" w:eastAsia="ru-RU"/>
              </w:rPr>
              <w:t>Прогалина залежить від майбутніх рішень. Україна не має системи торгівлі викидами, але це не є необхідним для належного функціонування енергетичного ринку. Якщо Україна приєднається до ЄС ETS, вона повинна суттєво розширити сферу застосування фінансового регулювання, щоб відповідати стандартам торгівлі EUA в ЄС. Впровадження ETS (яке монетизує чистішу енергію) дозволить існувати кращим інвестиційним стратегіям учасників ринку, включаючи монополії.</w:t>
            </w:r>
          </w:p>
        </w:tc>
      </w:tr>
      <w:tr w:rsidR="0042516F" w:rsidRPr="007E5633" w14:paraId="6B227ABB" w14:textId="77777777" w:rsidTr="0042516F">
        <w:tc>
          <w:tcPr>
            <w:tcW w:w="9242" w:type="dxa"/>
            <w:gridSpan w:val="3"/>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hideMark/>
          </w:tcPr>
          <w:p w14:paraId="6683D8D6" w14:textId="77777777" w:rsidR="0042516F" w:rsidRPr="007E5633" w:rsidRDefault="0042516F">
            <w:pPr>
              <w:spacing w:before="120" w:after="120" w:line="187" w:lineRule="atLeast"/>
              <w:jc w:val="center"/>
              <w:rPr>
                <w:rFonts w:ascii="Arial" w:eastAsia="Times New Roman" w:hAnsi="Arial" w:cs="Arial"/>
                <w:sz w:val="18"/>
                <w:szCs w:val="18"/>
                <w:lang w:val="uk-UA" w:eastAsia="ru-RU"/>
              </w:rPr>
            </w:pPr>
            <w:r w:rsidRPr="007E5633">
              <w:rPr>
                <w:rFonts w:ascii="Arial" w:eastAsia="Times New Roman" w:hAnsi="Arial" w:cs="Arial"/>
                <w:b/>
                <w:bCs/>
                <w:sz w:val="18"/>
                <w:lang w:val="uk-UA" w:eastAsia="ru-RU"/>
              </w:rPr>
              <w:t>Транспортні умови</w:t>
            </w:r>
          </w:p>
        </w:tc>
      </w:tr>
      <w:tr w:rsidR="0042516F" w:rsidRPr="007E5633" w14:paraId="1102ED42"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4CB54D7"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t xml:space="preserve">Схема прозорості фундаментальних даних на </w:t>
            </w:r>
            <w:r w:rsidRPr="007E5633">
              <w:rPr>
                <w:rFonts w:ascii="Arial" w:eastAsia="Times New Roman" w:hAnsi="Arial" w:cs="Arial"/>
                <w:sz w:val="18"/>
                <w:lang w:val="uk-UA" w:eastAsia="ru-RU"/>
              </w:rPr>
              <w:lastRenderedPageBreak/>
              <w:t>європейському рівні стосовно ОСП, операторів зберігання та транспортування LNG, а також учасників ринку</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7828E27" w14:textId="77777777" w:rsidR="0042516F" w:rsidRPr="007E5633" w:rsidRDefault="0042516F">
            <w:pPr>
              <w:spacing w:before="120" w:after="120" w:line="229" w:lineRule="atLeast"/>
              <w:rPr>
                <w:rFonts w:ascii="Arial" w:eastAsia="Times New Roman" w:hAnsi="Arial" w:cs="Arial"/>
                <w:lang w:val="uk-UA" w:eastAsia="ru-RU"/>
              </w:rPr>
            </w:pPr>
            <w:r w:rsidRPr="007E5633">
              <w:rPr>
                <w:rFonts w:ascii="Arial" w:eastAsia="Times New Roman" w:hAnsi="Arial" w:cs="Arial"/>
                <w:sz w:val="18"/>
                <w:lang w:val="uk-UA" w:eastAsia="ru-RU"/>
              </w:rPr>
              <w:lastRenderedPageBreak/>
              <w:t xml:space="preserve">Інтеграція України з ENTSOe та ENTSOg є поступовою, але </w:t>
            </w:r>
            <w:r w:rsidRPr="007E5633">
              <w:rPr>
                <w:rFonts w:ascii="Arial" w:eastAsia="Times New Roman" w:hAnsi="Arial" w:cs="Arial"/>
                <w:sz w:val="18"/>
                <w:lang w:val="uk-UA" w:eastAsia="ru-RU"/>
              </w:rPr>
              <w:lastRenderedPageBreak/>
              <w:t xml:space="preserve">прогресуючою. Українські ОСП є членами платформи прозорості, але неможливе надання повноцінної звітності через інфраструктурні та технічні причини. Електроенергетичний ОСП буде зобов'язаний до кінця 2018 року звітувати на центральній платформі інформаційної прозорості ENTSOe (крім балансування, яке має повідомлятися з 1 липня 2019 року). Газовий ОСП звітує на платформі прозорості ENTSOg з 2017 р. (Щоденні дані про фізичний потік), вони публікують щоденні фізичні дані на своєму сайті </w:t>
            </w:r>
            <w:hyperlink r:id="rId72" w:anchor="supply" w:history="1">
              <w:r w:rsidRPr="007E5633">
                <w:rPr>
                  <w:rStyle w:val="ab"/>
                  <w:rFonts w:ascii="Arial" w:hAnsi="Arial" w:cs="Arial"/>
                  <w:sz w:val="18"/>
                  <w:lang w:val="uk-UA" w:eastAsia="ru-RU"/>
                </w:rPr>
                <w:t>http://utg.ua/uk/utg/business-info/live.html#supply</w:t>
              </w:r>
            </w:hyperlink>
            <w:r w:rsidRPr="007E5633">
              <w:rPr>
                <w:rFonts w:ascii="Arial" w:eastAsia="Times New Roman" w:hAnsi="Arial" w:cs="Arial"/>
                <w:lang w:val="uk-UA" w:eastAsia="ru-RU"/>
              </w:rPr>
              <w:t> </w:t>
            </w:r>
            <w:r w:rsidRPr="007E5633">
              <w:rPr>
                <w:rFonts w:ascii="Arial" w:eastAsia="Times New Roman" w:hAnsi="Arial" w:cs="Arial"/>
                <w:sz w:val="18"/>
                <w:lang w:val="uk-UA" w:eastAsia="ru-RU"/>
              </w:rPr>
              <w:t>.</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6944409"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lang w:val="uk-UA" w:eastAsia="ru-RU"/>
              </w:rPr>
              <w:lastRenderedPageBreak/>
              <w:t xml:space="preserve">Українські ОСП повинні максимально інтегруватися з </w:t>
            </w:r>
            <w:r w:rsidRPr="007E5633">
              <w:rPr>
                <w:rFonts w:ascii="Arial" w:eastAsia="Times New Roman" w:hAnsi="Arial" w:cs="Arial"/>
                <w:sz w:val="18"/>
                <w:lang w:val="uk-UA" w:eastAsia="ru-RU"/>
              </w:rPr>
              <w:lastRenderedPageBreak/>
              <w:t>ENSTOs після реорганізації своїх енергетичних ринків та реалізації необхідних технологічних та організаційних змін</w:t>
            </w:r>
          </w:p>
        </w:tc>
      </w:tr>
      <w:tr w:rsidR="0042516F" w:rsidRPr="007E5633" w14:paraId="208DE842"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854A43D"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lastRenderedPageBreak/>
              <w:t xml:space="preserve">Створено стабільний обмін даними між TSOs та DSOs. </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22D98E5" w14:textId="77777777" w:rsidR="0042516F" w:rsidRPr="007E5633" w:rsidRDefault="0042516F">
            <w:pPr>
              <w:spacing w:before="120" w:after="120" w:line="229" w:lineRule="atLeast"/>
              <w:rPr>
                <w:rFonts w:ascii="Arial" w:eastAsia="Times New Roman" w:hAnsi="Arial" w:cs="Arial"/>
                <w:sz w:val="18"/>
                <w:lang w:val="uk-UA" w:eastAsia="ru-RU"/>
              </w:rPr>
            </w:pPr>
            <w:r w:rsidRPr="007E5633">
              <w:rPr>
                <w:rFonts w:ascii="Arial" w:eastAsia="Times New Roman" w:hAnsi="Arial" w:cs="Arial"/>
                <w:sz w:val="18"/>
                <w:lang w:val="uk-UA" w:eastAsia="ru-RU"/>
              </w:rPr>
              <w:t>Відповідно до кодексу системи передачі газу, DSOs зобов'язані надати TSO всі коди EIC. DSOs не виконують цієї вимоги, тому TSO не має повної інформації про коди EIC споживачів.</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A4F4FC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Відсутність ефективного обміну (та його правозастосування) створює ризики неналежного функціонування ринку (через нездатність оцінити попит та збирати платежі). Потрібно заповнити базу даних EIC та налагодити ефективний обмін інформацією. Необхідно забезпечити нейтральне адміністрування та рівний доступ до такої бази даних.</w:t>
            </w:r>
          </w:p>
          <w:p w14:paraId="5FB43CD0"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Необхідно внести зміни до Закону України "Про забезпечення комерційного обліку природного газу".</w:t>
            </w:r>
          </w:p>
        </w:tc>
      </w:tr>
      <w:tr w:rsidR="0042516F" w:rsidRPr="007E5633" w14:paraId="31630C13"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F13E6A4"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Мережеві кодекси та правила прозорості щодо послуг ОСП</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9842A66"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Мережеві кодекси, що застосовуються до українських ОСП, відрізняються від UNC та інших стандартних документів. Крім того, існують технологічні перешкоди для їх реалізації на даний момент.</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E5B589C" w14:textId="77777777" w:rsidR="0042516F" w:rsidRPr="007E5633" w:rsidRDefault="0042516F">
            <w:pPr>
              <w:spacing w:before="120" w:after="120" w:line="187" w:lineRule="atLeast"/>
              <w:rPr>
                <w:rFonts w:ascii="Arial" w:eastAsia="Times New Roman" w:hAnsi="Arial" w:cs="Arial"/>
                <w:sz w:val="18"/>
                <w:lang w:val="uk-UA" w:eastAsia="ru-RU"/>
              </w:rPr>
            </w:pPr>
            <w:r w:rsidRPr="007E5633">
              <w:rPr>
                <w:rFonts w:ascii="Arial" w:eastAsia="Times New Roman" w:hAnsi="Arial" w:cs="Arial"/>
                <w:sz w:val="18"/>
                <w:lang w:val="uk-UA" w:eastAsia="ru-RU"/>
              </w:rPr>
              <w:t>Українські ОСП повинні впроваджувати стандартні кодекси, щоб забезпечити управління ризиками усіх контрагентів (зокрема, ОСП та DSO). Зокрема, вони повинні уникати звільнення від звітування, які спотворюють ринок; таке саме правило слід застосовувати до режиму компенсації, якщо закони не встановлюють інше.</w:t>
            </w:r>
          </w:p>
        </w:tc>
      </w:tr>
      <w:tr w:rsidR="0042516F" w:rsidRPr="007E5633" w14:paraId="7267D96D"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FD2FF9B"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Роз'єднання (unbundling) власності ОСП (з опціями ITS або ITO)</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CA4BAD2"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Цільове законодавство щодо газового ринку вимагає роз'єднання власності або впровадження моделі ISO, але бажана модель OU не була реалізована на момент написання звіту.</w:t>
            </w:r>
          </w:p>
          <w:p w14:paraId="769FD823"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lastRenderedPageBreak/>
              <w:t>Закон про електроенергію вступив в силу 16 червня 2017 року, але Роз'єднання значно відстає від графіка - до запровадження двостороннього ринку, запланованого на 1 липня 2019 року.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D33AC5A"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lastRenderedPageBreak/>
              <w:t>Україна повинна запровадити та забезпечити виконання законодавства, що вимагає Роз'єднання ОСП</w:t>
            </w:r>
          </w:p>
        </w:tc>
      </w:tr>
      <w:tr w:rsidR="0042516F" w:rsidRPr="007E5633" w14:paraId="1C61AF12"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50D179F"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Недискримінаційні та прозорі умови надання послуг TSOs</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24FED54"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Оскільки TSOs та DSOs ще не розмежовані (not yet unbundled), відносини між ОСП та іншими учасниками ринку газу є незрозумілими і не можуть бути описані як недискримінаційні.</w:t>
            </w:r>
          </w:p>
          <w:p w14:paraId="3F507CB1"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Через відсутність належного ринку балансування послуги електроенергетичного ОСП не можуть бути описані як недискримінаційні.</w:t>
            </w:r>
          </w:p>
          <w:p w14:paraId="0DCC6F97"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На газовому ринку є ряд зобов'язань щодо публічних послуг за рахунок TSO (без бюджету та компенсації затрат на їх надання).</w:t>
            </w:r>
          </w:p>
          <w:p w14:paraId="76E1ACCC"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На ринку електроенергії деякі з зобов'язань, пов'язаних із наданням публічних послуг (наприклад, для закупівлі потужностей), визначені дуже розмито та ними можна зловживати.</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AAF101C"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Україна повинна запровадити та забезпечити розмежування (unbundling) на законодавчому рівні, що передбачає відокремлення (unbundling) прав власності газотранспортної системи.</w:t>
            </w:r>
          </w:p>
          <w:p w14:paraId="3909E1B5"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Крім того, вона повинна забезпечувати створення ефективного ринку балансування, включаючи балансування для PSO.</w:t>
            </w:r>
          </w:p>
          <w:p w14:paraId="4B24A6EF"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Балансування PSO повинно базуватися на ринкових механізмах. Фіксування цін для компаній без схем компенсації спотворює ринки та стимулює зловживання.</w:t>
            </w:r>
          </w:p>
          <w:p w14:paraId="5824F1EB"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Схема компенсації / надання субсидій повинна бути прозорою та підпадати під надання звітності.</w:t>
            </w:r>
          </w:p>
        </w:tc>
      </w:tr>
      <w:tr w:rsidR="0042516F" w:rsidRPr="007E5633" w14:paraId="078BCD8A"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A861230"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Недискримінаційні та прозорі правила ринку балансування</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474B4AC"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Ринок балансування, а точніше ціни, що сплачуються за балансові послуги, не регулюються. Є ситуативні рішення для балансування газового ринку.</w:t>
            </w:r>
          </w:p>
          <w:p w14:paraId="7C44004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Ринок балансування в електроенергетиці спирається на олігополію постачальників і не детально розглядає потенційний імпорт до та після синхронізації ENTSOe .</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7CB7CCF"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Україна повинна розробити і впровадити законодавство, що змушує створити ефективний ринок балансування;</w:t>
            </w:r>
          </w:p>
          <w:p w14:paraId="347FE2F2"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Схема повинна бути універсальною і заснована на ринковій ціні.</w:t>
            </w:r>
          </w:p>
          <w:p w14:paraId="29323E4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Україна повинна внести поправки до правової бази, щоб внести потрібні елементи в ринок балансування електроенергії.</w:t>
            </w:r>
          </w:p>
        </w:tc>
      </w:tr>
      <w:tr w:rsidR="0042516F" w:rsidRPr="007E5633" w14:paraId="62BA0BB0"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958CCE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Тариф на передачу, що є прозорим та базується на собівартості, затверджений регулюючими органами</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EB95C02"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На ринках газу та електроенергії тарифи затверджуються регулятором. Однак, це має бути підтримане шляхом Роз'єднання (unbundling).</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80BAB5E"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Роз'єднання (unbundling) сприятиме підвищенню довіри до ринків, запобіганню інсайдерській торгівлі та іншим ринковим маніпуляціям (Кабінетом Міністрів та групою "Нафтогаз" у випадку газового ОСП, Міністерством енергетики та вугільної промисловості у разі електроенергетичного  ОСП).</w:t>
            </w:r>
          </w:p>
        </w:tc>
      </w:tr>
      <w:tr w:rsidR="0042516F" w:rsidRPr="007E5633" w14:paraId="08BD5204"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65F5746"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Юридичне та операційне Роз'єднання DSO</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2A3E754"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 xml:space="preserve">Цільовий закон про природний газ та електроенергію не був </w:t>
            </w:r>
            <w:r w:rsidRPr="007E5633">
              <w:rPr>
                <w:rFonts w:ascii="Arial" w:eastAsia="Times New Roman" w:hAnsi="Arial" w:cs="Arial"/>
                <w:sz w:val="18"/>
                <w:szCs w:val="18"/>
                <w:lang w:val="uk-UA" w:eastAsia="ru-RU"/>
              </w:rPr>
              <w:lastRenderedPageBreak/>
              <w:t>введений на момент написання звіту.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4EE659F"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lastRenderedPageBreak/>
              <w:t xml:space="preserve">Україна повинна запровадити та забезпечити виконання законодавства, яке вимагатиме, принаймні, юридичного та </w:t>
            </w:r>
            <w:r w:rsidRPr="007E5633">
              <w:rPr>
                <w:rFonts w:ascii="Arial" w:eastAsia="Times New Roman" w:hAnsi="Arial" w:cs="Arial"/>
                <w:sz w:val="18"/>
                <w:szCs w:val="18"/>
                <w:lang w:val="uk-UA" w:eastAsia="ru-RU"/>
              </w:rPr>
              <w:lastRenderedPageBreak/>
              <w:t>операційного відокремлення DSO. Відокремлення права власності не є необхідним, але не завадить.</w:t>
            </w:r>
          </w:p>
        </w:tc>
      </w:tr>
      <w:tr w:rsidR="0042516F" w:rsidRPr="007E5633" w14:paraId="69B5B95E"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2002158"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lastRenderedPageBreak/>
              <w:t>Недискримінаційні та прозорі умови надання послуг DSO</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A0C0828"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Газові DSO мають стандартні умови надання послуг, потенційно обмежені технологічними питаннями (щодо зняття показників лічильників). Прозорість електроенергетичних DSO обмежена внаслідок децентралізованого характеру ринку</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AA1C28A"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Україна повинна розробити законодавство, яке зобов'язує створення ефективного ринку балансування електроенергії та газу (після роз'єднання (unbundling) ГТС) та створити інфраструктуру, що дозволяє існувати ефективному внутрішньому енергетичному ринку, щоб забезпечити справжню прозорість на ринку.</w:t>
            </w:r>
          </w:p>
          <w:p w14:paraId="2AB12A6F"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Кодексу газової TS та Кодексу газової DS.</w:t>
            </w:r>
          </w:p>
        </w:tc>
      </w:tr>
      <w:tr w:rsidR="0042516F" w:rsidRPr="007E5633" w14:paraId="2F447D3E"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B952B34"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Прозорі тарифи на дистрибуцію, засновані на собівартості, затверджені регуляторами</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4A764DA"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Тарифи для DSO базуються на RAB і схвалені регуляторами; проте прозорість може бути покращена через публічне звітування та посилення процедур закупівель.</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4D4B585"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Стандарти прозорості та звітності DSO можуть бути вдосконалені.</w:t>
            </w:r>
          </w:p>
        </w:tc>
      </w:tr>
      <w:tr w:rsidR="0042516F" w:rsidRPr="007E5633" w14:paraId="25975C6D"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718589C3"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Юридичне та операційне роз'єднання (unbundling) операторів сховищ та газотранспортних систем</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B0300AB"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Правила встановлені нейтрально щодо трейдерів (включаючи постачальників) та споживачів; від DSO або ОСП не вимагається роз'єднання (unbundling).</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D3D594B"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Роз'єднання права власності не є обов’язковим, але не завадить.</w:t>
            </w:r>
          </w:p>
        </w:tc>
      </w:tr>
      <w:tr w:rsidR="0042516F" w:rsidRPr="007E5633" w14:paraId="72ED8826" w14:textId="77777777" w:rsidTr="0042516F">
        <w:tc>
          <w:tcPr>
            <w:tcW w:w="3006"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AC194B2"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Недискримінаційні та прозорі умови обслуговування операторів зберігання та газотранспортних систем</w:t>
            </w:r>
          </w:p>
        </w:tc>
        <w:tc>
          <w:tcPr>
            <w:tcW w:w="3021"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2F723500"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Послуги операторів газосховищ і газотранспортних систем до певної міри стандартизовані законом, але ці оператори мають обмежені можливості приймати рішення на власний розсуд щодо постачання своїх послуг. </w:t>
            </w:r>
          </w:p>
          <w:p w14:paraId="4B680DA7"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Ціни на послуги СПГ не регулюються, хоча база для цього існує (однак в Україні не існує великої інфраструктури для СПГ (згідно з зауваженнями Секретаріату ЄС.).</w:t>
            </w:r>
          </w:p>
          <w:p w14:paraId="71E09289"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Крім того, ціна на послуги газотранспортних систем не регулюється . Винятки можуть робитися для нової інфраструктури, за умов виконання додаткових критеріїв.</w:t>
            </w:r>
          </w:p>
        </w:tc>
        <w:tc>
          <w:tcPr>
            <w:tcW w:w="3215"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F628DED"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Україна повинна вимагати від своїх операторів газових об'єктів повних недискримінаційних умов надання послуг, включаючи справедливе ціноутворення на всі послуги. Режим звільнення від застосування певних норм стосовно нових інфраструктурних об’єктів може залишатися.</w:t>
            </w:r>
          </w:p>
          <w:p w14:paraId="12EB9631" w14:textId="77777777" w:rsidR="0042516F" w:rsidRPr="007E5633" w:rsidRDefault="0042516F">
            <w:pPr>
              <w:spacing w:before="120" w:after="120" w:line="187" w:lineRule="atLeast"/>
              <w:rPr>
                <w:rFonts w:ascii="Arial" w:eastAsia="Times New Roman" w:hAnsi="Arial" w:cs="Arial"/>
                <w:sz w:val="18"/>
                <w:szCs w:val="18"/>
                <w:lang w:val="uk-UA" w:eastAsia="ru-RU"/>
              </w:rPr>
            </w:pPr>
            <w:r w:rsidRPr="007E5633">
              <w:rPr>
                <w:rFonts w:ascii="Arial" w:eastAsia="Times New Roman" w:hAnsi="Arial" w:cs="Arial"/>
                <w:sz w:val="18"/>
                <w:szCs w:val="18"/>
                <w:lang w:val="uk-UA" w:eastAsia="ru-RU"/>
              </w:rPr>
              <w:t>Необхідно внести зміни до Кодексу зберігання газу.</w:t>
            </w:r>
          </w:p>
        </w:tc>
      </w:tr>
    </w:tbl>
    <w:p w14:paraId="1D8D1C68" w14:textId="77777777" w:rsidR="0042516F" w:rsidRPr="007E5633" w:rsidRDefault="0042516F" w:rsidP="0042516F">
      <w:pPr>
        <w:spacing w:line="187" w:lineRule="atLeast"/>
        <w:rPr>
          <w:rFonts w:ascii="Arial" w:eastAsia="Times New Roman" w:hAnsi="Arial" w:cs="Arial"/>
          <w:color w:val="000000"/>
          <w:sz w:val="18"/>
          <w:szCs w:val="18"/>
          <w:lang w:val="uk-UA" w:eastAsia="ru-RU"/>
        </w:rPr>
      </w:pPr>
      <w:r w:rsidRPr="007E5633">
        <w:rPr>
          <w:rFonts w:ascii="Arial" w:eastAsia="Times New Roman" w:hAnsi="Arial" w:cs="Arial"/>
          <w:b/>
          <w:bCs/>
          <w:caps/>
          <w:color w:val="0F243E"/>
          <w:sz w:val="18"/>
          <w:szCs w:val="18"/>
          <w:lang w:val="uk-UA" w:eastAsia="ru-RU"/>
        </w:rPr>
        <w:t> </w:t>
      </w:r>
    </w:p>
    <w:p w14:paraId="49878C56" w14:textId="77777777" w:rsidR="00743C2A" w:rsidRPr="007E5633" w:rsidRDefault="00743C2A">
      <w:pPr>
        <w:rPr>
          <w:rFonts w:ascii="Arial" w:hAnsi="Arial" w:cs="Arial"/>
          <w:highlight w:val="yellow"/>
          <w:lang w:val="uk-UA"/>
        </w:rPr>
      </w:pPr>
    </w:p>
    <w:p w14:paraId="701F8ED0" w14:textId="77777777" w:rsidR="002C50B3" w:rsidRPr="007E5633" w:rsidRDefault="002C50B3">
      <w:pPr>
        <w:suppressAutoHyphens w:val="0"/>
        <w:rPr>
          <w:rFonts w:ascii="Arial" w:eastAsia="Times New Roman" w:hAnsi="Arial" w:cs="Arial"/>
          <w:b/>
          <w:bCs/>
          <w:caps/>
          <w:color w:val="0F243E"/>
          <w:sz w:val="18"/>
          <w:szCs w:val="18"/>
          <w:highlight w:val="yellow"/>
          <w:lang w:val="uk-UA"/>
        </w:rPr>
      </w:pPr>
    </w:p>
    <w:p w14:paraId="05B6BE06" w14:textId="77777777" w:rsidR="002C50B3" w:rsidRPr="007E5633" w:rsidRDefault="002C50B3">
      <w:pPr>
        <w:suppressAutoHyphens w:val="0"/>
        <w:rPr>
          <w:rFonts w:ascii="Arial" w:eastAsia="Times New Roman" w:hAnsi="Arial" w:cs="Arial"/>
          <w:b/>
          <w:bCs/>
          <w:caps/>
          <w:color w:val="0F243E"/>
          <w:sz w:val="18"/>
          <w:szCs w:val="18"/>
          <w:highlight w:val="yellow"/>
          <w:lang w:val="uk-UA"/>
        </w:rPr>
      </w:pPr>
      <w:r w:rsidRPr="007E5633">
        <w:rPr>
          <w:rFonts w:ascii="Arial" w:hAnsi="Arial" w:cs="Arial"/>
          <w:sz w:val="18"/>
          <w:szCs w:val="18"/>
          <w:highlight w:val="yellow"/>
          <w:lang w:val="uk-UA"/>
        </w:rPr>
        <w:br w:type="page"/>
      </w:r>
    </w:p>
    <w:p w14:paraId="4EA4946A" w14:textId="77777777" w:rsidR="006A6D87" w:rsidRPr="007E5633" w:rsidRDefault="003D1452" w:rsidP="00006023">
      <w:pPr>
        <w:pStyle w:val="1GTP"/>
        <w:rPr>
          <w:rFonts w:cs="Arial"/>
          <w:noProof w:val="0"/>
          <w:sz w:val="24"/>
          <w:szCs w:val="24"/>
          <w:lang w:val="uk-UA"/>
        </w:rPr>
      </w:pPr>
      <w:bookmarkStart w:id="168" w:name="_Toc526775066"/>
      <w:bookmarkStart w:id="169" w:name="_Toc526800296"/>
      <w:bookmarkStart w:id="170" w:name="_Toc533093970"/>
      <w:r w:rsidRPr="007E5633">
        <w:rPr>
          <w:rFonts w:cs="Arial"/>
          <w:noProof w:val="0"/>
          <w:sz w:val="24"/>
          <w:szCs w:val="24"/>
          <w:lang w:val="uk-UA"/>
        </w:rPr>
        <w:lastRenderedPageBreak/>
        <w:t>ДОДАТКИ</w:t>
      </w:r>
      <w:bookmarkEnd w:id="168"/>
      <w:bookmarkEnd w:id="169"/>
      <w:bookmarkEnd w:id="170"/>
    </w:p>
    <w:p w14:paraId="1ADE951B" w14:textId="77777777" w:rsidR="00852494" w:rsidRPr="007E5633" w:rsidRDefault="003D1452" w:rsidP="00852494">
      <w:pPr>
        <w:pStyle w:val="2"/>
        <w:numPr>
          <w:ilvl w:val="0"/>
          <w:numId w:val="0"/>
        </w:numPr>
        <w:spacing w:before="118"/>
        <w:jc w:val="left"/>
        <w:rPr>
          <w:lang w:val="uk-UA"/>
        </w:rPr>
      </w:pPr>
      <w:bookmarkStart w:id="171" w:name="_Toc527539269"/>
      <w:bookmarkStart w:id="172" w:name="_Toc533093971"/>
      <w:bookmarkStart w:id="173" w:name="_Toc526775067"/>
      <w:bookmarkStart w:id="174" w:name="_Toc526800297"/>
      <w:r w:rsidRPr="007E5633">
        <w:rPr>
          <w:lang w:val="uk-UA"/>
        </w:rPr>
        <w:t>Додаток 1: Список учасників під час першої місії (17-19 вересня 2018 р.</w:t>
      </w:r>
      <w:r w:rsidR="00852494" w:rsidRPr="007E5633">
        <w:rPr>
          <w:lang w:val="uk-UA"/>
        </w:rPr>
        <w:t>)</w:t>
      </w:r>
      <w:bookmarkEnd w:id="171"/>
      <w:bookmarkEnd w:id="172"/>
    </w:p>
    <w:bookmarkEnd w:id="173"/>
    <w:bookmarkEnd w:id="174"/>
    <w:p w14:paraId="680AE42E" w14:textId="77777777" w:rsidR="00006023" w:rsidRPr="007E5633" w:rsidRDefault="00006023" w:rsidP="00006023">
      <w:pPr>
        <w:spacing w:before="60" w:after="60" w:line="240" w:lineRule="auto"/>
        <w:jc w:val="both"/>
        <w:rPr>
          <w:rFonts w:ascii="Arial" w:hAnsi="Arial" w:cs="Arial"/>
          <w:sz w:val="20"/>
          <w:szCs w:val="20"/>
          <w:highlight w:val="yellow"/>
          <w:lang w:val="uk-UA"/>
        </w:rPr>
      </w:pPr>
    </w:p>
    <w:p w14:paraId="04E09B78" w14:textId="77777777" w:rsidR="00006023" w:rsidRPr="007E5633" w:rsidRDefault="00852494" w:rsidP="00006023">
      <w:pPr>
        <w:spacing w:before="60" w:after="60" w:line="240" w:lineRule="auto"/>
        <w:jc w:val="both"/>
        <w:rPr>
          <w:rFonts w:ascii="Arial" w:hAnsi="Arial" w:cs="Arial"/>
          <w:sz w:val="20"/>
          <w:szCs w:val="20"/>
          <w:highlight w:val="yellow"/>
          <w:lang w:val="uk-UA"/>
        </w:rPr>
      </w:pPr>
      <w:r w:rsidRPr="007E5633">
        <w:rPr>
          <w:rFonts w:ascii="Arial" w:hAnsi="Arial" w:cs="Arial"/>
          <w:noProof/>
          <w:lang w:val="en-US"/>
        </w:rPr>
        <w:drawing>
          <wp:inline distT="0" distB="0" distL="0" distR="0" wp14:anchorId="1AF360A8" wp14:editId="05CFC216">
            <wp:extent cx="5724939" cy="5355804"/>
            <wp:effectExtent l="0" t="0" r="9525"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8107" b="-1"/>
                    <a:stretch/>
                  </pic:blipFill>
                  <pic:spPr bwMode="auto">
                    <a:xfrm>
                      <a:off x="0" y="0"/>
                      <a:ext cx="5731510" cy="5361951"/>
                    </a:xfrm>
                    <a:prstGeom prst="rect">
                      <a:avLst/>
                    </a:prstGeom>
                    <a:noFill/>
                    <a:ln>
                      <a:noFill/>
                    </a:ln>
                    <a:extLst>
                      <a:ext uri="{53640926-AAD7-44D8-BBD7-CCE9431645EC}">
                        <a14:shadowObscured xmlns:a14="http://schemas.microsoft.com/office/drawing/2010/main"/>
                      </a:ext>
                    </a:extLst>
                  </pic:spPr>
                </pic:pic>
              </a:graphicData>
            </a:graphic>
          </wp:inline>
        </w:drawing>
      </w:r>
    </w:p>
    <w:p w14:paraId="37B90D81" w14:textId="77777777" w:rsidR="00006023" w:rsidRPr="007E5633" w:rsidRDefault="00006023">
      <w:pPr>
        <w:suppressAutoHyphens w:val="0"/>
        <w:rPr>
          <w:rFonts w:ascii="Arial" w:hAnsi="Arial" w:cs="Arial"/>
          <w:sz w:val="20"/>
          <w:szCs w:val="20"/>
          <w:highlight w:val="yellow"/>
          <w:lang w:val="uk-UA"/>
        </w:rPr>
      </w:pPr>
      <w:r w:rsidRPr="007E5633">
        <w:rPr>
          <w:rFonts w:ascii="Arial" w:hAnsi="Arial" w:cs="Arial"/>
          <w:sz w:val="20"/>
          <w:szCs w:val="20"/>
          <w:highlight w:val="yellow"/>
          <w:lang w:val="uk-UA"/>
        </w:rPr>
        <w:br w:type="page"/>
      </w:r>
    </w:p>
    <w:p w14:paraId="5147EF92" w14:textId="77777777" w:rsidR="005355EE" w:rsidRPr="007E5633" w:rsidRDefault="005355EE" w:rsidP="000D248B">
      <w:pPr>
        <w:pStyle w:val="2"/>
        <w:numPr>
          <w:ilvl w:val="0"/>
          <w:numId w:val="0"/>
        </w:numPr>
        <w:spacing w:before="118"/>
        <w:jc w:val="left"/>
        <w:rPr>
          <w:lang w:val="uk-UA"/>
        </w:rPr>
      </w:pPr>
      <w:bookmarkStart w:id="175" w:name="_Toc533093972"/>
      <w:bookmarkStart w:id="176" w:name="_Toc526775068"/>
      <w:bookmarkStart w:id="177" w:name="_Toc526800298"/>
      <w:r w:rsidRPr="007E5633">
        <w:rPr>
          <w:lang w:val="uk-UA"/>
        </w:rPr>
        <w:lastRenderedPageBreak/>
        <w:t>Додаток 2: Список учасників під час стартового семінару 17 вересня 2018 року</w:t>
      </w:r>
      <w:bookmarkEnd w:id="175"/>
    </w:p>
    <w:p w14:paraId="4FBE887C" w14:textId="77777777" w:rsidR="000D248B" w:rsidRPr="007E5633" w:rsidRDefault="000D248B" w:rsidP="000D248B">
      <w:pPr>
        <w:pStyle w:val="2"/>
        <w:numPr>
          <w:ilvl w:val="0"/>
          <w:numId w:val="0"/>
        </w:numPr>
        <w:spacing w:before="118"/>
        <w:jc w:val="left"/>
        <w:rPr>
          <w:lang w:val="uk-UA"/>
        </w:rPr>
      </w:pPr>
    </w:p>
    <w:p w14:paraId="5B86CBB8"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b/>
          <w:lang w:val="uk-UA"/>
        </w:rPr>
      </w:pPr>
      <w:r w:rsidRPr="007E5633">
        <w:rPr>
          <w:rFonts w:ascii="Arial" w:hAnsi="Arial" w:cs="Arial"/>
          <w:b/>
          <w:lang w:val="uk-UA"/>
        </w:rPr>
        <w:t xml:space="preserve">Бакулін Олег, юрист депутата </w:t>
      </w:r>
    </w:p>
    <w:p w14:paraId="5D424768"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lang w:val="uk-UA"/>
        </w:rPr>
        <w:t>Йоханнес Баур</w:t>
      </w:r>
      <w:r w:rsidRPr="007E5633">
        <w:rPr>
          <w:rFonts w:ascii="Arial" w:hAnsi="Arial" w:cs="Arial"/>
          <w:lang w:val="uk-UA"/>
        </w:rPr>
        <w:t>, керівник відділу газу, нафти та енергоефективності, Делегація ЄС</w:t>
      </w:r>
    </w:p>
    <w:p w14:paraId="52BA3A65"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shd w:val="clear" w:color="auto" w:fill="FFFFFF"/>
          <w:lang w:val="uk-UA"/>
        </w:rPr>
        <w:t>Бандура Андрій</w:t>
      </w:r>
      <w:r w:rsidRPr="007E5633">
        <w:rPr>
          <w:rFonts w:ascii="Arial" w:hAnsi="Arial" w:cs="Arial"/>
          <w:shd w:val="clear" w:color="auto" w:fill="FFFFFF"/>
          <w:lang w:val="uk-UA"/>
        </w:rPr>
        <w:t>, представник Делегації ЄС</w:t>
      </w:r>
    </w:p>
    <w:p w14:paraId="4D5F17D2" w14:textId="77777777" w:rsidR="005355EE" w:rsidRPr="007E5633" w:rsidRDefault="005355EE" w:rsidP="000D248B">
      <w:pPr>
        <w:pStyle w:val="m3187071979921499948msolistparagraph"/>
        <w:numPr>
          <w:ilvl w:val="0"/>
          <w:numId w:val="44"/>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Бедін Сергій</w:t>
      </w:r>
      <w:r w:rsidRPr="007E5633">
        <w:rPr>
          <w:rFonts w:ascii="Arial" w:hAnsi="Arial" w:cs="Arial"/>
          <w:color w:val="000000" w:themeColor="text1"/>
          <w:sz w:val="22"/>
          <w:szCs w:val="22"/>
        </w:rPr>
        <w:t xml:space="preserve">, генеральний директор </w:t>
      </w:r>
      <w:hyperlink r:id="rId74" w:history="1">
        <w:r w:rsidRPr="007E5633">
          <w:rPr>
            <w:rStyle w:val="ab"/>
            <w:rFonts w:ascii="Arial" w:hAnsi="Arial" w:cs="Arial"/>
            <w:color w:val="000000" w:themeColor="text1"/>
            <w:sz w:val="22"/>
            <w:szCs w:val="22"/>
          </w:rPr>
          <w:t>ВП «Енергоатом-Трейдинг»</w:t>
        </w:r>
      </w:hyperlink>
    </w:p>
    <w:p w14:paraId="5421B90A" w14:textId="77777777" w:rsidR="005355EE" w:rsidRPr="007E5633" w:rsidRDefault="005355EE" w:rsidP="000D248B">
      <w:pPr>
        <w:pStyle w:val="a4"/>
        <w:numPr>
          <w:ilvl w:val="0"/>
          <w:numId w:val="44"/>
        </w:numPr>
        <w:tabs>
          <w:tab w:val="left" w:pos="318"/>
          <w:tab w:val="left" w:pos="567"/>
        </w:tabs>
        <w:suppressAutoHyphens w:val="0"/>
        <w:autoSpaceDN/>
        <w:spacing w:line="259" w:lineRule="auto"/>
        <w:ind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Богачев Ігор</w:t>
      </w:r>
      <w:r w:rsidRPr="007E5633">
        <w:rPr>
          <w:rFonts w:ascii="Arial" w:hAnsi="Arial" w:cs="Arial"/>
          <w:color w:val="000000" w:themeColor="text1"/>
          <w:lang w:val="uk-UA"/>
        </w:rPr>
        <w:t xml:space="preserve">, менеджер департаменту регуляторної політики, ДТЕК </w:t>
      </w:r>
    </w:p>
    <w:p w14:paraId="2CC4A819" w14:textId="77777777" w:rsidR="005355EE" w:rsidRPr="007E5633" w:rsidRDefault="005355EE" w:rsidP="000D248B">
      <w:pPr>
        <w:pStyle w:val="a4"/>
        <w:numPr>
          <w:ilvl w:val="0"/>
          <w:numId w:val="44"/>
        </w:numPr>
        <w:shd w:val="clear" w:color="auto" w:fill="FFFFFF"/>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bCs/>
          <w:color w:val="000000" w:themeColor="text1"/>
          <w:lang w:val="uk-UA"/>
        </w:rPr>
        <w:t>Богут Шукру</w:t>
      </w:r>
      <w:r w:rsidRPr="007E5633">
        <w:rPr>
          <w:rFonts w:ascii="Arial" w:hAnsi="Arial" w:cs="Arial"/>
          <w:bCs/>
          <w:color w:val="000000" w:themeColor="text1"/>
          <w:lang w:val="uk-UA"/>
        </w:rPr>
        <w:t xml:space="preserve">, </w:t>
      </w:r>
      <w:r w:rsidRPr="007E5633">
        <w:rPr>
          <w:rFonts w:ascii="Arial" w:hAnsi="Arial" w:cs="Arial"/>
          <w:color w:val="000000" w:themeColor="text1"/>
          <w:lang w:val="uk-UA"/>
        </w:rPr>
        <w:t>USAID/Україна</w:t>
      </w:r>
    </w:p>
    <w:p w14:paraId="0F719D67" w14:textId="77777777" w:rsidR="005355EE" w:rsidRPr="007E5633" w:rsidRDefault="005355EE" w:rsidP="000D248B">
      <w:pPr>
        <w:pStyle w:val="m3187071979921499948msolistparagraph"/>
        <w:numPr>
          <w:ilvl w:val="0"/>
          <w:numId w:val="44"/>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Бражко Кирило</w:t>
      </w:r>
      <w:r w:rsidRPr="007E5633">
        <w:rPr>
          <w:rFonts w:ascii="Arial" w:hAnsi="Arial" w:cs="Arial"/>
          <w:color w:val="000000" w:themeColor="text1"/>
          <w:sz w:val="22"/>
          <w:szCs w:val="22"/>
        </w:rPr>
        <w:t>, керівник стратегічних проектів та програм, Департаменту стратегічного планування та контролю НАК «Нафтогаз України».</w:t>
      </w:r>
    </w:p>
    <w:p w14:paraId="14B0357D"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Style w:val="af9"/>
          <w:rFonts w:ascii="Arial" w:hAnsi="Arial" w:cs="Arial"/>
          <w:i w:val="0"/>
          <w:iCs w:val="0"/>
          <w:color w:val="000000" w:themeColor="text1"/>
          <w:lang w:val="uk-UA"/>
        </w:rPr>
      </w:pPr>
      <w:r w:rsidRPr="007E5633">
        <w:rPr>
          <w:rFonts w:ascii="Arial" w:hAnsi="Arial" w:cs="Arial"/>
          <w:b/>
          <w:color w:val="000000" w:themeColor="text1"/>
          <w:shd w:val="clear" w:color="auto" w:fill="FFFFFF"/>
          <w:lang w:val="uk-UA"/>
        </w:rPr>
        <w:t>Грімалді Джузеппе</w:t>
      </w:r>
      <w:r w:rsidRPr="007E5633">
        <w:rPr>
          <w:rFonts w:ascii="Arial" w:hAnsi="Arial" w:cs="Arial"/>
          <w:color w:val="000000" w:themeColor="text1"/>
          <w:shd w:val="clear" w:color="auto" w:fill="FFFFFF"/>
          <w:lang w:val="uk-UA"/>
        </w:rPr>
        <w:t>, головний економіст в ЄБРР</w:t>
      </w:r>
      <w:r w:rsidRPr="007E5633">
        <w:rPr>
          <w:rStyle w:val="af9"/>
          <w:rFonts w:ascii="Arial" w:hAnsi="Arial" w:cs="Arial"/>
          <w:color w:val="000000" w:themeColor="text1"/>
          <w:shd w:val="clear" w:color="auto" w:fill="FFFFFF"/>
          <w:lang w:val="uk-UA"/>
        </w:rPr>
        <w:t xml:space="preserve"> </w:t>
      </w:r>
    </w:p>
    <w:p w14:paraId="4700B14F"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Грузісіч Предраг</w:t>
      </w:r>
      <w:r w:rsidRPr="007E5633">
        <w:rPr>
          <w:rFonts w:ascii="Arial" w:hAnsi="Arial" w:cs="Arial"/>
          <w:color w:val="000000" w:themeColor="text1"/>
          <w:lang w:val="uk-UA"/>
        </w:rPr>
        <w:t xml:space="preserve">, начальник відділу газу, Секретаріату енергетичної спільноти  </w:t>
      </w:r>
    </w:p>
    <w:p w14:paraId="009F06AF"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Демчак Руслан</w:t>
      </w:r>
      <w:r w:rsidRPr="007E5633">
        <w:rPr>
          <w:rFonts w:ascii="Arial" w:hAnsi="Arial" w:cs="Arial"/>
          <w:color w:val="000000" w:themeColor="text1"/>
          <w:lang w:val="uk-UA"/>
        </w:rPr>
        <w:t>, народний депутат</w:t>
      </w:r>
    </w:p>
    <w:p w14:paraId="6FD01906"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bCs/>
          <w:color w:val="222222"/>
          <w:shd w:val="clear" w:color="auto" w:fill="FFFFFF"/>
          <w:lang w:val="uk-UA"/>
        </w:rPr>
        <w:t>Долженко Катерина</w:t>
      </w:r>
      <w:r w:rsidRPr="007E5633">
        <w:rPr>
          <w:rFonts w:ascii="Arial" w:hAnsi="Arial" w:cs="Arial"/>
          <w:bCs/>
          <w:color w:val="222222"/>
          <w:shd w:val="clear" w:color="auto" w:fill="FFFFFF"/>
          <w:lang w:val="uk-UA"/>
        </w:rPr>
        <w:t>, головний юрисконсульт НАК «Нафтогаз України»</w:t>
      </w:r>
    </w:p>
    <w:p w14:paraId="1D5CF6E4"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Дубовський Олексій</w:t>
      </w:r>
      <w:r w:rsidRPr="007E5633">
        <w:rPr>
          <w:rFonts w:ascii="Arial" w:hAnsi="Arial" w:cs="Arial"/>
          <w:color w:val="000000" w:themeColor="text1"/>
          <w:lang w:val="uk-UA"/>
        </w:rPr>
        <w:t>, Голова біржового комітету Української енергетичної біржі</w:t>
      </w:r>
    </w:p>
    <w:p w14:paraId="127843A6" w14:textId="77777777" w:rsidR="005355EE" w:rsidRPr="007E5633" w:rsidRDefault="005355EE" w:rsidP="000D248B">
      <w:pPr>
        <w:pStyle w:val="m3187071979921499948msolistparagraph"/>
        <w:numPr>
          <w:ilvl w:val="0"/>
          <w:numId w:val="44"/>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Дубченко Вікторія</w:t>
      </w:r>
      <w:r w:rsidRPr="007E5633">
        <w:rPr>
          <w:rFonts w:ascii="Arial" w:hAnsi="Arial" w:cs="Arial"/>
          <w:color w:val="000000" w:themeColor="text1"/>
          <w:sz w:val="22"/>
          <w:szCs w:val="22"/>
        </w:rPr>
        <w:t xml:space="preserve">, заступник генерального директора </w:t>
      </w:r>
      <w:hyperlink r:id="rId75" w:history="1">
        <w:r w:rsidRPr="007E5633">
          <w:rPr>
            <w:rStyle w:val="ab"/>
            <w:rFonts w:ascii="Arial" w:hAnsi="Arial" w:cs="Arial"/>
            <w:color w:val="000000" w:themeColor="text1"/>
            <w:sz w:val="22"/>
            <w:szCs w:val="22"/>
          </w:rPr>
          <w:t>ВП «Енергоатом-Трейдинг»</w:t>
        </w:r>
      </w:hyperlink>
    </w:p>
    <w:p w14:paraId="2AC80156"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Журавель Олена</w:t>
      </w:r>
      <w:r w:rsidRPr="007E5633">
        <w:rPr>
          <w:rFonts w:ascii="Arial" w:hAnsi="Arial" w:cs="Arial"/>
          <w:color w:val="000000" w:themeColor="text1"/>
          <w:lang w:val="uk-UA"/>
        </w:rPr>
        <w:t>, н</w:t>
      </w:r>
      <w:r w:rsidRPr="007E5633">
        <w:rPr>
          <w:rStyle w:val="afb"/>
          <w:rFonts w:ascii="Arial" w:hAnsi="Arial" w:cs="Arial"/>
          <w:color w:val="000000" w:themeColor="text1"/>
          <w:bdr w:val="none" w:sz="0" w:space="0" w:color="auto" w:frame="1"/>
          <w:shd w:val="clear" w:color="auto" w:fill="FFFFFF"/>
          <w:lang w:val="uk-UA"/>
        </w:rPr>
        <w:t>ачальник відділу економічного аналізу та прогнозування департаменту стратегічного розвитку і планування НКРЕКП</w:t>
      </w:r>
    </w:p>
    <w:p w14:paraId="55E80566"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Кісель Володимир</w:t>
      </w:r>
      <w:r w:rsidRPr="007E5633">
        <w:rPr>
          <w:rFonts w:ascii="Arial" w:hAnsi="Arial" w:cs="Arial"/>
          <w:color w:val="000000" w:themeColor="text1"/>
          <w:lang w:val="uk-UA"/>
        </w:rPr>
        <w:t xml:space="preserve">, </w:t>
      </w:r>
      <w:r w:rsidRPr="007E5633">
        <w:rPr>
          <w:rFonts w:ascii="Arial" w:hAnsi="Arial" w:cs="Arial"/>
          <w:color w:val="000000" w:themeColor="text1"/>
          <w:shd w:val="clear" w:color="auto" w:fill="FFFFFF"/>
          <w:lang w:val="uk-UA"/>
        </w:rPr>
        <w:t>менеджер з продажу газу ВАТ "</w:t>
      </w:r>
      <w:r w:rsidRPr="007E5633">
        <w:rPr>
          <w:rStyle w:val="af9"/>
          <w:rFonts w:ascii="Arial" w:hAnsi="Arial" w:cs="Arial"/>
          <w:color w:val="000000" w:themeColor="text1"/>
          <w:shd w:val="clear" w:color="auto" w:fill="FFFFFF"/>
          <w:lang w:val="uk-UA"/>
        </w:rPr>
        <w:t>Укрнафта</w:t>
      </w:r>
      <w:r w:rsidRPr="007E5633">
        <w:rPr>
          <w:rFonts w:ascii="Arial" w:hAnsi="Arial" w:cs="Arial"/>
          <w:color w:val="000000" w:themeColor="text1"/>
          <w:shd w:val="clear" w:color="auto" w:fill="FFFFFF"/>
          <w:lang w:val="uk-UA"/>
        </w:rPr>
        <w:t>"</w:t>
      </w:r>
      <w:r w:rsidRPr="007E5633">
        <w:rPr>
          <w:rFonts w:ascii="Arial" w:hAnsi="Arial" w:cs="Arial"/>
          <w:color w:val="000000" w:themeColor="text1"/>
          <w:lang w:val="uk-UA"/>
        </w:rPr>
        <w:t xml:space="preserve"> </w:t>
      </w:r>
    </w:p>
    <w:p w14:paraId="41240CFF"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Косянчук Олександр</w:t>
      </w:r>
      <w:r w:rsidRPr="007E5633">
        <w:rPr>
          <w:rFonts w:ascii="Arial" w:hAnsi="Arial" w:cs="Arial"/>
          <w:color w:val="000000" w:themeColor="text1"/>
          <w:lang w:val="uk-UA"/>
        </w:rPr>
        <w:t>, з</w:t>
      </w:r>
      <w:r w:rsidRPr="007E5633">
        <w:rPr>
          <w:rFonts w:ascii="Arial" w:hAnsi="Arial" w:cs="Arial"/>
          <w:color w:val="000000" w:themeColor="text1"/>
          <w:shd w:val="clear" w:color="auto" w:fill="FFFFFF"/>
          <w:lang w:val="uk-UA"/>
        </w:rPr>
        <w:t>аступник директора Департаменту із регулювання відносин у нафтогазовій сфері</w:t>
      </w:r>
      <w:r w:rsidRPr="007E5633">
        <w:rPr>
          <w:rFonts w:ascii="Arial" w:hAnsi="Arial" w:cs="Arial"/>
          <w:color w:val="000000" w:themeColor="text1"/>
          <w:lang w:val="uk-UA"/>
        </w:rPr>
        <w:t xml:space="preserve"> НКРЕКП</w:t>
      </w:r>
    </w:p>
    <w:p w14:paraId="1F135E8B"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Кушиль Володимир</w:t>
      </w:r>
      <w:r w:rsidRPr="007E5633">
        <w:rPr>
          <w:rFonts w:ascii="Arial" w:hAnsi="Arial" w:cs="Arial"/>
          <w:color w:val="000000" w:themeColor="text1"/>
          <w:lang w:val="uk-UA"/>
        </w:rPr>
        <w:t>,</w:t>
      </w:r>
      <w:r w:rsidRPr="007E5633">
        <w:rPr>
          <w:rFonts w:ascii="Arial" w:hAnsi="Arial" w:cs="Arial"/>
          <w:color w:val="000000" w:themeColor="text1"/>
          <w:shd w:val="clear" w:color="auto" w:fill="FFFFFF"/>
          <w:lang w:val="uk-UA"/>
        </w:rPr>
        <w:t xml:space="preserve"> менеджер із зв’язків </w:t>
      </w:r>
      <w:r w:rsidRPr="007E5633">
        <w:rPr>
          <w:rFonts w:ascii="Arial" w:hAnsi="Arial" w:cs="Arial"/>
          <w:color w:val="000000" w:themeColor="text1"/>
          <w:lang w:val="uk-UA"/>
        </w:rPr>
        <w:t>ПАТ</w:t>
      </w:r>
      <w:r w:rsidRPr="007E5633">
        <w:rPr>
          <w:rFonts w:ascii="Arial" w:hAnsi="Arial" w:cs="Arial"/>
          <w:color w:val="000000" w:themeColor="text1"/>
          <w:shd w:val="clear" w:color="auto" w:fill="FFFFFF"/>
          <w:lang w:val="uk-UA"/>
        </w:rPr>
        <w:t> </w:t>
      </w:r>
      <w:r w:rsidRPr="007E5633">
        <w:rPr>
          <w:rStyle w:val="af9"/>
          <w:rFonts w:ascii="Arial" w:hAnsi="Arial" w:cs="Arial"/>
          <w:color w:val="000000" w:themeColor="text1"/>
          <w:shd w:val="clear" w:color="auto" w:fill="FFFFFF"/>
          <w:lang w:val="uk-UA"/>
        </w:rPr>
        <w:t>Укргазвидобування</w:t>
      </w:r>
    </w:p>
    <w:p w14:paraId="451EAE0C"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Лемішевська Тетяна</w:t>
      </w:r>
      <w:r w:rsidRPr="007E5633">
        <w:rPr>
          <w:rFonts w:ascii="Arial" w:hAnsi="Arial" w:cs="Arial"/>
          <w:color w:val="000000" w:themeColor="text1"/>
          <w:lang w:val="uk-UA"/>
        </w:rPr>
        <w:t xml:space="preserve">, представник </w:t>
      </w:r>
      <w:r w:rsidRPr="007E5633">
        <w:rPr>
          <w:rStyle w:val="af9"/>
          <w:rFonts w:ascii="Arial" w:hAnsi="Arial" w:cs="Arial"/>
          <w:color w:val="000000" w:themeColor="text1"/>
          <w:shd w:val="clear" w:color="auto" w:fill="FFFFFF"/>
          <w:lang w:val="uk-UA"/>
        </w:rPr>
        <w:t>Директорату енергетичних ринкі</w:t>
      </w:r>
      <w:r w:rsidRPr="007E5633">
        <w:rPr>
          <w:rFonts w:ascii="Arial" w:hAnsi="Arial" w:cs="Arial"/>
          <w:color w:val="000000" w:themeColor="text1"/>
          <w:lang w:val="uk-UA"/>
        </w:rPr>
        <w:t xml:space="preserve">в Міненерговугілля </w:t>
      </w:r>
    </w:p>
    <w:p w14:paraId="4507DB00"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Mакогон Сергій</w:t>
      </w:r>
      <w:r w:rsidRPr="007E5633">
        <w:rPr>
          <w:rFonts w:ascii="Arial" w:hAnsi="Arial" w:cs="Arial"/>
          <w:color w:val="000000" w:themeColor="text1"/>
          <w:lang w:val="uk-UA"/>
        </w:rPr>
        <w:t xml:space="preserve">, </w:t>
      </w:r>
      <w:r w:rsidRPr="007E5633">
        <w:rPr>
          <w:rFonts w:ascii="Arial" w:hAnsi="Arial" w:cs="Arial"/>
          <w:color w:val="000000" w:themeColor="text1"/>
          <w:shd w:val="clear" w:color="auto" w:fill="FFFFFF"/>
          <w:lang w:val="uk-UA"/>
        </w:rPr>
        <w:t xml:space="preserve">директор департаменту стратегії та розвитку  бізнесу ПАТ </w:t>
      </w:r>
      <w:r w:rsidRPr="007E5633">
        <w:rPr>
          <w:rStyle w:val="af9"/>
          <w:rFonts w:ascii="Arial" w:hAnsi="Arial" w:cs="Arial"/>
          <w:color w:val="000000" w:themeColor="text1"/>
          <w:shd w:val="clear" w:color="auto" w:fill="FFFFFF"/>
          <w:lang w:val="uk-UA"/>
        </w:rPr>
        <w:t>Укртрансгаз</w:t>
      </w:r>
    </w:p>
    <w:p w14:paraId="59696444"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Mатухно Антон</w:t>
      </w:r>
      <w:r w:rsidRPr="007E5633">
        <w:rPr>
          <w:rFonts w:ascii="Arial" w:hAnsi="Arial" w:cs="Arial"/>
          <w:color w:val="000000" w:themeColor="text1"/>
          <w:lang w:val="uk-UA"/>
        </w:rPr>
        <w:t xml:space="preserve">, спеціаліст </w:t>
      </w:r>
      <w:r w:rsidRPr="007E5633">
        <w:rPr>
          <w:rFonts w:ascii="Arial" w:hAnsi="Arial" w:cs="Arial"/>
          <w:color w:val="000000"/>
          <w:lang w:val="uk-UA"/>
        </w:rPr>
        <w:t xml:space="preserve">департаменту правового забезпечення ТОВ «ДТЕК ЕНЕРГО» </w:t>
      </w:r>
    </w:p>
    <w:p w14:paraId="3B3879AB" w14:textId="77777777" w:rsidR="005355EE" w:rsidRPr="007E5633" w:rsidRDefault="005355EE" w:rsidP="000D248B">
      <w:pPr>
        <w:pStyle w:val="m3187071979921499948msolistparagraph"/>
        <w:numPr>
          <w:ilvl w:val="0"/>
          <w:numId w:val="44"/>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bCs/>
          <w:color w:val="000000" w:themeColor="text1"/>
          <w:sz w:val="22"/>
          <w:szCs w:val="22"/>
        </w:rPr>
        <w:t>Михайленко Ірина</w:t>
      </w:r>
      <w:r w:rsidRPr="007E5633">
        <w:rPr>
          <w:rFonts w:ascii="Arial" w:hAnsi="Arial" w:cs="Arial"/>
          <w:bCs/>
          <w:color w:val="000000" w:themeColor="text1"/>
          <w:sz w:val="22"/>
          <w:szCs w:val="22"/>
        </w:rPr>
        <w:t xml:space="preserve">, </w:t>
      </w:r>
      <w:r w:rsidRPr="007E5633">
        <w:rPr>
          <w:rFonts w:ascii="Arial" w:hAnsi="Arial" w:cs="Arial"/>
          <w:color w:val="000000" w:themeColor="text1"/>
          <w:sz w:val="22"/>
          <w:szCs w:val="22"/>
        </w:rPr>
        <w:t>начальник Управління трейдингу газу</w:t>
      </w:r>
      <w:r w:rsidRPr="007E5633">
        <w:rPr>
          <w:rFonts w:ascii="Arial" w:hAnsi="Arial" w:cs="Arial"/>
          <w:bCs/>
          <w:color w:val="000000" w:themeColor="text1"/>
          <w:sz w:val="22"/>
          <w:szCs w:val="22"/>
        </w:rPr>
        <w:t xml:space="preserve"> НАК «Нафтогаз України»</w:t>
      </w:r>
    </w:p>
    <w:p w14:paraId="00A05D5B" w14:textId="77777777" w:rsidR="005355EE" w:rsidRPr="007E5633" w:rsidRDefault="005355EE" w:rsidP="000D248B">
      <w:pPr>
        <w:pStyle w:val="m3187071979921499948msolistparagraph"/>
        <w:numPr>
          <w:ilvl w:val="0"/>
          <w:numId w:val="44"/>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Mуравйова Тетянa</w:t>
      </w:r>
      <w:r w:rsidRPr="007E5633">
        <w:rPr>
          <w:rFonts w:ascii="Arial" w:hAnsi="Arial" w:cs="Arial"/>
          <w:color w:val="000000" w:themeColor="text1"/>
          <w:sz w:val="22"/>
          <w:szCs w:val="22"/>
        </w:rPr>
        <w:t xml:space="preserve">, експерт зі зв’язків з державними органами </w:t>
      </w:r>
      <w:r w:rsidRPr="007E5633">
        <w:rPr>
          <w:rFonts w:ascii="Arial" w:hAnsi="Arial" w:cs="Arial"/>
          <w:color w:val="000000" w:themeColor="text1"/>
          <w:sz w:val="22"/>
          <w:szCs w:val="22"/>
          <w:shd w:val="clear" w:color="auto" w:fill="FFFFFF"/>
        </w:rPr>
        <w:t>ДП "НЕК "</w:t>
      </w:r>
      <w:r w:rsidRPr="007E5633">
        <w:rPr>
          <w:rStyle w:val="af9"/>
          <w:rFonts w:ascii="Arial" w:eastAsia="Arial" w:hAnsi="Arial" w:cs="Arial"/>
          <w:color w:val="000000" w:themeColor="text1"/>
          <w:sz w:val="22"/>
          <w:szCs w:val="22"/>
          <w:shd w:val="clear" w:color="auto" w:fill="FFFFFF"/>
        </w:rPr>
        <w:t>Укренерго</w:t>
      </w:r>
      <w:r w:rsidRPr="007E5633">
        <w:rPr>
          <w:rFonts w:ascii="Arial" w:hAnsi="Arial" w:cs="Arial"/>
          <w:color w:val="000000" w:themeColor="text1"/>
          <w:sz w:val="22"/>
          <w:szCs w:val="22"/>
          <w:shd w:val="clear" w:color="auto" w:fill="FFFFFF"/>
        </w:rPr>
        <w:t>"</w:t>
      </w:r>
    </w:p>
    <w:p w14:paraId="232A236F"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Мусалієв Ульмас</w:t>
      </w:r>
      <w:r w:rsidRPr="007E5633">
        <w:rPr>
          <w:rFonts w:ascii="Arial" w:hAnsi="Arial" w:cs="Arial"/>
          <w:color w:val="000000" w:themeColor="text1"/>
          <w:lang w:val="uk-UA"/>
        </w:rPr>
        <w:t xml:space="preserve">, </w:t>
      </w:r>
      <w:r w:rsidRPr="007E5633">
        <w:rPr>
          <w:rFonts w:ascii="Arial" w:hAnsi="Arial" w:cs="Arial"/>
          <w:color w:val="000000" w:themeColor="text1"/>
          <w:shd w:val="clear" w:color="auto" w:fill="FFFFFF"/>
          <w:lang w:val="uk-UA"/>
        </w:rPr>
        <w:t>головний банкір відділу природних ресурсів ЄБРР</w:t>
      </w:r>
    </w:p>
    <w:p w14:paraId="229E15B8"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Науменко Світлана</w:t>
      </w:r>
      <w:r w:rsidRPr="007E5633">
        <w:rPr>
          <w:rFonts w:ascii="Arial" w:hAnsi="Arial" w:cs="Arial"/>
          <w:color w:val="000000" w:themeColor="text1"/>
          <w:lang w:val="uk-UA"/>
        </w:rPr>
        <w:t>, представник НАК «Нафтогаз України»</w:t>
      </w:r>
    </w:p>
    <w:p w14:paraId="25B40242"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Омельчук Лілія</w:t>
      </w:r>
      <w:r w:rsidRPr="007E5633">
        <w:rPr>
          <w:rFonts w:ascii="Arial" w:hAnsi="Arial" w:cs="Arial"/>
          <w:color w:val="000000" w:themeColor="text1"/>
          <w:lang w:val="uk-UA"/>
        </w:rPr>
        <w:t xml:space="preserve">, </w:t>
      </w:r>
      <w:r w:rsidRPr="007E5633">
        <w:rPr>
          <w:rFonts w:ascii="Arial" w:hAnsi="Arial" w:cs="Arial"/>
          <w:color w:val="1C1C1C"/>
          <w:lang w:val="uk-UA"/>
        </w:rPr>
        <w:t>заступник начальника управління - начальник відділу Департаменту платіжних систем Національного банку України</w:t>
      </w:r>
    </w:p>
    <w:p w14:paraId="05C767F9"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Пармар Джаєш</w:t>
      </w:r>
      <w:r w:rsidRPr="007E5633">
        <w:rPr>
          <w:rFonts w:ascii="Arial" w:hAnsi="Arial" w:cs="Arial"/>
          <w:color w:val="000000" w:themeColor="text1"/>
          <w:lang w:val="uk-UA"/>
        </w:rPr>
        <w:t xml:space="preserve">, </w:t>
      </w:r>
      <w:r w:rsidRPr="007E5633">
        <w:rPr>
          <w:rStyle w:val="af9"/>
          <w:rFonts w:ascii="Arial" w:hAnsi="Arial" w:cs="Arial"/>
          <w:color w:val="000000" w:themeColor="text1"/>
          <w:shd w:val="clear" w:color="auto" w:fill="FFFFFF"/>
          <w:lang w:val="uk-UA"/>
        </w:rPr>
        <w:t>Baringa Partners</w:t>
      </w:r>
      <w:r w:rsidRPr="007E5633">
        <w:rPr>
          <w:rFonts w:ascii="Arial" w:hAnsi="Arial" w:cs="Arial"/>
          <w:color w:val="000000" w:themeColor="text1"/>
          <w:shd w:val="clear" w:color="auto" w:fill="FFFFFF"/>
          <w:lang w:val="uk-UA"/>
        </w:rPr>
        <w:t xml:space="preserve"> LLP </w:t>
      </w:r>
    </w:p>
    <w:p w14:paraId="4DEC69F3"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shd w:val="clear" w:color="auto" w:fill="FFFFFF"/>
          <w:lang w:val="uk-UA"/>
        </w:rPr>
        <w:t xml:space="preserve">Пітер Томпсон, </w:t>
      </w:r>
      <w:r w:rsidRPr="007E5633">
        <w:rPr>
          <w:rStyle w:val="af9"/>
          <w:rFonts w:ascii="Arial" w:hAnsi="Arial" w:cs="Arial"/>
          <w:shd w:val="clear" w:color="auto" w:fill="FFFFFF"/>
          <w:lang w:val="uk-UA"/>
        </w:rPr>
        <w:t>Baringa Partners</w:t>
      </w:r>
      <w:r w:rsidRPr="007E5633">
        <w:rPr>
          <w:rFonts w:ascii="Arial" w:hAnsi="Arial" w:cs="Arial"/>
          <w:shd w:val="clear" w:color="auto" w:fill="FFFFFF"/>
          <w:lang w:val="uk-UA"/>
        </w:rPr>
        <w:t> LLP</w:t>
      </w:r>
    </w:p>
    <w:p w14:paraId="01A9711A"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Полулях Ілля</w:t>
      </w:r>
      <w:r w:rsidRPr="007E5633">
        <w:rPr>
          <w:rFonts w:ascii="Arial" w:hAnsi="Arial" w:cs="Arial"/>
          <w:color w:val="000000" w:themeColor="text1"/>
          <w:lang w:val="uk-UA"/>
        </w:rPr>
        <w:t>, помічник народного депутата</w:t>
      </w:r>
    </w:p>
    <w:p w14:paraId="5C6497C2"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Style w:val="afb"/>
          <w:rFonts w:ascii="Arial" w:hAnsi="Arial" w:cs="Arial"/>
          <w:b w:val="0"/>
          <w:bCs w:val="0"/>
          <w:lang w:val="uk-UA"/>
        </w:rPr>
      </w:pPr>
      <w:r w:rsidRPr="007E5633">
        <w:rPr>
          <w:rFonts w:ascii="Arial" w:hAnsi="Arial" w:cs="Arial"/>
          <w:color w:val="222222"/>
          <w:shd w:val="clear" w:color="auto" w:fill="FFFFFF"/>
          <w:lang w:val="uk-UA"/>
        </w:rPr>
        <w:t> </w:t>
      </w:r>
      <w:r w:rsidRPr="007E5633">
        <w:rPr>
          <w:rFonts w:ascii="Arial" w:hAnsi="Arial" w:cs="Arial"/>
          <w:b/>
          <w:color w:val="222222"/>
          <w:shd w:val="clear" w:color="auto" w:fill="FFFFFF"/>
          <w:lang w:val="uk-UA"/>
        </w:rPr>
        <w:t>Рамазанов Владислав</w:t>
      </w:r>
      <w:r w:rsidRPr="007E5633">
        <w:rPr>
          <w:rFonts w:ascii="Arial" w:hAnsi="Arial" w:cs="Arial"/>
          <w:color w:val="222222"/>
          <w:shd w:val="clear" w:color="auto" w:fill="FFFFFF"/>
          <w:lang w:val="uk-UA"/>
        </w:rPr>
        <w:t>, представник Директорату енергетичних ринків Міненерговугілля</w:t>
      </w:r>
    </w:p>
    <w:p w14:paraId="1A1ED8DA"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Style w:val="afb"/>
          <w:rFonts w:ascii="Arial" w:hAnsi="Arial" w:cs="Arial"/>
          <w:b w:val="0"/>
          <w:bCs w:val="0"/>
          <w:color w:val="000000" w:themeColor="text1"/>
          <w:lang w:val="uk-UA"/>
        </w:rPr>
      </w:pPr>
      <w:r w:rsidRPr="007E5633">
        <w:rPr>
          <w:rFonts w:ascii="Arial" w:hAnsi="Arial" w:cs="Arial"/>
          <w:b/>
          <w:color w:val="000000" w:themeColor="text1"/>
          <w:lang w:val="uk-UA"/>
        </w:rPr>
        <w:t>Рахоу Ерік</w:t>
      </w:r>
      <w:r w:rsidRPr="007E5633">
        <w:rPr>
          <w:rFonts w:ascii="Arial" w:hAnsi="Arial" w:cs="Arial"/>
          <w:color w:val="000000" w:themeColor="text1"/>
          <w:lang w:val="uk-UA"/>
        </w:rPr>
        <w:t xml:space="preserve">, </w:t>
      </w:r>
      <w:r w:rsidRPr="007E5633">
        <w:rPr>
          <w:rStyle w:val="af9"/>
          <w:rFonts w:ascii="Arial" w:hAnsi="Arial" w:cs="Arial"/>
          <w:color w:val="000000" w:themeColor="text1"/>
          <w:shd w:val="clear" w:color="auto" w:fill="FFFFFF"/>
          <w:lang w:val="uk-UA"/>
        </w:rPr>
        <w:t>Baringa Partners</w:t>
      </w:r>
      <w:r w:rsidRPr="007E5633">
        <w:rPr>
          <w:rFonts w:ascii="Arial" w:hAnsi="Arial" w:cs="Arial"/>
          <w:color w:val="000000" w:themeColor="text1"/>
          <w:shd w:val="clear" w:color="auto" w:fill="FFFFFF"/>
          <w:lang w:val="uk-UA"/>
        </w:rPr>
        <w:t xml:space="preserve"> LLP </w:t>
      </w:r>
    </w:p>
    <w:p w14:paraId="2C71ED4D"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Руденко Галина</w:t>
      </w:r>
      <w:r w:rsidRPr="007E5633">
        <w:rPr>
          <w:rFonts w:ascii="Arial" w:hAnsi="Arial" w:cs="Arial"/>
          <w:color w:val="000000" w:themeColor="text1"/>
          <w:lang w:val="uk-UA"/>
        </w:rPr>
        <w:t xml:space="preserve">, заступник директора </w:t>
      </w:r>
      <w:r w:rsidRPr="007E5633">
        <w:rPr>
          <w:rFonts w:ascii="Arial" w:hAnsi="Arial" w:cs="Arial"/>
          <w:color w:val="000000" w:themeColor="text1"/>
          <w:shd w:val="clear" w:color="auto" w:fill="FFFFFF"/>
          <w:lang w:val="uk-UA"/>
        </w:rPr>
        <w:t>Департаменту стратегічного розвитку та планування НКРЕКП</w:t>
      </w:r>
    </w:p>
    <w:p w14:paraId="29A96F1A"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color w:val="222222"/>
          <w:shd w:val="clear" w:color="auto" w:fill="FFFFFF"/>
          <w:lang w:val="uk-UA"/>
        </w:rPr>
        <w:t>Селехман Микола</w:t>
      </w:r>
      <w:r w:rsidRPr="007E5633">
        <w:rPr>
          <w:rFonts w:ascii="Arial" w:hAnsi="Arial" w:cs="Arial"/>
          <w:color w:val="222222"/>
          <w:shd w:val="clear" w:color="auto" w:fill="FFFFFF"/>
          <w:lang w:val="uk-UA"/>
        </w:rPr>
        <w:t xml:space="preserve">, </w:t>
      </w:r>
      <w:r w:rsidRPr="007E5633">
        <w:rPr>
          <w:rFonts w:ascii="Arial" w:hAnsi="Arial" w:cs="Arial"/>
          <w:color w:val="1C1C1C"/>
          <w:lang w:val="uk-UA"/>
        </w:rPr>
        <w:t>заступник директора департаменту - начальник управління Департаменту відкритих ринків Національного банку України</w:t>
      </w:r>
    </w:p>
    <w:p w14:paraId="641800E6"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color w:val="222222"/>
          <w:shd w:val="clear" w:color="auto" w:fill="FFFFFF"/>
          <w:lang w:val="uk-UA"/>
        </w:rPr>
        <w:t>Сколота Олександра</w:t>
      </w:r>
      <w:r w:rsidRPr="007E5633">
        <w:rPr>
          <w:rFonts w:ascii="Arial" w:hAnsi="Arial" w:cs="Arial"/>
          <w:color w:val="222222"/>
          <w:shd w:val="clear" w:color="auto" w:fill="FFFFFF"/>
          <w:lang w:val="uk-UA"/>
        </w:rPr>
        <w:t>, директор департаменту правового забезпечення АТ «Укртрансгаз»</w:t>
      </w:r>
    </w:p>
    <w:p w14:paraId="07E76A33"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Столяр Олеся</w:t>
      </w:r>
      <w:r w:rsidRPr="007E5633">
        <w:rPr>
          <w:rFonts w:ascii="Arial" w:hAnsi="Arial" w:cs="Arial"/>
          <w:color w:val="000000" w:themeColor="text1"/>
          <w:lang w:val="uk-UA"/>
        </w:rPr>
        <w:t>, менеджер з продажу ПАТ «Укрнафта»</w:t>
      </w:r>
    </w:p>
    <w:p w14:paraId="53E1D68E"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lastRenderedPageBreak/>
        <w:t>Суханов Володимир</w:t>
      </w:r>
      <w:r w:rsidRPr="007E5633">
        <w:rPr>
          <w:rFonts w:ascii="Arial" w:hAnsi="Arial" w:cs="Arial"/>
          <w:color w:val="000000" w:themeColor="text1"/>
          <w:lang w:val="uk-UA"/>
        </w:rPr>
        <w:t xml:space="preserve">, начальник відділу </w:t>
      </w:r>
      <w:r w:rsidRPr="007E5633">
        <w:rPr>
          <w:rFonts w:ascii="Arial" w:hAnsi="Arial" w:cs="Arial"/>
          <w:color w:val="1C1C1C"/>
          <w:lang w:val="uk-UA"/>
        </w:rPr>
        <w:t>Департаменту банківського нагляду Національного банку України</w:t>
      </w:r>
    </w:p>
    <w:p w14:paraId="19F0EFFD"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shd w:val="clear" w:color="auto" w:fill="FFFFFF"/>
          <w:lang w:val="uk-UA"/>
        </w:rPr>
        <w:t>Терещенко Катерина</w:t>
      </w:r>
      <w:r w:rsidRPr="007E5633">
        <w:rPr>
          <w:rFonts w:ascii="Arial" w:hAnsi="Arial" w:cs="Arial"/>
          <w:shd w:val="clear" w:color="auto" w:fill="FFFFFF"/>
          <w:lang w:val="uk-UA"/>
        </w:rPr>
        <w:t>, провідний інженер відділу ведення договорів з учасниками ринку Департаменту розвитку ринку електроенергії ДП «НЕК «Укренерго»</w:t>
      </w:r>
    </w:p>
    <w:p w14:paraId="4B336DB0"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Томпсон Пітер</w:t>
      </w:r>
      <w:r w:rsidRPr="007E5633">
        <w:rPr>
          <w:rFonts w:ascii="Arial" w:hAnsi="Arial" w:cs="Arial"/>
          <w:color w:val="000000" w:themeColor="text1"/>
          <w:lang w:val="uk-UA"/>
        </w:rPr>
        <w:t xml:space="preserve">, </w:t>
      </w:r>
      <w:r w:rsidRPr="007E5633">
        <w:rPr>
          <w:rStyle w:val="af9"/>
          <w:rFonts w:ascii="Arial" w:hAnsi="Arial" w:cs="Arial"/>
          <w:color w:val="000000" w:themeColor="text1"/>
          <w:shd w:val="clear" w:color="auto" w:fill="FFFFFF"/>
          <w:lang w:val="uk-UA"/>
        </w:rPr>
        <w:t>Baringa Partners</w:t>
      </w:r>
      <w:r w:rsidRPr="007E5633">
        <w:rPr>
          <w:rFonts w:ascii="Arial" w:hAnsi="Arial" w:cs="Arial"/>
          <w:color w:val="000000" w:themeColor="text1"/>
          <w:shd w:val="clear" w:color="auto" w:fill="FFFFFF"/>
          <w:lang w:val="uk-UA"/>
        </w:rPr>
        <w:t xml:space="preserve"> LLP </w:t>
      </w:r>
    </w:p>
    <w:p w14:paraId="0F03DC4C"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color w:val="222222"/>
          <w:shd w:val="clear" w:color="auto" w:fill="FFFFFF"/>
          <w:lang w:val="uk-UA"/>
        </w:rPr>
        <w:t>Федосєєва Юлія</w:t>
      </w:r>
      <w:r w:rsidRPr="007E5633">
        <w:rPr>
          <w:rFonts w:ascii="Arial" w:hAnsi="Arial" w:cs="Arial"/>
          <w:color w:val="222222"/>
          <w:shd w:val="clear" w:color="auto" w:fill="FFFFFF"/>
          <w:lang w:val="uk-UA"/>
        </w:rPr>
        <w:t xml:space="preserve">, представник Директорату енергетичних ринків Міненерговугілля </w:t>
      </w:r>
    </w:p>
    <w:p w14:paraId="2226FD8B"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shd w:val="clear" w:color="auto" w:fill="FFFFFF"/>
          <w:lang w:val="uk-UA"/>
        </w:rPr>
        <w:t>Хардикова Ольга</w:t>
      </w:r>
      <w:r w:rsidRPr="007E5633">
        <w:rPr>
          <w:rFonts w:ascii="Arial" w:hAnsi="Arial" w:cs="Arial"/>
          <w:shd w:val="clear" w:color="auto" w:fill="FFFFFF"/>
          <w:lang w:val="uk-UA"/>
        </w:rPr>
        <w:t>, перекладач</w:t>
      </w:r>
    </w:p>
    <w:p w14:paraId="4CD97E3C"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Холод Сергій</w:t>
      </w:r>
      <w:r w:rsidRPr="007E5633">
        <w:rPr>
          <w:rFonts w:ascii="Arial" w:hAnsi="Arial" w:cs="Arial"/>
          <w:color w:val="000000" w:themeColor="text1"/>
          <w:lang w:val="uk-UA"/>
        </w:rPr>
        <w:t>, заступник голови Національного банку України</w:t>
      </w:r>
    </w:p>
    <w:p w14:paraId="4ECC9B3D"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lang w:val="uk-UA"/>
        </w:rPr>
      </w:pPr>
      <w:r w:rsidRPr="007E5633">
        <w:rPr>
          <w:rFonts w:ascii="Arial" w:hAnsi="Arial" w:cs="Arial"/>
          <w:b/>
          <w:shd w:val="clear" w:color="auto" w:fill="FFFFFF"/>
          <w:lang w:val="uk-UA"/>
        </w:rPr>
        <w:t>Храбан Андрій</w:t>
      </w:r>
      <w:r w:rsidRPr="007E5633">
        <w:rPr>
          <w:rFonts w:ascii="Arial" w:hAnsi="Arial" w:cs="Arial"/>
          <w:shd w:val="clear" w:color="auto" w:fill="FFFFFF"/>
          <w:lang w:val="uk-UA"/>
        </w:rPr>
        <w:t>, перекладач</w:t>
      </w:r>
    </w:p>
    <w:p w14:paraId="1A6C4C07"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Юрченко Володимир</w:t>
      </w:r>
      <w:r w:rsidRPr="007E5633">
        <w:rPr>
          <w:rFonts w:ascii="Arial" w:hAnsi="Arial" w:cs="Arial"/>
          <w:color w:val="000000" w:themeColor="text1"/>
          <w:lang w:val="uk-UA"/>
        </w:rPr>
        <w:t xml:space="preserve">, заступник директора департаменту комерційної діяльності </w:t>
      </w:r>
      <w:r w:rsidRPr="007E5633">
        <w:rPr>
          <w:rFonts w:ascii="Arial" w:hAnsi="Arial" w:cs="Arial"/>
          <w:color w:val="000000" w:themeColor="text1"/>
          <w:shd w:val="clear" w:color="auto" w:fill="FFFFFF"/>
          <w:lang w:val="uk-UA"/>
        </w:rPr>
        <w:t>ПАТ «</w:t>
      </w:r>
      <w:r w:rsidRPr="007E5633">
        <w:rPr>
          <w:rStyle w:val="af9"/>
          <w:rFonts w:ascii="Arial" w:hAnsi="Arial" w:cs="Arial"/>
          <w:color w:val="000000" w:themeColor="text1"/>
          <w:shd w:val="clear" w:color="auto" w:fill="FFFFFF"/>
          <w:lang w:val="uk-UA"/>
        </w:rPr>
        <w:t>Укргазвидобування</w:t>
      </w:r>
      <w:r w:rsidRPr="007E5633">
        <w:rPr>
          <w:rFonts w:ascii="Arial" w:hAnsi="Arial" w:cs="Arial"/>
          <w:color w:val="000000" w:themeColor="text1"/>
          <w:shd w:val="clear" w:color="auto" w:fill="FFFFFF"/>
          <w:lang w:val="uk-UA"/>
        </w:rPr>
        <w:t>»</w:t>
      </w:r>
    </w:p>
    <w:p w14:paraId="47AD6C5A"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Яцевюк Олексії</w:t>
      </w:r>
      <w:r w:rsidRPr="007E5633">
        <w:rPr>
          <w:rFonts w:ascii="Arial" w:hAnsi="Arial" w:cs="Arial"/>
          <w:color w:val="000000" w:themeColor="text1"/>
          <w:lang w:val="uk-UA"/>
        </w:rPr>
        <w:t>, з</w:t>
      </w:r>
      <w:r w:rsidRPr="007E5633">
        <w:rPr>
          <w:rFonts w:ascii="Arial" w:hAnsi="Arial" w:cs="Arial"/>
          <w:color w:val="000000"/>
          <w:lang w:val="uk-UA"/>
        </w:rPr>
        <w:t>аступник начальника управління моніторингу та аналізу розвитку нафтогазових ринків</w:t>
      </w:r>
      <w:r w:rsidRPr="007E5633">
        <w:rPr>
          <w:rFonts w:ascii="Arial" w:hAnsi="Arial" w:cs="Arial"/>
          <w:color w:val="000000" w:themeColor="text1"/>
          <w:lang w:val="uk-UA"/>
        </w:rPr>
        <w:t xml:space="preserve"> НКРЕКП</w:t>
      </w:r>
    </w:p>
    <w:p w14:paraId="6322A14B"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Тимур Хромаєв </w:t>
      </w:r>
      <w:r w:rsidRPr="007E5633">
        <w:rPr>
          <w:rFonts w:ascii="Arial" w:hAnsi="Arial" w:cs="Arial"/>
          <w:color w:val="000000" w:themeColor="text1"/>
          <w:lang w:val="uk-UA"/>
        </w:rPr>
        <w:t>- голова НКЦПФР</w:t>
      </w:r>
    </w:p>
    <w:p w14:paraId="4292A9F7"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Максим Лібанов </w:t>
      </w:r>
      <w:r w:rsidRPr="007E5633">
        <w:rPr>
          <w:rFonts w:ascii="Arial" w:hAnsi="Arial" w:cs="Arial"/>
          <w:color w:val="000000" w:themeColor="text1"/>
          <w:lang w:val="uk-UA"/>
        </w:rPr>
        <w:t>– член комісії, НКЦПФР</w:t>
      </w:r>
    </w:p>
    <w:p w14:paraId="0F8F3BE7"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Дмитро Тарабакін </w:t>
      </w:r>
      <w:r w:rsidRPr="007E5633">
        <w:rPr>
          <w:rFonts w:ascii="Arial" w:hAnsi="Arial" w:cs="Arial"/>
          <w:color w:val="000000" w:themeColor="text1"/>
          <w:lang w:val="uk-UA"/>
        </w:rPr>
        <w:t>- член комісії, НКЦПФР</w:t>
      </w:r>
    </w:p>
    <w:p w14:paraId="04F9D83A"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Оля Юшкевич </w:t>
      </w:r>
      <w:r w:rsidRPr="007E5633">
        <w:rPr>
          <w:rFonts w:ascii="Arial" w:hAnsi="Arial" w:cs="Arial"/>
          <w:color w:val="000000" w:themeColor="text1"/>
          <w:lang w:val="uk-UA"/>
        </w:rPr>
        <w:t>– НКЦПФР</w:t>
      </w:r>
    </w:p>
    <w:p w14:paraId="7FE8CB3C"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Ян Хайзманн </w:t>
      </w:r>
      <w:r w:rsidRPr="007E5633">
        <w:rPr>
          <w:rFonts w:ascii="Arial" w:hAnsi="Arial" w:cs="Arial"/>
          <w:color w:val="000000" w:themeColor="text1"/>
          <w:lang w:val="uk-UA"/>
        </w:rPr>
        <w:t>- керівник експертної групи</w:t>
      </w:r>
    </w:p>
    <w:p w14:paraId="20C9B668"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Мачей Малаховський </w:t>
      </w:r>
      <w:r w:rsidRPr="007E5633">
        <w:rPr>
          <w:rFonts w:ascii="Arial" w:hAnsi="Arial" w:cs="Arial"/>
          <w:color w:val="000000" w:themeColor="text1"/>
          <w:lang w:val="uk-UA"/>
        </w:rPr>
        <w:t>- фінансовий експерт</w:t>
      </w:r>
    </w:p>
    <w:p w14:paraId="75678620"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Олег Загнітко </w:t>
      </w:r>
      <w:r w:rsidRPr="007E5633">
        <w:rPr>
          <w:rFonts w:ascii="Arial" w:hAnsi="Arial" w:cs="Arial"/>
          <w:color w:val="000000" w:themeColor="text1"/>
          <w:lang w:val="uk-UA"/>
        </w:rPr>
        <w:t>- юридичний експерт</w:t>
      </w:r>
    </w:p>
    <w:p w14:paraId="1F916B5E"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Катя Герц </w:t>
      </w:r>
      <w:r w:rsidRPr="007E5633">
        <w:rPr>
          <w:rFonts w:ascii="Arial" w:hAnsi="Arial" w:cs="Arial"/>
          <w:color w:val="000000" w:themeColor="text1"/>
          <w:lang w:val="uk-UA"/>
        </w:rPr>
        <w:t>- Франкфуртська школа фінансів та управління</w:t>
      </w:r>
    </w:p>
    <w:p w14:paraId="28D0C4CD" w14:textId="77777777" w:rsidR="005355EE" w:rsidRPr="007E5633" w:rsidRDefault="005355EE" w:rsidP="000D248B">
      <w:pPr>
        <w:pStyle w:val="a4"/>
        <w:numPr>
          <w:ilvl w:val="0"/>
          <w:numId w:val="44"/>
        </w:numPr>
        <w:tabs>
          <w:tab w:val="left" w:pos="567"/>
        </w:tabs>
        <w:suppressAutoHyphens w:val="0"/>
        <w:autoSpaceDN/>
        <w:spacing w:line="259"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Юліана Беселагер </w:t>
      </w:r>
      <w:r w:rsidRPr="007E5633">
        <w:rPr>
          <w:rFonts w:ascii="Arial" w:hAnsi="Arial" w:cs="Arial"/>
          <w:color w:val="000000" w:themeColor="text1"/>
          <w:lang w:val="uk-UA"/>
        </w:rPr>
        <w:t>- Франкфуртська школа фінансів та управління</w:t>
      </w:r>
    </w:p>
    <w:p w14:paraId="6C1AA32B" w14:textId="77777777" w:rsidR="000D248B" w:rsidRPr="007E5633" w:rsidRDefault="000D248B">
      <w:pPr>
        <w:suppressAutoHyphens w:val="0"/>
        <w:rPr>
          <w:rFonts w:ascii="Arial" w:eastAsia="Arial" w:hAnsi="Arial" w:cs="Arial"/>
          <w:b/>
          <w:bCs/>
          <w:sz w:val="24"/>
          <w:szCs w:val="24"/>
          <w:lang w:val="uk-UA" w:bidi="en-US"/>
        </w:rPr>
      </w:pPr>
      <w:r w:rsidRPr="007E5633">
        <w:rPr>
          <w:rFonts w:ascii="Arial" w:eastAsia="Arial" w:hAnsi="Arial" w:cs="Arial"/>
          <w:b/>
          <w:bCs/>
          <w:lang w:val="uk-UA" w:bidi="en-US"/>
        </w:rPr>
        <w:br w:type="page"/>
      </w:r>
    </w:p>
    <w:p w14:paraId="54F29963" w14:textId="77777777" w:rsidR="005355EE" w:rsidRPr="007E5633" w:rsidRDefault="005355EE" w:rsidP="000D248B">
      <w:pPr>
        <w:pStyle w:val="2"/>
        <w:numPr>
          <w:ilvl w:val="0"/>
          <w:numId w:val="0"/>
        </w:numPr>
        <w:spacing w:before="118"/>
        <w:jc w:val="left"/>
        <w:rPr>
          <w:lang w:val="uk-UA"/>
        </w:rPr>
      </w:pPr>
      <w:bookmarkStart w:id="178" w:name="_Toc533093973"/>
      <w:r w:rsidRPr="007E5633">
        <w:rPr>
          <w:lang w:val="uk-UA"/>
        </w:rPr>
        <w:lastRenderedPageBreak/>
        <w:t>Додаток 3: Список учасників семінару щодо Етапу 1, який було проведено 30 жовтня 2018 року</w:t>
      </w:r>
      <w:bookmarkEnd w:id="178"/>
    </w:p>
    <w:p w14:paraId="79F35309" w14:textId="77777777" w:rsidR="005355EE" w:rsidRPr="007E5633" w:rsidRDefault="005355EE" w:rsidP="00F8244D">
      <w:pPr>
        <w:pStyle w:val="m3187071979921499948msolistparagraph"/>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p>
    <w:p w14:paraId="06C58BF1" w14:textId="77777777" w:rsidR="005355EE" w:rsidRPr="007E5633" w:rsidRDefault="005355EE" w:rsidP="00F8244D">
      <w:pPr>
        <w:pStyle w:val="m3187071979921499948msolistparagraph"/>
        <w:numPr>
          <w:ilvl w:val="0"/>
          <w:numId w:val="25"/>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Богачев Ігор</w:t>
      </w:r>
      <w:r w:rsidRPr="007E5633">
        <w:rPr>
          <w:rFonts w:ascii="Arial" w:hAnsi="Arial" w:cs="Arial"/>
          <w:color w:val="000000" w:themeColor="text1"/>
          <w:sz w:val="22"/>
          <w:szCs w:val="22"/>
        </w:rPr>
        <w:t xml:space="preserve">, менеджер департаменту регуляторної політики, ДТЕК </w:t>
      </w:r>
    </w:p>
    <w:p w14:paraId="63963FD7" w14:textId="77777777" w:rsidR="005355EE" w:rsidRPr="007E5633" w:rsidRDefault="005355EE" w:rsidP="00F8244D">
      <w:pPr>
        <w:pStyle w:val="m3187071979921499948msolistparagraph"/>
        <w:numPr>
          <w:ilvl w:val="0"/>
          <w:numId w:val="25"/>
        </w:numPr>
        <w:shd w:val="clear" w:color="auto" w:fill="FFFFFF"/>
        <w:tabs>
          <w:tab w:val="left" w:pos="567"/>
        </w:tabs>
        <w:spacing w:before="0" w:beforeAutospacing="0" w:after="0" w:afterAutospacing="0"/>
        <w:ind w:left="284" w:hanging="426"/>
        <w:jc w:val="both"/>
        <w:rPr>
          <w:rFonts w:ascii="Arial" w:hAnsi="Arial" w:cs="Arial"/>
          <w:color w:val="000000" w:themeColor="text1"/>
          <w:sz w:val="22"/>
          <w:szCs w:val="22"/>
        </w:rPr>
      </w:pPr>
      <w:r w:rsidRPr="007E5633">
        <w:rPr>
          <w:rFonts w:ascii="Arial" w:hAnsi="Arial" w:cs="Arial"/>
          <w:b/>
          <w:color w:val="000000" w:themeColor="text1"/>
          <w:sz w:val="22"/>
          <w:szCs w:val="22"/>
        </w:rPr>
        <w:t>Бражко Кирило</w:t>
      </w:r>
      <w:r w:rsidRPr="007E5633">
        <w:rPr>
          <w:rFonts w:ascii="Arial" w:hAnsi="Arial" w:cs="Arial"/>
          <w:color w:val="000000" w:themeColor="text1"/>
          <w:sz w:val="22"/>
          <w:szCs w:val="22"/>
        </w:rPr>
        <w:t>, керівник стратегічних проектів та програм, Департаменту стратегічного планування та контролю НАК «Нафтогаз України».</w:t>
      </w:r>
    </w:p>
    <w:p w14:paraId="161C0A27"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Горбачов Сергій, </w:t>
      </w:r>
      <w:r w:rsidRPr="007E5633">
        <w:rPr>
          <w:rFonts w:ascii="Arial" w:hAnsi="Arial" w:cs="Arial"/>
          <w:color w:val="000000" w:themeColor="text1"/>
          <w:lang w:val="uk-UA"/>
        </w:rPr>
        <w:t>Офіс рефом КМУ</w:t>
      </w:r>
    </w:p>
    <w:p w14:paraId="4CBE34FC"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shd w:val="clear" w:color="auto" w:fill="FFFFFF"/>
          <w:lang w:val="uk-UA"/>
        </w:rPr>
        <w:t>Грімалді Джузеппе</w:t>
      </w:r>
      <w:r w:rsidRPr="007E5633">
        <w:rPr>
          <w:rFonts w:ascii="Arial" w:hAnsi="Arial" w:cs="Arial"/>
          <w:color w:val="000000" w:themeColor="text1"/>
          <w:shd w:val="clear" w:color="auto" w:fill="FFFFFF"/>
          <w:lang w:val="uk-UA"/>
        </w:rPr>
        <w:t>, головний економіст в ЄБРР</w:t>
      </w:r>
      <w:r w:rsidRPr="007E5633">
        <w:rPr>
          <w:rStyle w:val="af9"/>
          <w:rFonts w:ascii="Arial" w:hAnsi="Arial" w:cs="Arial"/>
          <w:bCs/>
          <w:color w:val="000000" w:themeColor="text1"/>
          <w:shd w:val="clear" w:color="auto" w:fill="FFFFFF"/>
          <w:lang w:val="uk-UA"/>
        </w:rPr>
        <w:t xml:space="preserve"> </w:t>
      </w:r>
    </w:p>
    <w:p w14:paraId="380397F1"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bCs/>
          <w:color w:val="000000" w:themeColor="text1"/>
          <w:shd w:val="clear" w:color="auto" w:fill="FFFFFF"/>
          <w:lang w:val="uk-UA"/>
        </w:rPr>
        <w:t>Долженко Катерина</w:t>
      </w:r>
      <w:r w:rsidRPr="007E5633">
        <w:rPr>
          <w:rFonts w:ascii="Arial" w:hAnsi="Arial" w:cs="Arial"/>
          <w:bCs/>
          <w:color w:val="000000" w:themeColor="text1"/>
          <w:shd w:val="clear" w:color="auto" w:fill="FFFFFF"/>
          <w:lang w:val="uk-UA"/>
        </w:rPr>
        <w:t>, головний юрисконсульт НАК «Нафтогаз України»</w:t>
      </w:r>
    </w:p>
    <w:p w14:paraId="7CE8BDB5"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Style w:val="afb"/>
          <w:rFonts w:ascii="Arial" w:hAnsi="Arial" w:cs="Arial"/>
          <w:b w:val="0"/>
          <w:bCs w:val="0"/>
          <w:lang w:val="uk-UA"/>
        </w:rPr>
      </w:pPr>
      <w:r w:rsidRPr="007E5633">
        <w:rPr>
          <w:rFonts w:ascii="Arial" w:hAnsi="Arial" w:cs="Arial"/>
          <w:b/>
          <w:bCs/>
          <w:color w:val="000000" w:themeColor="text1"/>
          <w:shd w:val="clear" w:color="auto" w:fill="FFFFFF"/>
          <w:lang w:val="uk-UA"/>
        </w:rPr>
        <w:t xml:space="preserve">Жеребецький Володимир, </w:t>
      </w:r>
      <w:r w:rsidRPr="007E5633">
        <w:rPr>
          <w:rFonts w:ascii="Arial" w:hAnsi="Arial" w:cs="Arial"/>
          <w:bCs/>
          <w:color w:val="000000" w:themeColor="text1"/>
          <w:shd w:val="clear" w:color="auto" w:fill="FFFFFF"/>
          <w:lang w:val="uk-UA"/>
        </w:rPr>
        <w:t>заступник начальника управління зовнішньоекономічних зв’язків філії «Оператор ГТС України»</w:t>
      </w:r>
    </w:p>
    <w:p w14:paraId="07C2BBB3"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lang w:val="uk-UA"/>
        </w:rPr>
      </w:pPr>
      <w:r w:rsidRPr="007E5633">
        <w:rPr>
          <w:rFonts w:ascii="Arial" w:hAnsi="Arial" w:cs="Arial"/>
          <w:b/>
          <w:color w:val="000000" w:themeColor="text1"/>
          <w:lang w:val="uk-UA"/>
        </w:rPr>
        <w:t>Кісель Володимир</w:t>
      </w:r>
      <w:r w:rsidRPr="007E5633">
        <w:rPr>
          <w:rFonts w:ascii="Arial" w:hAnsi="Arial" w:cs="Arial"/>
          <w:color w:val="000000" w:themeColor="text1"/>
          <w:lang w:val="uk-UA"/>
        </w:rPr>
        <w:t xml:space="preserve">, </w:t>
      </w:r>
      <w:r w:rsidRPr="007E5633">
        <w:rPr>
          <w:rFonts w:ascii="Arial" w:hAnsi="Arial" w:cs="Arial"/>
          <w:color w:val="000000" w:themeColor="text1"/>
          <w:shd w:val="clear" w:color="auto" w:fill="FFFFFF"/>
          <w:lang w:val="uk-UA"/>
        </w:rPr>
        <w:t>менеджер з продажу газу ВАТ "</w:t>
      </w:r>
      <w:r w:rsidRPr="007E5633">
        <w:rPr>
          <w:rStyle w:val="af9"/>
          <w:rFonts w:ascii="Arial" w:hAnsi="Arial" w:cs="Arial"/>
          <w:bCs/>
          <w:color w:val="000000" w:themeColor="text1"/>
          <w:shd w:val="clear" w:color="auto" w:fill="FFFFFF"/>
          <w:lang w:val="uk-UA"/>
        </w:rPr>
        <w:t>Укрнафта</w:t>
      </w:r>
      <w:r w:rsidRPr="007E5633">
        <w:rPr>
          <w:rFonts w:ascii="Arial" w:hAnsi="Arial" w:cs="Arial"/>
          <w:color w:val="000000" w:themeColor="text1"/>
          <w:shd w:val="clear" w:color="auto" w:fill="FFFFFF"/>
          <w:lang w:val="uk-UA"/>
        </w:rPr>
        <w:t>"</w:t>
      </w:r>
      <w:r w:rsidRPr="007E5633">
        <w:rPr>
          <w:rFonts w:ascii="Arial" w:hAnsi="Arial" w:cs="Arial"/>
          <w:color w:val="000000" w:themeColor="text1"/>
          <w:lang w:val="uk-UA"/>
        </w:rPr>
        <w:t xml:space="preserve"> </w:t>
      </w:r>
    </w:p>
    <w:p w14:paraId="54A767B7"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Ластовець Олексій, </w:t>
      </w:r>
      <w:r w:rsidRPr="007E5633">
        <w:rPr>
          <w:rFonts w:ascii="Arial" w:hAnsi="Arial" w:cs="Arial"/>
          <w:color w:val="000000" w:themeColor="text1"/>
          <w:lang w:val="uk-UA"/>
        </w:rPr>
        <w:t>заступник голови біржового комітету «Української енергетичної біржі»</w:t>
      </w:r>
    </w:p>
    <w:p w14:paraId="3542BF55"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Mакогон Сергій</w:t>
      </w:r>
      <w:r w:rsidRPr="007E5633">
        <w:rPr>
          <w:rFonts w:ascii="Arial" w:hAnsi="Arial" w:cs="Arial"/>
          <w:color w:val="000000" w:themeColor="text1"/>
          <w:lang w:val="uk-UA"/>
        </w:rPr>
        <w:t xml:space="preserve">, </w:t>
      </w:r>
      <w:r w:rsidRPr="007E5633">
        <w:rPr>
          <w:rFonts w:ascii="Arial" w:hAnsi="Arial" w:cs="Arial"/>
          <w:color w:val="000000" w:themeColor="text1"/>
          <w:shd w:val="clear" w:color="auto" w:fill="FFFFFF"/>
          <w:lang w:val="uk-UA"/>
        </w:rPr>
        <w:t>директор департаменту стратегії та розвитку  бізнесу ПАТ «</w:t>
      </w:r>
      <w:r w:rsidRPr="007E5633">
        <w:rPr>
          <w:rStyle w:val="af9"/>
          <w:rFonts w:ascii="Arial" w:hAnsi="Arial" w:cs="Arial"/>
          <w:bCs/>
          <w:color w:val="000000" w:themeColor="text1"/>
          <w:shd w:val="clear" w:color="auto" w:fill="FFFFFF"/>
          <w:lang w:val="uk-UA"/>
        </w:rPr>
        <w:t xml:space="preserve">Укртрансгаз» </w:t>
      </w:r>
    </w:p>
    <w:p w14:paraId="5CB2F047"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Mатухно Антон</w:t>
      </w:r>
      <w:r w:rsidRPr="007E5633">
        <w:rPr>
          <w:rFonts w:ascii="Arial" w:hAnsi="Arial" w:cs="Arial"/>
          <w:color w:val="000000" w:themeColor="text1"/>
          <w:lang w:val="uk-UA"/>
        </w:rPr>
        <w:t xml:space="preserve">, спеціаліст департаменту правового забезпечення ТОВ «ДТЕК ЕНЕРГО» </w:t>
      </w:r>
    </w:p>
    <w:p w14:paraId="57B8A9CF"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Нікульшин Юрій,</w:t>
      </w:r>
      <w:r w:rsidRPr="007E5633">
        <w:rPr>
          <w:rFonts w:ascii="Arial" w:hAnsi="Arial" w:cs="Arial"/>
          <w:color w:val="000000" w:themeColor="text1"/>
          <w:lang w:val="uk-UA"/>
        </w:rPr>
        <w:t xml:space="preserve"> юритс-консульт правового відділу </w:t>
      </w:r>
      <w:hyperlink r:id="rId76" w:history="1">
        <w:r w:rsidRPr="007E5633">
          <w:rPr>
            <w:rStyle w:val="ab"/>
            <w:rFonts w:ascii="Arial" w:hAnsi="Arial" w:cs="Arial"/>
            <w:color w:val="000000" w:themeColor="text1"/>
            <w:lang w:val="uk-UA"/>
          </w:rPr>
          <w:t>ВП «Енергоатом-Трейдинг»</w:t>
        </w:r>
      </w:hyperlink>
      <w:r w:rsidRPr="007E5633">
        <w:rPr>
          <w:rFonts w:ascii="Arial" w:hAnsi="Arial" w:cs="Arial"/>
          <w:color w:val="000000" w:themeColor="text1"/>
          <w:lang w:val="uk-UA"/>
        </w:rPr>
        <w:t xml:space="preserve"> </w:t>
      </w:r>
    </w:p>
    <w:p w14:paraId="6257581E"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shd w:val="clear" w:color="auto" w:fill="FFFFFF"/>
          <w:lang w:val="uk-UA"/>
        </w:rPr>
        <w:t>Патинський Олександр</w:t>
      </w:r>
      <w:r w:rsidRPr="007E5633">
        <w:rPr>
          <w:rFonts w:ascii="Arial" w:hAnsi="Arial" w:cs="Arial"/>
          <w:color w:val="000000" w:themeColor="text1"/>
          <w:shd w:val="clear" w:color="auto" w:fill="FFFFFF"/>
          <w:lang w:val="uk-UA"/>
        </w:rPr>
        <w:t>, Банкір, природні ресурси, ЄБРР</w:t>
      </w:r>
    </w:p>
    <w:p w14:paraId="4BDC62A5"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Полулях Ілля</w:t>
      </w:r>
      <w:r w:rsidRPr="007E5633">
        <w:rPr>
          <w:rFonts w:ascii="Arial" w:hAnsi="Arial" w:cs="Arial"/>
          <w:color w:val="000000" w:themeColor="text1"/>
          <w:lang w:val="uk-UA"/>
        </w:rPr>
        <w:t>, помічник народного депутата Л. Підлісецького</w:t>
      </w:r>
    </w:p>
    <w:p w14:paraId="60C1356C"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Столяр Олеся</w:t>
      </w:r>
      <w:r w:rsidRPr="007E5633">
        <w:rPr>
          <w:rFonts w:ascii="Arial" w:hAnsi="Arial" w:cs="Arial"/>
          <w:color w:val="000000" w:themeColor="text1"/>
          <w:lang w:val="uk-UA"/>
        </w:rPr>
        <w:t>, менеджер з продажу ПАТ «Укрнафта»</w:t>
      </w:r>
    </w:p>
    <w:p w14:paraId="6F2B5622"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Терещенко Катерина, </w:t>
      </w:r>
      <w:r w:rsidRPr="007E5633">
        <w:rPr>
          <w:rFonts w:ascii="Arial" w:hAnsi="Arial" w:cs="Arial"/>
          <w:color w:val="000000" w:themeColor="text1"/>
          <w:shd w:val="clear" w:color="auto" w:fill="FFFFFF"/>
          <w:lang w:val="uk-UA"/>
        </w:rPr>
        <w:t xml:space="preserve">провідний інженер відділу ведення договорів з учасниками ринку Департаменту розвитку ринку електроенергії ДП «НЕК «УКРЕНЕРГО» </w:t>
      </w:r>
    </w:p>
    <w:p w14:paraId="6C9457C0"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color w:val="000000" w:themeColor="text1"/>
          <w:lang w:val="uk-UA"/>
        </w:rPr>
      </w:pPr>
      <w:r w:rsidRPr="007E5633">
        <w:rPr>
          <w:rFonts w:ascii="Arial" w:hAnsi="Arial" w:cs="Arial"/>
          <w:b/>
          <w:color w:val="000000" w:themeColor="text1"/>
          <w:lang w:val="uk-UA"/>
        </w:rPr>
        <w:t xml:space="preserve">Храбан Андрій, </w:t>
      </w:r>
      <w:r w:rsidRPr="007E5633">
        <w:rPr>
          <w:rFonts w:ascii="Arial" w:hAnsi="Arial" w:cs="Arial"/>
          <w:color w:val="000000" w:themeColor="text1"/>
          <w:lang w:val="uk-UA"/>
        </w:rPr>
        <w:t>перекладач</w:t>
      </w:r>
    </w:p>
    <w:p w14:paraId="11F75544"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lang w:val="uk-UA"/>
        </w:rPr>
      </w:pPr>
      <w:r w:rsidRPr="007E5633">
        <w:rPr>
          <w:rFonts w:ascii="Arial" w:hAnsi="Arial" w:cs="Arial"/>
          <w:b/>
          <w:color w:val="000000" w:themeColor="text1"/>
          <w:shd w:val="clear" w:color="auto" w:fill="FFFFFF"/>
          <w:lang w:val="uk-UA"/>
        </w:rPr>
        <w:t>Юрченко Володимир</w:t>
      </w:r>
      <w:r w:rsidRPr="007E5633">
        <w:rPr>
          <w:rFonts w:ascii="Arial" w:hAnsi="Arial" w:cs="Arial"/>
          <w:color w:val="000000" w:themeColor="text1"/>
          <w:shd w:val="clear" w:color="auto" w:fill="FFFFFF"/>
          <w:lang w:val="uk-UA"/>
        </w:rPr>
        <w:t>, заступник директора Департаменту, Укргазвидобування</w:t>
      </w:r>
    </w:p>
    <w:p w14:paraId="588ED690" w14:textId="77777777" w:rsidR="005355EE" w:rsidRPr="007E5633" w:rsidRDefault="005355EE" w:rsidP="00F8244D">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shd w:val="clear" w:color="auto" w:fill="FFFFFF"/>
          <w:lang w:val="uk-UA"/>
        </w:rPr>
      </w:pPr>
      <w:r w:rsidRPr="007E5633">
        <w:rPr>
          <w:rFonts w:ascii="Arial" w:hAnsi="Arial" w:cs="Arial"/>
          <w:b/>
          <w:color w:val="000000" w:themeColor="text1"/>
          <w:shd w:val="clear" w:color="auto" w:fill="FFFFFF"/>
          <w:lang w:val="uk-UA"/>
        </w:rPr>
        <w:t>Тимур Хромаєв - голова НКЦПФР</w:t>
      </w:r>
    </w:p>
    <w:p w14:paraId="7ACA2960" w14:textId="77777777" w:rsidR="000D248B" w:rsidRPr="007E5633" w:rsidRDefault="005355EE" w:rsidP="000D248B">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shd w:val="clear" w:color="auto" w:fill="FFFFFF"/>
          <w:lang w:val="uk-UA"/>
        </w:rPr>
      </w:pPr>
      <w:r w:rsidRPr="007E5633">
        <w:rPr>
          <w:rFonts w:ascii="Arial" w:hAnsi="Arial" w:cs="Arial"/>
          <w:b/>
          <w:color w:val="000000" w:themeColor="text1"/>
          <w:shd w:val="clear" w:color="auto" w:fill="FFFFFF"/>
          <w:lang w:val="uk-UA"/>
        </w:rPr>
        <w:t>Оля Юшкевич – НКЦПФР</w:t>
      </w:r>
    </w:p>
    <w:p w14:paraId="38A24AA0" w14:textId="77777777" w:rsidR="000D248B" w:rsidRPr="007E5633" w:rsidRDefault="005355EE" w:rsidP="000D248B">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shd w:val="clear" w:color="auto" w:fill="FFFFFF"/>
          <w:lang w:val="uk-UA"/>
        </w:rPr>
      </w:pPr>
      <w:r w:rsidRPr="007E5633">
        <w:rPr>
          <w:rFonts w:ascii="Arial" w:hAnsi="Arial" w:cs="Arial"/>
          <w:b/>
          <w:color w:val="000000" w:themeColor="text1"/>
          <w:lang w:val="uk-UA"/>
        </w:rPr>
        <w:t xml:space="preserve">Ян Хайзманн </w:t>
      </w:r>
      <w:r w:rsidRPr="007E5633">
        <w:rPr>
          <w:rFonts w:ascii="Arial" w:hAnsi="Arial" w:cs="Arial"/>
          <w:color w:val="000000" w:themeColor="text1"/>
          <w:lang w:val="uk-UA"/>
        </w:rPr>
        <w:t>- керівник експертної групи</w:t>
      </w:r>
    </w:p>
    <w:p w14:paraId="4515B49E" w14:textId="77777777" w:rsidR="000D248B" w:rsidRPr="007E5633" w:rsidRDefault="005355EE" w:rsidP="000D248B">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shd w:val="clear" w:color="auto" w:fill="FFFFFF"/>
          <w:lang w:val="uk-UA"/>
        </w:rPr>
      </w:pPr>
      <w:r w:rsidRPr="007E5633">
        <w:rPr>
          <w:rFonts w:ascii="Arial" w:hAnsi="Arial" w:cs="Arial"/>
          <w:b/>
          <w:color w:val="000000" w:themeColor="text1"/>
          <w:lang w:val="uk-UA"/>
        </w:rPr>
        <w:t xml:space="preserve">Мачей Малаховський - </w:t>
      </w:r>
      <w:r w:rsidRPr="007E5633">
        <w:rPr>
          <w:rFonts w:ascii="Arial" w:hAnsi="Arial" w:cs="Arial"/>
          <w:color w:val="000000" w:themeColor="text1"/>
          <w:lang w:val="uk-UA"/>
        </w:rPr>
        <w:t>фінансовий експерт</w:t>
      </w:r>
    </w:p>
    <w:p w14:paraId="6CBED8BA" w14:textId="77777777" w:rsidR="00C34F98" w:rsidRPr="007E5633" w:rsidRDefault="005355EE" w:rsidP="00C34F98">
      <w:pPr>
        <w:pStyle w:val="a4"/>
        <w:numPr>
          <w:ilvl w:val="0"/>
          <w:numId w:val="25"/>
        </w:numPr>
        <w:tabs>
          <w:tab w:val="left" w:pos="567"/>
        </w:tabs>
        <w:suppressAutoHyphens w:val="0"/>
        <w:autoSpaceDN/>
        <w:spacing w:line="256" w:lineRule="auto"/>
        <w:ind w:left="284" w:hanging="426"/>
        <w:contextualSpacing/>
        <w:jc w:val="both"/>
        <w:textAlignment w:val="auto"/>
        <w:rPr>
          <w:rFonts w:ascii="Arial" w:hAnsi="Arial" w:cs="Arial"/>
          <w:b/>
          <w:color w:val="000000" w:themeColor="text1"/>
          <w:shd w:val="clear" w:color="auto" w:fill="FFFFFF"/>
          <w:lang w:val="uk-UA"/>
        </w:rPr>
      </w:pPr>
      <w:r w:rsidRPr="007E5633">
        <w:rPr>
          <w:rFonts w:ascii="Arial" w:hAnsi="Arial" w:cs="Arial"/>
          <w:b/>
          <w:color w:val="000000" w:themeColor="text1"/>
          <w:lang w:val="uk-UA"/>
        </w:rPr>
        <w:t xml:space="preserve">Олег Загнітко - </w:t>
      </w:r>
      <w:r w:rsidRPr="007E5633">
        <w:rPr>
          <w:rFonts w:ascii="Arial" w:hAnsi="Arial" w:cs="Arial"/>
          <w:color w:val="000000" w:themeColor="text1"/>
          <w:lang w:val="uk-UA"/>
        </w:rPr>
        <w:t>юридичний експерт</w:t>
      </w:r>
      <w:bookmarkEnd w:id="176"/>
      <w:bookmarkEnd w:id="177"/>
    </w:p>
    <w:sectPr w:rsidR="00C34F98" w:rsidRPr="007E5633" w:rsidSect="00A473E5">
      <w:headerReference w:type="default" r:id="rId77"/>
      <w:footerReference w:type="default" r:id="rId78"/>
      <w:headerReference w:type="first" r:id="rId79"/>
      <w:pgSz w:w="11906" w:h="16838"/>
      <w:pgMar w:top="1701" w:right="1440" w:bottom="1440" w:left="1440" w:header="708" w:footer="59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EF29F" w14:textId="77777777" w:rsidR="00690478" w:rsidRDefault="00690478">
      <w:pPr>
        <w:spacing w:after="0" w:line="240" w:lineRule="auto"/>
      </w:pPr>
      <w:r>
        <w:separator/>
      </w:r>
    </w:p>
  </w:endnote>
  <w:endnote w:type="continuationSeparator" w:id="0">
    <w:p w14:paraId="14A15E2A" w14:textId="77777777" w:rsidR="00690478" w:rsidRDefault="0069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rutiger LT 47 LightCn">
    <w:altName w:val="Gill Sans MT Condensed"/>
    <w:charset w:val="00"/>
    <w:family w:val="swiss"/>
    <w:pitch w:val="variable"/>
    <w:sig w:usb0="80000027" w:usb1="00000000" w:usb2="00000000" w:usb3="00000000" w:csb0="00000001" w:csb1="00000000"/>
  </w:font>
  <w:font w:name="FrutigerLT47LightC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0B28" w14:textId="2C98BA93" w:rsidR="00F966A5" w:rsidRPr="00EF55F9" w:rsidRDefault="00F966A5" w:rsidP="00EF55F9">
    <w:pPr>
      <w:pStyle w:val="a7"/>
      <w:pBdr>
        <w:top w:val="single" w:sz="4" w:space="1" w:color="auto"/>
      </w:pBdr>
      <w:tabs>
        <w:tab w:val="clear" w:pos="4513"/>
        <w:tab w:val="clear" w:pos="9026"/>
        <w:tab w:val="left" w:pos="8647"/>
      </w:tabs>
      <w:rPr>
        <w:rFonts w:ascii="Arial" w:hAnsi="Arial" w:cs="Arial"/>
        <w:sz w:val="18"/>
        <w:szCs w:val="20"/>
      </w:rPr>
    </w:pPr>
    <w:r w:rsidRPr="00255E30">
      <w:rPr>
        <w:rFonts w:ascii="Arial" w:hAnsi="Arial" w:cs="Arial"/>
        <w:sz w:val="18"/>
        <w:szCs w:val="20"/>
        <w:lang w:val="uk-UA"/>
      </w:rPr>
      <w:t xml:space="preserve">Звіт про хід виконання робіт по Першій стадії проекту з надання технічної допомоги </w:t>
    </w:r>
    <w:r w:rsidRPr="001972FD">
      <w:rPr>
        <w:rFonts w:ascii="Arial" w:hAnsi="Arial" w:cs="Arial"/>
        <w:sz w:val="18"/>
        <w:szCs w:val="20"/>
        <w:lang w:val="uk-UA"/>
      </w:rPr>
      <w:t>Національній комісії з цінних паперів та фондового ринку у гармонізації законодавства України, що передбачає створення сучасної організованої торгівлі фінансовими інструментами та товарами в Україні</w:t>
    </w:r>
    <w:r w:rsidRPr="00255E30">
      <w:rPr>
        <w:rFonts w:ascii="Arial" w:hAnsi="Arial" w:cs="Arial"/>
        <w:sz w:val="18"/>
        <w:szCs w:val="20"/>
      </w:rPr>
      <w:tab/>
    </w:r>
    <w:r w:rsidRPr="00492A6A">
      <w:rPr>
        <w:rFonts w:ascii="Arial" w:hAnsi="Arial" w:cs="Arial"/>
        <w:sz w:val="18"/>
        <w:szCs w:val="20"/>
      </w:rPr>
      <w:fldChar w:fldCharType="begin"/>
    </w:r>
    <w:r w:rsidRPr="00492A6A">
      <w:rPr>
        <w:rFonts w:ascii="Arial" w:hAnsi="Arial" w:cs="Arial"/>
        <w:sz w:val="18"/>
        <w:szCs w:val="20"/>
      </w:rPr>
      <w:instrText xml:space="preserve"> PAGE </w:instrText>
    </w:r>
    <w:r w:rsidRPr="00492A6A">
      <w:rPr>
        <w:rFonts w:ascii="Arial" w:hAnsi="Arial" w:cs="Arial"/>
        <w:sz w:val="18"/>
        <w:szCs w:val="20"/>
      </w:rPr>
      <w:fldChar w:fldCharType="separate"/>
    </w:r>
    <w:r w:rsidR="00907545">
      <w:rPr>
        <w:rFonts w:ascii="Arial" w:hAnsi="Arial" w:cs="Arial"/>
        <w:noProof/>
        <w:sz w:val="18"/>
        <w:szCs w:val="20"/>
      </w:rPr>
      <w:t>8</w:t>
    </w:r>
    <w:r w:rsidRPr="00492A6A">
      <w:rPr>
        <w:rFonts w:ascii="Arial" w:hAnsi="Arial" w:cs="Arial"/>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25E86" w14:textId="77777777" w:rsidR="00690478" w:rsidRDefault="00690478">
      <w:pPr>
        <w:spacing w:after="0" w:line="240" w:lineRule="auto"/>
      </w:pPr>
      <w:r>
        <w:rPr>
          <w:color w:val="000000"/>
        </w:rPr>
        <w:separator/>
      </w:r>
    </w:p>
  </w:footnote>
  <w:footnote w:type="continuationSeparator" w:id="0">
    <w:p w14:paraId="405651A4" w14:textId="77777777" w:rsidR="00690478" w:rsidRDefault="00690478">
      <w:pPr>
        <w:spacing w:after="0" w:line="240" w:lineRule="auto"/>
      </w:pPr>
      <w:r>
        <w:continuationSeparator/>
      </w:r>
    </w:p>
  </w:footnote>
  <w:footnote w:id="1">
    <w:p w14:paraId="1B243D28" w14:textId="77777777" w:rsidR="00F966A5" w:rsidRPr="000322E5" w:rsidRDefault="00F966A5" w:rsidP="009A4011">
      <w:pPr>
        <w:pStyle w:val="a9"/>
        <w:jc w:val="both"/>
        <w:rPr>
          <w:rFonts w:ascii="Arial" w:hAnsi="Arial" w:cs="Arial"/>
          <w:sz w:val="18"/>
          <w:szCs w:val="18"/>
        </w:rPr>
      </w:pPr>
      <w:r w:rsidRPr="000322E5">
        <w:rPr>
          <w:rStyle w:val="aa"/>
          <w:rFonts w:ascii="Arial" w:hAnsi="Arial" w:cs="Arial"/>
          <w:sz w:val="18"/>
          <w:szCs w:val="18"/>
        </w:rPr>
        <w:footnoteRef/>
      </w:r>
      <w:r w:rsidRPr="000322E5">
        <w:rPr>
          <w:rFonts w:ascii="Arial" w:hAnsi="Arial" w:cs="Arial"/>
          <w:sz w:val="18"/>
          <w:szCs w:val="18"/>
        </w:rPr>
        <w:t xml:space="preserve"> (Директива 2013/36 / ЄС Європейського Парламенту та Ради від 26 червня 2013 р. Щодо доступу до діяльності кредитних установ та пруденційного нагляду за кредитними установами та інвестиційними фірмами, що змінює Директиву 2002/87 / ЄC та скасовує Директиви 2006/48 / ЄС та 2006/49 / ЄС)</w:t>
      </w:r>
    </w:p>
  </w:footnote>
  <w:footnote w:id="2">
    <w:p w14:paraId="584AF921" w14:textId="77777777" w:rsidR="00F966A5" w:rsidRPr="000322E5" w:rsidRDefault="00F966A5" w:rsidP="009A4011">
      <w:pPr>
        <w:pStyle w:val="a9"/>
        <w:jc w:val="both"/>
        <w:rPr>
          <w:rFonts w:ascii="Arial" w:hAnsi="Arial" w:cs="Arial"/>
          <w:sz w:val="18"/>
          <w:szCs w:val="18"/>
        </w:rPr>
      </w:pPr>
      <w:r w:rsidRPr="000322E5">
        <w:rPr>
          <w:rStyle w:val="aa"/>
          <w:rFonts w:ascii="Arial" w:hAnsi="Arial" w:cs="Arial"/>
          <w:sz w:val="18"/>
          <w:szCs w:val="18"/>
        </w:rPr>
        <w:footnoteRef/>
      </w:r>
      <w:r w:rsidRPr="000322E5">
        <w:rPr>
          <w:rFonts w:ascii="Arial" w:hAnsi="Arial" w:cs="Arial"/>
          <w:sz w:val="18"/>
          <w:szCs w:val="18"/>
        </w:rPr>
        <w:t xml:space="preserve"> Регламент (ЄС) № 575/2013 ЄВРОПЕЙСЬКОГО ПАРЛАМЕНТУ ТА РАДИ від 26 червня 2013 р. Про пруденційні вимоги до кредитних установ та інвестиційних фірм та внесення змін до Регламенту (ЄС) № 648/2012</w:t>
      </w:r>
    </w:p>
  </w:footnote>
  <w:footnote w:id="3">
    <w:p w14:paraId="4F443969" w14:textId="77777777" w:rsidR="00F966A5" w:rsidRPr="000322E5" w:rsidRDefault="00F966A5" w:rsidP="009A4011">
      <w:pPr>
        <w:pStyle w:val="a9"/>
        <w:jc w:val="both"/>
        <w:rPr>
          <w:rFonts w:ascii="Arial" w:hAnsi="Arial" w:cs="Arial"/>
          <w:sz w:val="18"/>
          <w:szCs w:val="18"/>
        </w:rPr>
      </w:pPr>
      <w:r w:rsidRPr="000322E5">
        <w:rPr>
          <w:rStyle w:val="aa"/>
          <w:rFonts w:ascii="Arial" w:hAnsi="Arial" w:cs="Arial"/>
          <w:sz w:val="18"/>
          <w:szCs w:val="18"/>
        </w:rPr>
        <w:footnoteRef/>
      </w:r>
      <w:r w:rsidRPr="000322E5">
        <w:rPr>
          <w:rFonts w:ascii="Arial" w:hAnsi="Arial" w:cs="Arial"/>
          <w:sz w:val="18"/>
          <w:szCs w:val="18"/>
        </w:rPr>
        <w:t xml:space="preserve"> Стаття 29, CRD</w:t>
      </w:r>
    </w:p>
  </w:footnote>
  <w:footnote w:id="4">
    <w:p w14:paraId="075B437F" w14:textId="77777777" w:rsidR="00F966A5" w:rsidRPr="000322E5" w:rsidRDefault="00F966A5" w:rsidP="009A4011">
      <w:pPr>
        <w:pStyle w:val="a9"/>
        <w:jc w:val="both"/>
        <w:rPr>
          <w:rFonts w:ascii="Arial" w:hAnsi="Arial" w:cs="Arial"/>
          <w:sz w:val="18"/>
          <w:szCs w:val="18"/>
        </w:rPr>
      </w:pPr>
      <w:r w:rsidRPr="000322E5">
        <w:rPr>
          <w:rStyle w:val="aa"/>
          <w:rFonts w:ascii="Arial" w:hAnsi="Arial" w:cs="Arial"/>
          <w:sz w:val="18"/>
          <w:szCs w:val="18"/>
        </w:rPr>
        <w:footnoteRef/>
      </w:r>
      <w:r w:rsidRPr="000322E5">
        <w:rPr>
          <w:rFonts w:ascii="Arial" w:hAnsi="Arial" w:cs="Arial"/>
          <w:sz w:val="18"/>
          <w:szCs w:val="18"/>
        </w:rPr>
        <w:t xml:space="preserve"> </w:t>
      </w:r>
      <w:r w:rsidRPr="000322E5">
        <w:rPr>
          <w:rFonts w:ascii="Arial" w:hAnsi="Arial" w:cs="Arial"/>
          <w:sz w:val="18"/>
          <w:szCs w:val="18"/>
          <w:lang w:val="ru-RU"/>
        </w:rPr>
        <w:t>(дані реєстру ESMA станом на 10.04.2018)</w:t>
      </w:r>
    </w:p>
  </w:footnote>
  <w:footnote w:id="5">
    <w:p w14:paraId="53390427"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Пункти (b) та (c) статті 17 (1) Директиви 2006/123 / ЄС щодо послуг на внутрішньому ринку.</w:t>
      </w:r>
    </w:p>
  </w:footnote>
  <w:footnote w:id="6">
    <w:p w14:paraId="4D611BAB"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Заключні рекомендації CEER щодо запровадження паспорту оптової торгівлі енергією в Європі, висновки CEER висновку, Ref: C11-WMS-15-04b, 8 листопада 2011 р.</w:t>
      </w:r>
    </w:p>
  </w:footnote>
  <w:footnote w:id="7">
    <w:p w14:paraId="216F3E3F"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sz w:val="22"/>
          <w:szCs w:val="22"/>
          <w:lang w:val="uk-UA"/>
        </w:rPr>
        <w:t xml:space="preserve"> </w:t>
      </w:r>
      <w:hyperlink r:id="rId1" w:history="1">
        <w:r w:rsidRPr="000322E5">
          <w:rPr>
            <w:rStyle w:val="ab"/>
            <w:rFonts w:ascii="Arial" w:hAnsi="Arial" w:cs="Arial"/>
            <w:sz w:val="22"/>
            <w:szCs w:val="22"/>
            <w:lang w:val="uk-UA"/>
          </w:rPr>
          <w:t>www.efet.org</w:t>
        </w:r>
      </w:hyperlink>
      <w:r w:rsidRPr="000322E5">
        <w:rPr>
          <w:rFonts w:ascii="Arial" w:hAnsi="Arial" w:cs="Arial"/>
          <w:sz w:val="22"/>
          <w:szCs w:val="22"/>
        </w:rPr>
        <w:t xml:space="preserve"> </w:t>
      </w:r>
      <w:r w:rsidRPr="000322E5">
        <w:rPr>
          <w:rFonts w:ascii="Arial" w:hAnsi="Arial" w:cs="Arial"/>
          <w:sz w:val="22"/>
          <w:szCs w:val="22"/>
          <w:lang w:val="uk-UA"/>
        </w:rPr>
        <w:t>Загальні угоди щодо викидів електроенергії, газу та CO2 завантажуються безкоштовно</w:t>
      </w:r>
    </w:p>
  </w:footnote>
  <w:footnote w:id="8">
    <w:p w14:paraId="43B3C988"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Базельський комітет з банківського нагляду [2, сторінка 1]</w:t>
      </w:r>
    </w:p>
  </w:footnote>
  <w:footnote w:id="9">
    <w:p w14:paraId="63474DA8"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Звітне зобов'язання однаково застосовується до фінансових контрагентів та нефінансових контрагентів у значенні EMIR (Стаття 2 (9) EMIR) - незалежно від того, чи є нефінансові показники вище чи нижче клірингової порогової межі.</w:t>
      </w:r>
    </w:p>
  </w:footnote>
  <w:footnote w:id="10">
    <w:p w14:paraId="417B0B69"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Регламент (ЄС) № 1227/2011 Європейського Парламенту та Ради від 25 жовтня 2011 р. Щодо цілісності та прозорості оптового енергетичного ринку</w:t>
      </w:r>
    </w:p>
  </w:footnote>
  <w:footnote w:id="11">
    <w:p w14:paraId="28718BC5"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Регламент (ЄС) № 600/2014 Європейського Парламенту та Ради від 15 травня 2014 р. Про ринки фінансових інструментів та внесення змін до Регламенту (ЄС) № 648/2012</w:t>
      </w:r>
    </w:p>
  </w:footnote>
  <w:footnote w:id="12">
    <w:p w14:paraId="270BC921"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Commission Delegated Regulation (ЄС) 2017/587 від 14 липня 2016 року, що доповнює Регламент (ЄС) № 600/2014 Європейського Парламенту та Ради Щодо ринків фінансових інструментів стосовно технічних стандартів щодо вимог прозорості для торговельних майданчиків та інвестиційних фірм стосовно акцій, депозитарних розписок, біржових фондів, сертифікатів та інших аналогічних фінансових інструментів та зобов'язань щодо виконання транзакцій стосовно певних акцій на торгових майданчиках або системними внутрішніми розпорядниками</w:t>
      </w:r>
    </w:p>
  </w:footnote>
  <w:footnote w:id="13">
    <w:p w14:paraId="0A2FB22F"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Commission Delegated Regulation (ЄС) 2017/583 від 14 липня 2016 р., що доповнює Регламент (ЄС) № 600/2014 Європейського Парламенту та Ради щодо ринків фінансових інструментів стосовно технічних стандартів щодо вимог прозорості для торговельних майданчиків та інвестиційних фірм стосовно облігацій, структурованих фінансових продуктів, дозволів на викиди та деривативів</w:t>
      </w:r>
    </w:p>
  </w:footnote>
  <w:footnote w:id="14">
    <w:p w14:paraId="62D37B94"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Відповідно до керівних принципів ESMA, не пізніше, ніж 23:59:59 дня Т + 1 для операцій, що виконуються в день Т.</w:t>
      </w:r>
    </w:p>
  </w:footnote>
  <w:footnote w:id="15">
    <w:p w14:paraId="6638DA0B"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Commission Delegated Regulation (ЄС) 2017/590 від 28 липня 2016 року, яка доповнює МіФIR щодо регуляторних технічних стандартів для звітування про транзакції до компетентних органів</w:t>
      </w:r>
    </w:p>
  </w:footnote>
  <w:footnote w:id="16">
    <w:p w14:paraId="2E11CCD0"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(Відповідно до статті 4 (1) (54) MiFID, під «Ухвалений звітний механізм» розуміється особа, уповноважена відповідно до положень, встановлених Директивою MiFID II, надавати послуги звітності про деталі транзакцій національним компетентним органам або ESMA від імені інвестиційних фірм.)</w:t>
      </w:r>
    </w:p>
  </w:footnote>
  <w:footnote w:id="17">
    <w:p w14:paraId="7BEB01DA"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Положення (ЄС) № 596/2014 Європейського Парламенту та Ради від 16 квітня 2014 р. Положення про зловживання на ринку та скасування Директиви Європейського Парламенту та Ради 2003/6 / ЄС та Директив ЄС 2003/124 / EC, 2003/125 / EC та 2004/72 / EC</w:t>
      </w:r>
    </w:p>
  </w:footnote>
  <w:footnote w:id="18">
    <w:p w14:paraId="01B3148A"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Commission Implementing Regulation (ЄС) 2016/1055 (ЄС) 2016/1055 від 29 червня 2016 р., що визначає виконавчі технічні стандарти стосовно технічних засобів для належного публічного розкриття внутрішньої інформації та затримки розголошування внутрішньої інформації відповідно до Регламенту (ЄС) № 596 / 2014 року Європейського Парламенту та Ради</w:t>
      </w:r>
    </w:p>
  </w:footnote>
  <w:footnote w:id="19">
    <w:p w14:paraId="4E27ADDA"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w:t>
      </w:r>
      <w:hyperlink r:id="rId2" w:history="1">
        <w:r w:rsidRPr="000322E5">
          <w:rPr>
            <w:rStyle w:val="ab"/>
            <w:rFonts w:ascii="Arial" w:hAnsi="Arial" w:cs="Arial"/>
          </w:rPr>
          <w:t>https://transparency.entsog.eu/</w:t>
        </w:r>
      </w:hyperlink>
      <w:r w:rsidRPr="000322E5">
        <w:rPr>
          <w:rFonts w:ascii="Arial" w:hAnsi="Arial" w:cs="Arial"/>
        </w:rPr>
        <w:t xml:space="preserve"> </w:t>
      </w:r>
    </w:p>
  </w:footnote>
  <w:footnote w:id="20">
    <w:p w14:paraId="6345551E" w14:textId="77777777" w:rsidR="00F966A5" w:rsidRPr="000322E5" w:rsidRDefault="00F966A5" w:rsidP="009A4011">
      <w:pPr>
        <w:pStyle w:val="a9"/>
        <w:rPr>
          <w:rFonts w:ascii="Arial" w:hAnsi="Arial" w:cs="Arial"/>
        </w:rPr>
      </w:pPr>
      <w:r w:rsidRPr="000322E5">
        <w:rPr>
          <w:rStyle w:val="aa"/>
          <w:rFonts w:ascii="Arial" w:hAnsi="Arial" w:cs="Arial"/>
        </w:rPr>
        <w:footnoteRef/>
      </w:r>
      <w:r>
        <w:rPr>
          <w:rFonts w:ascii="Arial" w:hAnsi="Arial" w:cs="Arial"/>
        </w:rPr>
        <w:t xml:space="preserve"> </w:t>
      </w:r>
      <w:hyperlink r:id="rId3" w:history="1">
        <w:r w:rsidRPr="000322E5">
          <w:rPr>
            <w:rStyle w:val="ab"/>
            <w:rFonts w:ascii="Arial" w:hAnsi="Arial" w:cs="Arial"/>
          </w:rPr>
          <w:t>http://www.entsog.eu/public/uploads/files/publications/Press%20Releases/2014/PR072-14%20140930%20Press%20Release%20ENTSOG%20launches%20the%20new%20Transparency%20Platform.pdf</w:t>
        </w:r>
      </w:hyperlink>
      <w:r w:rsidRPr="000322E5">
        <w:rPr>
          <w:rFonts w:ascii="Arial" w:hAnsi="Arial" w:cs="Arial"/>
        </w:rPr>
        <w:t xml:space="preserve"> </w:t>
      </w:r>
    </w:p>
  </w:footnote>
  <w:footnote w:id="21">
    <w:p w14:paraId="75DF5755"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w:t>
      </w:r>
      <w:hyperlink r:id="rId4" w:history="1">
        <w:r w:rsidRPr="000322E5">
          <w:rPr>
            <w:rStyle w:val="ab"/>
            <w:rFonts w:ascii="Arial" w:hAnsi="Arial" w:cs="Arial"/>
          </w:rPr>
          <w:t>https://www.acer-remit.eu/portal/home</w:t>
        </w:r>
      </w:hyperlink>
      <w:r w:rsidRPr="000322E5">
        <w:rPr>
          <w:rFonts w:ascii="Arial" w:hAnsi="Arial" w:cs="Arial"/>
        </w:rPr>
        <w:t xml:space="preserve"> </w:t>
      </w:r>
    </w:p>
  </w:footnote>
  <w:footnote w:id="22">
    <w:p w14:paraId="14264640" w14:textId="77777777" w:rsidR="00F966A5" w:rsidRPr="000322E5" w:rsidRDefault="00F966A5" w:rsidP="009A4011">
      <w:pPr>
        <w:pStyle w:val="a9"/>
        <w:jc w:val="both"/>
        <w:rPr>
          <w:rFonts w:ascii="Arial" w:hAnsi="Arial" w:cs="Arial"/>
        </w:rPr>
      </w:pPr>
      <w:r w:rsidRPr="000322E5">
        <w:rPr>
          <w:rStyle w:val="aa"/>
          <w:rFonts w:ascii="Arial" w:hAnsi="Arial" w:cs="Arial"/>
        </w:rPr>
        <w:footnoteRef/>
      </w:r>
      <w:r w:rsidRPr="000322E5">
        <w:rPr>
          <w:rFonts w:ascii="Arial" w:hAnsi="Arial" w:cs="Arial"/>
        </w:rPr>
        <w:t xml:space="preserve"> Для отримання додаткової інформації дивіться, наприклад, повідомлення з Europex з цього питання: </w:t>
      </w:r>
      <w:hyperlink r:id="rId5" w:history="1">
        <w:r w:rsidRPr="000322E5">
          <w:rPr>
            <w:rStyle w:val="ab"/>
            <w:rFonts w:ascii="Arial" w:hAnsi="Arial" w:cs="Arial"/>
          </w:rPr>
          <w:t>https://www.europex.org/position-papers/the-essential-tasks-of-third-party-market-operators-in-the-electricity-market/</w:t>
        </w:r>
      </w:hyperlink>
      <w:r w:rsidRPr="000322E5">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8979" w14:textId="77777777" w:rsidR="00F966A5" w:rsidRDefault="00F966A5">
    <w:pPr>
      <w:pStyle w:val="a6"/>
    </w:pPr>
    <w:r>
      <w:rPr>
        <w:noProof/>
        <w:lang w:val="en-US"/>
      </w:rPr>
      <mc:AlternateContent>
        <mc:Choice Requires="wpg">
          <w:drawing>
            <wp:anchor distT="0" distB="0" distL="114300" distR="114300" simplePos="0" relativeHeight="251669504" behindDoc="0" locked="0" layoutInCell="1" allowOverlap="1" wp14:anchorId="5644A5C9" wp14:editId="2298FBB2">
              <wp:simplePos x="0" y="0"/>
              <wp:positionH relativeFrom="column">
                <wp:posOffset>-302895</wp:posOffset>
              </wp:positionH>
              <wp:positionV relativeFrom="paragraph">
                <wp:posOffset>-132715</wp:posOffset>
              </wp:positionV>
              <wp:extent cx="6479540" cy="612140"/>
              <wp:effectExtent l="0" t="0" r="0" b="0"/>
              <wp:wrapNone/>
              <wp:docPr id="268" name="Gruppieren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612140"/>
                        <a:chOff x="0" y="0"/>
                        <a:chExt cx="6479638" cy="612251"/>
                      </a:xfrm>
                    </wpg:grpSpPr>
                    <wpg:grpSp>
                      <wpg:cNvPr id="269" name="Gruppieren 269"/>
                      <wpg:cNvGrpSpPr/>
                      <wpg:grpSpPr>
                        <a:xfrm>
                          <a:off x="2734574" y="0"/>
                          <a:ext cx="3745064" cy="612251"/>
                          <a:chOff x="3093058" y="0"/>
                          <a:chExt cx="3745064" cy="612251"/>
                        </a:xfrm>
                      </wpg:grpSpPr>
                      <pic:pic xmlns:pic="http://schemas.openxmlformats.org/drawingml/2006/picture">
                        <pic:nvPicPr>
                          <pic:cNvPr id="270"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287618" y="55660"/>
                            <a:ext cx="1550504" cy="500932"/>
                          </a:xfrm>
                          <a:prstGeom prst="rect">
                            <a:avLst/>
                          </a:prstGeom>
                        </pic:spPr>
                      </pic:pic>
                      <pic:pic xmlns:pic="http://schemas.openxmlformats.org/drawingml/2006/picture">
                        <pic:nvPicPr>
                          <pic:cNvPr id="271" name="Picture 2"/>
                          <pic:cNvPicPr>
                            <a:picLocks noChangeAspect="1"/>
                          </pic:cNvPicPr>
                        </pic:nvPicPr>
                        <pic:blipFill rotWithShape="1">
                          <a:blip r:embed="rId2" cstate="print">
                            <a:extLst>
                              <a:ext uri="{28A0092B-C50C-407E-A947-70E740481C1C}">
                                <a14:useLocalDpi xmlns:a14="http://schemas.microsoft.com/office/drawing/2010/main" val="0"/>
                              </a:ext>
                            </a:extLst>
                          </a:blip>
                          <a:srcRect l="14587" t="6428" r="12367" b="7270"/>
                          <a:stretch/>
                        </pic:blipFill>
                        <pic:spPr bwMode="auto">
                          <a:xfrm>
                            <a:off x="3093058" y="0"/>
                            <a:ext cx="683812" cy="612251"/>
                          </a:xfrm>
                          <a:prstGeom prst="rect">
                            <a:avLst/>
                          </a:prstGeom>
                          <a:noFill/>
                          <a:ln>
                            <a:noFill/>
                          </a:ln>
                          <a:extLst/>
                        </pic:spPr>
                      </pic:pic>
                    </wpg:grpSp>
                    <pic:pic xmlns:pic="http://schemas.openxmlformats.org/drawingml/2006/picture">
                      <pic:nvPicPr>
                        <pic:cNvPr id="272" name="Grafik 272"/>
                        <pic:cNvPicPr>
                          <a:picLocks noChangeAspect="1"/>
                        </pic:cNvPicPr>
                      </pic:nvPicPr>
                      <pic:blipFill rotWithShape="1">
                        <a:blip r:embed="rId3">
                          <a:extLst>
                            <a:ext uri="{28A0092B-C50C-407E-A947-70E740481C1C}">
                              <a14:useLocalDpi xmlns:a14="http://schemas.microsoft.com/office/drawing/2010/main" val="0"/>
                            </a:ext>
                          </a:extLst>
                        </a:blip>
                        <a:srcRect t="-1" b="4794"/>
                        <a:stretch/>
                      </pic:blipFill>
                      <pic:spPr bwMode="auto">
                        <a:xfrm>
                          <a:off x="0" y="103517"/>
                          <a:ext cx="1449238" cy="345056"/>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1F2B11" id="Gruppieren 268" o:spid="_x0000_s1026" style="position:absolute;margin-left:-23.85pt;margin-top:-10.45pt;width:510.2pt;height:48.2pt;z-index:251669504" coordsize="64796,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7+oHQQAAGQOAAAOAAAAZHJzL2Uyb0RvYy54bWzcV0tv4zYQvhfofxB0&#10;d/SiJFuIs3Bsb1Bg2w26LXqmKcoiIokESccJFvvfOyQlOX4EbXe3h+whzvAx5Hwz8w1H1++e2sZ7&#10;pFIx3s396Cr0PdoRXrJuO/f//OP9ZOp7SuOuxA3v6Nx/psp/d/PzT9d7UdCY17wpqfTgkE4VezH3&#10;a61FEQSK1LTF6ooL2sFixWWLNQzlNigl3sPpbRPEYZgFey5LITmhSsHsyi36N/b8qqJEf6wqRbXX&#10;zH2wTdtfaX835je4ucbFVmJRM9Kbgb/CihazDi4dj1phjb2dZGdHtYxIrnilrwhvA15VjFCLAdBE&#10;4QmaO8l3wmLZFvutGN0Erj3x01cfS357vJceK+d+nEGoOtxCkO7kTghGJe08Mws+2ottAVvvpPgk&#10;7qUDCuIHTh4ULAen62a8PWx+qmRrlACv92Sd/zw6nz5pj8BkhvJZiiBGBNayKI5AttEhNYTwTI3U&#10;6xeKWQLG94pxGhnFABfuWmvcaMxo2QhqxD+7iH92jr93yHjmcNMIMM4TlObI985hJjlKwwyWjq3F&#10;xQgzCWdJmAKeg/IB7Cvqr4AVjBTw1ycOSGeJ888EAy29k9TvD2n/1Rktlg87MYEcF1izDWuYfrZ8&#10;hWw2RnWP94yYRDKDFzmYQ/yHHMQVe/BsKIdNTgUbSDbzvI4va9xt6UIJYDrUHxv44+2BGR7dt2mY&#10;eM+axmSkkXtkUBVOWHXBOY6xK052Le20K0GSNgCSd6pmQvmeLGi7ocAo+UsZQZyh/GkglZCs0wAf&#10;F5DxH5TuJVclPsfTRRjO4tvJMg2XExTm68lihvJJHq5zFKJptIyWX4x2hIqdogAfNyvBetNh9sz4&#10;iyWhL56u2Nii5T1iWxodY8A0y5zBRMgr4yFjq9KSalIbsQLn/Q4OdzrjgvX0wbnG76qvFicFII2n&#10;eRa5FE/TLOuZDrfaUhClaZiGPUdS8EsSHzEaMkAqfUd56xkBPA3GWNfiR/CsM2vYAngOllgRhi7x&#10;QHhD1IBcctS4d4z0rFMMNkOg78wNT3L9F9P1pxoLSN7Ievd/Jkv8A5FFEkMQ03VEKJ3mtvPIUAwp&#10;D2UmipMMpqAByWOoeJCvI71M7pqQntPI2+x/5SXEAu80t+E4IdWFd2MgVDZNppFxr3taT1/I/8gn&#10;XHTc1E9rd9MZ68cJKBhuxlWQAY6rAwf2Hd7kt8hE8OTRIxXnPxoVE5tgwytgn6y381D13IN3YQI1&#10;E1gGnSX6XiyDBgVIFIVJGuXuzIFkEUKzeOhDof8L0+xbXq2BSK9Ry9DOXG2/Mj6nSYagf8gmi8Uq&#10;nyC0mk5ub0FaLtczlEQZStdj/6BqXPL9x40i0NeV395CGJJbW4b/tru5+Opa3sOnjN3Zf3aZb6WX&#10;Y5Bffhze/A0AAP//AwBQSwMECgAAAAAAAAAhANgVajxCowAAQqMAABQAAABkcnMvbWVkaWEvaW1h&#10;Z2UxLnBuZ4lQTkcNChoKAAAADUlIRFIAAAF2AAAAeAgCAAAAaUFO9gAAAAFzUkdCAK7OHOkAAAAE&#10;Z0FNQQAAsY8L/GEFAAAACXBIWXMAACHVAAAh1QEEnLSdAACi10lEQVR4Xu29hWMU2dI+/P07v3eJ&#10;zMTwjCXBnWVZ3CUu4/HgBHcI7g7BgiW4JrglEIG461hPd8/31OlJCCHshbvLfXfvm8pJT0/3kTp1&#10;qp5TdVrm/3P1UA/1UA/9NOqBmB7qoR76idQDMT3UQz30E6kHYnqoh3roJ1IPxPRQD/XQT6QeiOmh&#10;Huqhn0j/GmLE/7rUQ6A/Jwp3UamSzqmHvof+6eL6Iea7hxhWnneJIi+61m47NjV89dSwDdNCN0wN&#10;W/85hX6ZvvPUH5/9g1MsTQlbxxLObpy2cNO0hVumLdgydeHGKWEbJ4Vt/J22G6YQq+uRPhdsr3Da&#10;wg3pG0+jYy6RNrxLELDpnkTB5eRFzuniOJFHJqRvihUnnCQskpcg5UN2Tjr5dyOrw5H3svjO08Lb&#10;zwpfvCsTBM7FI31LDl+TKDpt6Gldk+PCtSfLVh/XJe6NTT66dMOlq7fe2JyiIEC2giSsb0rsLyLU&#10;L9AgOnkXh22ng9Ie2HDvfkXIjCQgs5RAIkYPJaAdVIFTEB00rgKPLokiRhMDTAXQPZ7KSoX+NYnI&#10;zCpFDU5BePWu/B4J//3jNyUOHtLiRLTh5vmPtOx/lSTGnKKLe1NQfv9Z4f2n+XnPPjS1OSAmnkcH&#10;6TzbdBX4H0MMpOuKStjsrdF5qRK8VQleqvj/3eSp/pzYEbO3Kl6mJN481VKK91aZ5UqTTGnuXFBK&#10;3sqEUN0ukgfhAXpI2in19muC5KBbHE8qAIViMiZN6SYhg5MTBBspJRMz+3dr/N+Nauqbho9P6jvM&#10;6D84etrclU6Ai/PbSNsNQSrC2w8V42em+QfF+CpjZIo4D7VJrtaGaddanQAriPQ/BDEgSd5sICRA&#10;of92S/0DiEEWpI6zyC5QxzCt0CeZPgMvQhccIRUQnSKPPSn3t6rthmCW7QLh7Q5+zsLV/UK0fYZE&#10;j5pqtnI8QQxhllTjDyDXf5bAIzbAA15rzgjQxPYbHBoyMub1+0+YWwl4CZtZlq806R8GMWADiUGM&#10;yUNj8NDoPTQ6uTJBpkySKRO9lfEylQlJrjT+eYghAThcra1cUxvXYuNa7FwrJUeL3Y7U2ik12xyN&#10;VpvdZXO62kQXpr6/NVXVNweNWOyhNHprDOOmrsTERNr9LSF8RchYb+FHzVzkodJ5qhPlapOPOtZD&#10;HS5Xzw/XroS5MC+GqdsP1PqjJDHN+Mbu52/Qb3SIIBPo8K9bpxywDTAMNaAt7+ScDqG5xVZe2fq6&#10;oPblh+oPpfUNjRaLhXOiYqktCZ2+mzpBjGDj+CmzVvmp9D6amMG/miwONArckrwYdMAu8fR3JCZh&#10;sBuu3y2jCT4mcKjh9ftSB2EyDv/3QIxJ2vFE0iT0Usd7qBO9FckyZTLgA04NnXI7ON2kH4MY0dXW&#10;ajcnb5s8b+XEeWt+n5s+ad7y3+eunTh3I9Lvczqluavna9NrWq12l11w2dho/H2poq45aNRyD1WC&#10;h8Y4fuYaOyZogU1F30fId+TCfS9NXC91qqcyTTEsaena08ey7u44mLUl4xjMkEGMpEPuj59GqJyZ&#10;OwMITKToBQtWOUFE3ESx37dGws0WQSHKStGQy2LnHjx5l5i2e8T4pABlrJ8qRq4O91WHqYYYJ89e&#10;tWTN0byXHyApqvRHIIZC5naIgdsybd4mH/K7DYPGJbbZwDwY/vtDjIQfAoQVZtgLo+sVpO8/POHV&#10;+zIGvOgdfVCWr0Tzz4IYMyZeL7XRS2nyViV6KpI8FaleSOTF4IjOW6P1Ums9g0y/aOJ7Mbjpkn4E&#10;YqAUfF2rdeysNE81fKWUXopEmTrBSw0GuiaZyhA0KqGigbMD0MnXxZaSu6a/GcGL0Yxe5KExQ0vG&#10;zUx30IRvZ2x/F0FaupR9XnBhlIk+CsPRk4+cDpImyjMvH+c7IAYS+GlCoPrxD7cJ8amFF9po4QzQ&#10;gsgDmCniOHwZDGL3RKXpA1k4J+fgeaGqrs24aGefwVE+Ki05xapFnsrkXiqjl9osV6TIlalyVVxM&#10;8iYrVOcHAYYEIwGTi7c6+clzN6F+L3X84PFpNvJiSFXaIQYusJu1vxmhC+CRc7qcCw0Zv6jNvwTr&#10;+g2Pf/OhFEf/qyDGS2X0VOrlaoOPSu+r1PpTiu0dFBE0Rjd+Ruqkect+nbNi7Jw1fUcmeWvc/k7n&#10;9EMQA02qbbONnrWslyqxl3pJLzhKCkITb4QYXya5Uhs0Ul/d6ICxSmJmSvO9RvsfpqqG5qDRKZ4a&#10;o6dG/+uMVQ5CQ0yePwAxE2Yu90LHNSbVCGNxcQ3zIRzodLuGdYaYrgr3lxHVT81xAseJgl0QG9q4&#10;F/mlbXYnAEZwIx661j25jzMXxsmL1Y3WuTFrZeoYr6D4XkqTTJ0oU8XL1Vq5GogT6avSeQ1MkKsS&#10;IpO2tVEZWvqVKvg+gkAkiHECYibNW0/xPkHMIgYxMLIOhwuf32L5f5fgiEGeBDGhhh291CaPIG3/&#10;Yeb/PoiJ91LCczH6BemG/paUsOzAscxbuS9LK+taGposLW321jauqYWDqoUbMjDndC37o8u9LrGh&#10;1TZ+xgqKPJUJ/kGxi9ceX7vt7NrtF5DWbfuc1mw/vXX/6WaLjU1IkshJfO6K/mZUXd8cPCqNaXnC&#10;hGkbMN2zAf9ebpFvxKTlnuqkXhrdsMkJFTXNArkLUnH0G/NwZ4j5STiLwSGThDpbefH81VxD0oHB&#10;Y4y/z02uaLTYMKTET7vZfpNwlsDCzrtWbj4tD4rzCkr8RWGSaXTK0UYcybn39tnrshv3Xu4+dnlB&#10;7K5+GmNc4nY7dZUjxfkBgnwkXuwWp3PS/NXwjBClDh6fauO6QIwkxr8hSSBCMXCYfjfMAc574NCE&#10;fzDEAAvkgXBW470RiWi03mq9j8rkrzaPmJi6dntW3tsqq0gXbxyYguiCJZk2DRFdCuAtnKgcFiXH&#10;zNNdtT+wFiO4GhnEeCnBhn7gkLjKemgj+dZdktOFGBVV4SSkzQCGmKGK3RtK7k+WA/naD9PYsILu&#10;s1JpaQHNXRNbuSRFZDlY/Swn/bMdGlX6Ln20n/6cl1ZAWbuUgSBm5GISiNo8Yfo6nKDM7jJo+TP/&#10;0qd0GFuwxJJryKRFXuokiGX478lltc10lQWdp1iL9pAdeRivKEasdUNSo58bcAvAfZxSe/OUwX2s&#10;fQ9ZmUhEfBBABI+I9w9MkCv1I6ctrmoB5lAx1vs/ICZgMm/n+481wWOTeil18P+9aX1q8duialq3&#10;Zq2STiGaEl2llU3Xb+ZCb2i5p5O/+gWxY1/s0QaZgby0VGRBoLRgJUzJU20OmZBoAbawnjJe2U5H&#10;USkRF0yW7gOUEQk1SkJmgiB/zX2U+GJ1SvncpbpJIKkSKsG+thO12DknOytVSFWH6fcgRvZSGztB&#10;jCRMloU2X9DfFGJkBDEJ3kqzt8rkpYzzUUWNm7rk0KkHNY1Wu+BywA/GH0mWQm5oNsTERCXAR374&#10;oshPE+P1568oMYgZM3OlhzrJQ20YMNhQWWf7WoKMpMGSiO0zvWGE/DiF2RLcYkdKrBJsiGdUCR6Q&#10;3GeZboMxbJmtUJKqQ0LNxDWO4As7Q5/kKlA9+Ioa8I21BeBlxUQXohgKZKiEi3dDjNrspdFPmLGK&#10;IIZysX+SBtBSKoa6eHxhPSAmBVrMRhTiGjI5Fe6kT2DKyImp5XVNGBC0xbiXeCCbpH2ptm6IaqQN&#10;Y66dW+k424Bvxj9lYKxhlJlYpCzuplg+GyeKmmGJ8sBkTAOjZ6ysbbYCEJhiSITM7btfEHgDt/h3&#10;Xrz+1CdQ66Ux/49G33+E+eHTEsgXRMXcDLgJgkcJaUsnqIbO1bODbvbaB5S2ONhGLIkugpj5gJgU&#10;L1VSyIQkODXUTWShf1rnYeMu1Sy1DdHTaan2zomdJsmwRWLmPFJRFGSikzJ9WVCqseOwNFqsD9IZ&#10;GjvGibvFDqI8VAWNbKh+l6cyAVH2wKEdazHuEZRa6UJ/10BJbfRS673VCV6K+AGDk9I3ZpbXtth5&#10;Bycg0nbwbDFP6jiJReKYiQizwta9l31URi9VYtc6fyLEEOEEzrJBhtgkobMRJM6gOpzgstH1JmlM&#10;6R/H2T59hVVIiiLF+VIeVIKvyNZB2EceK8+Alc0eyEB6wWwGXxkLpNaozcpqQGJLLawhFKmqb+oG&#10;Yj6zYZH0FQw7XXARcApQg1Dc5qKLZXRxZNikJV7KVJ/AJDiVpXVNyMa6Bi5YNjiXEkvU/c7MdxD1&#10;ghpkvWSyQotSZyWExRm3ubDjVpG6TChGPJJ82P1HtOdE5KIebpIrzDJ17Ljpy+qbrDSq1LTUAGpm&#10;WbsSkx/725xxzk9h9KYLlLEzo9ZbUCNhDDhhRTv1oANfGMRIhNOUuR1T2Ai6jRzHqWusI6yD6IYb&#10;YpKRhoxbZHciMxKyOgSSvHQPITJD1Bg+7FDz7sbwISVJAkxc7UmSXvtA0790kIkQHEjlaMO4pVMk&#10;WFZEUpv2s+595EGFHTVI2/8iiPGE8xJkxLwUMj41+0ER3TMKUBAsggAPxiHwNna3JVMjEh5YxXRL&#10;5oCpdmb4avg+3vDkv6r2Z0NMx1C7FYqNkDRWOALVhTYxhpEdp2DdFOLho+MsGyu3ebFd0ncqgkTl&#10;KDtFB0wHcZrOsjCRqkNiEkCFaJ1d+GhvHL1l7eLjmxBDTRAwoTQrxkJR1iozWmY3KC+4hk1aCi9G&#10;pkgYNnFJSV0LgYoEdVQFaTn2SXPRHFX+NaEa+EfMuWIN0SiwXRxHKyguJRxlG5gfj9MsM+sEuEBW&#10;VhzugXJEgkwZL1Nrx0xPr2myAR2R0C+SC0m0WyaYVKkucfWGY76BJk9Voqc6KnH5IQ6dFyRmWFEm&#10;eYkkZPkKYqgAq0tSRCZ/aRTYQIBnUk3alSAG+pnsrUwcPnaRAzBOdkvDjIT8rJuohCCedZeGhtXO&#10;GpESNWJBXmnsIQcURFZpFLDP8mPT3rK7r6D2gWWnGJtMkkxt0GFp1Cg3ZW/XMuy60z8fYjwUdBnI&#10;k2Ic+CDGsTOXvCqu4qjXkAs+20VF8wNkRLc/iBgXSg5RtDsFobiiVT1a76HUev7Zi9Yk6O+HGGiX&#10;U+AaLY6kRbvDYnYuiN29csNJRHM2p3Dn8QdT2oFRExPVQ8Ov3XqFfkAv6K5rUUT+7LsvF68+Pnb6&#10;SsUI84ChWsWw6PHTkxatOZz98F2rw8k5OUG6M55G3c33hUuPQ+O2z4/JiNSuLnj/yeEUSkrrl28+&#10;NXpKimKofuAgw9BfU+JS915/nN8Kxw+eH+fg7Q5JdJBgVbeBkig4ObuTJzCva7IvST8WHrs9NG7r&#10;Qv2aI6euOnj04m2odmOodkdY3I7eg02eahqpPiGJs6N2LojbsTB2mzF1R0V9E7pc2dgyX7d2ri5j&#10;vnbLoRNXiO8vCb2oqm0yp2xbGLt1oXbL0rV77eiVwAs8j4Esqaw3JG8Ljd0aqd+85+hlB++yc/zN&#10;+6/jEnYO/zVBM3hhwYdPsIpTZ+5ExGwJ121eoN/qq46XKVK9VGb/IUmzYrYt0G6ap90yX7f5xPlb&#10;PPkj3VIniNl4zGeg0VMNiInWpe6mqyYc+WvsvPTfDcE04dHApeGhhU7R4RSLP9buOHR1dvSG4LGm&#10;wCG6gYO1QaN1s2PWbTtwtaSyzilyyG1z8lPmrfFWJXkpTSPGp1nsvM0h3npYGJWwY/BYgyrYqBlm&#10;nB22bseBaxX1VkynUACMC3h1cwKjdGCoSNlanc6Hrz8uWn1s/PSlA4foBw4zBo4wTFm4evXmU2+L&#10;amy0mEC3KAv4QBFiGeU5l2AXnVAsweYQPpQ3bth5YUboWvVwY//BcQOHxY2atih1+ZE7D/ItUBm6&#10;Yx0qgRkdo8MU/78AYhAZAV8ANDKlcdhvqUWVTVYKi5poroKU2mcL6gxFrbyT53j2ABGQBghkEVzn&#10;rj/118TAeMgP+rr+nwQxxA+5uDXN9pG/JfsFJsoVKdPCNzbauTXbT/oHRcmVBh+lyTcw5mL2O55M&#10;iXDjzKW746aZfVULZcoYGQBRYZarzXR3jzLGJyjKNyRyvnbDm8JKB5vU0AAYwj8Q4cjxOwFKk/fA&#10;RF9F2INn+bcf5g8dp/NWR3urdZ5w+FWJbKQMPsG61PSTDa0ch3mZdIM4h/y6hRiooZOzAKPhBKSs&#10;OBOgMPoMMPgp42ZHriyrbbYL4slLD+SqaC+lUU63iug81XovFYYpQa5I9FMkINAYNNZcWFEP97Kw&#10;ulmuCfdSJ3irjYtWH2AC+oLQYHFp/fDxJnmgzketnzA7BfMnwS6JRUAlIWNM/op434Fa85L9VU2c&#10;KWVvQFCETKkDEPRVRr5+9wnSW7vxeN9ArZ8iWqaMkKuSvQIXecFuNUle6jgZKYDOSx2Vvv0ULR11&#10;Txh3Gkz8HT1911dh7KU09dLog39NKSxtIqOSpI6M36gA9uuk693ki5XXW9dsOascGi1XxXoq9TK6&#10;dYu23mqDT5BZrojefzIbwAWIAVxOmbfWS53kqTYMGZ9a1Wxbse5UH43BG71Tav0GJPook2XQBIV2&#10;1OTUJ29K4ZLRyoA0eBg9alXEeH6sbtYt3u07KMJbFSFX6+C207URukHMIFdHDhgSuWbb2RroH8El&#10;oALzMbFMhiJAH4SGFseW3Vf6D4uXq/VoWqYyyIPAs1am1suVMb2DIsMNm4ormjHh2O0O9JN8YpT+&#10;L4AY5r/EyzSJylGmh8+K7Cw+Yg4yAwJiiz7wT46N6LLxrpoGy7uimpcFZS8LPz4tKDMtOSNXwumN&#10;9/gPLveS4IEbLkcbL4yZkiZXIH/ixIj1O45m+w+K6aWI/0WZ6gGICYo8f/Mlx9sxtVh51/T5S/1g&#10;tCoT6perY/sO0Q4cYfYP1smBMioghVmujJs4e9mHj/XMnYbXSmscEMepC7d8VVov1WJo8NbDd0f8&#10;nuqrMCBM8ARU0Uhp5RpAlVmmSoQNb9x52eqE8WJahhhpTu/ei3HxnNPexgkbd1301xi96d4z0+gZ&#10;ywtKGmwO2IXtTNZtH000OS9qA7aeakz7RohUrkqUKc0+am3IaENxWT1UGBODjyrGS7HEW5G8aNVh&#10;SUSdCQ2WlDcMGkf3T3oo43+bv9yOjiE2ETGdOD7WNg35bZEscJGvMjU8fveyTZk+qggPhdZLQwtA&#10;AcqoNwWfIIg1m08EBOp9lAC7SJpOYJkqszc4Uelk5MOi8tg1207BIt3q3JUgUrSKf2fey9L+g2Hz&#10;pv+nNnuojBGGzTV1reQbd2hcd4Sa4cQAfIsrm+bErPFVYSIBA0l0gUIV660B4kfLNXrMHLJA476T&#10;dxyYhJAfEDN3PSDGI9gUPGHZiq1nA9QRXoFQGAxHlK8G3TR50EIB5G8YOy2trK6No9kLXIAPilw4&#10;ni+taZmycDn0pFegwUulk6tjAkJiA0eYewfrABMeGvRd76uKMabsq2/mHJxDoNFHFUAosqgWC5eS&#10;fswvKM6TLtoiXIjzC44ZONLQb4hBFhjtrYmHEGTqmAkzF+cX1XEID3j4PoiGqYZ/KMSgWjNTWTMg&#10;xkdt9lfHHTp7D/4ZhoQ8NDijZBpABQTwdI2j2crdyX23btu5WeGrR/2eqhmVNHCobuDw6IHD9P6w&#10;LmWipwreUJdWKP0bEDN2RrqnKtlTpVMMNVXUki0w8XyRaC0BU4MIj1YYN3URFN1DZe47JmHAqCSZ&#10;RisL0k6K3B6Tule/aMvj1+95TAxOp9Xpik3Y4a+MCBqXlrz+yuV7Ba8KywtKa54XVOw//XjcrHS5&#10;CqgB1yZWm7y3xY5pm9Zu0RjU5NyV23JlpIc6tZcqSTUmLUATpRievGJj5uU7768/LtlxOGfExEQ/&#10;lVamSvJWxgcONWOO5QQUh56Rv9t+0drsBQ9i+ioSBE2wDhvPH8m83yfYIIP0FHHKcbonHyoRoosi&#10;XBNLYUnZgZO3wdv+048CRy+SHhMbOCpl0/57+049hAmdvfSwpcUOWXyqbPZVxHkrFskUCYvSj7qF&#10;2YnQXkllQ/C4BMQmvZTxE+YsQewoRbtOwVZW2zJsYopctcQrME0zflH/kZhy4nyCtVMidujTDhuT&#10;t5dW1GDM8p4XHT7x+ODpx3vO3O89GIMLVDUGjVm64+Cdgycf7TuZt//Ug7wXH5iPiwa/Juk4ROpo&#10;svBzorfJNPr/B8hTp/ioIhfGrX5bXIOpH+LCtE8zGmF7pyUYnIALIzgaLc5w4yYfTaSXEs5jYoA6&#10;ZkHM5v2n7mc/+nAjt+hU1ovU9FNjfk++cO0BjBtBBz2jNHcDIOZ/1Ga/wWm9B8X0Vocv1O49cP5Z&#10;zpOSM9eehybtkgdHeijikcc3KDbj4HW6k5AahBlbRJe91SnEJGd4KaNliiQfZXzI2MSMQ9mvoTwl&#10;1U9fl6RvPdd3uMlHxbxLtW7T7ks2J2YYK3inpQaoKOc6eOquf1AcEFmuSug/xLxk/enHr0oKPla/&#10;eV9x8Pj9Ib+neSHw1CT4qGLDdRlNrYiyCP1JWv9YiEEMbPbQ6DwweaoS/ZRafcK2FpsDXBNBNJJH&#10;SjMGX9Zg3bLv4rhpqX2C4WMDkuhhJVYJfBYpdVTbTfoxiBHFhlbruOnpnopEnyBT/2BjeTXwnMTZ&#10;JTkEF4dYnN0tMX7KcrTiqYIRmr3Vyb2HxJy/+bS21Qafi9xctnIEpUGR9VuOpC7fUVrVaGu/XRSM&#10;AE7h5BRVN4+ZsdhTBZ8/qf+QpJeFVRw5bWwMXeKtOy8DgrS/qOO9Ncv9VKYhE6Kevi1nl5cZP6Ir&#10;/0Nl0CgD4azG7BWoPXXxsZ0mczsrLtTUNw0asRhuDpwgBjE877Q6nPa7T94PHGL0DkzzDjQpRkTl&#10;PHwBZ+FrwrERk9I8yRoThk5KLa9tpkmAjRPNB3T/SLOPEoFqIiAsbdUxd7FOhEwfCWIW9aLH4hMm&#10;zV5G18mleF9wNbfaJ85aCq3wUC6GJL3VJuW4lGv33rbCa4epC5hV0VHIEhWRzCA69XBa2gfqjZ22&#10;pq7FQnM1DS5Of3NwmdHiHDw7WL3w9E25aqTRUwGnIBkyR+wQMj7x0KnbVrtod9DD9nDx6JF76AsK&#10;oTBaxmHRvv/EHfIoMdaKJX0GxZ05d9Pa5sAJmh0hWB5DLdbU1dbWNsA6eZFjDxCsJ1PSpPwyIN5P&#10;Fbt1V1abFZ1C5TwkUGvhElfs9FMbPZRwrLRTF6yzwVOiJsmFgcZeuvvaJyRWHpwgUxhDxiblvfwE&#10;fSJFRhaXgFqu3HzeTx0rG5DiqUrpP0JXWt1IPj+5MDZMJOX1lqDxKRTkqoy+qvDTl5/AyQXRGBKH&#10;wruiihG/LYZHBk/QV5108mIuKS2twkNk/9hAiSAGvjeaUJoHjU3KL65l3juIBhODROsxFvuuQ9ma&#10;0Qm+Cq33QIMcHinmDQ3AHmrxL5ClI/0gxLjqyYtZ4a3BZKvzVcaP+DVt2G+JQyamdUnDf0uAbtFi&#10;jCiOm7oE06mnchG2fmr9ySvP4XNjBNASNUvdQQBPEFNZ22yxO+E5o4NI1CLlgavGw8c5kvlQrolB&#10;HIFY4OSlhw5SE6kG8faD137B2v9HWpjaW63NupmHsEsqjU9s7Zy4eutFWpBSmxA2Lll1miNLdE9E&#10;1fVNISPTADEQ3YQZ9PoF6OjLt5+CxpAP6KNMGDDUcCHnOfDFzdWXhENdIAZtgqs/DzGMO1dTi+P3&#10;2YCYBA/lIsy0/Qbrrj8qsHBgEucxWNRVMjnKTerdLcTg7HdADIhUAPlsDtfdvOKQ8SZvZRyURKZM&#10;kSsSfJVx0xeuvpdXZLHxcCM5WtEgDGd9RXQsVNY2jPw92Ved6KmID9AkwW8CJAHMIU+BlnMoAWV4&#10;MnySDMLADojphahKbZwXt62NHhIDYQIg8ITY3xRVKYahOwleIfqQcUml5fUoTSu1LuCcGGre7I0Y&#10;R2n21+iPnHvcCm+fDJ8sHDU4BTjI4pL0k/5KCDAZHvSarWcI3Whqc2CEdh265qMmc5YrDbrkPa0Q&#10;LLpDxYGfwDnexgsXr77qHaTzVpvl6uTZUeuaED9L8vqHQgzFR4QviV7KJF+VYe3W85jG2TU4cEHX&#10;kCCyp+/KZkes90OEHwhkQSSyxBOTrSoZU5wXyaubld1u049BDM8gZuYKD0SnQYhZUv0pwod3kNQl&#10;+aj0+49fs/MIZvgx0+Bn6j2VaTKVbmb4unoLhzEj4RMAYBgJYmAfECybPKBd7RcRoV+UERMJgi5X&#10;QXGDnybcW5Pko9Cv23ES0TCxSRWJNx+88Q3W/RJMQhs/bXmt9F4g0mAaM1SMeffW40JZULSX2giI&#10;iTPvhNqzJlADQUzwSDAJ0RnHT1sPePpQUvv7rMVyuuPR2CckbvfRWxZMqzALulLcVTr4/pMgBoPR&#10;DjHLyYtRQYYGbeIOurqBLjkBkeiCpMr0R/v/PsS45UlgxWoF1D98Ufz7/GXwLGSKRLkSU8UiVNtn&#10;kCF93anyWosFLNBIIREPGMjz1x/5q2O9FWmywPjJc1Y3tNF0gUxwukHAF1qbBcoInJM9ndkZYsjx&#10;UUVn5jyzYcBJB5CTJABAsnDC77NXYYB+CYobMNzwtqgCusMYFYvKalRj9TStKhOH001JLdAuIIMk&#10;FmTgebudc7x6W9lHrfWCcqpNo6amYjTJkMCI6Joyb7kXPWqX7K8x3H9SaEEMTo4hR5rIVATOWWOz&#10;ffQUxPjQ9pT+Q7Qv2ePUrP5/KsQYPQgjUrwV8cFjEisbrJhyRdEq8DROdtF1Mzd/xOQkGcJ7JdQO&#10;AXyyp4acwPab674XX5B+DGIEgpgxM1f00sT/j9ogU6fJFXofZayMljm08k7JRxm1/8RVu4BYmR8z&#10;PRWoB4jxUUXvPnwNk5KTFAhNkViZu8KskYyKpkSaeKQdZmYgTEScIJbVtPUOCYPYfRXG9TtOowpi&#10;k0ZRvPHwnU+w7n+C9F4qoyltP3sVA83t+CdXl3wp8U1xuUwd5qnSIyzXJ+5hURTqQA1iVX1zkBti&#10;TGOnbS5rsIXGrfdTxnopUnxVsWt3nKMLS2TuKATnvKt08P1neTGoWhCbWzkJYnqpUnyC9FnZT8gh&#10;gG5LYiT5uf/o678PMSRwOkvQjy0+HA6RK6ltWbb+2MAhOrkKkUKKhybZQ2X2C4yZGbqyoLQekQat&#10;1vMwQ94uCAlL98kUBm/VUl+Vef+xm2CT9YGI7bhrp0mFuoCx+RwokY+gCvtYhzAIzdMqLJWiorR2&#10;Eh633VNp6BWsGzDCBIihuiAhwXXlxnOfoCiw5K1MjovfCe1iIw7wZQIh4mA0wIjfZ63wJhkm9R6k&#10;e/+pibRPFGsbbAMGx6KstyJpyPglTa02hoNsmY/EwVQHeMO7UtIPeqv0HgrM+vpj5x9ByFT/PxZi&#10;TFAOj8B4X6Vu1eazdJcoIToG0on4KO/1p8ETTHJ1HHxRmSYNHaOkNrLbXsBPAuC8S4V/kP4NiBk7&#10;YyW9HUOjDwhJWr7x0uZd57bsPt8lbdqVmfeqEExbeX7s1MV0zUWZ6qeJzH1eQGEyukPv2XCLtb01&#10;UhkntFVwWTmaGWHNcCgq6ilaLq2zPCuoDxgUxSDGvH77WXLqWA34uwWICdJB/zDJr1h/2klFUQFZ&#10;ChkV05P84nIfdRj8FECMLkGCGLaRIGZUmpfG4KkxDp+0SZ+2z08ZCWfHV2U0L9nfCK+Y9BUJVf1H&#10;vRgqLAotBDEr0HGYR/8R5rcfKhiyQIBIDBSI2M6fgBhmFRAH6w/lQVWIQmxW3tFid957+n5G2EqZ&#10;Mpze46E0IXj0Ucb8Pm/Jh7JGuxORDzDY2djmmDx3NUI5T1Va38Hmp28/Ug+oTlatm3AENuQefSjb&#10;Zy9GaRwwRNvM8Rx5Rm4+iWv4MSIfEbfdW2Xy0OgGDDO9Y14MFBaeyNa9l2WaGHpWU5W4fc81yIsX&#10;MQtLk4fUHHijNd24+G3Em3qRXKO9cucFsSW6nr0qlSuiPBQpMmXCvOidCNJp4qFRJp5ZHWwYXcKB&#10;09l0D4SSVpSXrj9J6kWn/5kQ00tlhm8CcQRoIgpK66BtzL1E03x1g23yPIy0FtDgpU7xpEV7uJfw&#10;37DtqOEHuPoxiBGF+lbr2OmrPRXJXiptv0Ha0hpMdLTu2iXRQfZWTVqLmYLZIwEQoxxlyP9QSa4z&#10;KRkNIf7ZeLgJI2njXJX11qOZ94xL9o+ZvmjgMP2A4YYBI7T9h2n7D41nMWCCbyAgJrMDYvB/+8E7&#10;vyCdR5BerjFv35cDgGJ3ZpLBSRADLSkoLPdVRsDF81El6hL2sk5KEOOqbGhWj06VIEauSPLXRHkH&#10;Ip6KD9VuabTQnV7SoiYKYIaUmuxM+P6zIWYiZmB1oqcmUTMhtbYJAEp8MwMGSVKUjJbY+/cghlXC&#10;qu2UoA+Ichy8jROdzVZu+76swKE6mQJhb7JMleCjiA6L3dhk4cjJE7mqupYhY9I8lUbE0f1HGOra&#10;mCtB1SJ1EB3pFmKgwIPGprTSa01RsN3JJYMn7Y+I2+GtBEAYAoeYCz5UkGRpQoJzsd9TE+OhjvcM&#10;NJ4+/4CEQmGOu378I1CDZmOWWLnhuDf8IEWKjzru0JkcSBh8ZGXn+mp0wES5KiFh8X6G02gROsM0&#10;lGogX8spcudv5PqFxHsq4+WB8XEJu+zgkJr4e0EM4pcOIIBfR+bdftHni+ShSfJQJctV+nD9FrqD&#10;g26CJHLwzrVbT/upYli7MPJEdqNHmjwwRa5IlKFCagKJ7s6ARrbHTVQn2uqEQZ/Tj0AMjjobWi3j&#10;pq/xVqbJNPrAIdGVdRYagS/1EondFNgqCjZEu+Mnr0Yr8LEH/ZZSWtkIR4wFRNQGMnU0BmOsabCs&#10;25qpHI44K9JbGQvcxKThoUj0huHBrVMme2nQ8UQfRfy6HZmogoqiNZdw9/47f/LmDF4K467Dt9ir&#10;vVE3+frECZoTXO8LK3wVMeiyjypJl7CPtfslxMATRLAdmOSrjvZSJCFKvXb7LS0bwW2mi5TENM1d&#10;XxEq+m6IMTCIcXe5E4mfCGIWM4hJnDR7OTiDulMlgJg2buLs5XQHpjo+aEJybTMAnKqQkluK7nmb&#10;1PvfhRjIAkMJz0C6HuP+DvjgacXTAl/A4XTlPvs4dvIKzG2eikT/oKQAVcy5y09o/dZpLy2v66dC&#10;lAQFNijHGmyoii67SOx1tIodRGSMjS4Qo04cNDYNEIPpgTSISkiZaZkgTJshI4gxKoaYP3yowGgQ&#10;xAiuqPhNnmptL3WiT1DClexntLzCOwjx2ADgD31BY4CY9dvOYm72QrCp0m7eexGiQBUHjl+Rq3Qe&#10;yjSgT9KyvUwd0GkMG2ucvrMVI5G78/S9bxBihXgfRUJY3EYr97e7L8YsV+vptg4CAhi8QYYwJzAF&#10;XwkRlF+k/1GkeqgX+2tiTp2/626XvRuhoLQycLBWTktW8R5qODIGn4HJgHYvpcmdCFzojVAENwqc&#10;WgS1xqjIVEYfwqBuAqgf82I63XqH+WTAYP23HyCAipCIUeHYqekAPvA8ZMLi0upGHGUaxsZf2scQ&#10;cvzbT9WTI9ZBqr0GJqJrvppoxejk8XPWR5n2GhL36lMPztTuRa8BMRDgmh1nIRSmAdAh7s6DfH8G&#10;EHJlwp7D2TTGqJgpCrIwSxHeFZfLVNFgQ65KjGMQIyk6PgAxQaNSCYLV5n6DFw8YFoc5TaZIHTFx&#10;0cfKFpiYS7RQ1MAmuK8JrXwDYkjB8Vla2eRDN791QAwzOTrdUYFQWtE0aOxiD1ryTJ40K91BIw62&#10;UYkAN2HCnGV0EUBlHjQhua75a6BDDSRtZs//NsR0ULc5yD8AwXhfvPk09NdU6JgH3dBsXKjLsGLe&#10;EMSisuoABXycZE9VwpiZy+wIcKQru10rpE7RsS8hBqVCfk2lJ61ZXxjCSnMAuOfDdFuhRb3U5gFD&#10;E94VVkBiPO+EFxNp3OqlTuqFMDw4/s6Dd4xNmsSk+qW24GEBJ/YdvSNXR3vADVEnbNydBfhHvn1H&#10;r6MjnqolMM/1288g95eE5tE1DCf/9G2ZX5DWA5OcImFhzFYb3fyJ6v9OXgz5clDcINi8wUtFN5t7&#10;0dxOt7F0TepkT6VeOSKmpKLe3S7Tm9XbTvoCcRVwp5M9NOx29cBUutejS3FVvExlIMhXJtFXtcFb&#10;/ddDzL96RgkaQmqECsd8hpgl3UKMwAuNrfaI+A3e6phfBkIDzCHj4/ccu/KupKLRJtAlSIHeVFlY&#10;0xwwJIy5Zl0gxvElxFwneZGyfC/E0FvvRqXRaKrNo6dt2nromp86zluRIFfoIw1bG1ukG08wAlTp&#10;14SDPwgxTAmlku4PQExjyPgUGC3YmDRr5Q9CDIgU+i+CmO6JjJcgBmGLa9u+63JlnCe41SSHjEup&#10;qGvEqaLy6gBlnBcgRpkYMiEBXgy7y9tdvDMxAJE+ukBMyndCDLkWFAG5YszboBKAGJnaeOXGU7o+&#10;STEy6yY1zVimR+T5jRmXvEkBEuGfbtt/Gd4OnKD9x6/J1aZeqkUIGpKX72Ha0oVQA3TU+eDZe1+N&#10;9n9gdOrEhTFbaNWGmvg7QYwnzBJupCZGHhQp10T4aKJ8NNEyTaxME9c1qaN81PMWxK5stZGSSRrZ&#10;bLWPmaLzCYzwUpgQ0nsHRftoYnxUerlG27W4Js5HHSGjd9zBsYRt6wExwJe/LcTAM7754I2/Joz8&#10;iMD4QeMSnudX4Cj9idggTrEIPFde19R70IKfAjG03LuIeTGm8bM2VrRyYYZNcqUO1uKv0a7ZkmmH&#10;wlBW5Mde1/7i+w9CzNckfCKISeqlifNWmyfNXsGRdUqV/I0ghgUgpCivC2sHDjV40ISX5qfRvS+r&#10;hA1/rG1UjTBTjKlOGThc10quDYOSr+ivgBhiBAJasuow3HZPFZxQw4nz91hoaqcHpFn9jGsMAgaQ&#10;X7LqOBmFJlU20ISctEgtui5l58mUcR6aNJnKZEzdgyNuBjsRauQE7vKNJ/5BJkAMnGhD4j7AE2vi&#10;bwMxUF9MiXNittx5Wnz3yYd7TwqR7iI9/UZ69v79xwrqBrVMH1YH9+jpu4dPiu89+XTnacmdp1TD&#10;vSdFXQtSKsrJLVaPSUK4AZuhx/PUiJ7obu4uXCH9HSDGIbhS0w/KYNLKNH9N/Omsx/BrqdNMy2iE&#10;4eg4XGW1nH9w5M+DGAwo3Rcza3Wr4PpQVj9yUppMmeIVqO87KO7M5Vy61ECOBSKmrv3F929BDBQQ&#10;n586QUzqyuMkGOl0O+EbPLag8YkewVo4sGwthmWhbvxZiKlt/mGIYdKDKjDhtZN0EAQPorzWqhrB&#10;3gOvWeatiMn/VA7RVLdYx0yDrSZ6KJJ7h8S+yC/HHPFFP9uJAYj08W9CDErDnUL9O/dflqviPFVJ&#10;co15w64LNlq7dEi37aESykaK6LA5+dj4vd5qfS9lop/SlHPnBcAIlPui0FcdSXGDyjwnalub1Ylu&#10;srsE2/sOuaG84Dx48oZcYeylMXortOnrTlGvqAt/H4hRmvqoYg+duMXQF7EdSUDafJ3AIhgk2bKm&#10;2z+xxVnST5awj4xkPF0Szr4rbek7SCujJ4ApUPKk51xhmX9PiOHbHPz86A1wXz2Vqf5B2soG6Ae6&#10;RoPH8glOehjBlfe+1jck+mdCDGJY07gZK+n5SEG8evN1/8FmbyU9gakak/jkTQU95kDPS3TtL753&#10;CzHUfxKDUFrV3AExusRDTrrYRe12EJh89uZjv6Gm/6GnouHFLHNzRt34UxAzZurqOoIYOov/74QY&#10;iobYDbnYug+5RUoERXlb3KgYTs9/9lKk9B8aX1hRA4W0cYI2aavXQIOXMtVXHbfnyE36AYTO/Wwn&#10;Jhfp49+EGBzmeQfM8cbtV/5BsV7qRE+lMSp+axs9h02LL1L92FBOgatvsUyYudpDRW+oGDjIVFJW&#10;T3Yo8o1tjj6DwiEoL3VS0JjUhkYrCrNekwZKvAJ17IKYtvykLJBezyzXRJ8895j6RU38bSBGpjIr&#10;hxhe5H/iRSutHRIUoELwAX3Atkti4v2StXZxIT80DHnQEWyl/S8Sqj5x/pE8MAr25k1rwwiX6BpT&#10;t+nvADGtVm7K7JUyBSw82TcozAJGIGUX/AaE0HSXjNNpsfHCvsxb3pqInwYxqQxi4ifMXGVnAQHa&#10;XrnulK8KU5zZU2P+bf7qiro2BwuZuhBa+WagRCojlJQ3dkDMrNBNDjutINJpKkofyH38zANfjdkj&#10;GDhrmjJrWfsVEfz/SS9mdX2LlR5c/EGI4Rlhx30I9TKOQUDIY+ce+2sMtNyrTho9dUVtUxscCljb&#10;iXM3fZUGmRpRp27irNU1jTbqyFfEAET6+LcDJQliuJJPtUFjEuidJyrT4AnxH2uaCcBJbFQ/GsEn&#10;QOfFu9LeGq2nJgEy+XX6ClpIAcIIHDzoqWGrPNQmeDdyle7BwwK6sEKOgGRfxDwsqqHNPm7iYtnA&#10;VA9NXO8hEa8LKigDdeHv48WozONnpDfYeE5sFV2tJD0SAirrdgQgXrcRdhB2GevQRncplliO9i8S&#10;4TMuYZe/Wg+j9VImQ6ZsRcbchSUp/QmIMX43xKxkq0KdIYZt2B96ZLM750dsksGLUcf7hoS+KaxE&#10;UQkfWH85nnM0Ntt/m71UrokFEHirTN+GmHhADDssFacskBzqYRATgybkqoQ4dl9MZ4gJHpXipYKs&#10;EsdNS4fmAhegQs2tjqkL0gGmvwQle6l1xrR93SEM9f8PIAazakMr56uEM0+BmGKItqKskUEMzqMT&#10;xGBrq21u2DpI4Bd1gkydMGXW8u4gJh4QM3hC0vdBDPNYNYkjJq6oaYQXQxDDhuTbg9uJKioqK6tq&#10;6BZ/EiEIWxoS2hNdZVVN46evlK4oeatN+rTDdCMC5nqnCyHh0PHLvBFgqowBGv2mPec4dw0Sufel&#10;jjGWJIhZ5w1A7AZiID5qshPExEsQw5ZCAAaczSFGJ+zzVOi9NAkBwTF7j9+kF9ZL/LJKMPZWB5+2&#10;cqevSscgxrgx4xp7OgDdg3cs7Dp+00tj+AUQozbr9BuAGXQjDUlRmr9pVs+8cre/Ks5XucRDHTUr&#10;bi29cJ0sFE10gZiOHzn5mRADYcnosTGchVXDtuk1IgD1JUsP8GTBUqPUONXZ/q1zIm9cxEwHfXY6&#10;6J1EDIuYyLvkpCQNPboFSTAAbmyxDpqQCr+JsfcvQPDfgJjRs5b2ore6JvUfoq2ss34rL2OLZoux&#10;U5eQ9aqShkxIqahqJOOTzkv8g2velbrsoB/dBZMq0+iXbz7e6rCLvI0WPkQMprPF5lyx7kSAMsaX&#10;GI73V2nXbjvDjB1yIa/t3v13/ur4Xhq4CaZdh69TPwiBaIyJCxe9KO5NcYWPMg4IBVXTJWxn51AH&#10;jUdNffOgUUZvZaqXMu3XGStQoxsbnPyLgsqBo7X0K26KRF+1Yc+RW/TqM55zOukxFiZ3UrJhk1MA&#10;MZ6q5OET06oAMe4ZghQG7dh5YcL0ZTKVoZcqCZH80lVH0SuOHmWlZ5qtdmH91iw/RLUDE+XKFH+l&#10;eerspZiKCeQAdiLf3MZNmJWO6MNbmTj0V3N9E3vXSfdEPcLMPHisiX78TLGkj9r46l05z7VBleB+&#10;oDoHrYYyuXch6jUlMH4t59moCTFrd54rLG+EWsClg51y9AvD/NOXH6eFpnsEGWDSMqWhX5Du1t33&#10;PLrLjBZd2rzzMr25QmnEJOQzVJdx+Bo6iSFG1IUgBl2yC65PNc1P3xY6eEjSYaVXUqXL6Z1e8SG/&#10;ptEvENBLNghDaOjADT12L843bOqlQZ0JgUMS8gvLWRdwHpGYK+f+u96DYtlTlOTlPc2vpNux6R5f&#10;+l1P7F+6+cI/JNxDY/wF8+IwfXlFK5umUTm1UFnXOvhX9hODQYv8lVFnLuXZ4PbQ24gsVIkgFnxs&#10;HPK7UaaJRY/kIVFnrubSpSwaHVRBgBam30FvOFCbBw7TvntfijFgtZNuuAX7Jf1VEEM7bPamJNfo&#10;rlx/xO5qotslITR6+lTEPv91YtEgNAwTg9MJbabBoYeRu2STkoPeC4sdYgyWZOPFe0/e9h5k6MLV&#10;t9KPQAzyCPUSxKiTetHzYLqK74CYMdMW0bMtqpTBv6VVVjWQ6Unn8cEStOB+boG/KsZbkewZmNg7&#10;RLdq68Xi0vqaektFXcvt3KJ5sWv9NRH9hsApM3spE3wUceu3sbt7yaJoQBnEJPZSp3qpzbsO36B7&#10;twg6WEdolKHZnBtilKk+anqSEMXYOYiNvJiQ0YglMfemTpi5jM2QMHFIV7DxriMXHvqFxHkpzN4K&#10;E7qcc/cV/ewAxRAM1EnXXEMnp9GdBKoUN8Sw4wxlCGLQxta9F+XKcA/IXJ3so9LOjtl86kpu1p1X&#10;+0/dmjx3jW9gjGJ40sDhiz0HJsiVpgkzl7TR78VR7wBkgJjfCGJS4JMO+TW5vqlbL0YiFKH3B84J&#10;X+2jNHkoFiMqnBm1/ml+ecmnhstXnl7JeWyFHrkzf0l0FD2nSfDStVcBikgfpT5AY5w+f8uK9Zm7&#10;D2ev33F+TtR2f5VRRvdApngqzb6q2PjFhywIhqB9YitPia+qt8yJWOejjEXw8osCthA9cW56xuHs&#10;C9kvL954sePItZjUXQOHhK/ZfBKyhWRsDn7q3DVySEaZPOjXNCAOe3QEQ8Y4ggB5wKIwz7DVg343&#10;OSlwSOK7wnIaVTpPq7M2p8u05ABMrBe9es0wYIR+094rzwpqPlY3P3j6cfn6M/4qQJ7BS2nyC9bt&#10;PHSDI8NjukEDBIfVdfT03YCgaA/6AdV4X02cednh209KSqqbXn6o3bYvO3hcio/GLKNbluLCjdub&#10;rDw9KUgvMwYXpOGhhu30a8XqhAHDdO/oZ/PpBBkTJakbX9BfAjGUJCeCTW4Jck18uDbDmLzbnLbL&#10;lJphSsswpWJnD9t2TWnLdn2qaGQIRG8AtDvF7Qcv6lK3dcmGZEzbGbdkh3Zxhn7RTtOifXGJu2MS&#10;901euM2b3eD7PenHIMbFsSetl2G6xoQ/YIiunO7u/RbhDF0XHDOdgggUGTyBQYxbmJIFsi+YqFsd&#10;uuSdPiod9MxbkeKjTPIPMavHLhkwPNlXo0eA4x8St+HAraCJ6RApIGbxqsMMYqgJfN598NZPAyhP&#10;ArjvPnQLoRM7LqkR2qI7wAAxfopob2WyXG2KTdrJiuMcaTKtxYwxAZ4gkN9mLsFMwEpRvOTk+VY7&#10;n7Jsf4AqTgafVBk38rekt0V1NHm1tw6bHDppMWDXQ00P+1bVwIthVVDr1ARgprSmefwMsBfjrUru&#10;pUzzVqeQb6+I89EYvNV6H3Xcxl1ZE+asYi9YM42Ysri2GcyDN8zfTrq7d9ZySZdghHVN4L1bQlsE&#10;MYDI/cdy/OgOaUytyZ7Q1aA4uUrvp4haueGolWKw7oiOojgmKfHitdd+gVq5YpG3CmMHu9XLgohP&#10;D5XBIyjxF6i3KtFPo5sVtbqszsKRldpEoVkQWzD5OwShqLxxxsJ0f3rdR5JMvchDleyhpDfb028f&#10;q3XwBXxV2mWrT1owhZJ3BIhZK1cmIrwaMj6l/QdnqfPEEWG0YHfx8/XbYUewqcAh8W+KyknudJ4y&#10;w1Kq6y3TF6yQqbWAoV50/yq9iBZOFqYTz4F0+5ifKilAEZew+GAjPGT4yNJ92gxisGmDm7z+RG9N&#10;BJACniYCUgSAHhggej2I0UsN/zHFV2H4febKj2UtdBsf+ktujlvDQw3bMGqIsgcMMxDEsBOfIeYr&#10;+vNrMRQf0Y6SlkJYSkJmcm3IpOleW5nSTF8V0DmAEcTxRRo8wVQDqERLPCc4nLXN9jGz0z3V+i7Z&#10;kBCL9dLQm2UQ+kKmPmq6Mu1BF4/+RXzUkX4IYmC69a3W8TNT5WhLEa8YHF1Z/y2IQRWoh8Q1bnqi&#10;tzoOqDf01+TKKrqZkCk5C/zwSS2DXKXVLVEJW/2CohFQMNsweaNrgXqZQqselbB535VaG//rnKUy&#10;lc5fFW1O3QHtZOVJ2e4+eN0nKM5brfVRaHcfuOkUbezZFjDAsrChfldc1lsxH2rnq9HGJWdAxdj4&#10;kzLQW+/G6GSaKLkmeuKMJHqXFfimGQoeJL22rqqq+feZi+XqaK8gLbythTEbaxrJFFkdpKPDJqXA&#10;eLzUcSMmmqtqmnCMfBDqHf4dmKptPJf7qmj89DS5MpaecwEaKuLlUBVFrFwTmbLmeGObI8yw3ksd&#10;6RmkHT4lpbYJ7aJyOyCmtZWbPGsRcBZiDBmf1AD06Z4kfuilT9CfKfOW+CpDvVVaL8QXmiRPRZKf&#10;Urdm0wmO/IPuiCSBfyvvcj54WjhonNlHpfdS6rw1Bk+YGbQd2kU4rpVpogcOjklbc6Sy2Yq+IZ6E&#10;n00iozdUUTSEcKmqvm356uPqIVq5yuihMMmDEj2VBrgY3hpjL4XWTxljTtlt5QW7wFmc/PQFS+Fo&#10;wMccOlbvoLtp2scVXNHNLw67yzk/bgu9q1gdpxwa96aojOROTMMk6dI1gtXK6ubEFYf9BkXJ4EAF&#10;mhBy0isyYSNqE6Iw1XD9tp0XGjFqlB1t0EMYrA7SQyh9a5vjwNHritHxMG0PehFXkkzD7mtVx3to&#10;9P6DdbEJO8srmqij9JACgJAhCdPwcONGb3W0p0obODT23YeP0EzoBpuBujeOvwRiMCRw6ZMwZXkq&#10;MDY4aPDQJPTSxLcnWsvopU7ppUmk/S/TpLCl7I2PcA/tUNSisgZM5p4aZO6aE5X8ok7zUCfRiwjo&#10;VWM67xBTL+gE8dCZpW+mH4IYiBUQs3z94SjT3mjjQWPi9vpmS/d5Sbhk4ZiPlqzdH2reEW7anbr8&#10;cH1Dq3Q7HbMfpkpSQm7R1WhzZGY/jknZPmJawqDfDEMmGKcvXLNmy/k376sxuUGVN+44EmHKiDVm&#10;7NpzkaaP9lF88640Jj4jLH5rlGF3dvYbqC451+6z4EFE7FBS1qA1bYo07YowZ2QcuoyJjKkpNd/Q&#10;ZElYsisiYWtkwraVaw5IEEM3WNBZGLkdbT/KK45J3Blq3hVl3hdt3Hz91hOGQuxfdKWuPBRq3hka&#10;vy01fS9d+KTimO0YjBLY2aCUVk6AL7Pz4JWF2o3DfjUPHZ8w+vdkXVLG1dsvmm1O5M7YlxmZsD00&#10;fmfiigNVtW3QNegAz3NWizN93aGI+G1h5h0pK4+0IIjqntAWQQy9SEZwVda3bN11bk54+uBx8YPG&#10;p42ZukoXv/vBg1cUhDO2uxKJCh/0y1ZWzllU2Zh542nK6iPzY7aP+n3JoLFpIaNSR/++NEKXsWVX&#10;1suCsjaOXTSWoECStLsGWCwthrRZ+feFVdv2Xg43bBs9JXnQOOOgcYZJc5fC3T58+v7HqkaHyHGi&#10;1cpxazYfijZvjjBtTlu+m17HSndkUJTIKsPwORwu59Y9VyKMGLstxpRdHysb3E1Rk7BKaRjJIXr0&#10;ojB908lZoeuGjkseNDZ+5MTEedr163efyf9YzZ6iRq0EDawsCJ9k1PhEHfD+3n2s27ovK9ywdcTE&#10;lCG/Jg0eHz914arUDYdvPi9osmMsoNJMb+kfZenuE9S1dV9meOK2cNMOU9quj+XV6AEt5kg8dUd/&#10;AcSwJV7yYoAvCJG8lNG+QbHAYJkSngiS4Y/TknXH2DOqiDNhWGLus8IA9UJvJWromhNJHpjgE2j0&#10;VWh96a392l6YK9Tw9H6GF+Ny0kP7ohV6geQQ2c/EkZvsPt2JmG25NQ+hehuPgJkeuwYuQHvo3gVa&#10;K3VDTPuA02UcDI9dEJvsXKPV0Wp3AFnQCj3ahoZ4q8PJtToE1MO5lyzdKIGTFl5s4Z0WO/1cPeJk&#10;TKmsTnBAoTEM2OoQYOhWp4iEJtgqOqsDW/rZEKGNF5rply4wE4MTWppnZ2HP9BoNzP0o2OYEb6gE&#10;2cATK8wqQXtgAPCJPLRYTw96w34kM6GZVhTgPUg/eSXYnHyLzdFocTRbOYiF5mCeoISD/40mHCIc&#10;JJgDpORExU4nJhqHQ2h1IpHYie/uCW2BZ1gKxEwxCBqy2PmmVkezhWu2OJmN8IL75ftfEUpThzGg&#10;dE8MigMprbQci4GwN9lszVabxcbZ6Idz4KuAWWrIDQXUckcN+Ec7GAY4p2RrNk5osdHP3TRZHBa7&#10;k71wFbyhH0BCGzJh0BE0tTqdFuA6qiRsptscqaNkw+TMQ+XaHBgjJw1f+4Wu9iaREYk6Ta4ULwKy&#10;4WC1UOLarABcdAcDaBdoqRsMS3xKpUgfpXrQDQqN6U31QpOVA7eowWrnadSgVjz8SiiDNKYo2UnD&#10;24cemukQ6MF8esUoNdM9/VmIYeu7dBsIu4MjXq7RB4427TiWfTzz1lfp5ldHKL0tKEMr6DrdnMEL&#10;H0oqjp7NPnr2Rpds7nT29onMWyfO3jpy9taBs3cmLtzgSb9d/TO8GBp2QghoLyUMBxkzs/OuhAGA&#10;8KUBwB9Pawp0lQeqga9AeRbIQJ4kWaZMbDKh9XDyMqFCrHZqyNn+jlicZw/l0xO8dLsMtSCpC7nn&#10;DoGzCw20BIsayJClMUMG6DHdRoYqMOXSxRGCF0qMP0Y0czrZD+nAYQEc4A86QuwRNwiYGEIw4IEt&#10;wB0BS5SJNcFy0c0idiACdZd1hd57SX1kMIp20Hfiwk6RF3uju52eQ0fNaA6OEhALpwCjhC4wKZBd&#10;4O3s937oEhFxbCMjIUXvRuASgRNUThYBzXHSi1zQM5IxTatWQWjjnDAHieuu1N4VUgKIjcRDGEE/&#10;Ach+E4nESIOIXsCS0H/YLHKSCKWBQAbKw6qgmiAscsR4C3WF1YqEs+gCeIMsIVTmLjI4wQDQ1Rka&#10;aHQW9bjfzUzjjLFHr7GLiaCRomrIjzVMXaM9YhrDBFZJYWiWQdWkKyDeTj83BpABTrX/dIH0L3FP&#10;asUSaZVUA8aAE+1OutJP7ih6Ch4Idyn8YUWpRVIxqoAUEzOCje4MoHfiSz/Q2gGC3dCfXu6lhSt6&#10;EJldY0v0VhgjzXsw+zHRk4l1SrQMKXVUSuwrJgcYDf4xWugVmCXrRy+/Ko6EjOCNRAyp11kcv4eu&#10;8lDGuBeDviP9EMTQcTpF2kIQQ42z9r8id8bPH6yXpDLglUTRcY6dbj9CHep0uF0wTByUiVUC9qRs&#10;UgaWkQ7AtDDMhAtMqBJ11EBlmCJCTkyclIdqJKKaqFOUkJP0Q2pDIoktGnyoEaYyVEKW0HGe9lAt&#10;jBJbyovCNIDUdHsmVoG7CaqQysOY3DIkfsgM2DFSaGTGPw26xAh9QIckQG+vs3vCWanLUkMSYZ9x&#10;DvR2H+mWWHZqTkqsJ+6j7YQvxF371n2e1S9BKuPVnZMSzRPSt3aizrKa2TH3J75jdNgp2icRdZxl&#10;fQGhKgyxVIDKSMT2sJGEidOUWAMsm1QTbdytthM7+3kPp1g+2iFOWF/aq2G8dEizPZv0iQ+cYQ4O&#10;xpEdZ1s60S39WYiRKelnyTw1+l+CDB6qJFmg4cCx28xvb2f6i8RIYoq+Ix9pOWuPjEE6ytjutjjL&#10;SfkBTK78T7W9B8WwKOmnBEo91EM99OfpL4AYmYJu2/dQJ3gpk/pq9O8+VPFCC8NQVlHn1A4UHf+d&#10;PtgJdwZ8Z3DTfSKsBWPHz933UWt7AeBUdP/496QeiOmhHvoP058OlJjd0gMvyhTAzeTZaxpbraLY&#10;8ds6XySql9wv1IqwiDli+Hd/wIthtg+Ioa/I81VxdpwlWiOMS9olU2k9VfS4TReuvpV6IKaHeug/&#10;TH8WYthSK1KSFyBGEZ+aftpGq5NORPD2LxOO0DqnQDt2l2ildW+RLSoBXOj+ZZRz0O/10neE0V2K&#10;SwnIRCuN7BetgsfrvFUxHt+91ovUAzE91EP/YfprIMaT/Igkb6Ux1Hhww+6rm3dd3LS3m7Rlz7nN&#10;ey9s2Ju1YU/Wpj3njpzKsnMc+xUhG3AD7V27/WLL7gtb9l3uUrA9Xdq8h7aoIW3DWW91qJc6jn7P&#10;uCtL30w9ENNDPfQfpr8EYsjIPdXx3kFGmTpORjet0JOQ3iptlyRTR3qrYzzpCUCznzrGnLbDAa8G&#10;tk7hET0wNm1Bur8qju6p0ei7lGVJJ6e7Y/TeSr2HQuetNsk0CajqS37+KPVATA/10H+Y/qpAiSDG&#10;Q2kA3MjUifQMG/1mQNKXKdFbrUNc00u51FO92FcTe/XOa7pwz9Z3ATU1TY5+IXq5IolexE9tdSmO&#10;lOylTGU10wtTvdTI2f3P438r/UyIIaD8Kn0/dSkopf9i6tJTKfXQfyH9eYj5/mT2precARcWeamM&#10;4+ekVjdZ2N0MgsjZ0dDF7Kf+8H3onS9mej9m1+J/QfppEIMqpIthXdL3U5eCUvovtrouPZVSD/0X&#10;0n8SYuK9NfGeymRvTZpco911LJteh+YUXGzZlxNdCUv3+SgBMexdJN94p9SfTD0Q87ehLj2VUg/9&#10;F9J/FGLoh6jVKd5Kw4Q5yyvqLbQOQ4+4OARRqGywDv89QUZPpqeyZ7W7lv1LUs9aTA/10H+Y/rNe&#10;jDrNS2HuExyeeTXP/XQH3UVOz91eyH4aEBwjXZzyViYBC7qU/UvSz4MYgRHPo1qR47ja2trW1lbp&#10;YPsd5m7CN6Quh6V9HJKoY5+O/heR1ClJLJKs6AkcJ/3IGcid6dvUUVYqiCPYl051JqlCaum/ToB/&#10;B5LkD+pW+F/TfxRi6B1uqshl6w/Q0gvaoGbArmCxC6HarT5qUy9NAnvZV4L3jyzifn/6SRDTockW&#10;i3Xv3n2hoeGzZ8+NjIwuLS3tGA93DmQW6B0nXRPvTsjJcc4HDx7l5NwoLi52l/mvoA45YEvPFTp5&#10;iKu1ta0dYv61vkKYyOxwOKQi+Iqt+xwj1Cydaq+TdtzneuhPkzR8EOnXkv8D+s9BjLfKLFPqF2g3&#10;ttgRGbFf9mAPDMCdefKipP8gvYcy8X/ovTBG9saprsX/kvTzvBhJ5zMzz8+YMQv4smjRktWr11RU&#10;VHwNMTarY/++w6vS161ZvaEjrV69Lj199cuXr5CxpaXNaDRPmzYjM/Ocu8x/BUlykMz+xYtX69at&#10;j46OBRAvXbr8wYOHwA13vm8TwOXQoUOrGe3YscNqtUK87nOMpCYsFsv69evXrFmTnp6O/DjiPt1D&#10;f4I6xCiNIJP0dwn2r4IYduka0U37b6R50hvk6TXr9PYw9rPWfhq9IflwVYPVwTt4oY09qEqPmlqc&#10;gjltn69S56lK+gVejMZAv7XWtf6/Jv3bECMJU5IpNlLqIMCIQO96s6emLpo6dfrpM5k0S7dPsxLK&#10;uLMSxNjjzcnTps2aPm02tlKaOnUGCt64cRMZrVYb4CY2Vnv16nV3mXYGvqYOTtiIE7HD3VDHGSri&#10;Lug+9HW5zt+lXZYHRF/po52k/fY8tG0nfPnyezvl5eUtWBA2ddoMvd5kMiXMnDl71qy5OTno+xf5&#10;vyab3Z6UnDJ12vQpU6bNnj3n2bPnkK77HCOIGsLOzc2DMKdOnYYmUlLT/qDazmewzxIdat9Skqjz&#10;/r+kzi1iH1/cW2mHnXR/tBO+SamDOvY7H2f79KVrcfenmzrOft5h+9K20xF2kBEd6Tjl/iSCPKUd&#10;6WxFRdWZM5lnzmbSSxEYvrPSnQp8RX8BxHhoTJ4arZdG66EwegYmeinMMo2hl9roAZNWJ3krzTJF&#10;dMg4884jN1qaOfgt9B44eocD73By6MCNRyX+g00y+tVquq2G1YmG/nRQ1l36M14M5WfuPRJhSjtu&#10;oAqMgpMXGxqb4rT6yVOmFRYVS+9XwRhIEMMqcJPFajfHJ0+bPnvDxq15T55JKTfv6ePHuTU1tciO&#10;1NTU3NDQaLPZ0ITUEGua9jraBUls0ItK6CARDTtrDlvpKzJL+TtXBZ4Yh9JLsxj/1C939MFqojKs&#10;LAU10rbjDHaoEndkJ2WjGqT66Z8IbCC188oIpziOW7Vq1aTJ07dszWhobG5saj1y9ASkkZyyGKfc&#10;+bojVGSzOxJTF0+ZPmv2nAVTp8zcunWHu6l2wjekVavXocIZM+dOnjIzJXVJOz9E6CC+tneTjjCG&#10;3Ts4JnUBW3QHe5AlvtLr39zS+1xVR852IVBZHKdM7SSJDJGvJGToPb53CF+qB8TySlW5d6R2QdIR&#10;/Hduhe3TwLFjVDO22McIUMcYdSietIOhxVk2RBInVByFcZKljmqpdcaSu2tILDCid+FwvHDyVObU&#10;abO3bN2BrDjfUT9x+Q36sxDjqU74RRPfK0jvEaTzUJs8EODQ63VjvFVauVIrD4wOHKJduv54QWlN&#10;G73vBn2jJ5BcLruTt4PjhjZu0oJVXvQiWL2n9Ov6VO3fDmKQmfK3D6C0L0kVVUgDBoiJio6dNHlq&#10;WXkl6SedItFjy+pwk9XmMJmTpkydefzEaWm8KVFGGiZpXKUd6Yi0lcyfoQAphJSBmQHttGemtqRG&#10;O6xIMhW0i407M5SefuqBdA5NozUkqp7Vi1ISn1Qd02wkfJUqlhIjysCKuKuVFBEHsWUVYIv0hXDB&#10;P4Kd+ISEqdNmPXiYh4rR9MtX7/A1IjIWgY87X3eEiqzwYtKWTJo2c2X62pkz5sZE62pr692nGaFH&#10;9Q1Nc+YumDlr3vIVq2EMXSAGDIA9JhxJVp8lA2IHSaodZ3GcukjLZzhCXaZ8jGjc2y2TSU4aOCIp&#10;g7TD5Eo1SXJG4mgUWcOdCHmlkZIqZG0RP9IpdkSqjTKAGGxRA6gJOziJ5K6cRTGsVcpC/SCIIVxD&#10;wo409FSQVYEt8kqSAeEIjrItWKID0hkUQhMnTmYCuLduy0A+gizWyh/PDX/ai6H3gadRKKTW+2ji&#10;fdSJ/sHxgSPix01NTlxy4NL1541tgvRSI/oZHTYuLrGN/TK80+YUl285Ra+hpte10+uUpRuF/24Q&#10;A+m/e5e/efMWkyk+Ojo2KSnlwIFDFRUVGAdpyO/evb9h4+Y1a9fPnbcAznn6qjUbN23ZviOjtraW&#10;jdkXDVht9viElOkz5nSGmHbVIYawc+zYiU2btqBRaaQtFuv27Rm7du2pr2+4efPWihXpYEOvN+7c&#10;uRuOK4qhFdQsDfarV692796NCCQmJsZoNGdk7CotLYMmSFVh58KFS5u3bHv7ruDtu/z1GzbFxumi&#10;Y+LWrl3/4sXLdrWknCDo8bNnL8BJHPKwjp86dQaWwLIJYAZfk5NTo6JiJGY+fChEcYmZryFGkgMg&#10;ZsmSpZOnzLiUdRVM2R38iZNnADFLl638l14MRAcvZvL0WZcuX4uN0cORyb5+w31aMkVBvHAxa9r0&#10;WYlJaadOn0O1qWlLO+SPcfzw4cO+ffuSkpLQHXRqy5ZthYVFrM/uLl+/nr1x42YMaFlZGWSu1epj&#10;YrRLFq94+CDXbnMgI6uJ+lJdXZOZeX7ZshXoPqJaDMrdu/cQLLOzUoJxOp8/f7F6zbqYWC2EvHxF&#10;+qPHua9ev4W2XLyUJVUFgjzLysoPHjxsMJgiI6Pj4xOhYJWV1ahBGg5k2LZtx759B+DnXryYBZmD&#10;/8VLlj14+BiYUt/QeODgYZ3eiBluZfoqtqL3mdA7OMVZl6+mpC4CG3C0oZwvX712cEAiZpC8ePny&#10;1a1btz9//hIjKPUa9a9evTYv7wkGBa2jno2bN23cvNVgTJw+Y25snH7zli0bN23IycnpaMXdma/o&#10;z0KMXKmbHrrm9JXHZ68/zLz68OqdF49eFJdUNdMLWdmbo9zBMj2E5ADE0C89CDaRd6Dqyzdf+w+K&#10;8yDnxUi/eP/F00b/+xDDRleESZw8eWr27LmzZs3B8MNoQ0PDJ0+eiv28vKfQIQzA4cNH58ydjzR9&#10;xqxp02fOnDUH+xGR0VBT1CBZpLtSZicIlCQvBi1LiVkmTSbIjzxpaYunTZsBlcU+ijY0NKHRefMW&#10;wNpnzpyNpgF2c+fOnzp1OpQSaiexilYKCgrmMtLpdAaDYeHCsClTpsEAiotLOpoAFAIH163fOH9B&#10;KJLBaIZq4gj6+PhxHmMWkyQP3dq//+D06TOR0CIagtotX74SZ9FpwBaOQA5owmxOgJmBYew/ffoM&#10;MmEd7R5icPbKlasIZMIjYoqKP164eHnuvNA5cxc+epwnZZC2XxOOSoESICbr8rXTp87NmD5n6ZLl&#10;GCDimBWD2bDFmpmo9vwFYM2c5JTPXgwQf/78+RAOwBeYGBYWAZ7nz18IFECvmfBdwHEcXLRoiSRw&#10;ZIP0Zs2cN33a7KxLVzpYQ4vAFOSETKAS2M7A0E+bcfz4SQw3siGhQsABjkOA4RFReoMJ0oZiJCZh&#10;gpm1fsNG5JGE+eTJM0gYoykp2IIFodgHApaXV7q7Jrow3Di+dOlyDJOE+DNmzp41e+7Va9kmcwJU&#10;TqszAEEwjmBb6pFUtKGhgZYI0dMFoeABaomC8+YvvHHzFjJAu7AF1IJ5YCtGEAKRegS258yZd/v2&#10;XRKOIMxbMG/23PmzZs+HVBGEzp03b+78uQcOHEAzILdcuqM/CzF+qqjd+84CD/nPrzJFIexbBfYz&#10;d6RnqI4lyJ7eJAxP1Sk+fvI+ZKzJW2NCqOVeLf6q8r88/RDEMLUTc3Juwqoh7rNnz8GYW1stHz+W&#10;rl+/UVKIoiIy3Zra+qLikucvXmL8MJaYW0o+fiop+Wi305zGdO5zGxYrIoUUTOOrVq+7dv2GlNDK&#10;9es5sGopIyAGLd65cxf7ONLU1IKxh7KCk6NHj9XVNbS0tL169SYmJg7ZTp48jfolhSouLj548CDm&#10;6ra2NpvN9vHjp4SEJBTEHEjqxnQansuUqdPB56LFS8GnxWqrqKzCTDt1yoykxFRaHwPEOPirV7Kn&#10;TJ4OzT59+ixmbIvFhqikrKwCYnE4nNB1SACIA6yBkwXJYBpEQ5iBLRYL9eEriEG9DJH5pqamRYuX&#10;wcVYsDACWBMVrb195z7iR5wlbWXkLtOJUJHNQRCDQAkQU1FeNXfOwrlz5mPipY5R/eK7/Pcwntlz&#10;5tfWNZ47fwmBUmcvpqWlJSMjIz8/Hwy0tVkrKipXrFgJAaIvaFqSDyAG/cJB4GZ+fgH6Amnv2b1/&#10;2tRZcGdaW9ukqsAhPLj79x+i4+h+XV095iF0f97chZAS5lOBd5UUf1q4IBzYtGvX3mpoTpsFSpKc&#10;kgZ8gfBhz2AYwqytrQOKwcLhb1ZVVbchW1EJFABzA2YUiEsCCwAHGIPNA6ChDw0NjevWbUA9qA2w&#10;dffe/abmFujhkqXLp02btSp9HeOBDHjL5u1Tp84wxycWvP8AHmrrGuDyAGUio2JQBF1Gt7dv34HK&#10;wUNKShrkibFGj1A/jmBAm5tboVsfigrBf8bOvZAqVLewuKiouLC6ulpSb5LdN+jPQkyAOvbVy0/0&#10;Vl7GbLteYQ9wIyVJz3AWfYYJwTcW816Vjp26yFetk6kTPRSoBzVL6YvK//L0g16MgPGGv4DBxvDb&#10;7bABGm+ED1arDTMJRiUjYyeykRKIrrr6RjjDGPXSsnIcYJpBhKo6D4DFajeaEmFasDH4MlKSriih&#10;OSnP1xCDSRXjDZMGG6gTlaNOeE/ItmTJMslCcBygxnCK9qVsmIVQEAaDgqgNjMJ/gV6GhUeWV1Si&#10;GlSE4PzpsxeYq2G0tTUNMI/WFisiEWYeu9FrVIWtVBx1At1gTkC9Dx8QZVDn0EuYCnwZHH/z5g31&#10;4SuIgezAJ+jGjRsxsXr0GjgbGRVXVl4JBuwODv1dsWLF2bNn0Zy7TCdCRZ8h5so1h90JQ5oxfdbR&#10;o8eRn7osivsPHIQXuW79JgyHBDGd12KwA5cHxDjhHQ7uzZt3ECBmbFgU64UoQQyg/P37DxhokrMg&#10;lpdVQTiAj4KC91JVINQjZZBk0tjYBMcREnv29AW99Vhw7d61D8Ck15kBZ6hGSp9Ky+B6QEk2bNwk&#10;Fbx69Rp4gDqhBnwFzKLmgoIPwJTw8EiADg6iOTgvGMctW7bSKgzzfZ4+e46pAv1Fr6VBxEDdvfcA&#10;8WNMtM5m5WC9VZW1s2fNB/OPc5/QMMIgeQFAk5CYhIKIB3EIJHkx8NMRr0lKjlRS8gkHMcdgopJW&#10;b/B/4uRZeDFbtu4AEzzYZ/iCrSSTbumHIEZ6uZy5/QEiQoQx01bW1FvQG3ppO3sxskSQCppFImih&#10;T5yCRYNV152HHwaPM8kUsfQrduokutT9GWKozp+XfghiIGsANYYfCoeIvV30FGBjX/KB4VLCocDI&#10;ISEkhqeKkYMaSWPZWbmlHRACJZMpEQaGcGn7jl1S2rY9A44GkIu0oDuIkbz6W7duExPk35LNP3jw&#10;EAcTE5Kh7XSUIQuYq6ury83NvX379s2btzC7Ig/mSfg1zIoEuGCTp0zbDGVlLEqqj7k3dGHknNkL&#10;ios+QigvX7yZOWMujAp6horRFmvUnTIzzwF2AVsVFVVIlZXYViIhvoB9XrhwkXUUHfkCYtA0mIeT&#10;BbkBYVesXIMQCTi7c9c+G4DR6TxwAHHZjD179nQWVwfhECAmiUHM5SvXkOXB/UdoDgBhtVpRBHMy&#10;ggVY3ZOnz5CZQcyszoESdsBAfX3Ds2fPbt++c/Pm7WvXrkPOCA3KyyuYcMSdO3dBXOgIxgKSZiIl&#10;dyAiPAY+3cOHD6WqQMiMKQFYgGFCVTk5NxA5AlOyr98EvrS1WhPiU4A4p06dRTWQH5O2C0i6fEU6&#10;IAa+JHQJTcBVQYsYfYRFkCQSduAtAmKgeAh5mMwRKNHX3Nw8fEUpjEhZOfIshL69/1DIdJPWdAsK&#10;CoEp4eHR5HoIIhibMWNuVGQcHJDSsoryiiqUgtO6bj15QHv37pf6uG3bdshh1ao1VAsRufDoHSY2&#10;SBhWAOEwl0g8ddp9RcmtEWxMqcC36QcgRkY/xhbvqdF7aAweqgRPRZKXIt606Ci9zZ4K4J/hCdhh&#10;o0ofFDRhUqWf3BCcYrPVefDkvYGDYn3p95XMnvTLuB2A9Z9IP7oWk5v7BLaEyQR6ybSNlu4hXIzL&#10;6zfvMEihYRFV1TUYJXS3ob4xNsYwbers0lJaCUZ2d0Vfks1qN5uSpk1FgHPKfegrSktdAu28c5vW&#10;YlC3BDHS1CplkOjRo1zUAwVy2EmBbXZHUfFHhDySK44tIueZs+YBzmB7mLvAJRSFAqXJM86eudC5&#10;483NLegLXG6ETujjnbv3AUPhEVFsziQtdOdjdPTYCdQvJai4lKZOnQkDAz/wrdz5vqKnT17MmDFn&#10;5ow5J06eBseIKFEQfJ4+kwnmk5NTUUlODmC0k+hItCy5XHDEklMWozsIFsBVY2OjVquHDTzJewYl&#10;fPjgMaqKjdPBu0D2zHMXwB4CE+aKAEYFRCubNm+DTAA9aHf2nHlwKABJiK2kWQG93LVzLyS/fXsG&#10;a/szJSWlAAju3XtAasOLiJjOZl4IC48GM0hz5i5EYp7pjKzLV1BVY1NznBaeGuEd1dzeCbCye88B&#10;FCGIEQSHk0tftRrZcATFkWDqUkJz2AK/JFWaNzd0zuz5nd0oxGgLF0SA26amZvchl6u45OPsOQvC&#10;I6OaW5uBjVeuXUOdqFwaLMnr6UirV69lsnEhyIUY4Q92ljwC7cjIaNSPWQesS/yfPHUa9WzZul36&#10;+j30I14MezqR/TCbyZN+2yTBT6U9nfVcmqqkbXvD2HDSD0E4Ad8i/X7Vu/cV+uSM3kHhPoHRcvoJ&#10;XvJZGL78TSEG4s7Le4qRBpYDYiRDg7owfRURWUDWMMKa2jqpy19BTPfe478HMdI6HFxWfO2gLhBT&#10;UVkNA4MaxScknb9w6fmLV8DBa9dvQMM6QwwCJWDBhfNZnav6CmLuoR6E6wi7pJnKnY/RkaPHoaAw&#10;oUtZMPbr7nTl+uWsa1mXrr19m+/O9yWhuT27D6BpsykRrhxacfLimbPnIMaZs+bs3rMP029YaFRF&#10;BV1JcZcBYVdKnSAm6/JV5AFjcHwwQGvXbETctH79JnAFG4AokL0DYmDJToFvam5OTkmdNn0WYrST&#10;p84+epz3+s3bFy9fI8+XELMPgcaRw8dY259Jgpj79wExxN2+fQQTCxZGZOzce+v2vVev377Lf5+a&#10;thS1SRADl1aKmhGhUM3tnQBr8NpQdsPGzcA++G6rVq9BtmXLV12+kp11+frVq+50+fLVy5evFBfD&#10;qfy3IYa/cu0K2goNi76UdRVCg/eH1DFk8IJROUpJgdLp02c6C/5/A2LoHQvSbbtJ3oEp/kpT0Mi4&#10;/OIqgQJPehygfQdwgwrsoot+E9wmuIoqmzfsujBonEGuDPPVaOUqg0wBnygRKOP9n1roldIPQQwy&#10;IApADAzH/t27AukgDTclt6wTEpPbLFZWwc+FGMCcFBVLGSTqDDHAmGvXc2BjEZHRDY1NzNVCcjFv&#10;a9YXELOuHWI6+QqdIQbZYDAwe3x9//496wsk9Tn39WzA1nSd3mi12ZBZSjiPCsmZ7lRtZ0Ilmzdt&#10;Q9PLl6VLMkSyWG07d+2BxwTO0eXDh46hBknv3dTRwJdeDONKzM8vQEAB28t/92HhgvC58xaUlpVL&#10;IUkXLybv6VP4LNNnzC4rr8K8B3RDLvga6MiXELMHLt7RI8dZ25+pM8RYLDYgPrwD2C2qQu3Y2h3O&#10;tEXLptJSNEEM+gXdQL8OHzlGNbd3Ati6aPFydAFeDL6Ct4ydu9H3des3kb/IuikRGsJ3whcU/7cg&#10;BgJ+8uwp+IyIjK2tq0dNYBUq0cEMoi02si4ESujdyZOn3bUw+l+AGOZ00DMB7E3gKX6BcdPmL2qj&#10;n8Nk6yxu0yN3BonkLrjyi2vXbDs/6NdEHzVqMHmpjV5wWxQw9SQJYuRKs+xvDDEIyKVlkY0bN9N6&#10;BwuR0EmE/fBfoJ0IGdgR0ofOEMM045sQQw8QTJ154kT3EIOSgBiY4u1bX0DMnDnzpJURKRuoA2Ls&#10;Ng5snDt/ATptMidAcWE/DGXE4ydOY+r+IlBavwl6c/7cJVLedgLELAwNR+wAHUUphC16gwkd3Llz&#10;t7SuyXSRwAOlYMYAoBkzZ+fcuIUq3IlBDDjphEVfEDiHjzCTLQ1UVdeCPXQFbWHCB1qBc3BV+KGE&#10;d9Jag7sMqKMB2KfV3gEx7JwLThZdfJk8g4l01sr01Q4GMKg589x58C9BDJq6fffupMlTFywMY6v2&#10;lAH57t6jeJBBTCm78c2VsWMX2Dh06IhUv0ToeHx8ogQxqAvDgaAVpvv02UuUArOoqryiamFoZAfE&#10;oMVdu/fCGlkoXc3Mm/p76/bd3ydNmz5jDnkxND7ig4ePwMPceaH5BYX0nfVUonYIINSGi0dImu+e&#10;6kA11TUL5ofD5+oGYiKiGpsboQLNLS2I4GbMnHvy1BlJH6SOsy19SE0gUGIQc6pz6xLEoH5ADA0u&#10;5CC6jp84hU7BEZbqAbugztPP1/RjgVKHFyNXJvmrdKu3nbPxdHs1L91UB5t0CE2ttlf5FXsOX5sd&#10;vqZ/SLSPSuulRJG0XqrFHirp96cT6SWbtLgTj/STHkfqNv0gxBC9efN2wYJQoMzu3XsxbyAI/1BY&#10;lLZoCWYeoykekwNUmrRH4OvrCGKmTJ756VMZjSEhbTdktRDETJ068/jxk+5DXxKEnpK8GEN75849&#10;MIkE+0eUhJmzS6D08OFj1BMRHgPDxnhLSxvQgAsXL2F+Bm/witmNDLM7IAbMrl27AVZ08cLlzlWh&#10;ibDwSABHYVExqgLEPHv+gnkWs3bu3FtZWd3aYiktLb954zYtePPi1m07ADGAJARNVdU1La1txcWf&#10;Tp86t23rTo5+sL0bgjDz3xXMmD4HrS9avBRRHJAatg1jm87uJ0KX9TpzTTU9ReEuAwKTUiKltycm&#10;paE7WVlX2Dmia9euA1yQpk+fjfgOvEH2SPBiYLopqYsY4PJv8/PhlE2eMn3/gcO1dQ0NjS03b92G&#10;14OmO7wYdG1nBnkxR458ESjhuNmcMGXKtAcPHmGk0cFoupNoFtyWko+lTc2tr98USA+FoH5ADLNk&#10;AuKo6FjAXKxWe+HSxYePH+3Zux/NweDdgRKDmNa2ttS0xagtLDz6xs07DQ1NLS1t798X7t9/EBqC&#10;MYIuAXbhxQCdO3sx1VW1gBh0HJ1xHwLEFJfMnDUvPCISEINyDqeD3dlId9AA8srKK1paLRWVVYij&#10;4UZBnlL927dnTJ48ld39QF+lqnA2PDwS9Rd+KCbrZp3KzrmBkYIknzx9hnaldwkA6LuE0p3phyAm&#10;GdDAfsGabpPzD45flXEj+0HxzXvvL1x5tvtw9tK1x0J1W4b9ZvZXz5eromRqrbfKSL6PKslDneyh&#10;TmT40sngO+3/Z9IPQQxkjYQJ/ObNW1ApwDwipvkLQmHDUJT4hCRYIzwbwnJISuAbG5piovVTp8z6&#10;+FG6m7Z7iLFZbRLEnDr1hV/aQWAsKTEVpihBDAjTlOTFdLsWwyDGgQZh56tWrwVvMC0YP3YQF2za&#10;vJ0tQGgBOpiKoNZQbhgz82Lc9YBaWlrhxcDYMA2iR3Da4Q7ASYmMiAUnyD9/Xhh2wHlbqw2QWlff&#10;sHxFOlAG0kBCwalTZgA71q3dBIm5K/2SSOBO8eyZC7AWGB40VboZGnzCi7lx83ZMjA4KvWTx8sbG&#10;JncZEJiUElN6eDGw5MuXP0MMFD0slCxBqzXCIYIcmDG4zmaeR+WYDJj7IMIT27J1GwSC4jBymBwY&#10;ANLFxunABiCGCvIuQAyqOvolxAAcOwVKhDhQifZl49nzF4RjJzbOkJS8iHkxVyFA1AbUf/7iJbo2&#10;acqU6TNnoMdoaO26jWvWbkT+9Rs2s4iQfkUalp+YlIqqcBz+kXRTJZo7ffosvAzKxAKlWTPndl7v&#10;r6muw6BA5p3F9fFj6cxZ8+HFNLU0cUAYnrfauF2790teJwQCPw5b9B3+HQJPdAf1b9myDZPoiROE&#10;aB3EvJgYAK4EMeACnaquqUWPUAMSdGz16tUAF8gHMnYX+4p+BGIUKd5KQIzBA1+DgDIGuUbnrYz0&#10;VcFViZEDUNR6D5Whl8r4C735xewRlPiLOpGQRW321Og8NbFAHHrUwL3+YpZ8oi4o8FMTg5jdnSAG&#10;Y4cN6/NXxEaXrg5iW1VVg/Fes2bdsuUrNm7aDHtobml1+y8QMCmhYGmzXc6iu04bGshx/RbEOBzO&#10;69dunDxx5vVr6f6RrgSh37xx58zp8wiLWNUYbMeFCxczM883NjajPXc+l6usrOLM6cxLl65wDuIE&#10;eFff0HQ9+8aGjZuWr1i5es26W7fvtVnsiJUuXrrc3NpGWiIK9x88OnP6XEH+h87OArQNM9vpM5mE&#10;ROwmC1QIj6CivOr0qczVq9atWL4KEVb29ZusLVisE9Pv49w8zMyQyYqVq9at25h16Wp5WeW3JjQU&#10;w2zn5IQP74sOHDwMNEQp4B1ssqa2Ds29e1tw6uTZUyfPfPhQ6C4DQnelxB5oyLlx59TpzPedMkAg&#10;Odm3Tp3MfHD/MXENm8HICq53+QXoTnbOTaAq9UWg+0Hu0KMeW5ctT0frV69lYxCvXc85feYsW6og&#10;UeflPgcPL1++dtdO40hNXEe202dK4eyw8Ubs+PrNu5279q5MX4PaDh85UVpWmffk+YmTp/MLPjBr&#10;pFuNwQ+69ig39/TZM5evXskveI+D27bvApTs238QYwHG0DNsm1va4MJs274TokTaBB27cQvoyQIZ&#10;5HNlnr2YefZ8Xd3nZ7LaWi3nz2VhdBA/ug+5aJn5zFl4sVkWm4W8H/LgRIvV/uz5S7S4Mn3V0mUr&#10;oBjAX8wlki5hi7kKE96rV597DXI6nVmXLqN+uOeSFyOlT6Xlhw4fRT0Q4q1bt8AeSeTb1D3EoF12&#10;ScjpcAFiNnpr4nppEOwksrgGGGGiLYU5JlpMcScYMEv0y5DMW6F9+D7xMpVZpjLJVAbkl4KjjsQq&#10;+c8luSIhVLvXQWqDDZBZ0t7useBr0X0tyu7yUPpj+uMM7rPteToqlFr6VlnGCUjaZ1/dB2n+aT9C&#10;iWUnogOdiDK0H5DKur/QvnuHSKqq/ZD04d6yBr6HkOvL+unL5zq/XcvXp6gsUftX92ennfbT0oc7&#10;SYcY0X77t89Hv0FSzs8FWBFp/3MlbB9QCyvFHEQIxzxizPeYYEympKlTZ124cKljLCi/tPclfcFM&#10;tzm6I6qNWJGS9CF9Z14T7X5B7nx/SFIeKddXFfwL+gbEUCUE64CZmPgtMrWhlwaRTjK9uLs9eSm/&#10;SN956o/P/sGpPz77B6c6n5Up4kO1u+0kLhscGcIWEhxm3R+TWg/10L8kq9X6/PlzbOF8wTPlnQI8&#10;uLNnziPeRNRTWFjkzvffTt+AGGZ7ZHyiK8601Y9+HY1CHg91wj86yZT6CN1WjiCGvXbPDTHdezE9&#10;1EN/hsrLy8PCwiIiIjZu3Hzs6MmjR0+kpCyeMWPOtKmz9u87DP/Gne+/nb4VKIEIY+DJ6M0b+ijC&#10;/JRRPurIf3ryVy6I0q3mCFYoDKQuunvaQz30VxKiiaqqqrVr18bExMydO2/KlGlTp06fxx7dvnLl&#10;KruU839F67613AuIdSBBEO/yS+/n5t97mv/gWcHj559T7rMv0nee+uOzf3Cqy9nH/1bBx8/evXn/&#10;iaOlfAYx6GgPvPTQzyHYjsCecvjwofDdu/y3b999+lTaTA8305qIO9P/AfoWxABjYYQ29lYdwcm7&#10;bDy96IUMsiMBhTqn7zz1x2f/4NQfn/2DU53O0pIbW35j0AKIgSPTgzI99FMIUCKhTMcWxDOS9t35&#10;/tupe4hhRsqMUBSc9Ow7rYULop2uTnQkuhOnU/rOU3989g9O/fHZPzj1xVkn/BeMN4BTpLVstizT&#10;AzE99BMIIAJNg+l04EvHDsid6f8A/cFazGeCbbqfEujwB/6pibrABhhJ6k4P9dDPIglKOraAGHaY&#10;6P8OynwXxPRQD/VQD/171AMxPdRDPfQTqQdieqiHeugnUg/E9FAP9dBPpB6I6aEe6qGfSD0Q00M9&#10;1EM/kXogpod6qId+IvVATA/1UA/9ROqBmB7qoR76idQDMT3UQz30E6kHYnqoh3roJ1IPxPRQD/XQ&#10;T6QeiOmhHuqhn0jfgBjpUeSuJLJ3I/DSGxK6zfFfRNJDsVKX3fL4+R1GC+wXEUQiqb3O7eJQx/4/&#10;jcB4u860d4lt6CVErK8/8tQ7iQH5/4QSMh5E+pUIiRX23V1bt5zgVPu7Qdz6//3U8Uw/ttj/v0Xf&#10;ghgMvACxQyRI7YNAvzoksF+qFl1OJmh26ovhAUmF/mHk1nN3V/CPDmIXXeZIFu29Yjl+BlHF9KNO&#10;Lhu9C4x3CiInggV6M5joYC8ecdGP89BvJbpL/O2IJCMJr10jmLSYLjBtocmJDpIoBfqOL6KdfnHa&#10;CZVyfL9sRcHJ83aBh2AgLHcD312aEcTKQ5gc7+IFnn78xem0Q7ysNoxC+9vXiCS+wLyDfvfRhSYF&#10;J+X53vZ4sY0TbfSqaN7uclml+ujnL/5v0LcghgQMUbBfGiKNIPSVPjsSy+cegM/SZtJrP/2PovZu&#10;0CfrBX3DP5S4o4/uj59A1ASDGDvvgArz9Oos4IxAlmdlr9KCHTh5wjt3ib8nSRKihB45KQGlab/9&#10;OHkA6Cakiv5yMD96Oz/vsgs2lun7iH7tlBw9oARTto4B+m4i1gSgFAdPhgdSoTqIWwKOdqfDXSEq&#10;xxECfjosnSQN+V5C59AQ/WiqExBjYYWR0Nb/CfrmWgxESC+iJPCGLJAY2nQADtN05tR0eZO6dPoH&#10;BuDvRKxP9Dtf9MEIHbfRa4xJK3AM+z9JM8hIMK/D3ByY0DG9OjkYkMPhsPKuNl60Ouj9abAp8i3/&#10;lgS23JxJsiJ8gVnCotpgn3TWfRoHrUBSdsDGu6xWTrTzos35A14MfAkq4iBxSEPG9PN7i4NEoLWD&#10;t0C2ELVDEOiHtB1AGdYNd53AQqlexrCFwSVrChAptn7WkX9FwBcrL9qJWxRGVYSy7MW1/yeoe4hx&#10;S5LhC4uMmI8u0k9Xt9i4qobm0prGT7UNn+oaa1qsEB+NBoRGQ4yiNOz/NGLMk87ATeAsnLO+zVbf&#10;5mi02BsttsY2e0OrvanNbrE7fpKFs6CBFL+iqmbEeK0pdbPVDlyjnxNcu+3UyEm60xduSW9l/DtD&#10;DLM5SBL2ihCG4h/sNXNcVWPbJygMS9VNra2AT3SGXtLuaLZaw7XrJ01PK6tqYNV8F928+3LEeOOy&#10;VXuBNaxZmCug/0ckA8QWxQ0Zp0f+FnHn3lM2ezI8If6xATmg1y12jjTBYm+AGljsrVYnR5Eqmm0h&#10;mGgnd53foLLahuETYsOi1jW2WOjXdagBNORwn/5vp+4hhqmLJAhoOeeAS8mLn2pbdxy9MS00XTks&#10;NkAV7q+K7K2JHj0p2Zy2qbbRRr8y6p5SaKz+UQSemYVTnzGZOq7cfvLbzMXjp2/4dcaaCTNXTJyx&#10;cuK09EkzVmzafukn/foNLzEgOj+W1/grw+fErLE6MFXin09bdcRfFXrgxDWSLrQZ278lSWPPhOh0&#10;2O3wxepb7Rdy3kSY9waPSQpQRgcoonqrI4PHmhfqN+c+L+Dt5LDVt9p+nb1KM9z8qfzzT6n+S8rK&#10;fu6riIwzb6YFM2qWRTE/Rhzkm7rmeG/1rOs3HxNMUDRESkz1sQgVTsvmXacmTF8+fsa6CbNXjZ+x&#10;bNqC9QlLD5/PeVlv42hKZdT5dZnd0sfqOj/13PFT0uqaLZjAmKiQfpI7/LejbwZK7VJAlIqQ1fX8&#10;feXEOelyRWxAUOyoKYvnxW6O0G+dsWDDkLGGvprfK+taGMSgFBX5B0KMgzbgG1G5yB/NfOCniO0f&#10;kjJ68qoxU5aOmbTk18nLJkxetHn7RfhrP4MAJTQXCs6SslqZUjczdrOFIMbqcPHJq075qOL2ncih&#10;pqX0tyTGGjbkTWCqr222GZfu6xOi9VfoB49Omx26OUq/bX7U1tGTlgRo5h8/d5NWTR1cg8UxZs46&#10;5ciE0oofgJhL2a/kCn2MeYcbYtwBjnTyewhZ7ZxLTFmd6acOvXoztx1iYP/tSwEihwAnYclu8D9o&#10;7IrRU5cPn5zab0icnyrORxGbtPIs+6kcil7dVX6biqvrfdRhY6csq2lG1CvNJTj8T7OSf5e+DTEk&#10;dCeCf6udz//YOGaaKUATMWh8yqlrz0sbLc1OwSoKTVb7x6qGg6ez61scTlo3w8jQlSYyVXctXajr&#10;YfbdLfJvkXS6U45/kb+dupbr+N5+lG2IwLadNgSPiMqFI+fyfANNs6M2lDZYq5os1U2WqgZLXVNb&#10;q4XW6qQyrJL2mr6gz0ewR7r6jUydjsNEaPWSQUydt9I8PXZ7mwO6yCAm/axcZdp74mYniHGX6yj+&#10;eZeR9B0JrXcwgNR+zH3G/dF+qD0DfbIPBnru49IxfPsmsWzYgE2xxeY0LtrtGxzbZ1Dchu0XSsqb&#10;ccTO820Oobyu7dKtZy8KShBLuZz2eqt99LxVilGmTxV1rBqQu0F8dE6M3OxczHnlrTREx2fQGg+O&#10;UJzD2P1OIllTIJq0+qKvKvrKrScUfsJxYRpAjdAypMMhiolLD/oHancevVne2Fba2Pq8pDomZY+f&#10;Wts3RPuprAbVsPVmN4dIncQFko4RxMjVEWOmLK/ugBgSpDujOxMRa/gL+qK+9j0qIZX6fO4z4diX&#10;XHyRUzor0ef9Thkk6pyt89kvjn8nfXMthlUMdbG0OAV92nE/hX74BF1+SZWDLgPQRQD4krRAQx80&#10;OGyVwMILMA2xuonLefgu89L9i1cevi+pbnPyTvqVFA5RSEtz2/uimqo6W3Or8879N6cu3S8s/iQK&#10;1poGS0FpHeLeFiv34HHx8bN37zx8Z7MjaHe28dyz9x/PZN3PuvK8rKqVF2wYfQppERWLzjaH831Z&#10;/aWrT8+euXfrzquaRgvHuXi71cXbRMFe39KcX1Jf02RvtnHP8z+dvZKbee3Ru4paOF1OEfbL1gSo&#10;q277pS6LwvHMRz4q7VzdVrhvIs+JtBhIwAmFwsRV29D2/mNdQVlNG2+z8y3sao/rY3lzfmFDfZMN&#10;qgmhODm+2WJ/+Kro+JWbJy7fe/GmwmbhHI42zHkcx9c2tWU/eHYs69a57Ptl1U0OyIccbofgtJSU&#10;V/sojDOjd5IXQ1ITk1ad9FYl7zt+WxStIvpG2i+02e15b4qPXcw5f/3uyzfvreznBTmHRXRQhPLq&#10;Y2N+ZWOr01lUZzmb/eR01v3bzwvqOafd5RD4RoEHGy2cs8XKC0W1befvPjl68f6F628/lLZyfCvP&#10;tzqczlYnV1BekXn1Hk7dePSusdWOfqEgGvkjS4a58cghHL2S56Mx9dXEnr1wH8higzwQcbPL//SH&#10;LtCCBufixDqLfey8JaoRiZ8q6lGQFnE4ZBdabc4HL9DBh8cv3b73vLiREArOUTNUBRNf1rUn/qqw&#10;SNPmZrvwqqDizKX7J87ffllQYbFxTsx1Ticx4aSLzE1W7tGz4jNnb128dP/Vu7JWO8/Z2dVnKBZ5&#10;Maf9lfqrN59A4Vm/MDkS8jLlh5viSli6T66MO3L+kRPazXPg60NlvXrcYpnGeP3uMzgxotAGW2jj&#10;XVWt9hu5L49eunX22uOi0kbw4XA08bwVgXdxVZ1cs2DU1JXVzTZ2LwJ8H6HNZq2orMvKfnLswv0r&#10;d19UN7Rwdotob3M6ncUlTe9LGlocGGwEVg6yLgfX3OZ8WVL/qbrR6WjlHbZWh/C+vOlSdt6ZzJvZ&#10;N/OqG610TQzaYbW5xNamNgvUvqKhFUff5jecPP/w1OVHH0oa7Rx8twYyXuqohRNqLXZnfnHduev3&#10;T1+6e+vBm4bmVgyKyNudYkuL3Zn3tOzcpbuns+48fVNpdUAbbQ5HI7l7DND/QBE6U/cQw+ogaaOH&#10;r4qrVCOS/FW6MxceE2fM0iSDo4aIXQcySmvD6OeNO69GTlwiU5v8g3T+6gj/kIj4NUerrJwFBsO7&#10;Llx52FsZpk06Fhazra9iPhRl07YTCItXbjznpw5fsfnihGkpAYrQ3uo4f1X03Mit+Z9aTPC3B83t&#10;GxTdR6EPGZ14+VauHTqEP85RUVMbFrdKrpkXoDb0CzLLlXMDx8Zcuv+6TURjTlS7Zd9lP1Xsig0X&#10;Fsat8lfP7K2O6K1e2H/owh2HL9qIaxg24SR6BSVjwApjB8Q89FHHzYhdbcGoCVZOsGDGI83lG51C&#10;y9OXBcFDFw4IXnjmcp5doJZevy/rNyhi0JiYp2/y7c4mAM/lG6/GTkrrG2gMUMf2CzIolOGPH70Q&#10;oUF2bv/Zx6oxSd4Kg3/IYpkqMSDEsG5PTpMNygqpOorLCGJmRe2yECJTmJ+0+ri3MmX/iVuiYHHx&#10;kLXrcX7phLnLZQpt7+BF8sAkX4U5wnjgYx2Ag+7uqKhq6xMSNnxy0o79VxRDovuoIvqpIv2VYfPi&#10;tnysbkEjyGXlbE2ttk07svqGhPuHTOk7aE5fRcz43xMstjZBsNc12lJXHumvjuk3ILGvStc7MObX&#10;yUvvPyrmMOakXhBXN4RT0AWoh0MQfg9f5akw6hP22QG59LtVjEgtCbMhYSeP3iG5Gmz2cfOWqIen&#10;lJY3oDDE6XDw9x6+nTgzqbdyTh/VvD5B8/xUcyfOWHr3EWSLLtpRGoGSl8I8LXx3bOLhPuqw/kHh&#10;AarQAOXCMMOGsvoWqxOWZXM4hUtXc4eP0/mpo/sG6/yVUXL1wmmxq4tqGq0OG00DLiF19Ul/hREQ&#10;Qz0jiyGooX/SfgYxy/bK1bGHzz8gZXGKgMu3pQ2aMcv91Ybbj96xGQdzKn8h++WgMWl9Ffp+cHCU&#10;cQNV2tXrzrZanXaO5rCSqnpfVejoKSsQKAmiXcD00+bYvPtav+BkH02c32C9l0qvHJF2/EIe0K/V&#10;4oiIXtlPMefA8WxE7wQGQGRe3HbwnE/IrLUZJ6CFba320Li1PsFRPkExfYKi/DWh/UdFHMy610ra&#10;SNddMq8+91VEm5Yeio3f3k8V2y8kso9mYX9FdPra41Ye3hkNBlTpY3VrhG5vgDLWTz2/f3B4P0X4&#10;qnXH7U5Xq+B48P7DhNB0uHgBweG+wTG+Sl1EzI7qOqudg29HtiK6bCJdK/zXOPMtiAHE01UOaMTZ&#10;q098lVGK4cZm4DXdOiDdQkWggkkLnqoDikGKw9t518Pnxaphhn4h5tU7s27lvTt24dbwSYm9B+ky&#10;jt6yCkBp/nT2E2+Vzi8oIXBw7LK1J09cevL4RaFVcC3ZchmCDgiJnTh3yZnrT87fzh8xfY2P2jRs&#10;8vLAEbqN+7Ku33+/aM1Fr8CEcTNSKxta0bjD2fqqoHDqvNRN+y/nPCi4dvudefkB/0ERmrHmmhac&#10;hbfjWr//hkyd0ickZchv2u3HrmY/LNi2N7tfSJxiSFze849kb7TQBI/oK4hRxU1csOZ5YeWLwrIn&#10;heW5H8pfF5VzTgsvNsFN2rHnZu8B+l+nrCupamu28XPj1vgEG3YcvGHlLXa+9daj9/2HJPppTPHJ&#10;p67cIcYOHrxT9qnKztmy7z3rMyRKNUa3/eCtGw8L9528rxxh9AvSnr/2EvKEVItKq30CzR0QA7YS&#10;1wBiJC/GxnN8YWnjsCmpvYMXJC8/dOPB+8xrr6eFbvZVxySsPGiF/8TxZdX2gGC9j8qsHGRKW374&#10;9v38zAvPJ85Y66+KW7b+jM3hQmpxCCvWH+8dGDVkTMKOgxfvPH57JefVoWO34GFZ2pxJqYcDlKHT&#10;5q29kJV/4/67hKXH+wRrh/+eWtFoJ4cN3h8TVRcibCHgdzVbnH2GRPpojDl386Ew0tUeCgWRMGzM&#10;EeIA7nBrADEW+7i5ywAx8GIAwdCvh6+Kg8bE9daEmdMOX7vxKuvmS0PagT7qSPUQ3f0nJcAvuLHn&#10;c171Uid5q3WKkfr1uy7fzn1/5OyD8TMWe2uitIv3NGOWp1iN27nnUmTslhMXn97NKzx16enEeetl&#10;6tCU1Xtt4Iq09/sgRhWz58Stujauqt6R+7YiKmmvv8Lw27TFDcAWsgIh91nRwMExiqGGTTuu33/8&#10;/ujph8N/XRKgid5/5g6cFkx1pdX1ALgxboiBI+DKOHCtd1DUoPGLDl+8n537Zv2uKwMH6/sPD39S&#10;VGrjhcMnbvVTRs4P3w6DIq3gRIvTNX5eUsCwyIevSu120WJxjptuWLnj3OW7r9G15RvP+wVHKcdE&#10;vympQhEEoMevvvZWJfoGRw36NW7bwZvZuW93HbkRNHRJ7wG6Ww8L7HT3oFhV1zZpwXq5Qjdp/qZj&#10;l/JuPsw/mZl37cZbi1MorK4fMT0Rs2z80mPX77/KzHk5LWy7z8Dw+MU72zhphoF8oAa2PwMx7GcS&#10;0UPRlXHwmp8y6rd5K+FXw1uGyICTR45dTF93eOXGM8s3ZqZvOFFYXInsaD4ifoe3ImrtrtuYbDEf&#10;8k7nwwelAwakTZm0trUJAOg4efWePDjGRx218/CVNid8YkyNVrvLuWz7OW91VODIyNfFVW28E7Pt&#10;qZxnXpqFMk341oOXrajLxVU0WYZMWtVHE/HiTTl4cQrWljZbRV0LeeAYCsHVYuFmLljTd6D21o18&#10;qKLD5dx0MEumNgwYYrr15G0b3ABBaHGI+rSDvoqoTdsvMG8MigJJfQ0xej9VcuDQxIHDdf1GmvqO&#10;MA8ep6utRSTosPE8nI5ZoZv6qLUrNmcdOvvIL2ThjNitiEwEpwPB3eRZq2UKQ8r6M61cW5vYDM/e&#10;Sb6DEy7MpFmLe6vijp66j0OigF5yF7OeBQzUhcdstQK+BFdRWa2PgiCGrihRJCgmrjkGZ2ffsVuw&#10;QDggG7Ze8++fZjDt5qBrYjNU9lNlk2akTjM6sfBjLVz50lq7T1Ccl0K3eNVZ4BQL2lw5D977acJH&#10;T0tssNoRQD56WdJ/MNwr/Z0HRTA32BKmCggRc2ZeXsnAIPOgCcZ3ldUWuPNic53dOR/DGhR26OID&#10;+pFzJ93ZIelJZ3K6rFAbgRM/ljf5aEIHDE96W1gp8lboEMAlN/f92o3HV206uWLzyeWbjl+8+ggz&#10;MwCo0WYfP2elangaIIbiaCs/z7jVSx1uWHq4yYrYTGjlXPV2PjH9kF9gzJzILY0IhUTHuetPvYJi&#10;AgbN33vyKrUq0m+VYnrrPczcO0j/rqTB6ULAaK+ra7NYgVoUNREPT8qVwYZx4w2chZZEvhdilLpB&#10;40y/z04Z+fvygSMS/Afp5kRuf/uhwgHEF3i7wxUWvdVPFblx/4U2sY1zNbWJ3OVH+d7BYRMWple1&#10;IMB0llY2+Ctixk1eVoNZ2mX/VNkSMi45ICT6bt4HB/md0Bpxy7bMfpr5aWuOwZH5UFo3eHR8P5Wp&#10;tApOoCA6HHlvyvsOjpi6YBUFrAgYOa6out7qgigsJF3OFR61o19gxJnTD+juTJftVPYzL1Uc5HPx&#10;5iPM31a4zwK3eM1lv8DklJXHbC4nvLitey7Dvxs/a8mHymaoBKJ0cqTJs+d37r7QT2GMitmP+UYA&#10;vvGOkmqrcpxOPTr0TVGFe/GJiel76F9DzO4j2T6KqMmha9tgEK42TEWYlmbMjw9QzpErIuVKo58y&#10;9u79t8heUtkY8luyPCjqQ60NVosqkBMqEjI6PWSU6c2Hj/A0L1zL81VqB49dVFrVDMVA11wYKhef&#10;vvkCvLJYcwY0noIvkS8sa/QNWqAaY84vrqEo0wXH0zFPv6mvIjz3YSmbGB2QCkJ0BORvP1Q/e1WW&#10;+6YsPP6oT6Dp4IkbzM3it+y/7KswLAjfSbeuwYsULRiAXSdu+GoijWkZDgAyC5a6hZiBQxdNW7B5&#10;RvjaSaFrJ4dvWhCztq4WY+FCq4hJnhV8UgwP6z/EMHBYSp+hkW8/1QqYPhx8/tvqgZp49QhTfmkt&#10;0BOhL9Sd3DxRfPWubOBgg3JMcmmTA+4+J9igMJ/qWwNHJgz71VxRidDdlf+pRs4CpU4Qc1SuTDh4&#10;4ibwvc3qBD/yoITrD4qtUDXBDsem0ekKNe/1UxkuXXuCXpdUW/wHRfUdEZv7tpRw1wWlFYswNOPT&#10;AoLDKpstdpe4bkcm/P8w0y4Hrc5j6AgDaX1CtGfsvuSr0BlXnmwkn95p4RzwGA9eypOFaA3L9iN8&#10;F3hLt7ESuxuOlooAMX7BEQNGpL4trOYFumsKJ/YcvhCgmOKnDvUJ0srUccnL9pFNizyDmHTV8MUE&#10;MbxYWNrsNzSu93Dd0/dQZZheA2Zlq8vyrrymb4hBOSzxVWGlUxSysl8gEBg3Jb62oY0UHaMiCoh8&#10;p4St7xOYdOToAwA6GRsHr85S3eh49rrk+Zvy7PuV/QanBI3U1zTQOH43xBgVQ+KHTzAGKKNkykjF&#10;6MR7z0odzD0DxJRVtgSPjO83NKWgEr4FZmBnCyd8arEPnraq33BDQVkt3OSyqnoGMcsBMU6Ry76b&#10;763UTozaWmN3WuBC0w/Gux6+KOk/JGHU1E0QsFVwRpq3wVc6dPI+8FTgnBszsgMCIw4evkXXOzmg&#10;J+YjvtHhfFVU+extyeNXFfFLM32VcTsPXAckgLHMay98lfqp85djtOn+ZbHZ6WrJzHkmV+vmxW6C&#10;F9Nsd06dty5AaTxw6hY5k6LNJcKXx+TB2XjH9LDlsoEpZ64VIhaClKDXzaIrPOkI4qnLN1+13yiA&#10;UmQx/5L+MFCiyFo8lfXYXxUbNCa5FZEwLZRh66qobSsqt74osoycvtFbZb774C3aKyip6j/MJFdH&#10;9h80LyA4uk9weN/gUHhrHppIWfDMnEdPgchZV174DUiYE7GdLpgAX5gXDTBI33zFT6ndsusSARgF&#10;YK7qKrufOmropBUNzaxNIIroikvd2icw8tGDcoF3OjjuU0Vj6soDihFGfw2CxrkBwxd6BJs8NfHb&#10;jl2BxSAO2rL/up/CtGrtTTZnwo4Q7FlOXnnupQqLS9tKOEqxLmT2NcTEzYje1MoD/3jMVm2CCFtx&#10;8nZkpDBedMAh2nH4uq9KK1Mkrd9zy0o822FNOXff+Knif5u5BHiGGsmZQ/VQaKfrbu47/xCjl8Yg&#10;D9L5qWN6ayCiWPj2XkHRvYPnffhYAWP/UF4tV+pnRe20Iiam60xC0pqjPsr4A4AYl1Dd0DZ8StIv&#10;wVqvEG3AIF2AJtZfHStXa/1C4n3UMUdOXYOTVVZr8w+OGTIpoQr+E/WKTLmszjJsYrqvMqYaYYzo&#10;MqRmyDXG9fuvwjRpbYatrtG6vcuRsnynTKmTB8X7K6IUiliVJqxPYHRfTbxcETE7egkmBIhEElUX&#10;oigJUnS66pvscs1Cv5CEe0+KwT+aACg0tFiKKpryy6xJay95q4wJy44SXy6u2er4dfYa9bClJQiU&#10;nHzuqwpZUMyoaUtr66wij/gAsIuZvqVNtA0atyRAabr16CUKXr7yqo/CHBm7FdEk6yOTsOBKXnW8&#10;T/+kHRlXOPiMNsftB/lzo5MhZD/N/L6DF/gOMXgEJ/UfbSjHpPTdECNTGg+eeYHpvKaBS15x2F8V&#10;PnPhxmZayaN12GdvihCseQ5M6K1MVQKMVNH9VGEBmgiErr6BoXkvPkHJP1bX+qjoihICJTR68PgN&#10;b43eI9jgGxzWOzgiICi0d3Ckf7DeKzApaPS6tlabTWjNzH7mpzTNiV4LKIEr8euMNcrB+k8lLSI6&#10;5rRVNVhWbj4ZND7NJygqYNCc3kOjZCHxnsHa9YcuwUbQgcxrb3wVZlPaPmgdMzF4n/abea99BkdN&#10;mrcSNlzf4hg5cUVvZdrronqgHskOaoGBgo5ZrKPnL/1Fncx0bF7f4LA+QTG+QdEBQXEBirCde6+Q&#10;ztBN263feffgtyGG5IzZyvnkbWm/ELgq2nuPikioBD0wM/I0mtockxau8NDo7jx8gcAsv6haNTJN&#10;NjB62+5rGQeyd+/P2bMvJ+PA9a0Hr2QcyCopqUXxC1ee+ip1UUl7rBS6N1I0A1fSJS7fmikLWrh5&#10;3xl49QQoTqGivNU3KGzwtKU1iIQISeFzuyJTdvopdPfyKuxia1VTw5T5q30V+inzVu05ePP6nWfZ&#10;j9+Em4/4B5r2Hb6MtiCwjQcvyjQRq7dlcXT3N5x2eJ78yUuvZGotIAaAAU+KEK47iJkVs8FGsyNA&#10;H4EasxXEsCzmAVw1W7h5EZsxkFCvmVEZbYiyna280HD58VvPIPOEmcs5iJBqZv4cSoiu+0/f9w6J&#10;DwzRZxy4v2PfrW37ru7Yfy3jYM62fde3H7xW1QhAc74vr4JnTl4MQQwZJ4MYM3kxLrG6yTp26iK4&#10;gWlrL2/ed2vHwZwdB67uPng940DO5gM3nrx6A00qq+QC1OYRvy+tQ0xI5gI+LBX1LcMnpfipQmua&#10;Eeu5jEl7PZXmdfsu0yRC3cEHuHUCoZasOYw5Y1LUzm2Hs3ftu5ix/2LGvuvb9mZnHLx67todeESw&#10;RqYjXYl6CG3mXHanMHx6qpfSuHzDBXhJ5PEgHOYxQ8F4xDXbz/gpo+OXHaew0GVvttp/nb1WPWxZ&#10;SUUdwplHr8rl6qjxk5fVVVrQfczZ9Jwjz8G3HzxueYAy/m7ea+jLtesv/ZQxEbr1GCA2RSDOw9wk&#10;Gpbu8x8Yj4mqTbRcvfu6/2DEI/GmlENnLt278fD51QcFyhHJg0eZq2sw8h0QY/hXazHaA2cfIuh2&#10;cM6iT/VDxyQGBOoQeKJFKMXL9+X9h8X5D0nctP/Bzr3nMg5c2XIga9vhC1v2X9q571pJST16UFxd&#10;J1eHjp66vKbJygmuE2fvyTTaEdM37N5zf9eBrIxD5zOgBntv795368ixbGuzneNbypscQaNXKkbE&#10;5n+qfPj4g/8g43ztNopkBEez3TFPt16ujh8zbcP2fdlX7+TmPHyVuvacnyJi5/4saBz6cib7Gaau&#10;pZuOAU1oaFHS5rrzJN93SMTkeWuBO/XNDmiIj8r8oqQa0Rb5ZDSuDoeLr2vlJkxf4a82Jqw6knHo&#10;4u59Obv2X99x+BL6tWP/1cdPimnKxDBjXLtXhK7UPcQwlUPCyDkbLNzMqPXeKu2UsDW1LTa4XXDl&#10;XGKbyDtaWq2T56V5aqJvPH4NHiuqWkdPSPPXxOYV1DDFwrDB93YCeaHG8PfgV5y7lusVFBeZtJvM&#10;x9UE5wCuItzrZVvPyzVh2w5kkr7T5WS+srJVHhQaAohpBQQBNe2AmKi0nfAA7+aV2l3Ntx+/9lPq&#10;hvy+qrK6hZb7RadV4BNXHO89MPbQ4Ut0vdDFb95/XaYJW55xxkZWbiOIEfmTWa981HG61G2ol4I5&#10;MkLaZRgDCBGOnsv1URoXRm+FE+t0OgQBoStdUSXsE9owzAC87ftu+isj5kTt/nXGOvmAyH3H7toQ&#10;4vON7z5UDwgyqUYlvytrEl3ApmZRaEXTUMf3JXWaYaagocYiuniKgAvuEVimK+J2WpeAG2EpKq+G&#10;qKfHbmujm0tt6ELKqlNgZu+J2xgMhHsLo9YEKGNPZz2l8BL1i60oxQtCC62TYVAs5dV2v2CIJaUO&#10;czX1ChjXCogZNDkNEq5rIojZuP0CTCsm4RBcGqCSS7AgznDRspRz16ErMlVsVMqhFk7knIiLHRw9&#10;KwiDYxe4iE0oLKYYNgGR9JiqSXaJLXwtIPvuTF911IARaYgp6Do73RzQAFHgY/320/7KWECMQMvG&#10;1gabY8zc1YoRKR8r6pwCX1jRPHCobkCI4dXbavJcSc0IeT9UNQcMilOOMr4tqoSzlXXlqZ8mdvQk&#10;c01dG2E/Xdm1ttjtv4Wm+w3Unb70CC6QMRkhc3LSppOcE52EoLiKBk45VDd0lK62BuEVIFxYtOqs&#10;vyo663Ye5hl2UwzwjMmM8Ab2JpqXHpSrdIcu3ING4iwwePnqI76KuHm6g9AKGEJFrXXIr4v9gxKf&#10;FtQ5xWb4yOQ9k1tID8XThMU7PlbW+aoWjpmypKbRCvW69+gdXM4xszbX1tkxhXBMo0ig5BexS6WC&#10;tc3Jp6485aeM2H3qwdItJ33VsacuP8FMhTngxZviAYMi+g1PLK5o450YOAvcvHXbz/VVLNi77yKh&#10;uYs7nf1MpglfsvEwrJV0W7Bj0G4++eAzRD9p3ioIFk7YpAWLZeroIxcfwDxFDrNvG8VTohWx/byw&#10;tb0DY4+fz6UpVgRvUGyMggMDBNVHcYwnuRiweRputIEe01TARCdByGfqHmJYRkicbj5BIH0rt7D3&#10;0Dh5cNScuLWvi6vpFgxaHxJrW7jf5qz1VhquP8rH/A5lNCcBAiIjkg+32Sg0d4B3EfE8V11fx8EL&#10;EYVz1/K8NNqoxH0UP6Dn5KLRrdwrtmT5qaJ37L9AGAneBVdlpdVHEzl46vK6Vhg2XTUGN9GLdvgr&#10;9PdyyziXNSvnpX+gcdzsDfUtNocDkuaKaluHTlkiD9TvPXINKoXx27rnjo86esWOTMATSRsTtUs4&#10;efmFrypan7IDw+o2C0Jl9kmXUoUj5x77Kg3zY7ZYRDJQm8hJ/YXaILR28PzT1xUDB0cP+tX0pKAq&#10;596b/iHRilHmV4VlDoT/DtfchRuhQykbzlidGHBaQ6MlPUG0cOLM+Uv81eFL1p1oBsN0Cwdnc/JN&#10;FnttC1ASDHBFpbXeKt2M2C1tdDnBCrtOTT/to9LtPXmT1F907dh7BfPqr7OXlWBOxBwPFaZ1dbGg&#10;vBYxBQYfEOMbEj10UhICFpgFdU3gKuvaBk1eLlNH1jdRoPT4VYlyiL63Ju7uy48tYEPg4GZAbZDy&#10;3pb2Hxrbb5gp52ExDAIdR+XQpJpqgBjcMmiWM/dV8a2Hr999oEV3JjXSMsiPiHkD1fUtE2Ys8gky&#10;Dpm46NKNp4gyHKLdJlgtopi+/axcGZMoQYzI1Vsdo+etVoxM+lRRD2k125wx8bv8VHFJy081W1DG&#10;6nBybZy4eN1ZP014uHkzrd7yfFb2C0RbvdVRB4/etttdQDE7L1zMeeEfYuoXFPepuhmQE6fb4xeY&#10;uGZfFvgHtNkF8cTlZwGD9JrRhqoGzO5k3ovTz2GeuEQQIzEOTYTYJV2B60QQ46PSHr5wF8LHESj+&#10;y7cfBw7T+gbFP8x7j7G1COK8uA2+QYa45H2NFistlUCM9Gw1X1PTQmYoOj9W1/upFoybklbbiBlF&#10;rKxtHvxrokwZuedkTivNsbTqBvm3WByNbRbIUaBHJrn7T4p9B8ZMmLNj5IwV6hGGygZMmeREPs59&#10;HxisHTgiqaoZo+a0O7l6izh+1mpfZcTOA1dIOi7+zPWXvqqo5RtOYKxpgMgbdhDEDNZPnrdcwPTG&#10;u/aczPYJip4wZyVQkl1bZ3cEIC4TXdsOXPZXRo6ZvqywBjMScBWnMN0JVdWNdrqAQOvMd++/uXf/&#10;TXU1vARMyxAPEpunqcUv6FtejLSB4WEOEFrt4vHzj/oMipBrIgYOi40y7dq068qmvZcSVmf2HZLq&#10;E5hw42E+77I4eevTF2XKIQZ/jWl2xKZTl5/lPC7ef/rBrNBVew5ftQHpBNeFq3lyVXRswh70U3LR&#10;8QcwW7n5AgY7Y98FOo4x5gExFn912PDJS+pbMOqEltCDuLTtfRSx93NLMb0XlNQN0Bj91DHm5Qdu&#10;Py49cenJ7xErPNQxXgrTzqPZqBpTyLY9t/xVEat2ZAKeyIaZd346C4FuhDF5O0aDwQp62gHA8CKF&#10;o+fvY3JTjkqJiD8YEb8rwpQRadwZbd5+4ORNjHNDk33W/JX9NAu3H7zSJog23mlcmiELipodvaKu&#10;xQ5UyHsDK0WQHGNIO3DlRsHNO+83bj6W++ytlePvPn7jHxSDFG7KOJ/zKudRccaRnN/nLL1w/YHE&#10;XklprZ8idnbMJitBDPwFPjX9hJ8q8sDJbOY/CmW1LaNmpcMfGTU15VDmg5t5JUcvPIhO3B5jTid7&#10;d7rKqxwBQZEjfk+sb6LlbLIWXqyqbRs2aYmfKqyh0YI6mxzcmozz/kERyrFxmw5m3cgrzsx+nrZ2&#10;b7ODb7TziasOw/VTjtavyci8+ajwyq1Xqzec+O33WEwFSNC4OTEb+oaEp606wJYDITuEusBuskv6&#10;hq9O8cWbirFTUnyV4f1C4qaFrlm15dK2/ZdXbrk2fOp6mTo+cfERdhFQaLQ6xs+FCZlLK+qh4Zgo&#10;XxTUDv41obc62pB0GKK7evONOfXIAHXciDEJb/KrMKZwHy7deOGp1GNuVwyN27Dj8p28T7tO3A0e&#10;v8hPkbhkzXGrYLOLtu27s/oodYoRi/eeunfj8Qf4s4Gj472DDYoxprJ6WgnE5LYk/WxvZejlW3lw&#10;0xiy4N/txcBvg74lLNvjrwo/dv4OgxgArAOAFWnagmguNvlAG9xI2Hx+SZ+h4T6a6LmxW89ef3H7&#10;2ac9x6/PDlucse8s5OMQxWJAjHrO2KmJtU0W9Bqd3Hv8hn9whF9QVMqaU9fuF+U8+Lhh++UJ05Me&#10;vSxCywJdm3O0OvjRE5YFBCb6K8wJiw4A7nEcCFhZZQkZnuSjNMWmHr96P/9CzrM5sVtkGqNMpd22&#10;/xoCMfQh89oLjPWK9cdRxt0dwXnnyfuAQdFT5y+iWF8Qq1vtU8I2+KoiJs5LP3z+4Z2npXuOXttz&#10;+BrcwuKaplFTk/w0ESOnJ+85dft2btnpSy+0SQeMSevpijK8Go7vp47sr4m9fOU+hpGs+LPoSFKd&#10;6Q8gBh8owwlOuq0PSJv7qjTcsD14pL6vMsJ/YAT03i84ou+QuCFjjbkv3guY7EWHnRNvPSycMGNx&#10;3+BoP2VYgDqqtypm0EjzqXOPoRygqzdyVcMjkhbvIn1k0RS4gzexaVemZkTogSMXiFWcE8Sq6pbg&#10;kaGT56Y1tdIiI3LiP2XljuBhUblPSyAleHQHjz8IGasNCJofoIjopwmduDBt1Z6rypHGw2euQxBA&#10;mb2HrwUND9285wxUhFrEIdF1ITsPbaUt2y6JRTrD+os/HhBzNute0PBIxVCDYpguaKRZPdSsHoJt&#10;zJJ1h6y8uGN3ZvDQhQuj0pvtvM3JcU5reV3z8MlmFDly7DqiCQtnf/C0cMr8lb0HRfgEhvdVRQ3U&#10;zM6+lYv5DSZ05sqrUZNSB4bEBiijAuhR0qjgscbbj15S90S+rLxGMzQ62rTB6oD3QT7Dyo3H1SMi&#10;j565TmtgggMR16uPlTMjVwQOwxDMQ/LXzFeNjEhbsQO+FuRUUW0NGRU5eXZCQ7OVCRkSFmrrW36f&#10;nRI0YmFjE1AR0T402LX7WE7IhBi/4Fm+qrkBIWFB40Jb6LK42NBmW7L+mHKkNkATjunXXzlvYPCC&#10;SdONAD2oLDoYbtwSODR82brDbGmGhpC5zNQSgRxme4R/nKu0omn5ulPBo5MHBOv6BEb3HhjtHxjT&#10;J8SoGBm/YdspKiq4mq322VGLxvxmKq+sp/mMQ1zqevaufEb4isChkb1VCwLUCweGRM2Ys+rt60pa&#10;8KdIjbt884lyVFz8siMpK48oB4f1DQr1VS7sO0ivSzxS22qxi20Y/eqG5ijDusBBZl9NuL96zsAh&#10;oUmrj/8Wtnr45LiPlQ0024vi2o0nQoYvzLmbR7M9pmNJD0hokBx64Fq6Zk/wsPDMrHvoFYlSgNcg&#10;3st7rxkdGfKr8Xl+iVOwWZ2O23kfJsxa0Sc4yke5wE+zsHfQvCFjI06dv41g1s47P9U0qEaETl2Y&#10;XNfC7uV02hHb7Dlxc8iEtD5BUX4DwwIGxg7U6IePM78prGWTKQIUC7Bs266soCEGzWDTvYf55EgI&#10;iO8QKrhOnH+kHqPz04T6q+b108wbMyV16ZbripEx67cfZ9Gl6/LNp9DwjduO06zDdACsP3r2ftDY&#10;2LCYpfCswQTgr7LOYkjZpRgR6ReyUKaa0ydodtqKvbB2+MXvP9bNi1k7cHi4n3ouQNZPEakcHr16&#10;w0F4YUjw5DXDYzQjdNev58GFpKnaLTeWvqQ/hhgkgnvimqye/KuPpY2377y8ej3vck7upVt5918U&#10;VDW2km4TmrGwxyU22uz3n77LyrmfdePB9dtPP5XVs1vk4VNZGlutbwvLy6sbUR8LxBAF0+1UlY2t&#10;b4rKq2ubnHT7IC1SIPgpKK748LHGQVCMGYX0+WN1w7vCSmgRh/hQpPeUFVXUXbmdd/l63p27L+ta&#10;bVWt1nfFVfWNTTzpGVfT2Pa2qLyirgk6R+GiYAOc17faXhdVlCL4d4Bxui+mXTLoJy3qwDjzC6sK&#10;SioLSipoW1RdUFj9vri8vK7K6rQXfqoqKKqsqsVUwwgALrrKqlrev68qLakTBcRkiHqE5jbu1tN3&#10;53Ien89+cjf3XSMiHwpbRTtvr2+xPHjyJivnYdaNhzcePPtUA/agw2CB7ubI/1BZWlnnRBTJw4N0&#10;ldW2vSqqqm5oJUWhu9phhE6LQ3j+puRyzuOsnMeXb+S+KayAZTITESAaiKjwUzVcaIIcEjImTuf7&#10;kqr8ogo7h4CarotB/ED2irrWnPtPsm4+ungz9+WHUp6W/WzIAMEWfmrMvvX8fE7e+ZzcB0/fN8EH&#10;IxbJLy6pqHtXXFFd18yiXQbTkvjoA7lYuNGuM5X1lnsPX1/LeYx09ebjmw9fFVfUw1BFWoCCrvMl&#10;5ZVFH6vRc6kIqoAGwJ96/Lrwws1H5248fPiysMVGFwXYTEMfza3WgqLyyjrM9K6Xb0kOl248fvii&#10;pMUh2F2NAvSUVo74Vs72+EXReRLRo5dvP7VyQkF5Q35JqZ2uB1qBllW1LdDG+hYKx0SIhUZSIgS2&#10;cMVcZZXN+YWVDYjfqEMYVYyhq83BF3yqelmM462ITNl93y54h7DhSzQiudl3npWWN6A3rEccJPei&#10;sBKRLNSaSYZcDSh0ZUPb7QdPL+c8vJKde//xG8T7iFip/8w04Mg0tdnffcCoVTvI68JxDCW8Gbrj&#10;obCqPuvOU4z+rTvPa+utta3Ot4UVdfVNxIrAN7TZoeGVNU3gmBZTgFkC39LmhBp/LKuDMVJMDOaA&#10;Jhz/6n35xVt5F248zrn3BEAvzbtgE9Hai7efLt94TOLNeQxboCsYLCTC2bfvy/OLqhqbaHWJekmd&#10;bU9f0jfWYj7nZqVZIviiBG7JLYKwyWppdYN0BZMwMUdrXXQLIzkD7EIYeWVQOYyMaHWK7AZhglTU&#10;CH4liMGkByh02ukWNdSPyd6CnJgfkJXmGqqXIAbqRaNJxVEeKO9GGRvvkHQPga1DtNHjBbSsC4iB&#10;JiNshEQxBQADEVwjSIegeHdbJGuomgQxYAl9IquBJpAN0iCwhK/UBRxBbeANfNFZt4zwByYZgtES&#10;Nt3Ih9kGDYoOAfZKtduh9WAatZMIMeTQYLr+T7rG7BDojarI6pCoLWKMVcoWg5jSScuIaAaOKi0N&#10;kfwJ02mHNB+VEMKzBSM210OwhFyoGSwg2IfRoM8waggAtZEekYDZEgzE6JCqc9rZorg0FDhOd22A&#10;T1q3ov6iJMEcMY5BJYVmzNFZiRgjUgL3rB3oBl01pLVz1iwdhqQgG2SiVWwSC9MeKkfyIGbZMpNI&#10;r3wAvFAfJQUnYyOwpbcCoi/oAnilDMjmcFl4F+wKDKIWeN4tdvgMVB21jrwOMi16hg0CxPggH61S&#10;oA6w1Q4xjG/UynQWjBJvbIxwhA4zC4AqkEI46LRDpGchIEfyjEjhqVLsURn0lkN2snIyFmm88Y8s&#10;YJqkAU2j8JP2UTXE5BYCLemgTzTq7AAdR22oCXObxe6y26C+GA3SfGIFfRF58ihoZqJlTmqGNJoq&#10;gQKgGyQEOkZqSsrqomeZ4biSydElW+oj0yoaU/oC+5A4xAggjGUDycpBkxDcCA70mnQImdwcSsx/&#10;Qd9a7nUrwmdiLZINwWjpThEyeNJ4dARqj1apM6SrbDDBLz5Jz8EasUhfURisOegs9Z4GkjbsK8ee&#10;kqTBRG0YMtHG8fQgidRvJmRkRiNoBn2iIvTONIGW/5xQLEgIBkUvSbUwlwrZyJJIjTDPQDLEHgRF&#10;1gXccdBQMSbpig4Ks/6R3rPGyPLg8kiCJtapl6wGQBtlQ49gZaTxkANqp9NIpKtMM6lC5KW4lTgl&#10;pBPgJFMgi5YgNQI+4hANQS4kWBSiAQRSkjXS0hsqQ+cQJcL1IgukPqEyVId60G9SWCfUAwdJnqQM&#10;rMuoFfWS4TE+pH6SSiNhciYB4zibEglbIAEMC86Q0dKYIKudlkcdLg6eF7Nc6jIhH/WMpECsEXf0&#10;lcYGDVCVjIgVloglkiTdBIf6ySCoH2AOZWjAGNfgFr4AsoFvVpr4ZUPBxAQEYIBLw8s4AA8oRWOM&#10;cwxbkJvZGQEk6SIpJKkN+ae0jI2syIx+0D4UEkKiypEDxsVshBkqK4W6mXbSUBIjDIJosZhYkbqN&#10;vgIrYF3gj3qEU4xFKAyUCqeQmaINkgE1gnOoDJpHQpBEgybI4mn4AZPwO1EKlVOHSQHaJUgs0HGq&#10;hQ4ikeaDJcJWKBWZPTCTRhohODoKPKG+QAR0jQqVkC6BS3igmMsp0EWLKICxJhYwVaBp4g5twDgJ&#10;+Kif1DwqguuAwsxEyC2kqRUYBkS1k3XQBEOr5nTRhqpwc4j0JX0LYrrLi0NE0vhDFhgW1nPsgiW2&#10;R8exT2fwFRMUZiqaV5mQ2LCCMIKUv52wz0SI7lImqAmZHcadZUNrHYRMUkXYUA2QC6klram56yR5&#10;s/oo0QF3btpAJtJRfKB+SZIkX1aXlEXaYYQ+gHCEeRaUH+Wpg9hhufGP1tm8SlWiftJrFJASO8+q&#10;pJawB2lQnZRRcjfIGUbl0sxMNbCmWS40Rf/YYnhJzVk52ki7tMNgA1u2iyO04+YM0MxO0Ld2YiKi&#10;TFQ9HUC7NHIkFsqID5K/lIGAEWfZlUOCPzrlZpLySBW7P6g2du4ztZ8BoTKp79JMKXVWYgHcIB92&#10;CPexLzFPG1Yjy4KEw6QNjCs6QCQ1wLiVNuCWyb/juKQbVJDKS3UyEVJ32X57RWyDU9Ad9zf6TnWA&#10;qHXUg8qZ6dFpmJy0OCgROgD4QB/RB6gSOig5j8jA8lMWlCEvgdVKh7FhfIEPcjEosnMrkjQo7hxS&#10;ZvYNXz5/pcSkQr2hCRwHaOjd3aSvZGv0nVUCtljr0Bc4L9hHorPsw10h5WXZWcIuqTo7wTbsHE7B&#10;vNnaC6ErcknZ4CGwWrqnb0FMD/VQD/XQX0A9ENNDPdRDP5F6IKaHeqiHfiL1QEwP9VAP/TRyuf5/&#10;k67LIgMwpjQAAAAASUVORK5CYIJQSwMECgAAAAAAAAAhAIvOr9deyQAAXskAABQAAABkcnMvbWVk&#10;aWEvaW1hZ2UyLnBuZ4lQTkcNChoKAAAADUlIRFIAAAGiAAABPQgCAAAAxlnxrgAAAAFzUkdCAK7O&#10;HOkAAAAEZ0FNQQAAsY8L/GEFAAAACXBIWXMAACHVAAAh1QEEnLSdAADI80lEQVR4Xux9BVgcSbc2&#10;M7i7D4zh7u4wuLu7yygQSLLxjbsnG3fbuLsRNOvuu0k2HiCf3Xv/3f3+08IwNCQhhJAs6fO8mQw9&#10;1d3V1afeOqfklNR/SSGFFFLGtZA0RwoppIxzIWmOFFJIGedC0hwppJAyzoWkOVJIIWWcC0lzpJBC&#10;yjgXkuZIIYWUcS4kzZFCCinjXEiaI4UUUsa5kDRHCimkjHMhaY4UUkgZ50LSHCmkkDLOhaQ5Ukgh&#10;ZZwLSXOkkELKOBeS5kghhZRxLiTNkUIKKeNcSJojhRRSxrmQNEcKKaSMcyFpjhRSSBnnQtIcKaSQ&#10;Ms6FpDlSSCFlnAtJc6SQQso4F5LmSCGFlHEuJM2RQgop41xImiOFFFLGuZA0RwoppIxzIWmOFFJI&#10;GedC0hwppJAyzoWkOVJIIWWcC0lzpIyF/O///u/jx49//fXXzz//vLW19cKFCydOnDhw4MC+ffu2&#10;9snevXvhyLFjx86dO3fjxo3PPvvsl19+efTo0X/+8x/8KqSQMiIhaY6UURPgIyCmS5cubdq0adq0&#10;aaWlpVFRUc7OzsbGxioqKnJyclIvL7KyssrKygYGBg4ODuHh4YWFhZMnT16/fv3Zs2d/+OGHf/3r&#10;X/i9SSHl2ULSHCkjFDDQvvvuO7C/gNHS0tLs7OzU1NQoFArOTyMXuAKGFwuwp5WVVUJCwsSJE3ft&#10;2vXll1+Sph8pg4WkOVKGK3/++eetW7fAzRSJRAEBAVpaWjjZPEMwrpKmUBTkZLTUFM1MdZysjEN9&#10;LGJD7dMiXXLj3Wtyfevy/PiF/vWlQYKigNp8v9o837x4j/Qo1/gwB46vlZM1zYKhq6uhrCgnI00d&#10;FoMC1Xp5edXV1W3fvh3MvT/++APPPSnvsJA0R8rz5K+//vrpp582bNiQl5fHYrEGGmsDaAdYSFVJ&#10;ztbMIDbIHthqXmPEjoXpl7YXf3G86s514eOuCd1d9U+7+E+7eE+7uIB/PBeQrBdFd5eou7Px95b6&#10;b07VXNlVsntxxqLmKF6hf2KYA5CgpqrC89kP/GWwNFeuXPnVV18BTeNPRco7JiTNkTKE/OMf/zh6&#10;9Gh1dbWZmRlOGAMEoRZ5GWkbtkFalNM0btjeZVmfHq162N7Y2yXAiOwfXXUEPB10ZJiAEyXPxf6E&#10;W8C9Hnc2fnmy5tDq3NmiiJx4V0crYyV5GcozfF4ajVZYWLhnz57Hjx/jz0nKuyEkzZHSL7///vu6&#10;deuio6MVFRVxbpAQKhhHeurxofYz+eFnNubfvirqIzUiE40NxDft+0SI7/cb9Ze2Fy1ojEqLcmbS&#10;tKWHMvVkZWWDgoKWLFny448/4k9OyrgWkuZI+e/du3dXrVoVEBAA9R9ngj4BljDSVU+NdFg2Obbz&#10;YMXjDiE4kmKieX1AmUtsEg5hG74QwL9POkSfH69ePzMxN96VYaxNHUR50tLSbm5u8+fPJ/lufAtJ&#10;c++ugGe6a9euqKgoeXl5vN73ibysjJcTY0pN6JWdxQ/bhEAZBBJ5fQCjrOtQ+Xs1oc2VQee3FX59&#10;qubb01WDTcUh/eJnAyhP2HagfI4oMsTbQklelsB4MjIy/v7+69evJ/3ZcSkkzb1z8tdff3V1dVVV&#10;VQ0cKqVQpChKCrIR/tYrpsR/c6YOHMBBZDEWOLQ6R1VJrjTDe/uijBAvc6aJ7pKJsQSa++JEVUmq&#10;x4IJkSc+yP/+XN3jDnCf+UB8g9mQAEjwtIv/80XepjkpSRwHDVUFlO/6SU9FRSU3N/fSpUvkEO14&#10;EpLm3iH517/+tXnzZg8PD8LsNgVZ6TAfizXTE3+6gAxuolxAJAgCwL7r7hT9epn/2fHqr0/Vgq30&#10;kubV0ABudbczlZWR/voMwll3rgsZxlqbZqcQku1clAaMXJ7lU5TiQdPXNNbTCPY0q87xXTk17sLW&#10;4jvXwPZ8QWbQZ+TdvirYOj8tIdRORVGOMGphY2OzbNmyJ0+e4GVHyt9ZSJp7J+TOnTsTJ07U09PD&#10;KzEqVArFztxoliD8q9O1qDVE5ILBeNguvLyzGE6JC7GzYRswjbQV5WSoUhSGsfai5tiezlc1AHu7&#10;hLqaKsA4WXEut67wga3WTEu4srOIkAy86Rm88N4ubk+X0MXWFJ7FxtzowIrs4jRPGQqlLs/npTgX&#10;mP2ni7xlk+M8HenSAxsANTW12trab7/9Fi9HUv6eQtLcOJcvvviisLCQ0PumpixfkOx2YVsh0ASh&#10;zj8HQAfl6V46GggNARlc3l3V0yX66SI/OcIRzEMQXoFfbyfCTYQThw9g25hgGyyT+tqqCyZEP2of&#10;gjpvX627ex35cr9VpKmqCPnJjHUBaoPH8XJirp6WIJkYxbCyBLZk6/7y6hwfoFp0Vgou0tLSSUlJ&#10;N27cwMuUlL+bkDQ3bqWzszMxMZFKpeKVFZ0RYsnQndcY9ctl8EwR55RQzwG9XbXwCb/+eIF3cVsB&#10;IQ3Q0P4VuRgBgIeIHXzQKrRm6cMRaSr1/JbC4ViFz8FXJ6vtLQzRO8B9KJ4Opj+cqxmYRsxZtR8d&#10;rsSmB8/gcdC+Oe6SibHt+4jW39Muftv+stmiKGFx4FxR1NWdxT2d4GUPSCMGXOT3FsGqaQlutib9&#10;VIdQOyU4OPjcuXN//fUXXsSk/E2EpLlxKEBw8fHxkgQnTaUEeZjtW575uB2p3lgNH7KeQyU/uDIr&#10;NsRWWUF2cnUI/DkwAfe3qwI5aeTKJeme4l/n1keh96GUprkPOuUl8KiV9+WJ6rstgvdqQtWUFZAr&#10;SlFy4pyHHOqF/O9anI5woRRl/7LsvoPEgYjH7YLqHG9ZdLVYiJcFvyjQw97Uy4lxZVfJs7KKFVF3&#10;p/D0xvy4YFvEL+8TIDt/f3+S7P5eQtLcuBJwUVNSUsDJwqok/IPqncSxv7gd7Jdndpyhlh04m8j3&#10;3q66w6uzanL9ZKnU3641DKJCxDG0ZiPWlqutSW+fz9uypxQzfDwdmE9fYYi282Alm6aNjpzWfXqs&#10;ysWWBtc0NdTsHirzkLfJNaGQAAjs8+PVhF8xwKNVZ3ujWaPkJ7o96RT2dnEftQvjQmw1VBXODcP2&#10;BAO248OKgiR3RXnxpELEQw8NDW1pacHLnZS3W0iaGydy+/bt0tJSiWBHFHkZ6cwYp9b9Zc8aXoCD&#10;jzsEUNUrsrwC3M2Ors3tQXrWkOM9XQKOj+Wh1TmS6TEATWTFOkM9V1WUv3Mdp7nb10Qy6Oxbb2cW&#10;3E6c+GVxbXcJ2Fz7ludgRtmG2WlwTU8H+pDXBApLiXCABNrqio87Ggm/YmjdWyaLkj7Yht+fE9tu&#10;3C1z0yC74B0P2fc3GHCvz45XV2Z5qSgC2WGUjvTZQaPyzTff4O+AlLdVSJr728u//vWvmTNnqqqq&#10;YnUPKiFU7LRIx44DFUP6ehLgNpT462mpYKdRqZTIAOuWvUCLSLfd+veT8xLdBrt18NP8hmjEnpGS&#10;urSjBDty+3o9SnMUUXHAqzitR1Zlsk31rVn6q6clnt9aGO5nJScrvW9ZFiEZAOVioa0ZYld6OTKf&#10;wYN1U2rDUFaipEUN8Hy3zk+HE+EHuIv44AsBj/blyZrSNE8FxLLDyU5eXp7H45Hzit9mIWnubyx/&#10;/fXXhx9+yGQysfoGAqZQhL/ltV2lwzSpwOv87Vq9OV0XPx9sQFnpgkS3L0/V3romZBho3G0REU4B&#10;nNlUgFXxJRNjsCPH1uUB7eloKH99mjBc8HK4fbn2i+NVn5+o5ub7hnhZpEc7I35l5xC82XmgbNW0&#10;FHDJIc/JES5DEjrQXFmGF/JUFMpGicl3cBzzdkE2zk4WHxcDEqCfyJiG5HEMcK+Pj1SBpSyD9lFi&#10;oquru27dOnJS8dspJM39XeW7776LjIzEKxkqztbGR9bmgb+JVkW8rr4QkGw6j5Mc6RkbYouNWoKo&#10;KMo1lIVEBDruWJBOSA+4dVWoICsDyWKCbG9dazi5sYBlokM31Dy3hTjE+fLopxUJlhmCa46sycpP&#10;cne3p2upKmipK8/gcQYvtu3tqhMUBUA+4ak+OdLfedfbJfBxYaEPStm9mPiAUCC/XeHNb4xKiXBK&#10;j3ZZMjH218tDtBlwu8s7S4K9zPAiQ8XDw6OjowN/Q6S8NULS3N9P/ud//ge8VHEQEaAmQx3VlVMT&#10;HncMPQnuRa5r3ecnaqyY+o86Go9/kO9qh86iQPkOjKCEMHsCfQD1dHxYI4/QHEWaSjE31UmLdFoz&#10;PeH364JhEutoAeVB/sP2hk+PVZ/fmj+k5XVwdTZYXICfzvf/+tGRKlnUEFOUk/n2bH9iAFzk1IYC&#10;mr46/CojLc3xtUqLdrZi6B5Zmzsk23Z3CnYuzjQ3BXMYpzsZGRnwYXt7e/G3RcpbICTN/c2kra3N&#10;wQHpd8cE6KY62+eXS8RZFBjg4MeHy+NDbL55ri/Z08X3dWFd3F4E6R+3C9bNTKQbaaKXp4BZ98sl&#10;SZrjQsXOjHKaUB60Z0nG16frniAT0F5Ao88Blm3JzxHgKTrXb0j0dAriQmyAtA+tBp5CjoA7nxPv&#10;ij6dVFGKO4HEuw5VaKgg7Qc4pOvfT4HEkODTYzWOlkYt+2oubMmTJFPIMIZ7LYLJ1aEqSv2bXTAY&#10;jBMnTuDvjJQ3LSTN/W3k3//+d1NTk2SsJC8n+pVdpejCg/6KSkDrvnIwylg07bYDFYSfxICKuqg5&#10;pianf43UnWv8yTVh6irIzLXV0wcsKkAr9tBTi58NxP0Ey6u3S9jT1fCwvf7uDeGtK7yfztd9darm&#10;y5O1X57EP388X/vbZe7dFuHDtvruzobeLhGchZ47hCX1fGA5hM8717iZMc5MY621M5Mu7SjhFQZg&#10;vnmIl9ntqwRDlZ8cjjchpeleYgaEu6+ZnqShqlSU/MxZgXAcjMSoACux40+lUouKirq7u/H3R8qb&#10;E5Lm/h7y0UcfOTo6YfUHRENVYT6yEOqFS7Vqvz7Nw8ZAdTSUT2woQC2vISrqD+e5Zqba91qRC/YR&#10;BPfr07Vl6R7LJkUPecqQgLN6uwSP20U/Xay7srN0+8K0OaLIujy/jBiXQHczJ2tjuqGWtrqyqrKC&#10;AroYFlxHCuIh44Aj8jLS8CukoelpOFga+buy0qKcqrJ9ZwnCt8xNPr+16PtzdQ/bsYiew81VTyf/&#10;7ObC4lQPBwtjJk0bTNelk2IftRGnkty5LlRVQlbFwee3Zwb8BI2ErDSlZW+p5MHBAFN309wUQ13x&#10;qLcUnc44f/48/hZJeUNC0tzbLn/88ceCBQsUFBDDCjgBJMzH4tNj1cOp5EBYv7eIwPFETkPjLG2c&#10;kyZhpPSnBDvL2ca0IMl950LEUxMfh7s850ZwBfi1u1P42xX+mU2FC5qiilI9fF2YhrrqMlQgV7ir&#10;NJUqr6CipaRupGlkrW5kp2fmrW8RqGsRbOwQY+KSZOKSbOKSQnNJhU/0exLNKV7XIkTfIkjf3E/d&#10;yF7TyEZZg6akqkOVlqdQkADo0hSKnqaqpwM9P9F9tiji6Nq8ny7yIA9oVofIofh7L0LBYE4K4QGH&#10;TNlxoBILvZmbQJxJc3FbUaiXOXCr5EEAECjhvvD9+/N1mbHOYrNOWlq6vr6e3HLsDQpJc2+13L17&#10;NyIiAqstwHFqSvJLJ8eDyTC4lj4LPZ0iG7bhe9w4bPYDfM4WRRKmm0BF/XBFtpK8rDXLYGptWHf7&#10;AFeOALg1pH/SWQ+ksPy92Jx4V7i+nIw0EJAURUZRVVfdwEKX7WPkEGvimcMMrDQLr2dwJjDCJ9DD&#10;m00RTBw+6Aia4FwAXIcZVG3qlW/sFK9n5qdhaK2kpk+hyFGkpMFcNafrpUY6zm+Murqr9HEHtrcO&#10;MecvxPfneLLSyIPsXppJ+Kmng//LxVr02SWP8/gFfgubYtA4VPhB7AuU8I5F6QY6/Wadm5sbGenk&#10;TQlJc2+vXLhwwdAQW8SOiJcT4+MjQ8TRfT7AfvF0YNy6Kto6P11ZCVslKlWd44PO/scNFrjmifW5&#10;V3aWdA8RsERs1CDLvD49VrN8clxyhIO+tio4mGBeAddomTga2kYAAZlxhH10RiSsUQfcBeE+Tj3d&#10;p8jQLkrL1EVZw5BKBdajaKkpRwfZzGuIbD9Q0d0pGr7HDcaaszUNyufidmTasxhoX+TQF/n0OB9I&#10;1seZ0bq/gpAGShX865ggG6QBQEVNTW3nzp342yVlDIWkubdRwFGdNWsWtjQVuEReVrqpPHiYy5II&#10;ALsm1Mvi6p6a5qpQMLt00GhuAG9nRn1JwIMbzzPcgCCg6j5sF53ZlM8v9Lc1M0RcUaqMkrqhNtOD&#10;5prKCq5jciZI2GiTxDQ0hsBvCqzHCuXR3NJ1zXyVNU2kpeXAbWTRdCoyvQ6tzr5/Q/S08/kPixDT&#10;hyuz5WWka3P9MIMXjoDt3FAauH850b6Dn6BwFjXHYr6pkpzstLqwwcNBcDqkQcN2IgJvs7q6mnRg&#10;x1hImnvr5MmTJwkJCVitADEx0Di2Pv8VJm3w0qOcrFgG8xtj7rYI2w5UqSETJigsE53l78U/foZ/&#10;ChX4cbvw5IaC8kxvmr4GVE5ZeVVNI1sjxzhWUA04oS/rfo4xGJwmVgjX2DkJLE05JQ2KFFVXUwX8&#10;6wMrgO+Q1ftDzkFBmYu3aW6qvpZKaZrnyQ/y9i3LAMNQXUUe7DJCYsAXJ6q11JXgHYFte2lX5ckN&#10;Od+dqTm3uWDwTMPre0pt2PpoA4OIt7f3rVu38PdNyusXkubeLvnqq6+sra2xygAS5m2Bzl8Fb2i4&#10;ntdg1OR6b1uYBXUYvh9YkWVB1102Of7+DaSDDzuIAav54Lh1HKgQlQQyjbWBHeQU1LVNXUzdM1hh&#10;wj5v9I2YbCNGMxMcW+9cXZanvDLyRIY6qpVZ3pd2FHd3goc+1KhFJ/fH8zzwebNiXYtTvazNjMHH&#10;JzAXoKdLEB9iB+8IrLkNs1Owwvz8RB1QXlW2960rxPRwJCvGSTwuYWRkdO3aNfytk/KahaS5t0hO&#10;njwp3oZGhkppKAuScFRHTHPc+tKgBI7D+lmJPV383y7X3G0ZcpyR+/t1wdqZib4uLFlpaRlZJS2a&#10;vYl7BpMjessNt2ED+K6B7pWjzXCVVVAD39vJmrawKfrnS8/sd4PjYPe9LwgnRHnCGG3L/DSMszj+&#10;tj9ebDy3pWDZ5LiMGBc5aaqcrDSLpn10XTaWUnxidycfHFgFOWSdHIiiouKmTZvwd0/K6xSS5t4W&#10;WbFipXjqr7qqwraF6YMtiBHgbgvXydrY1FBzcXNM96DOKbQe8j47XsMv9NfTVqFQpFW1TI3so1mh&#10;/LEZSRh7wHOBZUpzTlTTY1OoshqqCuCftu0vhzZAkpLEGJIEgRyN9NTgTYE7b6ynqSiLjM9GB1nv&#10;XprRdbDil0u8a7tLr+8eIvYJlPbpTUVGusi5IFQqtampiVzw/7qFpLk3L3/++adQKIQKg1QbKQrb&#10;RLtlbzlmCAxZ8V4K91p4q6bE3W0hzkGBP8E/vbyzNDXCUV5WRlpGEZxTum8RI3wCgRfGK5CpKgEV&#10;uiwvWXlVGWkqx9fy2Lq8nq7nBE9HPr89XX2vrSkz1hl9WVIz+JG/XpuEDuxITSj1l0w/GNgV4POL&#10;kzVoxFDcgc3IyCAHJV6rkDT3hgX0Oy0NiX0GAlrv78r8/vyAuvHqGFxvgeCgSod4mYPbJaeoaWAV&#10;wgrhjlfz7flAjLtQgZF9lKKKHrQx7vYm2xemPxk6CAIy7rxscqy2miLGTz4urMftgkcdIn1tZH6c&#10;sMhPMrHEdyLgjfx+nZ8cbo/znJRUQEAAGbHu9QlJc29Suru7Q0JCMEWHOpYV63S/ZSSzRoaPHoTg&#10;8gPczagUqqKqnpF9DDNMROeMY4KTHDB53uAJk9NAc0lW0aSB5+5kZbxjYXp3xxDvArzO1n3lPs4M&#10;eF8b5qTBEeBEI10kokldvu9LdaHC9YVF/uiWHQjd2dvZk8Ovr0lImntjcv/+fTc3N5TikN0MRMUB&#10;g+vVs3rHXxZgPvR28a/sLAn3s5TGCM4xjsmpJ1R1AhC3LkQgeYQdyv+7jEiAmcYMqpE8wgzhM16U&#10;eQZngolrmrKmCTQDno6mx9bmovH7iLNPHrcLF0yIjgu2ftIh6u6qNzVEBo6qsn0GG87PR28nf0FT&#10;jLwstneHFIvFIldKvA4hae7NyO3bt21sbBHVpiALsOY1xgyeWfqglT+pMhDcIsLxlwVw5RfHq7Pj&#10;nWVlpBWUtY0dYl9IcBjMwutVNOl03xLsTyAOTZoj3SPz7XdvkRy6pWnTHPqy2szwKVTXpsMTSSZ7&#10;FpicRhPXFCV1IzC1ogKsWveX9w4KygKl+qBNsGtRari/jTw6eFqe6fWyzRJcE8zD7QvSlfr20zEy&#10;Mvr8889xLSFllISkuTcgv/zyi5mZGeaqKMjJfDA7GXR9oPbzwPLiFwUryMlW53gTlqAOH2gfkGBS&#10;dYiakoKMnIq+dSgzTEio0s8B+HEhAT7VeaEmTjHoutRmTQNzYXmciU0QOtGEmH4EYHAa6D75enZx&#10;DN9idNYxMcEIwAwVmtgETKxN0DIwA4MUOMvUIUJUGhEbEcCC74PSPwvw+Eb20XKKmvKysmCp/YQG&#10;9SOQXXcn/4P3k7G1q4kcB/Q9vrQBDuR4ZE2OphoeJ1VXV+/mzZu4rpAyGkLS3FjLr7/+inIcIkoK&#10;cruXZhFMgKed3A2zU/xdWTsXp33wflKEr+XnxyslEwwTPV38vcuz2aY6VKqsNt2NGVyL1t6Xmtzb&#10;zLJ2//mScP+KHBc3d4Z3vi7d5fTm4vNbi8KDPY3tIllhglex7Bj+5Zq6pkkcx4aykHB/aw09NjOY&#10;S0gzfEBOmKE8Y7vwhEiva7tLz28r0zV1YHhle7i7HVuf/9MlEdvGfQQeNzOUr2fmJy2jYKirtmZG&#10;4pMhOhaQMFbZcc56miqfH68m8OCzAMl6Jd476MCFbSU6GspY46ejo0My3SgKSXNjKr/99hvGcaDL&#10;ygpyB1cNiEaLqnvdvRsifS3l63vK4Dugp0vQ0yXq6arvRSKs9ad8DuCa35ypTeLYUyhUFS1Thk/R&#10;iMmI7pVflOLd3Sm4d0MwtyGazaJ7OzFuX4UsCS5uL85P9qNbuNNcU9hhfLCbBt3luV3+YSJNHePD&#10;a/PR6YFcsFg3zEkBpmO8jMEFABsQWdfllMC0dC3PCkB3JuPfusr3cqJbmTGWTo5/1CaA/OcnedK9&#10;8wnnDhMIgQaUqxtYQnkGuLO7DiKr9MXvAvsCN/1wVc7OhchyCOz4cwBpnrQLBIU+vw+Yqs29urtM&#10;TwsPagJM99FHH+F6Q8qrCUlzYye///47cBw2h0BFUe7QqlwCx2H47Fg1lSJVk+t3dVf52pmJmbHO&#10;dENtGSrFzc7kwvZiQuKBQK4GVXrltARtdSXwUsHnQlw2pKISq+4wATXcwDKQXxj4GI01dOc6f15D&#10;VJSf9YEVWejWzrzfrwt3Lc6oyPJ3d3c3tAww9cpjIf1fL2ZVY5eUklQvCW+dC+ZnuJ8N3aeIkHIw&#10;IFesMJGpZ46hha+Pl2ddfuDBVdn3WkWQn8cdou0LMmICbZdNirvfijQMj9uFtbm+htZBI+Z6DIzw&#10;JpprsrySppKC7Ax+xKM24qQTuNeQL3RIgClXkOLJ8bH4/Xp/jwScfn1POTY9BURXR+eLL77AtYeU&#10;VxCS5sZIHjx4YGeHLIEEAY47+AyOA9y9LtDVUELm14PN17cEEhNtDeUfnjerjvv1qdpIf0sqRVrD&#10;0AaJzvYKBCeGGUdozmRMKAvrOFAOrAT182GbcPuCtNoc/yXNMd+fQwwxeBZgvc9P1Kyalpge68O2&#10;8aA5JbJC+YxnTlVp1rcKXTQhTjL/T7tq60uDTd3SByXGgVhV4JY6xVvYueck+q2flfztGYTW4cEh&#10;Y9+cqZvfEMXLC9i3NPNROxJlE1jv+p7SpvIwOysWI4RPuNrIwArl6dBdqVQZT0dGO7IT7nB5jYCP&#10;jlRiayE4fpb3rvf3zAJXXttdJmY6IyOj77//HtchUkYqJM2NhfT29np5IRuGgoAtcGDFMzkOBXfz&#10;3BQleVmU5ChyMtI2bP3UKGc6spaesnbGgJ0ZMEDdAFNoy/w0XU0VWXlVmlPCKC5mYHImGJuaf31W&#10;tHZ64rS68M6D5SivIXOMuw5WTq/jCAsCD67MBqMJDqKZ4d29IQTzqjg9wNzO09Qrd8jMGDkm1uT4&#10;9ZUD8tnbyUsIcwA3mZDSBPIAV/DKsbDzLMsMOLo29z5quKHshnDu3qWZgsKgWYKIT49VQd7gUuBT&#10;g9c/qTJ0w6zk7y/U00zNR7FAwD03dc+QV9ZWVZJf2BQ9uLfumbiJf/n4SKUtW9+MZYLpww8Su44B&#10;oBiv7CqDV4kpDJvNvn37Nq5JpIxISJp77fKf//wHjQCM2GXyctI7F2cAEWCM8CxA7f3kSOX6mQn7&#10;l2d9d6YWjQDOu3mklkqhbHg/aVBi8CV5hclu0lSqmr4FMxAx4kYXJm7phSme3R3Cey2CzXOSJ1dH&#10;bJuXeuuqALgGMe7ahQdX5vALAlZOiZeMCwB5vn1NsGJKoru7h6lnNsIOEtdkhQr19Iyu7i6Fh4VT&#10;IPHhtXmaunQmp0EyGdLl55nl7uYOdiK6RyJi+KDpkYUE4JkKCwOB+FCSRcy3Xy7xN85KnlzF2bEw&#10;/UGrsLuTX5DsaeKWJnnNUQEzhKdFc6RQqNGB1j8MFabpWfj4aJUNW2/7kiLUZKNEB9k8HTSSDk93&#10;bmuReOzVycnpyZMnuD6R8vJC0tzrlT///DMvLw9TVmkqZfX0hD77BUd3B/DC0PNFoNKe2ZQH1gpK&#10;BLyTG4p11JV+vEBo+blt+8vtzQ2kpeUNrcMYAzlitABcY2gdUpruDTQHNbC7S9C2r2wGN7y+OGjz&#10;nJSfL/HBhgIDqnVfeUNpyKqpCQ/b+kdL4As8wrLJCRb2XoSBVLp3np6eQW2e35KJ8SWpnlq6xnT/&#10;8v5fgQpDuHDW0snxaCH0PzX8uXJKQmNZSMeHFWDGgl0JBtH6mYn1xSGz+ZE3D1VCZnqRfTAERame&#10;RjYcOmcAw44WwEI0doyTlVM2NdQ8tWFYMQGh9bJl6324MnfvsiysP2LLvFRCGgzwvIfX5Cj2zacL&#10;CQn5z3/+jWsVKS8pJM29Xpk0aRKmplQqZZYgEnW1+lX5UbsgmWMnKPR/MtQcYGDAUC+2OV2vOse7&#10;IMkd2RR5Db7ZKAYglw1zUtSUFRRUdBne+fTw5lfviXsWgOl0WZ5pUZ47F6aD+YaSDvdJh/DqzhLg&#10;u6ZyzpppCUDBwC839pVPKA0+8UE+EJBEbrnfnq2Lj/CEfA64rEe6r7v5pMpgGzMTU68Cifw3073z&#10;Yzhe35yplWwY4JFPrMtrLA1pO1De0yX87hx3xXtxcPfZgojWfWVYSHTI2/1W4dZ5aRkxXjoMN4IV&#10;OdpABmGVNWnysjKzhVE9SEeh+JH7cety3ZenatsOVIGvemBlLqhBRowzmHJaakq3rw4+BX9eePAt&#10;89NlZZBNPEByc3PIWCYjE5LmXqNs3LgRnBpQUIoUpSrbG4wOCVVG+s5LUt0cLI2t2foNJQFi5ZbE&#10;jxfqrFn6EQH2e5Zk3r42wOh71Caoy/cDR1XdwJIVwhtU/UYXyNQQcIddHSxb9tXNFcUsbIy+vrvk&#10;SWc9amlye24KvjpVu3xS3JTqiD2LM+61TgA3do4wGvxKIJ2nfX1STzoE/OJQule2+MrgkFblIkEr&#10;owPtTLz6x1jpXrllWYGPBnZ7/X6dN1cUfXBV3t3Wpp2L0qfVRq18Lw54ECtYcJ8fddRf2Fo4vyFm&#10;fn1M+0Gep7MVM7BSfM3XAYyXmWEibYYrRYqaHuVw5/rg9RJ1Zzbma6ooyElLb5idCsV166pQTVkO&#10;rLnceFewAZEi6qp73FF/dF1uQ7Hvrb7dY9HjvLn1UeJgnO+99x6uW6S8jJA097rkypUrcnLYDgCU&#10;JI7dk4F7qvZ08gVFAUXJHo87hD1dogetQ/itWG356HDl7sUpKJv0//TzBW6YjzmVKq1vGfCyE81G&#10;DLAWaS7JSeFOd1sED9vqT6zPnSOMmsmLWTE5rmVPyYP2esR17RRd2FZcmeGdF++6cGJabpzH/YHb&#10;TYC5V5oZwAzA2QdorjrHFyqzJM0Bn+Ym+z8ZuIHZwzZeRYb/4vcys2JdKzK8Lm4vxrYivNdaf2l7&#10;8ZLm6Bm8mHkNUec2FwLZ3bnOT45wNnFJfn3mLQFgM9IcYqjScs7WNHSS8IBGCyj4w1V5KopyV3aV&#10;wENtmJ2CqIWU1OE1ufAU13aV8gr8rZj6cmjAQX83hpjp0HP5dXk+GM9RqdQdO3bgGkbKsIWkudci&#10;P/30k66uLqqZFE8H0zsDDTFQ3FmC8Ah/m4ftSE0+vi5n+4L0vlad2z1wcSt6sP9PQNehSjAAZWSV&#10;TFxSXrNHNhjNpu7pzvaW+5ZlPW4XQZ7BJv3hHG/34oyZvPDp3NhFE2JOb8q/29rw0ZGaBc3pRz+o&#10;JNiw/+iq/f26wMXDD5vFRvfMBpoTW3P08Elw3N7V79aVARwHAH48vqFsQXMqXPnujQZwihc0xMwS&#10;xM7mRxxYkfnzJT7aScd70CbasSjd0c7SxC1jONP3RhXNpl65cgoaxnrq57YUDWa6w6tzLmzJQx/W&#10;BmhLTUVxYnW0qw0tyMNs+ZSkqjxOX8xBqQCE6fpPf9zOjw+xQX9BYg63t7fjekbK8ISkudGXf/7z&#10;n87OSNhFEFNDDfDmxPoKAC1fMSVRRpqqoap0fH1Bb1fd12f4irIyy6fEwU83D5XHBFpJNuYo+jtr&#10;zmwu1NdWlVfSYvi+eBrtawIzlGdoHWLJok2s5ICLCm7jkw7UlOsS3L0hOrup4H1+ZGNp6LLJCWtm&#10;Zs+tj+0hRi3mzm2MxRafEWgOjrBCee9xifv893by5jfELnsvc+nE+IaSkNmCyAvbitBpJcj4A5hv&#10;X5ys3jY/tak8zIJpZGQTykSiH2O5fanFba+OZmZglZK6saqS/PZFQ8R/Bu7+4TxPUU4G/FArlv7k&#10;qpCPj1aB7z+pKhTzTPU0VY9/UAjN3s2DAzZRvHWF72xlhCkVjUa7e/curm2kDENImhtl+fPPP3Nz&#10;czF1VFaUu7C9WNIqge/bF6Zj2+BDAhUl+V1Ls2bwI7ycmEHuZtd3F4MPa8M29HNl/IIsFB9Q1cF0&#10;2r0kC64JtYgQYmiMYYL6aLp0551Li05vKpgrihIVBQmLQpvLw1ZMjjm6NuebM3V3W5uOry98vz59&#10;7/Ki7kFRKs9uLqR75sKlBtMczTNv/4ocycRQaODAfriqeEFz5qmNJfdam748VXtwZfayiTETK8JE&#10;RaENJcGLm2LAdd23slSP7sQYawuXCCBZNT0LWRnpRRNjwcbsV4CbyLPc2FtSlu4B5h4WvLOnkz+p&#10;OgTjOB1NlSs7S4fspYUTPzlWbdA3bTgwMPB///d/cZ0j5UVC0twoy8qVKzFFBMVdOyMJpSpJreVu&#10;fD/+i5O8qbVhYNAB2UFlsLc0udsi6ukAwwSZ+ZUd76YoL3vqgzxx9YCLwPGVUxPlZKTV9MyhFhHq&#10;1RsBM4RvwrRePyvpYTtiVfV0CR+1i366yG/dV759fioYcY1loVPqIqdz48EQI9g1pzYWAM0hLuog&#10;mjP1KdwzcNN7ePwVU5Jm8BPeq41sKA2ZVx+zZzEYO1W/XRWgC84EcHfwVdfNTKYxrCBXkpl8U2Bw&#10;6nVMXaSp1ImVwT0SnYzwBQXyQu+38CDn0+o4KMdRdDSUUY7rf3AC4MSj6/LEwelEIhGuc6S8SEia&#10;G01pa2tTUEB2tgepyPQaOKOiX1nRT/7y9+KBtoDp0HhzUaDx8BP4JhZ03Y1zkfE48Snw07zGaGmq&#10;tCbNnhk2rIhpYwNWcK2Wps7EqpgZvGhwJFdNids4M37jrPgdC5IOr87uOMS9srdu2+KSyzsqCFtB&#10;r5qWxAqsgisM4bSG1M1vipVMDOx/fU/F7qVlV/fUth6o3bskfcv7CZtmxq+eGr9sUuwsXuS0uuip&#10;dbEGevrMIOSabwkY4RN02d5UCpWb7zc4YOqXJ6qcrIziQu2hsQNtQTmubEg7ThJQULNFkRS0k45K&#10;pX744Ye45pHyXCFpbtTkyZMnWBQ5EE8H0wdtkpo9pBvC2zwvVUlBFk4BVa8vDfrmrCDSz2rBhFj4&#10;SZwMOG6mIBzsAh2GGzO8ccw7m56PZmOHmNwkr7ttjQ/b63+4wPvoUPWnR2u+O8e9eah6/7KsSZVh&#10;pekBiydlf3WiP5YUMHhxdgQeU2AQzQE7pMSHSE6Z/u509fymjLKMwKby0AMrsj49VvvrFdH357jf&#10;n+P9ekXwuLPhbuuEwmQPI7vIMRtXHSbAfTa0DqZQqOUZXsB0mCmHPRRw94GVucoKyFi8Nm7HvYDj&#10;AHA62IaJYXbYcISWltZPP/2E6x8pzxaS5kZH/vrrr8zMTNA8xPvQVP6MGHdsiD3eAVDhj6zNV1cG&#10;AxBpoWWolCm1YcBrYo1HOI4fDu22LtNzFFdljiLo4U0G1sE2ZkbgpW6clbTp/aQ105KWNCeun5W6&#10;dFLSljmp7Qd5u5YUtO/vX+V+66rAzDEYGwYdwmkFd9gx7Lu+5VNQjDcPVe5cXNB+kL95TuryyYlL&#10;muOXTkxcPilp6/y0jbOTZwtjbc1p+hYBYz7oPCxArgxtwigU6fIMz77Vr+KXW3dgRa6SotyUuggo&#10;HPHswhfit8t8c7oOqmxSvr6+ZCfdC4WkudGRzZs3Y6MKYHahq1b7lRI0+OLWgvvXh26r4ddzW4o0&#10;VJHVi1DhJftxxHYcwnGjFFn3dQD8aF1Ds32rSu62iO61CB61C3s6Rb1dwu4u0S+X+etmJNaXRayc&#10;kfv7NdxEXTMjkelfhp07JM2xgqoWNsVjtPiwlbd6ZnZDWeTqKQlwte5OUQ8SgE/4uEP4sE14v7Xh&#10;0LpSQxPzl4qKPMagc4DpwoHpKhCbjjBbiHtsfV6ol9mTQSHynwVMPS5tL1bs29aanDP8QiFpbhTk&#10;xx9/VFdH9nYCqcj0kjTHEGPkcKUlQ+/W1WfqMTho0cF2eYmuWA8OnPJPtIt6QVMM4qsyPRjIksy3&#10;ylclgumdqyCnUJDssWpKwvYFaWumJsxvjH2fFzG3PnrrvJQbB3gnNhRj8wGhYhdkcBiI942cOCTN&#10;gd2aivitSBn2dPKOrCtt2c/dMjf1fV7k9FrOPFH00olxm+ckL2mOLUj2VJBXYHhkYie+tUBsOutQ&#10;KkWaV+DfM5DRwHv9fdDCCQJAo369LDi/tQAKCjsChfO+MAJpV6Wk5OTkWlpacF0kZSghae5V5Y8/&#10;/ggICED1jWJnbkCYCXzvBt/dzkRZUe7khiLJHjdJ3Gvh1WR5SS6EACVeOyNRRlpah+H+NttxYiAL&#10;JJyTfD3sr+yp7TpU9dWpmnutwiddTXdbG6/trphcHdlcFY/Od0VmySQnRmJzg5ETiTSHsDn86u/v&#10;j3XP3b/Bm1STOLkm8sruinttE550TUA6Ac/XfnK0uvUANyLIheaUIL7a2wyE6ayCgekmVYWgDWG/&#10;AgwJKKhH7aLru0tn8MKDPM1VFOV01JUkJ1Q+7hCEeptjwxGWlpb/+Mc/cI0kZZCQNPeqsnTpUpTj&#10;kM1rLu8cMKUTtLkqyxvRQwoFfn1fGInGgOxPIAbotLg9h+/7V+QoyMlqGNmKrZ633JrD4ZllYW5W&#10;Xxq4ckrStvkZ+5YX7F2We2hN0faFebyiyF8uIh2U8HT84nDxIlxksVffmlZTrwLsMVlhgpKsUMwi&#10;BleXWxC+dX7ewdUFB1bkwjV3LMxc+V6CsCjAwoxt6pH1tg07PAeM8CYdppcMlbpscjwYcdjrFgOs&#10;vCs7ih60NXx3lrtxdnJ2nIujpVFcsL0lC9+ffwY/HEpP8pQvTlTraOBh6erq6nCNJGWQkDT3SvLd&#10;d98pKyuDkkGjOqk6VFJ3QSPPbc4P9jDLTXCTkUbUFP7FBln/fHHA6lRJwHHApR3FasoKarpmzLDR&#10;2T1rLMEIrDShm+1fXQGmHLA8GLBPOutb9lYcWFONRs2Dx+R+e7rW0cWNFVwDzqmeuU91DkJzUYE2&#10;yFAyp5EVXGdl5/bp0SqsTLq7hB+urb60o+xxBxJKE675pKvx+KYatpkVM6CCcPe3H/DIWiZOstLS&#10;e5ZmEjjrYTsPDH9tNSULum5koF1EgN3dG41dh6qxWExWLP37N4htJJTn+lnJiG6h80uuXLmC6yUp&#10;A4WkuZHLn3/+Kd4z39WW9mjADBIE3Z38h61IL9ueZVl6WtDqIgrJMNY8u6UICBHQM8iN/ex4lZGu&#10;upKa4VsyB3gEYIbw9Nle7o5ma2YW7FmGmGCnN+Zf3Vl0aVvplR3FmL/23dnasswAdzen+Ah3oDlg&#10;w+hAm4RwV083p6J0vy9OVkMaONiyp+zC1pJru4oubC38cEX2nqV5WxaWeDiZ65t5vsoeYG8WTE69&#10;qi5bVVn+0g5kGb/41cP3j49WgWd68wj3SYcgLshmy4Ks2GBkM19pKuXgqhzJxGKADRgfgm74i7qu&#10;//43GZNuCCFpbuSyYcMGTL3k5WSu7UY24iKooAS4X56q8XdjYT0p4MA2lodUZvlsW5AiTgOn/3aF&#10;52BpJKeo8VZNcx0B6OHNJq5pjnZWi5rj2g+U37kuetQx4d6Nxqt7qq9sLxKXCVDe9oVpqDXHB5pb&#10;/l7cU3RbCSxBx/7S81vL7rTU32ttvHVN2La/fPHEOFdHGxoSd+Rv0Bn3HEAbpqhmQDPQ+PJkTV9p&#10;IIBnP7w669OjZfD9xwtcK5YhaqlRkjj2Q041x/D16Vp050NEJk2ahGsnKRJC0twI5d69ezo62Nwl&#10;SkNp4LOGF8QAFnvYJqgvCZSRpmJmnb8b82Fbv+4+7hDEh9hIyyjQfUa4z97bBhannuaWoWfhb2zu&#10;bmrupqdrVJASeGh1/s1DlV+frPrtCr+nU7h9YWpf3xxCcz1dgltX+PDrzUMVR9cVVOaEGegbm5i7&#10;GJt76FsEmLhlwDUJd/mbghlYJaug5m5vKrmzFwYgu58vcqFtYJsgQW7UlBU+Pz6ADQmA9CumxGMt&#10;qLy8PLkZ2GAhaW6EUlxcjFCclJQ5XffuwE6T51Ae1Oe9y7OVFOT0tVU/P9Gvu3BKc2UIlSpNc0oY&#10;8/BBow90WAAdM+HgI6cAYCi6d6GRXZSBVbCWqZshw87L2ay5OgrrmwOa45eEBXhYGtJtNeFXq2Aj&#10;u2i6TyEzTISd/jcaahgm6J7Z0tJyOfEuhJjD4IdGB1i5OTCgOQTqmlrLIfTiEfD0JhKvNMCdjSlk&#10;SEjIn3/+iaspKaiQNDcSaWlpkZFBJmdSkU6TbEmdA4UrSXU/ui7vWV7Gk06RgxVt37JsCSeXu2dp&#10;poyMtB7b5zXtWvD2YRI9vIkZWKmmQxcPQahoGDL8S//uDunwAU9qZB9FpUjPnxBDILJPj1UjnbkU&#10;CjSi928Q47uIAWc97VtgA069Aj5hmLJ7925MUUnBhKS5l5Y//vjDw8MD0SYKJSncHutTF2PD7BQZ&#10;KlVZQZZfgATFlfwJw/0bdZvnJIt/ArL75GiVrqaKmp4ZYVOr8QgChTXTPTL7aM7WFA3N9E6BwZmg&#10;beqsKC97bmuRZN8ufN+7LEtWRnphU6zkcUk8budPqgwST1ECjeIX+qOuK8WUTn/69Cmur6SQNDcC&#10;2bJlC9q5RlFVkv/s2IBOk1tX+bZsg1ObSu5cF31zGn4awtcgaPODNqGHg6mcogbjjYaQe61A6Ns1&#10;1dYt2NMn2No1xNQzG9l3Ff0JC5KOOq0Sa1o5E0zdM6zF6d3TsXX+4xKMMKGSuiGLpv3LpQGNIpSJ&#10;qDhgzdQhtuVFwe3pEnk6MrcvTBNrFKifsR6+Gmfq1Km4vpJC0tzLyj//+U8ajYZpUnMlviAJAzSn&#10;vIIAXhEeXeNZjbAkQJV5BX5UqoypR/8uMOMLTUyvzNy00Es7SsBbR9eiio6uy48MD2B454HfSlgF&#10;gR2JjQo8vanwMZr+SWf9+a1F6YkhDK+c8dc9h6KZ4VcqI6eEDKcipll/lIfuDl7PwDWwKJB5lz9f&#10;5JZneFMpFLaJzt2W/q69dTOTkJEIKSkVFZXffvsN19p3XkiaezmZOXMmqkVSdEPN29f61Qs0r/1A&#10;hZKCrIKcDK/A/9YVXm/fT88G99CaHBlpaT1zfGOEcQOMj+ChzNzjty3MHujXIw0DuFqb56Vbe8YO&#10;sOa8C+28YnYuzhy8VqS3S7Du/TS2Z8o4GJ8ZCHxxi7FDLIVCXTElHi2fIZwADKBmj9oEi5pi9Pr2&#10;5KdQKJOqQ/7R1wfyuEMAzgHqbUgVFRXhWvvOC0lzLyEPHjwQL9FfPS1R0pSDmhnuZyndN1nExEDj&#10;g/eT+wLvDAHQ158uculGmipapuO1S47hV7R65oD4oCjwP8H4zcuMYXhmiGnO1Cu/qjhh8CooDJB+&#10;blMiU2K/6vEEevgEDSNbdRWFjw5X9PkB4oLi/nIJ+ezp5B9ek+tgYYT1mVCkKI6WRruW5lkydD89&#10;Wi1Of3x9HhqqkyIrK/v555/juvtuC0lzLyEikQjjOFCvxxJrHkAvty1ISwyzO76+yNnaGFFBVII8&#10;zFr2lIIP29vJ/+EcMrNfjJ4ufnacs4ysojgk0TgDmHL+QaFPOkRQOFBFb1/lnd+cd+uasBfZdVAA&#10;x1sPVLn6hjMkNjA09Srw9g/tPFTdF/pc8NsV/vkteXf7ZpY9bBO5+3LGnUGHgxXClVfUCHBjPUL3&#10;exOrCihPTIDl+6LouBBbjL9AA3U0VZZMjH3YJoSy5Rb4Z8a4YF0lAFCt6EBrTFGTkpJw3X23haS5&#10;4crt27fx5asUyp4lGWItBNy5xmfRtM5vKQTtfNgmmD8hWkddCVNH8GFL073qS4Nrc7z67Brkc9eS&#10;DGkq1dA2fLxWWjBRm6pj4EmhTH68UOfi4WvilsZ2DA0I4QSFcew9QkxcEhhh9YS+OUaYyMQ53sEj&#10;JDiM4x/CYTmEwVlePr630d38wNCrK45+O8OLvjImgacPD0uhSM9riOxTFRwXthbLyWBbQCAxIDJi&#10;PewtjO/dEMFPj9qFMcG2SvIyv14Wj93XXt1diqWnUqldXV24Br/DQtLccKW2thbTMx9nBqHzaM20&#10;eCqFsmpaAqad8Pnd2br8RFfxggc9TZUfzvenB400NdRQ1WUyOI3jtFt9ohlHuOy9RLQ06jbPTWH3&#10;7X4PVh7aEYmT+6BATFgacTLkT5Z/6cGVWdilZglj2OHjdtoNPbxJy8RRTUXhk77IBRh6u/h5Ca6g&#10;SoEe7Nb95d1d9Y5WJlEB1gubYtEVhMj+Sh8dLBenB8suPdoRVVep+Ph4XIPfYSFpblhy584dRUUk&#10;wC9FinJo9YDt9QA9nQJwWp0tjX7tmxMAFRJU88ymQltzZFni0klxcKTvJ35ZhhdVWoHhX0rQ8vEE&#10;dpho/oQ4rCiOrstlPmMF25A0NxDI3LrLO4rACoZLTa6NYo1fmgMwg+tkFdQj/K0ISyO+Ol1joK3y&#10;4yWkE6DzYIW8LLJZEmgj8iFFsWLpPW4XSnTn1XV8iKRBNJZCIQ06kuaGJeJeOTDlejqHmJUOivW4&#10;XUDoPoeDh9bmudmaSAYvOb+1CKw8fcsgpAIP0vJxAyZnQkV+FGbegiMfGBTIGGqk5YU0xwwTRXAC&#10;scGcp1283PRINJYyMdk4QrOREzgH1C3zUsU6gz47d9WUhM+Pl/d08iMDrIG8IgJsp9ZxrNn60YE2&#10;nQfLQdkk00ORZsXie6InJyfjevyuCklzL5aHDx+qqamBukC7+eHKAUu7Xojdi9PObSnAviNU2CEE&#10;1lNU0/87xpJ7WVi7hd1B59zAg398tMLL158ZVCN2RTFgE0qwIQgTbzx6MP4TsoN9ZUCg37dn8Klk&#10;P17kmruGixOMVzDCJ6jpmZkYatwmBtYHe5a7f3kWZsLtXYZErOvp4gOjDUyGo+1AuSzSbSIlLS39&#10;5Zdf4tr8TgpJcy+WWbNmoY2ilIsNrXsoU+656LfvoLYvmxxPkaKaumcQNHtcghlc21ARCZXwaVct&#10;PPud67zp/BgH9yC6Vy6LI6KjG3Gh1hy22AujOYTdWNAGeGY7ewbOaYwXx5KENDWF4cy+sMPjGwy/&#10;Eqq0nKg4ABoAsf4AnnTwHS2NQBXd7EyedGBhSp8JKLGEUHyrw+LiYlyb30khae4F8u9//9vICFEs&#10;aEA3zx3gRzxq5d66MvTOhIMBGvnrZa6hjpqGofVb7nbROc2sYC4rqOZVwMY+ncJXTUv+4mTNlydq&#10;vzhR88XJ2q4j/BUzstMSwmyd/fTNfQ3YnqnRLu0HqnxczfXMkCP2Ln4ZiWFrZuXePCKA9F+eqPkS&#10;Tj9ZO68hxswlFrl48IAbvTTg9LdjZ/7nolmH5amsIPfJ0SpJLgOPNcTLHFRxx8J08cFnAU68uK0Y&#10;3dJfSklJ6c6dO7hOv3tC0twLZPPmzaAlICya9kOkl1esRtwV78XP4IZJ2mvPATTLgqIAqrQ8M+Bt&#10;n+DKCm+UV9I2YxhZso0RsAZ+PgeDEluxja1ZhoNgAJ9WbEMrlqElfIE/2QbwHb4gn2xCShRs7BTk&#10;gvi9hsSgDEjCCv2k0/TV9dgE3/ntwyRmSJ2sglpKhAMhxPT1PaWKstL3WhskDw5Ev0L2dAn83ViY&#10;Ak+ZMgXX6XdPSJp7nvz1118uLi6YlswRRUq2q4/bhbZmBtGBNt+eqX1W54gkvjhRraokr8v0xOZS&#10;vM2DD8zwRiUVre/PC3u6AKJXQS/yWU84CECPD/5TiH0h/IoBOXjz1fMjvLC9VF2P+dbTHAIDG2SX&#10;3gvbxPGWAUjM/TXT4x+0PrNx/ehQ2dlNeWJd3b0kAzPoDA0N39kQ6iTNPU+uX7+O9vZKaagqEAJI&#10;gPYgP0hJgWdRkuZ583AVSnZD+LCgcPBTfqKbjKwyM+RvsIMBRnM/nOee31KQm+iam+A6rM/n/ET4&#10;lPwTAyGB+PM5Pw3+fM5P8Jnompfo+snR8kvbitT1WH8LmmNy6hVUdII9zSU3Kcc0SvJPScDxY+sL&#10;A9zY4nCHjztEZib4Fv07dmzHNfsdE5Lmnic5OTmYfpRneEl2BoPa+buy1FUUMaYDKpSRpiaE2Z/b&#10;WoDsCd8pOLMRmtP+9F2HKuVlZfQtAv8WM0jENPfBrBRNpqNBfJN+fPNYIGHQkdGDYfwEVV36+a1F&#10;l7b/bWgODH9jRyT6+dG1eYP7RsRMh315epN755pwxZR4c4aurDS1dX//bOH3heGYnvr6+uKa/Y4J&#10;SXPPlIcPHyopKYF2AIXd2DtgR5tfLnGbygIftDXsX5Hl787GnAIQ+OLjzMqKd8uOcxHPoXvaxc+M&#10;cZaRV2WF/j1GCSVoLlnfOYLWcMKo8TWC1niMVb3ZeNDx0YVJwzEtusP5bX8vmkPfhZqBnyurZ+Be&#10;/YD7rfhUEjDcWveXVef4aKkrYc4HSGWWt5gZf7zAU1WSR/STSv30009x/X6XhKS5Z8qyZcswjfFz&#10;ZfZ2DZiSDsAmvgLAdoPKk8ixB3sNUzIZacr1PaXilGDKKcjJ6FsGEjT4rYWkNYfQ3CDKGEUAuzFS&#10;J8kqabIKlxB+Gl1gNHfhb2bNIaA5JULzeWRtrmRDC75CZozj5nlpm+akBHmayVCR+XEgoIF6WirJ&#10;kU4sY61bV8TMyMuJx7qYKTweD9fvd0lImnumODriqwLXzUTWZj4fYLLdPFRZlOIpKyPN8bUU0yLS&#10;K5fkLiuvyvybmHKAsaQ5dvUmdS19USlHVY/JFOwl/DqK+PvSHJPToKiqH+Rh1j2greXuW56FxCvB&#10;BPlCMWcarZqedOeaALRu79L078/2L4w9tbEA8zn09PT+85//4Cr+zghJc0PLxx9/jJlm2upKt68S&#10;TblnoadL4OvMkmx4vzxZoyQvp2fuhw2w/i0wZjRn0nhM14EzoSy4t0uYEe1s6J9NazxOSDNa+PvS&#10;HMDYIVZamnpha2GfpiGexMN2IYuGjC2oKysUJrsvbI61t6RVZHl/ehQZDevu5C+bFCteGPukQ2jF&#10;NoDEIB9++CGu5e+MkDQ3tAiFQkwnCpPdxP7pCwE23fqZCRK7kNQJiwKkZRWYwXUExX2bMVY0d5Jd&#10;tsZIX+f2VT4U1BcnatTUddjcHYOSjQ7+1jTHDBPJK2klhzuAgomVrberbmpdmJMN7YcLPFDR+20C&#10;W3ND0FglBdmsWJcdi3ON9NTPby3ColhDCUNiTKXfwSB0JM0NIf/v//0/Y2NjUAgw505+kC9WrJfF&#10;rWt8XQ0VbbrL36xSjQnNGTeeMPRKaywLwloRtLPJmRZZ85rGIv7WNAcwsApRlJP59NiA4Kzfnqmt&#10;zPAC2623izuxMgQJWCJFWdAUt3NRhpsdDdyR3ARX8Yj/Z8eqsSB0CgoKT548wXX93RCS5oaQS5cu&#10;oc0esvIBjW/Tr1jQKood0hdiyaRYKlWG4VdCUNm3HC+kOZOGoygZnSQcfxmcZDYcVtVj3thbJi6u&#10;fcuztM3cgY8GJX45gOcL7jDh4N+d5lghXBlZJX5RANoq4O4FqOI3Z2o+PVbRshfbpJUS6Ml+0oFM&#10;suvuFK6amqinofLTRawVAeuvf0XEpk2bcF1/N4SkuSGkpqYGVAEaQ0EhplV4PQR8frx6Wl3o/IbI&#10;n1HtkURPV3/AL+TPTpG9hZGaLps++tFu8TAer2kW3outufA646A8Fv+VRgzYtVvBY30k0Yr8fEkA&#10;fitLdICQcpgA5gWwudsNPJOYWbMIv/7daQ4yDG6BvpbK79cH9BSf3JBnb2FsztADjVVTlv/oSP8a&#10;WDDx1s9MbN1bLE4M7S7KclKRkVG4rr8bQtIcUf7v//5P7LFe2VkiVhFA58EKPS1VdFRLyt7c4G4L&#10;D1QKeLC7S9i6ryLIjXlXQgVPbyykUqgmLikEfR0VgNLTw5sYSJCP0a+uL6Q5/cBCPR1NVR1TZvoU&#10;0xEaXycZeQu8nc2fSowe9nSJ6Ma65jWbByUeFugNR+hxIjUtAx0tDWbqJMKvY0Bzr/WlABi+RRSK&#10;9PqZSWIiA3R3CByQmCXIeNmCCdGSDS0K7E/84Ldn6hRkkZ35ZeXk3im/laQ5oly/fh2hMSkpM1Od&#10;J51IuH0MvV28+BBbGSoVDcqKaNW+FQUnN+Rz8/0crYxlpKlRAVbifhD4kh3nKq+kxeLUE5T11dDM&#10;DBMZ20VZ27t5eHoam1pomzgw7INptuEmrsk09yx2UCUzuI7FEbE4DYzwxr4qh4FwqWcCoTnl59Jc&#10;QEFtbtDRdXkWTAN9tziWYN8IHFhG2pREpE+9f60IeFWO1gxW6coRdM+xuDu0bQJcbU0u7yxNjXJl&#10;pjyf5ohrWiXtYhOJ7yjEpdcM5QmlygpvYHGEzOBaVmC5iXsWzSXJxI5Dtw3UMrajs6w9Pb3Mbd2N&#10;HeP7Nmzrj6D3ioC7q2iZ+g6cxQmUt7ApGtTV05H+pOMFUcJ6u/hBnuaYem/f/g4t/CJpjiiNjY2o&#10;GlBqc30lPdbvz3F1NJTPby/7/jx/Tn2UnKy0loYqBTPtEKGsnZHwtG9N629X+KpKCrpmvqPrVzL8&#10;ir3cnY6uy3/ULgIf+fY14eLmmOhg53Pb6lr3lx9alblpTupsUcyk2qjy7OCctPDYqDAf/2BX72C6&#10;tS/LKYJmH2nkGE/3yDLxzGUFVZmFcpkhAiBE4DWME7EYcMzwhhdYcwGFdbn+UDi/XeFlRDupm9iy&#10;Kze8LDcx0qYmcuwJNOdgSTcrX0NI+XwgjmrpChU9BrQ3D27wIVepUc4vojncmsOMLwZnAgvICxqG&#10;ED6UCSugwtQjl+6RaegQZ2IfyXLkMKx93H1Dff2D4mPCctI4lbkhk+ui5jbEbJmXdmRtdvuBisPr&#10;KyP8HTbOTrl3Q9jbKXzYJty1JNPRyYnRtwPGaMHIPhoa1K5DA3aK+OUST0NVYdfiTEkrb0hAggUT&#10;ojB9TU1NxTX+HRCS5gbIX3/9ZWtri5CWlNSJ9flivYEvK6fEl2f69t5EqiW0ilGBtpBGWUHW2dqk&#10;MMVj/czE+y1YYmTLgpVTE8C/YAaM5uaEdL+SxHDX368PCKb4tLPus+PVsYHWLfi6C+BlhJp7EXAh&#10;n8ga2y4h0OKta8KvT9e17a84v7Vgz5K0D2anLJgQN6k6sqEysjQrJCMpNCUxIsA/0N0n2NEjSEFB&#10;8blOa0FdbgB2o+5OwUxBhKqOsVnpquEzHaSkp02P8LeVnCEBWbVi08yrNxASPwfGjcdZ2bPVNPU+&#10;eD8FHhYuAjSXFuXMSJlMSClJc8oq6o5eIe4+QUFBwfDUmYkhFTkhjZVRk2siFjfHbZyTum9p+sXt&#10;Re0HKr85w719XfC4A2lUgIXhFuiwJlLO2FuAzyNr8pLD7L8/h3yXLP+fL/MCfV2YgdWE9/gqQAci&#10;FBtLA8U6AF/gRZekeRwZtEXJYEDiT4/XyKCzijU0NN6decIkzQ2QH3/8kYqum9HRUHrYXi/WD1Du&#10;mCAbBk1bVBJwbXfJo84JrramH8xO+70Fie0jafShaicI9GCDfzGK4TOZHJGXh9PdlgHdz2LcusZL&#10;DrPrOFBBOD5sQKXlAeOgNVn4qLOZpq/xImsOpzkAnLthTqqqthEwHSHlc2CaNdvPxXIgzQnZdEOL&#10;mk2ElM8CcCUza5amptbhtXniV4Bacy7P75vzcGR2dzVgO8ZCBlCLsv8Nvgy4pzYUZEc7P2gd+r38&#10;dJFrY+/I5DQS3uYroEmLZs+iaUt2pwDuXkc2q5Y8IuZBwIfLM348j/sZ0Cw5WiJbCYOSX7hwAdf7&#10;8S4kzQ2Q1atXw+sHSYtykvSnfr3MV1aQQ5UD6ZUzNdIx1te6sL0ctA3q1f5lmV+drBQn/vJkjZwM&#10;1dAuYpCOjhzGtpyzWyTjjhHx2xVufIjtTxeIx0cAeKiXojkAlNXGuWlg07ErPiAkfhbA03S3ZwHR&#10;iC8CNGdiqGNet42Q8llgFS5R19A+tj53YDMzHJpjSNLriPHJ0arUcIe+MO5EosSIZtv8dJpzIuFt&#10;vgpM3NIpFMrZzfgGIy8ElHBJmvfG2cl9R7j1pYEYzTU0NOB6P96FpLkBkpiYhNHcmhkD1rFumJ1s&#10;pKduZqqLaAcqwHZg+7NMdAqS3U30NX65hIy6Qkr4nFsfRaXKMoNrCAo6Ukxicuo5gW7g00lmaTC6&#10;DlXmxroQ9pAdAUZAcwAweOfUR6oZW6ITTV48ImFescbRii5Jc91dQnVVVUbdruGczq7ZrKZjvGMR&#10;su2L+AqAMaM5sOCSOfbfnSUeJwAcXhcXN3QsiPBaRwJ6+EQ2p15OXq0mx4dQ/vdbeHeu4t+h1Xnc&#10;Lrq2p/R9YUSIt4WMNDUvsX8xz6mN+ZgaOzk5/fXXX7jqj2shaa5f/ud//kdHB1kkKE2hfHUK1xhU&#10;mbjz6iNb95c/6RBd2VUiKg6wZOiJgy+BRAZYi00/ZFmrC1NNl0VHevSJajoy0L3zl01G9jx9Pnq7&#10;uCunJKyZniDpsIwAL0Vzd67WfnemGvve0ynIT3LTc4o0bThKOGUwzCs/sDGjgecovu/jjnp1NQ3m&#10;MKbjMeoPabLcJleHAbfCib1ddS27i7FmYGxoDu4yrTbswIpsAskOBiSYUB7GDKwivNNXQLO2qRPd&#10;SBMIVPJGG2Yllmd4f3S4BhQgI9rJWE9dGumDw7WUAX5uX/r7rfUaqgpwUEZG5u7du7j2j2shaa5f&#10;Ojs7EY2gUGzNDMCB+sfNfh36B9J1hSs0fHnSIbyys7ShNAi175AxVnHKb87UysvKGNqOosfabGgd&#10;/PGRAat8noUnHQJwo36+CN9fUP2eg5eiua9P17la07Ct9oBe71zj25oZM5KajF9kkbGrNrLpBpI0&#10;d79VpKH54unBxo3HaWElYKQ8bsd4ra79QLmDpeGTLqQvFd7OGNDcJ8eqCpLcegfFgBsSYD0ZO8UP&#10;eq0jh4lrOvgSl7b3z/sFfHWqFtmhGtHgfoEDeloqcSF2tuZGHR/iXbfQHEYF2GAJ9u3bh2v/uBaS&#10;5vplwYIF2Lsvy/AcRiuN4Nb1RiNdtZ8v9av7yqnxFIoMa/RmEtDDm63sPSSb7l8vc3cuSjm+Lrtl&#10;T9GXp+DP+nut9ZAAHUDgX9heIl4oOjK8HM2dqaNKSSWF2Ymd5XNbi1S1DNk88D2JJ0rCpHqLrqYa&#10;0pz03ffWNaGGlj6r/kNCSkkg00cq1mlpaWOrO+EV3L7Ks2HrG+urjxnNgeVelOzxyXHgC2Qg+1GH&#10;6O4N0S+XRZ+fqLm2q+DI6uy9S9PutfR37N66KqRZ+hBe66uAFSaUkVWCVlZ8CwCUpI0ZsnQfmE5J&#10;XtbHla2rqXpqY+mDVhFkeCY/YiEyeRhPPEcUgal6TU0Nrv3jWkia65eEhATs3W+bP2CjwufgYZtw&#10;jjACc50AoE/xoXbKGkaM0VvgxeBM4IT4YbMlAD9dqEsJd9i2ICMzxsnD0WxKTZgg37cmy7c0zbc4&#10;xbMoxas8M8iKqf/jK4xFvCzNqWnqaRlbLmyKBooBQGmUpHkaeqeYPDeqEkuwS1dH+2FH/3A2tBbq&#10;mgas+oPP6ZszaTyqY+M/gxeO3gshmqIUD1Nbb2N9rTGjua5DFdYsw/KMgOIULyjzsnTf6iwfUaH/&#10;1FqOg6VpRabX5rnpaREO91qwW3CBgBxcPLE5iaMCuJSGoZWjlbFkIwEPXpnlwzbV3bM089fLwL+i&#10;hFD74x8U9aA7C1/cXhwbZCNW1Cs7i7Epnw4ODrj2j2shaQ6XP/74Q19fH168rDT169PD3X0VBW43&#10;Qa272yLUUlfWYXsT9PJVwApvyEpE9qXHbtFcHtyOThyBGj61NnT1tAT0J4Rf4AvocXeX6NTG4hlc&#10;DhzBMvayeGma06Vbly3T1NL+7DjuWX93tk5LS8us+nlTQ8xE+3S0dcFRxU4BfHuGq6JhyKw/REgp&#10;CVbhYgZN734rXr2PrstV1TV1qF5rbKA9VjTHq83x+egoQl5Q2lDmaMkjUxSn1IatmZ6EUcmRNXnL&#10;+7pT4SdoqKC5IrzZV4GhfbSstDQ4qn25QnRj77KsrDg8JMnXp6rc7elqygp58c6QpcNrCnQ0lO/d&#10;wMvtUUeDhgrSPScnJ/fo0SO8DoxfIWkOl2+//Rbr2TAz0YaWENMGwN3rtV+eGO58NGQMi0Kle+UQ&#10;lPJVwOaIavMx9wSqlqAo2RtrnwHgJ6Zw7G7s69/cBAMkSItwBLYiHB8mRkBzwE3GwYVJ4Q5YdxXU&#10;NF6Bn6F3mvGzDTqz+gNa2np3Wvoz+cmRWiVNGqP+MCGlGCaNx3Ss/ZdMioMqDXd/1C5wsjZhpE62&#10;FOw01h8jmrtznZ+DbPQx4HTIz9G1uaVpnnAczVvdozZRSSr8iYy/w2dKtB8zfBRnz01kBVVRKNLr&#10;ZiRit8Pw21WhnZn+4w7g37rdi9OmcTlXd5U87qhv3Vuir6Via2bw1Ul8+QS8oBAvS9B2kDNnzuB1&#10;YPwKSXO4bN++HX3plMxYaA/7DbS9SzMj/a2h6Ybvkio1FLgTyoNl5JRZYUKCUr4K2BxhY0UYXB/u&#10;3t1VX57mJc4e4OPDVRxvc+A1Qt4WNEad2TTcqVUEjIDmGPWHWIJ9Kjq0y33BDr44Uauqoct+dtxz&#10;s/oPNTR1f7vSvzUfWKkaxlb0hiPPWk1hVrVBT0cLTGZIDGdtnJOsyXSG9Jb8HWPmtG6cnTR4x/v7&#10;rQIfR8YvF3GXEAB8V5LqgzmVvV3c7ER/sMoJb/ZVwAhvVFTVy4xxllQGuKmfC2uWMOpBW30vuufh&#10;065a+Pz5fFXHgTJoFMVFDV8mVASjCi81Y8YMvA6MXyFpDhcej4e+dMr8xihJbZhUFSJNpYT5WL5X&#10;E7pvefaXJ2ugecT8AgIQJXNlqeubjWIvDABojl8UjN3i3g1RVaa3+I6QPdDy4hSPfcuzxAcxgN/N&#10;Hbgmd/gYCc01gKd5ksapwKZVoxnjRQfZmiY0EM4Vg1V/UFFV5/vz/SV5bXeZFt3+WZNREO4LzKvK&#10;9gHWgFtDpXW1NaVnzICfLPlgzY0FzcFD5Se6YTwrcbBu2aS4yVWhkqUN3wuT3DC3AL5nxvuPrjVH&#10;D5+ow3BlGGlJjk1BTiZWh4BTYqCtGh9k0xchfWgd2LcsC1V4qfj4eLwOjF8haQ4Xf39/hOSkpM5t&#10;FkfcRxQ0PsSuNs9/z7LMGfzwtCgHO3MjcxPtjGinq7tLJNUacPuaQFVRXs8yiKCRrwh2eH1JegC6&#10;jhIIqKEifYA1B2jdXx7oziZMHoY/s6JdJLuoh4+RWXNwnM3bqa6pI54xu2lOio6Vr0nD0H4rnKKi&#10;TfvyZP+zXNxerMlwfBbN0RsOqxtaXNhWBJUZSbytWE2fhd13zKy5+63C/AQ3rPcNgOXkUbvQydLo&#10;+3P9yQCQpiTVG6M5aP/iInwZo7nkC4GRYwI0wB8f6V9+A7i2q7g42W39rKQvT9Sg7UH/TwR8c6ZO&#10;RhpZ12hiYvLnn3/i1WCcCklziPzxxx8aGhrwyhXlZX+73M8X0HrvWZL2sA2pEqDToLu9XcKfL/I3&#10;zE6xNTO4vrs/Gh38Ck4iRYpq6pVHUMdXBIvTmBbrj1UtoK3iVG+oNuL7AuDPADdW+4H+HrqnN5H8&#10;CAv9vzz5UmMpOEZMc7TG47oOoUsnxWLX+fUKX0VViy3cJ3muGGAAqhuyPzlagyUGnNmUr8F0Bj4i&#10;pMTArvzA2ECnb44rtybX1ygoH3Nvx4bmoEjPby1c0Bg18GDtodU56ZGOkgY+pOzuFILTir0paHKC&#10;AvxHMboqNu2cFVRNocoStp2DWxNawWehu6uBpq8OOi8tLT3uJwmTNIfIDz/8gI0/WLP0e9DaggFV&#10;GgTiI33HuQdX56ZF9q97hTSzBOHSMoqsUL6kRr46GJwJQQF+mLEGtytN9QKvGbtp3625a2ck1iNR&#10;Kwbo965FqdsXDHdmjCRGTHNAOvTkiRH++JqQ3i6BlxOLkTNP8lwx6A1HNGhW7R/2GyP7lqSqMF2H&#10;7JiDg6ZxIrQrCqd7c4aBWclKbOrJmNHcvIaIy9sHrCyG22XHOR9dkyt5EPDrZT6/AIlVBaUEubV1&#10;9Bz1QJ7gBSsoa5Wme2EvYjiQVGYoyQh/fJLw+fPn8ZowToWkOUSOHDmCve+UCGiW+5Wm80DZuc15&#10;4j8l8fMlkb1ZPyeC0iRxHJQ1aaPbMQeA6mHj5PkEHV1FyJQf0SFBDRhuXxV42tMhjViJAZ8dr24u&#10;Dx5+HRBjxDQHYHN36GprPeib8FGb62ccUjYkc4FzqmFiK2kRb1+YomMXNPh2ALiCvlvcgqYYSAbP&#10;+PmJGjUdYyYyww75dcxorjzd6871Af0Ad28I3W1pj9v7O8gwHF6Ts3lOCvb9znURzWI05xgBUIOu&#10;WcPIxtXWRHIlybMAxQJs+6ij/tZVhHmxI4KiAEztlyxZgteEcSokzSEyZ84c7H1Pqg4R01xvV+28&#10;hsja/IDuLmQeuSSDAC7tKLFh6YmnnkAaprGmNsN1tNaxSqCZZuX/40WkWoKLdHF78ZKJSG2XBOQ5&#10;Pcrx5mFkuoA4n0866/MSXMSPM3y8Cs0xGg6rGpiJN7JZOyNB15EzJM3RGo6pmdhLtiIb5yTrO4UP&#10;OQcFSEqT4XRyA2407VyUpm3tK97UdWxoDozT3Hg3AqecWJ/bZ7X1H4RX0FQWLF4W3ba/3MguctBr&#10;HQUYWIeqKCncvj6gW3ZIfHe21t7MUFlRLirA+h99LsjG2SmY2peVleE1YZwKSXOIFBQUYO97+4I0&#10;sWaA7ubEu1EpFHO6Xmqk43Re+MFVWV+dRpZefnqs1s3OVDJY04/nuXIyMkb2MQRFHBUYOyWc3ojv&#10;o/ioXVScgkzIwv4UY9v8VAL9QbXMi/cYTlNPwKvQHJCUrm3QlrkpGNue3VKgyXQaclQBUqoxXI6s&#10;zhTfd+3MJEOX6CGtOTDcVLRpX/R1NU6pCTP0zRSz59jQHJhCRclQnpIlz20oDYRrShxB0NMpKEj0&#10;AOsJK4QNs5PoXrmjGC29Hx45FCkKYceSIdHbyf3pEn9BU6yVRNt8dVcx0lMjJRUQEIDXhHEqJM0h&#10;4uXlBS8bXnnr/v799Hq6BA5WyN43kiIrTVVRlJOTkZamUsAxETfjx9fnU6SodJ8ioiKOAiYxAyqm&#10;1oVjNwJirczwuXON2ID/egVsjf5NOQHwHaql5NZZw8Sr0BwACAhyi9Xwz4/XqmrTwMQT/yoGSogB&#10;e5dmiO+77L1YA7c4IK/B1h9LsEdTU+seumQCyrwg2Z0WzRtjmvvlEpeb6y1+44Dem4KUcEdoeMRH&#10;MHx5srapr7sA0pdlBbDDBINe6yiAFVxLpcqtnhYveXco+ac3+zOJvQgMjzpEFqa691sbsD9/ucyX&#10;R3fAMTAwGN8RmUiaQwSLv6SkIPvbVdw5hc+7N0RaaopJEc5eTgxNNUXJyEtUilRNjpdkgIoFE6Kk&#10;ZRTYoTyCIo4KmOGNoYFgweHUtmtx+uAZqr1d/OxYF8ldZeERanK8f5EIKzBMvCLNGUfUoLEPkEvd&#10;uyFSUdVkCveLfxUDaE7fIUTSfJ4jjNRzTxzSwzWr2mBON8QsU2CoUB8rZs5scRCUsaG51n1l7wsi&#10;xH/CA/52VVCS4iFJfBgWNEZd2l4MCeCnJ531Dk7uoxhHWhKgGPJKmrW5fti7wACaMJMbhm1/AxkA&#10;8xMa7N9bRJ8erTm4OseCYfBJ3xyU7q4GEwMNaN9lZWUfP36MV4bxKCTN/be7u5tKRXYjpxtqdnci&#10;VQXDN6erZ/EjQWmAX+63iToPVmycndJUHiQqCTywImtgTGpuabqXooouc1TXLUrC2MoPLCOMO+7e&#10;4BckuWOTFSQxsSLoo8OVWBoAfJlRx+nsC78zfLwizTEzpscE2/XNgBGZGuma120V/yoGSnOhW+an&#10;ijM8vTZc1z0JpTni0n1G9vtBHnhEdXAGzehGZpXrx5jmDq/JWz+rf/NA+HJife6K9/DZM2IAv+TF&#10;u2JDRlBE57YUGY1qHGlJ0MOb1PTYHB8omX4rHhQjyMOsqYIzvyG6Mssr0t/agqmnpiQH7i001IBD&#10;q/AuTkjp68pGj0l98skneH0Yj0LS3H8//fRT1EST8nVlSW4bCno8uKGGI9hBsboDoEoHephp6JuP&#10;+jCrGAz/0sk1SFgOLA9T68Ja9pRK5gFwYEX2pv5Y2EgOwQ08vaF/tvMw8Yo0xy5daW9his2AgU9P&#10;RyYzb774VzHgsvqOCM2J7zu9TkxzBJykxQlz4lywyvy4o15VVY0t3DvGNLd1XvKHK8DF7leJmbxw&#10;8WALBijzgyuz10zD57JBZkoy/VnBdYS3OYrQZrizaNoDZ0Fx85M8UI3G/A9gt35HBL4tao7GNAdS&#10;Zse5YscPHz6M14fxKCTN/ffYsWPYm4ZXDi++T1cQYN9R9Cv3YHR31ZsaaWgzPUxHe24UCqTrGgjU&#10;2t5FHJnj50u84hQPgkH39anq+mJ/8Z+Q/81zoWYS14G9EK9Kc9ydulq4XQzlmRzuYJLULP5VDLDm&#10;9OwCdy3p974XT4wxcEsAmiMwHXIkqKC5KgRL9s2ZOlVNQ3R5GZ5gbGhucVPkmY3Z4j+Bc0tTPQgL&#10;v8CUy4l1uX8Dv/iP57l0K49RnzEnCQObcCUFuTvX+rMB730aNwz0GRhNTprKMNYK8bYqSfN6Xxi+&#10;e0nm+6LYunzxKkBucyW2spWyfPlyvD6MRyFp7r9r1qzBdKKhdCSzzAB3WurlZaQNbSMJKji6oHtm&#10;L2rGgnMglXlBY/SBlTliLoZa97BjYkFS/1Dg067a3YtTdy166RnCr0hzrPqD6pr64j5BXqE/Lbxc&#10;/KsYtMZjanTHkx/0b7v3wfvJBs6Rg605OKLnGLF6OmYicc9vLSKsCRsbmpsjiry6qz9gLzKQneDx&#10;pGuC2GHEgtRvm4/3NkJOhCXBTP/R3MRyMEzcM6hSlM4PB0Sp2bEw3dXO9Ma+srs3GpHpUJ2QQ+Rl&#10;gbYcX58XHWTXR3N1q6bFo7ov1djYiNeH8Sgkzf13ypQpaIMmtbBpwDqe4ePmwTIqhWLqlkFQwdEF&#10;I3yChY3Lr5fx+vmoXQB+3MdHa368wFs5JU5UHNJYGhbmYy0eqQDsWZyybvqLN5Eg4BVpjt5wRN3I&#10;onU/3ic4ryFafyhXlNFwWMPYQnKq84HlGRrmnuLZcGLAEQ2Wy7G12VBLAZtmJ+nYB0tecMxo7jq+&#10;GS4C8BO9nVgNJWFQ8h/MTPrtCv/KrrKKDK9uPBRV3afHauhWXq/VlAMw/MsoUtSDqwZs0gqs9x46&#10;A1TcCgLg+8M2QXmmtzVLXzzNaP/yLMyhzc3NxevDeBSS5v5bVlaGvmgpSQfqpXBsXZ6UFJXuW0pQ&#10;wVEH6HR5tj9UUUx9f75YKyoOnFbDaT9Q0d2J7DqaFeMMX8QZ27s4dcvcAWseh4NXo7mTYKZpmnl8&#10;uDITS7BtQaqOTQC4qOLTMbDrP1TV0MWmPWNo2VumQbMGliQMQQAhqumzsd0w4MGnc8MNvdPfOM3d&#10;uiosz0BWrT7pEFzdWfJeVWhTefC9FvzVdHcKkiI9mcG1hDc46mCFcKlU+RVTBjRmKMH1D0pggKxG&#10;+VnCm+X4WIiH2sDiw2guLCwMrw/jUUiaw2Ojw8s+u2lAb/2DVv79VtGDNpF4S6TuThG04dASiokG&#10;w9oZiVJSMmahXIIKjjYmmYY3G9uGHlqdi94dc0OQFrsPvMJkD8l4vHvAaV081k4rMJqBa8yK9/CK&#10;d3lnsaapHb3hKMGgY9VtM9DVfozOe8Dw0yWemoY+GiR9QEoz0QF1DW2gFewxy9K9TKK5kgnGhubm&#10;1Udc2tGvIV+f4tZk+va9BeS+2LtA/+Sump5kgmzP+npNOQCL0yArr9pUMWBfiCEBubpzXfAEmkOJ&#10;SQJfna5G9+Af59HSSZr7r4+PD0ZzHx/FY6sCQCeyYp001ZR01JXDfcyforvJJIfZmZvqutqaxAfb&#10;ShpN0+pCZeVVRjea5rPACG+0sHH+vC8cuSQgzwVJHvdu4DQHVW7D+0mH1wxwZ4aDV6a5E8YhxeIN&#10;Wb4+XaeiaciSSICBmb/Ay4ktObT9pEtkpK9tVkucfcKq3mJiqIMVOFA5x9eKnomEmRNjbGhuxeTo&#10;Uxv6x3M+P86tzsBpjoDLO0sZ1l6jtTfr88EIn6Ckrl+UQgzPNUwA8akoyoP+Gxoa4vVhPApJc/+1&#10;traG10yVkvrxwgBF2b+ywMxUZ/+K7Id9c25/bxHMaYhWVZI/sbFU7BSAetXl+8kpaY5u3MTngBnM&#10;dXd1+vE8cZltbxcvKcz+YZsINS4QLJsUe3bz8/bqHxKvSHMA4zhRZiwe2PZBm1BDQ4sp2DMgQeMJ&#10;WlRtcYq7BE2AKcQP9rJkZr0vmRLAKljk4ciGZgaeqKdTZGNGY5etlkwwNjS3fUHKh8v7uzV+OI8s&#10;MiHQHOTws+PVNnaOjDAR4a29JtDDm1S1GbEhDoO91OHgUUeDtpoy6L+iouI4XgjxrtMcvFojIyN4&#10;zSpK8pKTAx53iBzMDT85VgOKKz4IAGVaOimuDIn6309z2bGuKprG9Ncz030w6ICASg9XBzCUJNvw&#10;7q76mADb3i48FjZ8zuByOg+N9fRgADN3boC7OTbfBXx8Nt3AvHqjZAK4pr5zFGGP7aedddx8f6Og&#10;QoJ7S0+emBaNLx9GtqxWVTUXDYhhNzY0d2RN3gfv908PftwuiguC0kauIy7wzoOV9g6OzJDXshhm&#10;SADNaRrZejszR0ZzoDNsE23QfxkZmadPn+K1YtzJu05zf/75p4qKCrxmHU2VhxKLE1v2lHCQUcsh&#10;VOf3FqElQ08cnBrqVUSArboem8557R0xkmAG11rbOpzcWCiusa37y3nolKieTmHb/vL3RTFO1oyf&#10;JDYoGCZenebMajayTNEtvdGeb383C2b2XMkEzIbDqvrsG3v7e/Qx7FiUqm3pTRhsNQwuFhT6YVTy&#10;4wWeiqYBYVucsaG5a7tLvV0sFjbFfnKsGuufzY51+f4c3h/X08XftTSTZeXCDH0ty1efjWYduos1&#10;a8DG3sMHvCMnaxrizVCpv//+O14rxp286zT3xx9/YAE1jXU1nkis9Dq2LifIwxJzlDCIf7rbIqLp&#10;qotn6kIr6u9upqZnQQ9vfg1RmJ4HJqeBZh1YmuHfdqDymzO8+BD7jfPymqsifHwDTJxiWcG1NHNn&#10;cei34ePV++Ys67aqKOPNBvBORrSzSUJjXwJkFNWsZrORgc7DNiRvULb3W3Cb9JszXFVNA7awf+N9&#10;ZE2YezyQC5bg0vZidQM2YZhibGju2zO1Rha+zMAqmkNUSEjgNF7UsikZufGuP1wQXNlVkpngbWzH&#10;YY52JPThQJPuTjfS7OnCF+S/FKAcvJ0YoP8g33//PV4rxp286zTX29uLvWMrZn+AGsD1PSUKsjL7&#10;V+ZgTCc+DmqxdFK8qaGmePgVjthbGOkikebG1JrrQzMzqNrIJtSQ5arH9qa5JLNC+Zj7zOA0OTl7&#10;dr/8NoavQnOQGDxWVV16fIjtA3QxAJRefWmgcUixpCtqEsNP6wss3t0lmM6NxDYuAI/bydqEVbBI&#10;nBJoTsfKe/9yPF7TZ0crXGxNNdlurOpN4guODc3dbRGYWLpjxc4Ib2IF19GcE/RYnkZsNyO7CCay&#10;omusFQBrVg2sgzVVFbu7Jjy9SczzCwGvgONrgVWBcbys9V2nuXv37mHv2NnGGFuGieFRu4huqCkr&#10;Ix3qbfFeTdi6mcnb5qeunpZYlOIhLyudm9Af8gjMfrapri7rNa30Gj6wu2NBzZBPBmdCWCBxQdhw&#10;MGKaA95hpEzW09XZtzxL3DzA56LmWH3XOPHUORqy3arfxtnJWIKvTtfqa6lg4YyApOpLAg18M8QU&#10;Rm84ompo3tYXIAtOedQumFrHUdEyZpWswJKNDc11d4kcnFyx8dOBZvubfO+QEyPbcCU52YftEwgZ&#10;Hg6gdYkPs8OqQFtbG14rxp286zR3+/Zt9BVT3O3phN6NrQvSpKnI1kcE0VRT+uhw/9z9nq56cBl0&#10;mKMf7P8VgWzXH++BUclLYcQ0xy5ZoaWte2kHEoMIuxSQDjQeOxbnaFn6imnOjLdLQ1P7V3RrITBA&#10;Vk2No1KksLihT7tqL+0oUdVni0PUsesPKqvrfnt+Arq6A/dte7t4y6ckquoxWdxdkMZCADT32rej&#10;hpuGB3uM7ub5owJD20gFOZm7Lf1dLsMH0FxatDOm2NeuXcNrxbiTd53mvv/+e+wd+zgzJZdJoRrA&#10;2zQ3VUdDCe28Q+dQSkmxTLTPby2CuiRO1tPVYKynrs30IijfGwcrqHpCRag4n8PHiGjuML3hqAbD&#10;ccXUBMzOBab79kxtXZ6fNdtQU0NdjWZjiixvQE43jRUkhNqjybhg9EUF2mgbm9fm4UHTnnQIrdlG&#10;rMIlWGI2b5eMrIq+rpajlck0Lgc8RyyTcGJZhqeBRwKt8fjY7NMKT5Sf4sMOH6OZIsMH0JycjPSt&#10;qyMZgoDiSo9xwXT77NmzeK0Yd0LSHE5z/q7IzKyBGoDg10v81dMSavN96/L9Ns1NuX9jABUCuoHm&#10;9NU1maO8p8mrw8QzZ/2MBEJuh4OXo7nTdaq6pqz6g6ycOfaWNCyuJ1SeyzuKDfW0Db1TWaWrLIW7&#10;WWVrTBqOg49p2nBUk+Gwb1kmZvH9eIGrrqFjXzSPYSwevOZOqQk1cI/H7msqPMiuXG8p3MPMW6Bj&#10;G+BsY/zTRfzVwLlaWtpmdVut+NvHhubeqw1jvOal+COAvk20nIzMiGkuLxGL2iR1+vRpvFaMOyFp&#10;rp/mnqP6WL0CEI4DMGvuLaQ5Q7soMDwJuR0OXtaak5NT0DFzVtY2nteIBzIDm4ttqs9MmkBD9qIe&#10;sECVXbyMQdN91Ibvk7C4OUbXPgRZxk+zPrYeD/f41claVQ1dFn+35IkAsAcNPJMTw+yxjj8wt1Mi&#10;HBQ1jZR1Gcb6GmNAc9vmp9Dc0gjl/MbxqjSX4I5VAZLmxq0Mk+aeg7eQ5pD5w+HN+iwPcTiTl8JL&#10;0dzDVu6pDXknP8g/uSHv1mV8b+mt81K0zT1N+zeWxpnOpPG4niNnliAczgXW6O4UOtuYsrLeByuP&#10;FlEl3ob1aScvNdLRJKJSPBAhvghbuE9ZXffzE/gy/m9PVV7emn95W37LrgJskuProzlA6/5yA6tQ&#10;Qmm/cejbRL0azZHW3HiX5/TNDQZmgBCAOa1vW98cPbzJ1sFNcuHt8PFSNIdhYMlwG0uDjALyBp51&#10;EjiLXbFeW0vrtys4xQA/qhqYMeoPIz/xdqpr6nx3Fr/UhW0lKlo0lqh/Ah0GYCsdC8/DEvuBEfBa&#10;aQ6sVJq5G6Go3zhGq2/u3LlzeK0Yd/Ku01zfSKuUuz0dm7X/HEANFEN8EB1p1dJhehKU782CEd4Y&#10;F+YpnvXyUnhZmusrEzHrcWfwOAZeqeIg5hjAlNN3imwqD8FKDxqVmCBbkxgucByK43pusZOrQrHr&#10;9HQKOL5WJlF1Aw06rGvP8dQHyO6u2HUgPQb01sifr43muL2dQk93N3r42zXYamgTgYy03qiXVMth&#10;AoqLHGkd/9I/b87a+Pk0Bzr08eGKI+vy9ixLPy+xiXJPl8DMVFeP6THGSyCeD1ZIHb8wcAR6D3gp&#10;mrt1hcfL8+fmBQA6P8Rnt13aXqiqY8oSfSh5Frt4haG+zm+XkQFWSHNlR4mKjgkL2fQLZ0N2+RoD&#10;Xe1bqK0HOb+4vVhFy4gtGLB81axyvZaGxp3riN0NVXTv0gxubgBgclUYNu3xtdIcXDwz3pMd3oAW&#10;8mvYd3VEMLTlvNq8OXusCpDz5satPH36FHvHlkx9yVUQTzp4nx+vPb4+97vT+BQ5qHhrpifQjTSl&#10;pCgZsf272fd28Rws3+AqiKFBc8/cOLt/nflL4WWHIBSVNQz9c7XMvWvz/LBi6e7iJ4bZ6TlFMesP&#10;YuYYveGIlpnHwmZ8w+yeLn6kPxhrNZKXBSbStQ+ZxsV39oGCTYtyMg7MxybcwXXM6naq0+ym1IWJ&#10;l0x4OTH1XWONfTOM9TVf9xAECu5MfuTrjnv+sjCwDtZQUejuahqU2xcDiivMh1wFMd5FYk2rpuSa&#10;1is7CqUpUjZsfbBQQBWgyvUiOxnyH7QJS9I8QrzMsZqGKgovwN1cVc+CoHxvFgZWwV0HXzo2CYaX&#10;pTls3hy7cr2ujjYWzAro9fZVflywjZqhuXFYsWl8vaFHgrMN7VEbZnDVHVmTq6bPYg7qemOXrdLX&#10;1f75Eu5rf3GyRlNT0yQ43zSh3iggV1nTsDbHt7sTt9rOby1S1aWDzTg2qyAAaM5zjB0TCKX9ZtG3&#10;phUeH9fJ4QNU2otc0zru5c8//1RVVYV3jEQoaeu35j47Vsmkad+5Lrrbws2OcYoMsPZ2YoKvCor+&#10;zRmujzMDdZGwKs2NxCKUvDXWHOSEaeUiydovhRHR3CFa43ED98SceFfxDrY9nYKj63LBxIODjWXB&#10;nx3F7eKH7QIHK2Nm6mRCvxuA1gAXiatDrELEt4WyPbelkFfon5PgKioJvLyzGJtKAhe5f0Pg4UCn&#10;xwrgImMzPRjDL5f5+uw3vrCvH/CudeguNmyDFw6gDQk0Qokx6D8ZoWQ8y8B4c/2K8ttVkR8yxYTX&#10;3cE7tbGYZqC5Z1luD7JDUt391npHCyO08URSQr3KjnVD4s2NSbTY4YDJaYwK8RhxTR4ZzRk1nmQK&#10;9qoZWU0oD0ENLrFlAV8w4Ndv31+io6lqElIkXvAvBou/x9A1hm6oceeaZOaJV3jQKkiPctC2DUY3&#10;jhijNa0YgBfc3NzenncNOdEwskG3GB5iuAlrEp4DUGMzMt7cuyDi6ME/ne+vSI86mhzMDbq7hGA+&#10;gGbHBtte2lUN3PflKe6upTkGWmoP2/ppri7fT15J840E4RkSjMCqpvKRLPPCMBKa69s1lVW9WY1m&#10;kxHl/M0ZpHNN8rIS4H52vCbYy1yT5cqq/ACz6UwbjjHSp6jqmmbHu3x3thZKVZLXMDztrIVrdh6s&#10;9Hcz07LyY/aNTowlzUGu8pN9WJy3ZckX0JyqNiMuxB4tMUJWEfQiRjHvWb8i0YPVyejB74D4+vpK&#10;ITuTS2F7RwGgDXxys96CoQcVJsjDwtnGVF1VSU1FUVlBFtgQUqooyt253l9PpnPHbi+I4cDIKf7w&#10;6v6Nk18WI7XmkJ+As4B9DL3TtLR0CpLdty9I6zhQ/uXJmt7OAdUMSvhxu2CWMFJdS5ceLzKv2qBj&#10;E2jFNjyyJg/aFcmUgJ4O7ucnalr2lHzwfnJSuIOqhp4Jp5wuYQmOLc3VrZoab+KRQyjzNwV6+AQl&#10;Nb2SNM/BRNbTyT+yJqciyysp3L4kzWPb/LSHbXhkaTHuXBcoI3tBUMi9IMa5iHf2OrOxf9+m3i6B&#10;FVMfjg8lCCd+e6ZWnHjtzGQpigz7te/sNUw0G5u5iafgjgCvQnMYaI3H2bVbaeGV2pa+Shr6Xg6m&#10;PSitQFV81FYv7kWCP6/tLnW0pKmqqk+sDLnb0p/n3k7Bo3Z8ItjjDqGpgYayFk3XPpgWw2fzdhM6&#10;9caY5j4+UmVgGTCo2N8MWOENsvJqzZXBhEzeucZLDLPHdu1CBVFaV1vjT49VSjLd16dryJ293gkp&#10;Ly9H9WDAPq3Y+KminAzbRMfDgR7ub5Me5VqT69tcETRLEG5qqNl1qD8W0/F1uRQpiqlvMUEF3wiY&#10;4Y2hgR6SO2a9LF6d5sQ0ZNJw3NAzeUptGJb49+sCYx1VTwfmqqlxjzuQHEKVu9fCh7qHjVw/7aqF&#10;P2eLIh2taPZm+BQfYK70aBd6vEAcyomAMaY5yJWdg8tb0j2H7NMqLb9yapwkeYFFnBOHr20AEuvn&#10;OimKmYn2r5f67b4b+8qxXzkcDl4fxqOQNCfedZ8yvzFS/Pqf3uTGBNtf3lUFOo12bWC9Gxjqlk6M&#10;6/qwf7rGzUPlVArFxD39bZghzPAvn1g18o45wKvTnBimDcc06Q6nNuZjlfDDlVladHtW1iwNlkuY&#10;t/ntq/31DQBpwEZ2sjbRtvazyJ2trGHwxQlkkSwcn98Ype+RYPR20NzTTm5Jui87lE8o+TcCZNd9&#10;ijRh1/2Pj1TKy1CLUjwubi9q319yZWfx9oUZvAJ/Yz0NCoUyqQpfiALYvzwbozly1/1xLmvWrEFf&#10;tFQ9srWouOJxT3+Qf//G0J3oUJdQRcET/95SLy8jbWgbSVDBsQedM9HINuLc1gH7ar8sRpHmmA2H&#10;ldV0f7yAF+PEymBDv2yw9Rj1h/VcItMiHTFnFsOTdoGPM8s4MJfecMSk8bi2hfe+Zfja1ePr8zWZ&#10;ziaNRwnXxzDGNAfYNj+V5ppKKPw3AhP3DPAkOg+WQ67E5AXGcmSAdXcn0hMHBjL6iZTMnWvCMB9L&#10;P4lh2ZVTYjFrr7GxEa8P41FImvvv8ePHMZrLjHVFTTZcV4aP7q4GupGWNsP9jU+nonOazK1dHkhM&#10;ABwBRpHmLIV7dXV0sAmJULXA9zRNaECX8Z9kCfer6jEubCuGn/6J1sOt81M16A7Yrl1AhQaeyWL7&#10;+osT1cpaxuLAnASMPc39fJFnyH7zrxsyYGDNUVKQA/7q4zjkpczkceYIo8W5RXATITv4cnZLob2Z&#10;Yd/jc5srgjGaW758OV4fxqOQNPffTz/9FKM5XxfmyLS/t4sX5Gmurmf+xmcIs8IE6TEjXLEvxkho&#10;ruEQENNgsKs2mhjqYxOVoZQCPSzZ+fPhCuivx40C83gF+PowyHNKhJNpnEh8rlFoibDYH8vSnesC&#10;dU1ds/oPxb+KAVcbe5rr7RIE+bky0ClEb7Snolmb4caiaYtncQKAztbNTGgoDcZeEAEXthbGBNr2&#10;lTk3K84No7kjR47g9WE8Cklz/+3p6aGiez6YGmp2j2jlAKhLWbqXooou403HrjBxz1w9LaGvYR8h&#10;XpLmuAqKqnqucTpuCYOhaxdKN9TFKmHPTb6XE1vXNhD5yRWQqG3uGRdih5Fyb5fQwcJEx8pfF/kJ&#10;gSbDsTrbB7vL/VaRloa6gUsMfuW+NBgMnCON9TW7x5DmoIQnVYe+8UjC9PAmNV1WuJ+VZMMGefvp&#10;Is+Wbfj5cWyCVP+UgJ5OfnGK+7qZiZiGQCGAA4vRHDT2eH0Yj0LSHCK6urrwphXlZX+78kw7CDQD&#10;lOnbM7Ufrsxs3VtGmN61YEKUtIw8O3TstlsfDDArjM29vj7Vr9Yjw0vR3N3r3FVT41ZOjX8Wts5N&#10;wcoKCGjvsgzCr4dWZfVZFvztC1JXDrzU+a3IPjgAqJ8bZiWukPiJgM1zkrB5KmNDc4BLO4oMrd9w&#10;iE1meKOckmZtrq+k4QaKunZ6ioGuBt1Ia8u8NGzpTnenoPNQVVGKR2yIPTbGDXjS2QAvGjRfVlb2&#10;8ePHeGUYj0LSHCLe3t7wsqFRa903oCu3D8jiSsCqaQlK8rIUCkWaQi1J9ezuUxfAiQ/yKFJUuk8h&#10;QRHHEszwBl8vl5GtbZTES9Hc24Yxo7nHHUJrWycGuiXumwIruIZClV09LV4yY1ACV3cUAPXXlwTl&#10;xjk9agd94E6qCFZXlpemUJysjB+0Yu0Bsj5XQU4GNN/AwACvCeNUSJpDpLCwEF42yLb5aRLqUtd+&#10;oHRxc2xJqkfHgZIvTtYoojqhpCAX7m+tqaq4Zlr/hjJACnIy0kb20QRFHEvQ/UonVYeBlotzNTKQ&#10;NDccgGlfnObLQuaEv7nAcx5Z0Lhe2Vk6MGPi70jbjL0maPy6O+t/uyq8ebCyF7XvAFd2liD+qpRU&#10;QEAAXhPGqZA0h8jcuXPR1y01uap/NjmoyJoZyUoK8nX5fnev82YLI8Dgo0hRVk5N7O3i7V6alRBm&#10;J+aU7q56lom2NsOVqIhjCEPr4Gu7S8T5HzGGQ3NRAfbb5qcODyl3ruJXvnOlFv7cOj8VgP16ZlMe&#10;VobAGuDAis+CBPuWpot7Bj45Uio+5UVI83Y2Z6a8dpoD7FuWYewYT3gLYwkDqxAVRfk710Zov6+f&#10;lYSpfUVFBV4TxqmQNIfI0aNHsfedHO4oZi5oFVv2lEX6WXV3CqC+hXoj0QeVFeVuX0WmI7XsLY8L&#10;wUesAL1d3KRwRxVN2pvyYhicCQ6Ozk86RrIhAAEvpDl6+gwDl8jhwNA5SkXL6MCKLOzKv14RysnI&#10;0JzDsF/1zN0iAqwxxuntEloyjQztA7Cf9C3cXW1N+zr16gRF/pqmtgYuEdivL0IUu3g5Ic+vg+bu&#10;XBcyLJzf1PA63FfD0MbFljbSbgoulCqm9suWLcNrwjgVkuYQ+eGHH7DgmtasvgVGNxFV2LUoo74k&#10;EL78eoWvqiQPCSL8raCGgGJVZ/subIoVOwjwZZYgXFpGkfWGJsczg6pr8gLEtPsqeCHNAYwbjw8H&#10;yLmBueJ51z2dAjsLY3bRUuxXVsZMlObwkVZLlrFFNRKwBPk1rKw8w6sXzU9Pl8DHhc3MmYOd9UIY&#10;IZ/EDL8OmoOcp0Z7sEIFhHcxNmBxGhWUtcozvEfWewCZD/e3QllO6sKFC3hNGKdC0hwif/zxh4YG&#10;MuSEDrb2V4BPj1ZZmOpunZ+RFuUE7ipgzYyEXy9xgeNkpKkZMS6S20ec3VRIoVDpXnkEdRwD0NHt&#10;nU5tyJecPTBiDIfmho2TzLz5rnb0HmSPMaSrSFDob+Sfg9FQH831WXMsY/PqD+AUZF8bpvPepfgS&#10;iB8v8NQ0ddmCvQOv/HJ4HTQH2DA7+U0th2AGVVEpMutnJhKyJIHn0V93VwNNXx10XkZG5u7du3hN&#10;GKdC0hwu/v6IAQ8W3dkt/SuloMVrKA2kIvyGiK8z42GrYP8yYD3nGTzOkdV4oE0Md64J1ZTk9SyD&#10;COo4BqCHN1nZOj1sGwWPFTCqNHeCJTqoqm188zAS6QBs3tZ95cpaxthuOM+guRPsinUGetr3WpDH&#10;gVPWTE/QsfE3ecaC1mHiNdHcz5f4NAu3N7IcwtgpUZpK/eQoHj2sD0hb8usl3rb5qfMnRK+amvjx&#10;kcpeZEU28qvY+QB8fboWmmrQeRMTk3EcaQ4TkuZw4fF48MpB5jdGSmpDTxcStGtCWcC6GQn30EhB&#10;8CtokmQaDL1dfH93lrqe2djHrmCFcEvTfUfFYwWMLs2B4WbolQp+a59zKgjxsjCNFyHrvYaiORoS&#10;1CRJVByIPQ6Uf4C7OQOJqD5gO8SXxWuiOWCQuHCPMY6yCcY7PbxZm+7Komk/7hiwsA8Kecu8VG0N&#10;JWwIFQS4LDfB5c71/vYYw75lWViC+Ph4vA6MXyFpDpcdO3Yg75wilR7tLN7O5iWBrBCUkVMe+/ia&#10;hg6xh54dRxMep6dLhHbnD8HOgzGI5l7JjAInlF2+1kBP51Zf3POzW4pUtGks/p4hac6sfK2Ots73&#10;5/BXcHVXqYq2yeDNcV4WGM2d3/ZyNAdUC7yMlh6Sn8Gl97SzbtW0BFOPbMIbed1ghE9QUtXLjiOu&#10;wv5wVY6cjDS2sEFSQr3NsP2GxGgsC8R+mjVrFl4Hxq+QNIfLd999h41CsGla3RI7GQ4fUAdObyqg&#10;UKimnmOq9GA8sq2cH7QOkedbV/kLJ0SVpHoVpfgUp3hPqQ6VjDX2LIhpbv/yLC22m0nDK9IcQjG6&#10;9iEz+OHY9cHiyE90M3BPMMuYTqA5m8rVmmz394VgUCP5BIqJD7GncSrQgQXiZV8K9IbDavrMjgNl&#10;w6e5b8/UNpYEFqV4Q+lBGa6amnDvBjH6LgAY2dh8rDcjZwVVUSgyayU65iBjj9qF5nSdhDD7LfPS&#10;dixKn8ELjw60UVGUw7qVV02Nk0jMC/bE9y08e/YsXgfGr5A0h8sff/xhYGAAb11WmvrViNZLgZ7d&#10;uyHU0VDWZfuM5XJuVig/N8mb0KqDHu9ZkpGX4Hp+a9GTDiH4Vj1dgss7i2ODbM5tKcL8x2fhSacQ&#10;aO67c3W/XeHr6mihA6NE1nhJnGSXrdbT1fkW2eQBKahfLvPMGQYM57CBNGfEcgsPcGeL7Y4TG/KR&#10;LasH7kg9MrDy5lkwDB53CC9sK/J0egHNgae8f0V2fIht16EqoFowhB+3C4+uy8+OdTm1sYBQ1PBr&#10;eJDbGO8EYmgXJSst/fXpAYp6ZE2unyvzSYdIzMXw3n++xJtYGSInI8PxsRS/94ftDZqqCqDtcnJy&#10;jx49wuvA+BWS5volMTERXjw0fFvnYWshXmz4EABqlBBqr6xhNJZr+I2dk3YvSZese1CH5zfGzBZG&#10;POkYYH3A98+OV9MNtRtLQ7C9UCV/FQPqracD/cDKbPDUPng/RUXLkJk727Rh6FhvwwTi+fpmpEc7&#10;90VLr7u+p1RTVSkiAJmgg95UaMU0pBtpfnkSCaUJuNcisDM3YqRMfEWShdPZletVdenb5qdBKS2d&#10;FJ8a5USgKhTIETj+9ama6pwAc1Odny4OSAN5ftAmaCwJ2Dw3WbKdgFMWNceYeuUS3svrA9jvGoZW&#10;zjY0dPy6P4cTK4PBFSXoLWQbyG4qN9zO3EA8MeDKjmLMrXV0dMS1f1wLSXP9smjRIoTmpCgjnosE&#10;Z62aFg/eBDOwkqCarw1NdAvnuy3icGNIrVs9LWFhUyzaGSfOGA5grvriwH0rS/j5/munJ4KbQ0gA&#10;gEutm5nkYGEIVAj1ee/SLJaJvpaFFz31PSYaConAI8MEU7BP1cB845xUMaEcW5eXFukopjk/F7OW&#10;vaVwHK2Z/Mosb137UNOGY3DuCG4KpyAEJ9xvElGtqqW/YEIUXPPWVYEFXffgqpynnUM89f0bggWN&#10;0RPKgtfPzlnUFENIgAEuMqkyeP/ybMin+CCY/4bm3oNezesCmyOUkVVqLJOMAouUJ5RYTLBND7pd&#10;NwGXd5S425uCZQrf4UlnCSJQlpOqra3FtX9cC0lz/XLz5k3s3duw+9u9l8U3Z+vkZWUMbMIJqvma&#10;wAoTpsd5iascaPDV3aVcZDvnZzplV3YUzeSGQXU9vaGgIsPn2LpcdGttyTTcnk5+TY63NUvv+Pq8&#10;nk7R3RbBupmJPi5MVV1T4/ByNm8n2ln20kOfrOJlWlo6LXuR+AjYjb47U93Hejwwo8Tf181KVtFl&#10;sHm7CFcYJmgNx9l1242DC8EUjQ60vbqrBCyaHy9ww7zNC5Lc4HmhoPrygBRad6dg58L0qiwfsDGB&#10;C+pyfb45jRuVg9HdIShMdPv8RLX4ImCiBvuNnd9q4poGjfGl7UhEUklMrAqiUincAv9fr/DhecXZ&#10;g7ZtTn1UeQauJ/BTZIANpur79u3DtX9cC0lz/fK///u/Ojo68O6lqZSvTvVrz0sBqpC/G1tVhzU2&#10;q75ormmb5qaI7/6wnZ8V4/K7xOaKGIDUxFR4v7WhJMUdc7uedAo2zU6uyvJt3VsOzChZ+aG2b56X&#10;amaq42prsrg55vZVYXeX8OL24owYF1V1bQOPeHbFWhPE1HoJsgPXlZk0wdRY97Nj+CYPknfEAPk8&#10;uDpXXUufVbLiJZn0JJhv4FyzS1fqu8aoq2sVpbi37a+AB7l1lT9bFGWip16X54tG7BDfCymZM5sL&#10;KjO89y3LwugeOCsv3g2LXoemAetyQFcmnPXDeW5Bopuk3QT2EWNM9jyic5q1aA4MY+0nA6eSAK7u&#10;LKEi42gUDVXFtCinVUgkq6Jru8qXTIrTUlM63xc6/16rSEMFWdIjIyNz7949XPvHtZA0N0CSk5PR&#10;Rk5q9bTnTC5/PrgLm6IpVFlWcA1BQV8HjM3cf7ncT0+rpiTsXZY5mDs2zEqaUB78+3WkWkIFLkyC&#10;hh2lQnRN24NWwcIJ0bz8gI+PVBKq9OMO4ZG1uQmhdgZaKjW5Pl2HKsHO/eZM3YSyIEM9LW1Lb2bm&#10;LMYzYpcPCbCzTMIrLBj6nx7D7bi+T4Q+4O4HV+Vqauuycue8lKMKiZn1hxmp72mx3UyNdKbUhgET&#10;AcF1Ha6qzfWFzKeEO1zdBZZa/9MBwbXsKavL8VszLfExzn1IToDsCpLcsZQ/XwJP0OvIGnxNrgS4&#10;SyfFIs5v35Gbhyv1LcZiV0MWRyQrD+9iQIw5DPBOC5PdMQUGQQgP3WcdqC8jxqm3j5RPIkHDEHF2&#10;dh73E4MxIWlugKxduxZVAKnUCEdChR8+vj5dKycjY2jLISjo6IIePpHJaYgI9hD7pw/aBIgZMlTX&#10;zLG1OdyisLI0r0s7Srq7RHmJnpJeLcov3N+u8GfxIyeUBX95skZs+vUl4H12vFpQHEDTU4v0tzqw&#10;IutRO3iyQmgMnG1MVQ3MTGLq2IK94mkfz2cosAFNwivpNP3LOxFfUswUYEatnp6krq3Pyp07vBkk&#10;iK2H7AnL3UkLK1PVZXg5McG2vd8qfNwhOrgqOybQxkhXlV/o/+lxcDDx50W37ud3Hqzg5vkvboq+&#10;10IsLqC54hTX3k4+8Ht1tm9Biu/NQ/27uInxsFWYK1Ha4NoDazBe/8xwE9dUCoV6XmKtjiTut/CK&#10;kt1lkeUN+NQ5cE3Soxx/b8GVGd6sqDgA+2l8b3MjKSTNDZAff/wRC5iura70sG0kAdMBYEQEeZqr&#10;aJkwOK93vJXhXzaNyxHfF+y4LXNTxawhia6D5c0VQWCzTKvjrJ2ZUZDkI0lzAJTpkDrw4wXe1Jqw&#10;prLgr07WDiI7LtiDq6YluNrSrFh6cxsif77EB9fp+Ad58aF2qpr6hj4Z7MoPTBqwlfOICzmQlfoB&#10;3MRIbtbU1ptdH4kNBz+4IQRLRE2fzSpZPhw7DtKg/ukKfdc4dU2drFiXC9uKuztFP1/izW+MsmHr&#10;O1sbL5+ScOcaXByeAhxPbC4L7+MjVbwC/znCyNtX+x15SQDN5SW6z62PWTIx7kmnsCDe7bcrQ2vC&#10;HFHk1V145Cu4VEWWH+s1h4+mhzdrGtuxTHSedD5zaieQeOu+8ulcTkmqV3NF8MUdRUDZ4l/B0Xaw&#10;NMZo7uLFi7jej3chaW6AgA1vZ2cHGgAG//H1uUNSxgsBZ62eHk+Rkmb4lxLUdHRhZB99ZnNB3325&#10;Ndm+WJAocU7EgLoNbiZ8Aetp09z0tAinZ9mqKBdwvztbN7kqBLXsgB0GpIQE3Z3C05sKUiMdDXVU&#10;y9I92/aXg4X40eFKbr6fno62rm0gM28+veHI89kK7DV2xXoNumNegvPt6/Wh3pY6dsEs/p4X9sfB&#10;ZZmiD8E/1QT/1FhvcnXo12cgS6Ibe8tL0z0NtVXBPz25IR8YCh5EXBrw4J0Hy0XFgXNEUWC3Dklw&#10;GIAmgj0tj6zLR0/nZkW63L7WQEiD4bNjNZMrg7FbwOeWeSkmbhmEdzS6ABqVllWaUB4kfq5nAXt2&#10;DBIH6z49Vi2D7rOvqan5P//zP7jej3chaY4oEyZMQJs6qapsMHmeWRmej1tXBWpKCjps79e3qBuc&#10;VpqFx62reEPd0yUqSenrcRuEs5vyZvJxuw8oTFD44gWwvV3cb8/VTq0Na64I+fw4uLFEWgTi+PJU&#10;bVNFsKmBRoiX+e7FGQ/bRL9dESxsirZmG6mb2JrGi9jCA8BKz+E7lmCfBsPZjGGgax/KqD/0/IWr&#10;iH9at904tERVl+7tzNw0J+XeDeH9VtHW+WkBbiyGoSZkBjxu4ClCPtv3l4uKAmYLI39F+jFf/OAl&#10;KR73W/ENdGpzfIDrJROIAXRfnOItLvNPjlQaWAYSXtPowtAuUoZKvXkIiYMwMsxrjMbUOz09Hdf4&#10;d0BImiNKS0sLpgcs2hCDWcMEkEJugquckgaTU0/Q1NECPbzJxdVVvC7tznUhN8f3H0PZaNCGL2mO&#10;Obwa2ZgdfLcPV2ZvmJUkmeA5gHr+0wXeDF64qDjgIzTWxcBfEdy7Ifjg/WRPB7q5qc5MfvgPF3iP&#10;O+r3r8gK97NW1jQ0Csg1q92Crv8fmsLMqjeqGlmzn73UAViS3nCUVbxM3yVKXVMbCvYy0sNY/9Wp&#10;2ubKEIaRRoAbe/M8pEtOslceMga5bdlTxsvzn9cQ9SwXdUjM4HJa9+KRx1dNjdvTFxKKAHjL5ele&#10;TzpxW+9RR6OpmdNri7I5iRE+QUXL1N+N3TtwAtCDVl77vsLBIxKDAScGuJlh6r1jxw5c498BIWmO&#10;KP/v//0/Go0GegCW/cXthVBbCLoyTIA7SaVQaS7Jg/R1dMAMb+QEuIir7jenqqbWhYjvLomeLn56&#10;pBM2zAqPwy/wxVYaDP/R4C5gB70viADKaN1XTjCX0ARQhZDpJtnxLvqayvlJ7ld3lQETtR+oKEv3&#10;0tDQ1HMKZxctBrbCaEvSvoPvTP4QseSwZGzRh6aJEzQZTgya7nQu5/vz/Ced9cfX5yVy7OFGpele&#10;N/YiM90knwXNjODclsK6HL/lk2LvXh/akX8OLm4tnFePB6r55nRtedrQW99CsVRl+967gbc0PV1C&#10;V1fX1xOfZhKA7lNEoUhDi0J42E1zklMjnYdD4t+cqVOQRfYzkZeX7+7uxjX+HRCS5oaQ6upqtMGT&#10;4haMPLpRd5fQwdJITZeN6v3o74rCDq9PjOyvfj9e4E4oRwIdD8aZzYUTK4KwB3ncKUqLcBpyovzz&#10;0YvWqLstgiUTY2qy/c5uLiTYFBjAgPr+HHdKbRjTSMvXhbl5Xip4fz9fEswWRrBN9TToDqZJTSzR&#10;i5dS0BqOm9VuNgrMU9E0CvKy2LEo7VF7wy+XwSOOsWHr25sbwJchu9i6OwWHV2dXZ/uunZ6IBuAb&#10;yet71C7MiHLCptFhJttHaLw8AuCnygyfB31DVfDsbk52r22dX7O2qYuBjtrvLQNYG57Xw4Gupa4M&#10;Rf2o/ZnOB5wCQKY6Ic03JSYmBtf1d0NImhtCLl++jNEc3Ujr4VDLoYYH7vL34qlUGYZfCZ1DUNlR&#10;AJsjDPF1ENMc2DiFSe6D++a+O1uXHGZ/py8I0v7lWcsmx0nWk+FAnB6jlQetgnUzEmpz/A6syHzc&#10;OYStBMketom2LUgDd5JhrDmpOvSb03UP2xp2L8lAxqC1acZBhWa12wbHPgH6YzQcYeYt0LUP0dbS&#10;AkuwdX85PNq13aUlaZ6GWiopEQ4nPsh7MnAtJwouvKlt81OrMn13LU5/3NG/+m1E4DZXBMFNsT+/&#10;PVuTHGZ36yoy90Xyst2dwsJkTzBj8T+7RLZW5mBlE97UaGASK7hORlZRVEyMg391V6GPE33zvLT8&#10;RDdHS8M59ZE/D+h/7E8MrO3rgm8+vWXLZlzX3w0haW4I+eOPP0xMTEAbQCNOfpA/nArztKu2F+nG&#10;quvp6Pdubl8T6Gqp6tBd6JzR769hhzc42ZpjO1egGeA2VYRc3lGC5RY+wbi4vqc0OdTu8+NVWJon&#10;nYKkMHuwyLA/XxGPOoS7l2SC3bR5bjIQn/i+klULLL6WPWXFKR5GOqoZ0U5gAz7uaLi+p6wwyUNL&#10;S1vPKYJVuBh4DdiNhgxH7DGN4avTbGzMjOc1Rv18iX+3RbRxdoqvM4NF05pUFfLVKeKwLwDuCP74&#10;yvfigXZPIEvTRufpvj1Tlx/vKm42ru4qTeHYf3KkSswg8GX/8uxFzf1LX590TjAyNHk9U+ea9S2D&#10;FeRkPu17lWJ0d/DvoiEzoWS+PcudVBVqZ2ZQnYNM5H7U0Ti1Jqxv5nPdJ0er0FB0UoqKiu+UxwpC&#10;0tzQUl9fj5hzUlJ5SW6E9nMwIEHLvjJk2peS/JG1SE+/+LioJFBaRoEZVDtIcV8V4AvTaMyH7f1z&#10;HX6/zs+KdppbH3l8XcEHs5IKE915eX6/Xu5v2NfNTFr+8qbc8wFO06kNBXW5fksnxt5Cu/kHXx8O&#10;/nSBN1sUYcXSc7M1WT0t4c514Q8XeLME4RZMAw0TOyPfDH3XGFVN/Zgg20OrcuChPj5aLSwOMDVQ&#10;D0U91vutA2aHoNfELst9XxjBLwy4hqxahbv3J3hFwMUnVoYcWYtPKoLPb0/XlqV7lmd4bZmbcmxt&#10;/pSa0PJ0z0ft/eYz8LKOocXr6JtjhonkFTXBku0bAsLf6ZMO3q0rPGhcvz6NzG4Baru2u3z/qtL0&#10;WH9lRQWWiW5ssC3WkQqP815NKGbKpaSk4Fr+zghJc0PLJ598gkXZ1FJX+u3KCwwEsJKyox2jAm21&#10;NZQ5fhaSPfRfna5VUZTXM/cjKO6rgx7erMdw+fTogOb9YRt/xZR4O3OjypzQ787X99UKQC1YImCP&#10;EEIzjRbgkVv3lYmKAqdzOd+ehUolaXNhszGQOWiP2oX7l2dG+FvR9NT4hf4fH6l60N5weE3OtLrw&#10;hROigdoetCNDtNGB1kY6ajW5Ph0HyrEOMgLAyPrseHVTecjEytBPjlaOLsGJAWZvbKA1MCn2J9wC&#10;bvTpCVFOoq+zFW3z3NQnHf0vGnB6Y77e65lQYmgfI02lXtxO3IR30+wkeXTFAxWZ6In2umFfkB44&#10;CpVCOdpH0+DFWzL10IZb6tChQ7iWvzNC0twzxdnZGVOL1dMTXliLoOJBHfjuPM+WrQ8OjsRxXlGq&#10;u6y86muZH++RPb8xStJJxPCwTbhrcUZdrv8sPufTY9Xgx/18kRsTYE2IwjjqgIf98mQN+E2NpcFd&#10;Bysk6V4S4Ml2HaqIDrRVVlKNDLDZtyzr58vCz0/UzeBxzEx1Ha2MV00Vr14Qn4V/h2te21XKy/d/&#10;XxDxwwWgTqIPO7po31+eFGZ7r0UARmv7gfL3qkN5+YFHVud0D5ppBBrCLwpi+JcR39Erg8VpUFLV&#10;D/U265FYzIABGq2MKEe0PUaaZBD8P1SgJLuROdKQkntyQx6yc5OUlL6+/n/+8x9cxd8ZIWnumbJ8&#10;+XJMXbycGEOOKg6JnYsysmOdxdUPlOzmoUp5WRn917DjFyN8gqWty/fnhvATAcC8X5+qnVcfXZjs&#10;y/Gxat8/xMLM1wGgp1+v8Oc1RtXl+J/dUjg4pBXkFtLMEUZaBJUZO8Wr6bKUVbSUVHR06K5Ml9hd&#10;S7PQBAgkT4Eae3h1TlWm78op8cA7GAlKpnlNOLu5MMLPqiTdd8XkuB8v8CQMZBxYVsEyNbVwo492&#10;WBpkErhTAhDZsfV5hPt27C99cIN7/wY/2NMs1M9u/aykzXOSdsxPPrY2G0jtwraiL08glj7kDfKc&#10;FYO32QKBANfvd0lImnumPHr0SElJCTRDhkq5vqffQHsOQKU+Pc5TRLqK+7eVA8rLjnUBg44Zyh/1&#10;4OmMgGovd/tPjyGL7QfWecRwA49v95LMpDCHz45VDzSOXiuQnMDtHrUJP5iVVJ3tt2tRBjhNklYn&#10;JJgrjGQF15qGN9PDmxicRkZ4I7jhrICyXUsyxMnQlNz7rYINaLQoeJbHEhHAxwaQgZa9ZXHBdic/&#10;KIDWTnx38ZdeNIGtnQPzNexLzQpvVFTT93VhiWMEYADSd7I0/vUyYt/9dJHrZkM7sDJnyFcM+fzh&#10;PE9FURY0WVpa+rPPPsP1+10SkuaeJ3l5eWgTKFWa7vkcmgBNgl/vXOMvnhjDoulQpCi1eQMm3HUe&#10;rFCQk9W38Dd5DVPkGcFcsCO4BUFgd/x6WfCoXXSvVfTJkerlk2NTIxwXToh+OHBLp7FEL+pYHV6d&#10;XZPth2wZgwzy4sUyjRvJQGhuwLOwAiu2zMPD50EB/naFt6gppjYHmaY3WkOoIwC839+v86fWhmZG&#10;OwNxf3Gy9kGr6GG76MeL/OPr84rTfYwtvZmhr2U7NyPHOHA24S5iVsVwYEWWNIXSVB7800UkwvOn&#10;x6rszAyu7SmTTIMBTpzJx2MF+/v745r9jglJc8+TGzduYAMR6ioKP18c4K30dPGedCATqaAxB7dx&#10;YlWogY4qpkwgSHp0swUMoIjFqR4ycirMQRV7VAAGkYl3vjbdWU1Ny8RQLyPWe2JFyNG1OSOeHzu6&#10;gFICu/LS9iJefsDSibH3WpARgyl1QHN1hAdhBVZunJMEBPfrZe4sfoSgIKDjANbH9+afAvJwt4W/&#10;b1lGY2lwcqSXgY6mmrq2DtOD4Vf2mlYuM8NECio6od7mBIqHAgnzwfflAk2ryPLu+LDy0s5yO3OD&#10;r06BXd+fEvCoXcgy0cYS79y5E9fsd0xImnue/PXXX27ubqAfYKC9L4oQKxB8ObAiQ1gUcGN/RWWm&#10;t5oyEosVGeSiUIz01JsqQ0rSPN8XhIlVDfDlqRpVJQVdpsfrW8wPV4aKQXNNs3b0Kc0MPrw69/4N&#10;ITAsQe/fIKB+3thbXpHudWxd/uS6ePagXZxZgVWLmuN3LEyvyfb99GjV25N5yAZk5vfrgl2L03OT&#10;A8zsfWgeWcyw+tf5Nica2HCkqdRLgwZYW/eVa6op6WqqiIcc5GSkowJtawojXW1Nbl+RbF/rdixK&#10;wxIZGRn9+9//xjX7HROS5l4gW7duRZVEimmsjRpHuALdbRHQ9DVAgZCxe1TdrFn6y9+Lh5oA9t3D&#10;Nu5P5wdsJgAWSn1JIFVa/nUMxhFAR/hOiPCdk29ZVvDhNTkPkHlnQBlvg02EuLHgSjvZW5kNojlG&#10;QKWTDfODWclgv7w1BAfsJty9JCM3BdjN1wRhN8j2a2Q3DMwQrqy8anq0E2HAGooFHOfjH+T/fkO0&#10;flYS8Bo2hIooIdrSRgdYdffNdEFXPjCxX6dNm4br9LsnJM29QKABFK/k3zg7WULbuNO4YchxCjIU&#10;u3Nx+uP2AQuMBtfSW1f4hjqqGobWr2MG6ZDA+c4N4btSlO8etoneDjeWu39FDsM+WLIoGOFNYCWd&#10;3Vr0NtAxsNvdGyJgtxxgNzvUdkOCzWDsNvorlAmAYtFleSoryBLmRWKA8ukrIi4yPXtjQUKYHbbC&#10;AfTR340tdnIvbCvEKFBJSenu3bu4Tr97QtLci2X27NmoqlCcrIy7JaZH/HSRq6mquHJa8rO2AQOm&#10;69soD1FK+HPl1AQKhWrilo6qMgJJ5X6daGaDP+uWZuXoXZYVdHhN7sP2erS29Od2jAF3Xz0j2dQt&#10;tT+TTtEfIrsrvEmOA0v8fqto/4qsvJQAtp2PiUc2M7zhtcVWeiYYfsVg+DeWBQ+zNICUPztWXZji&#10;AY3ujkXp2Gvt6eTHhyAxYkHKyspwbX4nhaS5F8vjx481NDQQnpOS2isOPXYTiSHOL/Q7tzkfPzII&#10;P56v2TIX6VAXH3nSIXS3N1VU1UMdH6JyjwmaWRyU7xy8y3NCj63Le9SOTNEYe76DO4IlEhPuy+Q0&#10;mICPFiooSg8cPCttDIA+PrCbENitMCPEwsEPPFMWp2EMPNNBQOxEBqdRVZdNN9K80xczVTKrhCOS&#10;uHW13oqpJw42cWNvuQwa8V9GRubrr7/GtfmdFJLmhiUNDQ1ooyjl7UzvlgiP8aQD2RBT/CcBrfur&#10;1JXlPz3aP4cOcHF7MfgX+haBY28jDATuz9o6+1bmhh5fn/+wDVk3KpnVMcDeZZmmHtlAc8YOsUPO&#10;h3itgOe9dwPYLbsoM8TC0R+x3fo90zcGY8dYKoW6bWE6ns+b+NoVcEUXN0d1S8SGkAQw4O2rNef6&#10;gub3dvFTIhwxpU1LS8P1+F0VkuaGJXfu3FFWVgaNAafg4KpssW49C6BzQH/lGZ4UKUrcwI3Q4XhF&#10;phcyFuFXQtDvNwI6p5nJEdJcU+1c/KrywoDv0PEK9CnQ7Q1fK369zDO1CwXGt3Tyf9Qxwj2GXhbA&#10;bndvCFB2C4b7IqMKgwZD3hSYwXWyCmrRQdaEpV2Q53WzkiyYBuKYNM8BJAZTDuuto1AoN2/exPX4&#10;XRWS5oYrfD4fbRqlPOxNn3S8eKrq7iUZ0lQqKBn8271kQJTtXy9zGUZaKtoMBuIZERX9TQG4hoWO&#10;z9q5+GP23QPUvnu+o/SKAA/L2p1DD29y9wSP9TUOj6AND2K7HViZXZwRZOXoZ+KeyQwTvWmbegAY&#10;4U1aNAcNVcVPjxFHHr47W6evraIkLzu/MfpJ+wtCFYApl4qYcsjwQ3x8PK7B77CQNDdcAYMOW/sF&#10;ugMURlAsAr44WaOjgVh/oJhL30uuyfZ6OtC33bM0U5oqbWDDeeMu0mAA6TBDBTTnFFtnn8rckOMf&#10;5D96bf4s8A7bKRQKwcEtsPvZm/K9CiDn99uEh1blSLKbZLGP4UDQi+CaQqFIL2yKIbQu8Oel7QWb&#10;Zid/eYpblu4Z5m3WdajyOW/k6q4SWWnElKNSqaQpB0LS3EuIuIfO3sLwOSuoHrUJfF1ZYMdBypo8&#10;pFsd7b8boLjQ3ubGu0jLKIzBNLoRAywdZpjQ2CXZ1gn4Lvj0pgJ0Selo2ndtByqMHeKAdGg2ob9c&#10;Iva4vwKAApAIxodW55RkBVk5+Zq6pb8N/W7PATOYK6eoEeTBFgfCFAMtc7zYQXPA0Ha1MZkliHjU&#10;n7Kf8nq6+JH+lpj6vYOh5YYUkuZeQh49eqShoY4SndTKKQlixZLE005eQ2kQNmc4nuPkbGX8yyWk&#10;yq2eGtvxYbkkQcBxprGWsqYJWv1e+1SsV0Ef3yU5uPjUFQDf5T/pED7tfFX7DkpjTkMsO7gGuYV3&#10;4ZZ5aYQEIwDQAcZupZlBlo6+Jm7pLE79W+WZDglG+AQNIxtwVz9BJsrhYw6YtjxoE6RF2Fdm+8wR&#10;Re5cmHp1V+kvVwS3rzfxCkN8nBmXd5Zd2VW+bX7/PjhH1uZJoxwnKyv75Zdf4br7bgtJcy8nfXPo&#10;pEwM1G8PHO8HPYM6dnBVDhroUMqcrvvbFf6qaYkVWd4P2xuqcvyDvcwl40xA+qPr8sC50DPzlZgl&#10;+/byHTrRr5kVKjB2TrR38a4tCDmD2Hdifxb9HO6oBZIYjBFvX/zZmeETYiL8JfeHfyng7LYmF2E3&#10;Bx+aWxo0Hm8/u4lhbB9NkaKumZHYV5iSj8bLT0RWHGICBCZNpWhrKDvZ0BkmhlQKRUle9vJOfEEY&#10;vA4XW2Q2O8g7PldOUkiaezn55z//aWpqiigRhdJYFiTZ4wa09fXpWkNdNfiNSqXMbkxZMimuOM1H&#10;SUHOhmXgZmeqo6G8ZU7/Ogr0FJ6oJIBCkTH1yHyLeoiGgYF8F9zHd8+cW0MA1iQsn5JM98rtu+Yk&#10;U5ek/StyxFbJ84FeASnAB63CI8Bu4Jk6+Ji4poLV+TdiNwwMvxIZWcW0KMfBS9y+OV3V3cH/8Xyd&#10;vrYqEBxipA0Q5JioBJ9vCOeumpaAeRKqqqq3bt3CtfadF5LmXlq2bduGqZiKorzkWhyot4VJrtC6&#10;aqsreziYFiS7z62PhBr4zZm6x+2ini7hD+frvjpJjG35oI3v7cSQU1RnBiG+298OwCnMUL6xU4KD&#10;sxfCd5sLHiGL3l7gz/Z2cY+uK2A7IVNJxJcCx83KyR+cshee/vQmym5rc8syg6wcvWguKSyE3fpz&#10;9TcCM4yvpG7INtH+RSKkDYbfrwucLI2+P18L/LV6eiLH3+7SjvKt81Onc8PyEj0C3NlMYy1na2Px&#10;Dry/XOYZ66ljZDh9+nRcX0khaW4E8scff3h5eWFMlxBq1yuxEcFXJ6s+PVb1oE2Exl98QV3F8LSr&#10;9rPj1TqaKqq6LDTiBbEa/F0AvicrhGfkFO/g4llbEHRuaxHYd5iVIfGw3J4u3q+X+ZNrI5nOkQwO&#10;cUtTBqfRzClkXmMcVF2w1AimDWK7tQmPr8uryAm2dfKmuSQzwwR/O9tNDBOU2bVMHJUUZC9uL5Z8&#10;UgAUHb/QX0VJvvUAEhL1SYcg1MvswEpsziY2IsHv6ax/1DcUBoVTl++HqSWDwfjHP/6B6yspJM2N&#10;TFpbW2VkkN3LwXbbvxwJ6o2pGqaCEt+fCfEp8AWwb0W2jDRVh+kp0Un3dwXiz4bwjB1jnV29chJ9&#10;ZvAi1s9K3rMkY9Oc1FnCqMykEHOnQGZA1bOMLzid4Vts7RKQlxoypyFm67w0OHft9OQptZz0OB8b&#10;Ry/wlFlIHGZgt7d63OaFgEcwtA2nUqUXTYwl+PugEhe3F6HzeymqSvKzRcigatv+Cicro7tIA9Cf&#10;Upy+ZW85tqM+yN69e3FNJQUVkuZGKKWlpahGUdgmOr+3vETHOWgkqOyF7QWSygpaPqkqhEKRBnYg&#10;VIa/L4Cy2RwR3b+C5VcCYPqXsUJ56G7Nw7G/mpmcRmZIHXKWfzHTv5QRUMUOrx8HzQAKhKDpHlnS&#10;0vJ5ia6Si2QwPGgVuNvSbMyMsM44+PR0pF/fW9lYFtxUPsR6frD1xAGXwsLC/vzzT1xNSUGFpLkR&#10;yoMHD/T08B3hhEUBhNb4Ofj+XF2wl5mpocYTZHuE/uPwZxLHTlpGQaJXnsS4BTOgQlZB3cvR9O5Q&#10;beQvF2t2LEjr7hLtWpJprI/PYVKQk6krDLNiGXcdrJRMDKy3dFIsNvKgoKDwjq/SH1JImhu5bNmy&#10;BdM/eRnpKztLB7sSBIA6Xt5RyjDWglP83cx6B+3vd/sa39naWE5RgxFQQagVJMYTGCE8RTUDaOq+&#10;Pj0g9uqQ+OUSrzDZTVoaiZkJhp20tHSwJz4zCVO5L07WaKkh63NApk6dimsnKRJC0tzIBVwDDoeD&#10;ahfFydrofuvzVhoCqa2dkWSggw2EUcozvQb14iF/fnGimqavrqRuyAx+Dfu6kngLwAyrV9MzU1eR&#10;v7qLGP0c9GewCsGR3i7e4bW55nRdVNmk9LVV71wH7wFRGOC72GAb7LiNjc07uAfrcISkuVeS77//&#10;XlUV3+mmuTK4d1CnCaa191sFFZleQe7sdbNzsMRLJ8WhCSA98ZTLO0s11BRVdJhvLiYdidcDDjKU&#10;rGnsIC8rs2/54ACi3HOb81v2FA7ZWELiO9f4WXEuVAplw+xkLFwrHFw9PRGOgEaBlXf9+nVcL0kZ&#10;KCTNvaqId61WkJO5sG3AtIBbV+qm1oQeWJXr78aqzvF50Mqf3xAFKUErz27Cg3GeWJdzfU/x0771&#10;PSi4B1bmwNU0DG3eqhAmJF4RjPAJuixPaSp1+XvxBI4DavvsWLWxnvr1veWSxyUBabbOT4tBYjSB&#10;x4qc/tnxam11JEIECI/HwzWSlEFC0tyrCriuwcHBmKrZsvXvXOsfiwCHIjncHkitoQwMPWQeQGGK&#10;OySTl6H+dBHvmNuzNMvMRPungVNDoQ5smpsmI03VNHGE9h9qyN907isJMejhTbrmfhQKdTo3/Omg&#10;XWxuXeU5WRuDbrxXG9b97BVvV3YUfHUSj9L6uF0Q5MlG9U7Kysrqn//8J66RpAwSkuZGQX7++Wcs&#10;ijoYaiWpHuKxBbDRbl3h2Zsb7FiEBG6C415ODEhEN9Lq7hSCcgMPlqV7AQ9G+FkSYtj1dvEWNcdS&#10;qVQ9lufgabRvFehh9bQg3lueyTcL4DgjmzDgOH6B/+DpI0BYcSE2WEwR+Fec6vGgdYjJcSjEq/q5&#10;03nhyAnoEv3W1lZcF0kZSkiaGx3Ztm0rpqbgkmyZn4bpKHwCPjpU1nkAcWYfdzboaCAjYuF+1sBi&#10;t65yUyLsE8Psru4qnyMM//H8gFjqcCKkmSWMpFLeXqaD2qtpFkyVUaZSZOSUDYw88gkJSACglIxt&#10;EY6ryvYZzHGA63uKeAW+a2YkafYNmIZ4mf944TkBr7jntxbLI5OBEZUj13W9UEiaGx3566+/cnNz&#10;MR3V1lD++Gj1YB398mQtFW1/+YX+HQcrXWyMp3E5kjFLBqOniz+NGw5Mp8vyRCfWEqvQm0QwX4Pu&#10;ZaCjfvyDgl+vCCZVh8rKq+o7pf19V1+9DjBwO066JM3z2UGngdGQkdO2A+XmpjroxBEpK6Y+FrmL&#10;oEjw56+XuUwaMi0JJCAg4P/+7/9wLSTlGULS3KhJT0+Pubk5aB6YdW52JvdbiDp9cFUONoczOcrL&#10;kqH74aocsNcIaQajt5M/UxApTZXWNHFivj0jEsE8BQ2GhwN9/7JscKCg7gFfN5QEaamr6lhy6KQD&#10;i4LBadIz9weOq8r2HU5gfSjJH87XBrix0dZQSldTeev89AWN0Zcl1szAdeJDbNHfpXR0dH/55Rdc&#10;/0h5tpA0N5rS2dmpqKiIqWBJWn8nHYYlE2Mwx9bJ2vjjo1WEsbZnAfQbrrNgQrSsNFXDyPZtWN6v&#10;75giI6dmb2H4s8TICeQTnmj9rCQNVWVFLbahez7N95kLV98FgPWty/KCN84v8OseiuPEzDUQtfdv&#10;CPIT3bCeOhCw+m9fw6dkgtE3g8dBf5KiSksfOXIE1zxSniskzY2yrFmzBuMyaSp15bQESS775SLX&#10;gqELLu3Pl5DxB/Hx5wNL2dvFXTszUUFOVk3PjBnyJmcOG3uXyMkpbZydKt7IsaeD/+UJcNKRqgj2&#10;KXBfUpitpoqKjIyikXse4fR3BExOvSbNkUqVnsblDNkf9+vFmsXNUT2DVsJgAFqcXIPQmZGu+pen&#10;xCslkKCtfbvrS02YMAHXOVJeJCTNjbL89ddfhYWFmCIqKcqd3dw/2xO+XN9TxqZp/359COWGXx+1&#10;Cy9tL/xgZtK+pZm/XuYRzD34c++ybBUlOWUNY0ZgFaFejRnUTNxyEtwl1vByV02Lk6VSruwqET9p&#10;b5fwcddkV3uGrl084fR3AdAOqemZy8vKLJ0UR5g7ghYO96tTNcunpEKCqXVhzwqY/M1ZvqaK4sW+&#10;mZhQth8fqdTTUsH82ZCQELJLbvhC0tzoy7/+9S9XV1dUG6WM9dW/Otk/HAFU1fVhxaAtOOGTe3ZL&#10;oQ1LD1Ni+FRTlp9UFSqx+wlGeVzQewNtVXlFTYZPAaF2jQHo4c0KWuylk2KxXIExsmZ6oqmRjhRF&#10;zsnG9PRG4HScmnu6BG72dGUdM3W61yB4DgVCGgyENGIQkmEgpMGA/KTJ9gcj9HV60P0hoRgBFUpq&#10;RqpK8ruXZg8O6NDbxZ/BC7dh6dfm+ecnuetqKq+agq2HIeL6ruIdi9LE5XnrCs/BwgDVDilTU9P7&#10;9+/j2kbKMISkudciv/76q76+PqqTFFdb4ztX+22fvi8DcH5LkaqSHJpeSlFepjLbZ+XUxOhA6ySO&#10;3aM2zDfsP/GzY9U2ZgbSMoo056QxHtY0dM+Vl1PctiANzQ933cxEGVkVPbt4k4BqTXagipLSjX34&#10;zvm9XYLseOfcRPc8BG4DPwl/DvkphuSfz0osTjP0TwkcR3l5JX3HFMLjjDaaTT2z5BTUoG27vBNs&#10;2yHe9YEVWWwTnd+uCsGmA/x2mXfrChIjk5AMIG4aAdDaRQVY///2zgOuyWv942QvCIS9IWHvKQiI&#10;bGSjLEFUNgJKQgJCrbVarXW0VWtbta1bq7bWavVWLRUFJyPY9W+vts66rovhvbe37af1/p93GEIS&#10;vFYBMZ7v5/lgfHPy5s15z/m9z3Mm0RjC5XLlcjlZzhCPBpK5oeL48eNsNptQrtQojzttAw34rO5u&#10;l7k74A9qio6FCb9pM1ZDIHFXhzQ91kNWrL7Kk/hyszgh3JVCoZs5hxPTJIbFZnGNXerLoonrgcjU&#10;y9nSxD1Z8a6elV9RJsSz5IAvPBlmihdPxeDbwYd6a04ag2s2dF3A9vENlp7jqDTWKE9rpda0ftYr&#10;l+Qk+oYFOPbIsXXkb7XW7l879cXKqJrCMQfXTdUodmDg+0/LHU300VOp1B07dpAlDPHIIJkbQjZt&#10;2gTlEtMvHZ2KvJAetQ1NCGvaXETFntQUE4HeqY/LlR23NQsmcFmMHw4oz3glDXQTFJBGpeqbOYui&#10;xSq1bijMPv4Fpq7V5qWZxAXcba81NtCzCC5UJDByGQfi29upCMk119unYu27Kmh0nl2MTHG1g2jC&#10;GJmRrS+FQs1L8buhqeGVMJC59BgvuNep0Z5ZCX7m+C42BHQqZc388eo5Bh9ZiA0RJxOikcCPB5K5&#10;oWXu3LlEAYWCOlccqzLEBLMO0LI0eJtOo+56J1/5LXi8gzjCZ7GZ3po2BoSzbVySJeBzWDwjfDHO&#10;IV83nG8TGD/GlZiKBN8eFexkYB9GBM52cTM5hqKG8gji2iDBlZbqbnldT2dddyf2V6MRb6n/1Wga&#10;k2FfgVkt/NXU3i+F43fbZ1ZPGcM2sBuCxYdn2Y0p5epbcViMJfVJDx/sDXmydmEG/kjDhorgbbDY&#10;boQGumwqlWJlqt/dUaucHqLatYsy6A+elAUFBWhZ4McDydzQAuWyqKiIKKZQoN9+OV0lAoWi/+Gb&#10;2VDikyM9lEUQjrd9Mo3HwRrsXq6OUxxXMUjWvmuaj6sVjcY0d4sRDnEAaxNZTWcLls1KJL79yJZi&#10;Az2errm3qWcqRyB0FZpdaILjmEvS0ykLcLd2EZoOgwV62saGOseFOu//gNgRps+2vp4ZHmDv52HF&#10;YjJM3JNUfs4Tmn3cC9Y+KTQG197SsHF9kSJaf4hBBLpAGm8i0AUn3dvFclZF9KmdZbda6xZIE5k0&#10;6q1TfTIHZ/vkncmgnkThiYuLQ2vJPTZI5oac3377LTk5mSis4LJtXJql0gpzrknCZTNeqwXtULRq&#10;VV9oErs5YJ0YEMyu77+7q7rdOCEtzQmCAJZv6iCMGMJBuVhPq5HD8heTH1ynWP7ptLFBTnCZ5bkh&#10;Fw/3XVIP1nJnYWAXZOqTaeqTMXSma+JUlhtGOHT42D3I277shSPwVpe8Pmq0i7HrOJWf87iGuczC&#10;aLHAygsC1fGxnnCz1ONNyKK7beIP38h68PQiE8AV3m6TXT0m7ZbX4t4f1gWxfnF2eIAIfE88DbZj&#10;4YF1U/W4LKLY+Pv79/T0kOUJ8ddBMjcc/POf/wwNDSWKLIdF3/k2NkGKKPR4uZfIisYmRbj34ANu&#10;4a2/fzHDz53cO93cWO/asX6xGNQB5Y8/OCjZ+uZEU0NdOpNn7ZNmP2RbwwhEEeGjHIgVVvDvrf5k&#10;5URPR4uzB8mlB+DawKc78dF0J3szU+/xig/aPPireKF4i7CBjitMYwIDu2BQWPhSsDWvpGcn+ayY&#10;nQzhHnExhIHQRI92NnJPVf7gYxsW+Y7KYXIFfC5rxexU4q4p2z35DPjGb/ZV7lg5WZfDem9BhooL&#10;T9jp3dPA4a0vj5IUjvV0NG990EkNWdqyrVTAJ6fTODk53bhxgyxJiMcCydww0dXV5ePjg5dbCvhu&#10;e1ZNUUgVFOvbrdKksS55Kf57Vk1aVJdoZoRt3Q9J6VTKhsXE6I2+6vFjY1Vdcfitk6rNQHCes43V&#10;KVEeFB2qvrmrMLIKb61TraVPalESBtc4J8m37ZNyvPaC6yF+4IZU/+O4+OOVebYWhjSGLoNrbj1m&#10;+lA3FxrYjcZlDpPXaZOwZ0l2gq+KrAyizAmjJUa2fhQKLdRP2Lm7Ar5X+YsIu3lSMinVf7SPXUVe&#10;WHigSI/HOvqh6jasYHCRi2cmsRj0VfOz4EmG/wTMWraVQFSLFxUda2vrixcvkmUI8bggmRs+4Jns&#10;5uaGl15s8809q6co69etUzWy4rE8DhOTNxwLY731izLVHYGejpqUaM9gbzvwF5RCIfIvxEHvvzoB&#10;6gmdybXwHKfUWjc4cgPOlE14Fc/Ujctite6qUmpPFHd31JZPDKYz9QydYuxj64ZnAr++baDCmyNl&#10;LtEHzzTxshcSFkpje/EBJU8uc/bxDVZ+45kcAz0Oa6E04U7fyO1+BpdRlR+SGu3Rhe3GjQ2T/uTt&#10;3LadGmQODC5s85LMG8f7biJoHLjkRAEwNzdH23QNCkjmhpVr1645OjoShRgU7eO385RVDF6DO/b+&#10;gvTXasftWJaDzwnr58cRdrlF4mBrDGcwEfC2LcuFaqySAGramcbq7ARvGpXGE9jYhRQM3ihiUivt&#10;417Qtw3mcTgvTY8hLuBSc42r0JTOMrAKKRrOGft8mwAVmSvGxu5BPohTo9wiRjnek9c8sczNsg8v&#10;45s5UynUmBBncOLwEXn98lxht1tr4RlTnhcGXwo5A9H9uUOS9l3TLh1Wnb0HRlwn8YgCTWzeVmqi&#10;pHHfffcdWW4QTwaSueEGYhAHB3Jta1C6LdiMAuU6o0HXlA2ctYlJfsTHxwY5pUS4fbNvGlFPVKy3&#10;Q7rrnUkuQlMqlQFxljBqhlrtfSKzi5tl5pvNZnFrSyLfnTc+yNuOY+hoEzncywqAzJXlhuIDSmTT&#10;JoWBp1yaNQpe98plqVEeEUFOPXJs0EnUaBcj98eZYCuKqTF1DKPS2NZm+h+8mqHcKKmc2wr7x0kZ&#10;n8dm0GlpsV7gdNtZGbIYNPDQ9bjMpfWJ6r45YXC2g+sLDPXJ9jjQuM7OTrLEIJ4YJHNPgStXrjyI&#10;XnWYdNq78yaoD/jSaOAOLHsxhRgrGuBhdeM45i+o+wjK9o8T0rnVsfq6bAZL18wlUhg7uONjZ5kH&#10;5kMAy9a3NRCG20bLHtKBMEQmcIgU6Ou5iMzBBPp8BtvIgK/rIjKD/+ryOLo8LvEWl8Mz9c1V+ezD&#10;TRhXZ+GZCFEqh8WonhJ2uf9+HYSpix3cypxEH6Jp9cFfErjXLVgjnbpPJ/703cmKflXQuG+//ZYs&#10;K4jBAMnc0+Hq1ave3t5EsaZTqa/VJqjM59doR7eVctnYQCqBHkc+QPt3f8NqFNSiHw7MmJIeANWM&#10;yRVYeiZCBR7E3gm7OGygCf56aHsbNFvsTHO/HDOfCWDmfhPtoqXm/hPNfDLgvxYBeeYBefhbGRYB&#10;+bZxj9r7LIyrt/abwOWb4zMW3CHkVG8ZIKxHXrN7VX7bx/2a3i4dqc6I8+Iw6Sw63cXeND8tcMnM&#10;hLxUfwqF8mpNrMpdgzOvX5xF3FbA2tr6+++/J0sJYpBAMvfUuH37dnBwMFG44aEvmRre1T7gvFc4&#10;frlZgq2gjQ8z3rg0Z6DwFkQNEqufB8KlEx+VJUa4QdVl65pYeqfgYqdaw59PUzQmCuPrrQOyeAZW&#10;FB1KiK/9gbVTFZ3Iaia+0CSZnB4gsjI6i22e3+923JNLrx2vvX4C4uVa3N2ecbd9ppmR3tbXs5ST&#10;wbNtSX2yYp6Dg4PD+fPnyfKBGDyQzD1N7t27Fx8fTxRxqFcZ8V43Tqj7dOL9H+Sf3DlNsbn6tNyQ&#10;Xs1BLiZwX26YWlscfvWYBsWEI/DBxg1FMSHOmNjxjC08E0R4GPs8L/NLmDBuprVfOpdvSdGhjvKy&#10;/XhlXs+AAoe1e25YkmlhwofbZmshuKG2ID5ht05KyrNHHdlSfLmldtmLaYEe1jdP9t24rjbpjMmh&#10;xPYggK+v7/Xr18mSgRhUkMw9ZX799df8fHIrfmC0r+3Zxn4T9UGb9qyeZGEMNQqrEEHetjdPqY5H&#10;VRgkBpcwNcrbzsJw09LsgaZYQqh1cF3BuDGudBqVydE3c44QRVUP85pOI8ZmiWIkFh5xHD0TkP7R&#10;vvYfvzXpIW41YX8/UFE4ITA5CtuTAULRupIIjX0LEJBKCsbAaUP9Hasnh108THaqwt+rR2tSo8hN&#10;C4Ho6Oju7m6yTCAGGyRzT58///yzoaFBUeKFVoZHt5cSrhlRW+DF/+2fPjZQBGn2rC4gDg5kd9uk&#10;gZ42cB5wE2JDnTt3k2Pr1a23o+bo9pLcZH8um0GjcwxtfOxCp9rHPy+71cAvtQ8vNRYG05m6TDot&#10;KcJ9/9qpD597r2wQit44LnXHJ+SxmfSj2zXn8+1WWWa81w8HsPSKg9/8rZLYfJoAnnNovuqQgmRu&#10;RHD//v01a9YwmeTKmnwee8PibOXIFJTudqtUVjK2NCtooEEJYJDsnbnphF5mxnvvXj35yJapKmlU&#10;DM72/f7pdaUREIJRKDRdQ2uIZIXRkiFYzGNEGDitEKdbeqfyTUQUKsNQn1ORG9qBdTL87y4gdfv8&#10;g6kMOhVculFeNnfbNHvZPUr3C3J73/tTzI318PZYCo1GmzNnzh9//EGWA8TQgGRuBNHY2GhkZIRr&#10;FIVGpdYUhj9YOpg0CIKutKg0dWNOmeL1hSYxUYXMjHQvYONR+1JqMvJUkAzzTU5I1y3KHDvKkQGV&#10;j84xsPSwCcwRxdZqTTCLdbkETTK08WWwdCF7AzxsVsxO/bkFm+0/UEYROUMk0JgGxLE0B+tHouhQ&#10;FsoSBjgV5DOW1d0dNYtnJoLrR7Q/cLncLVu2kPceMZQgmRtZnD171sOD3IUT6k5ksMOZL7D1KvpX&#10;mz67cbImPdq9qx1bwAdEEK9yWBVaOSdNoWIK6+mQfvpu7p0BnA7cxD3yms7dFQ3lUY62xlTwdlh6&#10;oAvWgdkOsTLCv1PqrHgaw0f+omG+G6hbcL6xcBSba0ihUK1M9adPHnNse2k31sOgmkXKdv2E9IOF&#10;E4qzglKj3GdMGXNkS7HGYSWXmyW2FgaQ53o81lefVeKrpKgnE//cIslK8CEbJvCBI6dOnSLvOmKI&#10;QTI34ujt7c3IyCBrg46OpQkfYk+N44fBd5hdFeMmMicCriNbS4jd7YJ97LraNWjZ7VZJeKBIZGO0&#10;tD4J74p9SCUXd3XIGjcUVuWH2VoIqBQKnck1sHCz8EoWRVbZY5NVR7SLB1coiq628kk3tPEGpcZW&#10;ZjbUK8wYtWd1/p02YoQH9hv7/+Q+AznbsDjLwdowO9E3K9EX87/wRbTmiuPUY1t4CG1fnos3rVKc&#10;habJkW5HPywkjj9IIG7ZVuIqNMHvJ8aYMWNQp+pwgmRuJHL//v0lS5YwGOSQURqVUlscceuUagXr&#10;apfGhjjp67JPfzbjbrssxNceEjPp1MNbipUcwH6V+Z2544lzGuvz1r02AZLhKTUswk4YVNGujtrD&#10;mwvrSiO9XSzpVFA8GpdvZmQfaO03AZe8+keQvCH3+8BrI6QNAm0T0Wg9gRUoM1wr6M70yWGffzBZ&#10;oW5KOaPZeuXipQ3JPDajcVMJ+GUgeZ9/UMDFlrekUCk6q+aNV0kPBm5ybJgrJIBHAkgeIYVExnZ3&#10;SJfMTOQwyVsJ7qREIvntt9/IO40YFpDMjVyOHDkCoQ1ZPXQogZ427bsqoK4qV1RQt7dfTnMXmWUn&#10;BxIORUl2MBFbaazP784jZW7v+0WXDk+HKv3e/NQTH5UNPAiWNDgbRHnf75+xel56TpKvnaUhiAgE&#10;tWxdY4G1p4V7rO3ofFG0WBjfMDxteZiuxTc4xNTYhRRYeiQY2fqC+FKodMgoc2N+eoznsheSIYQE&#10;n1Qlx/6nwae4bEZEsJPCcYMzvCKJx+NNCjjXt9QG9PzUWOXlZFmaHQSRqeK74FN/PzBj3BgXyCf8&#10;1ugIBIKdO3eSdxcxjCCZG9HcvHkzJSVF0aCjx2W+3pB0t11ZkrA6fL5JDHWMyaAZGeieO4RVzu72&#10;mjNf9O0Pq7Bls1PgPHDC5u2gmNh82I1Lcxk0akK46+mBh570NzHI6N322s7d01bNSyvMHOXlbMlj&#10;Myk6VCqNyeYZ6Zs5GYtGW3gmWAfmiSIrRDE1wvh6+7gXQJgIUxGshxiRHj4L6imKlYoiKq2DJll6&#10;J5s4hBhYuHL0TKk0Nnwvi0F3EZrlpfgvezH55Eflt1plKo1oGnfSGMheqoqGHArytlOKT7H+GVtL&#10;QzgOWde0uW+LcTB4ffHwjANrJyt/aY+8ZsOSLDMjcrkRYPTokJ9++om8r4jhBcncSOePP/5YsWIF&#10;l8slq4uOTmSQw+k9laBQikoFBprVtLk4zF84JT1wz6rJU8YHFmcGqreFvyqLI07i42pTkhXcuqtS&#10;UjAGot11izIvNZGhK9Rb8PJUzj+QQbIeueznFumhjUUrZieX54ZEBDnamOmD9IBjRdHBOm0ZLL6e&#10;obWesYOxrY/ANsDUOQK8P3P3eFO3BEufdNvAbJvAbNvAHCvf8XDE3C0ee9c1UmATAD4a39RRz9CG&#10;ydanMThwNnCLQM3NjfVC/IVFmUFL6xMOrC24cFjcg20Wo97wr9nwHyj5uUW2aWnm397rt30E5Fg2&#10;PvGezaD/2KicA+J54jj4RZB125dha9arP0IIg+NnG2dkjsN28CKymk6nz5o169dffyXvKGLYQTL3&#10;bPDtt9/6+/sT1Qbg81gLZQl3WlUjzbttspVz0swMdQ35nLON/d4irL40HOowqMWZL+u3Lc83NeKn&#10;RHncPNlv0D+83rF84mu1Cbh7MmCznbrBB0H1QCm6OuouHZGc+qh8+7JcUKLakojclMBx4W6+rlYO&#10;tsYmBlzw/thMBpNBZ9JpdBoN5INOpTLpdDjCYTLgXbh+BxsjHxfL2DCXnET/msLwRbXxW9/IPrat&#10;9PwhcVf7THC1CCEeSG4eYjeOi8fHeOlxWdZmBu2flPd/V1wwIZDI5JemxyprffuuaaBbVIrOMWzw&#10;tiJ9n8GVdHVI31swQdmJE4lEzc3N5F1EPCWQzD0zgDvw8ssvK/oloMoFetoc3lzc32WDaik+1yTe&#10;tyYfXqhJgFg8dQx8Fhyti80NsuLwiUle6j0bcMLx+AIbZw72VXL8W5S9m79guPxBgCwhthPsktff&#10;aqu/ekx2qVkCjthPjTO+2zvt7BfT4fXFIxI4fvPUzG55Q7e8DtKD1OLSiZ1E5bSPbnfbaruVIn2I&#10;KFs+LC7ODk6P9VYJb8HWL87Ec1fH2IB37lDfT77QJKbq6DjZmdzV1IsNFynfXREX6kx4fACVSi0v&#10;L+/t7SXvH+LpgWTuGaOzs9PPj1xWE2DQqaU5o0EgHk0FJNPwjV91eeyCzPAp6f631fxBsGvHZcR+&#10;K7XYhv/YEdCC6ZNGN0yLPLqtpLtDMSDj2bB78pq0KPcQX7vD5MA37OLhd104XONoY6y8ZyBhN0/W&#10;eDlZEEqXEuVODDMEjV63KBukf8/qycqJ8beqrx+vaSiPwntjSRwcHBobG8l7hnjaIJl79vj9998X&#10;L17M4/HIKqVDMRXoLp+dcqeVXNh2YBNPnYB1yFIoOiXZwV39ujJIu9dR/dGKPMIlAXfm2jEijfjb&#10;z8X6uhw2k56b5KM+dmyE25KZiVhcTKMWZoz66Uuy2REkLznCfe97/bYAx03cvqvcHu9wgEyICHJ8&#10;e256VX6YyMpQbUs2bDHnjUuyhdaQmATc7dra2n/961/k3UKMAJDMPaucP38+NTWVGKkAwD9eLhZQ&#10;D3seNvlckhbtAx+pyAvt1hR5gUE1Lswc5e9JLuP+xixyS9Y7bXU2pgYt2ys1Djwe4fb13koGDVvT&#10;DXLJUJ+7tD6ReCSsWTC+LCdYve8C3rp4WAwOmreLlaWJfpi/w6s18fjqwaBxpDMIWt+4sTA8QPjg&#10;DmCEhYWdPn2avEOIEQOSuWeY+/fv792718nJiaxkOlhPZEyI86HNRRodLpCwikmh4qnhyg1Vyga1&#10;93arzNnWpH2PVF+XDSd0sje5jUdtEK6ODXR45vw4wnrk0lHetgL9vp4BX1fLvWum/HRI5mJnAj9Z&#10;JT1hhJZ1d8jgL7x+cBycwZr2XRWZ47zBPSRPh69svn79ejQJf2SCZO6Z55dfflm0aJGBATatkgCq&#10;X3qsx6md5eqq1INvN0W4JOoGlblxQ0FsqAvoQlV+KLgpYFvfwFYqfqE86jVZgkr6Z8Xgd70iiZeV&#10;xC2qSzLS5xLRKI1KyRzn7+lic2Dd/1jbijA4yT255Ot9lQUZgWwGNqkOh8LhcGbOnIlWixvJIJnT&#10;Em7cuFFZWalYyglg0mnZSb7Ht5c8ugsG7p6kIHz5iylQpb/ZV8XCZshSQv2FdzsaAtytOndXqqQf&#10;FFNylIbQOndX+LladcvrfvyyujgzCDKHQqwTokPJSfK7217X2/GwBV3g2fDV3oqSrFG8B5s2ADQa&#10;LTc3Fw36HfkgmdMqzp49CxUPqh9ZEXHPLiXSvXFD4UOW/AaDGn6hqWrj0hxDPq9pS8k9+YzeTnF2&#10;og9oAXg9axZO9ne37pEPbavckOpdT4c0wMOmfRe22SNoVvOHpeH4MqWQRVQKxdZMsOvtieoXcK9T&#10;3CuXgl+cl+JPTOAngA+OGzeuvb2dzHfEyAbJnBby1VdfZWRkULGNVHB/Ba/JYf7CrW/m4Es/aohY&#10;oYY3by6MCHJiMWjZib63TmFpjmwtwYfyU/h6uvVlkUMhQ/84IcGXtBTDN+5ZlXundaja/sBRnV0Z&#10;XV8ehQ8AxI70dMg2LMpKiXR7vSHxhwPT1deA6e6o3fve5IRwN6L74gGUyMhINOL32QLJnNYCYpeT&#10;k0On9/kggMja6FVp/PkmqPaq3YtgEN6eb5JsXDThbhtW5+G/UaMdMd9FR+fzD6YopxwUg2sYH+PB&#10;pFPln05bVJsAX7OoNk55xMbg2uoFmeCRTUkPPL6tSHEQrkHlG+G/Px+teWtOqpezBfmUwIHHBnhw&#10;LS0tZP4inh2QzGk5Z86cKSsrU54SC+hymXmpfgfWTe1qr324j7bvvXwLYz2o7ZKCMXdbB12AxO/O&#10;TdfXZb8iSUwc6+7haHF6T/lQ+Ixgl5slrnYmCeGuK+ekXT6i+i4YBOng3x3bXlqeO9pIn4uPHCRV&#10;jsFgwAOjo6Pj/v37ZLYinimQzD0XXL9+fe7cuZaWfdusQB2GgNTNwXyeOO7bfVUDLcR0rxPCSdn+&#10;tQWSqWEXDv2F+a2PYj0d0vOHpEc/rvF0sfP3dDj2sfjw5im3Tg7YEfwk1tshvtyMjQUBGVVRUjj4&#10;45fi1xuSAjxsaNh+gn0+nEAgkEql586dI/MR8WyCZO454pdfftm6dWtYWBjebNcHi06PCHJcOScV&#10;nyEA4apGlRlk6YHYsK5kLINGNeJzgn0do0PddLHVnHTmS2JUUg6R9coll5tr1r6WkRTpxmX3C+0p&#10;FIqPj8+qVat6enrIvEM8yyCZe+6AyOvrr78Wi8UmJoplu0n/hcOkx4Q6r5id8v2BGT34EiBDFEKC&#10;wZnfeinV0cZwz+qp0yePrS+LbtpcnBbj0bTpkUaxPYYRflyvvOZck+S9BeNToz31uCz8d/e5b3w+&#10;v6io6MSJE3/++SeZX4hnHyRzzy/g3O3cuTMtLY3FImp7H+BkBXjazKqIatpcdLutjuivGHTJg9P2&#10;yOu6O2SOtiZ2lgJipV+VNINicNqu9roTH5W+IokLD3RgY2vh9YNGo0VHR2/YsAEtKKKVIJlD/PfO&#10;nTvvv/9+TEyMYpUnErwd3tiAlx7r9eYLyW07y++2z8S7JknJGxThA/dqen5YRV7oow9jfogpLgmu&#10;s7uj7vRnle/OS5+Y7GdlwleRNgCC95CQkOXLl1+9epXMC4Q2gmQO0cft27fXr1+fnp6up6dHKoFS&#10;QAevTA11kyI85lbH7lsz+eJhzBfD/a8ndcFw6dQwwOUvGe4byq4clR1cX7BQFj8hzsfKVB8f96cK&#10;m82Oi4t75513rly5Qv5yhFaDZA6hgX//+9/79++XSCTu7u4q/RUEIB5MOs3JzgTU5KWqmA/fnCj/&#10;tPzGCVmPvJZYYB3z+DpUlegvmrp6YkdwXxL7il657Oapuq/3VuxcmTdfEpeT5O/haM5mqgakBBQK&#10;RSQSlZWVffrpp2j+6fMGkjnEw7h///7ly5e3bNlSUlLi7OysMtj4AZiwgI7ocpiuItNx4a7lE0Pm&#10;18RtWpr1xfrCb/ZWXm6W3GqtA9cPvC18SAexIPADNex7rWISEDL41J22uistku/+VtW0qXjrGzmv&#10;1Y6ryh+TEuUBoqbPY2v01whAoO3s7CZNmgQh+Y8//oiWD3luQTKHeFRA8q5fv75nz55Zs2ZB0Gdi&#10;YqLR0VNAzI0HYzHphnyunYXAx9Uq1E+YEOGameA7KS2wYEJwaXZIxcQwwspzQuFIfvqorCTfpEi3&#10;MH+hr7u10MrQUJ/HYTGo+OmIWagDAe8KBIKxY8fKZLIdO3ZcunQJdZgiACRziMcEnKMLFy589tln&#10;CxcuzM/P9/f35/P5Dxe+wQXzH3V1vby8srOz586du3PnzjNnzqCdnhHqIJlDDBogfFevXj1+/PjW&#10;rVtB+yorK9PT04ODg+3t7Xk8Hijgw30xdSA9fIrD4djY2AQEBKSkpJSVlc2fP3/jxo3Nzc3grP3+&#10;++/kdyMQA4NkDjFM/Oc//4GY9+zZs52dnUePHj148ODnn38OLpgy+/btO3DgQEtLS0dHB7hm165d&#10;Q5sqIJ4cJHMIBELLQTKHQCC0HCRzCARCy0Eyh0AgtBwkcwgEQstBModAILQcJHMIBELLQTKHQCC0&#10;HCRzCARCy0Eyh0AgtBwkcwgEQstBModAILQcJHMIBELLQTKHQCC0HCRzCARCy0Eyh0AgtBwkcwgE&#10;QstBModAILQcJHMIBELLQTKHQCC0HCRzCARCy0Eyh0AgtBwkcwgEQstBModAILQcJHMIBELLQTKH&#10;QCC0HCRzCARCq/nvf/8fSfInT7+TQowAAAAASUVORK5CYIJQSwMECgAAAAAAAAAhAOxVy5dmoQAA&#10;ZqEAABQAAABkcnMvbWVkaWEvaW1hZ2UzLnBuZ4lQTkcNChoKAAAADUlIRFIAAAEGAAAAQggGAAAA&#10;tYt48gAAAAFzUkdCAK7OHOkAAAAEZ0FNQQAAsY8L/GEFAAAACXBIWXMAAA7DAAAOwwHHb6hkAACg&#10;+0lEQVR4Xu29d2BX1dI1HCAhPSEkdFBsiNSQ3nulBEIXEXsXQXpvSUihJfTQAoTeuxRFxBo7KKKi&#10;KBakd5KQwvrW2ifBq973+bw+9/3vjQ7n/E7Ze/beM2tmdjs2wF7SFzbbjpb4nwKKzgPgET+TfkEl&#10;fuPxHOkK6SrpWhVVn5eQSv8h3SBdJCkP5fUTj9V0mmTlW8nnyphPOamYdJG/zzD/06TLJg2lVVHG&#10;f6qZuVV14bZ+VKKC75fyvRLmUsKSleI6bt3mYxUkHqv5+U+pmn/xqXq7RFI9iXSua2dJJ5mHntGz&#10;Z29f5rtncBtfk7VvgeJK66Yq9Ea5Sbi42ErjVz1POsMCVfDtslsn+Os0372IM5XFJv/b1/kPy6t6&#10;+onlOscESnhuGkeJiAnWi549faeOWSPMytRX2XVcu/gts6/E9+XlVpp8vfwMHyAfrHY+x5Or5P7G&#10;ZabJDK8zB76rOqhg2SrFtvJifV7kUWlcIKm8KpZJqORH8slWLS9FBdMXW+JFcibeT//MSlC7lfIm&#10;m66MaZUwbVXJLfGga1fPsG5Oku0b+Ib3JTdMzrrHLG7wVdX7j3xeeYsl8XJTR/HIYznzulHKjPQM&#10;y/ANr31H0vNlelDEurt1gSeUn7JStQDLXcFyq/ysI8nUJda/0lc1n2Vi37K1fmQqp3kuHsqVznUy&#10;Wcxy3fiBVXOBvLCOyYRSVPkvSGaVHKniOuuF5VV9neHR6FYFH77BWqq4gKtXbpprEhWlf+MCy6C6&#10;Oke+lE5lGS4Un+f75SbtH0jSIeV1imyc4VH8XmbtXaKcXOKTv/FqKbm6UXGZMkV5qrhcRMnwt9Gf&#10;QIGvCRh6kr7c/Uk5eMTOb89i74/nsPOrc9jz5RXsP3IVrx+5hDeO/mro9aPnrN+fW/TmZ1f+46Pe&#10;3/vFFew+dgE7vv4VW7/5DVu+voqtX93EjmNXzfX9Xyq/n3Ho898Mvcnz1784hf3HfsS+YzwnH29+&#10;ehNvfwi89wHw4Qdl+KjoKj768Bw++Pgs3vnkAt87ize+OInXj32D1786bqX38W0c+gjm3b/L75+P&#10;r39+FXtYV7u/uGnqaN8XrJOjZw3t+0Jlu4oDlLzdx8qx96tSluU89nx4hE1TbhTdCJykVaeSYLU8&#10;heTk6XJ8wtb9kFLyMa9/fKEclykDl69fw7lLl3H6yi18/FsFfqJgX6CknKcWfsv3Dl+5iINnf8J3&#10;N/iSlF5pUhpu8v7bP/yEfed+QxG18lNe/4XXrpEu/FaO73++TKG2DILhSkItJRVRqMqv8SoBBDev&#10;4fzHX5rrSvoElfE4+fyOPHz/i6VoxymBJ3n8jLx/zvKc4GtKBgREVDAd5n/6TCWO8LmvKdDvna3A&#10;L1IMKoMR8JuskBLVj1U11/iPwMZcuF1uBPizn37EB8y3iMjw20VWDO9dJy8/MYsPqHlkBV8RvI6e&#10;v6IaNrqutEr4XGmZ4ca8c40kBXqDaZ2ktlXy1jcfkDHVnUm2jLwXs75/QyV/69oVlutXlusHvnvw&#10;B8r+F2dw5HypATmldYzXpbhG4Vl2lLGmKi/j2q1rOMN7H7OuKDr4gowZ0FS5BTb8/zbvVzWZOd66&#10;zQopJ3MEpVO/3cQplvFdavvHKqD4KeM/5PnC98q90pTxNwKEwEOgIDrKxN4jMhT9VIyvLpbjq6ul&#10;+I6oK8BQW18h+JSznCor6XdgKLl1w8YrYkur5sHzN9zVOhs8on7wDLj4D4dr4FB4BU9Cg4CpaOyX&#10;hWZ+6WjmPxbNAkajif8kNPZPR/3AdHgGT4FX0H9+rB+odKeRstEgaCLzmgjPwGnwDMiFV8As1A/I&#10;RqPAiWgSMB7NfJl/h1w07pCPBj5LUd+nAF5+C+AVmG14aOSfhca+M8wzzTrMRTPvBXx2Aer7zWWa&#10;s1A3aBrqBGebo9Kv75tPst7/u/z+5Rg01fDrRVIdNQqcZHgVNfafYnhybZuOBoEz0TR0Bu5iXYZ0&#10;ycB7R8twg21+iY0m62wamUIhw/wbhW7M/IPwfmwBWj62HA8OWIHmKdMR2S8PCX2mITxlKkJ7zEG7&#10;HoUI7LcJIYnz4ZeYjRYPZ6H5E5PR4unRSNt+CBck3BJO0rsEwsQRU3HX4yNw/ws5uKd3FtrGZSEw&#10;Jg8+SXPg02MhmqdOg/9zSzBs4cd46ysqEPm5+i8SfquEAkohlof13veVeGTWHngPWoSHBuSiw+Nz&#10;0a5vDvwfzcP9qVlo+chcNO3J8vZMQ8hTk7H7429x5Ro1gRb46qWbyM7dAP/UNLRlnuGPTscz41fg&#10;IqW6VHSDalwhALBylhpf4z9kx/ze/+5xRPUdhviXF8Dv4amI7D4E73x6Fpf4zGsf/IR2CY8jsNcg&#10;hPQfjien5OMU67kKby0lrKprYowBjNzdP6BltzQEJYxEaspoTBg6B9Rho2QX+NYJKrY8k1N8fs0b&#10;v+G5jAMIfmIZ6qfOgEdiBsL6zUfSE/l4eOIW5O4/h0/Ypj/z5SuqOyXC/C+cOYuR6fMQ2msUHuw4&#10;CR0eno7npq83CnxbD8gbKeeRbXaTB4GCmq9UwFB5DYcOHULCI2PQKmUKmnXKhB/r+uSvJSgTSpXw&#10;yXIVygI6ZSvc2PFlGQbPPoQuA5eTx1w8EDUc94QPQkDPLPQfvxOLD5biRz5v8uLxCuudVVjE3xYw&#10;sKEFDP6kIhu3KXBrXQjH9stg0zYLNX0yUattHuxaz4fjQwvh9NA8OLWeDsc2OXBsNQd2bebBpv0c&#10;2Hj/M6rRbg7TmQeXljy2ngWH1sprEWq1Xgq7VgXmvHabWRaRh9oPFaBWyw2o2XI7bFrugk3rTbBp&#10;t5BpTUcNb/LbfjpqtlmEGiyDTSvea7OB91fApsMSPrOUxPN2a1g2UQHPF5F/luHf8Pa3qP18prOE&#10;eS4xdST+HVvPsIj1I57tWi2Bs/dKOLfNh8P9GWgZPh1HaZ5vsDHkKl9i21dbNDWSXL5+aSxf21dh&#10;E5iF+n23oHbYbNQNSCcYTyH4peGucAJa5Fo4+S9Dm4S1uCtiHmrHzUKNLtmwCX8RTy59w7iP15j+&#10;FR7XHj4Ol8RnYBPyHGw6Z8ExcTaahM7GA+EF5G0x7u66G56dl8IxJhMNk3LQedB67P2kzFiuczcv&#10;U2Cu48Tpk8bCrXrnHO7tlQOb2DGo3TcXNgnpcOqYBYeYyXCKngKH2Gw4JOWiFgGnTuoc3Nc7A+/Q&#10;dEnQjbLzn2FpK1HH9wU0iEyHh89EPBSXidc+umIUWPVQStNdQaW8UizVLOa1MlNHsv5PjFwHT99X&#10;4BIwBLW9X8Q90UPw1onbRiG+I4Pdnp+CpsGPoB7Lek/SUHq/F40CGmCQ/rC+b0uDyMdlUo+RO9Eo&#10;IgN3tXkJ3h2ewM8nK4z3orLL4soL2Pr9DaQMK0SdgJFoRDD1SFrM8i9E/T7r0ZCAf3dQDtt6LBw6&#10;pKHXyE9x8AuWl1pmwgnmKXB7YuRyGrvh8ODz7uFZ8H08BwdOWIEfyshhOa3CrUqU8aeev04+dSSn&#10;BJW5qOP3PBwj0lG321I06ZSNY6f5gBJXyMyHfvzpkpEfeQLD895C1OOLUT9kFNw7vIr7WL+tO85A&#10;q06z0aLjQtTxnwHPkHzEPLEdHzE6PV/l1fFYRLKAgZbFhl6CBQx1MimA2+AUuAG1wxdRUJbANngF&#10;7APXUAjXwdl/Ne8tIy2BQ8Bq2PG6TSiVMJwK9w+oRugSOIXMghstukvAIjgHFDCf1SZt5WkXVAi7&#10;4ALYhpCP0IWoRaoRStBSnqFU+tA15net8DzUiMqATVQmbCKorOHiicAQsQ42MQSOWCp/NMEhcjVs&#10;wjbzPV6nMtlE5PE5Xv83vP0tCmV6wZtRK3Az62IdHAIL4aQyGCpkOdagbvRuuARvgYPPcji3z8V9&#10;EbPwKT0/hYhShEts1Sts0vMU+994LrR/LHcvasTTC3pmpxFAl6RlaJowG/dG0SsIm4pmUXmoH78C&#10;dgHz0CxiMeuP5QjIg21v1klCNgZv+9GkI0UWbf/iAjxTJ8EmhYqcshyOnVaiWcxiNA1aDGc/tm3I&#10;OrhFz4VTZAYcIqYy3dEIeXoZjlLSpHBnK68agXvt2yvwiJ8AG7/xcH+SbZ88jfU6FrUTJ8MtOQNe&#10;nWaiSe+VsEtgnUfMgUOnfDTuNhPvM2Q5Q/k1fQA8PjtpNdzCRuJBKlarzq/hnsgVeGTcdhPOyL29&#10;UHmTNaGI/BzB83uqzhWjqJs+KEGL5EVonlyIxh3no1lKHpVkGrYcZ8hCRBGv6w5+Be9OI9A0PoOG&#10;bTAeydxEq0+wkYYJHfhcxaVKc7rtvZOoF5qO+5OW44GAcRjw9HyU87kL1NHv+Y5AIf+j03iofzZs&#10;2w5Cs9i5qCf5CphJWZoLGwJCg9A8NA+di5ZdN6FRNGX6vkx6dOvx+uEK04d1/lqZaYO+o7bDJWgW&#10;GnXeB7eYtbAPGY2+kxaxXMzotkIsaWcZbjNv08djsYr1u9/F/VHPwIltb9uJ9fbIa2jSZyneOHaR&#10;4KMnyo2zUUow+4H1/MLEA2hIr75JeAbc/caicdRklnEcarR4kQZ1KBpG0ahErIRL4Frcl7gWcf2m&#10;Y8ehbw2oCBgOHr1pAQMr3Mb2vln+pCISX9pCa0hLSvfXxp8WKDCfx+Ww8aUi+FEp/RewYqhU/lSo&#10;AP4O4rPBfCaI9B8fKaghk1AzMA01fRehZgcqtC/T9GOa/iLm4c98CUQ2IXw2jPwYIm9EPJsg3edz&#10;AbTeIQSGsDQqK5UklNfCyHMEn4kmWETzegTf1/VAKrPe07NhFHKl+7f5/dNR6Sg9ApmpI4KbqR9D&#10;PFd9Ba6i9ed5u7lUwpm4NzYHxynB59nyAoZrbJJrVIAr9BXO0y5KoXtmUOn8B8Gh2yK4pRbghRXn&#10;kX+oHAUHLmLxzp+Rt/UUct8oxYz95Zi7uxRPz/yaz22Ax4D9FNhcPLfypEnnLK3PJQrnlqLTcE+c&#10;BCem5dhtHWInHkPujjIs2nUbS98E5u4FRiz6EqFPL0SjrrPg0Xk2yzYOj8w4aNzok6UlBhgGZGxC&#10;jeA0NH18N+y75sOzz1xM3ncGM+li5x++gvlv3sSM14HIYYfh0rEAdbsuh0fcVBRR7s+SDwsICQyZ&#10;O2h4xsOryxo0jNgH53Yr4RgwBss+vmhidYHDLaNOstmnCAw3TP9H8uDtqB1ADyxyE+okLIFj9DQC&#10;0ixs/dnqiNQb35ypRCLDk2bJDCGT5qJ+p/E4wETlsRhtEwNUJCnCE2kFcA/JQoOoRbgvcBw27P4Z&#10;16vaRekd5D/t+tO6Rk6Cu/dEuuJ5CHl4PZ7K/hzT3qrERiLHjC1X8cTE91GHYXFdegMhj25HE9+x&#10;iOo8Ap9+ddZ4OgzC0G30a6jhvxDuCe/Ao+NBWv/paNNnMt49+TPZIXeV5Eg9qTw1XQtU9LPEin4v&#10;58I9YCAaP0oPOWEj23c5GjyyCu/9SEBguldv3jAAIp6fGrENLi2G4iF6NHX8JsG79wJ0HrYW07af&#10;xK5vgcWHb6F/+oe4O3kpQSofdycug3PLx9H5yWwQEAwwPDpuowUMpysvGmBw9skvsn9oEjxjKMw+&#10;2agZT2sQReWhoNmEEwjCqAhhsrJCyxkWYsrqhueiJhW1VujM//hoE0GljRlrWfogFjpgB2oGL0NN&#10;IrAN3WeTZwivh65nfsyLrq5NTDoVXS5zPmoGrYKzz3q4+qylYC1FrWC6eKFU0HBSJM9jmEbcFFpd&#10;UiTzY3o1g5fzuXzYhk+CbeRYehuZf5vfPx9twpk+LbZNBMOUCIJBhH6rXLqnepuLmpEEhZC5qB0y&#10;gx7FWFqYgThGNP6RLXmNElBMQCg34w9ymxmD8+yFnPW0KIPglpRJRZ2BrWxUucPqy5KAS3GkqFJ+&#10;XV926DTq0k106Uxg9cvEoMXfGQsry3ObArb/g19RL3ws3OJZh6HT8PS84/iZ9yRMp/ngTT6jdNce&#10;/Bgt+2TAKXkmHBhatHp2E3Z/V27yePObMjQOfRUN4hfDKXQB2j28DEW8IT2T8Ot9KdvP/PHkhDdQ&#10;NzgddcIy0aZ7Hr7htbOUXuWntHqO34gabEf3bpvQOOFt3JVwCM4xc9Fz5kG8T6UQHFypPI+ySsHE&#10;OZPu4jfO0auZDcf4nXDrchCeKetQp/M8ePVZjM18QaHTDRZYLnHh7u8NMNjSGNSkUr+6/FOcpiWW&#10;y23CeZb9vZ9K0LLXONRNmo06kbPQ59UNps6Ul9rg7R9vI+Jxvn//S3ggcg46EBQefWoz3vvYeuYn&#10;8vkd6Wump3bYdqISgU8x9At9Bk0D+uCZIVNw+to1+oGlpq1SJ+5HvS5bULfLJ/DoVASXaCpnyHA8&#10;m7MK390oZtuLczJJHo0HQB6Xrv8GTf1fgWvoVHg++SZs+h2ETdJq1O+/AkWnKlHC51T3v7JuZ646&#10;hvvD0tE6YQVa0aO6izo1h6CtcSyKD06SNAL0PWkfXbPHs9+gF/QM2vXIZIjzLAgIAoffgeEartu4&#10;PTDDAINL+8nwjKYy8lgrMYsCPpFEEKCA29CNtwkTGEynkjHGjJQbPgc1KfC1g6f/I6oRxjwYm9pE&#10;M4+grQQGus4h863rYcwnlG5bMN1jkXhQvhFZDB9moFbQQjj6LYVnuxWkQrh6r0NtXz4XQCAJpsVl&#10;KGTDBreJZFrhOQSEuXSRGQL5FdDFnw+HYLrNIRPJR9Zf+Pq7VJNhkE243GbmRdfZhmGCqR9RuOqN&#10;dRSch5oR9BaiZsLebzgb4SmjlBepjBbmS90pirIYvHaZGvbCpPWoGzISDZKmUcCn4h1KnpTqunon&#10;KWqVtEESOUWV15hG4ZufwCV8pOknUEiQtuo3I1gSMlnHN98+yTBkEu7qtISe2SQMnP+xUYJb/M/0&#10;tiuwrdDQVSUez9xCfqeiRhI9HQLdiveLjTLPXH0EHm1fhnefHbBpOQmTFh0zaWjYs7yYZyoKSbH1&#10;wDHb0Zgg2DwmGw/ETsaXdHHlvUihlFavSQy/EnLgmEJQD9uGxon74Zyk0Gw05n1yyXgN5xm+3Ga9&#10;3Cy7YRS109DtrMs5sEveA/feh2hMFsAhkSCdOAVbiaumPLeYOcsjoGvdcz68UleidtJ8NO89H29+&#10;ZYGXhj7VVzF27YdwiBmGOh3noCGBMHfrCWPZL/D983x/3XsX0DRiLNqnrEC9Vhno99hOfPmZEiCZ&#10;trtBpSw2wPg1m0VKt++nXxD11AuYvKjA5HW1XP5gqeXtjN+Mut3Wokb4bgLWPjRK3owGsdPhFPwc&#10;9v1wg2B/m2mWmiZTB6RGjboOWIH7adDqJxXQuLF++r8Gm+4r4d5zFo4yQw1mqNxfER3inlqEBgFZ&#10;aBi8CM0i8zHvtRsmFBIonSOnGsi8xPRlVNQG2z47hZShuZSvMbD1GYgHuhqv4XdguIFbd4DBueVU&#10;WuB8OITTAtI1Mp6BAIFxvg3jfXMMUwwvi043OnSJUVCjaP+AagQzrQQqVRwtfPQ+psswJiCdwDCJ&#10;riaVzIcWWK6491I4JyxHjaDZsA9YDvu2S3Bf7AZ4tZsF9wcYT/nOQZNgxvI+B/gO0wlhBYbRvfed&#10;C8coHh9iPi2X4+74Q4y71sLm/hlwp/dg5zedfMz9C19/l2oFyhuQQKvPg3WmupK3Y4jnIayjEHpA&#10;wUthF5gLpw7j0DJhHI5S0SU4subVyss2M0KnIfbBkw7Cy38qmsblMw6ch9ePWRaksoSSoGE/ehll&#10;bGrN6bhJ2vLeh2gQMxz1kufBLXQ6xi8+blxRlDHRijK88+5x3Bc1Bo3iZsM5NANDFhcZgdZ8CON/&#10;VEh8TlEwizFx5Qf0hqaiZux6uCdvwPJDlaZ/YOH679HQezDujs2HY7sJWLD1e6Po0sTiizTZklI+&#10;p8MrY7agVWwGGgaOQYdOU/ERLZSU9TLvK8dH07eiZswU2HdcTCBbirtSthEY2E6hjM+HF4I6bARe&#10;VaKh093vlcHFPxO2Ucvh1HMnahFQ7Dvmw51hT/3e6Vh3/LpsLeuPlVRWaeZJrPmwggqYafpTbMNm&#10;YejcD83cCin/EWLxPY/mwbFzLu9NRcSLa/Ej31GdiPRM7DPT0CQmjR7AXHoMS7Bqq9U2Ar+yWyVs&#10;NvkC1w1g653v+fssa+Tbmz+xjAK1UpI6TcuMP9hxgry50XDrvJVe4AE0jlmJezsthTs987BXlxov&#10;6QxbVOlpBHY9FfvuDploFVcI+6AFcH1sN2o+Sf0IHYPmA2bgR4Y5t1g3em/h4a/RJJbAH7sYnoEL&#10;0XvM52YoWOHQFfL4W8UxpvstWdc8HvFdinNlV7DijQ/gHj2E3lcuXOMy5DUUESAsYCjBbQMMpCK3&#10;B6bBxXsZXUUqo1+VpyAwUCdjAK2xjhJ2xeqhvE6lqBlYQEtMwf8HZNKOYl4aGWhLgIlbhXpsbJt2&#10;g+ARtYRoWogGifQiWpGXDmmw9cuCmzfjp1bk895H0PmZdPh2fQ71A56Bzb0EsgcZcvgRHAgSFpjJ&#10;+1kCT6J0vaC9sGk8j+CxAm685xJRAHuCm7yIf8fb3yGV3SaIdSIKJkAQAGoQsW2CWUdBukdhCFpN&#10;8FwJe/8FcPaejNa0oMdoEsvZ+LJud4BBQkcqJg2c9C48/GdQkZfjnsRFOPAlgYTPVspvlGdB0atk&#10;k0swb1IYN773GerFjIZX8gJ6DjkYt/QL3tOzsrXX8eYHR9AyeSLqJ7I9W4/GU7nvG6G5UHpBPgPO&#10;XtGEK1pnXnsqazfsgrLhEq9RnZkEHbrMxI23aC3vDRqC+zouQCNa+6ABaUbgxY1YN5NzmMBvVLqn&#10;x+xCo9ApFNRstO2ShQ9pMpX2VT4ohX9iykbUjh4Pp455aP3oKvSb9jW8utJ76LSM7vZUpO/40ijn&#10;edbLWb6Y0K8QHuHz4ZK8Cq1HvovQrM9hl5gH1+RMNO49Ftu+uWzNgzDgyn9YV+8RfONHUw4iFjKv&#10;pfDtvwxfMi1Z9hkHvodzN3kfi+ARMxM5m3/GT1R41dY1vvzhb+cZKo2DO4GhXnIBQp89jHVvAyeI&#10;LF+rP+NqGU4THE5cvoLjpyvxCyvhEhvxioEEhYSsBM25IFCJJVnoLlNWwLkjQ/VuK9CEwDZg8jHW&#10;z1zYx81D/Z55mHP4S6Pk4u8jnsQ8XIAWIflo5LMAiUOP4qER78CmDw1c0gS0eHQqvj3ByiTPev7l&#10;5btRO2AY6kcuwP0dN7I8t014IxAuIT+3NJnO+A+ncbtU3AhGb+C7KwynHiE4Jsn7z4B737W/AwMZ&#10;/xdgmEFgWA7nEAq6rzrrGDdTuGsQFGr6bySto9WmQofIUgoYKPiymOb8H5AsbRCBIXkLY9oVjPmp&#10;/AEvUMmfRqOQzbC5ZyXceL+mz1S4UpDqxU6Al99ktEsYgrbJjbDl6Bj4PtUIjbp1gEPEQNRmrF8z&#10;ZhvBhkJNayuL5BBBb+SuaajH9OoErUVNb5bLOxO14qm87RmayNL/O97+FrHsAgUCZo1AgSTzD6K7&#10;zqN+16C3UzNwPcu0Gg6++XBpl4G2MRn4iopSIUCgAOvA9jVHeRGyak9lHIZ9yDR4JC9HQyrLjuMU&#10;Wgp+sR4QmFDoJHCyLvIfVr37C9yohK6dlsOOIcvQFV8YBbxF9SqneGx57wM06TIJ9XqyrkPm4LkV&#10;5427Lj/hBDP+jmkKKLYfvYp2fRbAPXw2HuqxGx1S1+EzytM1MvgblSqoxyTYBw7Hg08VwDb5RTy3&#10;9hDWf1eOTymjmol4hM+8T4b6ZR+hlzQNjtEzcX+3GXiH0isA0XwE8fzM5DVwjRgF945T0ar/DCz5&#10;BAh/9R221Vx4JWbDZ8AsE79LhFfvA+zvGQEvhg5Neq/CoN1X8czG07CLI3jFTUaz7kPw2teEkeoK&#10;vMmSl98y7y585yocoubAKaYAzsHpyD1wBcRYhA4rgGOqPLzZCHp0o5k4dJ4VeuHWNfJXig2fFKFh&#10;V8pTp3R6tAvhmroGoUPfQPhLa+DXLxNRz06D32PZaNd9Cjr3ZeiWvQ+nmfcN1naJGVZgJmoglreU&#10;dSeQ60pgqNdjCq3zbDTtPB+7jwJRT6wzYaYUM+TVXDMDU30AWVu/hnPrEbiXXm2zgDlYTFBKnvkF&#10;QWESHOkhtew7AV8eoZ/CtPVO5JjpsAseDs/o+Wjfeyfrw2pPAZ3a3/gVZtSDDa3IVbjA+lWb9Mh8&#10;C7ZdFsGpOx2C7suK6DlUewwVNq735xhg4NF4DM4hFCDfmaw4WvJAKpb/atSgC17DfyUVgWARzOvq&#10;6DPew/+GmF4S3X7/ZUwvEx6xo+AZ1h/3xYxC88C1aB70Olx96Qr6ZNFtHwynkJfwUKccDJmZjzmv&#10;dcKR289hwy8vYfjuUfAbMg01o4l87enCewvQ0sjfKNSJyYR7cAbLlYUHutB6+xMMvNNQqwsVWn0D&#10;VSHRPyKVn/VTg+FNzYDFpHwCwQICAj0VjaQEqr7WkvdVcPCjNW+fRmCYjK+olQIGhRKK629KoNhI&#10;akhZjQE5+1Azcgqcu+TDK2Uhtnxrof91CZuAgX9qWz0vIFn5zjU4xc6ma0x3PCYXgwq/MMJ4nbCh&#10;CH37F8fgQktj141ATHfcb9QnyNp9AbP3nMZCegTz3wfGb/0Rfs/mo2mnPFqeWahLD+3hV7abiUfi&#10;7RLznbbmHdT2ex4O9D5cH8tk2w1Gm6Fr4T90Cx56YomZkNXyyU2om0rAjF2Ien3XoFmPWThE18JY&#10;YyqKhPH5SStRJ5zKnjSFgDUEh6jLs14H7LwnonWvpagTOArL3rqF43w+9JF1aB47z3TARQ7fid1E&#10;licKjsI2fArqJExlGDIEu788a2YNGmW8zpq6ccF4KEf5T/hAxvShM+GZmIvAl9Zi4acVqNOZlrvP&#10;OnqX0zBm3ndmTslNgVbpJb5XjJXvvQOPzi/DoWcu7PvTyKjTNp7lDR9mDJBnwli63pmMyxfD655B&#10;eJ6hiPJTPZVR4SrJYwnbWKOQ6oNRW6RMWg372OFwS8rC3Z1ngI4GZm36BQ7RuagZl4u6SSOw6OOL&#10;eJ11Efz8Eoa9M+HWfhJSX9qLb8lfn7wjDLdHw7N3Du5PHYtjx1ijvC6ge+jZsazLdDROXozWPTbg&#10;EA2PgFF1LU8Qt0kSGIGCLopZnmueS58ZH1EmZspbEEAU0XOwgIHOqI1tqxn+pCKnB9Pg6LvA6mMI&#10;YEWod11Dc4HLKPwkCXyIAGMaiZbXjBzMYYX9QwoluITTwrelpW2fDvvWj6G+XyRGzloL75iFsG2U&#10;i1otlsDebzHcY6fDOZzAETIcXYcOxcc3x+NzPIXt58eie+5jTOtRur4ZVKgdsI/fgdqxU+EU/Tyv&#10;xWL8in2o0/4R2DR/jC49ASOILrX6BzoyZgtnmf4db3+HVPageQSDOfQU6JIFzaSlnM5wQvUm8FR9&#10;LUPNkMWwD8iFc4dxaB03Bsfo56kPQPP2b7KF1JF4g8dL/C3X8JGZG6ngw+DUbRo8U3OwmWbEKLpC&#10;DlkjPichlPUVMBQeLv0DMLxSeNwIxjWaLD3z2onzqBk1FjW70mPquZcCsB71ErLQuudshmyz4RA5&#10;m275LIZyU9CIQtsgfByi+87EFxQwyZLyOlus2f4a4tuOOom0XH0Jwh0zCAAk31Gs/8lw7TIPtRnO&#10;OHRleNmDvCTPRuNeM/DGGSuEuEolsYBhFYFhlAGG+3oOxwGioRzdhOc2oFm4OtCmIvGVAxhZeAHO&#10;gZOMIjVKHI2pu38waxsennYQdrzeuONs3JsyHnu+uIpipm1impLr1AN5ShaYznvjCr0TPtt1Dtzi&#10;CS4jd8E9ORuOcfSK+qzEB7Sumrtg6pUKpPh726dfoW6nUbDlO7X6si16LEeTp5birkez0SiFfBMY&#10;nMOy6LYvRcuAiXhp8DpTLk1YM56LAEoXqIwCBhYf3TN2EYgYzyfnoQXD5e/YMJouHvIiQ3TvkXCL&#10;GIek0TvxzOITcI4iYCZNQ/2wMSgk/woLeqTRskdOhluXXDRJHo8TP9024aX6Y9o+OxkNkrPQNHE+&#10;WndbjkMnLXm5QWYqJQFaMyR+1AhVHoOWYah+euZ8QDmeCY9eawww1IiYZQHDlTvAMKvIoRWVk7Gw&#10;XHKbQAKDhvjUn8CYvAZj5hrBmmCkvgda3epedymHRiv+CYXQuvssggtdb+/UlYh+ZAJ6Dk7Crk8L&#10;8OKU6QjqPg13xRTSg1lJt3EB3BLJT+thqBuairVHMrC46FGsOz4H0a8+AZtWA+jm5sMj+g3TX1HT&#10;7zm0ebg/ug1LwTundmPAiGcRO2AoHuwyHbUCyHc7Ugi9oTB5Df+Gt79DoXPNaEet4DzSLNQKYdqk&#10;GqGzzD1rPgW9IQKgbWAuHHzU+TgGR2lBJTsCBi0Mu0lUV1+BFjIZj2EGvYyYV+DaLQP1UtOwncCg&#10;Ni3VfGTNdKukn8FTpSHUX3v4Mj2jaSZGr0X3fcjyE6bRZRjOU6tf+/KaCdNc+m5D3SffRo0klrvt&#10;y/BgWODqm46a9A48u8+Dc2e6zn7PInTAVCzd/iHO8V2qHNMpxvXb1uzDkwwVcrdehle3fNTtvxYN&#10;B6yiK5zN2DmPVpZAHqOh5Kmw674Itikz0LhPOt5gzKIOustUGgHVM5PXwzV8Iq0kwenh8Vjx3s9W&#10;KEPPxa3FYNbREtSLWoJGXZajUQ8an1a90Xn0fByh4msS1JPZh+m5TDGjLPenZGEvlfuqPCmjmPKR&#10;pQxW+U8yz8iXFsEtjqFUt7lmHkbjlHzU6DAW4wvoLfC9KxeovZUyqZdxjcDywcnruJ+gaRPFNoxc&#10;hDaj3sOcI8Buaviub27gML2BtwmaRTweYhj0yfEyo3fKr1SKp4ahZt5kO2u6sfpi+uS8TSMyGQ07&#10;F6BV9wU4dOyGqZO8/Wdg5zMUjWKnoXnKEgJHAVzima/3C3g4bSN+ZHEU8nUZuRNOkdPgHL8A9Qnq&#10;35AXrZ9R6JE8dhlcQ8ajUWQu2qYuxk7yarV/MYpv620yJJ7IpCKKChZXP2U8Ok7eD9vEhXDpwny7&#10;FBR5JeVZwHABt+8AA4+w9VuOWhF0s2nhbCLpkoeqU42/1RegDrVQAQEFX4AQavXMa9LJPyH17HtF&#10;sxLuG4gHwiYibeFivH/6FXx4pSve+GUQCj9ZjIiB+bANYSPdPYz558EtcjUeJCr2HTcf3l2749Xp&#10;8xDScyTqtJkItzaMkx5ax1g+F/HPTULe9in46PRQfHv5FXz0zWTMWTkZcQPS4BGUCec4KmwQ3f+g&#10;f8/b3yF1XKr8NYPnG4CoGZKHGiTNW7DCDdZd2FoeVXcLYOubhhYJk/EZJUVCJAMny1ZtsNRYatBn&#10;srbAiW6rV+dMNE1Jwz6aSd3DTT59iwJ8iy2s5YcUDB22vXUCDaNHol7HXLhEZGLMku9wk9dlFaQn&#10;Bz66TcCcQaAhL/FLULfnMgQ9PYdAmY0ujy5k/c1C857peOiZbDw2cx0+umh5GhoQVWeaPJpyBqXS&#10;N7kPx4/TSiUVopH6adoMRMgzC5G+/nvMoObkHSpGMC1ondRpDCnS0bz3GBw+o65SggN5kjI8MWUr&#10;XfIsutV5uKvLaGz46Jwpt/Sz5zObzSiAR7SG9uahYf9pqBHTG0s/OWIspwDkuSnvwiNgJhonLMU9&#10;tMD7Tliek6kjVWQxC62qYn5Kd8Fb36JB5wlomDofDmG5qB87H626zMIHRBl5Qzeuk6vbTIG+fyld&#10;j9MsZ8eBb8I+aAWBfgX8X9yP3cxDaQk+lIXWWlSvJFWYJFKbXtXQixpVjcv8dU1eYLc0hmHR8nzX&#10;oF2vVQSGK+YdDTV2HrQa95GnRpEr4RC6ht7KKngkj8KmExeN5RelMoxyply5xK5Do475+JAypDKr&#10;r2hU4adm/U7j8Jm4h6Hz1MKPzL3rfJOloZiQUfKkiVNXybB4vsQnXv/tS9zdJwt2MfNAT0Few78C&#10;A/4FGGYRGFaiVjjjr2pgqO5gM8RzCX2YPIX5xuKbuQH+1bSoinjutxS1/Qt4XEF0L4SDL4nnum6e&#10;CVgIR03jbTsezWNy4PHQc2geEoyC91LxSXk/nEA22jzRjG5qd7NWwCZyGRwTGHa0L0T9mM1w9aMF&#10;bDeQQPA4GgWMQdPgpfDssB4uD61HXe/ZuDusHx5MaIaiX0fiszPPExxmIyy1JTzbdUbt1qPNMKtt&#10;yCozuvCv/Nb259Eo/sIqsoDPzH8g/46+ogI4+Vrv1QpcQnD5HRxqGFCgJ2SGLxnTa3KWpk4HEeB8&#10;MwgMaXeAwfSkU3iqSeGFFOiFqVtQJ2QYGtHlvadTJvbRIkqAK7VEW+uLBQyllgBW8r3tb31NYBhO&#10;YJhpAcPik1qgaGXCF3e+fh0NYxhnpxKgwqejx4xP8Bal9f2vb+CjI9fxPU3HgR9u4QsmL8U7XVlC&#10;odIC3fMUoov8T+fMjvdPUxKnTP0cjf3moGH4fDPpaeaGz4z1OUX+ZdF7TN5Bj3MIPYh03NNzIg4z&#10;UQGC5ghIuR6fsg216XG6JuZTSelB0YqpE/USMzlIr6H+QyPQLGEZGqUSeMKfQuesOWYugFxyvd9v&#10;6B7UI2jIq2gSPd2sYFX6Kq4FDEyI9aJp0LKX4snvecpqRBraProdLj5peHryAaM85h2jokxdKxnJ&#10;o0B1UNa3aBhRiLqRq+AamI0JBR/iN1Y5b1mowHPLQy/m22VU/tum7g599guOfnkWN7SKjWmp3gRo&#10;USMOwjGJwExD0qZvIb5kdspbPOTv/h53R+agTuB8tOi9n+CQgx4TV5r3qoGhx9hDRmZdk7ahadeV&#10;eOs7a6q1yrf6vat4kKHHPTGz4Nx2GDq+sgxHb9w2g9pXyaGomPVyk/yYeRp858uKUxi5fikcI1+h&#10;AVrAsC4P4wreLwp4Ym51KPE7MDi0nAZ732VstJUEhmlmgovpYCMg1AgshIbnLOGnt6AwIJgKQWZr&#10;BUkpNNnJspi6r7DDeBh+FMaADagdupXu3HZamFyGBMt4L4PvTYUzQxe7h7Lh6jMKjWMfw/yiDRix&#10;dQzSDixExylpRPgRJv0aAQQr/62oodGRwBWwC54Bu9A01AxjjBuUw2dWwjFkOxw6bIVtq3moHzoR&#10;3r0GYcnbWzBx3STMfC0f8YMGola7R+CiadDtVsEx/DXYdJjHGHsRHKMIEpGFsIsm+Gk+fChdYk28&#10;UsjEsMCMOgSsQW3fNRZA+FngJo+jhkYiqr0G1oOZn6F6E6jKW2DIYhvAfDpMRsv4iWYewx3rxpPK&#10;KxQfnl+8WWoU5PHJK9E0nq5hQjYe7DHXjEpI8QQaFbdpispo0jQ9jvJ5g6+uev0nuEZNRMN+a2AX&#10;m4tXl/xoXGRjtZj+njfPoXkyY1b1xPuOx3P51nCgeBB+6DEJsH5r+e3vdvA671lusp7/mpK8ga5z&#10;k0TWX9AseCbNR8qgJfiG2voT8UrPyIL1m/oa7MLpESTk4+6u+Sii1v7I+0rxN5az/8T1FERaz6QV&#10;8IpLx75vrRBDsf5lPjt6kuaoPIYG4S+jQdwzeO37K/iZTGoauQDgiQn7+V4+mnWm9e08Gwc+sTpv&#10;TX0yzEIJc7pdCeoGvuNP9dwPXMHYPSYDzbtSNsLG4hNq8VkW9Sa199ptDddqilExLt+wyvs+43Rv&#10;hkOeUZRn7wlo1XsO5uz91Si/7stTU3YCCrWZwKfgk9sEtAloETkcq9Z8jNNEM/UD6J3YcR9Rnhaj&#10;RvxC3J06HV+zzlT38kB+Zdlin1+Ce7vmwj2URi58MD769iqu8KbaRMofN+59YxxtYlagSeeFOE7j&#10;csvwD/xAYH1q/Da4eg/D3UkL0CR5LjqN22VmPao9lL/kp/qo0Gb6nnfQgvpxX9/psHnoGRAQ8Po3&#10;t34HhqsMJQgIBhicWubQsi+BfTgVOoCKoc5HAoD6F6SMtQKXUgGrhZ+Kr3uKpzVLMYwKZEIMeRPV&#10;VpMWVd6HPy1nayoKFcqmbR49gLlwi50Fh+AsouQyon8BmneeB4+4ofB5MQ02LYNRr+tzeICurpTf&#10;AI+GSv03m6HTO56L+jg0NVvDqrTOtcI2w1bA0S4frsG5uKfLdHhEPgX7wC5o//ireKAvY+qo0cyH&#10;z7dnGgQHz/hVTJvlbDGVlAkbHwEB070zg1HpVym5XEvWQW0iu0Mgy8HQRt6C5i38ARjEm+YyaC6F&#10;Rl5CltEzmQOnDpPQKm48viQwqLtAFsXooSSEPyTcsohPT12JBmGv0gtgPBybgU1fWlZHDWs2YZG4&#10;qPub7ymdde9cILBNhnM3Kn5EDl7O/9b0PZh0+dib75/HXQxh6qey3IHj8fScjwzIaBagBFtz7iwR&#10;lJhSytSLbXaAsWbinalS+iM8th6wwHRUevVZA6fYLKw6fNootZRFaYrHPpO2wJmuad3EQtzbbTU+&#10;5QMSbgGDFPupjI0MFVgfWqPQYw72U4KvsVhmZIGsrF1/EOHdXsEDMY/jpRnr8BPLovSlBErjsfE7&#10;6cVl0bLOxN0RI82eGlpEJENuJnWVleDa9VLDl+pt1w9Am8dWoGGnGbDvMBDPZOzCKSamNNXZaMXh&#10;SrkY1+htqCZ+ZlkzVx9Ho5gpaJA8E85R6aiflIkX8t7BF3xUZVXIoWfPkfcXF3wOu6ipqJMwE/Uj&#10;xiEodjDmzdmLG3xAqceOp2InLYJdpzlowvDwBDVUsb6aSXzkbDnK0Ggo3AOewPDpm6yGIWBospaU&#10;OWEKgaUzjVenFQTE2TipzijZE96X3Kw7+Cu8UzNp2MdRxmehafclCHhhHfbzOe3roXrQK1oYl77h&#10;UwQ+MYehyWC4hA/H3V0myFvAwRO3inj8IzCQ/nNgUH9DxGQq50QLHDSF2SiR3GgqjMChTRatFL0J&#10;33w0jN2ExpEbYNdiFl1QWtp7J9Kyz4dde4LBAy8TNJ7Hvb2nwj70RXgkjoBb/AQLGIJnGQU0HaD0&#10;XAwwyBuRVdaQIxVSLlqtsELYqqPUdy4Vl8JL1+q+VLpXrAANdTqGDqbiD0JNv7GwDcyBvf8MOLXP&#10;JNLmoHH0MtzdcR2ctB6kA8FBXkCYpljTyxGpj4UKXyN8KvOZSL4mM/7MsbyDfwoMIkkWBURW+3Rx&#10;sQGGZ9KXmzUVD3WdgRadc/AGLY8U7kf6xhreNC+Zucj8n2msOfgT3GLGwbnTbDjE5WDo0uNmBEAr&#10;efXMYcbwDaJGoEFqHuzj0vD4rLeNgl5WRxSPYsOglDRL/rEhIRaj0+tWp+NvfDB91SfwDBsC9+hJ&#10;ZgFTz4xD+JpCp/taD3mJ7wtA+oxZDk+Ghw0SF+NeWrePeVHz+QU1BvimrDJLjz3pUTzQfQb2fEUX&#10;l9Jt5mkwn0tMc+c7J7Fs35d4+5RmY1jvyguSsr+QvhP1YmeiWZd5aNllNN770ZoxqDpUYa5cqcDo&#10;ifl4duRKvJjzPmIH7oZ7ZDbqxWfi3qSRZuMSwcCNcqkk6Ra5qmCNaEKYNlZhGiqTRg2SX12JJl2z&#10;4RyfgWa983Fvr/lompyOhBeXIavwc/R/ZT6iH86me5+HJg+vhFsyZefB/uj73FScZ5IXyJgUO3H8&#10;AbimLoRHt3loljQe3zGUK710y8xmFd9q3wIC+JKDp/Cr2k0NU1qJm+RBdZYw/iCcuy6Ha9elaBQ/&#10;Bd/SRSk+z4f4v2TgN76zaM9J+D2i2a2jzXT6pp1m4a7ETCQP3IiXst/Fo2P3wafHfHgFTUEdhiuN&#10;k/N4HIL+aZvkLfwVGBwfzPYnKBTx+FdgCJaV0XClxuqpAIEU/CCGGGY+A4EhPN2iECoU3XmN2xsK&#10;Xk7KN5NLGiSvgxsV2ytgARr60u1v/DhSnp6PhMfzYNf2RQrRVNSNzoSt3zjU9BlHt5tA4zeensNg&#10;hifppEwq27SqfDV8yrQDmIdWNWoGZhDzDpyNGmEEGZKGDuUFyKLbtKMn0J78tZkA1/BseNCddA4f&#10;A/eYkbAPeBy9Rs9Bi7hnYXffE7C9fySc2k2HO4FHS5FtWhKAfBlu+O1k+gQkhVCmvJMMP6b84ieI&#10;LiJ5qBFUVTfm+mLSsj8BA13SfwEGzWPQtmhGBkjnKyuNELyQtRSefk+Y2Yr3x4/Fm7R4Uo7TBINb&#10;1dZdUyQlF0xj7YGvzJRoh6jxtFjpGLP8iBFs8yjp3c/OoW7Qc3Slx8Ixbhwenb7XWDzdNtOy/0IC&#10;Cev8GgVO+rp+/1e4N+wJBPUlkPq9ZCYufUYdEsCId4Ug2jdBCvroKHWkjYcHQf2+5BwUsbxXmJae&#10;U74vphewjscY8HigyyQKZLnh1/S5MGsd5Z6rzOpXUB4X6RJcrXKdn5+wFl4hY1EvmvWZOgRv/XgN&#10;p1kX55iB8vjpzG34Rz+HewIGon7gBIZlcxn+zIZrwDCMW3LYWPBb5knmonnFxstgYcqFlKTyElNm&#10;5St3fOCyIsrVMCr8c3CJnYq7qdyeEWmw42+/jmlwb/cc6iXPhntX6oTPYHQbvxZHfrqG3y5cMUqv&#10;Nk0evR6O8WkMp9PRPHokTsufFwvl5bhxwzIIsujiTXBVcY18mCntli+TOGKLmdRlH5OOhlHD8MPP&#10;VRXKOlGnsOpF9ZWx9kO06DoWbsGvoG7oWDyUMg8PxM01myF5tstE09B5eLDzajRlGOcanI4h898T&#10;IJiykv5LwGCEX4pKBfDfRKICBezm7x28vp5EZWq7CLa+TO+ebLg8NBoto55Fu7ggZBc8hvFLnoJH&#10;eJKZMNIgaYYV+7ecxjiLLn7sWtRLKjSgUDOUihg2gWELlTKYeZMXG78tpG30JtYwP3omgTNRM3wa&#10;bCMJIGE5fIZhjR+vd1hFMNgH97Ct8IgoRJ2oHALDK4xxH0f9jr5Y/skQDFsQj7C+j+CugBGo124O&#10;vHzXwcWPvLejl6K1Ff4si4ChCuyMwlflbxMgD+afAYMAQTuZqX3VsBIACcignMWMsXugkd9TrK9X&#10;sP/IdaNQesaa81iK8psUXYEKJW/9rvdwX8IrBNZnUDeK5Zl7AOerNZ/3D73/LRqEPEmgfAGu0a+i&#10;z5TVRhDuAIOcEFH1OY+6Lv70zNFvzuOpQdlo2DIZ7WNexL0hz2LKsk+NJZQQl6i/g2cVFVdMB9cT&#10;r2ahecRgePi9gradJuLQcQ3KKq1yXGZgPDhjEeoGvgJX/6G4N+5F7PjgB1Mq5amVxzdZUKWruhCp&#10;Xm4SrMSL5goMmrQMDfxfgIv30/AK7o1tR34yvKjIAiDF563Dn8H94UPROHwyHLxH4R6GA49M3HmH&#10;Z6vb7xyjpqoGEGk3JAFD5TWUlF03zwmYjrFM+e9dRuSra+ASNg51wtLQJD4PTSPo9bQZhAYBNDLh&#10;GWj88BIM2fijmYAsgKxgqdVe8raShs6BXeDzNJBD8BAV+9RxXlSlGA/F2r9TzyksEZigQojMVmK8&#10;IUDsMqwAdvR8ncOH0Fi8ghMn5d3wVSsjUzc6/Z4vryn6gWUtxP1JY9AkZDy82k9CM788PBC+FB7e&#10;02DfejKCn96JqVsuQPOkVG8CwpIy0x30V2CwQonFVcBQNcHpfwglND26VkABavmvoQLR3fbfRWUg&#10;OARrMxQqrGZQ+q2Da8hW1AtcjZBeKzE0ZyFWHpiCH8tH4fCvAzH33R0IfmURFTYLzgQh16CNrHha&#10;6da01q3n0l2fQdd9MmoybqsZPtH0aYgfgVANv130LtZT6QhYmlwUpoVfU8g3jxo29ONz7beihhZX&#10;td5KcMpDLZ9JaPlwOh7NW4LlXy3BgUs98PbFRzF/Rz56PLcS9wWvg+MDK2HXhgARq85WhQoKVxge&#10;VU+FDtKsOabpt5+AwfO/HUr8CRhImrQkhVejXmQLn628jdX73sGr6SsxdsZupM3ehx+oHXpGu/Np&#10;A5OyCramtFZ0qwKfffEdxs7bhqczN2PQ7L1Yf+gH3KB8S8Ju3yzD19+dwZBZm/HCnH0YvOQtzN17&#10;1MxkLNZSSAHBv5CU04ACScKmLeiOn7yEtGnLkTFrHV4dtxBzlh/CVyyDxtGlT1e0J6TUl+54Oa3c&#10;8rWvYczMnQS41zA67zV8rQ5/PiFNuFp8Dat2vY1XZhzAK7mHMGzmWnx04oy1GpR5mgd5lHJIbySw&#10;1ysrWNQyXrbAYcPujzB25h6MmfM6Xp2+Hkeo4wI6AYjq8cSFCgzLXoPn0zehz9itSB21HeNWfIVv&#10;mVg1XgoYSi+ctDJQZixn5TX+o1Gf21JTq+NV6ck4a4q29rAsfPcmXsh+Bz1f3Ykn6N6/NOlNpK/4&#10;HtNfr8AeVoNA4Wtm8NXPmoqldRMXcJGh2Wzy/BTb89U5b2P8zNdxSb2VYvgGoapSw8EWYKmd1awo&#10;583LP5Gfa8Y5nL/zCN9/DQMXvIlRc7bjzBk+TZQsv2ihgqruGhtNScpz+Ix1sOWj85i69DPy+BYe&#10;GbQXz4x/HxMW/4CCt26bqesaRv0XUGDRrxfx+L8HBsX91pDeEgKELCdJrr12RVLPvuL/kLVUYMbq&#10;d82Bw4NjENB9ABbsGYpjpY/js9JX8NLydLjGDkIN33Gw8Z4NW291Hu5ELe/tqBv3mpVfaJYBhZpE&#10;fwsYqKT+21HTd5dZaq0dk+zp5us5m3DtvUBgUKchgck28k2muw/2wYeM96AhQ9fwgWj96PPIeycb&#10;R/EE3r/VH89l0sK1fAV1WtCN995CHjLhEMEwhnlqwo7pWDWTlqT0zD+A4OdPsNHqz/8AGFrG/xEY&#10;jKEiSSA0NVpHKZyZiszjOXm7fE6CU0rzUHLrPA0bJVCKJNJEBd6/yMPPfEgWTgJm7plNRi2p+Y3C&#10;Je+VWRvBkS5YJoeHqrT+1UsQ6RmReDxPiSvmzYsEHMMPn6++X1bBEqjDkgKuUQE5EBd5QxtNa38G&#10;lcnkZXoKqGy8rpi6mlflZfGhRPmc2Raa90q1irGS2Kf3brDcCjCY9uUKXOAljTpIcUXaK/MSGRWY&#10;KE0JvLyD6n0IVG79/u5sGUrMUlU+RWus5QNKx0wRUeHFh+HVSkm9OlpopjpQOZS26DLLd4rNcIqI&#10;pPpU779mbyr0EEjdNmVVCbWIydrT4hsmq3KfVdJKUMdbRLWKC7hy9YL5qTwuXeK1MiZezrcEEORJ&#10;aX7Nala4oU2ADZ/qmRSr5F11XkxZ0I7q5+ltnOcDAolfmKjxpEjyRn4hiReFLD+x/GLjlupb4WN5&#10;aRHpd2AgIPxjYHD0n08iOPgvtRQ2jO679mqInm4N91FhHGIZXwWvhl27SXQvu2Hs0lFY/9nj2HVy&#10;DJLGDmFejH+114LPHHoNmshxkJZdezquZL5LzTCoAQeSGQ5VPlrY5bcVDj4b4BKwCk6h5IfehU0o&#10;lTiCYVAkgSlyFexiX6ensAK2IXthH7oeDkHkq83TsA/ohvTd85B/pDfWf/8Keo0bC7v7XmJsX4CG&#10;ERvpaYyllzKeaaURGMjbnREX5cHys060SMp0gv6HwKCZj9WhhHZBNluks3W1I/GN29eNoqhDyXi2&#10;fMj0PJttvCSSEji2tu5rmPM6m5wCIQWtFlpZeS0/vn2ZAnarGJX0DCRwcp5l27XX4a1yvqfONgkY&#10;09dRp9XAUK30yvXHs/QEqq4bd58nGkHQUc8UMyY3ilZK8b1CNdE9PletSEqjspxKrXkC5dpBwhL0&#10;33ii80q67TevkLtKMl5WTi+H5SNIVJr93KmY6hyUyMu1JrOmC4SkuinmI9r4WWTxX4YzN87oaaql&#10;tZhKSiCFPMfnpVN68MYZKi3TUA7aPlEelO6Jn3IidqXAzqxklbqKyniN9UxQEX4Zj4qkdrzKdM/x&#10;KICQAipNCyiZO5W+lOXQ9e+ZpJ4x903FkGmtdixXy1idkKoreUZQffFdAcTtWzfNOwIEqyZ4Wf0P&#10;qi/mfe0yQxYiNVmg51XCdKy+KCuQIX+V5bjE55WGjI/2iNAOm5ptW367RJ6CldZ/Cxg0ucfJbxFc&#10;fJbC0bfQ8ho0UiBgiKVCUQlskplO8AQ4JdK7CM1G/dhx6DFmAZpGB6N9324IfmkmGnalFxCQDhtf&#10;DQGuhX0QvQEfxvA+61CTSm/AoUrxrBBmiZlXUMt/FfldY/KW12Lcfg01ahgznOfyXLTFWnAhaoRR&#10;ibXlWgd6KGGT0LrvLCQMmwmn8Hbwe/YRxAyaD9sOw8wceLuQqXBNYtn96C1olIXvGyWv2kRGIYuZ&#10;Bh1k8fJPgcFYaDasGvQ2G6mS6lLOJjM7B1M27mipzs2fBPQG71N59JKum/kMt0w6EmwJgoTWGuSm&#10;GZWbT8FQUhIMCZU2WjUiVkEx1eiDnuefDtVZSkirBfUq8yhlhrpeUlqB6zeqgImaoTSva352CVMu&#10;J12nQF9jvrpE0vua+m35zbzHeFr5yMqLF1AwDUBpSjKFVyBmHlevrEZHqsqs421ydPtf3ZpqJqtJ&#10;G84Y4JRrfpVn1iYvUkoddccsXzfpk8QjD/JD1DehcyVTDXzmGW2Oo949zXXWyknDTzFZUHuVoLhY&#10;YGVtuWNYMDNS+UuWvkxgyDIwbdWTnlReVrlJFTxjWHjrinb7tPI/c9PahcqUvVIKe51OmAWm2idU&#10;5VCt3FA980ytIq9KyYl+/9MbxbhZ+huvXzQwWUmIvE3zcOOWpmNpwx+1ggGEaioiQPzvQwn91v4G&#10;rt6r4EgltqOiGgsqNz6abn0cFctvCGqnzuMxg1aY1rz1JDSOZ/weOo4exMto3DkP9vIW/JifX64B&#10;GwFMDf/VsA3Ucm+BwxqSNcFK3oL2PBBpcpGZTSlg8BeP9CTUH6BhUgMMAgryEjEPNehBmOnKvpmo&#10;0SENjoEZqBOWAQf/UfQixhBY6M3E58LmoZf4PPmOIP9ScLPl3HaGDDyqHkJmETiyCGAzYKfORtP/&#10;8M9CCbaOJeRGAtXksgdsETaWiRB4TyOI8hirBU9urY4SDlmsKs27E5aIDDAoSb2owXId+VfG6+Wa&#10;AKQeq9u0VCIj6EpdW7ZLyCTk1n+W5bHcaCvv30lvSJB/Y9KaTWfKIl9cMzLlmpZb8KP35Y6b8hkr&#10;yvz4rBRFV818ieLTKL3CslfzzWMZffsbl6hKtwkGrA+lpedFRvfEBBmoOE9OtWmDenHVYcc8KsrP&#10;koWLfEezFCw+q0mhg3DMykjfUihlDZTgBuululxi/wZZvaKC6YLaSI+bsihVawMWq0v1MvHoNK5d&#10;+YWssixqOFnzEp5fZyJViYoPqaFaWW9ZVwgMBObr16xRkOr7Ao7rDPavX1P5GZoVy1hY/St6S8fi&#10;m3pSPBeTNN/EMGjxKX5FZsj5Or3N6kDqAtOpAgM+V3xd/TZ8VAIjF6yyrIjn/wVgCFhBYacr334z&#10;HHkUMOhZY2W15ZkocjEcu9D6+9JjiNzANAgebRabbd61/XkN39m05HTTg2ahVuhsvq/fPNIDsA8l&#10;KPgrZNh8Z3KT2edAwKA+BfJhp7UaBAU7f81MrOrnMApJhdUKSDNRiUoeQSsfkWOmV9cOnkfvgKDR&#10;ahGcfbfC2Z/8tchFnXimETYTLh0VqsxjGLKNgKB5DAxr1Nnpv9GUWXlqnYcmOgmc/hNg+Ms8BjUk&#10;3bjKMqJ5pZxehRJUBemYGo9ScJ3PSQxk+USyFSLt0aCJPUpLiqZJTYrtr1B6tA9AtVdRRtNdrP3C&#10;zJ8lLNrKDeVysCWmuiaRkwWySApTzus3aCWvVpQaHrTCUkKrGYjnSIIx9aFJ5ARSpoe8SvtKb1xn&#10;GgpxlJbykPXj2waYrNykMzD9JSydrpEusiCavmtklaR0tfvTeZbjV9bJGZLKqT4OoyGG+A+9Jitt&#10;Evm9bTwOKw2lpeeVlkpqwZ5KcgEVJeoklOKoRsvN1nSqd2FcNem3Rlsu8f1f+Pt7HtWfoNqTYpp3&#10;VXh9lEeh3RWeqzdPdaGC8tSUg6ciXabfZepFdaC9IM7yvnokJAEKN7RHpV7V3/VranUVVGGMdSxn&#10;qKM20uR1rdBVicyfDkrUKqgexekzlkein5ojYiZWqZpUVuarPh/dJygU8fyvwMAjgeHvD1dqKbad&#10;z2o4dCikYubTwlcptnmHChG4nkqxg0CwGo5Ru4zll/uv7dRtGsyBazAVzldbti0x29XXpmU3+yhq&#10;OnbgXGuykvaB8N1Eb0LDg5pwJOXPZx65BIjpfJcAEZBveDH7RdDTsPZBoGISPGpF0QuIoLcSMpGU&#10;Bjt6M46RhXAK2wiXwNdgc88eNAr70JTB5t501Ou4jrysIFAwD18NU4o0x53pal8K/0LY+msB1Wyz&#10;YtIsRf+Hw5UGFCQxsjL6ShPVX8r4+YlT2Lj3a2w+eA7r37iCtW9exKq3f8TKd09Y9A7P37qM1W9e&#10;MTPeNr75E48/m/Mt75zFO1+V4RRlSaJv9JSkdQPK0prExDvaIq5UolglueYokqDLbZe7LEtteQxK&#10;S+Kpr2xt/uBnFB4+hfWfXMbionPIP/QDfmFyJiSXfjHDMgb/lsVWpGulaUmj8rd4EllgQevLa9oH&#10;U0ohOvYzsPed77By+3uYv+kdpK99F2ML38eU1Z9gztbj2LTvO7x++DucuySrXyXYrM9SuQQqqKlb&#10;kopWpSTGKPKmxRc9CwNpp3iDDUJwMhERryis+JyXtx2+hnlrj2PWqiOYseoTTN/wKabvPob57/9q&#10;NqD9SDxbSfOP3oS+LaiOIfGgSlMPpfImc/poVHUNW5CrGL8M2979FoVvnsaKwxex6M3zWPb2ZSw8&#10;cApr3/rJhB6m7rVZhEJGegC3Tbhk5WjBm/WfRlDMnw7VlatXmK/WfmijnT3vncGKzT9gy95ibNkO&#10;7H8LWL3rBDa+oa+jGYD47wCDuWcsJN3ziJF014egRvhoWs1sWnmGAt6v0TN4HTVa7YFn+E6GEXPg&#10;Tg+kURzDgpbzYO+9EvbB61ArbDW9hSWWpQ2ZCS3tNusxBAABUnYqpkDBf71R/hqBUkTyEEJvQPtD&#10;aPWleZYgQ8VVGCJ+9Zx9+ALYhqsc9Bq0lNyP5wQxLQqzC9gKl5bbUPeh9agfuBBewQxrOrBMbbUs&#10;eStDH+ariVvV29ZrZ2jmY8AodIqhahD4p8Cg4UQTk7JxJbCX2JLTC3fDu9Mo3BUxFk1iMtAwLg31&#10;EkehXvKrFiWNRIP4NDSMzUSD6PFoGD0ajaJGo0nUSNwbPxaBfWeg+5BCvDB1B979nhaDQiJLZeSF&#10;8YQRLimpyGiQqFqLdE2KrCNVmsCl3n6BwnunbqNdtxF4IGUc6seRn6TxZlm1Z9wgzN/4lTHcd5CI&#10;f7Jncrcth543Ta8dT3moll116N0gKmgDVnkf+2mKxxR8hU7PzkNA11FoHv4Mw85n6am+zPYdxDYc&#10;BnfK2AOxI+GTPBx9BuUhZ9Wb+OjULcNjtdNiPArlpayrM+Pv24zPrA/P3eQtWXmqH3mQZ/ETTzce&#10;Po/Bee8g8qkC3J2YYfZEqBs8DHUCB9OgDYZT+Ai4Jmeg6eNLEThsI7K2HMO+IxfNNnSm2My3ki5P&#10;pfahV95MV9iv9lbtqoqk0NofXB2ePt1Ho2nCJNbnRLhHj4Nn/CS4RwzDPWzvl7M2G09R7xjUkldk&#10;2s7qU1A51dOhjlbJjsnBeE88FbG854m7mnU6av6HaNkxG/fEzkCDwBw09s9F89Ac3B05GEnPpJn1&#10;Lt8Um5Xk/6dQ4k/A8D+EEmaLN/UnaCfm6OGwiRlEd32U2UFZfQ4u7XbBy2cPPDoso2V+Bj79p6Lj&#10;8AWwa/+w+RydG5mz1SxGhRdSVj9a98CZsI2gNVa69BpMn0KgtpfT9mnqiKS7T29ArrvpMwgnOFQv&#10;dNJ1ehR2ftZiJ63qtPGeTy9lLuxCeDQrQgV05J1KW5OhzAPha2FX/1ncG9UfA2eTj+apcA3IQv3I&#10;3bDz3WjlUT3t28yP4LsKZcKyzPRodUj+41BCwmsEVifm6wLGXR6+YCfcgwajlu94uMUvgFPiAjh2&#10;nA77zhlw7JxmvvzkkjgPLgkLzdEtcS7c42fBNXIqHOkZOQWPR53wCWgYMwFxLyzFtHVHcYJCL3CQ&#10;vBhwMHGGkVtD1gnvms5ISlJVp6R0S+/JMm75tITt+iI8YtJhH5kN2zh6dhRkm4cexeNjd+CipFiF&#10;kOzyoJWHUr8Sls3kUa2sPKrYEmWFSnI0jhOLRq35CS0eWWFWiKoPyit0GO5LyUCT1Bmo03sJnPqs&#10;hlOvNaibugx3d87FfclZcA8dhcaJk9BtzAas+0ifOrY6+YxOmmplzooHpDDGW6lg3up2s6ZFq+rP&#10;snA73jqHl7IP4MEelEG/UZTHCXCM12f2lqBZ9/m4u9scNE2ZA4+E2aipTypE0eDE58M9LgdBjy9G&#10;ZuFRHKcDYpSVmWvugalrknixOm9Z78zb9BdUVuAsb4Y8lQ+3hFzUjso2+Xl2XYA6WpsRPga+D+eg&#10;iGip903dCRiMd6l5HVa7qO50FNxZ4RpLpU5LFZtX1G5avRr2giYgTkbD1JVwT1yCOokMo6m3tX1f&#10;hHefSQIFgUMRj/8NYJDgr6NiUgG1VTtjePXWO/otgXu7jWZbd826uotK16JbK4xa/Tjmvz0B7R5u&#10;gzZde6FeyCuo6av+Bb6v2ZN+mtpMaxxBpde3LPxnMR+eSxEFECQzQiEyoYJAKYeNRGDSrtJS/oAC&#10;awWkzwY4dqBit1oOO+9C2BNctGq0pvaAjFzKdxYxrMhB+7jRCEyIxYCJLbDl25cQ9My98H9SK/vY&#10;+C0ZMgQyb21Oo3BEIKQRiiB6L1pUpfkMhv4hMIiqFOUaXW9ZO425jy4sQpNuc3H3o7vgmLIZtqmb&#10;UbMHee+5FLY982HXYxlqd1uP2l0ZXiWtRc1Oa+GcshZ1UlfDK3UV6qeugFfXAtTrQhBs8woe6DIZ&#10;o+YewNGfrYVaEhjzCTTmq+wNRogkfPJeqjss+b/CZW32cor02JT9cA6bjPrdVsKt60a4P7wN9Z7Z&#10;gDrdZ8Gv9zzseZMizP8r+I7S1d7N2kNRvpCUxKRfVV7xIF5E750oQ7+M11mvBOB2GfBMXYcH+q5F&#10;XQKPR+IMOHRmObozpOvJsDSV1Hm92bDENXou6nfnb20sFJqNwJdWY95bp00dGs9BSqLYpvIC8+VR&#10;nZMVtw1O6NN958jET3xk0oITaCQ5ajWGBm4+HHpvhEPfzXDsQw81IQ+142aQjzw06boYd3Vbiwad&#10;N6Fup12o23UfakZT/ttlwdF/HHoOW4s9n1wwgKP8z97SjEZZdHkoWv6mUguc+C/r/zQ1OvhFtm8C&#10;Q+mkZXBl23n0Woe6PVeidnQmPOkFjpi9H+ctzWfdsnIFcLfKTdup7nTLAIepYcEAhcuQFltbcx+e&#10;X/CR9aW2cAJB7wLY9VuM2lpT0Xc6mvadiZDn8808jL8AAwHhHwIDlSSELnfodhKtbQjvU5GcmIZH&#10;+xWo334O6rZ5Dn1GDsOao2Ox9acn8DkmYet3E/FK7hTckzCUIcc0WvK1qB2pmZJs4CCNJBAUmIeN&#10;33SjZIaYnxmJMMAgfsijlE8bxuh7DmFa7k3egqjwBAcNYzr4bKT13wUHP02GojL7CoDomcgL0Lcr&#10;6B7G9x2Fwq3T8MH5R/AV+mLn6ecwZsMYKtM0uMjz0GhHEMtqVpDyPYGCWVTFY/Uw5t8Ghn+ziEoN&#10;zuNNNriESR1ag5e8TYBNY2MS5FK2oUbqNirFWtTouRy2vRagdo8FcO66kmCwGo4EA0cqqnbgce+8&#10;FHU7LyMtp7tbAOekfNzzCNvF51U0jRuOrDUf4hdKkQRGX2iXmCp78yel/RfFNUS+TOcUTz8jY3dF&#10;Z8CLlqZOF5Y9nmFWykbYdFwI194Mm1oPxoTZn1mdniSJ6dXy6xRey2Mw+ai8VenqvgGFo2fQ/QWG&#10;X62fh1vyAjR/6nU4dVlnPhaj/Ri0FZqTdjFOYhsksj6TWOedV8MlZSU8UtejVtI2ePZ7D/bJBA6/&#10;SYgYXIjXT2nQV+VThwd9CPUhaE6AGZJjXVMpBQonSYkv70fDZIaebD+XLmvh8ehu1OpBZe9EWeu2&#10;CHX7UJZT8lA3aSYaJM1FYypw/biV8IrbQLDYidrJu9DkscOon0Kvtt0Q+PTOQsHB7007ynMRSGgO&#10;ZeltDTNTjVU5rAOx8isb4qHHWR6CkWvKOnj13AIH8uLaZTWP9CQSc9AiZSLeP3nb6owV44yRKopL&#10;zV401cCqdrRqVMBgTefSTtWqA61sbf0YjUnyXNQZQDnqxrbqRn3pmgb7R2jI46fg3l4zzdJ0hRL/&#10;JWCg1dRuzupEVM99wAbY8b5LQA48fKejvs9UNA+ahAZ+ceg12QefYAw+xEBMO/gwHkzuAcdWI83M&#10;yTurJaVMctWrwSBESmYp2h+BwRqBUGhh9mnQ0QxjUjmp9OJPAKVhz1q+W80MSU2ftj5Gwzxk+RnP&#10;OYa/jGbefRGdEoJ3zz+Jo+iDbb8+wZjZFW4Br8LVX+HIKuOFWKsoGTpp2FKzHqX0CqUMAPwzYJCe&#10;WP9Y8acUVgI1bsVBOAekUxg3wKnTath3LYRLn3WoSeF07jKeQPocPCJGwpOxtlvUq2jcZRw8wobC&#10;5kHG42FT0DA2z+wyfdfD6+GesphCNxsNe02HW/QrmL3na9O5p42GzGYutGW3b1+zpkOQ5H6bXnze&#10;0UpOzcKUgA3OfhP1gjNxT9fNqBXJ9opfRatKgOxWCIdehXBm7No6dRZ+paSekXFmGiUlsmfqr1DJ&#10;dDQZmiILKGTpPv+2EtG9MmHf9mU071kAr+6r4U6wa9Cdnp3vaLM3ZLs+MxD45ALEDd+MDi+vQ604&#10;hnAxFOqOi+DZezucO21CrehVcE9Yzvg8HTO3fW8mcxWb5eMEhkrSdV6hBmm+h5RVS6cDn6U8JSyG&#10;fe/dBJwVqNOTgNN5DmxjJqJJT4ZJQS8xBH2ZYDgOjTpmwD1sPJz9x8OLnnEzfccyNh/NCCQ2cUtQ&#10;K3YRGnZfBa+kOXAJGolFBy6Zrk3VnbyzMi3WYohmhmXV18L/f6KL3/YF6lbHufBIXoZ6CYWoE7Ma&#10;dZNZxwRAh65L4cJ8u09cZ3g2oKoqZBkEwKo/gcKla9V+g3LTvhI38Ns1bbEDPJW+D03Jk33EQtTr&#10;uRP2BJ3aXZfBo98y2Kfkwi5xDto8tgzfMz1SEem/EEoY5aBFCqay+O+BhhS1otEpiJUYkAZP36lw&#10;a5lhdll6fs4oAsIgpL/REzMPM7yIfg5ObbOpMFQgAwqWS24Bg/oPqsFBoKBw4q/AYOY4+NHNrtq8&#10;RZbdTJk2nZd8T2BB4Kihqcv+GnaUlWcesv6R4+FIZfJ86Cn0fHYIVrw/DDn7O2L6m0PQpn+K2Vna&#10;5t751jAowxZL2RlWMC9DOq+69r8CBvNXaaJwNa+EacLyfXDxz0C9xA20HgS9BKYbT2vVbxGGrv8E&#10;ua8fR/6ek8jd9CWyNryH+fuOYeWhX5C/6xRGzfsEoY8uhWvwFHh1zodrt2X0KvLh1DUX9nFjkDB0&#10;Kd6jUZGqKvzWtl/6VrQAwYACSbJXwqsaBNM02pPU6Y7PFaJ+yEw0St6Ipr3pQscvYYjDNui5AbZU&#10;CHu62o07ZmHt29fNzEp1uBlBNoBADTCk0Q7NBbCAQx2EmnBU9C3Q+YUVsOswGF4d6T0ETjIbog5b&#10;8S3Wf1CMz4mWX5I+/RU4yJh7UVEJHp7/CWrEZcE2cT6BYTW9jc2o12kj7P0y8ET6fpyinlg99azR&#10;m1pzIO0kILKSjxEjHsveSQ+LbawvYHXeCteHtxOQFsMpahzqEmzb9Z2EXmOXI2vbl1j01jms/OgW&#10;Fh66jvT1P+LprMMI6bcAbv4j6I2NQ7PHNhPAC1C/J+UwlCDcaQna987HqkPXjKpKeW9p+NLM7CRj&#10;rOQKFvxnVknr5/JRK3kW6iUtRuN41nH0WtTvtB01GC7V6kkvOjkHDzw6E9s/umBkRnOiVLk3b1mz&#10;XQ3AmpEKAYO8EmsIVF7eoa8rEE6lrxuWC+dwAk9Xlpl15NRxhemncelM+U5YZPaq0N6SpP8SMEiJ&#10;5crrGSqghiPtCAwOwVPhGDSVrvgcNAnfC3fvVQh7cjOadx4Kj5hExA4jaISNg1fkYqYngJESiahs&#10;BgBEAoNqQBCpn4EKKDLgYPFkTX5SpyR/CxiMh1G9ixTfl1KTf+s7D+oXqAKf0DlmklIDn2lIfKwA&#10;EU8OhmtQBLz7T0bTTnPMYi6n0B1G2bVa0xAVXmBUy0/zMeiRsC7E1z8FBlQTlcVSRmsce/yKA7RM&#10;jDETN9FdXgc7uuva4rvlkyvwJiVNzqKsvtYi6MjkjHUQfUdhW3rgIjoO3Q7b4Ilw7ERQSGVolTKf&#10;ijANDkEvIGfD58YCSWX10RoFMVVsGJJVLb2tAbUKk+aqt3/CvfEMIyLoDYYtw71997Jc02nV5jEe&#10;Xw87AoNzp3moQ2UeMGE7zlZZMytRSpyBIQsYBDum2PxHIETDZuYpbHzrDNqnTkTd8CHoNn4Xln9w&#10;y1gx8am0BCTVAi/wPEgnIGH0FlrqGXDotIbCvgn1um2BfVAmgh6bb74pqfo0fQy3WWlMS1685gxM&#10;WnYUjZLGUXbpAfSke528gXH9BsrPJDNC0H/CRoZdHxiv4ktm+AP5VKem6llHrUjcUXQNU9ccY3iR&#10;Bo+OeWjYQ7I1DY27a1Uwlb3dUHQeWIgjBDQB/nVtyyfkVR8O6db1ErOHQpun+GxiLuonL0ETegkN&#10;4lfDi15ZDYYWtXqvIfgugH3MODyXvg3XWQHax1NoUMIT9dxUz2tQLWn+if5TfgpjXpm2Gw31Qd7w&#10;2XCLW4W6XQh+KQQxAoNLJ4aANBx/BgbSX4GBx78Cw/80XKm5DMEzWaHa/2CZdd9soZ5NmgbbgHzU&#10;9tkNe+/XUbv9Zjb6GtTymQKbduMo+Pmo2W4B02M62mq9Kr3fSUOKpEDGRP9CZqgyML/qSGKehqqu&#10;m3epnGZ5tqHcqqOGEHmPz5mOTnoctn4MR+6ni+XH2L3VeLrio1E3cg3s6fnY3K++hB18T8OVmVSE&#10;TKusLKf2xdQn6G1VF/+beQwiuZUUmOoxdAGDQglH1n/dxM0MHegi91zJOHseHhywAB/xIT2jST56&#10;Xionq3SBDVt9LsVZ+8ltNE2ZQc9oOpxT15iOrXo9xMdg9Bix3OxfoDDBxL9GqPgn+ZKckax1nFZa&#10;z07faZYa16d1dQpbjAYdC9Gk60IEj9hn3FJ7uv8eXZfAJXyS2UXozWOW96NJWtafZc2qgcH8Ka8q&#10;ktLr7qoD3+KxSYVm81uV8UdLn1Fy9TrKLhOiKqgKLKfKLcHfeKQUdTrPRu3O9FpjVsIzZRPDwDlo&#10;x7DpW2YlULEmV5WZmc3yTvS5vLvj03BPn3moHT8dDR/eSSVZB5eoOTRUaXgucz/e/0FTn6y6rCYB&#10;pEBY+eq30taitRk7f8Ld2uafadkq1Oq7ER7xC9EwaTYaRU9A2vIPzfNauKnRIAMOt+iP3SyFpji3&#10;f3IxbOkR1kteSrBaDs+EArh3Vf8NQ6keDNEeLoRdTAY6pE7H/ncJ1apTJlFSUcxS3cCtUtYcEe9W&#10;mbbKqTSlFW+7PruAtqmTGYpNRgN6M55dtjAs2WyAQR8/dkxa8H8PGKQUdv5ENP955qh71jcnRFKQ&#10;ZXyOiOxNN77tBnjEvo46kTth07IQXsHv0aPYzzSpQJqsxDSNYlV9sMVSeCtfHY0y6yMuBjAEHFUd&#10;lDoa+hcQqZprIEWuEZJNolLrqHx0X/0TvttQ0/s1OLY/iJoP7jSrOhsk7KcnQF7bbSGRz6A9JCk2&#10;06eF1OYsmsQlJXfwn81y/xeAQWaTJAsqgVcfw5gVh+EQMB0eidsZTy9DnR4r6QLOxX29cvA5LaHc&#10;e1laWQ7NBFZapVQahSOXqY0SRK3ke3zWu8w/Gy5dN8AldRsckgrQvPsC3N9lLA4zPlDXnJ6tSsr6&#10;R8GrmZCg3nTgbbrvbfrPgFvCHDTqvgl1k8hL1Cw8Me198wUp+050RzuTx5TFcIvKxH2JGRi/8H0j&#10;nJpYoyJa6i1wIFV1vpm8DJFRutgaKbjEUymgeJJ/YepIFlHrEbTaUGsPbl1HyfVrJgx6+7syeHSa&#10;htrq+IuhUqkDLz4PPv1mmn0JpMTXb1uu9WVqjLa+f3XWZ7BpMxx3P0Kl65IPz86rGdfno354ltnl&#10;6POqMEvcXqpat1ANa5r4JMDTb12/wnIIwPJ2/4q7kzNwL0M2u5AcNCYIN0pZAueQCejQJ8t8KVye&#10;jurD/Onju+UVuESe/J5cDgcCiVfSEgLvUrNPplNXhtWd6SXS3a/VXdZ9kdl16Znh26HuBAHpTcYU&#10;JbcZApaTM9bp1auX/+BRPTye4ULUMPOhnUbd1xNAN8EubjWcktfALWU1QYHt1WXJ3wMGK5T4+1Oi&#10;5dJbG6NqH8Q5Zu8EE79rlMBMiV5KN5jxvfdCuCQLEKhgLRbCLYAxnfc2uAdsNOsNaobmmJWRpuOQ&#10;4YAVLlT1IyhMkCIrFDAdjFZs/3vIYI1GmHCjOmzQsKZce6WntMOm8phl5aH0la7fZtTy3Q6ngO2o&#10;2X4NHALFy0Z6CuTRlxWYSC8nlsCgjWDMsKz4nG6tk9A8jQCGTAHMg3n+/VDi/wQMlrJUA8PoFe+Y&#10;D9S4J+00nY/OKUvhkjALzVMmQp8sNMuQpGtsTKNkFIxyswJRH0y5bIbJNPyU+/p52FOJnTpvpru9&#10;i6CZj5aProdL4ItY/e5JYwFFUmIpmtkuTjGw4nH+lpBlbfnCfJPBlRbMg8DgRiF2D52CZa9fAkNY&#10;tHhiren/cE6eT0s5k6Azy3x5+Xtqtt4Xm9af0vw3wHCNqlV5FTeuXsA1xuGqA+MKaw6y/rRyUwuS&#10;isnpLUJGKe/yloBE+07UjhgL+5Rlpie/YbdCuIZNQcLLi81n8Q04kQQyOj94DGgYno5m3ej2R0yH&#10;m4Z06fbXC8tGeP8leOfbKr9GGsby37h+lRaZoRaVUPMELJJ3JbusmaG/K+LQOe+hWcJUuMfkwT1x&#10;EeP5FWZuiXPQUExYUWQAT7yomo3ZZ5tfIFPBT66Ec9xiAsMyeCQtgmPibNMnZNONxqUXZUijTFRs&#10;T8rfg+HZOPQhq4CJKJCwZmKQF9apZkeq7tSee+kuaf/IuglTzJfM9OlCx6TVsI0vRG110NIL9ey+&#10;EnXo7dnFL/m/AQwEhQ4b4OizygCDFMfMJzCfhGfsHaWe/DTY+IxAg74sZOAEKhNdUrql9YKGwKH9&#10;s3AMGYdaoRlm/0Tz0Zag+Saf30HB6kMwk5wMMFT1I6iD0XQy/jtgUH+DwhrySF41zdps+KL0+dvK&#10;Y5HpY7APGQSXyFfgFD6BgMCYnA1rF0P+I0neBDozJElSPTA/8arVl/pKtlnRSV7/E2D4yyIqM1PN&#10;UpbfgeFdAgPjwqRdcO++GfYdqYxJs3BfylicLFEkKWWhkpWQzLvFuH6hes7/aSrCFWPJFr59Ea5x&#10;c2GfQPcx5U3ysQoNu9Lihw3F4je+Ms+IJLSlAihNoDHfrCg16yt+4mnSsNV8n55SZ4YR3daZuR/t&#10;es7G58xKvD6/6BvYx+fCJX42Xdb5aJaci3vi0lH4pr5KYZVJCmQAQcBg5klUXTREM655BlTJWyzT&#10;+evFRu2km5ev3UKFhk7IW/nVayi+SDUUKLDevqEnMyyPoUz0eDh3XURvYRkaM27WxKhRC98yZZLS&#10;Shl1FC8TFh9HrTZj0aI/Q8TQWXBPLUCj5Dw8mJyFzBVHjaeitK9drgIws5pSsCISZNwwIzi3zZwI&#10;Pn27hMpdYu58wvrw65OH+3ouh320PlS7Ee6d6TVETUHwU3PwCdFDamy1OwtBT0nfpQh7YjVcYpfS&#10;O1wK946LCOB5cOlLWeo7B44DClCrGxU5ZSPrlWFSu2y8MukQTlL7tbu1VpAaYKia8KRyfsaCD8ja&#10;BucIAkOnmajbjboUu4Dhwyp49dxE4FnGkEIdpWvNB4r+R2AgIPxDYCiAg886vlNoFM7sVaAVjQYU&#10;qBj6mAxRtEYywSFwFOwCRxCxh8C1bQweHvMIOg97GK7hT5iNVaVsRnmZfvUKSwsULPodGDRiQTCg&#10;Z2IBg8WLReqg5DNV/FrEylV6BAkDCiGy+lNNno6RT6DX9IGIGNYdTiHdYNMo1ewIbBuiJeAjzMQW&#10;s8GtlpKbXa+Vb5YBMU180oIq5fWfAkP1smv8CRgojhYwLH//DjBoTL8WY9CGKXPxUPdJ+OZKKa5q&#10;4ZGAQSsZ9QUR9UiVqkuSATROGa9BVmzROxcodHNgG7sZXr0+oiDsh1PEXNzViRb/reNm4xblJ7U0&#10;27OZpc9UAnoMVy9X4ggfaJicTmGlBUtYBucea+EYlYYn0nYaZZAgrv4U8EyeZSYANU5ZZD5s4x4y&#10;EQNzPzCLgvQMS2eVVbMpzcw9KQZ/izQJ6Qa1quI6H7Fcd4GJFFpH9dmpXtTxpg1upbxHTrOO5r0L&#10;t8BB8Oo2E3VS59GrmYmG8dm4L3YcNr1zxqjMxYoSkvXxnJNkOKTvQjSOmw+HSIYQvai4DH/qRo1D&#10;WP9p+JRpGgDRzCfxx7qovM7aUQhDb8zsJ1HlKVhWmglWkkMqucqneRETC47COTQNjXqvR22GbXaJ&#10;i9Gg+0LYBryEzZ/dMNbcbOtv2v2WWdAUQWBwJTDU4fMKGRy65KJO//lwHTAH9Z6hpe9G2YnRLuqv&#10;wb3DPDxA+Xvj8zKcLlPfkFqhDKWsHNWR2nHXcaBe3Ch4dc6GW8dcegY0lPQaG/ZZi5bP7IEbwcBR&#10;Hk2PdTwylIhf+t8HBlloKYhdoKWs1qfb6KZp74NIpiGPIXAyKR3uTFNfe47onY7Y/mEoOOyD2QcD&#10;0br/w7irB+Nz/wmoR8R0jWJs/tB0eMYyBGlLhbsz6lA1bFgFDNaEI3onZlSgKsQQWAVVDWnqHf8N&#10;sA9kCPPgCiraOsaStPwdxtLqDaYLPBltn++MLWdfwPNLmiPsqVQ8kDAOti0nwdlvJl3MbHoMz6OG&#10;pkNr3oPZAdsazTDDqeTnf7tRiyUglJQ/A0OVx+CeuAv2SasYB9JN75gH737T8fmZG7ih7ceqV+Ww&#10;Qc3eC6bH4DRKKr6jUl03nsC4tUdY3jTc9SiBJv51OCXsMr3fTePH4uD310xeek4gUqydTkqpdopZ&#10;GVdo6fGY2YfpjjIU6bYaNVIYbjHmbdh5Kgrf+s2yrNSL4+TB7+mVqJc43Sxbv5sxcf2EXDSLyzA9&#10;+rLU2m3J/AnANLeBilemwX0WoewqczeWWUO2FiBIqY9SUVfs/Rob3z6LDe9ewfoPSjB/31U8O+sz&#10;tHt0NTwIlq5Jc+HVYz7cO+WYXZEbhY3DkJz9dzZduXzrKo/WrgMHjpajKb2J+7oUEGRpzKiIdVMX&#10;wjnkeYxd9roJPe6AmCq2lICgeRDGWxB/usOEq9uNpwZA1Ba8pfVSx5nAfd0pJ+FU7h5b6OmtgGcP&#10;hoEEqwEZW0w9C9zMH72yK0w65pm1NEIz0Ozh7ajXm2FrfCZqp2Yhef47GLTnHGz8xqJ5n+1wCV2L&#10;xlEb0Zjeb7eXluN7sqhdGtRprf4pcam2DH5qHhp1yYZdFHWuy3x6DAT1h17F8K2leHTBKXr1Oajf&#10;YxVsY/IZomz4n4Hhn4YSUkajDFJUbZCi3Zu0u3IoY/UwFjJ8KWoTNR0iFsKp3XK0ilmFoek7cOiL&#10;NRTKPth7KhzLP38HsSP2wlEbvT4wDDV8adEDF8Itco2ZQ2B5DiQzHPmvwCBrTiWVYupT/eaeQgcq&#10;qMIIAoMmN7mHHkZtn9dM56fNg3zHbxTu6j0WPXMXYs2ptThwvTvev/kYlh9chb6vrsd94YxX22vP&#10;/Um0hBmoGU5vx+RFRTd9DQQiTWzSNO7qz/b9h8Dw7zofJWgSZjXumOXvwME/l1Z4F+N6ChhjT2fG&#10;q+0fzcNR6r+eM3JKYTTOAunK1fO4eescrt0+R8WqNEuDu0/eivop6ryi6xy+BfVT98EzJhf+j0zH&#10;kQvaFsYKI7TIylrPL8AhUUlOELzinqSXEMMwLWklXB/eTK9hOoJfyDcfazHDjeRB/A5b8jkt7wQ0&#10;6jQXjRm3e8TNgUfUVMx+7ZKxkqepXyqqPIYKbXRgOhz5Wx6DcdnpKRCMtC+rbKBmZ2YWvI27I15E&#10;i44TTMdevbgsOEbkWMZAw9zJ6+HcfRNcus4jQKTDK2oyeg/bhu+JbQKXU7/9xirSeEulgcyVB35B&#10;o5DxaNZxKbw6rjLWUt/abJQ8CAsPHjHlsIBBjAm8FCpUgYJ45J9VBlI17yIBKctDlvE9Hw1/fhNq&#10;RxHUGQI6EEy13XudpAx0HrHc5CGoMekwpLrMDGOeIegGzkKDngr3KCux2XDomoEBKz7CWspJi/6L&#10;4Bg8jeXbiCbxO9Eoailad52BpW98adqPTWdkSd5CwaGLaBA/mWFdDuqmzMfdAxgGxqSj5WMFKPwK&#10;eGHJ9/SUM9Cg2wo4xC+DWxcBQ8F/HxiseQeypFRQ84FbKY1mF9JKB2/nOUGi1TS4RiyF40MEh7sm&#10;ou7dvbFw9Rwcv/gKCzMfT0yfjVp+o+EQNIXPjqanIFCg19CGyqgFUMpTHoCUnd6ABQzMT0CkBUyy&#10;2oEMNarCDPEmJTWzHv0ozPcxRvd5HXXD3yRALIZHbBaco5+CZ9cumLRvCr5BJr4uy8Yz44bBxr0L&#10;7O+aAC9v5v/gBNj6ZTFPltOAgCZHEezMR3BV5iqg+F+vlaCUVf5puHL5YTj6Mz5M2EmLuA01GCPW&#10;DJ+Blv0W4C1aUhO7U1bP0wRpDoCUScqgowRPPfI52z83HxPRbLxasatRO34TGqUSZAiMT0zeYFbc&#10;6Xkpw7kSTTqS8JfiOmN58bbh9UuoGziB1m4Zrdhy1H+U7Ro1HoMWHzL5VyuH8jvwLXBXPIEhaSY8&#10;6fW5J+XDJWoa4gdttLwS5qXBDqKOAYYy7SzFPEyfK9NRNcgB0pCe+PmZz09c/DbcfJ42W8R7EJBc&#10;EhcY99y+21Y4P3wQtXsegk3nLXCkVfR9cQOm7bqBY3zZ7FHBNG4UW/sdyGMQMExe9iHD2MloJEBI&#10;XGGmi7t1zMa9PYZh/ymrT0ZhijanKVdnp2rHeDJkimkaIKwidRHcAQbzlVgN+hKM+M+AzPfhGMO2&#10;7rIGjl3XwqHjQjRImQm/x3LwDRtY5TNVwUTO80fok0vNokF17MrD0NRlB4bezxe8ZzaWHV14DI4d&#10;RqJh3FqGE/vI/3rKxgR0HLwAJ8maeNaw8zE2SpdhG+EUNtkYkXqpi1Cn0yzUDhmB0etO4iifGbjo&#10;CJzDJsJTcxg6apbn5r8HDDwSGP6TeQwakiPpGQ1PhmroTvsX0EIFEBwCNpi9DTzjVqARLXETuujN&#10;2g/CjKWbMXfdUMzbPhldRtAidRgNL8aItr6TaXkYVnhnwab9NLhFCZCsuQ7WMOa/DFOKNESpb0uI&#10;zFAm360a+tQwqJZ+1/bdATvvHfAI3YWa7efDJSwddiFPEkk7YsjaaZi49gmsOJiFJ0ZkokGbgWge&#10;PA/3xqyFix/d1LgN1ka2fiyP/zamT7fPfPVKZSUfIcw/2KqDfzxcWUUSFgGD3M0JBQeZ/zTUS9hq&#10;GrBmHEE1aSl8X96O1/gu/zfKqeGzHyi7EpCfmIDe/ZJaMG3Lpwh/YRGcIiejVvRc43XU770NbvHz&#10;UC9sOJbvP2FcT63PqLY4Vo87rVhxhXHFX5z6Lhx8pjJW3QzHjrR83RagQepkbPxcHgn/xDBfFs+a&#10;ZZj0whK40VV3T1oAT1okDW82SMwwn5+T8Bpl0L/lJSiV18A/jSyoN90YXpI2aBFY6TsqM9Z+jHvj&#10;hqFJUho8CTiuBByXlNUMa7bCrivbI4mGJ64QtSnkofQ4V39uTfw6Q4TUxirqr9A4vwBTXtGLOfvQ&#10;OCYLDZLV+7/SrCtx7yRgGIpPmKmA4QxBWisvSxRSGU+BBRMKmPohj2onnesSybrIZ0svmXrUZ/SG&#10;LP4GjlG5sKXCOXRaSUCei2Y95uDeLqPwCd0nAYO+gK00z7Aa/AfMhV3MbLgItFM2wLPnGthHT8Jj&#10;OZtNO39ExkL6zUFdGt9mKbtpLDbSo54Or5gRWHDgB9OPo3af/9o5AscME2KpE7N+NxowvxF4sFc2&#10;3mBCGqV6MfdNeESONStEXTuvpzezjXyu+L8ADFUThcx3HjQR6M5HZwgOAVt4fy3DDD734EhaX1of&#10;vzFoHpGJTk+vwUORg+H8YB8kDdrBQs6Ac/BUs7W7Gy1jTQqkGwFCHWVm8hTzs5RO6TM98SSiF2Hl&#10;L4sugOIzmrsQPN28I0DxiKGla7MQ9iyXrfcs2PtPoSUdhfodh6Dn5GWwbxmKdslPI6jnVNwfOxV1&#10;g9Jg245hTSuW3YdAQG/DxofWSd/MCCIACRTCquZpmPL+c2Dg/+ZPR7bLHWCYVHAA7n4ZjNU3oQGV&#10;2rXratglLIcDlS1y2BrED1mC+GeWIerxpeg4ZDOShq7jcTU6DipExFO0UJFjYNPuVbMcW6Fcw37b&#10;zNJtt+gp6DVyFX6gQJopy3KRJeVShjLF49bOwm//ALTpvhh1Y1fS2u2m5VmLGqFjkTx2OU5QqAUc&#10;hmmey4LqQy/T1x+DU8BQuCYQfHoQSGSV6N4PWfC2NepBuqavSguAKkvN8KjAoEpHzEYyZucknp+n&#10;TqbP2w7Ptt3xYKex8IoeA4fQ8agdkYXakTOpOHPMKtIWz+2DXUeWi0pQj1ayz4g9eOvobeN5CPQ0&#10;pKfySOmfyH4DHtHTGB6uoOKsgksXCxge6DUaR1nxqnd9y1I8aYjSGkHhhSqXxngMvHfHaxDTIn3B&#10;6tZFw7e+yzmy4Du4RNNSxy6BM4HBKX4O7krNRfPk4UbJBQzqUNXfr/wR+Mx82CXmoXbXzbClB9Sk&#10;73Zj1R8bX2DqTRCVtaIIdQKnoF4iw+uI1WjQdZPxDKJeWGp2ktIKyugX9M2LqfBIXgL35KVo2G0x&#10;3CPHY+jCd8xsTXluz2VuRpO4MXCPnQ7njgSG1D3/MzD800/UmetmSJExvkILufbqwZcLXbXy0Fkr&#10;4oKyzBd1NV21Vnt6Ay0y4OE7Dw2Ytk3L8ajRZixqd5gEl5As2AekMz7NRZ3oXAr3RNhRyc0n6pQn&#10;XXQrhFEeWomptAUK1VOdyVsInw3NQa1QberKvNpNJihlwyloJuoQaNwZo9b2TUetduNg23qE+dK2&#10;Y+uhqNVyFJx8M+AYlEOBpiscS1DQNyPM4jBNdGJYYj5Sqw7WWX/i5Z+FEkauqkiKI+umWHFywWuo&#10;4zcFjeix2MewPZKXwzZBs/vmw6NrDi3eJLrYtH7xuWaLe5f4LNP5Z+c/nnWYgcbJ+fAkINxFQPDq&#10;zZg3mXz6DEebAXOw9t3fjFUu0/fgyhmBa9swKsDN0svmuhQkc/N3qM06a5Syh/H4Hnoay80GJRnb&#10;PzV9Br/K4ov5KoDQV6o/ZJnuT8kyw5aKlZ3Ig2tcJoIGTMPxqn6Ry1dVOk3DKseVm9Yei0rGUkeG&#10;U2Z6L72Gkts48M4XmDBzLYbP2IqXZ+zFc9MP4fFph9Fl5E607T0XnqGjWaZhcOi2BLU6sq5bj4UL&#10;Xe5uT8/Hpr1H79SnlEtbyL+cf9TIgwvDCCcCXe2Oi+GSnIM2D6fhAxZa5RKIqC3M9Er1g2hOh+kD&#10;4TWS7lWdVv3xmdvMoeKKyU9190Lep1S8WWZ1a52UQrglzaaXMhXtek0y3pwUXc8qDa2ViBi0iOBG&#10;me1MA5ZAz46ho77gNXDySlNnevbDEzfh05cAGMdyUp6a9nsTXp2WwTVkPBa8cQmz956FY8Bo4y14&#10;MYTRvAjX6Onw7jcXb5+y6kAfs3k1Zx3uiR9plrM7JK5juLPbzG34H4HBvuV//lFbdfhpKFALoTQc&#10;KOUwSqE+B7PdujqKeO5LJfenUgXRDQqjS942H/aRLGT7NBZuBjzDZ6Fh7Gwq71Ra6hGIeGW/+aKv&#10;Q5il3BpilML/royK6wU+AgQd9Vv9G9XAwHf0fcnwMXTrRiNy6Fa65dkMWcajTtg8OPvkoxH58ApZ&#10;C7sOWcZDMZ+6D1nPchIQ9KEahSnqyyCYmM1o1LGqUQl1uAYtMuUWqW/jnwKDBM1YKJKEoBoY0gp2&#10;w9N3EhrHrUPjHpvRoC9DoT6vwYXnzt3oSXXMgROtpnPsQjOd1iY2jxaUyhhDZYxZjrt77oJr/Bo2&#10;/io4dyWg0ELc1X8exm3+ygxR3lDGZt91QsFNSmvlDcb414xiaGZl3FB6fP55qNdlP4HhNYLCfPg8&#10;Phtv0lc2IYyGNfVXBQyy9nJpe4zbAZcErdhbDMfO+pr1DDSNH4olez4zZbtFK2w2upUl154CvKat&#10;1Y3bbmJ6ktlkROpg1Y3ASsokxZXl/44X9n1WjOG0fg8kjzUf8nXttwOtntqPll0XoUbDFHTpPxYn&#10;L1o7ROud46Qpu66yTJkMi9Yx9t+Cmh2XwaVTLlp0T8PWj66YcomT6inHZqRIHbHyGkzno7UpnMUV&#10;rxmelcMF3CYwqP0EDN1G7TRK6dllBTxSVpg9MdyjxiLmhdn4ga9pr0yVTqn8xAyDB6pzNwe23bRm&#10;Ywet/SZ6rZMxKmO18Uq0oY76TSavOYGGXVegRgwVuuMuNCGAOFHOQ55ehuCnF1N2J6Nx99XGu3NN&#10;KIAbvasRi4+aepOXcpEZjstdh+ZRg+iJzoRjMsP8Tjv/z8DASrexf2iGAQYCBONKutdhFOY/fQa/&#10;emSgGhgMYFBJzMao/ouoWNa57muzFk120lwDmwDGW+EUznarqeB7YdNhE5WfiKb184yV6lLAa7Ua&#10;SVdpHFz9n8U9Xfuj4LPPEDqQFjy8P2qHjTKKbr6qLQ+DIGWASh2M5MNSRiqlgKmK5GVo5aRLVG+0&#10;f/Jh5L21ExEvDYaTXz801eSlFnmwb78O9n7r6U3MR50Ylk+7PbVZDftQomi4+hMIDNEMFdQTLtIc&#10;BoKSwFGjJdqnoXpnagHkH4CB56be/n8+g/87MGgDFS2W/R0Y6vpOITBsgEsc80pehRqJ600M6pw6&#10;H1696K6nFNALW4FG/TaYBVb16b43Sl2HurTu9RIIElTmpj0Y+gRPpMBMw/D1R6BPrcl6XCpm7lK+&#10;Yv4SOJCkrFKOVZ+cRb3kKXSBC+Ceshd1U16Hbdhi9Mz4wHSGKY43bjeFVd9pUH+A0lQMO2zVL3BN&#10;zEfNWLrpXdfAoxP5jBmNZzPX4VcWVMpzjV6Kev6lWndGQm5fRmUJVViLncxSafJ0W1viV5g9VVVX&#10;V/noSWamOpIC/0Y8m7XxKMGPxovWuUbkXDzYexXujUvDXQFPInPpLgMK4lUjNAUfUNB9Jxgr7tqT&#10;YS6PznS3G8aPw5xt35oymLTFpNjS8K35XkZVXRkurIVKFgkY1FNzgc7FJcOf3PWgp7Uh0AzUoeV2&#10;61yIxl0XM0wejp7Dl1v1xteUksqvzW+8n6LRjM2GS+/dcOhK8E9YD5eAKRiSvsF8c6TitrXn5qd8&#10;2XvAEnh0pEz5L0C9nrvh1W2d2UHKNmQMmvZchvpdKJPhufQYF6Bdah6OsToFXeeYjz5INH7eVhrD&#10;F1C/Ux7Lvhm1Om2FfVwB2g1Yjh/ZPn8ABtbvHWAgwd5nJZVRLjQZDmccbz7/vgbW1mpUIAq/GS7U&#10;WD4VxcF/CV3wpYY0NVq7Nzn66UM0vBdg3XegBXbwtb4BYR0LeY3P+hNE2k5Es9h0NAx8FumrFmDL&#10;N89iz+me2PbTq5j59jQEDmI44DMaNWKpqL7kJ5CN2mGZGU5sGD8JHmF0/eWheBM49K1J7dP4UA7a&#10;9h2LjK3ZFPQeOIWx2PLpQOSszUJg7+nMPw+2GvnwnWMAzfDsu8LM4KzmTx/Q0T3rS1sqBwFQPPsW&#10;GHIiqVwCCjN3ogoYjLcgADNf/CbYhBIAQ6mgBBp9BatFQho+o9k2FpQkJVE0rM1MJJgSHtPH4JuJ&#10;hnFbqVxb4J66HQ4p28zwlz3dUufE8XCNmAyPyByzDVqdmGnwiptOJZxKF3sS6oaMQv3wYazXIXhs&#10;yjqs/+g3oyQSfrY3RVo7NxMM9OUoWexyKiCvE6/QO20VwSCdYLQArj1o/XoeQs2EnWj8yFto98oH&#10;8BvyJkJHHUDQsB2kbQgcThq2GyEj30f7l9+HXdQaNOi+H/bRq+HJWN6dIU+7h6fjjR8tq68y3tCU&#10;a5baWkMsjsTZVSqYjlK4qvtVVF5+C7duabzAuiJFUf3J+0keuwe1aQHV/1KHIdM9vZaboUvf7ln4&#10;gclr/YUmFR0hcnm0fwZtHiVIJxK4YxbB47HtcI0ch+dz9hqlFjD+THaUx40rPNGohKaam+2vxavq&#10;Ta1FECfYlJs+iIu48ttJw8+OL26jcbeFcE5hm9MYunXdiUZdClEvbDJezX7NWG55a+pklTHQ1vuB&#10;z680MxOdUqikbGsNIdYOzcSTU/eYWlG73KiwjEbB3q8ody+gbsd5cO2+FTU6bTKfxdeUebfkebi3&#10;52Lck5SNBn4vY9Xun3GGGepjRnpXaQ3K3ccwebiZEFYzdTlqd18HF9aDX/9F+IF8CRh4rAaG30MJ&#10;AgTsffmC5iD4/wkYzH6LstS0iLLeVEZZRnkJxg0nAPynR4GHs08emkfnwqPFYwhJjcT2o4ksxJP4&#10;FhPQfVw47k19iR7GEPIygx4Ila8D3aZ2E1EvOBljC5aiVdcXYXPfw6jVgZYxcQtsvelu+y+Gd89h&#10;8O37AI7efA4/4hG8f+JF9B0YA7fWfegpZFM4qLxxtG70MP4uv//uqKnVd7wFAqYFmgQHDWeGsu7C&#10;NJJBryFoAYEhjcAw+Q4wSAAlaJp/b32roBoYXicwTEP9uJ0EgfVw7ERBi2Kc32kxfF5ZjtiRBYh8&#10;dilinytE2JPLEfLEEgQPmIeQAbOR9PwCPDllI9JXvI1le7/AMSaordclHJcoyJfpHWienPYXrlSO&#10;dJNv3LRA6b1fbiPwuVlwTpgAF1rTmsmFtCrbYdvpNbj3OAT7jjvJB8uUwLJREc1en4n0KumxaLOS&#10;OnTRHaJpxeK3MqRZhwadN8Atdg7qJ2Uia+ePphNMcyYk7MYKm9mEl1Fy9Wd6B1r6XcZwowxXS26i&#10;jJaykl6DAQkpqJ7nvdLiW7h2s8Iol4R9/IZT9G6mwaUjXXatKUleRFd+Blp1ycPBL5gXK1k4pK92&#10;dxmQbUZlmj5Cj5ggW7PnOoLXNDyUmm5GTwSeqivxx+Rxq1jgoNCGAXfpBehLWOo4VbtpV+sSAqrZ&#10;5Zp1KMv8zDS2m5bIJ62Fc8834Nx5B8tegPsTs7F232+mfS1jQH4Iij/xR/Bzq2EXzRCQ3qBjZ4YB&#10;XVnnEel4NOuAASula32bA/jyxwvoP2Y5HIJGMe01cOnzutlkxp6eYq2YPNRPzIG797Po8WweTpxi&#10;PgIhll1D2pKrl/MO0oseTVBh23VfDPvuhQTu+Qh8JB/fs9zfVaKIZAHDddy84zE4t0ynNVwAh3Ba&#10;O8Zj1qgErTBd91oBCiPoSmshUqgmmswgae4CM9GMR9Mp958dNTfBK4ixfqsVaPbgVLT264XC7UOx&#10;+cBTOPDBUvR4+mU43vME6vlnoV7EJLgHDsM94eMwYFg2nh0fjIMnJuK5Wf0QO+R5NO003HQc2rZn&#10;XN8iCw7t+6FFUgh2fpqJvHW9sfPt+YhM7QHHFgPgZnZ7ZpgTxVDB9B/8ka+/fVSfBgHBfJVK6zBC&#10;phuygFPPaM7DMh4Xm63mHXzGoWXCGGjmo6yehM/yW3/fj0GhxKRlhyxgiN9O13ItPHpsMDP1fAbt&#10;wMqvK/A5G/wzuonfMZEf+fpJ/tYy4+OUoq8oyz8wIVk/CZUUXunKDmvHZwmYFSuXoVzeApm4dP2W&#10;eXb2tqNokkihi0lDg160ZHGLzeIbh8Q1cIxeRiKQx2i3obn0CuajYY95aNBzHl3a+eZa3cQFaJpC&#10;TyF+GZp12wivxOWoT0V1oheTMnIzvia/+palym44k4dwu8R0OoovKc15mjjdF4fFDHnK9fk0jRIo&#10;5NE0cE1+UMWRxPOqI0Dt6Flw76JFXqtgGz3bzMC8l2C06sBF8z2Iq7ScGhqdvfx91GrRH/c/Sq9Y&#10;m6AkLoJXl9lwJ1iMWnrEeEwCG3kZ4kcKf/MCg6cS+jrmK9ik8pvEJ9ZoFQ/agEV8v/VNObwfmQ3H&#10;BIa4Gt7t9Rpqx6+EKz3amCeX4gc2yFU+qHKJLhZfNUPNwc8vg11sLr2LFXDqsozgSoMTPh6PZe0y&#10;ymzVlSUjymfLO+fh3GEwdZJ899gDl7574fbwLjh3WYzGXWbhbnoEi7Z9Y23dR/40a17tr3INnnUA&#10;dSKHw7NbHmp3yyf4ryAwLIT/I4sECvjm9r8AQzGBwe3+HH+CQ5FLizS4+CyAcyiBwS/TfHzFLGEO&#10;sHZU1v4K2m9By4/NPgdm6I7AoA+7/BMKXg6XoDdg03w9HgjeBN+YDLwwajjaBrfGw0+moddjdJ0b&#10;jcX9tFL1g8fDw+d5tIoagjHTp2P/py/hh7KR+PD6HMw8OB9+T0wxexh4RW02oYxH6HAkD8xEv2HD&#10;8WBwKF4YmYfYXhloHDQZdSMICK0IfOFUXG06++94+zuksgfRLdMCsqBc2Jq9KAgMwQJUpqtP5oew&#10;7kKIzgzNnDuMQ+u4MThGCbSGC017G9K4uITAAobDcNPWeAQGu6glZj9Hm5BMtBiwAAcpYBJg7SYt&#10;xZDwCATUQaff1U6vYl6ztoBScYNkRiX/NU8z5mb9vM7fP/OZHkMomGGjUTchDw26rmQYU4BGqavQ&#10;oGM+nIInogFDvubJmQxXRqFe5Fg0iZ9IQzIQjeMmmG3sbdu+ZLa0dwlNw709lsMtei5d6RVwi5xu&#10;Vl1u/kR7RVHhDS9S9ksmf7nX2nCWVwz/OsrKiUWLV/6jkQKZfnUK6jdP9XGdOW8yFo5gGKGlxd1o&#10;qZPyTQzdJGYs1h26YBTkOsFIM88/+64CrTqORoPkLNNpWYPlcu80B3d3m035WYTFb142XoP8GPEk&#10;DDIdj5peajaSFelcyFGJG1fl6QFfEzcen7KNrjzlgcbUpcdGM8FJ+2+6Bo/ByDlvm3Lpw7lM1tD1&#10;ils4Sb6CX1gEu7hsM+Tq3GUBPLvOg2P4SDyZud0os1gwPBAU1Rl5isx1eZHeAmWsTseNlEN6bwRg&#10;fV/VNZJe9rBVOMpCyDvR+hJNLBMwqExDZr0Gz4ihaJBCr7BLPsFIHsMi+PZfhm+Z9tcEBoKDBQyM&#10;mgwwuN8/o4hHuHmrMHR9fWbS+s0z8xf0nYaafmvNBiVmspHmE5h9D+Qu/y8oREOCBAbvvbT2m+DY&#10;YSrujnkZte5OQeMOFM72G+Hpsx11/NeZT9t5UDg92g1Du7iHcehEDo7eGIdDZ7MRNTCB4URv1GhJ&#10;S92Srm77ZWbos3bbwWgekoGaXi/i7rYz0SF2LWo/mE4wosL6rUCt2O3kg5X673j7O6QOxkDtF6E5&#10;HnS9BZxmIhbT14Qr8+GbtQw3VsHBbwFc2qehbcxkfMV41/R+q9UpY4b4WxbBAMPSd+Hmk4t68TtR&#10;r/tGNHuMgpYwHa0GzMCnfEix+kWaAr1+6dZNXCkvwXW62dYnYix/QMlLr8w/dxSMxPcrjTmxrklo&#10;BCp7j5bgnrhxaBg3C407FsA5YgGtfqEBhPhB6ylwK9GPIUz/UcvR7fm56P3yUnR7diH6DV6Bp8au&#10;x/NpW9B7RAH6TdyIFl3T0KTTNDTotMAsJ27YkeBAyzkw7zPDu4S2RFaYHJ8jCgjQ3v36FiYv3I/N&#10;b58xCqFrUk5Ze8Or+L7KEOMiYU9uAO8JAHunf8aQZimBYRtDrpXwSl1BzyUbDcNfxRvHbplnBMJa&#10;Sq18Jy48BDd9H4Lhh1u3JXDrnI/G3Zeght8IpIzagbfYNuJM2V7gP+qDNHXHRMquXEXxhYvENCEt&#10;/2e66oDNXHcCjRIzUIeAZBNJ699rLbx6rCQf0+Dfbybe+LLYAhomU8zYRkcl+z2ZC3wxH3bxGXBj&#10;3K+9Ob26zYJT+BA8nbXJgKja0iw+M2tM+D5p9wf6HkWB6Vvz7LkFdftuhkPcdHgRqJe8cdrwL3BV&#10;HmZ+CI9q4+Ez9zCUGmo+C1mHYalHl9Vwp+Hp0H+5vAUDDCQLGJiljdsD0wwwkODWfjmBgW4WBVOT&#10;k7SqUYuRavltRC3tsaheeA0NVs8hMBvCyqL9g6O2no9+nZZ3D2x8qUS0krVojRyCJsHemzw8uBMO&#10;AQQOHz7nPYMVRne8TQ7q+7+E2bvy8FhGCKbtHI7gJ3vCvvVIuPtvg2fsW6hN76NG0DQzx9ypNcOV&#10;tpvgct9aNPbbCpumE+BMlHWI1mxGpisQ/Lv8/vlotpInn5qSrY5Z0xGpSWCsI/62+mXW09OiO+5L&#10;161dBoEhA18x/jPAIEBQ6+lICdCpPIDxy4rg7Dsbngk7UYPxp0NHTcEej3u6j8XH125SaRhrl0vk&#10;1eQSAamRjtdpVW7QNZcQlVgub9XGo3dmDymvamKeUgDFsmOXfsI8R+GuzvQQEteb4dWmDAPa95mN&#10;N05afJlRCL53jUlJN68xPR1/PMN7ZEW7Qn1KZHs6ZwvcqJhNUxfAMWoRGqZsgVPQfPj3X2+2XFOe&#10;JXTLzbCl0iUNn3UIDi36Iaz/LKx//xa+ZxEEEKaUTFdTCoxGkeRdUT+x6/2ruE8jL9HaQHaHme/h&#10;pVEAejMPpYzBEVpO1YoB0KvWXg/vEIB8e6WZyT/a48IjZRm9DI2wpRnPIWnQOix9/ZxRLuOBsbxm&#10;aJlkZjuSdDQ8MMGxS46gRS9a3wTqS/RMePVZY6xxPaZl5/c8pqz8wCil1owJoIuLi3GrTN+2oOvO&#10;igh4cRFs4zMJDAvuAIMzgeGZzD8Bg0ZHWHZ9T/gKLw4Yugt2Dw2HS+w8Kjk9jYRMxL2yDN8xYeWn&#10;Z/Suml3llscwdJaAYThBex5Dv+Xw7LSOXt1SeD+6XKDwR2Cgg3IHGHiECz0GZ23w6qc+BMbJAgAJ&#10;vr4bGUAl0Pi8FhFJOYKlDAUUoqWk//xolCthk9WhFUfLHc/8kqfw92SmvRy1Il+j8vK+1lwwxrUJ&#10;W4waBImWPXYg9hWic4s28OnzKIIeSYOnHwWkxQ6CB4Gk3UKeD4ZrJyqUN61J8D54BOw3H8Gx8ZkB&#10;+6gFRHaWpZ2UeMVf+Pq7R71rgEFk5lRUgabqqBo4g1ajVtBK2PszRPOejNaxk3GMVkmurRH0KgXV&#10;B2zVgFLSMQVF0A5RWl1Zv892ePZeZRb8tHk0C1/cLKHlo5CYr0RTSm5R+vW5ddP0IqmC1MlyfStv&#10;8rf2bajK5w7x91XekgK8zX+CnqHrHz4LjToKXLfCM7oQXpEz0X3EOrP2Qkoi/pSMhvTk3RZLw3nh&#10;CiVYVlm5Kr2Cd7+Ge8Tz8OxIMI9fAc+UPXAIX8tQZAnytl8wCq+0RHp+0PQP4N7hVdQNGo17O87C&#10;g1Sqp3M+MICk+jjLujnLhzXkpmngXzDsz1x8CIF9Z5p1DzViNsAtZRvqMpRwiZ9u4uhHJhaaIVJ9&#10;c1PVLEstZfyN6czdfAzevbLhEj4RbrSc2oRG3+HQxio1fYbBp9885O34Ffu+skBLPGq26BlWo5Tu&#10;AhNcv+8E+o1YjcbJ9FL9ppr9DWon0vvovw5OiTlU1LFIHrzAgJM8FVW5UEVfwiqtmsPxLevP/4WV&#10;qBE/E66pS0wo4dV1DpzDRuDpzK2mnvSchm5N5ytBXjt3aZRl/b5zCEydDof2QxgajycQTkHe1i8M&#10;mEgCrA5LeZFWp7bSGpy7D55hY9Cw0yK4Ja81I15aduD96AqwqH8EBuKXAQZnn/wi55ZTzeQf0/kY&#10;MJXKo1WFVDJN1JGQmwk7VDbTYUfhpztt5jFoOO8fUPWkJJsYhiWpBACfdILCGILEJGsOQftcHql0&#10;/jyP5fMx5KuF1vxvg80DQ+EWNAyObZ5keDAM7j7b4BzwNoFgPWrEFqJ2qqYmj2LMx3faLGaZGDa0&#10;mW8+x29Dt9YmKA+149eYUYV/x9vfIU1wMl6DGZZkPmZZtjodRTw3cxmWoSYBwy4wF04d1Pk4zsxj&#10;kFKYabUCCFK1YmkIbuSK9wk81n4MbqwX22Ra3rgcPNgnE59ducWG5gvyBOTnKlavZLPfoqnW0Not&#10;gkM5Ja6c4sAQo0Kfp6/2GpTPjXIaH2bGc4qamZew4IOrDB0moUHH1agTt51x5w606LEXdQLTseLw&#10;eSNUZ0v1XU2CDQWtRK6CEEIJkLSxkqyhPpevUOhrpt2y7zi4Jk6FR7fNdNf3wZFpuoYXIHXE62Z0&#10;QkCjKchzNn6DllQkj8AJaPvwKtSNngVb/ykMP+agYeIMdBm2G6/M/pTu+kmMX3IUT6btRfyLBXgw&#10;JdOEOfVTNqNm1Fq4d16P5g9vgGPYeDRLHIkZm4qMkohF7Y9ovv7EcymJrg8YvQqNY8fCKWYGGvXZ&#10;QOBdgjpJ83Bfn+VmSrKt9yCEPb0C3UfvMJ/Mm7f3ErI2aYfo1xHz3BK07DKF4dEYM29DIwQePdYT&#10;YJbBNjYLbvET0KzjUHxAVLO8DlV+OcrViaoj3Q/xIq/I94X1NIgMMxm2OZMHrxT18Y3G01N3GkCS&#10;nFwvFQJbdS+Q0xCkruQWfoIFW37EzPVfY+aqojvgfemGRniKcZXhmoamJVcCuFdy30Cd8Emo15mh&#10;YvImtstOAsMKE0r8xWO4huu/A0M7xvGRtKZtJxLFCAxh4wgC2vdgDgWc1zVfIFwTnzQrUsOZs2kh&#10;cyn0M/8RmU4604Gp+QmKxxmjh06CLd2dmmFjUUNLsfV9SrMzFM/DMkxvrG3AAmNRnf2mw903m/H4&#10;bNh3qPr4rfaZpKWziRvNCh9OYOF7Gl0JI7iEMS/xHplB0qiL9oHUMu9/z9//H5l1EVo4Fi7iub6R&#10;qfoRmf0iWEdBuagRPgdOBFk7n6Hw9H8Sp9iw+sK6rIFwXUKrcXE1rJRm1Or36A7T3eu0Bx49t7It&#10;5sM5Lg9tHsnDx5QWCbeREEmBOuKMq0mSGb9DEkYqg/HBrXNmQTDSZ9L4Gu/rI7L60Ejn9N1wiaMb&#10;TOXySN4L+9CNqBOxDH79V5rJQZrVqOVIt41HQgFVcgIGFaDKa7hFK3idVk0YcZy8DVv9rtnduG73&#10;TagZswVN+35I4F+IRrEz8BHRQ4L6I5MK6DYZ98dkoVEkKXEe6ndcSmVbTFBcQnd8ORyiZsA5ehpc&#10;+YxLdCZDwCwTTzslzTE7ENWOLkCDrltwT5/NdMGnwiWY8XnOdnxyptLUp/pdNAwqhbx6U2piAXDR&#10;dxUYNuewAQGn2Nnw6Ehr3ZkuOb3Muh3nwjOZ8XtyHhwoc46UFceYbD6XA4fYbNjHMkyNnwGHxLm0&#10;8qsICOvMiIgbwcw+fCxa98sikHxlAFVtZU3kYmOZGaNsG/6pU/B71l2L/vTGk1bBJWUTvLqvh3MM&#10;PcXIyXg83ZqgpeoVz1opKtK8l+oyiNRJq6HT6pm0VuPozlWW+zqftT6+ow7rp3P2sbyT0aDbejgk&#10;b0fd1P3wjCtEqx7zzLTxPwDDb7cv2djdn2uAwf6hSfCMWQabDllULCkQXfoodajIS6Cl1e5M+hSd&#10;xq011Mfr+pRcLQKHLek/PYrsQvNgbyZKbYKTP+MzgoVprPBxtPJp5r55NjwHthGZ5gO1dqHzYE9X&#10;3SlgBVwClhhyCCyErdx58SmeGbfZJJB/HWOppPJAomjFxbfux9BriM5BjYhZf5vfPx+t+mB9GWLa&#10;mv6t+jGf62MeEfNgRy+nZjgtfjg9huDxaBQ+yMTZ2jZNzVdcoTUD5ThDyy5ryygDg5fthQPBsE7H&#10;LUbwNBRVr8tCdBiwAEW0QtoR2siXFFNHS+8tooAYqvq7RSuu7i4Jp1lSXPWfziUwe+mi3P/obNQK&#10;z4RrAl3qjvRSYtbRI5qJhycexCmmJb70sbnbRtTJtUCnOv8qHirplVhp3jZCWPDJb6jfJQ32cQto&#10;mbajQeobcIpYAa+obGRu+sZsNCKAnL3ha8Q+tgyuPqPQOCEPLR7ZaHYZ0qxbfRvSubOmLmvYdIGZ&#10;/l0zYQHsuqyAM4HA65GdaNJzM5p3Ww338Cw4+b6KxJfzsf/4TeMVSCmvlepbC1KlMtaAZan1Sxs1&#10;fUHN6zNxP5pTMRxpkBp3nYfmvZcRjPSpgEzG7vmoqxCDnoAD3e9aiQupxAtRm6GHe5/1qD9gG2qR&#10;x3o9V8Ge4GXTbiAiBxbgtRMW8P1wxRrKtICJuf4JGH6g1ge8uAe1k6ioiWtQL4XhVsfFaJo4DY+l&#10;7cb3fE1tJDnR+Ie6Uq09va1PDaocBv+FCCJjEPT072GlnhVAKiQbOP8deoNT4dlV+z8yz4SN8Ipd&#10;ig595pnFWN9eLSkiWcDAjA0wkIpI8IzYQnecyhXAMMKf4CB3nwpoYz4xz1DCfBCWChFI19nE2Lxm&#10;1ir8AwrStlez4OAzH/btNpO2wt5nMWr7050MmIZaAXn0AlbBxncdedAoiMIDKl0wXfUA9YOsg63v&#10;Utj7zqf7Se+F7rdNAPkVb1rDoL4Q49aTX4VBgQpL6LrpXTNtWenxmX/H29+iqj4Gpas6MjtQs34M&#10;8Vz1pZWfbehRtKXX4DsD99DyfEX9OsdGl+CqcYXq6lCUEMhKjF21lwCdg0adGa/Gz0OdznPNirj2&#10;/fJoCS0rUlEtGZI5CUUVMFjz63+XFd2WcJYwj5v8VxOpRDqTwk/bexx1kycSEHLh1WkpGnRZi/rx&#10;S+mO52HDp5ZAia9S4zFIxCR4zOhfBLKEQa+wSHHtqRtXjFJ8yUwjBxG8o7Jwd58tdF/Xo0mXlXTf&#10;MxD/3Fx8zWQEM6INh64h7ikCvO8wsyy+Sc8VaPrIBtTtUWgmdbl1WwbPXoXw7L0arj3XwDaFddqZ&#10;lLQULlGMs72Ho37ICPQftxn7vywxoCAuVW4BYqWZ0qzvWdCDIr9XaWZ1T/UoEJuy4aQJK2weeBxe&#10;cenwfnItLTk9gaS5pg9Cm8a696DR6rGaIepK1CAw2HQpgC2Bwy6aOuI9GI07ZWDo0k/Mrtq/sDKq&#10;3XpVkQUGbAl5dqbieIU3fiaTwc9vI3iugH1EPjzjF6EejW6T6El4Km2H8R5VFvGpT+ZbXw63vh4u&#10;mTFp6x+FKmbhFxOs/l6nIX2R6pKp41OkFxVKxExG4x7LUa/XZtbzFniF5SG8/zz8RJ6/Pnfud2A4&#10;XwabZiHz/QkIRTaeWfAI2g6HkI2wo+XVyj7b0JWoHbSWFnk9HKkAjlQwRyqFAxXCLljLcdfSclIx&#10;wv/zY82wAriE5MI9aC5c/dbDxY8WMnCVlX5IPhyCl6N2wA7SHtgFbTa8yPrWiKDS0d2tQT4dyI8L&#10;gcIldBrT0q68S8kn+Q3YgtqBm2EXspLvFTBEoUAF87fSCmSawSvpeRSghrah+5v8/uUYup48bIFt&#10;EPMKYv0E0boHMkY1xHKQD7dw1qf/Bti1J4C1no7m9AQ+Ijxrzvw1CSnbUw6iFiZdo9Cc5q8hc5fD&#10;rcOr5qMzTbvMRuMudJ2DRqBDr0x8wVY2Qs/3bwtZJHNMR5ZDpN5zyYpIt0RSAimtOi2rQYEhJH64&#10;cRPRz6aRzxfoUk5kfJ9h5iA4B4xB1DNLjPcioVJ+mp1pdWvpk3ZUN+YlEiIU37Q+IqO8zt68eQfg&#10;0jccgWvgq6jD0M0xcAqNThrqBr6C+r6PYNsHP5rntLuTBF+bs2St+wate9GD8x9GQGUoGDKBMjiV&#10;4MhwMXmG2cPQKTmXngNDtHh6mwTLpvFpiHxsNkbOfhP6MrTUQlz+cl6jHvoTk/SRtNFtlVKWlFbg&#10;ZnG5mT35M+tR4PcZUXL80o/RotNE2LR8ErW8X4W7vuodnkFvIMdseOuQNBt2SbMsIh9anXl3tyz0&#10;nrgZBYfP4Wu2h+pL5VFtKX8LMpWvOh51bv2p7s4QOTo8PB+u9GA9Y3LRiCDj4TsUjQIH4qX0zSYt&#10;1ZEFDOV3gEGfyFXHogEbzanQxK9yFsRMwmINVG1JZ2aSVr2vcHDgrN1wDRoIt6iJcGM45hoxDe7e&#10;4xHDEJWA8EdgIG82BAULGDzS4dp2FWp7LyMKMv72zUJNb7p0bRdQqPPh2Ho+nNrMgGPbabBvM9dc&#10;t2lP6kDyplX8j49sZJ+JpPGo1YEufweGKD4iNrwPrbk3nyM/Nm2ohG1W01UjXx3oAfiICA4+vO+T&#10;bdKw9xkJp/bj4Uz+nB+iC/rgKji1XGnx2X4marWnu9yO7mjr5YZqt+F5O6bzv+G/PXkgT7XaLjXp&#10;ObaZzfqZaVHrucx7AWq3plXrUAjntqy/B6bioYgZOEoB1ri2hpKq9yW4ScGV23em7AJmFW5ATN88&#10;RD1aiLuiR+O+5DFoGPYK4p7Mwuen9aFYtn215jONai/hz97Cn4FBrr5I4HDx1mV8e/YC2iY9A9+e&#10;E9G623j49M2Ed+8MtOP56AX78AtlTqCgNCzfQ0ikPZGsORS6ot2llVdZuXXUdfEn0dTOyaF9J+GB&#10;xOHo0D0DPt0nI7DHWLRPeBYzlu7BccZTAjJ9G+OcFJQJfEh3I3fPr0gdvwXt+s9Ey54ZuKfTeNSL&#10;HAT34JcILq/i3tRMBL1QiJTRWzB1zWf4UEuLmc5Vvq+yqg7KFHRLH3kw9Ic/S1G1W74U+DKPv7Jo&#10;v7FARUwra/VnSH11JUIem4sHUqbirqQpqBczFnUjR5gvWLV9dCYSh69F/8wdBISfcJz6KCW+JB7I&#10;gOpAWV44z8Cqigf91i5dIv0JXBlpIPH5OWZIOLj/XIT0nQ7/TuMQ0mU4hqcX4hRRQfVfXetqt3KS&#10;FZqQFDpoqbpZs8GSmGnjshgqlZ4jPPCW3v+eDsS4eTvRLmU42qROgHffaXioSybCei3Ec6PXCxT+&#10;CAw3K24KGFrRa9jQrF0OeIRXCJU/cDit1FDUDZkEr6CpaOSfhcb+dPMCxqJx4Gii2iQ0CJgKr8As&#10;eGq/hcDs//joFZSO+sFj4RU6Ap5hw1AnfARcwybBNXQq3EOyUDdoGrwY0tT3z0UDv9mkXNRniOFJ&#10;fuqEpMOdz7qHjzXveYUNRqPgYWjmNwl3+UxD8/ZzcReBp4n/JDQKGk1XcxS8GOOLX6XRICCb9Pf4&#10;/D8fSYEzeK70WEeskyYB4w019p9i6sylTRrzm4EmIbRugRMQ1CkN73xOi822u3j59h1lViMqAtYa&#10;hu9On8G+t2/g8OewvttILXuXXsZ7J2XpLSW/Ti3QJsV6Ue/eOVqnhqSotyqt/gVrsdbvdKP8Bn65&#10;fB1vHTlvPqO278h1vPNDpVkvceiEtQzZeCYk81clfLdJ8h7K+J9ARjG80isupegqQypCCfm6QvmU&#10;QH5J13ov45+PCRLv/1COj3+8hQ++uoKvfyyxZmPqe+5VoKLnla+8Dbm+mur92pc3sPPj89h4+BRW&#10;v34C6w/9aHjVvpP6pma1qy1VEMAYwFS6OjLdWzd0keckWelybZxrYnFLeXS9hAh9lZnrisosUPuJ&#10;aX9OM7vz45vY+sFVbHj7PNa/fQY7PrxgPnTzDR9SyCSLruevVpVB6VWUsmZusuaq+KgGa408VQMD&#10;f5kP0Kgce46X4eBXZTh8rBgf0u346NglfPndZcOPmlhHkerZ9JKIf1We6XhWJn+iqjyUp9ioLtd3&#10;RK8Dn53B4W9KwQPe+x7Y9HoJ3vhYvsif+hiAL2wqcMZm45GbPUlfbv+0DDxi64kz2PnDGWw9dgbb&#10;v7iEPUcu47UjF7D36M+GXjtyBns/u4QDn1w19MbH1//zIxl640Ng/8cV2MtW2PPFz9h15Cp2fV6C&#10;1z4txf5Pr+NNCtXhj87gXTbOe++X8HgThz+8jDc/tfjY9NVlrP/qOrZ+eZnvXmbaN3HwoxK8+WEJ&#10;Dn7M35+T1y+/xq7jX2Dn8ePYeewUdn5xgXncZB4l2M/n/za/fzqKP6Wzk4K66+glUyf7qcki1ZXq&#10;bM+XZdj2ebF5Zvdnp7H93Y+pANrO7CLpgplWq9CzouQ2BUqqITGTxaNQ8Lp2+dHCHllEKYHCgAo5&#10;yxIIyYEERQJ+h/T7d9KiH8XWIutfa1RCRG/afLxEQqNdmZSz+h1E4uTMVYk9/yyNYvIUU6anri8N&#10;XcqtvVJ2med0c0tu8hZFkWneWfPE1wQsGnFRHiL1osuYn5VWGW1hTnJ/K0px5Yb1jQajaKTvWWDx&#10;YSkFH+F7BkSZrs6Vtu6duVqM8xf4sLnBJzVLsJhM6CVVCS+rwArDS24WE+N432z0et1aCyFmWUZ5&#10;5QI1KbDq5TcmqWnl6vXX7zsTnUhKT4erxVeYhdSKIZa+lKWhRTNtuqrwLKOeN6zwaEYuzZ+g1Zrg&#10;VR1+KJXqcjIis6rnX0j5mX90o6qp9VPZiKqf0+1qEjAIe6vr6hof0OcNVa+aoKVwVvMiLI+ysoi/&#10;LWCoxF6b2wQHgkErUgEBoYiA8BeioP+BqByGqCD/ayJAFBEY7hAVroiAUERAKCIg/Bu6WURwMERw&#10;MERAMERQKCIg/IEIDkUEB0MEhiICQxEB4b/Gv/glGPxbIjDcIXoKRfQUiggId4igcIcIDEX0GIpo&#10;FYoICoYICHeIwlNEYOB714soAqSy/4F0/3ciJPC9SqZfWURwMERhLyI4FNFzKCIw3CEKaxEFp4jK&#10;QmJaovJbRQSGInoMTKPYEIHBEO1jET2GIgJDEXXsDlHJeA9FBIY7RGAwRGm1qPwm079qHStKTb4E&#10;iCJ6DYaPal5EFOwiKs0fSNfoKfBdllNUwnREOi9n+qxDHQkKRdR9QwQCEuuwmlSfumbKW2n4Vt0Q&#10;EIoIDHdIv3WdAFFEQCgiIBgiIPyBVA4CA8uncrIu+DzBpojAUERgKKLXwDzL+G55EUHBkMqpIwHB&#10;lKv6SL01bSaiPlvpkhdTLpLq989E3TdEQLhDBAjryOsEB0MEhjtEQOC7lQU8tjLA8K9/VeDgT3D4&#10;Ix07408w+APRWzBE5TJEBflfET0Ff4LCHaKy+RMc/AkEfyECgiECgiF6CoYIDHeIgGCIoGCIoOBP&#10;ULDoiwuGxDcB4h/xb94lj9VEb+EOERBMHdFjMERvwZ+ewl+IXoM/PQV/AoIhAsIdIigYIiDcIQKD&#10;P4HBEAXrb1K5IQLDHaKQGSIoGCIY/IUoQIYICv4EBUMEBUMEBX8Cwh0iKBgiMBgiKBiigvlTUP0J&#10;CP4EA3OsPqdy+RMYmO7N36mi1J8egz+V5A8kPggAzNciKowhXSMo3CECgkUVLLOoXOmLeK/6/Hap&#10;Pz0GQwSFfyHWaWWlP70Gw7eIYHCHCAqGCAyGdwLCH4iAYIgegymHRczPEJ9nnYoIEP4ECOs320Vt&#10;Wl1OndNrMFRdxjtlJhEYTFpWeaxz1e+fqfodAsFfiIDwV2I6InoOfwWF//f3//7+39//+7P+bGz+&#10;P4/tfybLLoOhAAAAAElFTkSuQmCCUEsDBBQABgAIAAAAIQDF0MXe4QAAAAoBAAAPAAAAZHJzL2Rv&#10;d25yZXYueG1sTI9NT4NAEIbvJv6HzZh4axdQpEWWpmnUU9PE1qTxtoUpkLKzhN0C/feOJ73Nx5N3&#10;nslWk2nFgL1rLCkI5wEIpMKWDVUKvg7vswUI5zWVurWECm7oYJXf32U6Le1InzjsfSU4hFyqFdTe&#10;d6mUrqjRaDe3HRLvzrY32nPbV7Ls9cjhppVRELxIoxviC7XucFNjcdlfjYKPUY/rp/Bt2F7Om9v3&#10;Id4dtyEq9fgwrV9BeJz8Hwy/+qwOOTud7JVKJ1oFs+ckYZSLKFiCYGKZRDw5KUjiGGSeyf8v5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Abv6gdBAAAZA4AAA4AAAAAAAAAAAAAAAAAOgIAAGRycy9lMm9Eb2MueG1sUEsBAi0ACgAA&#10;AAAAAAAhANgVajxCowAAQqMAABQAAAAAAAAAAAAAAAAAgwYAAGRycy9tZWRpYS9pbWFnZTEucG5n&#10;UEsBAi0ACgAAAAAAAAAhAIvOr9deyQAAXskAABQAAAAAAAAAAAAAAAAA96kAAGRycy9tZWRpYS9p&#10;bWFnZTIucG5nUEsBAi0ACgAAAAAAAAAhAOxVy5dmoQAAZqEAABQAAAAAAAAAAAAAAAAAh3MBAGRy&#10;cy9tZWRpYS9pbWFnZTMucG5nUEsBAi0AFAAGAAgAAAAhAMXQxd7hAAAACgEAAA8AAAAAAAAAAAAA&#10;AAAAHxUCAGRycy9kb3ducmV2LnhtbFBLAQItABQABgAIAAAAIQA3J0dhzAAAACkCAAAZAAAAAAAA&#10;AAAAAAAAAC0WAgBkcnMvX3JlbHMvZTJvRG9jLnhtbC5yZWxzUEsFBgAAAAAIAAgAAAIAADAXAgAA&#10;AA==&#10;">
              <v:group id="Gruppieren 269" o:spid="_x0000_s1027" style="position:absolute;left:27345;width:37451;height:6122" coordorigin="30930" coordsize="3745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52876;top:556;width:15505;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P2wgAAANwAAAAPAAAAZHJzL2Rvd25yZXYueG1sRE9Na8JA&#10;EL0X/A/LFLwU3ailltRV0oLgwYvai7chOyah2dmQXXX11zsHocfH+16skmvVhfrQeDYwGWegiEtv&#10;G64M/B7Wo09QISJbbD2TgRsFWC0HLwvMrb/yji77WCkJ4ZCjgTrGLtc6lDU5DGPfEQt38r3DKLCv&#10;tO3xKuGu1dMs+9AOG5aGGjv6qan825+d9G6KFLaH5nx/O1Xf73zczYp5Mmb4moovUJFS/Bc/3Rtr&#10;YDqX+XJGjoBePgAAAP//AwBQSwECLQAUAAYACAAAACEA2+H2y+4AAACFAQAAEwAAAAAAAAAAAAAA&#10;AAAAAAAAW0NvbnRlbnRfVHlwZXNdLnhtbFBLAQItABQABgAIAAAAIQBa9CxbvwAAABUBAAALAAAA&#10;AAAAAAAAAAAAAB8BAABfcmVscy8ucmVsc1BLAQItABQABgAIAAAAIQATzUP2wgAAANwAAAAPAAAA&#10;AAAAAAAAAAAAAAcCAABkcnMvZG93bnJldi54bWxQSwUGAAAAAAMAAwC3AAAA9gIAAAAA&#10;">
                  <v:imagedata r:id="rId4" o:title=""/>
                </v:shape>
                <v:shape id="Picture 2" o:spid="_x0000_s1029" type="#_x0000_t75" style="position:absolute;left:30930;width:6838;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oxAAAANwAAAAPAAAAZHJzL2Rvd25yZXYueG1sRI9Bi8Iw&#10;FITvgv8hPGFvmraHVbpGkYrgaXGrgsdH87atNi+libb++82C4HGYmW+Y5XowjXhQ52rLCuJZBIK4&#10;sLrmUsHpuJsuQDiPrLGxTAqe5GC9Go+WmGrb8w89cl+KAGGXooLK+zaV0hUVGXQz2xIH79d2Bn2Q&#10;XSl1h32Am0YmUfQpDdYcFipsKauouOV3oyDfXr83l+chO2TF3J4Ts4vv/Vmpj8mw+QLhafDv8Ku9&#10;1wqSeQz/Z8IRkKs/AAAA//8DAFBLAQItABQABgAIAAAAIQDb4fbL7gAAAIUBAAATAAAAAAAAAAAA&#10;AAAAAAAAAABbQ29udGVudF9UeXBlc10ueG1sUEsBAi0AFAAGAAgAAAAhAFr0LFu/AAAAFQEAAAsA&#10;AAAAAAAAAAAAAAAAHwEAAF9yZWxzLy5yZWxzUEsBAi0AFAAGAAgAAAAhAD6kZqjEAAAA3AAAAA8A&#10;AAAAAAAAAAAAAAAABwIAAGRycy9kb3ducmV2LnhtbFBLBQYAAAAAAwADALcAAAD4AgAAAAA=&#10;">
                  <v:imagedata r:id="rId5" o:title="" croptop="4213f" cropbottom="4764f" cropleft="9560f" cropright="8105f"/>
                </v:shape>
              </v:group>
              <v:shape id="Grafik 272" o:spid="_x0000_s1030" type="#_x0000_t75" style="position:absolute;top:1035;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OoxgAAANwAAAAPAAAAZHJzL2Rvd25yZXYueG1sRI/NasMw&#10;EITvhbyD2EAupZHrg1vcKCGEBHpIW+rkARZrK7uxVsaSf5KnrwqFHoeZ+YZZbSbbiIE6XztW8LhM&#10;QBCXTtdsFJxPh4dnED4ga2wck4IredisZ3crzLUb+ZOGIhgRIexzVFCF0OZS+rIii37pWuLofbnO&#10;YoiyM1J3OEa4bWSaJJm0WHNcqLClXUXlpeitgo+3Ivk+uMzs77NxOPY30/TvRqnFfNq+gAg0hf/w&#10;X/tVK0ifUvg9E4+AXP8AAAD//wMAUEsBAi0AFAAGAAgAAAAhANvh9svuAAAAhQEAABMAAAAAAAAA&#10;AAAAAAAAAAAAAFtDb250ZW50X1R5cGVzXS54bWxQSwECLQAUAAYACAAAACEAWvQsW78AAAAVAQAA&#10;CwAAAAAAAAAAAAAAAAAfAQAAX3JlbHMvLnJlbHNQSwECLQAUAAYACAAAACEAFOhTqMYAAADcAAAA&#10;DwAAAAAAAAAAAAAAAAAHAgAAZHJzL2Rvd25yZXYueG1sUEsFBgAAAAADAAMAtwAAAPoCAAAAAA==&#10;">
                <v:imagedata r:id="rId6" o:title="" croptop="-1f" cropbottom="314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DBC61" w14:textId="77777777" w:rsidR="00F966A5" w:rsidRDefault="00F966A5">
    <w:pPr>
      <w:pStyle w:val="a6"/>
    </w:pPr>
    <w:r>
      <w:rPr>
        <w:noProof/>
        <w:lang w:val="en-US"/>
      </w:rPr>
      <mc:AlternateContent>
        <mc:Choice Requires="wpg">
          <w:drawing>
            <wp:anchor distT="0" distB="0" distL="114300" distR="114300" simplePos="0" relativeHeight="251667456" behindDoc="0" locked="0" layoutInCell="1" allowOverlap="1" wp14:anchorId="61FC8FD0" wp14:editId="31260896">
              <wp:simplePos x="0" y="0"/>
              <wp:positionH relativeFrom="column">
                <wp:posOffset>-371475</wp:posOffset>
              </wp:positionH>
              <wp:positionV relativeFrom="paragraph">
                <wp:posOffset>-285115</wp:posOffset>
              </wp:positionV>
              <wp:extent cx="6479540" cy="612140"/>
              <wp:effectExtent l="0" t="0" r="0" b="0"/>
              <wp:wrapNone/>
              <wp:docPr id="267" name="Gruppieren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612140"/>
                        <a:chOff x="0" y="0"/>
                        <a:chExt cx="6479638" cy="612251"/>
                      </a:xfrm>
                    </wpg:grpSpPr>
                    <wpg:grpSp>
                      <wpg:cNvPr id="23" name="Gruppieren 3"/>
                      <wpg:cNvGrpSpPr/>
                      <wpg:grpSpPr>
                        <a:xfrm>
                          <a:off x="2898468" y="0"/>
                          <a:ext cx="3581170" cy="612251"/>
                          <a:chOff x="3256952" y="0"/>
                          <a:chExt cx="3581170" cy="612251"/>
                        </a:xfrm>
                      </wpg:grpSpPr>
                      <pic:pic xmlns:pic="http://schemas.openxmlformats.org/drawingml/2006/picture">
                        <pic:nvPicPr>
                          <pic:cNvPr id="260"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287618" y="55660"/>
                            <a:ext cx="1550504" cy="500932"/>
                          </a:xfrm>
                          <a:prstGeom prst="rect">
                            <a:avLst/>
                          </a:prstGeom>
                        </pic:spPr>
                      </pic:pic>
                      <pic:pic xmlns:pic="http://schemas.openxmlformats.org/drawingml/2006/picture">
                        <pic:nvPicPr>
                          <pic:cNvPr id="261" name="Picture 2"/>
                          <pic:cNvPicPr>
                            <a:picLocks noChangeAspect="1"/>
                          </pic:cNvPicPr>
                        </pic:nvPicPr>
                        <pic:blipFill rotWithShape="1">
                          <a:blip r:embed="rId2" cstate="print">
                            <a:extLst>
                              <a:ext uri="{28A0092B-C50C-407E-A947-70E740481C1C}">
                                <a14:useLocalDpi xmlns:a14="http://schemas.microsoft.com/office/drawing/2010/main" val="0"/>
                              </a:ext>
                            </a:extLst>
                          </a:blip>
                          <a:srcRect l="14587" t="6428" r="12367" b="7270"/>
                          <a:stretch/>
                        </pic:blipFill>
                        <pic:spPr bwMode="auto">
                          <a:xfrm>
                            <a:off x="3256952" y="0"/>
                            <a:ext cx="683812" cy="612251"/>
                          </a:xfrm>
                          <a:prstGeom prst="rect">
                            <a:avLst/>
                          </a:prstGeom>
                          <a:noFill/>
                          <a:ln>
                            <a:noFill/>
                          </a:ln>
                          <a:extLst/>
                        </pic:spPr>
                      </pic:pic>
                    </wpg:grpSp>
                    <pic:pic xmlns:pic="http://schemas.openxmlformats.org/drawingml/2006/picture">
                      <pic:nvPicPr>
                        <pic:cNvPr id="25" name="Grafik 2"/>
                        <pic:cNvPicPr>
                          <a:picLocks noChangeAspect="1"/>
                        </pic:cNvPicPr>
                      </pic:nvPicPr>
                      <pic:blipFill rotWithShape="1">
                        <a:blip r:embed="rId3">
                          <a:extLst>
                            <a:ext uri="{28A0092B-C50C-407E-A947-70E740481C1C}">
                              <a14:useLocalDpi xmlns:a14="http://schemas.microsoft.com/office/drawing/2010/main" val="0"/>
                            </a:ext>
                          </a:extLst>
                        </a:blip>
                        <a:srcRect t="-1" b="4794"/>
                        <a:stretch/>
                      </pic:blipFill>
                      <pic:spPr bwMode="auto">
                        <a:xfrm>
                          <a:off x="0" y="103517"/>
                          <a:ext cx="1449238" cy="345056"/>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E34D73" id="Gruppieren 267" o:spid="_x0000_s1026" style="position:absolute;margin-left:-29.25pt;margin-top:-22.45pt;width:510.2pt;height:48.2pt;z-index:251667456" coordsize="64796,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F1DHwQAAF4OAAAOAAAAZHJzL2Uyb0RvYy54bWzcV02P2zYQvRfofxB0&#10;90rUt4X1Bl7bMQqkzaJp0TMtURaxkkiQtL2LIP+9Q1KSvbYXbZP0sDlY5rfmPc6bGd2+e2obZ0+E&#10;pKybuejGdx3SFayk3Xbm/vnH+0nmOlLhrsQN68jMfSbSfXf380+3B56TgNWsKYlw4JBO5gc+c2ul&#10;eO55sqhJi+UN46SDyYqJFivoiq1XCnyA09vGC3w/8Q5MlFywgkgJo0s76d6Z86uKFOpjVUminGbm&#10;gm3KPIV5bvTTu7vF+VZgXtOiNwN/hRUtph28dDxqiRV2doJeHNXSQjDJKnVTsNZjVUULYjAAGuSf&#10;oVkLtuMGyzY/bPlIE1B7xtNXH1v8tn8QDi1nbpCkrtPhFi5pLXacUyJI5+hR4OjAtzksXQv+iT8I&#10;CxSaH1jxKGHaO5/X/e1x8VMlWr0J8DpPhvznkXzypJwCBpMoncYR3FEBcwkKELTN7RQ1XOHFtqJe&#10;nWxMQvCzfmMQI73Rw7l9rTFuNGa0bAQ14A+vwA8vwfdsjAcOrxnRBdk0ixKw5xJjGGcIpUeMvak4&#10;HzGGQZxM4+B08xHpK9tfQcppkcOv9xpoXXjNP6sLdqmdIG5/SPuvzmixeNzxCTg4x4puaEPVsxEr&#10;uLI2qts/0EJ7ke6cOiAQMzggruijY+5xWGS3YA3JuJ3TsUWNuy2ZSw4yh+Bjbv3lck93X7xv01D+&#10;njaNdkfd7pFBSDiT1BVyrFyXrNi1pFM2/gjSAEjWyZpy6ToiJ+2GgJzELyUCl4TYp0BRXNBOAXyc&#10;g7t/kKpv2RDxOcjmvj8N7ieL2F9MIj9dTebTKJ2k/iqN/ChDC7T4onejKN9JAvBxs+S0Nx1GL4y/&#10;Gg/6yGkjjYlYzh6buGjlAqYZ2Qwmgl9phrStUgmiilo3KyDvdyDc7hknDNNHcjXvsg8VZ+qPgyxN&#10;kNVHHCdJL3N4q4kDKI792I+snGPgJQxeyBk8QEi1Jqx1dAOYBmMMtXgPzFqzhiWA52iJaULXOh40&#10;3pA0wJesNB6sIh1DisamBfSdteEIpv6iqv5UYw7Oiwy7/7NYIOT9MGIRhRaILjlQFGeQVsFLkygA&#10;l4cwg4JQZ1qoPtIAUgH46ygv7bv6Si9l5GwOv7IS7gLvFDPXcSaqK3ljEFSShRnS9Nq8ep4e/6Oe&#10;cN4xHT+N3U2nrR8HIGDYERtBBjg2DhzVd0zIb1CJ8SDEtTA56kfTYWi8a0gBJl+9nSzVCw/kNoGA&#10;CRKDmjL6XhKD6gQUhPwwRqYmttzo0hVF0TQYKtAwgvyVfEvKGlT0mq605rS4zffF5zhMIigeksl8&#10;vkwnUbTMJvf30FosVtMoREkUr8biQda4ZIePG1lAUVd+e/2gFW5sGf5NaXM15RrRw0eMWdl/cOmv&#10;pNM+tE8/C+/+BgAA//8DAFBLAwQKAAAAAAAAACEA2BVqPEKjAABCowAAFAAAAGRycy9tZWRpYS9p&#10;bWFnZTEucG5niVBORw0KGgoAAAANSUhEUgAAAXYAAAB4CAIAAABpQU72AAAAAXNSR0IArs4c6QAA&#10;AARnQU1BAACxjwv8YQUAAAAJcEhZcwAAIdUAACHVAQSctJ0AAKLXSURBVHhe7b2FYxTZ0j78/Tu/&#10;d4nMxPCMJcGdZVncJS7j8eAEdwjuDsGCJbgmuCUQgbjrWE93z/fU6UkIIeyFu8t9d++byklPT/eR&#10;OnWqnlN1Wub/c/VQD/VQD/006oGYHuqhHvqJ1AMxPdRDPfQTqQdieqiHeugnUg/E9FAP9dBPpB6I&#10;6aEe6qGfSP8aYsT/utRDoD8nCndRqZLOqYe+h/7p4voh5ruHGFaed4kiL7rWbjs2NXz11LAN00I3&#10;TA1b/zmFfpm+89Qfn/2DUyxNCVvHEs5unLZw07SFW6Yt2DJ14cYpYRsnhW38nbYbphCr65E+F2yv&#10;cNrCDekbT6NjLpE2vEsQsOmeRMHl5EXO6eI4kUcmpG+KFSecJCySlyDlQ3ZOOvl3I6vDkfey+M7T&#10;wtvPCl+8KxMEzsUjfUsOX5MoOm3oaV2T48K1J8tWH9cl7o1NPrp0w6Wrt97YnKIgQLaCJKxvSuwv&#10;ItQv0CA6eReHbaeD0h7YcO9+RciMJCCzlEAiRg8loB1UgVMQHTSuAo8uiSJGEwNMBdA9nspKhf41&#10;icjMKkUNTkF49a78Hgn//eM3JQ4e0uJEtOHm+Y+07H+VJMacoot7U1B+/1nh/af5ec8+NLU5ICae&#10;RwfpPNt0FfgfQwyk64pK2Oyt0XmpErxVCV6q+P/d5Kn+nNgRs7cqXqYk3jzVUor3VpnlSpNMae5c&#10;UEreyoRQ3S6SB+EBekjaKfX2a4LkoFscTyoAhWIyJk3pJiGDkxMEGyklEzP7d2v8341q6puGj0/q&#10;O8zoPzh62tyVToCL89tI2w1BKsLbDxXjZ6b5B8X4KmNkijgPtUmu1oZp11qdACuI9D8EMSBJ3mwg&#10;JECh/3ZL/QOIQRakjrPILlDHMK3QJ5k+Ay9CFxwhFRCdIo89Kfe3qu2GYJbtAuHtDn7OwtX9QrR9&#10;hkSPmmq2cjxBDGGWVOMPINd/lsAjNsADXmvOCNDE9hscGjIy5vX7T5hbCXgJm1mWrzTpHwYxYAOJ&#10;QYzJQ2Pw0Og9NDq5MkGmTJIpE72V8TKVCUmuNP55iCEBOFytrVxTG9di41rsXCslR4vdjtTaKTXb&#10;HI1Wm91lc7raRBemvr81VdU3B41Y7KE0emsM46auxMRE2v0tIXxFyFhv4UfNXOSh0nmqE+Vqk486&#10;1kMdLlfPD9euhLkwL4ap2w/U+qMkMc34xu7nb9BvdIggE+jwr1unHLANMAw1oC3v5JwOobnFVl7Z&#10;+rqg9uWH6g+l9Q2NFouFc6JiqS0Jnb6bOkGMYOP4KbNW+an0PpqYwb+aLA40CtySvBh0wC7x9Hck&#10;JmGwG67fLaMJPiZwqOH1+1IHYTIO//dAjEna8UTSJPRSx3uoE70VyTJlMuADTg2dcjs43aQfgxjR&#10;1dZqNydvmzxv5cR5a36fmz5p3vLf566dOHcj0u9zOqW5q+dr02tarXaXXXDZ2Gj8famirjlo1HIP&#10;VYKHxjh+5ho7JmiBTUXfR8h35MJ9L01cL3WqpzJNMSxp6drTx7Lu7jiYtSXjGMyQQYykQ+6Pn0ao&#10;nJk7AwhMpOgFC1Y5QUTcRLHft0bCzRZBIcpK0ZDLYucePHmXmLZ7xPikAGWsnypGrg73VYephhgn&#10;z161ZM3RvJcfICmq9EcghkLmdoiB2zJt3iYf8rsNg8YlttnAPBj++0OMhB8ChBVm2Auj6xWk7z88&#10;4dX7Mga86B19UJavRPPPghgzJl4vtdFLafJWJXoqkjwVqV5I5MXgiM5bo/VSaz2DTL9o4nsxuOmS&#10;fgRioBR8Xat17Kw0TzV8pZReikSZOsFLDQa6JpnKEDQqoaKBswPQydfFlpK7pr8ZwYvRjF7koTFD&#10;S8bNTHfQhG9nbH8XQVq6lH1ecGGUiT4Kw9GTj5wOkibKMy8f5zsgBhL4aUKg+vEPtwnxqYUX2mjh&#10;DNCCyAOYKeI4fBkMYvdEpekDWTgn5+B5oaquzbhoZ5/BUT4qLTnFqkWeyuReKqOX2ixXpMiVqXJV&#10;XEzyJitU5wcBhgQjAZOLtzr5yXM3oX4vdfzg8Wk28mJIVdohBi6wm7W/GaEL4JFzupwLDRm/qM2/&#10;BOv6DY9/86EUR/+rIMZLZfRU6uVqg49K76vU+lOK7R0UETRGN35G6qR5y36ds2LsnDV9RyZ5a9z+&#10;Tuf0QxADTapts42etayXKrGXekkvOEoKQhNvhBhfJrlSGzRSX93ogLFKYmZK871G+x+mqobmoNEp&#10;nhqjp0b/64xVDkJDTJ4/ADETZi73Qsc1JtUIY3FxDfMhHOh0u4Z1hpiuCveXEdVPzXECx4mCXRAb&#10;2rgX+aVtdicARnAjHrrWPbmPMxfGyYvVjda5MWtl6hivoPheSpNMnShTxcvVWrkaiBPpq9J5DUyQ&#10;qxIik7a1URla+pUq+D6CQCSIcQJiJs1bT/E+QcwiBjEwsg6HC5/fYvl/l+CIQZ4EMaGGHb3UJo8g&#10;bf9h5v8+iIn3UsJzMfoF6Yb+lpSw7MCxzFu5L0sr61oamiwtbfbWNq6phYOqhRsyMOd0Lfujy70u&#10;saHVNn7GCoo8lQn+QbGL1x5fu+3s2u0XkNZt+5zWbD+9df/pZouNTUiSyEl87or+ZlRd3xw8Ko1p&#10;ecKEaRsw3bMB/15ukW/EpOWe6qReGt2wyQkVNc0CuQtScfQb83BniPlJOIvBIZOEOlt58fzVXEPS&#10;gcFjjL/PTa5otNgwpMRPu9l+k3CWwMLOu1ZuPi0PivMKSvxFYZJpdMrRRhzJuff22euyG/de7j52&#10;eUHsrn4aY1zidjt1lSPF+QGCfCRe7Banc9L81fCMEKUOHp9q47pAjCTGvyFJIEIxcJh+N8wBznvg&#10;0IR/MMQAC+SBcFbjvRGJaLTear2PyuSvNo+YmLp2e1be2yqrSBdvHJiC6IIlmTYNEV0K4C2cqBwW&#10;JcfM0121P7AWI7gaGcR4KcGGfuCQuMp6aCP51l2S04UYFVXhJKTNAIaYoYrdG0ruT5YD+doP09iw&#10;gu6zUmlpAc1dE1u5JEVkOVj9LCf9sx0aVfoufbSf/pyXVkBZu5SBIGbkYhKI2jxh+jqcoMzuMmj5&#10;M//Sp3QYW7DEkmvIpEVe6iSIZfjvyWW1zXSVBZ2nWIv2kB15GK8oRqx1Q1KjnxtwC8B9nFJ785TB&#10;fax9D1mZSER8EEAEj4j3D0yQK/Ujpy2uagHmUDHW+z8gJmAyb+f7jzXBY5N6KXXw/71pfWrx26Jq&#10;WrdmrZJOIZoSXaWVTddv5kJvaLmnk7/6BbFjX+zRBpmBvLRUZEGgtGAlTMlTbQ6ZkGgBtrCeMl7Z&#10;TkdRKREXTJbuA5QRCTVKQmaCIH/NfZT4YnVK+dylukkgqRIqwb62E7XYOSc7K1VIVYfp9yBG9lIb&#10;O0GMJEyWhTZf0N8UYmQEMQneSrO3yuSljPNRRY2buuTQqQc1jVa74HLAD8YfSZZCbmg2xMREJcBH&#10;fviiyE8T4/XnrygxiBkzc6WHOslDbRgw2FBZZ/tagoykwZKI7TO9YYT8OIXZEtxiR0qsEmyIZ1QJ&#10;HpDcZ5lugzFsma1QkqpDQs3ENY7gCztDn+QqUD34ihrwjbUF4GXFRBeiGApkqISLd0OM2uyl0U+Y&#10;sYoghnKxf5IG0FIqhrp4fGE9ICYFWsxGFOIaMjkV7qRPYMrIianldU0YELTFuJd4IJukfam2bohq&#10;pA1jrp1b6TjbgG/GP2VgrGGUmVikLO6mWD4bJ4qaYYnywGRMA6NnrKxttgIQmGJIhMztu18QeAO3&#10;+HdevP7UJ1DrpTH/j0bff4T54dMSyBdExdwMuAmCRwlpSyeohs7Vs4Nu9toHlLY42EYsiS6CmPmA&#10;mBQvVVLIhCQ4NdRNZKF/Wudh4y7VLLUN0dNpqfbOiZ0mybBFYuY8UlEUZKKTMn1ZUKqx47A0WqwP&#10;0hkaO8aJu8UOojxUBY1sqH6XpzIBUfbAoR1rMe4RlFrpQn/XQElt9FLrvdUJXor4AYOT0jdmlte2&#10;2HkHJyDSdvBsMU/qOIlF4piJCLPC1r2XfVRGL1Vi1zp/IsQQ4QTOskGG2CShsxEkzqA6nOCy0fUm&#10;aUzpH8fZPn2FVUiKIsX5Uh5Ugq/I1kHYRx4rz4CVzR7IQHrBbAZfGQuk1qjNympAYkstrCEUqapv&#10;6gZiPrNhkfQVDDtdcBFwClCDUNzmootldHFk2KQlXspUn8AkOJWldU3IxroGLlg2OJcSS9T9zsx3&#10;EPWCGmS9ZLJCi1JnJYTFGbe5sONWkbpMKEY8knzY/Ue050Tkoh5ukivMMnXsuOnL6pusNKrUtNQA&#10;amZZuxKTH/vbnHHOT2H0pguUsTOj1ltQI2EMOGFFO/WgA18YxEiE05S5HVPYCLqNHMepa6wjrIPo&#10;hhtikpGGjFtkdyIzErI6BJK8dA8hMkPUGD7sUPPuxvAhJUkCTFztSZJe+0DTv3SQiRAcSOVow7il&#10;UyRYVkRSm/az7n3kQYUdNUjb/yKI8YTzEmTEvBQyPjX7QRHdMwpQECyCAA/GIfA2drclUyMSHljF&#10;dEvmgKl2Zvhq+D7e8OS/qvZnQ0zHULsVio2QNFY4AtWFNjGGkR2nYN0U4uGj4ywbK7d5sV3SdyqC&#10;ROUoO0UHTAdxms6yMJGqQ2ISQIVonV34aG8cvWXt4uObEENNEDChNCvGQlHWKjNaZjcoL7iGTVoK&#10;L0amSBg2cUlJXQuBigR1VAVpOfZJc9EcVf41oRr4R8y5Yg3RKLBdHEcrKC4lHGUbmB+P0ywz6wS4&#10;QFZWHO6BckSCTBkvU2vHTE+vabIBHZHQL5ILSbRbJphUqS5x9YZjvoEmT1WipzoqcfkhDp0XJGZY&#10;USZ5iSRk+QpiqACrS1JEJn9pFNhAgGdSTdqVIAb6meytTBw+dpEDME52S8OMhPysm6iEIJ51l4aG&#10;1c4akRI1YkFeaewhBxREVmkUsM/yY9PesruvoPaBZacYm0ySTG3QYWnUKDdlb9cy7LrTPx9iPBR0&#10;GciTYhz4IMaxM5e8Kq7iqNeQCz7bRUXzA2REtz+IGBdKDlG0OwWhuKJVPVrvodR6/tmL1iTo74cY&#10;aJdT4BotjqRFu8Nidi6I3b1yw0lEczancOfxB1PagVETE9VDw6/deoV+QC/ormtRRP7suy8Xrz4+&#10;dvpKxQjzgKFaxbDo8dOTFq05nP3wXavDyTk5QboznkbdzfeFS49D47bPj8mI1K4ueP/J4RRKSuuX&#10;bz41ekqKYqh+4CDD0F9T4lL3Xn+c3wrHD54f5+DtDkl0kGBVt4GSKDg5u5MnMK9rsi9JPxYeuz00&#10;butC/Zojp646ePTibah2Y6h2R1jcjt6DTZ5qGqk+IYmzo3YuiNuxMHabMXVHRX0TulzZ2DJft3au&#10;LmO+dsuhE1eI7y8JvaiqbTKnbFsYu3WhdsvStXvt6JXACzyPgSyprDckbwuN3Rqp37zn6GUH77Jz&#10;/M37r+MSdg7/NUEzeGHBh0+wilNn7kTEbAnXbV6g3+qrjpcpUr1UZv8hSbNiti3Qbpqn3TJft/nE&#10;+Vs8+SPdUieI2XjMZ6DRUw2Iidal7qarJhz5a+y89N8NwTTh0cCl4aGFTtHhFIs/1u44dHV29Ibg&#10;sabAIbqBg7VBo3WzY9ZtO3C1pLLOKXLIbXPyU+at8VYleSlNI8anWey8zSHeelgYlbBj8FiDKtio&#10;GWacHbZux4FrFfVWTKdQAIwLeHVzAqN0YKhI2VqdzoevPy5afWz89KUDh+gHDjMGjjBMWbh69eZT&#10;b4tqbLSYQLcoC/hAEWIZ5TmXYBedUCzB5hA+lDdu2HlhRuha9XBj/8FxA4fFjZq2KHX5kTsP8i1Q&#10;GbpjHSqBGR2jwxT/vwBiEBkBXwA0MqVx2G+pRZVNVgqLmmiugpTaZwvqDEWtvJPnePYAEZAGCGQR&#10;XOeuP/XXxMB4yA/6uv6fBDHED7m4Nc32kb8l+wUmyhUp08I3Ntq5NdtP+gdFyZUGH6XJNzDmYvY7&#10;nkyJcOPMpbvjppl9VQtlyhgZAFFhlqvNdHePMsYnKMo3JHK+dsObwkoHm9TQABjCPxDhyPE7AUqT&#10;98BEX0XYg2f5tx/mDx2n81ZHe6t1nnD4VYlspAw+wbrU9JMNrRyHeZl0gziH/LqFGKihk7MAo+EE&#10;pKw4E6Aw+gww+CnjZkeuLKtttgviyUsP5KpoL6VRTreK6DzVei8VhilBrkj0UyQg0Bg01lxYUQ/3&#10;srC6Wa4J91IneKuNi1YfYAL6gtBgcWn98PEmeaDOR62fMDsF8yfBLolFQCUhY0z+injfgVrzkv1V&#10;TZwpZW9AUIRMqQMQ9FVGvn73CdJbu/F430CtnyJapoyQq5K9Ahd5wW41SV7qOBkpgM5LHZW+/RQt&#10;HXVPGHcaTPwdPX3XV2HspTT10uiDf00pLG0io5KkjozfqAD266Tr3eSLlddb12w5qxwaLVfFeir1&#10;Mrp1i7beaoNPkFmuiN5/MhvABYgBXE6Zt9ZLneSpNgwZn1rVbFux7lQfjcEbvVNq/QYk+iiTZdAE&#10;hXbU5NQnb0rhktHKgDR4GD1qVcR4fqxu1i3e7TsowlsVIVfr4LbTtRG6QcwgV0cOGBK5ZtvZGugf&#10;wSWgAvMxsUyGIkAfhIYWx5bdV/oPi5er9WhapjLIg8CzVqbWy5UxvYMiww2biiuaMeHY7Q70k3xi&#10;lP4vgBjmv8TLNInKUaaHz4rsLD5iDjIDAmKLPvBPjo3osvGumgbLu6KalwVlLws/Pi0oMy05I1fC&#10;6Y33+A8u95LggRsuRxsvjJmSJlcgf+LEiPU7jmb7D4rppYj/RZnqAYgJijx/8yXH2zG1WHnX9PlL&#10;/WC0KhPql6tj+w7RDhxh9g/WyYEyKiCFWa6Mmzh72YeP9cydhtdKaxwQx6kLt3xVWi/VYmjw1sN3&#10;R/ye6qswIEzwBFTRSGnlGkCVWaZKhA1v3HnZ6oTxYlqGGGlO796LcfGc097GCRt3XfTXGL3p3jPT&#10;6BnLC0oabA7Yhe1M1m0fTTQ5L2oDtp5qTPtGiFSuSpQpzT5qbchoQ3FZPVQYE4OPKsZLscRbkbxo&#10;1WFJRJ0JDZaUNwwaR/dPeijjf5u/3I6OITYRMZ04PtY2DfltkSxwka8yNTx+97JNmT6qCA+F1ktD&#10;C0AByqg3BZ8giDWbTwQE6n2UALtImk5gmSqzNzhR6WTkw6Ly2DXbTsEi3erclSBStIp/Z97L0v6D&#10;YfOm/6c2e6iMEYbNNXWt5Bt3aFx3hJrhxAB8iyub5sSs8VVhIgEDSXSBQhXrrQHiR8s1eswcskDj&#10;vpN3HJiEkB8QM3c9IMYj2BQ8YdmKrWcD1BFegVAYDEeUrwbdNHnQQgHkbxg7La2sro2j2QtcgA+K&#10;XDieL61pmbJwOfSkV6DBS6WTq2MCQmIDR5h7B+sAEx4a9F3vq4oxpuyrb+YcnEOg0UcVQCiyqBYL&#10;l5J+zC8ozpMu2iJciPMLjhk40tBviEEWGO2tiYcQZOqYCTMX5xfVcQgPePg+iIaphn8oxKBaM1NZ&#10;MyDGR232V8cdOnsP/hmGhDw0OKNkGkAFBPB0jaPZyt3Jfbdu27lZ4atH/Z6qGZU0cKhu4PDogcP0&#10;/rAuZaKnCt5Ql1Yo/RsQM3ZGuqcq2VOlUww1VdSSLTDxfJFoLQFTgwiPVhg3dREU3UNl7jsmYcCo&#10;JJlGKwvSTorcHpO6V79oy+PX73lMDE6n1emKTdjhr4wIGpeWvP7K5XsFrwrLC0prnhdU7D/9eNys&#10;dLkKqAHXJlabvLfFjmmb1m7RGNTk3JXbcmWkhzq1lypJNSYtQBOlGJ68YmPm5Tvvrz8u2XE4Z8TE&#10;RD+VVqZK8lbGBw41Y47lBBSHnpG/237R2uwFD2L6KhIETbAOG88fybzfJ9ggg/QUccpxuicfKhGi&#10;iyJcE0thSdmBk7fB2/7TjwJHL5IeExs4KmXT/nv7Tj2ECZ299LClxQ5ZfKps9lXEeSsWyRQJi9KP&#10;uoXZidBeSWVD8LgExCa9lPET5ixB7ChFu07BVlbbMmxiily1xCswTTN+Uf+RmHLifIK1UyJ26NMO&#10;G5O3l1bUYMzynhcdPvH44OnHe87c7z0YgwtUNQaNWbrj4J2DJx/tO5m3/9SDvBcfmI+LBr8m6ThE&#10;6miy8HOit8k0+v8HyFOn+KgiF8atfltcg6kf4sK0TzMaYXunJRicgAsjOBotznDjJh9NpJcSzmNi&#10;gDpmQczm/afuZz/6cCO36FTWi9T0U2N+T75w7QGMG0EHPaM0dwMg5n/UZr/Bab0HxfRWhy/U7j1w&#10;/lnOk5Iz156HJu2SB0d6KOKRxzcoNuPgdbqTkBqEGVtEl73VKcQkZ3gpo2WKJB9lfMjYxIxD2a+h&#10;PCXVT1+XpG8913e4yUfFvEu1btPuSzYnZhgreKelBqgo5zp46q5/UBwQWa5K6D/EvGT96cevSgo+&#10;Vr95X3Hw+P0hv6d5IfDUJPioYsN1GU2tiLII/Ula/1iIQQxs9tDoPDB5qhL9lFp9wrYWmwNcE0E0&#10;kkdKMwZf1mDdsu/iuGmpfYLhYwOS6GElVgl8Fil1VNtN+jGIEcWGVuu46emeikSfIFP/YGN5NfCc&#10;xNklOQQXh1ic3S0xfspytOKpghGavdXJvYfEnL/5tLbVBp+L3Fy2cgSlQZH1W46kLt9RWtVoa79d&#10;FIwATuHkFFU3j5mx2FMFnz+p/5Ckl4VVHDltbAxd4q07LwOCtL+o4701y/1UpiETop6+LWeXlxk/&#10;oiv/Q2XQKAPhrMbsFag9dfGxnSZzOysu1NQ3DRqxGG4OnCAGMTzvtDqc9rtP3g8cYvQOTPMONClG&#10;ROU8fAFn4WvCsRGT0jzJGhOGTkotr22mSYCNE80HdP9Is48SgWoiICxt1TF3sU6ETB8JYhb1osfi&#10;EybNXkbXyaV4X3A1t9onzloKrfBQLoYkvdUm5biUa/fetsJrh6kLmFXRUcgSFZHMIDr1cFraB+qN&#10;nbamrsVCczUNLk5/c3CZ0eIcPDtYvfD0TblqpNFTAacgGTJH7BAyPvHQqdtWu2h30MP2cPHokXvo&#10;CwqhMFrGYdG+/8Qd8igx1oolfQbFnTl309rmwAmaHSFYHkMt1tTV1tY2wDp5kWMPEKwnU9Kk/DIg&#10;3k8Vu3VXVpsVnULlPCRQa+ESV+z0Uxs9lHCstFMXrLPBU6ImyYWBxl66+9onJFYenCBTGEPGJuW9&#10;/AR9IkVGFpeAWq7cfN5PHSsbkOKpSuk/Qlda3Ug+P7kwNkwk5fWWoPEpFOSqjL6q8NOXn8DJBdEY&#10;EofCu6KKEb8thkcGT9BXnXTyYi4pLa3CQ2T/2ECJIAa+N5pQmgeNTcovrmXeO4gGE4NE6zEW+65D&#10;2ZrRCb4KrfdAgxweKeYNDcAeavEvkKUj/SDEuOrJi1nhrcFkq/NVxo/4NW3Yb4lDJqZ1ScN/S4Bu&#10;0WKMKI6bugTTqadyEbZ+av3JK8/hc2ME0BI1S91BAE8QU1nbbLE74Tmjg0jUIuWBq8bDxzmS+VCu&#10;iUEcgVjg5KWHDlITqQbx9oPXfsHa/0damNpbrc26mYewSyqNT2ztnLh660VakFKbEDYuWXWaI0t0&#10;T0TV9U0hI9MAMRDdhBn0+gXo6Mu3n4LGkA/oo0wYMNRwIec58MXN1ZeEQ10gBm2Cqz8PMYw7V1OL&#10;4/fZgJgED+UizLT9BuuuPyqwcGAS5zFY1FUyOcpN6t0txODsd0AMiFQA+WwO19284pDxJm9lHJRE&#10;pkyRKxJ8lXHTF66+l1dksfFwIzla0SAMZ31FdCxU1jaM/D3ZV53oqYgP0CTBbwIkAcwhT4GWcygB&#10;ZXgyfJIMwsAOiOmFqEptnBe3rY0eEgNhAiDwhNjfFFUphqE7CV4h+pBxSaXl9ShNK7Uu4JwYat7s&#10;jRhHafbX6I+ce9wKb58MnywcNTgFOMjikvST/koIMBke9JqtZwjdaGpzYIR2HbrmoyZzlisNuuQ9&#10;rRAsukPFgZ/AOd7GCxevvuodpPNWm+Xq5NlR65oQP0vy+odCDMVHhC+JXsokX5Vh7dbzmMbZNThw&#10;QdeQILKn78pmR6z3Q4QfCGRBJLLEE5OtKhlTnBfJq5uV3W7Tj0EMzyBm5goPRKdBiFlS/SnCh3eQ&#10;1CX5qPT7j1+z8whm+DHT4GfqPZVpMpVuZvi6eguHMSPhEwBgGAliYB8QLJs8oF3tFxGhX5QREwmC&#10;LldBcYOfJtxbk+Sj0K/bcRLRMLFJFYk3H7zxDdb9EkxCGz9tea30XiDSYBozVIx599bjQllQtJfa&#10;CIiJM++E2rMmUANBTPBIMAnRGcdPWw94+lBS+/usxXK649HYJyRu99FbFkyrMAu6UtxVOvj+kyAG&#10;g9EOMcvJi1FBhgZt4g66uoEuOQGR6IKkyvRH+/8+xLjlSWDFagXUP3xR/Pv8ZfAsZIpEuRJTxSJU&#10;22eQIX3dqfJaiwUs0EghEQ8YyPPXH/mrY70VabLA+MlzVje00XSBTHC6QcAXWpsFygickz2d2Rli&#10;yPFRRWfmPLNhwEkHkJMkAECycMLvs1dhgH4Jihsw3PC2qAK6wxgVi8pqVGP1NK0qE4fTTUkt0C4g&#10;gyQWZOB5u51zvHpb2Uet9YJyqk2jpqZiNMmQwIjomjJvuRc9apfsrzHcf1JoQQxOjiFHmshUBM5Z&#10;Y7N99BTE+ND2lP5DtC/Z49Ss/n8qxBg9CCNSvBXxwWMSKxusmHJF0SrwNE520XUzN3/E5CQZwnsl&#10;1A4BfLKnhpzA9pvrvhdfkH4MYgSCmDEzV/TSxP+P2iBTp8kVeh9lrIyWObTyTslHGbX/xFW7gFiZ&#10;HzM9FagHiPFRRe8+fA2TkpMUCE2RWJm7wqyRjIqmRJp4pB1mZiBMRJwgltW09Q4Jg9h9Fcb1O06j&#10;CmKTRlG88fCdT7Duf4L0XiqjKW0/exUDze34J1eXfCnxTXG5TB3mqdIjLNcn7mFRFOpADWJVfXOQ&#10;G2JMY6dtLmuwhcat91PGeilSfFWxa3ecowtLZO4oBOe8q3Tw/Wd5MahaEJtbOQlieqlSfIL0WdlP&#10;yCGAbktiJPm5/+jrvw8xJHA6S9CPLT4cDpErqW1Ztv7YwCE6uQqRQoqHJtlDZfYLjJkZurKgtB6R&#10;Bq3W8zBD3i4ICUv3yRQGb9VSX5V5/7GbYJP1gYjtuGunSYW6gLH5HCiRj6AK+1iHMAjN0yoslaKi&#10;tHYSHrfdU2noFawbMMIEiKG6ICHBdeXGc5+gKLDkrUyOi98J7WIjDvBlAiHiYDTAiN9nrfAmGSb1&#10;HqR7/6mJtE8UaxtsAwbHoqy3ImnI+CVNrTaGg2yZj8TBVAd4w7tS0g96q/QeCsz6+mPnH0HIVP8/&#10;FmJMUA6PwHhfpW7V5rN0lyghOgbSifgo7/WnwRNMcnUcfFGZJg0do6Q2sttewE8C4LxLhX+Q/g2I&#10;GTtjJb0dQ6MPCElavvHS5l3ntuw+3yVt2pWZ96oQTFt5fuzUxXTNRZnqp4nMfV5AYTK6Q+/ZcIu1&#10;vTVSGSe0VXBZOZoZYc1wKCrqKVourbM8K6gPGBTFIMa8fvtZcupYDfi7BYgJ0kH/MMmvWH/aSUVR&#10;AVkKGRXTk/zich91GPwUQIwuQYIYtpEgZlSal8bgqTEOn7RJn7bPTxkJZ8dXZTQv2d8Ir5j0FQlV&#10;/Ue9GCosCi0EMSvQcZhH/xHmtx8qGLJAgEgMFIjYzp+AGGYVEAfrD+VBVYhCbFbe0WJ33nv6fkbY&#10;SpkynN7joTQhePRRxvw+b8mHska7E5EPMNjZ2OaYPHc1QjlPVVrfweanbz9SD6hOVq2bcAQ25B59&#10;KNtnL0ZpHDBE28zxHHlGbj6Ja/gxIh8Rt91bZfLQ6AYMM71jXgwUFp7I1r2XZZoYelZTlbh9zzXI&#10;ixcxC0uTh9QceKM13bj4bcSbepFco71y5wWxJbqevSqVK6I8FCkyZcK86J0I0mnioVEmnlkdbBhd&#10;woHT2XQPhJJWlJeuP0nqRaf/mRDTS2WGbwJxBGgiCkrroG3MvUTTfHWDbfI8jLQW0OClTvGkRXu4&#10;l/DfsO2o4Qe4+jGIEYX6VuvY6as9FcleKm2/QdrSGkx0tO7aJdFB9lZNWouZgtkjARCjHGXI/1BJ&#10;rjMpGQ0h/tl4uAkjaeNclfXWo5n3jEv2j5m+aOAw/YDhhgEjtP2HafsPjWcxYIJvICAmswNi8H/7&#10;wTu/IJ1HkF6uMW/flwOAYndmksFJEAMtKSgs91VGwMXzUSXqEvayTkoQ46psaFaPTpUgRq5I8tdE&#10;eQcinooP1W5ptNCdXtKiJgpghpSa7Ez4/rMhZiJmYHWipyZRMyG1tgkASnwzAwZJUpSMltj79yCG&#10;VcKq7ZSgD4hyHLyNE53NVm77vqzAoTqZAmFvskyV4KOIDovd2GThyMkTuaq6liFj0jyVRsTR/UcY&#10;6tqYK0HVInUQHekWYqDAg8amtNJrTVGw3cklgyftj4jb4a0EQBgCh5gLPlSQZGlCgnOx31MT46GO&#10;9ww0nj7/gIRCYY67fvwjUINmY5ZYueG4N/wgRYqPOu7QmRxIGHxkZef6anTARLkqIWHxfobTaBE6&#10;wzSUaiBfyyly52/k+oXEeyrj5YHxcQm77OCQmvh7QQzilw4ggF9H5t1+0eeL5KFJ8lAly1X6cP0W&#10;uoODboIkcvDOtVtP+6liWLsw8kR2o0eaPDBFrkiUoUJqAonuzoBGtsdNVCfa6oRBn9OPQAyOOhta&#10;LeOmr/FWpsk0+sAh0ZV1FhqBL/USid0U2CoKNkS74yevRivwsQf9llJa2QhHjAVE1AYydTQGY6xp&#10;sKzbmqkcjjgr0lsZC9zEpOGhSPSG4cGtUyZ7adDxRB9F/LodmaiCiqI1l3D3/jt/8uYMXgrjrsO3&#10;2Ku9UTf5+sQJmhNc7wsrfBUx6LKPKkmXsI+1+yXEwBNEsB2Y5KuO9lIkIUq9dvstLRvBbaaLlMQ0&#10;zV1fESr6bogxMIhxd7kTiZ8IYhYziEmcNHs5OIO6UyWAmDZu4uzldAemOj5oQnJtMwCcqpCSW4ru&#10;eZvU+9+FGMgCQwnPQLoe4/4O+OBpxdMCX8DhdOU++zh28grMbZ6KRP+gpABVzLnLT2j91mkvLa/r&#10;p0KUBAU2KMcabKiKLrtI7HW0ih1EZIyNLhCjThw0Ng0Qg+mBNIhKSJlpmSBMmyEjiDEqhpg/fKjA&#10;aBDECK6o+E2eam0vdaJPUMKV7Ge0vMI7CPHYAOAPfUFjgJj1285ibvZCsKnSbt57EaJAFQeOX5Gr&#10;dB7KNKBP0rK9TB3QaQwba5y+sxUjkbvz9L1vEGKFeB9FQljcRiv3t7svxixX6+m2DgICGLxBhjAn&#10;MAVfCRGUX6T/UaR6qBf7a2JOnb/rbpe9G6GgtDJwsFZOS1bxHmo4MgafgcmAdi+lyZ0IXOiNUAQ3&#10;CpxaBLXGqMhURh/CoG4CqB/zYjrdeof5ZMBg/bcfIICKkIhR4dip6QA+8DxkwuLS6kYcZRrGxl/a&#10;xxBy/NtP1ZMj1kGqvQYmomu+mmjF6OTxc9ZHmfYaEvfqUw/O1O5FrwExEOCaHWchFKYB0CHuzoN8&#10;fwYQcmXCnsPZNMaomCkKsjBLEd4Vl8tU0WBDrkqMYxAjKTo+ADFBo1IJgtXmfoMXDxgWhzlNpkgd&#10;MXHRx8oWmJhLtFDUwCa4rwmtfANiSMHxWVrZ5EM3v3VADDM5Ot1RgVBa0TRo7GIPWvJMnjQr3UEj&#10;DrZRiQA3YcKcZXQRQGUeNCG5rvlroEMNJG1mz/82xHRQtznIPwDBeF+8+TT011TomAfd0GxcqMuw&#10;Yt4QxKKy6gAFfJxkT1XCmJnL7AhwpCu7XSukTtGxLyEGpUJ+TaUnrVlfGMJKcwC458N0W6FFvdTm&#10;AUMT3hVWQGI874QXE2nc6qVO6oUwPDj+zoN3jE2axKT6pbbgYQEn9h29I1dHe8ANUSds3J0F+Ee+&#10;fUevoyOeqiUwz/XbzyD3l4Tm0TUMJ//0bZlfkNYDk5wiYWHMVhvd/Inq/05eDPlyUNwg2LzBS0U3&#10;m3vR3E63sXRN6mRPpV45Iqakot7dLtOb1dtO+gJxFXCnkz007Hb1wFS616NLcVW8TGUgyFcm0Ve1&#10;wVv910PMv3pGCRpCaoQKx3yGmCXdQozAC42t9oj4Dd7qmF8GQgPMIePj9xy78q6kotEm0CVIgd5U&#10;WVjTHDAkjLlmXSDG8SXEXCd5kbJ8L8TQW+9GpdFoqs2jp23aeuianzrOW5EgV+gjDVsbW6QbTzAC&#10;VOnXhIM/CDFMCaWS7g9ATGPI+BQYLdiYNGvlD0IMiBT6L4KY7omMlyAGYYtr277rcmWcJ7jVJIeM&#10;S6moa8SpovLqAGWcFyBGmRgyIQFeDLvL2128MzEAkT66QEzKd0IMuRYUAblizNugEoAYmdp45cZT&#10;uj5JMTLrJjXNWKZH5PmNGZe8SQES4Z9u238Z3g6coP3Hr8nVpl6qRQgakpfvYdrShVADdNT54Nl7&#10;X432f2B06sSFMVto1Yaa+DtBjCfMEm6kJkYeFCnXRPhoonw00TJNrEwT1zWpo3zU8xbErmy1kZJJ&#10;GtlstY+ZovMJjPBSmBDSewdF+2hifFR6uUbbtbgmzkcdIaN33MGxhG3rATHAl78txMAzvvngjb8m&#10;jPyIwPhB4xKe51fgKP2J2CBOsQg8V17X1HvQgp8CMbTcu4h5MabxszZWtHJhhk1ypQ7W4q/RrtmS&#10;aYfCUFbkx17X/uL7D0LM1yR8IohJ6qWJ81abJ81ewZF1SpX8jSCGBSCkKK8LawcONXjQhJfmp9G9&#10;L6uEDX+sbVSNMFOMqU4ZOFzXSq4Ng5Kv6K+AGGIEAlqy6jDcdk8VnFDDifP3WGhqpwekWf2MawwC&#10;BpBfsuo4GYUmVTbQhJy0SC26LmXnyZRxHpo0mcpkTN2DI24GOxFq5ATu8o0n/kEmQAycaEPiPsAT&#10;a+JvAzFQX0yJc2K23HlafPfJh3tPCpHuIj39Rnr2/v3HCuoGtUwfVgf36Om7h0+K7z35dOdpyZ2n&#10;VMO9J0VdC1IqysktVo9JQrgBm6HH89SInuhu7i5cIf0dIMYhuFLTD8pg0so0f0386azH8Gup00zL&#10;aITh6DhcZbWcf3Dkz4MYDCjdFzNrdavg+lBWP3JSmkyZ4hWo7zso7szlXLrUQI4FIqau/cX3b0EM&#10;FBCfnzpBTOrK4yQY6XQ74Rs8tqDxiR7BWjiwbC2GZaFu/FmIqW3+YYhh0oMqMOG1k3QQBA+ivNaq&#10;GsHeA69Z5q2Iyf9UDtFUt1jHTIOtJnooknuHxL7IL8cc8UU/24kBiPTxb0IMSsOdQv0791+Wq+I8&#10;VUlyjXnDrgs2Wrt0SLftoRLKRorosDn52Pi93mp9L2Win9KUc+cFwAiU+6LQVx1JcYPKPCdqW5vV&#10;iW6yuwTb+w65obzgPHjyhlxh7KUxeiu06etOUa+oC38fiFGa+qhiD524xdAXsR1JQNp8ncAiGCTZ&#10;sqbbP7HFWdJPlrCPjGQ8XRLOvitt6TtIK6MngClQ8qTnXGGZf0+I4dsc/PzoDXBfPZWp/kHaygbo&#10;B7pGg8fyCU56GMGV977WNyT6Z0IMYljTuBkr6flIQbx683X/wWZvJT2BqRqT+ORNBT3mQM9LdO0v&#10;vncLMdR/EoNQWtXcATG6xENOuthF7XYQmHz25mO/oab/oaei4cUsc3NG3fhTEDNm6uo6ghg6i//v&#10;hBiKhtgNudi6D7lFSgRFeVvcqBhOz3/2UqT0HxpfWFEDhbRxgjZpq9dAg5cy1Vcdt+fITfoBhM79&#10;bCcmF+nj34QYHOZ5B8zxxu1X/kGxXupET6UxKn5rGz2HTYsvUv3YUE6Bq2+xTJi52kNFb6gYOMhU&#10;UlZPdijyjW2OPoPCISgvdVLQmNSGRisKs16TBkq8AnXsgpi2/KQskF7PLNdEnzz3mPpFTfxtIEam&#10;MiuHGF7kf+JFK60dEhSgQvABfcC2S2Li/ZK1dnEhPzQMedARbKX9LxKqPnH+kTwwCvbmTWvDCJfo&#10;GlO36e8AMa1WbsrslTIFLDzZNyjMAkYgZRf8BoTQdJeM02mx8cK+zFvemoifBjGpDGLiJ8xcZWcB&#10;Adpeue6UrwpTnNlTY/5t/uqKujYHC5m6EFr5ZqBEKiOUlDd2QMys0E0OO60g0mkqSh/IffzMA1+N&#10;2SMYOGuaMmtZ+xUR/P9JL2Z1fYuVHlz8QYjhGWHHfQj1Mo5BQMhj5x77awy03KtOGj11RW1TGxwK&#10;WNuJczd9lQaZGlGnbuKs1TWNNurIV8QARPr4twMlCWK4kk+1QWMS6J0nKtPgCfEfa5oJwElsVD8a&#10;wSdA58W70t4aracmATL5dfoKWkgBwggcPOipYas81CZ4N3KV7sHDArqwQo6AZF/EPCyqoc0+buJi&#10;2cBUD01c7yERrwsqKAN14e/jxajM42ekN9h4TmwVXa0kPRICKut2BCBetxF2EHYZ69BGdymWWI72&#10;LxLhMy5hl79aD6P1UiZDpmxFxtyFJSn9CYgxfjfErGSrQp0hhm3YH3pkszvnR2ySwYtRx/uGhL4p&#10;rERRCR9YfzmeczQ223+bvVSuiQUQeKtM34aYeEAMOywVpyyQHOphEBODJuSqhDh2X0xniAkeleKl&#10;gqwSx01Lh+YCF6BCza2OqQvSAaa/BCV7qXXGtH3dIQz1/w8gBrNqQyvnq4QzT4GYYoi2oqyRQQzO&#10;oxPEYGurbW7YOkjgF3WCTJ0wZdby7iAmHhAzeELS90EM81g1iSMmrqhphBdDEMOG5NuD24kqKior&#10;q2roFn8SIQhbGhLaE11lVU3jp6+Urih5q036tMN0IwLmeqcLIeHQ8cu8EWCqjAEa/aY95zh3DRK5&#10;96WOMZYkiFnnDUDsBmIgPmqyE8TESxDDlkIABpzNIUYn7PNU6L00CQHBMXuP36QX1kv8skow9lYH&#10;n7Zyp69KxyDGuDHjGns6AN2DdyzsOn7TS2P4BRCjNuv0G4AZdCMNSVGav2lWz7xyt78qzle5xEMd&#10;NStuLb1wnSwUTXSBmI4fOfmZEANhyeixMZyFVcO26TUiAPUlSw/wZMFSo9Q41dn+rXMib1zETAd9&#10;djronUQMi5jIu+SkJA09ugVJMABubLEOmpAKv4mx9y9A8N+AmNGzlvait7om9R+irayzfisvY4tm&#10;i7FTl5D1qpKGTEipqGok45POS/yDa96VuuygH90FkyrT6JdvPt7qsIu8jRY+RAyms8XmXLHuRIAy&#10;xpcYjvdXadduO8OMHXIhr+3e/Xf+6vheGrgJpl2Hr1M/CIFojIkLF70o7k1xhY8yDggFVdMlbGfn&#10;UAeNR01986BRRm9lqpcy7dcZK1CjGxuc/IuCyoGjtfQrbopEX7Vhz5Fb9OoznnM66TEWJndSsmGT&#10;UwAxnqrk4RPTqgAx7hmCFAbt2HlhwvRlMpWhlyoJkfzSVUfRK44eZaVnmq12Yf3WLD9EtQMT5coU&#10;f6V56uylmIoJ5AB2It/cxk2YlY7ow1uZOPRXc30Te9dJ90Q9wsw8eKyJfvxMsaSP2vjqXTnPtUGV&#10;4H6gOgethjK5dyHqNSUwfi3n2agJMWt3nissb4RawKWDnXL0C8P805cfp4WmewQZYNIypaFfkO7W&#10;3fc8usuMFl3avPMyvblCacQk5DNUl3H4GjqJIUbUhSAGXbILrk81zU/fFjp4SNJhpVdSpcvpnV7x&#10;Ib+m0S8Q0Es2CENo6MANPXYvzjds6qVBnQmBQxLyC8tZF3AekZgr5/673oNi2VOU5OU9za+k27Hp&#10;Hl/6XU/sX7r5wj8k3ENj/AXz4jB9eUUrm6ZRObVQWdc6+Ff2E4NBi/yVUWcu5dng9tDbiCxUiSAW&#10;fGwc8rtRpolFj+QhUWeu5tKlLBodVEGAFqbfQW84UJsHDtO+e1+KMWC1k264Bfsl/VUQQzts9qYk&#10;1+iuXH/E7mqi2yUhNHr6VMQ+/3Vi0SA0DBOD0wltpsGhh5G7ZJOSg94Lix1iDJZk48V7T972HmTo&#10;wtW30o9ADPII9RLEqJN60fNguorvgJgx0xbRsy2qlMG/pVVWNZDpSefxwRK04H5ugb8qxluR7BmY&#10;2DtEt2rrxeLS+pp6S0Vdy+3conmxa/01Ef2GwCkzeykTfBRx67exu3vJomhAGcQk9lKneqnNuw7f&#10;oHu3CDpYR2iUodmcG2KUqT5qepIQxdg5iI28mJDRiCUx96ZOmLmMzZAwcUhXsPGuIxce+oXEeSnM&#10;3goTupxz9xX97ADFEAzUSddcQyen0Z0EqhQ3xLDjDGUIYtDG1r0X5cpwD8hcneyj0s6O2XzqSm7W&#10;nVf7T92aPHeNb2CMYnjSwOGLPQcmyJWmCTOXtNHvxVHvAGSAmN8IYlLgkw75Nbm+qVsvRiIUofcH&#10;zglf7aM0eSgWIyqcGbX+aX55yaeGy1eeXsl5bIUeuTN/SXQUPadJ8NK1VwGKSB+lPkBjnD5/y4r1&#10;mbsPZ6/fcX5O1HZ/lVFG90CmeCrNvqrY+MWHLAiGoH1iK0+Jr6q3zIlY56OMRfDyiwK2ED1xbnrG&#10;4ewL2S8v3nix48i1mNRdA4eEr9l8ErKFZGwOfurcNXJIRpk86Nc0IA57dARDxjiCAHnAojDPsNWD&#10;fjc5KXBI4rvCchpVOk+rszany7TkAEysF716zTBghH7T3ivPCmo+Vjc/ePpx+foz/ipAnsFLafIL&#10;1u08dIMjw2O6QQMEh9V19PTdgKBoD/oB1XhfTZx52eHbT0pKqptefqjdti87eFyKj8Yso1uW4sKN&#10;25usPD0pSC8zBhek4aGG7fRrxeqEAcN07+hn8+kEGRMlqRtf0F8CMZQkJ4JNbglyTXy4NsOYvNuc&#10;tsuUmmFKyzClYmcP23ZNact2fapoZAhEbwC0O8XtBy/qUrd1yYZkTNsZt2SHdnGGftFO06J9cYm7&#10;YxL3TV64zZvd4Ps96ccgxsWxJ62XYbrGhD9giK6c7u79FuEMXRccM52CCBQZPIFBjFuYkgWyL5io&#10;Wx265J0+Kh30zFuR4qNM8g8xq8cuGTA82VejR4DjHxK34cCtoInpECkgZvGqwwxiqAl83n3w1k8D&#10;KE8CuO8+dAuhEzsuqRHaojvAADF+imhvZbJcbYpN2smK4xxpMq3FjDEBniCQ32YuwUzASlG85OT5&#10;Vjufsmx/gCpOBp9UGTfyt6S3RXU0ebW3DpscOmkxYNdDTQ/7VtXAi2FVUOvUBGCmtKZ5/AywF+Ot&#10;Su6lTPNWp5Bvr4jz0Ri81XofddzGXVkT5qxiL1gzjZiyuLYZzIM3zN9Ourt31nJJl2CEdU3gvVtC&#10;WwQxgMj9x3L86A5pTK3JntDVoDi5Su+niFq54aiVYrDuiI6iOCYp8eK1136BWrlikbcKYwe71cuC&#10;iE8PlcEjKPEXqLcq0U+jmxW1uqzOwpGV2kShWRBbMPk7BKGovHHGwnR/et1Hkky9yEOV7KGkN9vT&#10;bx+rdfAFfFXaZatPWjCFkncEiFkrVyYivBoyPqX9B2ep88QRYbRgd/Hz9dthR7CpwCHxb4rKSe50&#10;njLDUqrrLdMXrJCptYChXnT/Kr2IFk4WphPPgXT7mJ8qKUARl7D4YCM8ZPjI0n3aDGKwaYObvP5E&#10;b00EkAKeJgJSBIAeGCB6PYjRSw3/McVXYfh95sqPZS10Gx/6S26OW8NDDdswaoiyBwwzEMSwE58h&#10;5iv682sxFB/RjpKWQlhKQmZybcik6V5bmdJMXxXQOYARxPFFGjzBVAOoREs8Jzictc32MbPTPdX6&#10;LtmQEIv10tCbZRD6QqY+aroy7UEXj/5FfNSRfghiYLr1rdbxM1PlaEsRrxgcXVn/LYhBFaiHxDVu&#10;eqK3Og6oN/TX5MoqupmQKTkL/PBJLYNcpdUtUQlb/YKiEVAw2zB5o2uBeplCqx6VsHnflVob/+uc&#10;pTKVzl8VbU7dAe1k5UnZ7j543Scozlut9VFodx+46RRt7NkWMMCysKF+V1zWWzEfauer0cYlZ0DF&#10;2PiTMtBb78boZJoouSZ64owkepcV+KYZCh4kvbauqqr595mL5eporyAtvK2FMRtrGskUWR2ko8Mm&#10;pcB4vNRxIyaaq2qacIx8EOod/h2Yqm08l/uqaPz0NLkylp5zARoq4uVQFUWsXBOZsuZ4Y5sjzLDe&#10;Sx3pGaQdPiWltgntonI7IKa1lZs8axFwFmIMGZ/UAPTpniR+6KVP0J8p85b4KkO9VVovxBeaJE9F&#10;kp9St2bTCY78g+6IJIF/K+9yPnhaOGic2Uel91LqvDUGT5gZtB3aRTiulWmiBw6OSVtzpLLZir4h&#10;noSfTSKjN1RRNIRwqaq+bfnq4+ohWrnK6KEwyYMSPZUGuBjeGmMvhdZPGWNO2W3lBbvAWZz89AVL&#10;4WjAxxw6Vu+gu2naxxVc0c0vDrvLOT9uC72rWB2nHBr3pqiM5E5MwyTp0jWC1crq5sQVh/0GRcng&#10;QAWaEHLSKzJhI2oTojDVcP22nRcaMWqUHW3QQxisDtJDKH1rm+PA0euK0fEwbQ96EVeSTMPua1XH&#10;e2j0/oN1sQk7yyuaqKP0kAKAkCEJ0/Bw40ZvdbSnShs4NPbdh4/QTOgGm4G6N46/BGIwJHDpkzBl&#10;eSowNjho8NAk9NLEtyday+ilTumlSaT9L9OksKXsjY9wD+1Q1KKyBkzmnhpk7poTlfyiTvNQJ9GL&#10;COhVYzrvEFMv6ATx0Jmlb6YfghiIFRCzfP3hKNPeaONBY+L2+mZL93lJuGThmI+WrN0fat4Rbtqd&#10;uvxwfUOrdDsdsx+mSlJCbtHVaHNkZj+OSdk+YlrCoN8MQyYYpy9cs2bL+TfvqzG5QZU37jgSYcqI&#10;NWbs2nORpo/2UXzzrjQmPiMsfmuUYXd29huoLjnX7rPgQUTsUFLWoDVtijTtijBnZBy6jImMqSk1&#10;39BkSViyKyJha2TCtpVrDkgQQzdY0FkYuR1tP8orjkncGWreFWXeF23cfP3WE4ZC7F90pa48FGre&#10;GRq/LTV9L134pOKY7RiMEtjZoJRWToAvs/PglYXajcN+NQ8dnzD692RdUsbV2y+abU7kztiXGZmw&#10;PTR+Z+KKA1W1bdA16ADPc1aLM33doYj4bWHmHSkrj7QgiOqe0BZBDL1IRnBV1rds3XVuTnj64HHx&#10;g8anjZm6She/+8GDVxSEM7a7EokKH/TLVlbOWVTZmHnjacrqI/Njto/6fcmgsWkho1JH/740Qpex&#10;ZVfWy4KyNo5dNJagQJK0uwZYLC2GtFn594VV2/ZeDjdsGz0ledA446Bxhklzl8LdPnz6/seqRofI&#10;caLVynFrNh+KNm+OMG1OW76bXsdKd2RQlMgqw/A5HC7n1j1XIowYuy3GlF0fKxvcTVGTsEppGMkh&#10;evSiMH3TyVmh64aOSx40Nn7kxMR52vXrd5/J/1jNnqJGrQQNrCwIn2TU+EQd8P7efazbui8r3LB1&#10;xMSUIb8mDR4fP3XhqtQNh28+L2iyYyyg0kxv6R9l6e4T1LV1X2Z44rZw0w5T2q6P5dXoAS3mSDx1&#10;R38BxLAlXvJigC8IkbyU0b5BscBgmRKeCJLhj9OSdcfYM6qIM2FYYu6zwgD1Qm8lauiaE0kemOAT&#10;aPRVaH3prf3aXpgr1PD0foYX43LSQ/uiFXqB5BDZz8SRm+w+3YmYbbk1D6F6G4+AmR67Bi5Ae+je&#10;BVordUNM+4DTZRwMj10Qm+xco9XRancAWdAKPdqGhnirw8m1OgTUw7mXLN0ogZMWXmzhnRY7/Vw9&#10;4mRMqaxOcEChMQzY6hBg6FaniIQm2Co6qwNb+tkQoY0XmumXLjATgxNammdnYc/0Gg3M/SjY5gRv&#10;qATZwBMrzCpBe2AA8Ik8tFhPD3rDfiQzoZlWFOA9SD95JdicfIvN0WhxNFs5iIXmYJ6ghIP/jSYc&#10;IhwkmAOk5ETFTicmGodDaHUikdiJ7+4JbYFnWArETDEIGrLY+aZWR7OFa7Y4mY3wgvvl+18RSlOH&#10;MaB0TwyKAymttByLgbA32WzNVpvFxtnoh3Pgq4BZasgNBdRyRw34RzsYBjinZGs2Tmix0c/dNFkc&#10;FruTvXAVvKEfQEIbMmHQETS1Op0W4DqqJGym2xypo2TD5MxD5docGCMnDV/7ha72JpERiTpNrhQv&#10;ArLhYLVQ4tqsAFx0BwNoF2ipGwxLfEqlSB+letANCo3pTfVCk5UDt6jBaudp1KBWPPxKKIM0pijZ&#10;ScPbhx6a6RDowXx6xSg10z39WYhh67t0Gwi7gyNertEHjjbtOJZ9PPPWV+nmV0covS0oQyvoOt2c&#10;wQsfSiqOns0+evZGl2zudPb2icxbJ87eOnL21oGzdyYu3OBJv139M7wYGnZCCGgvJQwHGTOz866E&#10;AYDwpQHAH09rCnSVB6qBr0B5FshAniRZpkxsMqH1cPIyoUKsdmrI2f6OWJxnD+XTE7x0uwy1IKkL&#10;uecOgbMLDbQEixrIkKUxQwboMd1Ghiow5dLFEYIXSow/RjRzOtkP6cBhARzgDzpC7BE3CJgYQjDg&#10;gS3AHQFLlIk1wXLRzSJ2IAJ1l3WF3ntJfWQwinbQd+LCTpEXe6O7nZ5DR81oDo4SEAunAKOELjAp&#10;kF3g7ez3fugSEXFsIyMhRe9G4BKBE1ROFgHNcdKLXNAzkjFNq1ZBaOOcMAeJ667U3hVSAoiNxEMY&#10;QT8ByH4TicRIg4hewJLQf9gscpIIpYFABsrDqqCaICxyxHgLdYXVioSz6AJ4gywhVOYuMjjBANDV&#10;GRpodBb1uN/NTOOMsUevsYuJoJGiasiPNUxdoz1iGsMEVklhaJZB1aQrIN5OPzcGkAFOtf90gfQv&#10;cU9qxRJplVQDxoAT7U660k/uKHoKHgh3KfxhRalFUjGqgBQTM4KN7gygd+JLP9DaAYLd0J9e7qWF&#10;K3oQmV1jS/RWGCPNezD7MdGTiXVKtAwpdVRK7CsmBxgN/jFa6BWYJetHL78qjoSM4I1EDKnXWRy/&#10;h67yUMa4F4O+I/0QxNBxOkXaQhBDjbP2vyJ3xs8frJekMuCVRNFxjp1uP0Id6nS4XTBMHJSJVQL2&#10;pGxSBpaRDsC0MMyEC0yoEnXUQGWYIkJOTJyUh2okopqoU5SQk/RDakMiiS0afKgRpjJUQpbQcZ72&#10;UC2MElvKi8I0gNR0eyZWgbsJqpDKw5jcMiR+yAzYMVJoZMY/DbrECH1AhyRAb6+ze8JZqctSQxJh&#10;n3EO9HYf6ZZYdmpOSqwn7qPthC/EXfvWfZ7VL0Eq49WdkxLNE9K3dqLOsprZMfcnvmN02CnaJxF1&#10;nGV9AaEqDLFUgMpIxPawkYSJ05RYAyybVBNt3K22Ezv7eQ+nWD7aIU5YX9qrYbx0SLM9m/SJD5xh&#10;Dg7GkR1nWzrRLf1ZiJEp6WfJPDX6X4IMHqokWaDhwLHbzG9vZ/qLxEhiir4jH2k5a4+MQTrK2O62&#10;OMtJ+QFMrvxPtb0HxbAo6acESj3UQz305+kvgBiZgm7b91AneCmT+mr07z5U8UILw1BWUefUDhQd&#10;/50+2Al3BnxncNN9IqwFY8fP3fdRa3sB4FR0//j3pB6I6aEe+g/Tnw6UmN3SAy/KFMDN5NlrGlut&#10;otjx2zpfJKqX3C/UirCIOWL4d3/Ai2G2D4ihr8jzVXF2nCVaI4xL2iVTaT1V9LhNF66+lXogpod6&#10;6D9MfxZi2FIrUpIXIEYRn5p+2kark05E8PYvE47QOqdAO3aXaKV1b5EtKgFc6P5llHPQ7/XSd4TR&#10;XYpLCchEK43sF62Cx+u8VTEe373Wi9QDMT3UQ/9h+msgxpP8iCRvpTHUeHDD7qubd13ctLebtGXP&#10;uc17L2zYm7VhT9amPeeOnMqycxz7FSEbcAPtXbv9YsvuC1v2Xe5SsD1d2ryHtqghbcNZb3WolzqO&#10;fs+4K0vfTD0Q00M99B+mvwRiyMg91fHeQUaZOk5GN63Qk5DeKm2XJFNHeqtjPOkJQLOfOsactsMB&#10;rwa2TuERPTA2bUG6vyqO7qnR6LuUZUknp7tj9N5KvYdC5602yTQJqOpLfv4o9UBMD/XQf5j+qkCJ&#10;IMZDaQDcyNSJ9Awb/WZA0pcp0VutQ1zTS7nUU73YVxN79c5runDP1ncBNTVNjn4herkiiV7ET211&#10;KY6U7KVMZTXTC1O91MjZ/c/jfyv9TIghoPwqfT91KSil/2Lq0lMp9dB/If15iPn+ZPamt5wBFxZ5&#10;qYzj56RWN1nY3QyCyNnR0MXsp/7wfeidL2Z6P2bX4n9B+mkQgyqki2Fd0vdTl4JS+i+2ui49lVIP&#10;/RfSfxJi4r018Z7KZG9Nmlyj3XUsm16H5hRcbNmXE10JS/f5KAEx7F0k33in1J9MPRDzt6EuPZVS&#10;D/0X0n8UYuiHqNUp3krDhDnLK+ottA5Dj7g4BFGobLAO/z1BRk+mp7JntbuW/UtSz1pMD/XQf5j+&#10;s16MOs1LYe4THJ55Nc/9dAfdRU7P3V7IfhoQHCNdnPJWJgELupT9S9LPgxiBEc+jWpHjuNra2tbW&#10;Vulg+x3mbsI3pC6HpX0ckqhjn47+F5HUKUkskqzoCRwn/cgZyJ3p29RRViqII9iXTnUmqUJq6b9O&#10;gH8HkuQP6lb4X9N/FGLoHW6qyGXrD9DSC9qgZsCuYLELodqtPmpTL00Ce9lXgvePLOJ+f/pJENOh&#10;yRaLde/efaGh4bNnz42MjC4tLe0YD3cOZBboHSddE+9OyMlxzgcPHuXk3CguLnaX+a+gDjlgS88V&#10;OnmIq7W1rR1i/rW+QpjI7HA4pCL4iq37HCPULJ1qr5N23Od66E+TNHwQ6deS/wP6z0GMt8osU+oX&#10;aDe22BEZsV/2YA8MwJ158qKk/yC9hzLxf+i9MEb2xqmuxf+S9PO8GEnnMzPPz5gxC/iyaNGS1avX&#10;VFRUfA0xNqtj/77Dq9LXrVm9oSOtXr0uPX31y5evkLGlpc1oNE+bNiMz85y7zH8FSXKQzP7Fi1fr&#10;1q2Pjo4FEC9duvzBg4fADXe+bxPA5dChQ6sZ7dixw2q1Qrzuc4ykJiwWy/r169esWZOeno78OOI+&#10;3UN/gjrEKI0gk/R3Cfavghh26RrRTftvpHnSG+TpNev09jD2s9Z+Gr0h+XBVg9XBO3ihjT2oSo+a&#10;WpyCOW2fr1LnqUr6BV6MxkC/tda1/r8m/dsQIwlTkik2UuogwIhA73qzp6Yumjp1+ukzmTRLt0+z&#10;Esq4sxLE2OPNydOmzZo+bTa2Upo6dQYK3rhxExmtVhvgJjZWe/XqdXeZdga+pg5O2IgTscPdUMcZ&#10;KuIu6D70dbnO36VdlgdEX+mjnaT99jy0bSd8+fJ7O+Xl5S1YEDZ12gy93mQyJcycOXvWrLk5Oej7&#10;F/m/JpvdnpScMnXa9ClTps2ePefZs+eQrvscI4gaws7NzYMwp06dhiZSUtP+oNrOZ7DPEh1q31KS&#10;qPP+v6TOLWIfX9xbaYeddH+0E75JqYM69jsfZ/v0pWtx96ebOs5+3mH70rbTEXaQER3pOOX+JII8&#10;pR3pbEVF1ZkzmWfOZtJLERi+s9KdCnxFfwHEeGhMnhqtl0broTB6BiZ6KcwyjaGX2ugBk1YneSvN&#10;MkV0yDjzziM3Wpo5+C30Hjh6hwPvcHLowI1HJf6DTTL61Wq6rYbViYb+dFDWXfozXgzlZ+49EmFK&#10;O26gCoyCkxcbGpvitPrJU6YVFhVL71fBGEgQwypwk8VqN8cnT5s+e8PGrXlPnkkpN+/p48e5NTW1&#10;yI7U1NTc0NBos9nQhNQQa5r2OtoFSWzQi0roIBENO2sOW+krMkv5O1cFnhiH0kuzGP/UL3f0wWqi&#10;MqwsBTXStuMMdqgSd2QnZaMapPrpnwhsILXzyginOI5btWrVpMnTt2zNaGhsbmxqPXL0BKSRnLIY&#10;p9z5uiNUZLM7ElMXT5k+a/acBVOnzNy6dYe7qXbCN6RVq9ehwhkz506eMjMldUk7P0ToIL62d5OO&#10;MIbdOzgmdQFbdAd7kCW+0uvf3NL7XFVHznYhUFkcp0ztJIkMka8kZOg9vncIX6oHxPJKVbl3pHZB&#10;0hH8d26F7dPAsWNUM7bYxwhQxxh1KJ60g6HFWTZEEidUHIVxkqWOaql1xpK7a0gsMKJ34XC8cPJU&#10;5tRps7ds3YGsON9RP3H5DfqzEOOpTvhFE98rSO8RpPNQmzwQ4NDrdWO8VVq5UisPjA4col26/nhB&#10;aU0bve8GfaMnkFwuu5O3g+OGNm7SglVe9CJYvaf06/pU7d8OYpCZ8rcPoLQvSRVVSAMGiImKjp00&#10;eWpZeSXpJ50i0WPL6nCT1eYwmZOmTJ15/MRpabwpUUYaJmlcpR3piLSVzJ+hACmElIGZAe20Z6a2&#10;pEY7rEgyFbSLjTszlJ5+6oF0Dk2jNSSqntWLUhKfVB3TbCR8lSqWEiPKwIq4q5UUEQexZRVgi/SF&#10;cME/gp34hISp02Y9eJiHitH0y1fv8DUiMhaBjztfd4SKrPBi0pZMmjZzZframTPmxkTramvr3acZ&#10;oUf1DU1z5i6YOWve8hWrYQxdIAYMgD0mHElWnyUDYgdJqh1ncZy6SMtnOEJdpnyMaNzbLZNJTho4&#10;IimDtMPkSjVJckbiaBRZw50IeaWRkipkbRE/0il2RKqNMoAYbFEDqAk7OInkrpxFMaxVykL9IIgh&#10;XEPCjjT0VJBVgS3ySpIB4QiOsi1YogPSGRRCEydOZgK4t27LQD6CLNbKH88Nf9qLofeBp1EopNb7&#10;aOJ91In+wfGBI+LHTU1OXHLg0vXnjW2C9FIj+hkdNi4usY39MrzT5hSXbzlFr6Gm17XT65SlG4X/&#10;bhAD6b97l7958xaTKT46OjYpKeXAgUMVFRUYB2nI7969v2Hj5jVr18+dtwDOefqqNRs3bdm+I6O2&#10;tpaN2RcNWG32+ISU6TPmdIaYdtUhhrBz7NiJTZu2oFFppC0W6/btGbt27amvb7h589aKFelgQ683&#10;7ty5G44riqEV1CwN9qtXr3bv3o0IJCYmxmg0Z2TsKi0tgyZIVWHnwoVLm7dse/uu4O27/PUbNsXG&#10;6aJj4tauXf/ixct2taScIOjxs2cvwEkc8rCOnzp1BpbAsglgBl+Tk1OjomIkZj58KERxiZmvIUaS&#10;AyBmyZKlk6fMuJR1FUzZHfyJk2cAMUuXrfyXXgxEBy9m8vRZly5fi43Rw5HJvn7DfVoyRUG8cDFr&#10;2vRZiUlpp06fQ7WpaUs75I9x/PDhw759+5KSktAddGrLlm2FhUWsz+4uX7+evXHjZgxoWVkZZK7V&#10;6mNitEsWr3j4INducyAjq4n6Ul1dk5l5ftmyFeg+oloMyt279xAss7NSgnE6nz9/sXrNuphYLYS8&#10;fEX6o8e5r16/hbZcvJQlVQWCPMvKyg8ePGwwmCIjo+PjE6FglZXVqEEaDmTYtm3Hvn0H4OdevJgF&#10;mYP/xUuWPXj4GJhS39B44OBhnd6IGW5l+iq2oveZ0Ds4xVmXr6akLgIbcLShnC9fvXZwQCJmkLx4&#10;+fLVrVu3P3/+EiMo9Rr1r169Ni/vCQYFraOejZs3bdy81WBMnD5jbmycfvOWLRs3bcjJyeloxd2Z&#10;r+jPQoxcqZseuub0lcdnrz/MvPrw6p0Xj14Ul1Q10wtZ2Zuj3MEyPYTkAMTQLz0INpF3oOrLN1/7&#10;D4rzIOfFSL94/8XTRv/7EMNGV4RJnDx5avbsubNmzcHww2hDQ8MnT56K/by8p9AhDMDhw0fnzJ2P&#10;NH3GrGnTZ86cNQf7EZHRUFPUIFmku1JmJwiUJC8GLUuJWSZNJsiPPGlpi6dNmwGVxT6KNjQ0odF5&#10;8xbA2mfOnI2mAXZz586fOnU6lBJqJ7GKVgoKCuYy0ul0BoNh4cKwKVOmwQCKi0s6mgAUAgfXrd84&#10;f0EoksFohmriCPr4+HEeYxaTJA/d2r//4PTpM5HQIhqC2i1fvhJn0WnAFo5ADmjCbE6AmYFh7D99&#10;+gwyYR3tHmJw9sqVqwhkwiNiioo/Xrh4ee680DlzFz56nCdlkLZfE45KgRIgJuvytdOnzs2YPmfp&#10;kuUYIOKYFYPZsMWamaj2/AVgzZzklM9eDBB//vz5EA7AF5gYFhYBnufPXwgUQK+Z8F3AcRxctGiJ&#10;JHBkg/RmzZw3fdrsrEtXOlhDi8AU5IRMoBLYzsDQT5tx/PhJDDeyIaFCwAGOQ4DhEVF6gwnShmIk&#10;JmGCmbV+w0bkkYT55MkzSBijKSnYggWh2AcClpdXursmujDcOL506XIMk4T4M2bOnjV77tVr2SZz&#10;AlROqzMAQTCOYFvqkVS0oaGBlgjR0wWh4AFqiYLz5i+8cfMWMkC7sAXUgnlgK0YQApF6BLbnzJl3&#10;+/ZdEo4gzFswb/bc+bNmz4dUEYTOnTdv7vy5Bw4cQDMgt1y6oz8LMX6qqN37zgIP+c+vMkUh7FsF&#10;9jN3pGeojiXInt4kDE/VKT5+8j5krMlbY0Ko5V4t/qryvzz9EMQwtRNzcm7CqiHus2fPwZhbWy0f&#10;P5auX79RUoiiIjLdmtr6ouKS5y9eYvwwlphbSj5+Kin5aLfTnMZ07nMbFisihRRM46tWr7t2/YaU&#10;0Mr16zmwaikjIAYt3rlzF/s40tTUgrGHsoKTo0eP1dU1tLS0vXr1JiYmDtlOnjyN+iWFKi4uPnjw&#10;IObqtrY2m8328eOnhIQkFMQcSOrGdBqey5Sp08HnosVLwafFaquorMJMO3XKjKTEVFofA8Q4+KtX&#10;sqdMng7NPn36LGZsi8WGqKSsrAJicTic0HVIAIgDrIGTBclgGkRDmIEtFgv14SuIQb0MkfmmpqZF&#10;i5fBxViwMAJYExWtvX3nPuJHnCVtZeQu04lQkc1BEINACRBTUV41d87CuXPmY+KljlH94rv89zCe&#10;2XPm19Y1njt/CYFSZy+mpaUlIyMjPz8fDLS1WSsqKlesWAkBoi9oWpIPIAb9wkHgZn5+AfoCae/Z&#10;vX/a1FlwZ1pb26SqwCE8uPv3H6Lj6H5dXT3mIXR/3tyFkBLmU4F3lRR/WrggHNi0a9feamhOmwVK&#10;kpySBnyB8GHPYBjCrK2tA4rBwuFvVlVVtyFbUQkUAHMDZhSISwILAAcYg80DoKEPDQ2N69ZtQD2o&#10;DbB19979puYW6OGSpcunTZu1Kn0d44EMeMvm7VOnzjDHJxa8/wAeausa4PIAZSKjYlAEXUa3t2/f&#10;gcrBQ0pKGuSJsUaPUD+OYECbm1uhWx+KCsF/xs69kCpUt7C4qKi4sLq6WlJvkt036M9CTIA69tXL&#10;T/RWXsZsu15hD3AjJUnPcBZ9hgnBNxbzXpWOnbrIV62TqRM9FKgHNUvpi8r/8vSDXoyA8Ya/gMHG&#10;8NvtsAEab4QPVqsNMwlGJSNjJ7KREoiuuvpGOMMY9dKychxgmkGEqjoPgMVqN5oSYVqwMfgyUpKu&#10;KKE5Kc/XEINJFeMNkwYbqBOVo054T8i2ZMkyyUJwHKDGcIr2pWyYhVAQBoOCqA2Mwn+BXoaFR5ZX&#10;VKIaVITg/OmzF5irYbS1NQ0wj9YWKyIRZh670WtUha1UHHUC3WBOQL0PHxBlUOfQS5gKfBkcf/Pm&#10;DfXhK4iB7MAn6MaNGzGxevQaOBsZFVdWXgkG7A4O/V2xYsXZs2fRnLtMJ0JFnyHmyjWH3QlDmjF9&#10;1tGjx5GfuiyK+w8chBe5bv0mDIcEMZ3XYrADlwfEOOEdDu7Nm3cQIGZsWBTrhShBDKD8/fsPGGiS&#10;syCWl1VBOICPgoL3UlUg1CNlkGTS2NgExxESe/b0Bb31WHDt3rUPwKTXmQFnqEZKn0rL4HpASTZs&#10;3CQVvHr1GniAOqEGfAXMouaCgg/AlPDwSIAODqI5OC8Yxy1bttIqDPN9nj57jqkC/UWvpUHEQN29&#10;9wDxY0y0zmblYL1VlbWzZ80H849zn9AwwiB5AUCTkJiEgogHcQgkeTHw0xGvSUqOVFLyCQcxx2Ci&#10;klZv8H/i5Fl4MVu27gATPNhn+IKtJJNu6YcgRnq5nLn9ASJChDHTVtbUW9Abemk7ezGyRJAKmkUi&#10;aKFPnIJFg1XXnYcfBo8zyRSx9Ct26iS61P0ZYqjOn5d+CGIgawA1hh8Kh4i9XfQUYGNf8oHhUsKh&#10;wMghISSGp4qRgxpJY9lZuaUdEAIlkykRBoZwafuOXVLatj0DjgaQi7SgO4iRvPpbt24TE+Tfks0/&#10;ePAQBxMTkqHtdJQhC5irq6vLzc29ffv2zZu3MLsiD+ZJ+DXMigS4YJOnTNsMZWUsSqqPuTd0YeSc&#10;2QuKiz5CKC9fvJk5Yy6MCnqGitEWa9SdMjPPAXYBWxUVVUiVldhWIiG+gH1euHCRdRQd+QJi0DSY&#10;h5MFuQFhV6xcgxAJOLtz1z4bgNHpPHAAcdmMPXv2dBZXB+EQICaJQczlK9eQ5cH9R2gOAGG1WlEE&#10;czKCBVjdk6fPkJlBzKzOgRJ2wEB9fcOzZ89u375z8+bta9euQ84IDcrLK5hwxJ07d0Fc6AjGApJm&#10;IiV3ICI8Bj7dw4cPpapAyIwpAViAYUJVOTk3EDkCU7Kv3wS+tLVaE+JTgDinTp1FNZAfk7YLSLp8&#10;RTogBr4kdAlNwFVBixh9hEWQJBJ24C0CYqB4CHmYzBEo0dfc3Dx8RSmMSFk58iyEvr3/UMh0k9Z0&#10;CwoKgSnh4dHkeggiGJsxY25UZBwckNKyivKKKpSC07puPXlAe/ful/q4bdt2yGHVqjVUCxG58Ogd&#10;JjZIGFYA4TCXSDx12n1Fya0RbEypwLfpByBGRj/GFu+p0XtoDB6qBE9Fkpci3rToKL3Nngrgn+EJ&#10;2GGjSh8UNGFSpZ/cEJxis9V58OS9gYNifen3lcye9Mu4HYD1n0g/uhaTm/sEtoTJBHrJtI2W7iFc&#10;jMvrN+8wSKFhEVXVNRgldLehvjE2xjBt6uzSUloJRnZ3RV+SzWo3m5KmTUWAc8p96CtKS10C7bxz&#10;m9ZiULcEMdLUKmWQ6NGjXNQDBXLYSYFtdkdR8UeEPJIrji0i55mz5gHOYHuYu8AlFIUCpckzzp65&#10;0Lnjzc0t6AtcboRO6OOdu/cBQ+ERUWzOJC1052N09NgJ1C8lqLiUpk6dCQMDP/Ct3Pm+oqdPXsyY&#10;MWfmjDknTp4Gx4goURB8nj6TCeaTk1NRSU4OYLST6Ei0LLlccMSSUxajOwgWwFVjY6NWq4cNPMl7&#10;BiV8+OAxqoqN08G7QPbMcxfAHgIT5ooARgVEK5s2b4NMAD1od/aceXAoAEmIraRZAb3ctXMvJL99&#10;ewZr+zMlJaUACO7de0Bqw4uImM5mXggLjwYzSHPmLkRinumMrMtXUFVjU3OcFp4a4R3V3N4JsLJ7&#10;zwEUIYgRBIeTS1+1GtlwBMWRYOpSQnPYAr8kVZo3N3TO7Pmd3SjEaAsXRIDbpqZm9yGXq7jk4+w5&#10;C8Ijo5pbm4GNV65dQ52oXBosyevpSKtXr2WycSHIhRjhD3aWPALtyMho1I9ZB6xL/J88dRr1bNm6&#10;Xfr6PfQjXgx7OpH9MJvJk37bJMFPpT2d9VyaqqRte8PYcNIPQTgB3yL9ftW79xX65IzeQeE+gdFy&#10;+gle8lkYvvxNIQbizst7ipEGlgNiJEODujB9FRFZQNYwwpraOqnLX0FM997jvwcx0jocXFZ87aAu&#10;EFNRWQ0DgxrFJySdv3Dp+YtXwMFr129AwzpDDAIlYMGF81mdq/oKYu6hHoTrCLukmcqdj9GRo8eh&#10;oDChS1kw9uvudOX65axrWZeuvX2b7873JaG5PbsPoGmzKRGuHFpx8uKZs+cgxpmz5uzesw/Tb1ho&#10;VEUFXUlxlwFhV0qdICbr8lXkAWNwfDBAa9dsRNy0fv0mcAUbgCiQvQNiYMlOgW9qbk5OSZ02fRZi&#10;tJOnzj56nPf6zdsXL18jz5cQsw+BxpHDx1jbn0mCmPv3ATHE3b59BBMLFkZk7Nx76/a9V6/fvst/&#10;n5q2FLVJEAOXVoqaEaFQze2dAGvw2lB2w8bNwD74bqtWr0G2ZctXXb6SnXX5+tWr7nT58tXLl68U&#10;F8Op/Lchhr9y7QraCg2LvpR1FUKD94fUMWTwglE5SkmB0unTZzoL/n8DYugdC9Jtu0negSn+SlPQ&#10;yLj84iqBAk96HKB9B3CDCuyii34T3Ca4iiqbN+y6MGicQa4M89Vo5SqDTAGfKBEo4/2fWuiV0g9B&#10;DDIgCkAMDMf+3bsC6SANNyW3rBMSk9ssVlbBz4UYwJwUFUsZJOoMMcCYa9dzYGMRkdENjU3M1UJy&#10;MW9r1hcQs64dYjr5Cp0hBtlgMDB7fH3//j3rCyT1Off1bMDWdJ3eaLXZkFlKOI8KyZnuVG1nQiWb&#10;N21D08uXpUsyRLJYbTt37YHHBM7R5cOHjqEGSe/d1NHAl14M40rMzy9AQAHby3/3YeGC8LnzFpSW&#10;lUshSRcvJu/pU/gs02fMLiuvwrwHdEMu+BroyJcQswcu3tEjx1nbn6kzxFgsNiA+vAPYLapC7dja&#10;Hc60Rcum0lI0QQz6Bd1Avw4fOUY1t3cC2Lpo8XJ0AV4MvoK3jJ270fd16zeRv8i6KREawnfCFxT/&#10;tyAGAn7y7Cn4jIiMra2rR01gFSrRwQyiLTayLgRK6N3Jk6fdtTD6X4AY5nTQMwHsTeApfoFx0+Yv&#10;aqOfw2TrLG7TI3cGieQuuPKLa9dsOz/o10QfNWoweamNXnBbFDD1JAli5Eqz7G8MMQjIpWWRjRs3&#10;03oHC5HQSYT98F+gnQgZ2BHSh84QwzTjmxBDDxBMnXniRPcQg5KAGJji7VtfQMycOfOklREpG6gD&#10;Yuw2DmycO38BOm0yJ0BxYT8MZcTjJ05j6v4iUFq/CXpz/twlUt52AsQsDA1H7AAdRSmELXqDCR3c&#10;uXO3tK7JdJHAA6VgxgCgGTNn59y4hSrciUEMOOmERV8QOIePMJMtDVRV14I9dAVtYcIHWoFzcFX4&#10;oYR30lqDuwyoowHYp9XeATHsnAtOFl18mTyDiXTWyvTVDgYwqDnz3HnwL0EMmrp99+6kyVMXLAxj&#10;q/aUAfnu3qN4kEFMKbvxzZWxYxfYOHToiFS/ROh4fHyiBDGoC8OBoBWm+/TZS5QCs6iqvKJqYWhk&#10;B8SgxV2798IaWShdzcyb+nvr9t3fJ02bPmMOeTE0PuKDh4/Aw9x5ofkFhfSd9VSidggg1IaLR0ia&#10;757qQDXVNQvmh8Pn6gZiIqIamxuhAs0tLYjgZsyce/LUGUkfpI6zLX1ITSBQYhBzqnPrEsSgfkAM&#10;DS7kILqOnziFTsERluoBu6DO08/X9GOBUocXI1cm+at0q7eds/F0ezUv3VQHm3QITa22V/kVew5f&#10;mx2+pn9ItI9K66VEkbReqsUeKun3pxPpJZu0uBOP9JMeR+o2/SDEEL1583bBglCgzO7dezFvIAj/&#10;UFiUtmgJZh6jKR6TA1SatEfg6+sIYqZMnvnpUxmNISFtN2S1EMRMnTrz+PGT7kNfEoSekrwYQ3vn&#10;zj0wiQT7R5SEmbNLoPTw4WPUExEeA8PGeEtLG9CACxcvYX4Gb/CK2Y0MszsgBsyuXbsBVnTxwuXO&#10;VaGJsPBIAEdhUTGqAsQ8e/6CeRazdu7cW1lZ3dpiKS0tv3njNi148+LWbTsAMYAkBE1V1TUtrW3F&#10;xZ9Onzq3betOjn6wvRuCMPPfFcyYPgetL1q8FFEckBq2DWObzu4nQpf1OnNNNT1F4S4DApNSIqW3&#10;JyaloTtZWVfYOaJr164DXJCmT5+N+A68QfZI8GJguimpixjg8m/z8+GUTZ4yff+Bw7V1DQ2NLTdv&#10;3YbXg6Y7vBh0bWcGeTFHjnwRKOG42ZwwZcq0Bw8eYaTRwWi6k2gW3JaSj6VNza2v3xRID4WgfkAM&#10;s2QC4qjoWMBcrFZ74dLFh48f7dm7H83B4N2BEoOY1ra21LTFqC0sPPrGzTsNDU0tLW3v3xfu338Q&#10;GoIxgi4BduHFAJ07ezHVVbWAGHQcnXEfAsQUl8ycNS88IhIQg3IOp4Pd2Uh30ADyysorWlotFZVV&#10;iKPhRkGeUv3bt2dMnjyV3f1AX6WqcDY8PBL1F34oJutmncrOuYGRgiSfPH2GdqV3CQDou4TSnemH&#10;ICYZ0MB+wZpuk/MPjl+VcSP7QfHNe+8vXHm2+3D20rXHQnVbhv1m9lfPl6uiZGqtt8pIvo8qyUOd&#10;7KFOZPjSyeA77f9n0g9BDGSNhAn85s1bUCnAPCKm+QtCYcNQlPiEJFgjPBvCckhK4BsbmmKi9VOn&#10;zPr4UbqbtnuIsVltEsScOvWFX9pBYCwpMRWmKEEMCNOU5MV0uxbDIMaBBmHnq1avBW8wLRg/dhAX&#10;bNq8nS1AaAE6mIqg1lBuGDPzYtz1gFpaWuHFwNgwDaJHcNrhDsBJiYyIBSfIP39eGHbAeVurDZBa&#10;V9+wfEU6UAbSQELBqVNmADvWrd0Eibkr/ZJI4E7x7JkLsBYYHjRVuhkafMKLuXHzdkyMDgq9ZPHy&#10;xsYmdxkQmJQSU3p4MbDky5c/QwwUPSyULEGrNcIhghyYMbjOZp5H5ZgMmPsgwhPbsnUbBILiMHKY&#10;HBgA0sXG6cAGIIYK8i5ADKo6+iXEABw7BUqEOFCJ9mXj2fMXhGMnNs6QlLyIeTFXIUDUBtR//uIl&#10;ujZpypTpM2egx2ho7bqNa9ZuRP71GzaziJB+RRqWn5iUiqpwHP6RdFMlmjt9+iy8DMrEAqVZM+d2&#10;Xu+vqa7DoEDmncX18WPpzFnz4cU0tTRxQBiet9q4Xbv3S14nBAI/Dlv0Hf4dAk90B/Vv2bINk+iJ&#10;E4RoHcS8mBgArgQx4AKdqq6pRY9QAxJ0bPXq1QAXyAcydhf7in4EYhQp3kpAjMEDX4OAMga5Ruet&#10;jPRVwVWJkQNQ1HoPlaGXyvgLvfnF7BGU+Is6kZBFbfbU6Dw1sUAcetTAvf5ilnyiLijwUxODmN2d&#10;IAZjhw3r81fERpeuDmJbVVWD8V6zZt2y5Ss2btoMe2huaXX7LxAwKaFgabNdzqK7ThsayHH9FsQ4&#10;HM7r126cPHHm9Wvp/pGuBKHfvHHnzOnzCItY1Rhsx4ULFzMzzzc2NqM9dz6Xq6ys4szpzEuXrnAO&#10;4gR4V9/QdD37xoaNm5avWLl6zbpbt++1WeyIlS5eutzc2kZaIgr3Hzw6c/pcQf6Hzs4CtA0z2+kz&#10;mYRE7CYLVAiPoKK86vSpzNWr1q1YvgoRVvb1m6wtWKwT0+/j3DzMzJDJipWr1q3bmHXpanlZ5bcm&#10;NBTDbOfkhA/viw4cPAw0RCngHWyyprYOzb17W3Dq5NlTJ898+FDoLgNCd6XEHmjIuXHn1OnM950y&#10;QCA52bdOncx8cP8xcQ2bwcgKrnf5BehOds5NoCr1RaD7Qe7Qox5bly1PR+tXr2VjEK9dzzl95ixb&#10;qiBR5+U+Bw8vX752107jSE1cR7bTZ0rh7LDxRuz4+s27nbv2rkxfg9oOHzlRWlaZ9+T5iZOn8ws+&#10;MGukW43BD7r2KDf39Nkzl69eyS94j4Pbtu8ClOzbfxBjAcbQM2ybW9rgwmzbvhOiRNoEHbtxC+jJ&#10;Ahnkc2WevZh59nxd3ednstpaLefPZWF0ED+6D7lomfnMWXixWRabhbwf8uBEi9X+7PlLtLgyfdXS&#10;ZSugGMBfzCWSLmGLuQoT3qtXn3sNcjqdWZcuo36455IXI6VPpeWHDh9FPRDirVu3wB5J5NvUPcSg&#10;XXZJyOlwAWI2emviemkQ7CSyuAYYYaIthTkmWkxxJxgwS/TLkMxboX34PvEylVmmMslUBuSXgqOO&#10;xCr5zyW5IiFUu9dBaoMNkFnS3u6x4GvRfS3K7vJQ+mP64wzus+15OiqUWvpWWcYJSNpnX90Haf5p&#10;P0KJZSeiA52IMrQfkMq6v9C+e4dIqqr9kPTh3rIGvoeQ68v66cvnOr9dy9enqCxR+1f3Z6ed9tPS&#10;hztJhxjRfvu3z0e/QVLOzwVYEWn/cyVsH1ALK8UcRAjHPGLM95hgTKakqVNnXbhwqWMsKL+09yV9&#10;wUy3Obojqo1YkZL0IX1nXhPtfkHufH9IUh4p11cV/Av6BsRQJQTrgJmY+C0ytaGXBpFOMr24uz15&#10;Kb9I33nqj8/+wak/PvsHpzqflSniQ7W77SQuGxwZwhYSHGbdH5NaD/XQvySr1fr8+XNs4XzBM+Wd&#10;Ajy4s2fOI95E1FNYWOTO999O34AYZntkfKIrzrTVj34djUIeD3XCPzrJlPoI3VaOIIa9ds8NMd17&#10;MT3UQ3+GysvLw8LCIiIiNm7cfOzoyaNHT6SkLJ4xY860qbP27zsM/8ad77+dvhUogQhj4MnozRv6&#10;KML8lFE+6sh/evJXLojSreYIVigMpC66e9pDPfRXEqKJqqqqtWvXxsTEzJ07b8qUaVOnTp/HHt2+&#10;cuUqu5Tzf0XrvrXcC4h1IEEQ7/JL7+fm33ua/+BZwePnn1Pusy/Sd57647N/cKrL2cf/VsHHz969&#10;ef+Jo6V8BjHoaA+89NDPIdiOwJ5y+PCh8N27/Ldv3336VNpMDzfTmog70/8B+hbEAGNhhDb2Vh3B&#10;ybtsPL3ohQyyIwGFOqfvPPXHZ//g1B+f/YNTnc7SkhtbfmPQAoiBI9ODMj30UwhQIqFMxxbEM5L2&#10;3fn+26l7iGFGyoxQFJz07DuthQuina5OdCS6E6dT+s5Tf3z2D0798dk/OPXFWSf8F4w3gFOktWy2&#10;LNMDMT30EwggAk2D6XTgS8cOyJ3p/wD9wVrMZ4Jtup8S6PAH/qmJusAGGEnqTg/10M8iCUo6toAY&#10;dpjo/w7KfBfE9FAP9VAP/XvUAzE91EM99BOpB2J6qId66CdSD8T0UA/10E+kHojpoR7qoZ9IPRDT&#10;Qz3UQz+ReiCmh3qoh34i9UBMD/VQD/1E6oGYHuqhHvqJ1AMxPdRDPfQTqQdieqiHeugnUg/E9FAP&#10;9dBPpB6I6aEe6qGfSN+AGOlR5K4ksncj8NIbErrN8V9E0kOxUpfd8vj5HUYL7BcRRCKpvc7t4lDH&#10;/j+NwHi7zrR3iW3oJUSsrz/y1DuJAfn/hBIyHkT6lQiJFfbdXVu3nOBU+7tB3Pr//dTxTD+22P+/&#10;Rd+CGAy8ALFDJEjtg0C/OiSwX6oWXU4maHbqi+EBSYX+YeTWc3dX8I8OYhdd5kgW7b1iOX4GUcX0&#10;o04uG70LjHcKIieCBXozmOhgLx5x0Y/z0G8lukv87YgkIwmvXSOYtJguMG2hyYkOkigF+o4vop1+&#10;cdoJlXJ8v2xFwcnzdoGHYCAsdwPfXZoRxMpDmBzv4gWefvzF6bRDvKw2jEL729eIJL7AvIN+99GF&#10;JgUn5fne9nixjRNt9Kpo3u5yWaX66Ocv/m/QtyCGBAxRsF8aIo0g9JU+OxLL5x6Az9Jm0ms//Y+i&#10;9m7QJ+sFfcM/lLijj+6Pn0DUBIMYO++ACvP06izgjECWZ2Wv0oIdOHnCO3eJvydJEqKEHjkpAaVp&#10;v/04eQDoJqSK/nIwP3o7P++yCzaW6fuIfu2UHD2gBFO2jgH6biLWBKAUB0+GB1KhOohbAo52p8Nd&#10;ISrHEQJ+OiydJA35XkLn0BD9aKoTEGNhhZHQ1v8J+uZaDERIL6Ik8IYskBjadAAO03Tm1HR5k7p0&#10;+gcG4O9ErE/0O1/0wQgdt9FrjEkrcAz7P0kzyEgwr8PcHJjQMb06ORiQw+Gw8q42XrQ66P1psCny&#10;Lf+WBLbcnEmyInyBWcKi2mCfdNZ9GgetQFJ2wMa7rFZOtPOizfkDXgx8CSriIHFIQ8b083uLg0Sg&#10;tYO3QLYQtUMQ6Ie0HUAZ1g13ncBCqV7GsIXBJWsKECm2ftaRf0XAFysv2olbFEZVhLLsxbX/J6h7&#10;iHFLkuELi4yYjy7ST1e32LiqhubSmsZPtQ2f6hprWqwQH40GhEZDjKI07P80YsyTzsBN4Cycs77N&#10;Vt/maLTYGy22xjZ7Q6u9qc1usTt+koWzoIEUv6KqZsR4rSl1s9UOXKOfE1y77dTISbrTF25Jb2X8&#10;O0MMszlIEvaKEIbiH+w1c1xVY9snKAxL1U2trYBPdIZe0u5otlrDtesnTU8rq2pg1XwX3bz7csR4&#10;47JVe4E1rFmYK6D/RyQDxBbFDRmnR/4WcefeUzZ7Mjwh/rEBOaDXLXaONMFib4AaWOytVidHkSqa&#10;bSGYaCd3nd+gstqG4RNiw6LWNbZY6Nd1qAE05HCf/m+n7iGGqYskCGg554BLyYufalt3HL0xLTRd&#10;OSw2QBXur4rsrYkePSnZnLapttFGvzLqnlJorP5RBJ6ZhVOfMZk6rtx+8tvMxeOnb/h1xpoJM1dM&#10;nLFy4rT0STNWbNp+6Sf9+g0vMSA6P5bX+CvD58SssTowVeKfT1t1xF8VeuDENZIutBnbvyVJY8+E&#10;6HTY7fDF6lvtF3LeRJj3Bo9JClBGByiieqsjg8eaF+o35z4v4O3ksNW32n6dvUoz3Pyp/PNPqf5L&#10;ysp+7quIjDNvpgUzapZFMT9GHOSbuuZ4b/Ws6zcfE0xQNERKTPWxCBVOy+ZdpyZMXz5+xroJs1eN&#10;n7Fs2oL1CUsPn895WW/jaEpl1Pl1md3Sx+o6P/Xc8VPS6potmMCYqJB+kjv8t6NvBkrtUkCUipDV&#10;9fx95cQ56XJFbEBQ7Kgpi+fFbo7Qb52xYMOQsYa+mt8r61oYxKAUFfkHQoyDNuAbUbnIH8184KeI&#10;7R+SMnryqjFTlo6ZtOTXycsmTF60eftF+Gs/gwAlNBcKzpKyWplSNzN2s4Ugxupw8cmrTvmo4vad&#10;yKGmpfS3JMYaNuRNYKqvbbYZl+7rE6L1V+gHj06bHbo5Sr9tftTW0ZOWBGjmHz93k1ZNHVyDxTFm&#10;zjrlyITSih+AmEvZr+QKfYx5hxti3AGOdPJ7CFntnEtMWZ3ppw69ejO3HWJg/+1LASKHACdhyW7w&#10;P2jsitFTlw+fnNpvSJyfKs5HEZu08iz7qRyKXt1VfpuKq+t91GFjpyyraUbUK80lOPxPs5J/l74N&#10;MSR0J4J/q53P/9g4ZpopQBMxaHzKqWvPSxstzU7BKgpNVvvHqoaDp7PrWxxOWjfDyNCVJjJVdy1d&#10;qOth9t0t8m+RdLpTjn+Rv526luv43n6UbYjAtp02BI+IyoUj5/J8A02zozaUNlirmizVTZaqBktd&#10;U1urhdbqpDKskvaavqDPR7BHuvqNTJ2Ow0Ro9ZJBTJ230jw9dnubA7rIICb9rFxl2nviZieIcZfr&#10;KP55l5H0HQmtdzCA1H7Mfcb90X6oPQN9sg8Geu7j0jF8+yaxbNiATbHF5jQu2u0bHNtnUNyG7RdK&#10;yptxxM7zbQ6hvK7t0q1nLwpKEEu5nPZ6q330vFWKUaZPFXWsGpC7QXx0Tozc7FzMeeWtNETHZ9Aa&#10;D45QnMPY/U4iWVMgmrT6oq8q+sqtJxR+wnFhGkCN0DKkwyGKiUsP+gdqdx69Wd7YVtrY+rykOiZl&#10;j59a2zdE+6msBtWw9WY3h0idxAWSjhHEyNURY6Ysr+6AGBKkO6M7ExFr+Av6or72PSohlfp87jPh&#10;2JdcfJFTOivR5/1OGSTqnK3z2S+Ofyd9cy2GVQx1sbQ4BX3acT+FfvgEXX5JlYMuA9BFAPiStEBD&#10;HzQ4bJXAwgswDbG6ict5+C7z0v2LVx6+L6luc/JO+pUUDlFIS3Pb+6Kaqjpbc6vzzv03py7dLyz+&#10;JArWmgZLQWkd4t4WK/fgcfHxs3fvPHxnsyNod7bx3LP3H89k3c+68rysqpUXbBh9CmkRFYvONofz&#10;fVn9patPz565d+vOq5pGC8e5eLvVxdtEwV7f0pxfUl/TZG+2cc/zP529kpt57dG7ilo4XU4R9svW&#10;BKirbvulLovC8cxHPirtXN1WuG8iz4m0GEjACYXCxFXb0Pb+Y11BWU0bb7PzLexqj+tjeXN+YUN9&#10;kw2qCaE4Ob7ZYn/4quj4lZsnLt978abCZuEcjjbMeRzH1za1ZT94dizr1rns+2XVTQ7Ihxxuh+C0&#10;lJRX+yiMM6N3khdDUhOTVp30ViXvO35bFK0i+kbaL7TZ7Xlvio9dzDl//e7LN++t7OcFOYdFdFCE&#10;8upjY35lY6vTWVRnOZv95HTW/dvPC+o5p93lEPhGgQcbLZyzxcoLRbVt5+8+OXrx/oXrbz+UtnJ8&#10;K8+3OpzOVidXUF6RefUeTt149K6x1Y5+oSAa+SNLhrnxyCEcvZLnozH11cSevXAfyGKDPBBxs8v/&#10;9Icu0IIG5+LEOot97LwlqhGJnyrqUZAWcThkF1ptzgcv0MGHxy/dvve8uJEQCs5RM1QFE1/WtSf+&#10;qrBI0+Zmu/CqoOLMpfsnzt9+WVBhsXFOzHVOJzHhpIvMTVbu0bPiM2dvXbx0/9W7slY7z9nZ1Wco&#10;Fnkxp/2V+qs3n0DhWb8wORLyMuWHm+JKWLpProw7cv6RE9rNc+DrQ2W9etximcZ4/e4zODGi0AZb&#10;aONdVa32G7kvj166dfba46LSRvDhcDTxvBWBd3FVnVyzYNTUldXNNnYvAnwfoc1mraisy8p+cuzC&#10;/St3X1Q3tHB2i2hvczqdxSVN70saWhwYbARWDrIuB9fc5nxZUv+putHpaOUdtlaH8L686VJ23pnM&#10;m9k386obrXRNDNphtbnE1qY2C9S+oqEVR9/mN5w8//DU5UcfShrtHHy3BjJe6qiFE2otdmd+cd25&#10;6/dPX7p768GbhuZWDIrI251iS4vdmfe07Nylu6ez7jx9U2l1QBttDkcjuXsM0P9AETpT9xDD6iBp&#10;o4eviqtUI5L8VbozFx4TZ8zSJIOjhohdBzJKa8Po5407r0ZOXCJTm/yDdP7qCP+QiPg1R6usnAUG&#10;w7suXHnYWxmmTToWFrOtr2I+FGXTthMIi1duPOenDl+x+eKEaSkBitDe6jh/VfTcyK35n1pM8LcH&#10;ze0bFN1HoQ8ZnXj5Vq4dOoQ/zlFRUxsWt0qumRegNvQLMsuVcwPHxly6/7pNRGNOVLtl32U/VeyK&#10;DRcWxq3yV8/srY7orV7Yf+jCHYcv2ohrGDbhJHoFJWPACmMHxDz0UcfNiF1twagJVk6wYMYjzeUb&#10;nULL05cFwUMXDgheeOZynl2gll6/L+s3KGLQmJinb/LtziYAz+Ubr8ZOSusbaAxQx/YLMiiU4Y8f&#10;vRChQXZu/9nHqjFJ3gqDf8himSoxIMSwbk9Okw3KCqk6issIYmZF7bIQIlOYn7T6uLcyZf+JW6Jg&#10;cfGQtetxfumEuctlCm3v4EXywCRfhTnCeOBjHYCD7u6oqGrrExI2fHLSjv1XFEOi+6gi+qki/ZVh&#10;8+K2fKxuQSPIZeVsTa22TTuy+oaE+4dM6TtoTl9FzPjfEyy2NkGw1zXaUlce6a+O6Tcgsa9K1zsw&#10;5tfJS+8/KuYw5qReEFc3hFPQBaiHQxB+D1/lqTDqE/bZAbn0u1WMSC0JsyFhJ4/eIbkabPZx85ao&#10;h6eUljegMMTpcPD3Hr6dODOpt3JOH9W8PkHz/FRzJ85YevcRZIsu2lEagZKXwjwtfHds4uE+6rD+&#10;QeEBqtAA5cIww4ay+harE5ZlcziFS1dzh4/T+amj+wbr/JVRcvXCabGri2oarQ4bTQMuIXX1SX+F&#10;ERBDPSOLIaihf9J+BjHL9srVsYfPPyBlcYqAy7elDZoxy/3VhtuP3rEZB3MqfyH75aAxaX0V+n5w&#10;cJRxA1Xa1evOtlqddo7msJKqel9V6OgpKxAoCaJdwPTT5ti8+1q/4GQfTZzfYL2XSq8ckXb8Qh7Q&#10;r9XiiIhe2U8x58DxbETvBAZAZF7cdvCcT8istRknoIVtrfbQuLU+wVE+QTF9gqL8NaH9R0UczLrX&#10;StpI110yrz73VUSblh6Kjd/eTxXbLySyj2Zhf0V0+trjVh7eGQ0GVOljdWuEbm+AMtZPPb9/cHg/&#10;RfiqdcftTler4Hjw/sOE0HS4eAHB4b7BMb5KXUTMjuo6q52Db0e2IrpsIl0r/Nc48y2IAcTTVQ5o&#10;xNmrT3yVUYrhxmbgNd06IN1CRaCCSQueqgOKQYrD23nXw+fFqmGGfiHm1TuzbuW9O3bh1vBJib0H&#10;6TKO3rIKQGn+dPYTb5XOLyghcHDssrUnT1x68vhFoVVwLdlyGYIOCImdOHfJmetPzt/OHzF9jY/a&#10;NGzy8sARuo37sq7ff79ozUWvwIRxM1IrG1rRuMPZ+qqgcOq81E37L+c8KLh2+515+QH/QRGaseaa&#10;FpyFt+Nav/+GTJ3SJyRlyG/a7ceuZj8s2LY3u19InGJIXN7zj2RvtNAEj+griFHFTVyw5nlh5YvC&#10;sieF5bkfyl8XlXNOCy82wU3asedm7wH6X6esK6lqa7bxc+PW+AQbdhy8YeUtdr711qP3/Yck+mlM&#10;8cmnrtwhxg4evFP2qcrO2bLvPeszJEo1Rrf94K0bDwv3nbyvHGH0C9Kev/YS8oRUi0qrfQLNHRAD&#10;thLXAGIkL8bGc3xhaeOwKam9gxckLz9048H7zGuvp4Vu9lXHJKw8aIX/xPFl1faAYL2PyqwcZEpb&#10;fvj2/fzMC88nzljrr4pbtv6MzeFCanEIK9Yf7x0YNWRMwo6DF+88fnsl59WhY7fgYVnanEmphwOU&#10;odPmrb2QlX/j/ruEpcf7BGuH/55a0Wgnhw3eHxNVFyJsIeB3NVucfYZE+miMOXfzoTDS1R4KBZEw&#10;bMwR4gDucGsAMRb7uLnLADHwYgDB0K+Hr4qDxsT11oSZ0w5fu/Eq6+ZLQ9qBPupI9RDd/SclwC+4&#10;sedzXvVSJ3mrdYqR+vW7Lt/OfX/k7IPxMxZ7a6K0i/c0Y5anWI3buedSZOyWExef3s0rPHXp6cR5&#10;62Xq0JTVe23girT3+yBGFbPnxK26Nq6q3pH7tiIqaa+/wvDbtMUNwBayAiH3WdHAwTGKoYZNO67f&#10;f/z+6OmHw39dEqCJ3n/mDpwWTHWl1fUAuDFuiIEj4Mo4cK13UNSg8YsOX7yfnftm/a4rAwfr+w8P&#10;f1JUauOFwydu9VNGzg/fDoMireBEi9M1fl5SwLDIh69K7XbRYnGOm25YuePc5buv0bXlG8/7BUcp&#10;x0S/KalCEQSgx6++9lYl+gZHDfo1btvBm9m5b3cduRE0dEnvAbpbDwvsdPegWFXXNmnBerlCN2n+&#10;pmOX8m4+zD+ZmXftxluLUyisrh8xPRGzbPzSY9fvv8rMeTktbLvPwPD4xTvbOGmGgXygBrY/AzHs&#10;ZxLRQ9GVcfCanzLqt3kr4VfDW4bIgJNHjl1MX3d45cYzyzdmpm84UVhciexoPiJ+h7ciau2u25hs&#10;MR/yTufDB6UDBqRNmbS2tQkA6Dh59Z48OMZHHbXz8JU2J3xiTI1Wu8u5bPs5b3VU4MjI18VVbbwT&#10;s+2pnGdemoUyTfjWg5etqMvFVTRZhkxa1UcT8eJNOXhxCtaWNltFXQt54BgKwdVi4WYuWNN3oPbW&#10;jXyoosPl3HQwS6Y2DBhiuvXkbRvcAEFocYj6tIO+iqhN2y8wbwyKAkl9DTF6P1Vy4NDEgcN1/Uaa&#10;+o4wDx6nq61FJOiw8Tycjlmhm/qotSs2Zx06+8gvZOGM2K2ITASnA8Hd5FmrZQpDyvozrVxbm9gM&#10;z95JvoMTLsykWYt7q+KOnrqPQ6KAXnIXs54FDNSFx2y1Ar4EV1FZrY+CIIauKFEkKCauOQZnZ9+x&#10;W7BAOCAbtl7z759mMO3moGtiM1T2U2WTZqROMzqx8GMtXPnSWrtPUJyXQrd41VngFAvaXDkP3vtp&#10;wkdPS2yw2hFAPnpZ0n8w3Cv9nQdFMDfYEqYKCBFzZl5eycAg86AJxneV1Ra482Jznd05H8MaFHbo&#10;4gP6kXMn3dkh6UlncrqsUBuBEz+WN/loQgcMT3pbWCnyVugQwCU39/3ajcdXbTq5YvPJ5ZuOX7z6&#10;CDMzAKjRZh8/Z6VqeBoghuJoKz/PuNVLHW5YerjJithMaOVc9XY+Mf2QX2DMnMgtjQiFRMe560+9&#10;gmICBs3fe/IqtSrSb5Vieus9zNw7SP+upMHpQsBor6trs1iBWhQ1EQ9PypXBhnHjDZyFlkS+F2KU&#10;ukHjTL/PThn5+/KBIxL8B+nmRG5/+6HCAcQXeLvDFRa91U8VuXH/hTaxjXM1tYnc5Uf53sFhExam&#10;V7UgwHSWVjb4K2LGTV5Wg1naZf9U2RIyLjkgJPpu3gcH+Z3QGnHLtsx+mvlpa47BkflQWjd4dHw/&#10;lam0Ck6gIDoceW/K+w6OmLpgFQWsCBg5rqi63uqCKCwkXc4VHrWjX2DEmdMP6O5Ml+1U9jMvVRzk&#10;c/HmI8zfVrjPArd4zWW/wOSUlcdsLie8uK17LsO/Gz9ryYfKZqgEonRypMmz53fuvtBPYYyK2Y/5&#10;RgC+8Y6SaqtynE49OvRNUYV78YmJ6XvoX0PM7iPZPoqoyaFr22AQrjZMRZiWZsyPD1DOkSsi5Uqj&#10;nzL27v23yF5S2RjyW7I8KOpDrQ1WiyqQEyoSMjo9ZJTpzYeP8DQvXMvzVWoHj11UWtUMxUDXXBgq&#10;F5+++QK8slhzBjSegi+RLyxr9A1aoBpjzi+uoSjTBcfTMU+/qa8iPPdhKZsYHZAKQnQE5G8/VD97&#10;VZb7piw8/qhPoOngiRvMzeK37L/sqzAsCN9Jt67BixQtGIBdJ274aiKNaRkOADILlrqFmIFDF01b&#10;sHlG+NpJoWsnh29aELO2rhZj4UKriEmeFXxSDA/rP8QwcFhKn6GRbz/VCpg+HHz+2+qBmnj1CFN+&#10;aS3QE6Ev1J3cPFF89a5s4GCDckxyaZMD7j4n2KAwn+pbA0cmDPvVXFGJ0N2V/6lGzgKlThBzVK5M&#10;OHjiJvC9zeoEP/KghOsPiq1QNcEOx6bR6Qo17/VTGS5de4Jel1Rb/AdF9R0Rm/u2lHDXBaUVizA0&#10;49MCgsMqmy12l7huRyb8/zDTLgetzmPoCANpfUK0Z+y+5KvQGVeebCSf3mnhHPAYD17Kk4VoDcv2&#10;I3wXeEu3sRK7G46WigAxfsERA0akvi2s5gW6awon9hy+EKCY4qcO9QnSytRxycv2kU2LPIOYdNXw&#10;xQQxvFhY2uw3NK73cN3T91BlmF4DZmWry/KuvKZviEE5LPFVYaVTFLKyXyAQGDclvrahjRQdoyIK&#10;iHynhK3vE5h05OgDADoZGwevzlLd6Hj2uuT5m/Ls+5X9BqcEjdTXNNA4fjfEGBVD4odPMAYoo2TK&#10;SMXoxHvPSh3MPQPElFW2BI+M7zc0paASvgVmYGcLJ3xqsQ+etqrfcENBWS3c5LKqegYxywExTpHL&#10;vpvvrdROjNpaY3da4ELTD8a7Hr4o6T8kYdTUTRCwVXBGmrfBVzp08j7wVOCcGzOyAwIjDh6+Rdc7&#10;OaAn5iO+0eF8VVT57G3J41cV8UszfZVxOw9cBySAscxrL3yV+qnzl2O06f5lsdnpasnMeSZX6+bF&#10;boIX02x3Tp23LkBpPHDqFjmTos0lwpfH5MHZeMf0sOWygSlnrhUiFoKUoNfNois86Qjiqcs3X7Xf&#10;KIBSZDH/kv4wUKLIWjyV9dhfFRs0JrkVkTAtlGHrqqhtKyq3viiyjJy+0VtlvvvgLdorKKnqP8wk&#10;V0f2HzQvIDi6T3B43+BQeGsemkhZ8MycR0+ByFlXXvgNSJgTsZ0umABfmBcNMEjffMVPqd2y6xIB&#10;GAVgruoqu586auikFQ3NrE0giuiKS93aJzDy0YNygXc6OO5TRWPqygOKEUZ/DYLGuQHDF3oEmzw1&#10;8duOXYHFIA7asv+6n8K0au1NNmfCjhDsWU5eee6lCotL20o4SrEuZPY1xMTNiN7UygP/eMxWbYII&#10;W3HydmSkMF50wCHacfi6r0orUySt33PLSjzbYU05d9/4qeJ/m7kEeIYayZlD9VBop+tu7jv/EKOX&#10;xiAP0vmpY3prIKJY+PZeQdG9g+d9+FgBY/9QXi1X6mdF7bQiJqbrTELSmqM+yvgDgBiXUN3QNnxK&#10;0i/BWq8QbcAgXYAm1l8dK1dr/ULifdQxR05dg5NVVmvzD44ZMimhCv4T9YpMuazOMmxiuq8yphph&#10;jOgypGbINcb1+6/CNGlthq2u0bq9y5GyfKdMqZMHxfsrohSKWJUmrE9gdF9NvFwRMTt6CSYEiEQS&#10;VReiKAlSdLrqm+xyzUK/kIR7T4rBP5oAKDS0WIoqmvLLrElrL3mrjAnLjhJfLq7Z6vh19hr1sKUl&#10;CJScfO6rCllQzKhpS2vrrCKP+ACwi5m+pU20DRq3JEBpuvXoJQpevvKqj8IcGbsV0STrI5Ow4Epe&#10;dbxP/6QdGVc4+Iw2x+0H+XOjkyFkP838voMX+A4xeAQn9R9tKMek9N0QI1MaD555gem8poFLXnHY&#10;XxU+c+HGZlrJo3XYZ2+KEKx5DkzorUxVAoxU0f1UYQGaCISuvoGheS8+Qck/Vtf6qOiKEgIlNHrw&#10;+A1vjd4j2OAbHNY7OCIgKLR3cKR/sN4rMClo9Lq2VptNaM3MfuanNM2JXgsogSvx64w1ysH6TyUt&#10;IjrmtFU1WFZuPhk0Ps0nKCpg0JzeQ6NkIfGewdr1hy7BRtCBzGtvfBVmU9o+aB0zMXif9pt5r30G&#10;R02atxI2XN/iGDlxRW9l2uuieqAeyQ5qgYGCjlmso+cv/UWdzHRsXt/gsD5BMb5B0QFBcQGKsJ17&#10;r5DO0E3brd959+C3IYbkjNnK+eRtab8QuCrae4+KSKgEPTAz8jSa2hyTFq7w0OjuPHyBwCy/qFo1&#10;Mk02MHrb7msZB7J378/Zsy8n48D1rQevZBzIKimpRfELV576KnVRSXusFLo3UjQDV9IlLt+aKQta&#10;uHnfGXj1BChOoaK81TcobPC0pTWIhAhJ4XO7IlN2+il09/Iq7GJrVVPDlPmrfRX6KfNW7Tl48/qd&#10;Z9mP34Sbj/gHmvYdvoy2ILCNBy/KNBGrt2VxdPc3nHZ4nvzJS69kai0gBoABT4oQrjuImRWzwUaz&#10;I0AfgRqzFcSwLOYBXDVbuHkRmzGQUK+ZURltiLKdrbzQcPnxW88g84SZyzmIkGpm/hxKiK77T9/3&#10;DokPDNFnHLi/Y9+tbfuu7th/LeNgzrZ917cfvFbVCEBzvi+vgmdOXgxBDBkngxgzeTEusbrJOnbq&#10;IriBaWsvb953a8fBnB0Hru4+eD3jQM7mAzeevHoDTSqr5ALU5hG/L61DTEjmAj4sFfUtwyel+KlC&#10;a5oR67mMSXs9leZ1+y7TJELdwQe4dQKhlqw5jDljUtTObYezd+27mLH/Ysa+69v2ZmccvHru2h14&#10;RLBGpiNdiXoIbeZcdqcwfHqql9K4fMMFeEnk8SAc5jFDwXjENdvP+Cmj45cdp7DQZW+22n+dvVY9&#10;bFlJRR3CmUevyuXqqPGTl9VVWtB9zNn0nCPPwbcfPG55gDL+bt5r6Mu16y/9lDERuvUYIDZFIM7D&#10;3CQalu7zHxiPiapNtFy9+7r/YMQj8aaUQ2cu3bvx8PnVBwXKEcmDR5mrazDyHRBj+FdrMdoDZx8i&#10;6HZwzqJP9UPHJAYE6hB4okUoxcv35f2HxfkPSdy0/8HOvecyDlzZciBr2+ELW/Zf2rnvWklJPXpQ&#10;XF0nV4eOnrq8psnKCa4TZ+/JNNoR0zfs3nN/14GsjEPnM6AGe2/v3nfryLFsa7Od41vKmxxBo1cq&#10;RsTmf6p8+PiD/yDjfO02imQER7PdMU+3Xq6OHzNtw/Z92Vfv5OY8fJW69pyfImLn/ixoHPpyJvsZ&#10;pq6lm44BTWhoUdLmuvMk33dIxOR5a4E79c0OaIiPyvyipBrRFvlkNK4Oh4uva+UmTF/hrzYmrDqS&#10;ceji7n05u/Zf33H4Evq1Y//Vx0+KacrEMGNcu1eErtQ9xDCVQ8LIORss3Myo9d4q7ZSwNbUtNrhd&#10;cOVcYpvIO1parZPnpXlqom88fg0eK6paR09I89fE5hXUMMXCsMH3dgJ5ocbw9+BXnLuW6xUUF5m0&#10;m8zH1QTnAK4i3OtlW8/LNWHbDmSSvtPlZL6yslUeFBoCiGkFBAE17YCYqLSd8ADv5pXaXc23H7/2&#10;U+qG/L6qsrqFlvtFp1XgE1cc7z0w9tDhS3S90MVv3n9dpglbnnHGRlZuI4gR+ZNZr3zUcbrUbaiX&#10;gjkyQtplGAMIEY6ey/VRGhdGb4UT63Q6BAGhK11RJewT2jDMALzt+276KyPmRO3+dcY6+YDIfcfu&#10;2hDi843vPlQPCDKpRiW/K2sSXcCmZlFoRdNQx/cldZphpqChxiK6eIqAC+4RWKYr4nZal4AbYSkq&#10;r4aop8dua6ObS23oQsqqU2Bm74nbGAyEewuj1gQoY09nPaXwEvWLrSjFC0ILrZNhUCzl1Xa/YIgl&#10;pQ5zNfUKGNcKiBk0OQ0SrmsiiNm4/QJMKybhEFwaoJJLsCDOcNGylHPXoSsyVWxUyqEWTuSciIsd&#10;HD0rCINjF7iITSgsphg2AZH0mKpJdoktfC0g++5MX3XUgBFpiCnoOjvdHNAAUeBj/fbT/spYQIxA&#10;y8bWBptjzNzVihEpHyvqnAJfWNE8cKhuQIjh1dtq8lxJzQh5P1Q1BwyKU44yvi2qhLOVdeWpnyZ2&#10;9CRzTV0bYT9d2bW22O2/hab7DdSdvvQILpAxGSFzctKmk5wTnYSguIoGTjlUN3SUrrYG4RUgXFi0&#10;6qy/Kjrrdh7mGXZTDPCMyYzwBvYmmpcelKt0hy7cg0biLDB4+eojvoq4ebqD0AoYQkWtdcivi/2D&#10;Ep8W1DnFZvjI5D2TW0gPxdOExTs+Vtb5qhaOmbKkptEK9br36B1czjGzNtfW2TGFcEyjSKDkF7FL&#10;pYK1zcmnrjzlp4zYferB0i0nfdWxpy4/wUyFOeDFm+IBgyL6DU8srmjjnRg4C9y8ddvP9VUs2Lvv&#10;IqG5izud/UymCV+y8TCslXRbsGPQbj754DNEP2neKggWTtikBYtl6ugjFx/APEUOs28bxVOiFbH9&#10;vLC1vQNjj5/PpSlWBG9QbIyCAwME1UdxjCe5GLB5Gm60gR7TVMBEJ0HIZ+oeYlhGSJxuPkEgfSu3&#10;sPfQOHlw1Jy4ta+Lq+kWDFofEmtbuN/mrPVWGq4/ysf8DmU0JwECIiOSD7fZKDR3gHcR8TxXXV/H&#10;wQsRhXPX8rw02qjEfRQ/oOfkotGt3Cu2ZPmponfsv0AYCd4FV2Wl1UcTOXjq8rpWGDZdNQY30Yt2&#10;+Cv093LLOJc1K+elf6Bx3OwN9S02hwOS5opqW4dOWSIP1O89cg0qhfHbuueOjzp6xY5MwBNJGxO1&#10;Szh5+YWvKlqfsgPD6jYLQmX2SZdShSPnHvsqDfNjtlhEMlCbyEn9hdogtHbw/NPXFQMHRw/61fSk&#10;oCrn3pv+IdGKUeZXhWUOhP8O19yFG6FDKRvOWJ0YcFpDoyU9QbRw4sz5S/zV4UvWnWgGw3QLB2dz&#10;8k0We20LUBIMcEWltd4q3YzYLW10OcEKu05NP+2j0u09eZPUX3Tt2HsF8+qvs5eVYE7EHA8VpnV1&#10;saC8FjEFBh8Q4xsSPXRSEgIWmAV1TeAq69oGTV4uU0fWN1Gg9PhViXKIvrcm7u7Ljy1gQ+DgZkBt&#10;kPLelvYfGttvmCnnYTEMAh1H5dCkmmqAGNwyaJYz91XxrYev332gRXcmNdIyyI+IeQPV9S0TZizy&#10;CTIOmbjo0o2niDIcot0mWC2imL79rFwZkyhBjMjVWx2j561WjEz6VFEPaTXbnDHxu/xUcUnLTzVb&#10;UMbqcHJtnLh43Vk/TXi4eTOt3vJ8VvYLRFu91VEHj962211AMTsvXMx54R9i6hcU96m6GZATp9vj&#10;F5i4Zl8W+Ae02QXxxOVnAYP0mtGGqgbM7mTei9PPYZ64RBAjMQ5NhNglXYHrRBDjo9IevnAXwscR&#10;KP7Ltx8HDtP6BsU/zHuPsbUI4ry4Db5BhrjkfY0WKy2VQIz0bDVfU9NCZig6P1bX+6kWjJuSVtuI&#10;GUWsrG0e/GuiTBm552ROK82xtOoG+bdYHI1tFshRoEcmuftPin0HxkyYs2PkjBXqEYbKBkyZ5EQ+&#10;zn0fGKwdOCKpqhmj5rQ7uXqLOH7Wal9lxM4DV0g6Lv7M9Ze+qqjlG05grGmAyBt2EMQM1k+et1zA&#10;9Ma79pzM9gmKnjBnJVCSXVtndwQgLhNd2w5c9ldGjpm+rLAGMxJwFacw3QlV1Y12uoBA68x377+5&#10;d/9NdTW8BEzLEA8Sm6epxS/oW16MtIHhYQ4QWu3i8fOP+gyKkGsiBg6LjTLt2rTryqa9lxJWZ/Yd&#10;kuoTmHDjYT7vsjh569MXZcohBn+NaXbEplOXn+U8Lt5/+sGs0FV7Dl+1AekE14WreXJVdGzCHvRT&#10;ctHxBzBbufkCBjtj3wU6jjHmATEWf3XY8MlL6lsw6oSW0IO4tO19FLH3c0sxvReU1A3QGP3UMebl&#10;B24/Lj1x6cnvESs81DFeCtPOo9moGlPItj23/FURq3ZkAp7Ihpl3fjoLgW6EMXk7RoPBCnraAcDw&#10;IoWj5+9jclOOSomIPxgRvyvClBFp3Blt3n7g5E2Mc0OTfdb8lf00C7cfvNImiDbeaVyaIQuKmh29&#10;oq7FDlTIewMrRZAcY0g7cOVGwc077zduPpb77K2V4+8+fuMfFIMUbso4n/Mq51FxxpGc3+csvXD9&#10;gcReSWmtnyJ2dswmK0EM/AU+Nf2EnyrywMls5j8KZbUto2alwx8ZNTXlUOaDm3klRy88iE7cHmNO&#10;J3t3usqrHAFBkSN+T6xvouVsshZerKptGzZpiZ8qrKHRgjqbHNyajPP+QRHKsXGbDmbdyCvOzH6e&#10;tnZvs4NvtPOJqw7D9VOO1q/JyLz5qPDKrVerN5z47fdYTAVI0Lg5MRv6hoSnrTrAlgMhO4S6wG6y&#10;S/qGr07xxZuKsVNSfJXh/ULipoWuWbXl0rb9l1duuTZ86nqZOj5x8RF2EVBotDrGz4UJmUsr6qHh&#10;mChfFNQO/jWhtzrakHQYort684059cgAddyIMQlv8qswpnAfLt144anUY25XDI3bsOPynbxPu07c&#10;DR6/yE+RuGTNcatgs4u27buz+ih1ihGL9566d+PxB/izgaPjvYMNijGmsnpaCcTktiT9bG9l6OVb&#10;eXDTGLLg3+3FwG+DviUs2+OvCj92/g6DGACsA4AVadqCaC42+UAb3EjYfH5Jn6HhPproubFbz15/&#10;cfvZpz3Hr88OW5yx7yzk4xDFYkCMes7YqYm1TRb0Gp3ce/yGf3CEX1BUyppT1+4X5Tz4uGH75QnT&#10;kx69LELLAl2bc7Q6+NETlgUEJvorzAmLDgDucRwIWFllCRme5KM0xaYev3o//0LOszmxW2Qao0yl&#10;3bb/GgIx9CHz2guM9Yr1x1HG3R3BeefJ+4BB0VPnL6JYXxCrW+1Twjb4qiImzks/fP7hnaele45e&#10;23P4GtzC4pqmUVOT/DQRI6cn7zl1+3Zu2elLL7RJB4xJ6+mKMrwaju+njuyvib185T6Gkaz4s+hI&#10;Up3pDyAGHyjDCU66rQ9Im/uqNNywPXikvq8ywn9gBPTeLzii75C4IWONuS/eC5jsRYedE289LJww&#10;Y3Hf4Gg/ZViAOqq3KmbQSPOpc4+hHKCrN3JVwyOSFu8ifWTRFLiDN7FpV6ZmROiBIxeIVZwTxKrq&#10;luCRoZPnpjW10iIjcuI/ZeWO4GFRuU9LICV4dAePPwgZqw0Imh+giOinCZ24MG3VnqvKkcbDZ65D&#10;EECZvYevBQ0P3bznDFSEWsQh0XUhOw9tpS3bLolFOsP6iz8eEHM2617Q8EjFUINimC5opFk91Kwe&#10;gm3MknWHrLy4Y3dm8NCFC6PSm+28zclxTmt5XfPwyWYUOXLsOqIJC2d/8LRwyvyVvQdF+ASG91VF&#10;DdTMzr6Vi/kNJnTmyqtRk1IHhsQGKKMC6FHSqOCxxtuPXlL3RL6svEYzNDratMHqgPdBPsPKjcfV&#10;IyKPnrlOa2CCAxHXq4+VMyNXBA7DEMxD8tfMV42MSFuxA74W5FRRbQ0ZFTl5dkJDs5UJGRIWautb&#10;fp+dEjRiYWMTUBHRPjTYtftYTsiEGL/gWb6quQEhYUHjQlvosrjY0GZbsv6YcqQ2QBOO6ddfOW9g&#10;8IJJ040APagsOhhu3BI4NHzZusNsaYaGkLnM1BKBHGZ7hH+cq7Siafm6U8GjkwcE6/oERvceGO0f&#10;GNMnxKgYGb9h2ykqKriarfbZUYvG/GYqr6yn+YxDXOp69q58RviKwKGRvVULAtQLB4ZEzZiz6u3r&#10;Slrwp0iNu3zziXJUXPyyIykrjygHh/UNCvVVLuw7SK9LPFLbarGLbRj96obmKMO6wEFmX024v3rO&#10;wCGhSauP/xa2evjkuI+VDTTbi+LajSdChi/MuZtHsz2mY0kPSGiQHHrgWrpmT/Cw8Myse+gViVKA&#10;1yDey3uvGR0Z8qvxeX6JU7BZnY7beR8mzFrRJzjKR7nAT7Owd9C8IWMjTp2/jWDWzjs/1TSoRoRO&#10;XZhc18Lu5XTaEdvsOXFzyIS0PkFRfgPDAgbGDtToh48zvymsZZMpAhQLsGzbrqygIQbNYNO9h/nk&#10;SAiI7xAquE6cf6Qeo/PThPqr5vXTzBszJXXpluuKkTHrtx9n0aXr8s2n0PCN247TrMN0AKw/evZ+&#10;0NjYsJil8KzBBOCvss5iSNmlGBHpF7JQpprTJ2h22oq9sHb4xe8/1s2LWTtweLifei5A1k8RqRwe&#10;vXrDQXhhSPDkNcNjNCN016/nwYWkqdotN5a+pD+GGCSCe+KarJ78q4+ljbfvvLx6Pe9yTu6lW3n3&#10;XxRUNbaSbhOasbDHJTba7PefvsvKuZ9148H1208/ldWzW+ThU1kaW61vC8vLqxtRHwvEEAXT7VSV&#10;ja1visqra5ucdPsgLVIg+CkorvjwscZBUIwZhfT5Y3XDu8JKaBGH+FCk95QVVdRduZ13+Xrenbsv&#10;61ptVa3Wd8VV9Y1NPOkZV9PY9raovKKuCTpH4aJgA5zXt9peF1WUIvh3gHG6L6ZdMugnLerAOPML&#10;qwpKKgtKKmhbVF1QWP2+uLy8rsrqtBd+qiooqqyqxVTDCAAuusqqWt6/ryotqRMFxGSIeoTmNu7W&#10;03fnch6fz35yN/ddIyIfCltFO2+vb7E8ePImK+dh1o2HNx48+1QD9qDDYIHu5sj/UFlaWedEFMnD&#10;g3SV1ba9KqqqbmglRaG72mGETotDeP6m5HLO46ycx5dv5L4prIBlMhMRIBqIqPBTNVxoghwSMiZO&#10;5/uSqvyiCjuHgJqui0H8QPaKutac+0+ybj66eDP35YdSnpb9bMgAwRZ+asy+9fx8Tt75nNwHT983&#10;wQcjFskvLqmoe1dcUV3XzKJdBtOS+OgDuVi40a4zlfWWew9fX8t5jHT15uObD18VV9TDUEVagIKu&#10;8yXllUUfq9FzqQiqgAbAn3r8uvDCzUfnbjx8+LKwxUYXBdhMQx/NrdaCovLKOsz0rpdvSQ6Xbjx+&#10;+KKkxSHYXY0C9JRWjvhWzvb4RdF5EtGjl28/tXJCQXlDfkmpna4HWoGWVbUt0Mb6FgrHRIiFRlIi&#10;BLZwxVxllc35hZUNiN+oQxhVjKGrzcEXfKp6WYzjrYhM2X3fLniHsOFLNCK52XeelZY3oDesRxwk&#10;96KwEpEs1JpJhlwNKHRlQ9vtB08v5zy8kp17//EbxPuIWKn/zDTgyDS12d99wKhVO8jrwnEMJbwZ&#10;uuOhsKo+685TjP6tO89r6621rc63hRV19U3EisA3tNmh4ZU1TeCYFlOAWQLf0uaEGn8sq4MxUkwM&#10;5oAmHP/qffnFW3kXbjzOufcEQC/Nu2AT0dqLt58u33hM4s15DFugKxgsJMLZt+/L84uqGptodYl6&#10;SZ1tT1/SN9ZiPudmpVki+KIEbsktgrDJaml1g3QFkzAxR2tddAsjOQPsQhh5ZVA5jIxodYrsBmGC&#10;VNQIfiWIwaQHKHTa6RY11I/J3oKcmB+QleYaqpcgBupFo0nFUR4o70YZG++QdA+BrUO00eMFtKwL&#10;iIEmI2yERDEFAAMRXCNIh6B4d1ska6iaBDFgCX0iq4EmkA3SILCEr9QFHEFt4A180Vm3jPAHJhmC&#10;0RI23ciH2QYNig4B9kq126H1YBq1kwgx5NBguv5PusbsEOiNqsjqkKgtYoxVyhaDmNJJy4hoBo4q&#10;LQ2R/AnTaYc0H5UQwrMFIzbXQ7CEXKgZLCDYh9GgzzBqCAC1kR6RgNkSDMTokKpz2tmiuDQUOE53&#10;bYBPWrei/qIkwRwxjkElhWbM0VmJGCNSAvesHegGXTWktXPWLB2GpCAbZKJVbBIL0x4qR/IgZtky&#10;k0ivfAC8UB8lBSdjI7CltwKiL+gCeKUMyOZwWXgX7AoMohZ43i12+AxUHbWOvA4yLXqGDQLE+CAf&#10;rVKgDrDVDjGMb9TKdBaMEm9sjHCEDjMLgCqQQjjotEOkZyEgR/KMSOGpUuxRGfSWQ3aycjIWabzx&#10;jyxgmqQBTaPwk/ZRNcTkFgIt6aBPNOrsAB1HbagJc5vF7rLboL4YDdJ8YgV9EXnyKGhmomVOaoY0&#10;miqBAqAbJAQ6RmpKyuqiZ5nhuJLJ0SVb6iPTKhpT+gL7kDjECCCMZQPJykGTENwIDvSadAiZ3BxK&#10;zH9B31rudSvCZ2Itkg3BaOlOETJ40nh0BGqPVqkzpKtsMMEvPknPwRqxSF9RGKw56Cz1ngaSNuwr&#10;x56SpMFEbRgy0cbx9CCJ1G8mZGRGI2gGfaIi9M40gZb/nFAsSAgGRS9JtTCXCtnIkkiNMM9AMsQe&#10;BEXWBdxx0FAxJumKDgqz/pHes8bI8uDySIIm1qmXrAZAG2VDj2BlpPGQA2qn00ikq0wzqULkpbiV&#10;OCWkE+AkUyCLliA1Aj7iEA1BLiRYFKIBBFKSNdLSGypD5xAlwvUiC6Q+oTJUh3rQb1JYJ9QDB0me&#10;pAysy6gV9ZLhMT6kfpJKI2FyJgHjOJsSCVsgAQwLzpDR0pggq52WRx0uDp4Xs1zqMiEf9YykQKwR&#10;d/SVxgYNUJWMiBWWiCWSJN0Eh/rJIKgfYA5laMAY1+AWvgCygW9WmvhlQ8HEBARggEvDyzgADyhF&#10;Y4xzDFuQm9kZASTpIikkqQ35p7SMjazIjH7QPhQSQqLKkQPGxWyEGSorhbqZdtJQEiMMgmixmFiR&#10;uo2+AitgXeCPeoRTjEUoDJQKp5CZog2SATWCc6gMmkdCkESDJsjiafgBk/A7UQqVU4dJAdolSCzQ&#10;caqFDiKR5oMlwlYoFZk9MJNGGiE4Ogo8ob5ABHSNCpWQLoFLeKCYyynQRYsogLEmFjBVoGniDm3A&#10;OAn4qJ/UPCqC64DCzETILaSpFRgGRLWTddAEQ6vmdNGGqnBziPQlfQtiusuLQ0TS+EMWGBbWc+yC&#10;JbZHx7FPZ/AVExRmKppXmZDYsIIwgpS/nbDPRIjuUiaoCZkdxp1lQ2sdhExSRdhQDZALqSWtqbnr&#10;JHmz+ijRAXdu2kAm0lF8oH5JkiRfVpeURdphhD6AcIR5FpQf5amD2GG58Y/W2bxKVaJ+0msUkBI7&#10;z6qklrAHaVCdlFFyN8gZRuXSzEw1sKZZLjRF/9hieEnNWTnaSLu0w2ADW7aLI7Tj5gzQzE7Qt3Zi&#10;IqJMVD0dQLs0ciQWyogPkr+UgYARZ9mVQ4I/OuVmkvJIFbs/qDZ27jO1nwGhMqnv0kwpdVZiAdwg&#10;H3YI97EvMU8bViPLgoTDpA2MKzpAJDXAuJU24JbJv+O4pBtUkMpLdTIRUnfZfntFbINT0B33N/pO&#10;dYCoddSDypnp0WmYnLQ4KBE6APhAH9EHqBI6KDmPyMDyUxaUIS+B1UqHsWF8gQ9yMSiycyuSNCju&#10;HFJm9g1fPn+lxKRCvaEJHAdo6N3dpK9ka/SdVQK2WOvQFzgv2Eeis+zDXSHlZdlZwi6pOjvBNuwc&#10;TsG82doLoStySdngIbBauqdvQUwP9VAP9dBfQD0Q00M91EM/kXogpod6qId+IvVATA/1UA/9NHK5&#10;/n+TrssiAzCmNAAAAABJRU5ErkJgglBLAwQKAAAAAAAAACEAi86v117JAABeyQAAFAAAAGRycy9t&#10;ZWRpYS9pbWFnZTIucG5niVBORw0KGgoAAAANSUhEUgAAAaIAAAE9CAIAAADGWfGuAAAAAXNSR0IA&#10;rs4c6QAAAARnQU1BAACxjwv8YQUAAAAJcEhZcwAAIdUAACHVAQSctJ0AAMjzSURBVHhe7H0FWBxJ&#10;tzYzuLsPjOHu7jC4u7vLKBBIsvGNuycbd9u4uxE06+67STYeIJ/de//d/f7TwjA0JCGEkCzp87yZ&#10;DD3V3dXVp946p+SU1H9JIYUUUsa1kDRHCimkjHMhaY4UUkgZ50LSHCmkkDLOhaQ5UkghZZwLSXOk&#10;kELKOBeS5kghhZRxLiTNkUIKKeNcSJojhRRSxrmQNEcKKaSMcyFpjhRSSBnnQtIcKaSQMs6FpDlS&#10;SCFlnAtJc6SQQso4F5LmSCGFlHEuJM2RQgop41xImiOFFFLGuZA0RwoppIxzIWmOFFJIGedC0hwp&#10;pJAyzoWkOVJIIWWcC0lzpJBCyjgXkuZIIYWUcS4kzZFCCinjXEiaI4UUUsa5kDRHCimkjHMhaY4U&#10;UkgZ50LSHCmkkDLOhaQ5UkghZZwLSXOkjIX87//+7+PHj3/99dfPP/+8tbX1woULJ06cOHDgwL59&#10;+7b2yd69e+HIsWPHzp07d+PGjc8+++yXX3559OjRf/7zH/wqpJAyIiFpjpRRE+AjIKZLly5t2rRp&#10;2rRppaWlUVFRzs7OxsbGKioqcnJyUi8vsrKyysrKBgYGDg4O4eHhhYWFkydPXr9+/dmzZ3/44Yd/&#10;/etf+L1JIeXZQtIcKSMUMNC+++47sL+A0dLS0uzs7NTU1CgUCs5PIxe4AoYXC7CnlZVVQkLCxIkT&#10;d+3a9eWXX5KmHymDhaQ5UoYrf/75561bt8DNFIlEAQEBWlpaONk8QzCukqZQFORktNQUzUx1nKyM&#10;Q30sYkPt0yJdcuPda3J96/L8+IX+9aVBgqKA2ny/2jzfvHiP9CjX+DAHjq+VkzXNgqGrq6GsKCcj&#10;TR0WgwLVenl51dXVbd++Hcy9P/74A889Ke+wkDRHyvPkr7/++umnnzZs2JCXl8disQYaawNoB1hI&#10;VUnO1swgNsge2GpeY8SOhemXthd/cbzqznXh464J3V31T7v4T7t4T7u4gH88F5CsF0V3l6i7s/H3&#10;lvpvTtVc2VWye3HGouYoXqF/YpgDkKCmqsLz2Q/8ZbA0V65c+dVXXwFN409FyjsmJM2RMoT84x//&#10;OHr0aHV1tZmZGU4YAwShFnkZaRu2QVqU0zRu2N5lWZ8erXrY3tjbJcCI7B9ddQQ8HXRkmIATJc/F&#10;/oRbwL0edzZ+ebLm0Orc2aKInHhXRytjJXkZyjN8XhqNVlhYuGfPnsePH+PPScq7ISTNkdIvv//+&#10;+7p166KjoxUVFXFukBAqGEd66vGh9jP54Wc25t++KuojNSITjQ3EN+37RIjv9xv1l7YXLWiMSoty&#10;ZtK0pYcy9WRlZYOCgpYsWfLjjz/iT07KuBaS5kj57927d1etWhUQEAD1H2eCPgGWMNJVT410WDY5&#10;tvNgxeMOITiSYqJ5fUCZS2wSDmEbvhDAv086RJ8fr14/MzE33pVhrE0dRHnS0tJubm7z588n+W58&#10;C0lz766AZ7pr166oqCh5eXm83veJvKyMlxNjSk3olZ3FD9uEQBkEEnl9AKOs61D5ezWhzZVB57cV&#10;fn2q5tvTVYNNxSH94mcDKE/YdqB8jigyxNtCSV6WwHgyMjL+/v7r168n/dlxKSTNvXPy119/dXV1&#10;VVVVDRwqpVCkKEoKshH+1iumxH9zpg4cwEFkMRY4tDpHVUmuNMN7+6KMEC9zponukomxBJr74kRV&#10;SarHggmRJz7I//5c3eMOcJ/5QHyD2ZAASPC0i//zRd6mOSlJHAcNVQWU7/pJT0VFJTc399KlS+QQ&#10;7XgSkubeIfnXv/61efNmDw8Pwuw2BVnpMB+LNdMTf7qADG6iXEAkCALAvuvuFP16mf/Z8eqvT9WC&#10;rfSS5tXQAG51tzOVlZH++gzCWXeuCxnGWptmpxCS7VyUBoxcnuVTlOJB09c01tMI9jSrzvFdOTXu&#10;wtbiO9fA9nxBZtBn5N2+Ktg6Py0h1E5FUY4wamFjY7Ns2bInT57gZUfK31lImnsn5M6dOxMnTtTT&#10;08MrMSpUCsXO3GiWIPyr07WoNUTkgsF42C68vLMYTokLsbNhGzCNtBXlZKhSFIax9qLm2J7OVzUA&#10;e7uEupoqwDhZcS63rvCBrdZMS7iys4iQDLzpGbzw3i5uT5fQxdYUnsXG3OjAiuziNE8ZCqUuz+el&#10;OBeY/aeLvGWT4zwd6dIDGwA1NbXa2tpvv/0WL0dS/p5C0tw4ly+++KKwsJDQ+6amLF+Q7HZhWyHQ&#10;BKHOPwdAB+XpXjoaCA0BGVzeXdXTJfrpIj85whHMQxBegV9vJ8JNhBOHD2DbmGAbLJP62qoLJkQ/&#10;ah+COm9frbt7Hflyv1WkqaoI+cmMdQFqg8fxcmKunpYgmRjFsLIEtmTr/vLqHB+gWnRWCi7S0tJJ&#10;SUk3btzAy5SUv5uQNDdupbOzMzExkUql4pUVnRFiydCd1xj1y2XwTBHnlFDPAb1dtfAJv/54gXdx&#10;WwEhDdDQ/hW5GAGAh4gdfNAqtGbpwxFpKvX8lsLhWIXPwVcnq+0tDNE7wH0ong6mP5yrGZhGzFm1&#10;Hx2uxKYHz+Bx0L457pKJse37iNbf0y5+2/6y2aIoYXHgXFHU1Z3FPZ3gZQ9IIwZc5PcWwappCW62&#10;Jv1Uh1A7JTg4+Ny5c3/99RdexKT8TYSkuXEoQHDx8fGSBCdNpQR5mO1bnvm4HaneWA0fsp5DJT+4&#10;Mis2xFZZQXZydQj8OTAB97erAjlp5Mol6Z7iX+fWR6H3oZSmuQ865SXwqJX35Ynquy2C92pC1ZQV&#10;kCtKUXLinIcc6oX871qcjnChFGX/suy+g8SBiMftguocb1l0tViIlwW/KNDD3tTLiXFlV8mzsooV&#10;UXen8PTG/LhgW8Qv7xMgO39/f5Ls/l5C0ty4EnBRU1JSwMnCqiT8g+qdxLG/uB3sl2d2nKGWHTib&#10;yPferrrDq7Nqcv1kqdTfrjUMokLEMbRmI9aWq61Jb5/P27KnFDN8PB2YT19hiLbzYCWbpo2OnNZ9&#10;eqzKxZYG1zQ11OweKvOQt8k1oZAACOzz49WEXzHAo1Vne6NZo+Qnuj3pFPZ2cR+1C+NCbDVUFc4N&#10;w/YEA7bjw4qCJHdFefGkQsRDDw0NbWlpwcudlLdbSJobJ3L79u3S0lKJYEcUeRnpzBin1v1lzxpe&#10;gIOPOwRQ1SuyvALczY6uze1BetaQ4z1dAo6P5aHVOZLpMQBNZMU6Qz1XVZS/cx2nudvXRDLo7Ftv&#10;ZxbcTpz4ZXFtdwnYXPuW52BG2YbZaXBNTwf6kNcECkuJcIAE2uqKjzsaCb9iaN1bJouSPtiG358T&#10;227cLXPTILvgHQ/Z9zcYcK/PjldXZnmpKALZYZSO9NlBo/LNN9/g74CUt1VImvvby7/+9a+ZM2eq&#10;qqpidQ8qIVTstEjHjgMVQ/p6EuA2lPjraalgp1GplMgA65a9QItIt93695PzEt0Gu3Xw0/yGaMSe&#10;kZK6tKMEO3L7ej1KcxRRccCrOK1HVmWyTfWtWfqrpyWe31oY7mclJyu9b1kWIRkA5WKhrRliV3o5&#10;Mp/Bg3VTasNQVqKkRQ3wfLfOT4cT4Qe4i/jgCwGP9uXJmtI0TwXEssPJTl5ensfjkfOK32Yhae5v&#10;LH/99deHH37IZDKx+gYCplCEv+W1XaXDNKnA6/ztWr05XRc/H2xAWemCRLcvT9XeuiZkGGjcbRER&#10;TgGc2VSAVfElE2OwI8fW5QHt6Wgof32aMFzwcrh9ufaL41Wfn6jm5vuGeFmkRzsjfmXnELzZeaBs&#10;1bQUcMkhz8kRLkMSOtBcWYYX8lQUykaJyXdwHPN2QTbOThYfFwMSoJ/ImIbkcQxwr4+PVIGlLIP2&#10;UWKiq6u7bt06clLx2ykkzf1d5bvvvouMjMQrGSrO1sZH1uaBv4lWRbyuvhCQbDqPkxzpGRtii41a&#10;gqgoyjWUhUQEOu5YkE5ID7h1VaggKwPJYoJsb11rOLmxgGWiQzfUPLeFOMT58uinFQmWGYJrjqzJ&#10;yk9yd7ena6kqaKkrz+BxBi+27e2qExQFQD7hqT450t9519sl8HFhoQ9K2b2Y+IBQIL9d4c1vjEqJ&#10;cEqPdlkyMfbXy0O0GXC7yztLgr3M8CJDxcPDo6OjA39DpLw1QtLc30/+53/+B7xUcRARoCZDHdWV&#10;UxMedww9Ce5Frmvd5ydqrJj6jzoaj3+Q72qHzqJA+Q6MoIQwewJ9APV0fFgjj9AcRZpKMTfVSYt0&#10;WjM94ffrgmES62gB5UH+w/aGT49Vn9+aP6TldXB1NlhcgJ/O9//60ZEqWdQQU5ST+fZsf2IAXOTU&#10;hgKavjr8KiMtzfG1Sot2tmLoHlmbOyTbdncKdi7ONDcFcxinOxkZGfBhe3t78bdFylsgJM39zaSt&#10;rc3BAel3xwTopjrb55dLxFkUGODgx4fL40NsvnmuL9nTxfd1YV3cXgTpH7cL1s1MpBtpopengFn3&#10;yyVJmuNCxc6McppQHrRnScbXp+ueIBPQXkCjzwGWbcnPEeApOtdvSPR0CuJCbIC0D60GnkKOgDuf&#10;E++KPp1UUYo7gcS7DlVoqCDtBzik699PgcSQ4NNjNY6WRi37ai5syZMkU8gwhnstgsnVoSpK/Ztd&#10;MBiMEydO4O+MlDctJM39beTf//53U1OTZKwkLyf6lV2l6MKD/opKQOu+cjDKWDTttgMVhJ/EgIq6&#10;qDmmJqd/jdSda/zJNWHqKsjMtdXTBywqQCv20FOLnw3E/QTLq7dL2NPV8LC9/u4N4a0rvJ/O1311&#10;qubLk7VfnsQ/fzxf+9tl7t0W4cO2+u7Oht4uEZyFnjuEJfV8YDmEzzvXuJkxzkxjrbUzky7tKOEV&#10;BmC+eYiX2e2rBEOVnxyONyGl6V5iBoS7r5mepKGqVJT8zFmBcByMxKgAK7HjT6VSi4qKuru78fdH&#10;ypsTkub+HvLRRx85Ojph9QdEQ1VhPrIQ6oVLtWq/Ps3DxkB1NJRPbChALa8hKuoP57lmptr3WpEL&#10;9hEE9+vTtWXpHssmRQ95ypCAs3q7BI/bRT9drLuys3T7wrQ5osi6PL+MGJdAdzMna2O6oZa2urKq&#10;soICuhgWXEcK4iHjgCPyMtLwK6Sh6Wk4WBr5u7LSopyqsn1nCcK3zE0+v7Xo+3N1D9uxiJ7DzVVP&#10;J//s5sLiVA8HC2MmTRtM16WTYh+1EaeS3LkuVFVCVsXB57dnBvwEjYSsNKVlb6nkwcEAU3fT3BRD&#10;XfGotxSdzjh//jz+Fkl5Q0LS3Nsuf/zxx4IFCxQUEMMKOAEkzMfi02PVw6nkQFi/t4jA8UROQ+Ms&#10;bZyTJmGk9KcEO8vZxrQgyX3nQsRTEx+HuzznRnAF+LW7U/jbFf6ZTYULmqKKUj18XZiGuuoyVCBX&#10;uKs0lSqvoKKlpG6kaWStbmSnZ+atbxGoaxFs7BBj4pJk4pJs4pJCc0mFT/R7Es0pXtciRN8iSN/c&#10;T93IXtPIRlmDpqSqQ5WWp1CQAOjSFIqepqqnAz0/0X22KOLo2ryfLvIgD2hWh8ih+HsvQsFgTgrh&#10;AYdM2XGgEgu9mZtAnElzcVtRqJc5cKvkQQAQKOG+8P3783WZsc5is05aWrq+vp7ccuwNCklzb7Xc&#10;vXs3IiICqy3AcWpK8ksnx4PJMLiWPgs9nSIbtuF73Dhs9gN8zhZFEqabQEX9cEW2krysNctgam1Y&#10;d/sAV44AuDWkf9JZD6Sw/L3YnHhXuL6cjDQQkBRFRlFVV93AQpftY+QQa+KZwwysNAuvZ3AmMMIn&#10;0MObTRFMHD7oCJrgXABchxlUbeqVb+wUr2fmp2ForaSmT6HIUaSkwVw1p+ulRjrOb4y6uqv0cQe2&#10;tw4x5y/E9+d4stLIg+xemkn4qaeD/8vFWvTZJY/z+AV+C5ti0DhU+EHsC5TwjkXpBjr9Zp2bmxsZ&#10;6eRNCUlzb69cuHDB0BBbxI6IlxPj4yNDxNF9PsB+8XRg3Loq2jo/XVkJWyUqVZ3jg87+xw0WuOaJ&#10;9blXdpZ0DxGwRGzUIMu8Pj1Ws3xyXHKEg762KjiYYF4B12iZOBraRgABmXGEfXRGJKxRB9wF4T5O&#10;Pd2nyNAuSsvURVnDkEoF1qNoqSlHB9nMa4hsP1DR3SkavscNxpqzNQ3K5+J2ZNqzGGhf5NAX+fQ4&#10;H0jWx5nRur+CkAZKFfzrmCAbpAFARU1NbefOnfjbJWUMhaS5t1HAUZ01axa2NBW4RF5Wuqk8eJjL&#10;kggAuybUy+LqnprmqlAwu3TQaG4Ab2dGfUnAgxvPM9yAIKDqPmwXndmUzy/0tzUzRFxRqoySuqE2&#10;04PmmsoKrmNyJkjYaJPENDSGwG8KrMcK5dHc0nXNfJU1TaSl5cBtZNF0KjK9Dq3Ovn9D9LTz+Q+L&#10;ENOHK7PlZaRrc/0wgxeOgO3cUBq4fznRvoOfoHAWNcdivqmSnOy0urDBw0FwOqRBw3YiAm+zurqa&#10;dGDHWEiae+vkyZMnCQkJWK0AMTHQOLY+/xUmbfDSo5ysWAbzG2PutgjbDlSpIRMmKCwTneXvxT9+&#10;hn8KFfhxu/DkhoLyTG+avgZUTll5VU0jWyPHOFZQDTihL+t+jjEYnCZWCNfYOQksTTklDYoUVVdT&#10;BfzrAyuA75DV+0POQUGZi7dpbqq+lkppmufJD/L2LcsAw1BdRR7sMkJiwBcnqrXUleAdgW17aVfl&#10;yQ05352pObe5YPBMw+t7Sm3Y+mgDg4i3t/etW7fw903K6xeS5t4u+eqrr6ytrbHKABLmbYHOXwVv&#10;aLie12DU5HpvW5gFdRi+H1iRZUHXXTY5/v4NpIMPO4gBq/nguHUcqBCVBDKNtYEd5BTUtU1dTN0z&#10;WGHCPm/0jZhsI0YzExxb71xdlqe8MvJEhjqqlVnel3YUd3eChz7UqEUn98fzPPB5s2Jdi1O9rM2M&#10;wccnMBegp0sQH2IH7wisuQ2zU7DC/PxEHVBeVbb3rSvE9HAkK8ZJPC5hZGR07do1/K2T8pqFpLm3&#10;SE6ePCnehkaGSmkoC5JwVEdMc9z60qAEjsP6WYk9XfzfLtfcbRlynJH7+3XB2pmJvi4sWWlpGVkl&#10;LZq9iXsGkyN6yw23YQP4roHulaPNcJVVUAPf28matrAp+udLz+x3g+Ng970vCCdEecIYbcv8NIyz&#10;OP62P15sPLelYNnkuIwYFzlpqpysNIumfXRdNpZSfGJ3Jx8cWAU5ZJ0ciKKi4qZNm/B3T8rrFJLm&#10;3hZZsWKleOqvuqrCtoXpgy2IEeBuC9fJ2tjUUHNxc0z3oM4ptB7yPjtewy/019NWoVCkVbVMjeyj&#10;WaH8sRlJGHvAc4FlSnNOVNNjU6iyGqoK4J+27S+HNkCSksQYkgSBHI301OBNgTtvrKepKIuMz0YH&#10;We9emtF1sOKXS7xru0uv7x4i9gmU9ulNRUa6yLkgVCq1qamJXPD/uoWkuTcvf/75p1AohAqDVBsp&#10;CttEu2VvOWYIDFnxXgr3WnirpsTdbSHOQYE/wT+9vLM0NcJRXlZGWkYRnFO6bxEjfAKBF8YrkKkq&#10;ARW6LC9ZeVUZaSrH1/LYuryerucET0c+vz1dfa+tKTPWGX1ZUjP4kb9em4QO7EhNKPWXTD8Y2BXg&#10;84uTNWjEUNyBzcjIIAclXquQNPeGBfQ7LQ2JfQYCWu/vyvz+/IC68eoYXG+B4KBKh3iZg9slp6hp&#10;YBXCCuGOV/Pt+UCMu1CBkX2UoooetDHu9ibbF6Y/GToIAjLuvGxyrLaaIsZPPi6sx+2CRx0ifW1k&#10;fpywyE8yscR3IuCN/H6dnxxuj/OclFRAQAAZse71CUlzb1K6u7tDQkIwRYc6lhXrdL9lJLNGho8e&#10;hODyA9zNqBSqoqqekX0MM0xE54xjgpMcMHne4AmT00BzSVbRpIHn7mRlvGNhenfHEO8CvM7WfeU+&#10;zgx4XxvmpMER4EQjXSSiSV2+70t1ocL1hUX+6JYdCN3Z29mTw6+vSUiae2Ny//59Nzc3lOKQ3QxE&#10;xQGD69WzesdfFmA+9Hbxr+wsCfezlMYIzjGOyaknVHUCELcuRCB5hB3K/7uMSICZxgyqkTzCDOEz&#10;XpR5BmeCiWuasqYJNAOejqbH1uai8fuIs08etwsXTIiOC7Z+0iHq7qo3NUQGjqqyfQYbzs9Hbyd/&#10;QVOMvCy2d4cUi8UiV0q8DiFp7s3I7du3bWxsEdWmIAuw5jXGDJ5Z+qCVP6kyENwiwvGXBXDlF8er&#10;s+OdZWWkFZS1jR1iX0hwGMzC61U06XTfEuxPIA5NmiPdI/Ptd2+RHLqladMc+rLazPApVNemwxNJ&#10;JnsWmJxGE9cUJXUjMLWiAqxa95f3DgrKAqX6oE2wa1FquL+NPDp4Wp7p9bLNElwTzMPtC9KV+vbT&#10;MTIy+vzzz3EtIWWUhKS5NyC//PKLmZkZ5qooyMl8MDsZdH2g9vPA8uIXBSvIyVbneBOWoA4faB+Q&#10;YFJ1iJqSgoycir51KDNMSKjSzwH4cSEBPtV5oSZOMei61GZNA3NheZyJTRA60YSYfgRgcBroPvl6&#10;dnEM32J01jExwQjADBWa2ARMrE3QMjADgxQ4y9QhQlQaERsRwILvg9I/C/D4RvbRcoqa8rKyYKn9&#10;hAb1I5Bddyf/g/eTsbWriRwH9D2+tAEO5HhkTY6mGh4nVVdX7+bNm7iukDIaQtLcWMuvv/6Kchwi&#10;Sgpyu5dmEUyAp53cDbNT/F1ZOxenffB+UoSv5efHKyUTDBM9Xfy9y7PZpjpUqqw23Y0ZXIvW3pea&#10;3NvMsnb/+ZJw/4ocFzd3hne+Lt3l9Obi81uLwoM9je0iWWGCV7HsGP7lmrqmSRzHhrKQcH9rDT02&#10;M5hLSDN8QE6YoTxju/CESK9ru0vPbyvTNXVgeGV7uLsdW5//0yUR28Z9BB43M5SvZ+YnLaNgqKu2&#10;ZkbikyE6FpAwVtlxznqaKp8frybw4LMAyXol3jvowIVtJToayljjp6OjQzLdKApJc2Mqv/32G8Zx&#10;oMvKCnIHVw2IRouqe929GyJ9LeXre8rgO6CnS9DTJerpqu9FIqz1p3wO4JrfnKlN4thTKFQVLVOG&#10;T9GIyYjulV+U4t3dKbh3QzC3IZrNons7MW5fhSwJLm4vzk/2o1u401xT2GF8sJsG3eW5Xf5hIk0d&#10;48Nr89HpgVywWDfMSQGmY7yMwQUAGxBZ1+WUwLR0Lc8KQHcm49+6yvdyoluZMZZOjn/UJoD85yd5&#10;0r3zCecOEwiBBpSrG1hCeQa4s7sOIqv0xe8C+wI3/XBVzs6FyHII7PhzAGmetAsEhT6/D5iqzb26&#10;u0xPCw9qAkz30Ucf4XpDyqsJSXNjJ7///jtwHDaHQEVR7tCqXALHYfjsWDWVIlWT63d1V/namYmZ&#10;sc50Q20ZKsXNzuTC9mJC4oFArgZVeuW0BG11JfBSwedCXDakohKr7jABNdzAMpBfGPgYjTV05zp/&#10;XkNUlJ/1gRVZ6NbOvN+vC3ctzqjI8nd3dze0DDD1ymMh/V8vZlVjl5SSVC8Jb50L5me4nw3dp4iQ&#10;cjAgV6wwkalnjqGFr4+XZ11+4MFV2fdaRZCfxx2i7QsyYgJtl02Ku9+KNAyP24W1ub6G1kEj5noM&#10;jPAmmmuyvJKmkoLsDH7EozbipBO415AvdEiAKVeQ4snxsfj9en+PBJx+fU85Nj0FRFdH54svvsC1&#10;h5RXEJLmxkgePHhgZ4csgQQBjjv4DI4D3L0u0NVQQubXg83XtwQSE20N5R+eN6uO+/Wp2kh/SypF&#10;WsPQBonO9goEJ4YZR2jOZEwoC+s4UA6sBPXzYZtw+4K02hz/Jc0x359DDDF4FmC9z0/UrJqWmB7r&#10;w7bxoDklskL5jGdOVWnWtwpdNCFOMv9Pu2rrS4NN3dIHJcaBWFXgljrFW9i55yT6rZ+V/O0ZhNbh&#10;wSFj35ypm98QxcsL2Lc081E7EmUTWO/6ntKm8jA7KxYjhE+42sjACuXp0F2pVBlPR0Y7shPucHmN&#10;gI+OVGJrITh+lveu9/fMAlde210mZjojI6Pvv/8e1yFSRiokzY2F9Pb2enkhG4aCgC1wYMUzOQ4F&#10;d/PcFCV5WZTkKHIy0jZs/dQoZzqylp6ydsaAnRkwQN0AU2jL/DRdTRVZeVWaU8IoLmZgciYYm5p/&#10;fVa0dnritLrwzoPlKK8hc4y7DlZOr+MICwIPrswGowkOopnh3b0hBPOqOD3A3M7T1Ct3yMwYOSbW&#10;5Pj1lQPy2dvJSwhzADeZkNIE8gBX8MqxsPMsyww4ujb3Pmq4oeyGcO7epZmCwqBZgohPj1VB3uBS&#10;4FOD1z+pMnTDrOTvL9TTTM1HsUDAPTd1z5BX1lZVkl/YFD24t+6ZuIl/+fhIpS1b34xlgunDDxK7&#10;jgGgGK/sKoNXiSkMm82+ffs2rkmkjEhImnvt8p///AeNAIzYZfJy0jsXZwARYIzwLEDt/eRI5fqZ&#10;CfuXZ313phaNAM67eaSWSqFseD9pUGLwJXmFyW7SVKqavgUzEDHiRhcmbumFKZ7dHcJ7LYLNc5In&#10;V0dsm5d666oAuAYx7tqFB1fm8AsCVk6Jl4wLAHm+fU2wYkqiu7uHqWc2wg4S12SFCvX0jK7uLoWH&#10;hVMg8eG1eZq6dCanQTIZ0uXnmeXu5g52IrpHImL4oOmRhQTgmQoLA4H4UJJFzLdfLvE3zkqeXMXZ&#10;sTD9Qauwu5NfkOxp4pYmec1RATOEp0VzpFCo0YHWPwwVpulZ+PholQ1bb/uSItRko0QH2TwdNJIO&#10;T3dua5F47NXJyenJkye4PpHy8kLS3OuVP//8My8vD1NWaSpl9fSEPvsFR3cH8MLQ80Wg0p7ZlAfW&#10;CkoEvJMbinXUlX68QGj5uW37y+3NDaSl5Q2twxgDOWK0AFxjaB1Smu4NNAc1sLtL0LavbAY3vL44&#10;aPOclJ8v8cGGAgOqdV95Q2nIqqkJD9v6R0vgCzzCsskJFvZehIFUuneenp5BbZ7fkonxJameWrrG&#10;dP/y/l+BCkO4cNbSyfFoIfQ/Nfy5ckpCY1lIx4cVYMaCXQkG0fqZifXFIbP5kTcPVUJmepF9MARF&#10;qZ5GNhw6ZwDDjhbAQjR2jJOVUzY11Dy1YVgxAaH1smXrfbgyd++yLKw/Ysu8VEIaDPC8h9fkKPbN&#10;pwsJCfnPf/6NaxUpLykkzb1emTRpEqamVCplliASdbX6VflRuyCZYyco9H8y1BxgYMBQL7Y5Xa86&#10;x7sgyR3ZFHkNvtkoBiCXDXNS1JQVFFR0Gd759PDmV++JexaA6XRZnmlRnjsXpoP5hpIO90mH8OrO&#10;EuC7pnLOmmkJQMHALzf2lU8oDT7xQT4QkERuud+erYuP8IR8DrisR7qvu/mkymAbMxNTrwKJ/DfT&#10;vfNjOF7fnKmVbBjgkU+sy2ssDWk7UN7TJfzuHHfFe3Fw99mCiNZ9ZVhIdMjb/Vbh1nlpGTFeOgw3&#10;ghU52kAGYZU1afKyMrOFUT1IR6H4kftx63Ldl6dq2w5Uga96YGUuqEFGjDOYclpqSrevDj4Ff154&#10;8C3z02VlkE08QHJzc8hYJiMTkuZeo2zcuBGcGlBQihSlKtsbjA4JVUb6zktS3Rwsja3Z+g0lAWLl&#10;lsSPF+qsWfoRAfZ7lmTevjbA6HvUJqjL9wNHVd3AkhXCG1T9RhfI1BBwh10dLFv21c0VxSxsjL6+&#10;u+RJZz1qaXJ7bgq+OlW7fFLclOqIPYsz7rVOADd2jjAa/Eognad9fVJPOgT84lC6V7b4yuCQVuUi&#10;QSujA+1MvPrHWOleuWVZgY8Gdnv9fp03VxR9cFXe3damnYvSp9VGrXwvDngQK1hwnx911F/YWji/&#10;IWZ+fUz7QZ6nsxUzsFJ8zdcBjJeZYSJthitFipoe5XDn+uD1EnVnNuZrqijISUtvmJ0KxXXrqlBN&#10;WQ6sudx4V7ABkSLqqnvcUX90XW5Dse+tvt1j0eO8ufVR4mCc7733Hq5bpLyMkDT3uuTKlStyctgO&#10;AJQkjt2TgXuq9nTyBUUBRckejzuEPV2iB61D+K1YbfnocOXuxSkom/T/9PMFbpiPOZUqrW8Z8LIT&#10;zUYMsBZpLslJ4U53WwQP2+pPrM+dI4yayYtZMTmuZU/Jg/Z6xHXtFF3YVlyZ4Z0X77pwYlpunMf9&#10;gdtNgLlXmhnADMDZB2iuOscXKrMkzQGf5ib7Pxm4gdnDNl5Fhv/i9zKzYl0rMrwubi/GtiK811p/&#10;aXvxkuboGbyYeQ1R5zYXAtnduc5PjnA2cUl+feYtAWAz0hxiqNJyztY0dJLwgEYLKPjDVXkqinJX&#10;dpXAQ22YnYKohZTU4TW58BTXdpXyCvytmPpyaMBBfzeGmOnQc/l1eT4Yz1Gp1B07duAaRsqwhaS5&#10;1yI//fSTrq4uqpkUTwfTOwMNMVDcWYLwCH+bh+1ITT6+Lmf7gvS+Vp3bPXBxK3qw/09A16FKMABl&#10;ZJVMXFJes0c2GM2m7unO9pb7lmU9bhdBnsEm/eEcb/fijJm88Onc2EUTYk5vyr/b2vDRkZoFzelH&#10;P6gk2LD/6Kr9/brAxcMPm8VG98wGmhNbc/TwSXDc3tXv1pUBHAcAfjy+oWxBcypc+e6NBnCKFzTE&#10;zBLEzuZHHFiR+fMlPtpJx3vQJtqxKN3RztLELWM40/dGFc2mXrlyChrGeurnthQNZrrDq3MubMlD&#10;H9YGaEtNRXFidbSrDS3Iw2z5lKSqPE5fzEGpAITp+k9/3M6PD7FBf0FiDre3t+N6RsrwhKS50Zd/&#10;/vOfzs5I2EUQU0MN8ObE+goALV8xJVFGmqqhqnR8fUFvV93XZ/iKsjLLp8TBTzcPlccEWkk25ij6&#10;O2vObC7U11aVV9Ji+L54Gu1rAjOUZ2gdYsmiTazkgIsKbuOTDtSU6xLcvSE6u6ngfX5kY2nosskJ&#10;a2Zmz62P7SFGLebObYzFFp8RaA6OsEJ573GJ+/z3dvLmN8Quey9z6cT4hpKQ2YLIC9uK0GklyPgD&#10;mG9fnKzeNj+1qTzMgmlkZBPKRKIfY7l9qcVtr45mZmCVkrqxqpL89kVDxH8G7v7hPE9RTgb8UCuW&#10;/uSqkI+PVoHvP6kqFPNM9TRVj39QCM3ezYMDNlG8dYXvbGWEKRWNRrt79y6ubaQMQ0iaG2X5888/&#10;c3NzMXVUVpS7sL1Y0iqB79sXpmPb4EMCFSX5XUuzZvAjvJyYQe5m13cXgw9rwzb0c2X8giwUH1DV&#10;wXTavSQLrgm1iBBiaIxhgvpounTnnUuLTm8qmCuKEhUFCYtCm8vDVkyOObo255szdXdbm46vL3y/&#10;Pn3v8qLuQVEqz24upHvmwqUG0xzNM2//ihzJxFBo4MB+uKp4QXPmqY0l91qbvjxVe3Bl9rKJMRMr&#10;wkRFoQ0lwYubYsB13beyVI/uxBhrC5cIIFk1PQtZGelFE2PBxuxXgJvIs9zYW1KW7gHmHha8s6eT&#10;P6k6BOM4HU2VKztLh+ylhRM/OVZt0DdtODAw8H//939xnSPlRULS3CjLypUrMUUExV07IwmlKkmt&#10;5W58P/6Lk7yptWFg0AHZQWWwtzS52yLq6QDDBJn5lR3vpigve+qDPHH1gIvA8ZVTE+VkpNX0zKEW&#10;EerVGwEzhG/CtF4/K+lhO2JV9XQJH7WLfrrIb91Xvn1+KhhxjWWhU+oip3PjwRAj2DWnNhYAzSEu&#10;6iCaM/Up3DNw03t4/BVTkmbwE96rjWwoDZlXH7NnMRg7Vb9dFaALzgRwd/BV181MpjGsIFeSmXxT&#10;YHDqdUxdpKnUiZXBPRKdjPAFBfJC77fwIOfT6jgox1F0NJRRjut/cALgxKPr8sTB6UQiEa5zpLxI&#10;SJobTWlra1NQQHa2B6nI9Bo4o6JfWdFP/vL34oG2gOnQeHNRoPHwE/gmFnTdjXOR8TjxKfDTvMZo&#10;aaq0Js2eGTasiGljA1ZwrZamzsSqmBm8aHAkV02J2zgzfuOs+B0Lkg6vzu44xL2yt27b4pLLOyoI&#10;W0GvmpbECqyCKwzhtIbUzW+KlUwM7H99T8XupWVX99S2HqjduyR9y/sJm2bGr54av2xS7Cxe5LS6&#10;6Kl1sQZ6+swg5JpvCRjhE3TZ3lQKlZvvNzhg6pcnqpysjOJC7aGxA21BOa5sSDtOElBQs0WRFLST&#10;jkqlfvjhh7jmkfJcIWlu1OTJkydYFDkQTwfTB22Smj2kG8LbPC9VSUEWTgFVry8N+uasINLPasGE&#10;WPhJnAw4bqYgHOwCHYYbM7xxzDubno9mY4eY3CSvu22ND9vrf7jA++hQ9adHa747x715qHr/sqxJ&#10;lWGl6QGLJ2V/daI/lhQweHF2BB5TYBDNATukxIdITpn+7nT1/KaMsozApvLQAyuyPj1W++sV0ffn&#10;uN+f4/16RfC4s+Fu64TCZA8ju8gxG1cdJsB9NrQOplCo5RlewHSYKYc9FHD3gZW5ygrIWLw2bse9&#10;gOMAcDrYholhdthwhJaW1k8//YTrHynPFpLmRkf++uuvzMxM0DzE+9BU/owYd2yIPd4BUOGPrM1X&#10;VwYDEGmhZaiUKbVhwGtijUc4jh8O7bYu03MUV2WOIujhTQbWwTZmRuClbpyVtOn9pDXTkpY0J66f&#10;lbp0UtKWOantB3m7lhS07+9f5X7rqsDMMRgbBh3CaQV32DHsu77lU1CMNw9V7lxc0H6Qv3lO6vLJ&#10;iUua45dOTFw+KWnr/LSNs5NnC2NtzWn6FgFjPug8LECuDG3CKBTp8gzPvtWv4pdbd2BFrpKi3JS6&#10;CCgc8ezCF+K3y3xzug6qbFK+vr5kJ90LhaS50ZHNmzdjowpgdqGrVvuVEjT44taC+9eHbqvh13Nb&#10;ijRUkdWLUOEl+3HEdhzCcaMUWfd1APxoXUOzfatK7raI7rUIHrULezpFvV3C7i7RL5f562Yk1pdF&#10;rJyR+/s13ERdMyOR6V+GnTskzbGCqhY2xWO0+LCVt3pmdkNZ5OopCXC17k5RDxKAT/i4Q/iwTXi/&#10;teHQulJDE/OXioo8xqBzgOnCgekqEJuOMFuIe2x9XqiX2ZNBIfKfBUw9Lm0vVuzb1pqcM/xCIWlu&#10;FOTHH39UV0f2dgKpyPSSNMcQY+RwpSVD79bVZ+oxOGjRwXZ5ia5YDw6c8k+0i3pBUwziqzI9GMiS&#10;zLfKVyWC6Z2rIKdQkOyxakrC9gVpa6YmzG+MfZ8XMbc+euu8lBsHeCc2FGPzAaFiF2RwGIj3jZw4&#10;JM2B3ZqK+K1IGfZ08o6sK23Zz90yN/V9XuT0Ws48UfTSiXGb5yQvaY4tSPZUkFdgeGRiJ761QGw6&#10;61AqRZpX4N8zkNHAe/190MIJAkCjfr0sOL+1AAoKOwKF874wAmlXpaTk5ORaWlpwXSRlKCFp7lXl&#10;jz/+CAgIQPWNYmduQJgJfO8G393ORFlR7uSGIskeN0nca+HVZHlJLoQAJV47I1FGWlqH4f4223Fi&#10;IAsknJN8Peyv7KntOlT11amae63CJ11Nd1sbr+2umFwd2VwVj853RWbJJCdGYnODkROJNIewOfzq&#10;7++Pdc/dv8GbVJM4uSbyyu6Ke20TnnRNQDoBz9d+crS69QA3IsiF5pQgvtrbDITprIKB6SZVhaAN&#10;Yb8CDAkoqEftouu7S2fwwoM8zVUU5XTUlSQnVD7uEIR6m2PDEZaWlv/4xz9wjSRlkJA096qydOlS&#10;lOOQzWsu7xwwpRO0uSrLG9FDCgV+fV8YicaA7E8gBui0uD2H7/tX5CjIyWoY2YqtnrfcmsPhmWVh&#10;blZfGrhyStK2+Rn7lhfsXZZ7aE3R9oV5vKLIXy4iHZTwdPzicPEiXGSxV9+aVlOvAuwxWWGCkqxQ&#10;zCIGV5dbEL51ft7B1QUHVuTCNXcszFz5XoKwKMDCjG3qkfW2DTs8B4zwJh2mlwyVumxyPBhx2OsW&#10;A6y8KzuKHrQ1fHeWu3F2cnaci6OlUVywvSUL359/Bj8cSk/ylC9OVOto4GHp6urqcI0kZZCQNPdK&#10;8t133ykrK4OSQaM6qTpUUndBI89tzg/2MMtNcJORRtQU/sUGWf98ccDqVEnAccClHcVqygpqumbM&#10;sNHZPWsswQisNKGb7V9dAaYcsDwYsE8661v2VhxYU41GzYPH5H57utbRxY0VXAPOqZ65T3UOQnNR&#10;gTbIUDKnkRVcZ2Xn9unRKqxMuruEH66tvrSj7HEHEkoTrvmkq/H4phq2mRUzoIJw97cf8MhaJk6y&#10;0tJ7lmYSOOthOw8Mf201JQu6bmSgXUSA3d0bjV2HqrFYTFYs/fs3iG0klOf6WcmIbqHzS65cuYLr&#10;JSkDhaS5kcuff/4p3jPf1Zb2aMAMEgTdnfyHrUgv255lWXpa0OoiCskw1jy7pQgIEdAzyI397HiV&#10;ka66kprhWzIHeARghvD02V7ujmZrZhbsWYaYYKc35l/dWXRpW+mVHcWYv/bd2dqyzAB3N6f4CHeg&#10;OWDD6ECbhHBXTzenonS/L05WQxo42LKn7MLWkmu7ii5sLfxwRfaepXlbFpZ4OJnrm3m+yh5gbxZM&#10;Tr2qLltVWf7SDmQZv/jVw/ePj1aBZ3rzCPdJhyAuyGbLgqzYYGQzX2kq5eCqHMnEYoANGB+CbviL&#10;uq7//jcZk24IIWlu5LJhwwZMveTlZK7tRjbiIqigBLhfnqrxd2NhPSngwDaWh1Rm+WxbkCJOA6f/&#10;doXnYGkkp6jxVk1zHQHo4c0mrmmOdlaLmuPaD5TfuS561DHh3o3Gq3uqr2wvEpcJUN72hWmoNccH&#10;mlv+XtxTdFsJLEHH/tLzW8vutNTfa228dU3Ytr988cQ4V0cbGhJ35G/QGfccQBumqGZAM9D48mRN&#10;X2kggGc/vDrr06Nl8P3HC1wrliFqqVGSOPZDTjXH8PXpWnTnQ0QmTZqEaycpEkLS3Ajl3r17OjrY&#10;3CVKQ2ngs4YXxAAWe9gmqC8JlJGmYmadvxvzYVu/7j7uEMSH2EjLKNB9RrjP3tsGFqee5pahZ+Fv&#10;bO5uau6mp2tUkBJ4aHX+zUOVX5+s+u0Kv6dTuH1hal/fHEJzPV2CW1f48OvNQxVH1xVU5oQZ6Bub&#10;mLsYm3voWwSYuGXANQl3+ZuCGVglq6Dmbm8qubMXBiC7ny9yoW1gmyBBbtSUFT4/PoANCYD0K6bE&#10;Yy2ovLw8uRnYYCFpboRSXFyMUJyUlDld9+7ATpPnUB7U573Ls5UU5PS1VT8/0a+7cEpzZQiVKk1z&#10;Shjz8EGjD3RYAB0z4eAjpwBgKLp3oZFdlIFVsJapmyHDzsvZrLk6CuubA5rjl4QFeFga0m014Ver&#10;YCO7aLpPITNMhJ3+NxpqGCbontnS0nI58S6EmMPgh0YHWLk5MKA5BOqaWssh9OIR8PQmEq80wJ2N&#10;KWRISMiff/6JqykpqJA0NxJpaWmRkUEmZ1KRTpNsSZ0DhStJdT+6Lu9ZXsaTTpGDFW3fsmwJJ5e7&#10;Z2mmjIy0HtvnNe1a8PZhEj28iRlYqaZDFw9BqGgYMvxL/+4O6fABT2pkH0WlSM+fEEMgsk+PVSOd&#10;uRQKNKL3bxDju4gBZz3tW2ADTr0CPmGYsnv3bkxRScGEpLmXlj/++MPDwwPRJgolKdwe61MXY8Ps&#10;FBkqVVlBll+ABMWV/AnD/Rt1m+cki38CsvvkaJWupoqanhlhU6vxCAKFNdM9MvtoztYUDc30ToHB&#10;maBt6qwoL3tua5Fk3y5837ssS1ZGemFTrORxSTxu50+qDBJPUQKN4hf6o64rxZROf/r0Ka6vpJA0&#10;NwLZsmUL2rlGUVWS/+zYgE6TW1f5tmyDU5tK7lwXfXMafhrC1yBo84M2oYeDqZyiBuONhpB7rUDo&#10;2zXV1i3Y0yfY2jXE1DMb2XcV/QkLko46rRJrWjkTTN0zrMXp3dOxdf7jEowwoZK6IYum/culAY0i&#10;lImoOGDN1CG25UXB7ekSeToyty9ME2sUqJ+xHr4aZ+rUqbi+kkLS3MvKP//5TxqNhmlScyW+IAkD&#10;NKe8ggBeER5d41mNsCRAlXkFflSqjKlH/y4w4wtNTK/M3LTQSztKwFtH16KKjq7LjwwPYHjngd9K&#10;WAWBHYmNCjy9qfAxmv5JZ/35rUXpiSEMr5zx1z2HopnhVyojp4QMpyKmWX+Uh+4OXs/ANbAokHmX&#10;P1/klmd4UykUtonO3Zb+rr11M5OQkQgpKRUVld9++w3X2ndeSJp7OZk5cyaqRVJ0Q83b1/rVCzSv&#10;/UCFkoKsgpwMr8D/1hVeb99Pzwb30JocGWlpPXN8Y4RxA4yP4KHM3OO3Lcwe6NcjDQO4WpvnpVt7&#10;xg6w5rwL7bxidi7OHLxWpLdLsO79NLZnyjgYnxkIfHGLsUMshUJdMSUeLZ8hnAAMoGaP2gSLmmL0&#10;+vbkp1Aok6pD/tHXB/K4QwDOAeptSBUVFeFa+84LSXMvIQ8ePBAv0V89LVHSlIOaGe5nKd03WcTE&#10;QOOD95P7Au8MAdDXny5y6UaaKlqm47VLjuFXtHrmgPigKPA/wfjNy4xheGaIac7UK7+qOGHwKigM&#10;kH5uUyJTYr/q8QR6+AQNI1t1FYWPDlf0+QHiguL+cgn57OnkH16T62BhhPWZUKQojpZGu5bmWTJ0&#10;Pz1aLU5/fH0eGqqTIisr+/nnn+O6+24LSXMvISKRCOM4UK/HEmseQC+3LUhLDLM7vr7I2doYUUFU&#10;gjzMWvaUgg/b28n/4Rwys1+Mni5+dpyzjKyiOCTROAOYcv5BoU86RFA4UEVvX+Wd35x365qwF9l1&#10;UADHWw9UufqGMyQ2MDT1KvD2D+08VN0X+lzw2xX++S15d/tmlj1sE7n7csadQYeDFcKVV9QIcGM9&#10;Qvd7E6sKKE9MgOX7oui4EFuMv0ADdTRVlkyMfdgmhLLlFvhnxrhgXSUAUK3oQGtMUZOSknDdfbeF&#10;pLnhyu3bt/HlqxTKniUZYi0E3LnGZ9G0zm8pBO182CaYPyFaR10JU0fwYUvTvepLg2tzvPrsGuRz&#10;15IMaSrV0DZ8vFZaMFGbqmPgSaFMfrxQ5+Lha+KWxnYMDQjhBIVx7D1CTFwSGGH1hL45RpjIxDne&#10;wSMkOIzjH8JhOYTBWV4+vrfR3fzA0Ksrjn47w4u+MiaBpw8PS6FIz2uI7FMVHBe2FsvJYFtAIDEg&#10;MmI97C2M790QwU+P2oUxwbZK8jK/XhaP3dde3V2KpadSqV1dXbgGv8NC0txwpba2FtMzH2cGofNo&#10;zbR4KoWyaloCpp3w+d3ZuvxEV/GCBz1NlR/O96cHjTQ11FDVZTI4jeO0W32iGUe47L1EtDTqNs9N&#10;Yfftfg9WHtoRiZP7oEBMWBpxMuRPln/pwZVZ2KVmCWPY4eN22g09vEnLxFFNReGTvsgFGHq7+HkJ&#10;rqBKgR7s1v3l3V31jlYmUQHWC5ti0RWEyP5KHx0sF6cHyy492hFVV6n4+Hhcg99hIWluWHLnzh1F&#10;RSTAL0WKcmj1gO31AD2dAnBanS2Nfu2bEwAVElTzzKZCW3NkWeLSSXFwpO8nflmGF1VageFfStDy&#10;8QR2mGj+hDisKI6uy2U+YwXbkDQ3EMjcuss7isAKhktNro1ijV+aAzCD62QV1CP8rQhLI746XWOg&#10;rfLjJaQToPNghbwsslkSaCPyIUWxYuk9bhdKdOfVdXyIpEE0lkIhDTqS5oYl4l45MOV6OoeYlQ6K&#10;9bhdQOg+h4OH1ua52ZpIBi85v7UIrDx9yyCkAg/S8nEDJmdCRX4UZt6CIx8YFMgYaqTlhTTHDBNF&#10;cAKxwZynXbzc9Eg0ljIx2ThCs5ETOAfULfNSxTqDPjt31ZSEz4+X93TyIwOsgbwiAmyn1nGs2frR&#10;gTadB8tB2STTQ5FmxeJ7oicnJ+N6/K4KSXMvlocPH6qpqYG6QLv54coBS7teiN2L085tKcC+I1TY&#10;IQTWU1TT/zvGkntZWLuF3UHn3MCDf3y0wsvXnxlUI3ZFMWATSrAhCBNvPHow/hOyg31lQKDft2fw&#10;qWQ/XuSau4aLE4xXMMInqOmZmRhq3CYG1gd7lrt/eRZmwu1dhkSs6+niA6MNTIaj7UC5LNJtIiUt&#10;Lf3ll1/i2vxOCklzL5ZZs2ahjaKUiw2teyhT7rnot++gti+bHE+Ropq6ZxA0e1yCGVzbUBEJlfBp&#10;Vy08+53rvOn8GAf3ILpXLosjoqMbcaHWHLbYC6M5hN1Y0AZ4Zjt7Bs5pjBfHkoQ0NYXhzL6ww+Mb&#10;DL8SqrScqDgAGgCx/gCedPAdLY1AFd3sTJ50YGFKnwkosYRQfKvD4uJiXJvfSSFp7gXy73//28gI&#10;USxoQDfPHeBHPGrl3roy9M6EgwEa+etlrqGOmoah9VvudtE5zaxgLiuo5lXAxj6dwldNS/7iZM2X&#10;J2q/OFHzxcnariP8FTOy0xLCbJ399M19DdieqdEu7QeqfFzN9cyQI/YufhmJYWtm5d48IoD0X56o&#10;+RJOP1k7ryHGzCUWuXjwgBu9NOD0t2Nn/ueiWYflqawg98nRKkkuA481xMscVHHHwnTxwWcBTry4&#10;rRjd0l9KSUnpzp07uE6/e0LS3Atk8+bNoCUgLJr2Q6SXV6xG3BXvxc/ghknaa88BNMuCogCqtDwz&#10;4G2f4MoKb5RX0jZjGFmyjRGwBn4+B4MSW7GNrVmGg2AAn1ZsQyuWoSV8gT/ZBvAdviCfbEJKFGzs&#10;FOSC+L2GxKAMSMIK/aTT9NX12ATf+e3DJGZInayCWkqEAyHE9PU9pYqy0vdaGyQPDkS/QvZ0Cfzd&#10;WJgCT5kyBdfpd09Imnue/PXXXy4uLpiWzBFFSrarj9uFtmYG0YE2356pfVbniCS+OFGtqiSvy/TE&#10;5lK8zYMPzPBGJRWt788Le7oAoldBL/JZTzgIQI8P/lOIfSH8igE5ePPV8yO8sL1UXY/51tMcAgMb&#10;ZJfeC9vE8ZYBSMz9NdPjH7Q+s3H96FDZ2U15Yl3dvSQDM+gMDQ3f2RDqJM09T65fv4729kppqCoQ&#10;AkiA9iA/SEmBZ1GS5nnzcBVKdkP4sKBw8FN+opuMrDIz5G+wgwFGcz+c557fUpCb6Jqb4Dqsz+f8&#10;RPiU/BMDIYH48zk/Df58zk/wmeial+j6ydHyS9uK1PVYfwuaY3LqFVR0gj3NJTcpxzRK8k9JwPFj&#10;6wsD3NjicIePO0RmJvgW/Tt2bMc1+x0TkuaeJzk5OZh+lGd4SXYGg9r5u7LUVRQxpgMqlJGmJoTZ&#10;n9tagOwJ3yk4sxGa0/70XYcq5WVl9C0C/xYzSMQ098GsFE2mo0F8k35881ggYdCR0YNh/ARVXfr5&#10;rUWXtv9taA4Mf2NHJPr50bV5g/tGxEyHfXl6k3vnmnDFlHhzhq6sNLV1f/9s4feF4Zie+vr64pr9&#10;jglJc8+Uhw8fKikpgXYAhd3YO2BHm18ucZvKAh+0NexfkeXvzsacAhD44uPMyop3y45zEc+he9rF&#10;z4xxlpFXZYX+PUYJJWguWd85gtZwwqjxNYLWeIxVvdl40PHRhUnDMS26w/ltfy+aQ9+FmoGfK6tn&#10;4F79gPut+FQSMNxa95dV5/hoqSthzgdIZZa3mBl/vMBTVZJH9JNK/fTTT3H9fpeEpLlnyrJlyzCN&#10;8XNl9nYNmJIOwCa+AsB2g8qTyLEHew1TMhlpyvU9peKUYMopyMnoWwYSNPithaQ1h9DcIMoYRQC7&#10;MVInySppsgqXEH4aXWA0d+FvZs0hoDklQvN5ZG2uZEMLvkJmjOPmeWmb5qQEeZrJUJH5cSCggXpa&#10;KsmRTixjrVtXxMzIy4nHupgpPB4P1+93SUiae6Y4OuKrAtfNRNZmPh9gst08VFmU4ikrI83xtRTT&#10;ItIrl+QuK6/K/JuYcoCxpDl29SZ1LX1RKUdVj8kU7CX8Oor4+9Ick9OgqKof5GHWPaCt5e5bnoXE&#10;K8EE+UIxZxqtmp5055oAtG7v0vTvz/YvjD21sQDzOfT09P7zn//gKv7OCElzQ8vHH3+MmWba6kq3&#10;rxJNuWehp0vg68ySbHi/PFmjJC+nZ+6HDbD+LTBmNGfSeEzXgTOhLLi3S5gR7Wzon01rPE5IM1r4&#10;+9IcwNghVlqaemFrYZ+mIZ7Ew3Yhi4aMLagrKxQmuy9sjrW3pFVkeX96FBkN6+7kL5sUK14Y+6RD&#10;aMU2gMQgH374Ia7l74yQNDe0CIVCTCcKk93E/ukLATbd+pkJEruQ1AmLAqRlFZjBdQTFfZsxVjR3&#10;kl22xkhf5/ZVPhTUFydq1NR12Nwdg5KNDv7WNMcME8kraSWHO4CCiZWtt6tual2Ykw3thws8UNH7&#10;bQJbc0PQWCUF2axYlx2Lc4301M9vLcKiWEMJQ2JMpd/BIHQkzQ0h/+///T9jY2NQCDDnTn6QL1as&#10;l8Wta3xdDRVtusvfrFKNCc0ZN54w9EprLAvCWhG0s8mZFlnzmsYi/tY0BzCwClGUk/n02IDgrN+e&#10;qa3M8ALbrbeLO7EyBAlYIkVZ0BS3c1GGmx0N3JHcBFfxiP9nx6qxIHQKCgpPnjzBdf3dEJLmhpBL&#10;ly6hzR6y8gGNb9OvWNAqih3SF2LJpFgqVYbhV0JQ2bccL6Q5k4ajKBmdJBx/GZxkNhxW1WPe2Fsm&#10;Lq59y7O0zdyBjwYlfjmA5wvuMOHg353mWCFcGVklflEA2irg7gWo4jdnaj49VtGyF9uklRLoyX7S&#10;gUyy6+4UrpqaqKeh8tNFrBUB669/RcSmTZtwXX83hKS5IaSmpgZUARpDQSGmVXg9BHx+vHpaXej8&#10;hsifUe2RRE9Xf8Av5M9Okb2FkZoumz760W7xMB6vaRbei6258DrjoDwW/5VGDNi1W8FjfSTRivx8&#10;SQB+K0t0gJBymADmBbC52w08k5hZswi//t1pDjIMboG+lsrv1wf0FJ/ckGdvYWzO0AONVVOW/+hI&#10;/xpYMPHWz0xs3VssTgztLspyUpGRUbiuvxtC0hxR/u///k/ssV7ZWSJWEUDnwQo9LVV0VEvK3tzg&#10;bgsPVAp4sLtL2LqvIsiNeVdCBU9vLKRSqCYuKQR9HRWA0tPDmxhIkI/Rr64vpDn9wEI9HU1VHVNm&#10;+hTTERpfJxl5C7ydzZ9KjB72dInoxrrmNZsHJR4W6A1H6HEiNS0DHS0NZuokwq9jQHOv9aUAGL5F&#10;FIr0+plJYiIDdHcIHJCYJch42YIJ0ZINLQrsT/zgt2fqFGSRnfll5eTeKb+VpDmiXL9+HaExKSkz&#10;U50nnUi4fQy9Xbz4EFsZKhUNyopo1b4VBSc35HPz/RytjGWkqVEBVuJ+EPiSHecqr6TF4tQTlPXV&#10;0MwMExnbRVnbu3l4ehqbWmibODDsg2m24SauyTT3LHZQJTO4jsURsTgNjPDGviqHgXCpZwKhOeXn&#10;0lxAQW1u0NF1eRZMA323OJZg3wgcWEbalESkT71/rQh4VY7WDFbpyhF0z7G4O7RtAlxtTS7vLE2N&#10;cmWmPJ/miGtaJe1iE4nvKMSl1wzlCaXKCm9gcYTM4FpWYLmJexbNJcnEjkO3DdQytqOzrD09vcxt&#10;3Y0d4/s2bOuPoPeKgLuraJn6DpzFCZS3sCka1NXTkf6k4wVRwnq7+EGe5ph6b9/+Di38ImmOKI2N&#10;jagaUGpzfSU91u/PcXU0lM9vL/v+PH9OfZScrLSWhioFM+0QoaydkfC0b03rb1f4qkoKuma+o+tX&#10;MvyKvdydjq7Lf9QuAh/59jXh4uaY6GDnc9vqWveXH1qVuWlO6mxRzKTaqPLs4Jy08NioMB//YFfv&#10;YLq1L8spgmYfaeQYT/fIMvHMZQVVmYVymSECIETgNYwTsRhwzPCGF1hzAYV1uf5QOL9d4WVEO6mb&#10;2LIrN7wsNzHSpiZy7Ak052BJNytfQ0j5fCCOaukKFT0GtDcPbvAhV6lRzi+iOdyaw4wvBmcCC8gL&#10;GoYQPpQJK6DC1COX7pFp6BBnYh/JcuQwrH3cfUN9/YPiY8Jy0jiVuSGT66LmNsRsmZd2ZG12+4GK&#10;w+srI/wdNs5OuXdD2NspfNgm3LUk09HJidG3A8Zowcg+GhrUrkMDdor45RJPQ1Vh1+JMSStvSECC&#10;BROiMH1NTU3FNf4dEJLmBshff/1la2uLkJaU1In1+WK9gS8rp8SXZ/r23kSqJbSKUYG2kEZZQdbZ&#10;2qQwxWP9zMT7LVhiZMuClVMTwL9gBozm5oR0v5LEcNffrw8Ipvi0s+6z49WxgdYt+LoL4GWEmnsR&#10;cCGfyBrbLiHQ4q1rwq9P17Xtrzi/tWDPkrQPZqcsmBA3qTqyoTKyNCskIyk0JTEiwD/Q3SfY0SNI&#10;QUHxuU5rQV1uAHaj7k7BTEGEqo6xWemq4TMdpKSnTY/wt5WcIQFZtWLTzKs3EBI/B8aNx1nZs9U0&#10;9T54PwUeFi4CNJcW5cxImUxIKUlzyirqjl4h7j5BQUHB8NSZiSEVOSGNlVGTayIWN8dtnJO6b2n6&#10;xe1F7QcqvznDvX1d8LgDaVSAheEW6LAmUs7YW4DPI2vyksPsvz+HfJcs/58v8wJ9XZiB1YT3+CpA&#10;ByIUG0sDxToAX+BFl6R5HBm0RclgQOJPj9fIoLOKNTQ03p15wiTNDZAff/yRiq6b0dFQetheL9YP&#10;UO6YIBsGTVtUEnBtd8mjzgmutqYfzE77vQWJ7SNp9KFqJwj0YIN/MYrhM5kckZeH092WAd3PYty6&#10;xksOs+s4UEE4PmxApeUB46A1Wfios5mmr/Eiaw6nOQCcu2FOqqq2ETAdIeVzYJo128/FciDNCdl0&#10;Q4uaTYSUzwJwJTNrlqam1uG1eeJXgFpzLs/vm/NwZHZ3NWA7xkIGUIuy/w2+DLinNhRkRzs/aB36&#10;vfx0kWtj78jkNBLe5iugSYtmz6JpS3anAO5eRzarljwi5kHAh8szfjyP+xnQLDlaIlsJg5JfuHAB&#10;1/vxLiTNDZDVq1fD6wdJi3KS9Kd+vcxXVpBDlQPplTM10jHW17qwvRy0DerV/mWZX52sFCf+8mSN&#10;nAzV0C5ikI6OHMa2nLNbJOOOEfHbFW58iO1PF4jHRwB4qJeiOQCU1ca5aWDTsSs+ICR+FsDTdLdn&#10;AdGILwI0Z2KoY163jZDyWWAVLlHX0D62PndgMzMcmmNI0uuI8cnRqtRwh74w7kSixIhm2/x0mnMi&#10;4W2+Ckzc0ikUytnN+AYjLwSUcEma98bZyX1HuPWlgRjNNTQ04Ho/3oWkuQGSmJiE0dyaGQPWsW6Y&#10;nWykp25mqotoByrAdmD7s0x0CpLdTfQ1frmEjLpCSvicWx9Fpcoyg2sICjpSTGJy6jmBbuDTSWZp&#10;MLoOVebGuhD2kB0BRkBzADB459RHqhlbohNNXjwiYV6xxtGKLklz3V1CdVVVRt2u4ZzOrtmspmO8&#10;YxGy7Yv4CoAxozmw4JI59t+dJR4nABxeFxc3dCyI8FpHAnr4RDanXk5erSbHh1D+91t4d67i36HV&#10;edwuuran9H1hRIi3hYw0NS+xfzHPqY35mBo7OTn99ddfuOqPayFprl/+53/+R0cHWSQoTaF8dQrX&#10;GFSZuPPqI1v3lz/pEF3ZVSIqDrBk6ImDL4FEBliLTT9kWasLU02XRUd69IlqOjLQvfOXTUb2PH0+&#10;eru4K6ckrJmeIOmwjAAvRXN3rtZ+d6Ya+97TKchPctNzijRtOEo4ZTDMKz+wMaOB5yi+7+OOenU1&#10;DeYwpuMx6g9pstwmV4cBt8KJvV11LbuLsWZgbGgO7jKtNuzAimwCyQ4GJJhQHsYMrCK801dAs7ap&#10;E91IEwhU8kYbZiWWZ3h/dLgGFCAj2slYT10a6YPDtZQBfm5f+vut9RqqCnBQRkbm7t27uPaPayFp&#10;rl86OzsRjaBQbM0MwIH6x81+HfoH0nWFKzR8edIhvLKztKE0CLXvkDFWccpvztTKy8oY2o6ix9ps&#10;aB388ZEBq3yehScdAnCjfr4I319Q/Z6Dl6K5r0/XuVrTsK32gF7vXOPbmhkzkpqMX2SRsas2sukG&#10;kjR3v1Wkofni6cHGjcdpYSVgpDxux3itrv1AuYOl4ZMupC8V3s4Y0Nwnx6oKktx6B8WAGxJgPRk7&#10;xQ96rSOHiWs6+BKXtvfP+wV8daoW2aEa0eB+gQN6WipxIXa25kYdH+Jdt9AcRgXYYAn27duHa/+4&#10;FpLm+mXBggXYuy/L8BxGK43g1vVGI121ny/1q/vKqfEUigxr9GYS0MObrew9JJvuXy9zdy5KOb4u&#10;u2VP0Zen4M/6e631kAAdQOBf2F4iXig6MrwczZ2po0pJJYXZiZ3lc1uLVLUM2TzwPYknSsKkeouu&#10;phrSnPTd99Y1oYaWPqv+Q0JKSSDTRyrWaWlpY6s74RXcvsqzYesb66uPGc2B5V6U7PHJceALZCD7&#10;UYfo7g3RL5dFn5+oubar4Mjq7L1L0+619Hfs3roqpFn6EF7rq4AVJpSRVYJWVnwLAJSkjRmydB+Y&#10;Tkle1seVraupempj6YNWEWR4Jj9iITJ5GE88RxSBqXpNTQ2u/eNaSJrrl4SEBOzdb5s/YKPC5+Bh&#10;m3COMAJznQCgT/GhdsoaRozRW+DF4EzghPhhsyUAP12oSwl32LYgIzPGycPRbEpNmCDftybLtzTN&#10;tzjFsyjFqzwzyIqp/+MrjEW8LM2paeppGVsubIoGigFAaZSkeRp6p5g8N6oSS7BLV0f7YUf/cDa0&#10;FuqaBqz6g8/pmzNpPKpj4z+DF47eCyGaohQPU1tvY32tMaO5rkMV1izD8oyA4hQvKPOydN/qLB9R&#10;of/UWo6DpWlFptfmuelpEQ73WrBbcIGAHFw8sTmJowK4lIahlaOVsWQjAQ9emeXDNtXdszTz18vA&#10;v6KEUPvjHxT1oDsLX9xeHBtkI1bUKzuLsSmfDg4OuPaPayFpDpc//vhDX18fXrysNPXr08PdfRUF&#10;bjdBrbvbItRSV9ZhexP08lXACm/ISkT2pcdu0Vwe3I5OHIEaPrU2dPW0BPQnhF/gC+hxd5fo1Mbi&#10;GVwOHMEy9rJ4aZrTpVuXLdPU0v7sOO5Zf3e2TktLy6z6eVNDzET7dLR1wVHFTgF8e4aromHIrD9E&#10;SCkJVuFiBk3vfitevY+uy1XVNXWoXmtsoD1WNMerzfH56ChCXlDaUOZoySNTFKfUhq2ZnoRRyZE1&#10;ecv7ulPhJ2iooLkivNlXgaF9tKy0NDiqfblCdGPvsqysODwkydenqtzt6WrKCnnxzpClw2sKdDSU&#10;793Ay+1RR4OGCtI9Jycn9+jRI7wOjF8haQ6Xb7/9FuvZMDPRhpYQ0wbA3eu1X54Y7nw0ZAyLQqV7&#10;5RCU8lXA5ohq8zH3BKqWoCjZG2ufAeAnpnDsbuzr39wEAyRIi3AEtiIcHyZGQHPATcbBhUnhDlh3&#10;FdQ0XoGfoXea8bMNOrP6A1raenda+jP5yZFaJU0ao/4wIaUYJo3HdKz9l0yKgyoNd3/ULnCyNmGk&#10;TrYU7DTWHyOau3Odn4Ns9DHgdMjP0bW5pWmecBzNW92jNlFJKvyJjL/DZ0q0HzN8FGfPTWQFVVEo&#10;0utmJGK3w/DbVaGdmf7jDuDfut2L06ZxOVd3lTzuqG/dW6KvpWJrZvDVSXz5BLygEC9L0HaQM2fO&#10;4HVg/ApJc7hs374dfemUzFhoD/sNtL1LMyP9raHphu+SKjUUuBPKg2XklFlhQoJSvgrYHGFjRRhc&#10;H+7e3VVfnuYlzh7g48NVHG9z4DVC3hY0Rp3ZNNypVQSMgOYY9YdYgn0qOrTLfcEOvjhRq6qhy352&#10;3HOz+g81NHV/u9K/NR9YqRrGVvSGI89aTWFWtUFPRwtMZkgMZ22ck6zJdIb0lvwdY+a0bpydNHjH&#10;+/utAh9Hxi8XcZcQAHxXkuqDOZW9XdzsRH+wyglv9lXACG9UVNXLjHGWVAa4qZ8La5Yw6kFbfS+6&#10;5+HTrlr4/Pl8VceBMmgUxUUNXyZUBKMKLzVjxgy8DoxfIWkOFx6Ph750yvzGKEltmFQVIk2lhPlY&#10;vlcTum959pcna6B5xPwCAhAlc2Wp65uNYi8MAGiOXxSM3eLeDVFVprf4jpA90PLiFI99y7PEBzGA&#10;380duCZ3+BgJzTWAp3mSxqnAplWjGeNFB9maJjQQzhWDVX9QUVXn+/P9JXltd5kW3f5Zk1EQ7gvM&#10;q8r2AdaAW0OldbU1pWfMgJ8s+WDNjQXNwUPlJ7phPCtxsG7ZpLjJVaGSpQ3fC5PcMLcAvmfG+4+u&#10;NUcPn6jDcGUYaUmOTUFOJlaHgFNioK0aH2TTFyF9aB3YtywLVXip+Ph4vA6MXyFpDhd/f3+E5KSk&#10;zm0WR9xHFDQ+xK42z3/PsswZ/PC0KAc7cyNzE+2MaKeru0sk1Rpw+5pAVVFezzKIoJGvCHZ4fUl6&#10;ALqOEgiooSJ9gDUHaN1fHujOJkwehj+zol0ku6iHj5FZc3CczduprqkjnjG7aU6KjpWvScPQfiuc&#10;oqJN+/Jk/7Nc3F6syXB8Fs3RGw6rG1pc2FYElRlJvK1YTZ+F3XfMrLn7rcL8BDes9w2A5eRRu9DJ&#10;0uj7c/3JAJCmJNUbozlo/+IifBmjueQLgZFjAjTAHx/pX34DuLaruDjZbf2spC9P1KDtQf9PBHxz&#10;pk5GGlnXaGJi8ueff+LVYJwKSXOI/PHHHxoaGvDKFeVlf7vczxfQeu9ZkvawDakSoNOgu71dwp8v&#10;8jfMTrE1M7i+uz8aHfwKTiJFimrqlUdQx1cEi9OYFuuPVS2greJUb6g24vsC4M8AN1b7gf4euqc3&#10;kfwIC/2/PPlSYyk4RkxztMbjug6hSyfFYtf59QpfRVWLLdwnea4YYACqG7I/OVqDJQac2ZSvwXQG&#10;PiKkxMCu/MDYQKdvjiu3JtfXKCgfc2/HhuagSM9vLVzQGDXwYO2h1TnpkY6SBj6k7O4UgtOKvSlo&#10;coIC/Ecxuio27ZwVVE2hyhK2nYNbE1rBZ6G7q4Gmrw46Ly0tPe4nCZM0h8gPP/yAjT9Ys/R70NqC&#10;AVUaBOIjfce5B1fnpkX2r3uFNLME4dIyiqxQvqRGvjoYnAlBAX6YsQa3K031Aq8Zu2nfrblrZyTW&#10;I1ErBuj3rkWp2xcMd2aMJEZMc0A69OSJEf74mpDeLoGXE4uRM0/yXDHoDUc0aFbtH/YbI/uWpKow&#10;XYfsmIODpnEitCsKp3tzhoFZyUps6smY0dy8hojL2wesLIbbZcc5H12TK3kQ8OtlPr8AiVUFpQS5&#10;tXX0HPVAnuAFKyhrlaZ7YS9iOJBUZijJCH98kvD58+fxmjBOhaQ5RI4cOYK975QIaJb7labzQNm5&#10;zXniPyXx8yWRvVk/J4LSJHEclDVpo9sxB4DqYePk+QQdXUXIlB/RIUENGG5fFXja0yGNWIkBnx2v&#10;bi4PHn4dEGPENAdgc3foams96JvwUZvrZxxSNiRzgXOqYWIraRFvX5iiYxc0+HYAuIK+W9yCphhI&#10;Bs/4+YkaNR1jJjLDDvl1zGiuPN3rzvUB/QB3bwjdbWmP2/s7yDAcXpOzeU4K9v3OdRHNYjTnGAFQ&#10;g65Zw8jG1dZEciXJswDFAmz7qKP+1lWEebEjgqIATO2XLFmC14RxKiTNITJnzhzsfU+qDhHTXG9X&#10;7byGyNr8gO4uZB65JIMALu0osWHpiaeeQBqmsaY2w3W01rFKoJlm5f/jRaRagot0cXvxkolIbZcE&#10;5Dk9yvHmYWS6gDifTzrr8xJcxI8zfLwKzTEaDqsamIk3slk7I0HXkTMkzdEajqmZ2Eu2IhvnJOs7&#10;hQ85BwVISpPhdHIDbjTtXJSmbe0r3tR1bGgOjNPceDcCp5xYn9tntfUfhFfQVBYsXhbdtr/cyC5y&#10;0GsdBRhYh6ooKdy+PqBbdkh8d7bW3sxQWVEuKsD6H30uyMbZKZjal5WV4TVhnApJc4gUFBRg73v7&#10;gjSxZoDu5sS7USkUc7peaqTjdF74wVVZX51Gll5+eqzWzc5UMljTj+e5cjIyRvYxBEUcFRg7JZze&#10;iO+j+KhdVJyCTMjC/hRj2/xUAv1BtcyL9xhOU0/Aq9AckJSubdCWuSkY257dUqDJdBpyVAFSqjFc&#10;jqzOFN937cwkQ5foIa05MNxUtGlf9HU1TqkJM/TNFLPn2NAcmEJFyVCekiXPbSgNhGtKHEHQ0yko&#10;SPQA6wkrhA2zk+heuaMYLb0fHjkUKQphx5Ih0dvJ/ekSf0FTrJVE23x1VzHSUyMlFRAQgNeEcSok&#10;zSHi5eUFLxteeev+/v30eroEDlbI3jeSIitNVVGUk5ORlqZSwDERN+PH1+dTpKh0nyKiIo4CJjED&#10;KqbWhWM3AmKtzPC5c43YgP96BWyN/k05AfAdqqXk1lnDxKvQHAAICHKL1fDPj9eqatPAxBP/KgZK&#10;iAF7l2aI77vsvVgDtzggr8HWH0uwR1NT6x66ZALKvCDZnRbNG2Oa++USl5vrLX7jgN6bgpRwR2h4&#10;xEcwfHmytqmvuwDSl2UFsMMEg17rKIAVXEulyq2eFi95dyj5pzf7M4m9CAyPOkQWprr3WxuwP3+5&#10;zJdHd8AxMDAY3xGZSJpDBIu/pKQg+9tV3DmFz7s3RFpqikkRzl5ODE01RcnIS1SKVE2Ol2SAigUT&#10;oqRlFNihPIIijgqY4Y2hgWDB4dS2a3H64BmqvV387FgXyV1l4RFqcrx/kQgrMEy8Is0ZR9SgsQ+Q&#10;S927IVJR1WQK94t/FQNoTt8hRNJ8niOM1HNPHNLDNavaYE43xCxTYKhQHytmzmxxEJSxobnWfWXv&#10;CyLEf8ID/nZVUJLiIUl8GBY0Rl3aXgwJ4KcnnfUOTu6jGEdaEqAY8kqatbl+2LvAAJowkxuGbX8D&#10;GQDzExrs31tEnx6tObg6x4Jh8EnfHJTurgYTAw1o32VlZR8/foxXhvEoJM39t7u7m0pFdiOnG2p2&#10;dyJVBcM3p6tn8SNBaYBf7reJOg9WbJyd0lQeJCoJPLAia2BMam5pupeiii5zVNctSsLYyg8sI4w7&#10;7t7gFyS5Y5MVJDGxIuijw5VYGgB8mVHH6ewLvzN8vCLNMTOmxwTb9c2AEZka6ZrXbRX/KgZKc6Fb&#10;5qeKMzy9NlzXPQmlOeLSfUb2+0EeeER1cAbN6EZmlevHmOYOr8lbP6t/80D4cmJ97or38NkzYgC/&#10;5MW7YkNGUETnthQZjWocaUnQw5vU9NgcHyiZfiseFCPIw6ypgjO/IboyyyvS39qCqaemJAfuLTTU&#10;gEOr8C5OSOnrykaPSX3yySd4fRiPQtLcfz/99FPURJPydWVJbhsKejy4oYYj2EGxugOgSgd6mGno&#10;m4/6MKsYDP/SyTVIWA4sD1Prwlr2lErmAXBgRfam/ljYSA7BDTy9oX+28zDxijTHLl1pb2GKzYCB&#10;T09HJjNvvvhXMeCy+o4IzYnvO71OTHMEnKTFCXPiXLDK/LijXlVVjS3cO8Y0t3Ve8ocrwMXuV4mZ&#10;vHDxYAsGKPODK7PXTMPnskFmSjL9WcF1hLc5itBmuLNo2gNnQXHzkzxQjcb8D2C3fkcEvi1qjsY0&#10;B1Jmx7lixw8fPozXh/EoJM3999ixY9ibhlcOL75PVxBg31H0K/dgdHfVmxppaDM9TEd7bhQKpOsa&#10;CNTa3kUcmePnS7ziFA+CQff1qer6Yn/xn5D/zXOhZhLXgb0Qr0pz3J26WrhdDOWZHO5gktQs/lUM&#10;sOb07AJ3Len3vhdPjDFwSwCaIzAdciSooLkqBEv2zZk6VU1DdHkZnmBsaG5xU+SZjdniP4FzS1M9&#10;CAu/wJTLiXW5fwO/+I/nuXQrj1GfMScJA5twJQW5O9f6swHvfRo3DPQZGE1Omsow1grxtipJ83pf&#10;GL57Seb7oti6fPEqQG5zJbaylbJ8+XK8PoxHIWnuv2vWrMF0oqF0JLPMAHda6uVlpA1tIwkqOLqg&#10;e2YvasaCcyCVeUFj9IGVOWIuhlr3sGNiQVL/UODTrtrdi1N3LXrpGcKvSHOs+oPqmvriPkFeoT8t&#10;vFz8qxi0xmNqdMeTH/Rvu/fB+8kGzpGDrTk4oucYsXo6ZiJxz28tIqwJGxuamyOKvLqrP2AvMpCd&#10;4PGka4LYYcSC1G+bj/c2Qk6EJcFM/9HcxHIwTNwzqFKUzg8HRKnZsTDd1c70xr6yuzcakelQnZBD&#10;5GWBthxfnxcdZNdHc3WrpsWjui/V2NiI14fxKCTN/XfKlClogya1sGnAOp7h4+bBMiqFYuqWQVDB&#10;0QUjfIKFjcuvl/H6+ahdAH7cx0drfrzAWzklTlQc0lgaFuZjLR6pAOxZnLJu+os3kSDgFWmO3nBE&#10;3ciidT/eJzivIVp/KFeU0XBYw9hCcqrzgeUZGuae4tlwYsARDZbLsbXZUEsBm2Yn6dgHS15wzGju&#10;Or4ZLgLwE72dWA0lYVDyH8xM+u0K/8qusooMr248FFXdp8dq6FZer9WUAzD8yyhS1IOrBmzSCqz3&#10;HjoDVNwKAuD7wzZBeaa3NUtfPM1o//IszKHNzc3F68N4FJLm/ltWVoa+aClJB+qlcGxdnpQUle5b&#10;SlDBUQfodHm2P1RRTH1/vlgrKg6cVsNpP1DR3YnsOpoV4wxfxBnbuzh1y9wBax6Hg1ejuZNgpmma&#10;eXy4MhNLsG1Bqo5NALio4tMxsOs/VNXQxaY9Y2jZW6ZBswaWJAxBACGq6bOx3TDgwadzww290984&#10;zd26KizPQFatPukQXN1Z8l5VaFN58L0W/NV0dwqSIj2ZwbWENzjqYIVwqVT5FVMGNGYowfUPSmCA&#10;rEb5WcKb5fhYiIfawOLDaC4sLAyvD+NRSJrDY6PDyz67aUBv/YNW/v1W0YM2kXhLpO5OEbTh0BKK&#10;iQbD2hmJUlIyZqFcggqONiaZhjcb24YeWp2L3h1zQ5AWuw+8wmQPyXi8e8BpXTzWTiswmoFrzIr3&#10;8Ip3eWexpqkdveEowaBj1W0z0NV+jM57wPDTJZ6ahj4aJH1ASjPRAXUNbaAV7DHL0r1MormSCcaG&#10;5ubVR1za0a8hX5/i1mT69r0F5L7Yu0D/5K6anmSCbM/6ek05AIvTICuv2lQxYF+IIQG5unNd8ASa&#10;Q4lJAl+drkb34B/n0dJJmvuvj48PRnMfH8VjqwJAJ7JinTTVlHTUlcN9zJ+iu8kkh9mZm+q62prE&#10;B9tKGk3T6kJl5VVGN5rms8AIb7Swcf68Lxy5JCDPBUke927gNAdVbsP7SYfXDHBnhoNXprkTxiHF&#10;4g1Zvj5dp6JpyJJIgIGZv8DLiS05tP2kS2Skr21WS5x9wqreYmKogxU4UDnH14qeiYSZE2NsaG7F&#10;5OhTG/rHcz4/zq3OwGmOgMs7SxnWXqO1N+vzwQifoKSuX5RCDM81TADxqSjKg/4bGhri9WE8Cklz&#10;/7W2tobXTJWS+vHCAEXZv7LAzFRn/4rsh31zbn9vEcxpiFZVkj+xsVTsFIB61eX7ySlpjm7cxOeA&#10;Gcx1d3X68TxxmW1vFy8pzP5hmwg1LhAsmxR7dvPz9uofEq9IcwDjOFFmLB7Y9kGbUENDiynYMyBB&#10;4wlaVG1xirsETYApxA/2smRmvS+ZEsAqWOThyIZmBp6op1NkY0Zjl62WTDA2NLd9QcqHy/u7NX44&#10;jywyIdAc5PCz49U2do6MMBHhrb0m0MObVLUZsSEOg73U4eBRR4O2mjLov6Ki4jheCPGu0xy8WiMj&#10;I3jNKkrykpMDHneIHMwNPzlWA4orPggAZVo6Ka4MifrfT3PZsa4qmsb01zPTfTDogIBKD1cHMJQk&#10;2/DurvqYANveLjwWNnzO4HI6D4319GAAM3dugLs5Nt8FfHw23cC8eqNkArimvnMUYY/tp5113Hx/&#10;o6BCgntLT56YFo0vH0a2rFZVNRcNiGE3NjR3ZE3eB+/3Tw9+3C6KC4LSRq4jLvDOg5X2Do7MkNey&#10;GGZIAM1pGtl6OzNHRnOgM2wTbdB/GRmZp0+f4rVi3Mm7TnN//vmniooKvGYdTZWHEosTW/aUcJBR&#10;yyFU5/cWoSVDTxycGupVRICtuh6bznntHTGSYAbXWts6nNxYKK6xrfvLeeiUqJ5OYdv+8vdFMU7W&#10;jJ8kNigYJl6d5sxqNrJM0S290Z5vfzcLZvZcyQTMhsOq+uwbe/t79DHsWJSqbelNGGw1DC4WFPph&#10;VPLjBZ6KpgFhW5yxoblru0u9XSwWNsV+cqwa65/NjnX5/hzeH9fTxd+1NJNl5cIMfS3LV5+NZh26&#10;izVrwMbewwe8IydrGuLNUKm///47XivGnbzrNPfHH39gATWNdTWeSKz0OrYuJ8jDEnOUMIh/utsi&#10;oumqi2fqQivq726mpmdBD29+DVGYngcmp4FmHVia4d92oPKbM7z4EPuN8/KaqyJ8fANMnGJZwbU0&#10;c2dx6Lfh49X75izrtqoo480G8E5GtLNJQmNfAmQU1axms5GBzsM2JG9QtvdbcJv0mzNcVU0DtrB/&#10;431kTZh7PJALluDS9mJ1AzZhmGJsaO7bM7VGFr7MwCqaQ1RISOA0XtSyKRm58a4/XBBc2VWSmeBt&#10;bMdhjnYk9OFAk+5ON9Ls6cIX5L8UoBy8nRig/yDff/89XivGnbzrNNfb24u9Yytmf4AawPU9JQqy&#10;MvtX5mBMJz4OarF0UrypoaZ4+BWO2FsY6SKR5sbUmutDMzOo2sgm1JDlqsf2prkks0L5mPvM4DQ5&#10;OXt2v/w2hq9Cc5AYPFZVXXp8iO0DdDEAlF59aaBxSLGkK2oSw0/rCyze3SWYzo3ENi4Aj9vJ2oRV&#10;sEicEmhOx8p7/3I8XtNnRytcbE012W6s6k3iC44Nzd1tEZhYumPFzghvYgXX0ZwT9FieRmw3I7sI&#10;JrKia6wVAGtWDayDNVUVu7smPL1JzPMLAa+A42uBVYFxvKz1Xae5e/fuYe/Y2cYYW4aJ4VG7iG6o&#10;KSsjHept8V5N2LqZydvmp66elliU4iEvK52b0B/yCMx+tqmuLus1rfQaPrC7Y0HNkE8GZ0JYIHFB&#10;2HAwYpoD3mGkTNbT1dm3PEvcPMDnouZYfdc48dQ5GrLdqt/G2clYgq9O1+prqWDhjICk6ksCDXwz&#10;xBRGbziiamje1hcgC0551C6YWsdR0TJmlazAko0NzXV3iRycXLHx04Fm+5t875ATI9twJTnZh+0T&#10;CBkeDqB1iQ+zw6pAW1sbXivGnbzrNHf79m30FVPc7emE3o2tC9KkqcjWRwTRVFP66HD/3P2ernpw&#10;GXSYox/s/xWBbNcf74FRyUthxDTHLlmhpa17aQcSgwi7FJAONB47FudoWfqKac6Mt0tDU/tXdGsh&#10;MEBWTY2jUqSwuKFPu2ov7ShR1WeLQ9Sx6w8qq+t+e34CuroD9217u3jLpySq6jFZ3F2QxkIANPfa&#10;t6OGm4YHe4zu5vmjAkPbSAU5mbst/V0uwwfQXFq0M6bY165dw2vFuJN3nea+//577B37ODMll0mh&#10;GsDbNDdVR0MJ7bxD51BKSbFMtM9vLYK6JE7W09VgrKeuzfQiKN8bByuoekJFqDifw8eIaO4wveGo&#10;BsNxxdQEzM4Fpvv2TG1dnp8121BTQ12NZmOKLG9ATjeNFSSE2qPJuGD0RQXaaBub1+bhQdOedAit&#10;2UaswiVYYjZvl4ysir6ulqOVyTQuBzxHLJNwYlmGp4FHAq3x+Njs0wpPlJ/iww4fo5kiwwfQnJyM&#10;9K2rIxmCgOJKj3HBdPvs2bN4rRh3QtIcTnP+rsjMrIEagODXS/zV0xJq833r8v02zU25f2MAFQK6&#10;geb01TWZo7ynyavDxDNn/YwEQm6Hg5ejudN1qrqmrPqDrJw59pY0LK4nVJ7LO4oN9bQNvVNZpass&#10;hbtZZWtMGo6Dj2nacFST4bBvWSZm8f14gauuoWNfNI9hLB685k6pCTVwj8fuayo8yK5cbyncw8xb&#10;oGMb4Gxj/NNF/NXAuVpa2mZ1W63428eG5t6rDWO85qX4I4C+TbScjMyIaS4vEYvaJHX69Gm8Vow7&#10;IWmun+aeo/pYvQIQjgMwa+4tpDlDuygwPAm5HQ5e1pqTk1PQMXNW1jae14gHMgObi22qz0yaQEP2&#10;oh6wQJVdvIxB033Uhu+TsLg5Rtc+BFnGT7M+th4P9/jVyVpVDV0Wf7fkiQCwBw08kxPD7LGOPzC3&#10;UyIcFDWNlHUZxvoaY0Bz2+an0NzSCOX8xvGqNJfgjlUBkubGrQyT5p6Dt5DmkPnD4c36LA9xOJOX&#10;wkvR3MNW7qkNeSc/yD+5Ie/WZXxv6a3zUrTNPU37N5bGmc6k8bieI2eWIBzOBdbo7hQ625iyst4H&#10;K48WUSXehvVpJy810tEkolI8ECG+CFu4T1ld9/MT+DL+b09VXt6af3lbfsuuAmyS4+ujOUDr/nID&#10;q1BCab9x6NtEvRrNkdbceJfn9M0NBmaAEIA5rW9b3xw9vMnWwU1y4e3w8VI0h2FgyXAbS4OMAvIG&#10;nnUSOItdsV5bS+u3KzjFAD+qGpgx6g8jP/F2qmvqfHcWv9SFbSUqWjSWqH8CHQZgKx0Lz8MS+4ER&#10;8FppDqxUmrkboajfOEarb+7cuXN4rRh38q7TXN9Iq5S7PR2btf8cQA0UQ3wQHWnV0mF6EpTvzYIR&#10;3hgX5ime9fJSeFma6ysTMetxZ/A4Bl6p4iDmGMCU03eKbCoPwUoPGpWYIFuTGC5wHIrjem6xk6tC&#10;sev0dAo4vlYmUXUDDTqsa8/x1AfI7q7YdSA9BvTWyJ+vjea4vZ1CT3c3evjbNdhqaBOBjLTeqJdU&#10;y2ECioscaR3/0j9vztr4+TQHOvTx4Yoj6/L2LEs/L7GJck+XwMxUV4/pMcZLIJ4PVkgdvzBwBHoP&#10;eCmau3WFx8vz5+YFADo/xGe3XdpeqKpjyhJ9KHkWu3iFob7Ob5eRAVZIc2VHiYqOCQvZ9AtnQ3b5&#10;GgNd7VuorQc5v7i9WEXLiC0YsHzVrHK9lobGneuI3Q1VdO/SDG5uAGByVRg27fG10hxcPDPekx3e&#10;gBbya9h3dUQwtOW82rw5e6wKkPPmxq08ffoUe8eWTH3JVRBPOnifH689vj73u9P4FDmoeGumJ9CN&#10;NKWkKBmx/bvZ93bxHCzf4CqIoUFzz9w4u3+d+UvhZYcgFJU1DP1ztcy9a/P8sGLp7uInhtnpOUUx&#10;6w9i5hi94YiWmcfCZnzD7J4ufqQ/GGs1kpcFJtK1D5nGxXf2gYJNi3IyDszHJtzBdczqdqrT7KbU&#10;hYmXTHg5MfVdY419M4z1NV/3EAQK7kx+5OuOe/6yMLAO1lBR6O5qGpTbFwOKK8yHXAUx3kViTaum&#10;5JrWKzsKpSlSNmx9sFBAFaDK9SI7GfIftAlL0jxCvMyxmoYqCi/A3VxVz4KgfG8WBlbBXQdfOjYJ&#10;hpelOWzeHLtyva6ONhbMCuj19lV+XLCNmqG5cVixaXy9oUeCsw3tURtmcNUdWZOrps9iDup6Y5et&#10;0tfV/vkS7mt/cbJGU1PTJDjfNKHeKCBXWdOwNse3uxO32s5vLVLVpYPNODarIABoznOMHRMIpf1m&#10;0bemFR4f18nhA1Tai1zTOu7lzz//VFVVhXeMRChp67fmPjtWyaRp37kuutvCzY5xigyw9nZigq8K&#10;iv7NGa6PMwN1kbAqzY3EIpS8NdYc5IRp5SLJ2i+FEdHcIVrjcQP3xJx4V/EOtj2dgqPrcsHEg4ON&#10;ZcGfHcXt4oftAgcrY2bqZEK/G4DWABeJq0OsQsS3hbI9t6WQV+ifk+AqKgm8vLMYm0oCF7l/Q+Dh&#10;QKfHCuAiYzM9GMMvl/n67De+sK8f8K516C42bIMXDqANCTRCiTHoPxmhZDzLwHhz/Yry21WRHzLF&#10;hNfdwTu1sZhmoLlnWW4PskNS3f3WekcLI7TxRFJCvcqOdUPizY1JtNjhgMlpjArxGHFNHhnNGTWe&#10;ZAr2qhlZTSgPQQ0usWUBXzDg12/fX6KjqWoSUiRe8C8Gi7/H0DWGbqhx55pk5olXeNAqSI9y0LYN&#10;RjeOGKM1rRiAF9zc3N6edw050TCyQbcYHmK4CWsSngNQYzMy3ty7IOLowT+d769IjzqaHMwNuruE&#10;YD6AZscG217aVQ3c9+Up7q6lOQZaag/b+mmuLt9PXknzjQThGRKMwKqm8pEs88IwEprr2zWVVb1Z&#10;jWaTEeX8zRmkc03yshLgfna8JtjLXJPlyqr8ALPpTBuOMdKnqOqaZse7fHe2FkpVktcwPO2shWt2&#10;Hqz0dzPTsvJj9o1OjCXNQa7yk31YnLdlyRfQnKo2Iy7EHi0xQlYR9CJGMe9ZvyLRg9XJ6MHvgPj6&#10;+kohO5NLYXtHAaANfHKz3oKhBxUmyMPC2cZUXVVJTUVRWUEW2BBSqijK3bneX0+mc8duL4jhwMgp&#10;/vDq/o2TXxYjteaQn4CzgH0MvdO0tHQKkt23L0jrOFD+5cma3s4B1QxK+HG7YJYwUl1Llx4vMq/a&#10;oGMTaMU2PLImD9oVyZSAng7u5ydqWvaUfPB+clK4g6qGngmnnC5hCY4tzdWtmhpv4pFDKPM3BXr4&#10;BCU1vZI0z8FE1tPJP7ImpyLLKyncviTNY9v8tIdteGRpMe5cFygje0FQyL0gxrmId/Y6s7F/36be&#10;LoEVUx+ODyUIJ357placeO3MZCmKDPu17+w1TDQbm7mJp+COAK9CcxhojcfZtVtp4ZXalr5KGvpe&#10;DqY9KK1AVXzUVi/uRYI/r+0udbSkqaqqT6wMudvSn+feTsGjdnwi2OMOoamBhrIWTdc+mBbDZ/N2&#10;Ezr1xpjmPj5SZWAZMKjY3wxY4Q2y8mrNlcGETN65xksMs8d27UIFUVpXW+NPj1VKMt3Xp2vInb3e&#10;CSkvL0f1YMA+rdj4qaKcDNtEx8OBHu5vkx7lWpPr21wRNEsQbmqo2XWoPxbT8XW5FCmKqW8xQQXf&#10;CJjhjaGBHpI7Zr0sXp3mxDRk0nDc0DN5Sm0Ylvj36wJjHVVPB+aqqXGPO5AcQpW718KHuoeNXD/t&#10;qoU/Z4siHa1o9mb4FB9grvRoF3q8QBzKiYAxpjnIlZ2Dy1vSPYfs0yotv3JqnCR5gUWcE4evbQAS&#10;6+c6KYqZifavl/rtvhv7yrFfORwOXh/Go5A0J951nzK/MVL8+p/e5MYE21/eVQU6jXZtYL0bGOqW&#10;Tozr+rB/usbNQ+VUCsXEPf1tmCHM8C+fWDXyjjnAq9OcGKYNxzTpDqc25mOV8MOVWVp0e1bWLA2W&#10;S5i3+e2r/fUNAGnARnayNtG29rPIna2sYfDFCWSRLByf3xil75Fg9HbQ3NNObkm6LzuUTyj5NwJk&#10;132KNGHX/Y+PVMrLUItSPC5uL2rfX3JlZ/H2hRm8An9jPQ0KhTKpCl+IAti/PBujOXLX/XEua9as&#10;QV+0VD2ytai44nFPf5B//8bQnehQl1BFwRP/3lIvLyNtaBtJUMGxB50z0cg24tzWAftqvyxGkeaY&#10;DYeV1XR/vIAX48TKYEO/bLD1GPWH9Vwi0yIdMWcWw5N2gY8zyzgwl95wxKTxuLaF975l+NrV4+vz&#10;NZnOJo1HCdfHMMY0B9g2P5Xmmkoo/DcCE/cM8CQ6D5ZDrsTkBcZyZIB1dyfSEwcGMvqJlMyda8Iw&#10;H0s/iWHZlVNiMWuvsbERrw/jUUia++/x48cxmsuMdUVNNlxXho/urga6kZY2w/2NT6eic5rMrV0e&#10;SEwAHAFGkeYshXt1dXSwCYlQtcD3NE1oQJfxn2QJ96vqMS5sK4af/onWw63zUzXoDtiuXUCFBp7J&#10;Yvv6ixPVylrG4sCcBIw9zf18kWfIfvOvGzJgYM1RUpAD/urjOOSlzORx5gijxblFcBMhO/hydkuh&#10;vZlh3+NzmyuCMZpbvnw5Xh/Go5A0999PP/0UozlfF+bItL+3ixfkaa6uZ/7GZwizwgTpMSNcsS/G&#10;SGiu4RAQ02CwqzaaGOpjE5WhlAI9LNn58+EK6K/HjQLzeAX4+jDIc0qEk2mcSHyuUWiJsNgfy9Kd&#10;6wJ1TV2z+g/Fv4oBVxt7muvtEgT5uTLQKURvtKeiWZvhxqJpi2dxAoDO1s1MaCgNxl4QARe2FsYE&#10;2vaVOTcrzg2juSNHjuD1YTwKSXP/7enpoaJ7PpgaanaPaOUAqEtZupeiii7jTceuMHHPXD0toa9h&#10;HyFekua4Coqqeq5xOm4Jg6FrF0o31MUqYc9NvpcTW9c2EPnJFZCobe4ZF2KHkXJvl9DBwkTHyl8X&#10;+QmBJsOxOtsHu8v9VpGWhrqBSwx+5b40GAycI431NbvHkOaghCdVh77xSML08CY1XVa4n5VkwwZ5&#10;++kiz5Zt+PlxbIJU/5SAnk5+cYr7upmJmIZAIYADi9EcNPZ4fRiPQtIcIrq6uvCmFeVlf7vyTDsI&#10;NAOU6dsztR+uzGzdW0aY3rVgQpS0jDw7dOy2Wx8MMCuMzb2+PtWv1iPDS9Hc3evcVVPjVk6Nfxa2&#10;zk3BygoIaO+yDMKvh1Zl9VkW/O0LUlcOvNT5rcg+OAConxtmJa6Q+ImAzXOSsHkqY0NzgEs7igyt&#10;33CITWZ4o5ySZm2ur6ThBoq6dnqKga4G3Uhry7w0bOlOd6eg81BVUYpHbIg9NsYNeNLZAC8aNF9W&#10;Vvbx48d4ZRiPQtIcIt7e3vCyoVFr3TegK7cPyOJKwKppCUryshQKRZpCLUn17O5TF8CJD/IoUlS6&#10;TyFBEccSzPAGXy+Xka1tlMRL0dzbhjGjuccdQmtbJwa6Je6bAiu4hkKVXT0tXjJjUAJXdxQA9deX&#10;BOXGOT1qB33gTqoIVleWl6ZQnKyMH7Ri7QGyPldBTgY038DAAK8J41RImkOksLAQXjbItvlpEupS&#10;136gdHFzbEmqR8eBki9O1iiiOqGkIBfub62pqrhmWv+GMkAKcjLSRvbRBEUcS9D9SidVh4GWi3M1&#10;MpA0NxyAaV+c5stC5oS/ucBzHlnQuF7ZWTowY+LvSNuMvSZo/Lo763+7Krx5sLIXte8AV3aWIP6q&#10;lFRAQABeE8apkDSHyNy5c9HXLTW5qn82OajImhnJSgrydfl+d6/zZgsjwOCjSFFWTk3s7eLtXpqV&#10;EGYn5pTurnqWibY2w5WoiGMIQ+vga7tLxPkfMYZDc1EB9tvmpw4PKXeu4le+c6UW/tw6PxWA/Xpm&#10;Ux5WhsAa4MCKz4IE+5ami3sGPjlSKj7lRUjzdjZnprx2mgPsW5Zh7BhPeAtjCQOrEBVF+TvXRmi/&#10;r5+VhKl9RUUFXhPGqZA0h8jRo0ex950c7ihmLmgVW/aURfpZdXcKoL6FeiPRB5UV5W5fRaYjtewt&#10;jwvBR6wAvV3cpHBHFU3am/JiGJwJDo7OTzpGsiEAAS+kOXr6DAOXyOHA0DlKRcvowIos7Mq/XhHK&#10;ycjQnMOwX/XM3SICrDHG6e0SWjKNDO0DsJ/0LdxdbU37OvXqBEX+mqa2Bi4R2K8vQhS7eDkhz6+D&#10;5u5cFzIsnN/U8DrcV8PQxsWWNtJuCi6UKqb2y5Ytw2vCOBWS5hD54YcfsOCa1qy+BUY3EVXYtSij&#10;viQQvvx6ha+qJA8JIvytoIaAYlVn+y5sihU7CPBlliBcWkaR9YYmxzODqmvyAsS0+yp4Ic0BjBuP&#10;DwfIuYG54nnXPZ0COwtjdtFS7FdWxkyU5vCRVkuWsUU1ErAE+TWsrDzDqxfNT0+XwMeFzcyZg531&#10;Qhghn8QMvw6ag5ynRnuwQgWEdzE2YHEaFZS1yjO8R9Z7AJkP97dCWU7qwoULeE0Yp0LSHCJ//PGH&#10;hgYy5IQOtvZXgE+PVlmY6m6dn5EW5QTuKmDNjIRfL3GB42SkqRkxLpLbR5zdVEihUOleeQR1HAPQ&#10;0e2dTm3Il5w9MGIMh+aGjZPMvPmudvQeZI8xpKtIUOhv5J+D0VAfzfVZcyxj8+oP4BRkXxum896l&#10;+BKIHy/w1DR12YK9A6/8cngdNAfYMDv5TS2HYAZVUSky62cmErIkgefRX3dXA01fHXReRkbm7t27&#10;eE0Yp0LSHC7+/ogBDxbd2S39K6WgxWsoDaQi/IaIrzPjYatg/zJgPecZPM6R1XigTQx3rgnVlOT1&#10;LIMI6jgGoIc3Wdk6PWwbBY8VMKo0d4IlOqiqbXzzMBLpAGze1n3lylrG2G44z6C5E+yKdQZ62vda&#10;kMeBU9ZMT9Cx8Td5xoLWYeI10dzPl/g0C7c3shzC2ClRmkr95CgePawPSFvy6yXetvmp8ydEr5qa&#10;+PGRyl5kRTbyq9j5AHx9uhaaatB5ExOTcRxpDhOS5nDh8XjwykHmN0ZKakNPFxK0a0JZwLoZCffQ&#10;SEHwK2iSZBoMvV18f3eWup7Z2MeuYIVwS9N9R8VjBYwuzYHhZuiVCn5rn3MqCPGyMI0XIeu9hqI5&#10;GhLUJElUHIg9DpR/gLs5A4moPmA7xJfFa6I5YJC4cI8xjrIJxjs9vFmb7sqiaT/uGLCwDwp5y7xU&#10;bQ0lbAgVBLgsN8HlzvX+9hjDvmVZWIL4+Hi8DoxfIWkOlx07diDvnCKVHu0s3s7mJYGsEJSRUx77&#10;+JqGDrGHnh1HEx6np0uEducPwc6DMYjmXsmMAieUXb7WQE/nVl/c87NbilS0aSz+niFpzqx8rY62&#10;zvfn8FdwdVepirbJ4M1xXhYYzZ3f9nI0B1QLvIyWHpKfwaX3tLNu1bQEU49swht53WCET1BS1cuO&#10;I67C/nBVjpyMNLawQVJCvc2w/YbEaCwLxH6aNWsWXgfGr5A0h8t3332HjUKwaVrdEjsZDh9QB05v&#10;KqBQqKaeY6r0YDyyrZwftA6R51tX+QsnRJWkehWl+BSneE+pDpWMNfYsiGlu//IsLbabScMr0hxC&#10;Mbr2ITP44dj1weLIT3QzcE8wy5hOoDmbytWabPf3hWBQI/kEiokPsadxKtCBBeJlXwr0hsNq+syO&#10;A2XDp7lvz9Q2lgQWpXhD6UEZrpqacO8GMfouABjZ2HysNyNnBVVRKDJrJTrmIGOP2oXmdJ2EMPst&#10;89J2LEqfwQuPDrRRUZTDupVXTY2TSMwL9sT3LTx79ixeB8avkDSHyx9//GFgYABvXVaa+tWI1kuB&#10;nt27IdTRUNZl+4zlcm5WKD83yZvQqoMe71mSkZfgen5r0ZMOIfhWPV2CyzuLY4Nszm0pwvzHZ+FJ&#10;pxBo7rtzdb9d4evqaKEDo0TWeEmcZJet1tPV+RbZ5AEpqF8u88wZBgznsIE0Z8RyCw9wZ4vtjhMb&#10;8pEtqwfuSD0ysPLmWTAMHncIL2wr8nR6Ac2Bp7x/RXZ8iG3XoSqgWjCEH7cLj67Lz451ObWxgFDU&#10;8Gt4kNsY7wRiaBclKy399ekBinpkTa6fK/NJh0jMxfDef77Em1gZIicjw/GxFL/3h+0NmqoKoO1y&#10;cnKPHj3C68D4FZLm+iUxMRFePDR8W+dhayFebPgQAGqUEGqvrGE0lmv4jZ2Tdi9Jl6x7UIfnN8bM&#10;FkY86RhgfcD3z45X0w21G0tDsL1QJX8VA+qtpwP9wMps8NQ+eD9FRcuQmTvbtGHoWG/DBOL5+mak&#10;Rzv3RUuvu76nVFNVKSIAmaCD3lRoxTSkG2l+eRIJpQm41yKwMzdipEx8RZKF09mV61V16dvmp0Ep&#10;LZ0UnxrlRKAqFMgROP71qZrqnABzU52fLg5IA3l+0CZoLAnYPDdZsp2AUxY1x5h65RLey+sD2O8a&#10;hlbONjR0/Lo/hxMrg8EVJegtZBvIbio33M7cQDwx4MqOYsytdXR0xLV/XAtJc/2yaNEihOakKCOe&#10;iwRnrZoWD94EM7CSoJqvDU10C+e7LeJwY0itWz0tYWFTLNoZJ84YDmCu+uLAfStL+Pn+a6cngptD&#10;SACAS62bmeRgYQhUCPV579Islom+loUXPfU9JhoKicAjwwRTsE/VwHzjnFQxoRxbl5cW6SimOT8X&#10;s5a9pXAcrZn8yixvXftQ04ZjcO4IbgqnIAQn3G8SUa2qpb9gQhRc89ZVgQVd9+CqnKedQzz1/RuC&#10;BY3RE8qC18/OWdQUQ0iAAS4yqTJ4//JsyKf4IJj/hubeg17N6wKbI5SRVWosk4wCi5QnlFhMsE0P&#10;ul03AZd3lLjbm4JlCt/hSWcJIlCWk6qtrcW1f1wLSXP9cvPmTezd27D7272XxTdn6+RlZQxswgmq&#10;+ZrAChOmx3mJqxxo8NXdpVxkO+dnOmVXdhTN5IZBdT29oaAiw+fYulx0a23JNNyeTn5Njrc1S+/4&#10;+ryeTtHdFsG6mYk+LkxVXVPj8HI2byfaWfbSQ5+s4mVaWjote5H4CNiNvjtT3cd6PDCjxN/XzUpW&#10;0WWwebsIVxgmaA3H2XXbjYMLwRSNDrS9uqsELJofL3DDvM0LktzgeaGg+vKAFFp3p2DnwvSqLB+w&#10;MYEL6nJ9vjmNG5WD0d0hKEx0+/xEtfgiYKIG+42d32rimgaN8aXtSERSSUysCqJSKdwC/1+v8OF5&#10;xdmDtm1OfVR5Bq4n8FNkgA2m6vv27cO1f1wLSXP98r//+786Ojrw7qWplK9O9WvPSwGqkL8bW1WH&#10;NTarvmiuaZvmpojv/rCdnxXj8rvE5ooYgNTEVHi/taEkxR1zu550CjbNTq7K8m3dWw7MKFn5obZv&#10;npdqZqrjamuyuDnm9lVhd5fw4vbijBgXVXVtA494dsVaE8TUegmyA9eVmTTB1Fj3s2P4Jg+Sd8QA&#10;+Ty4OlddS59VsuIlmfQkmG/gXLNLV+q7xqiraxWluLftr4AHuXWVP1sUZaKnXpfni0bsEN8LKZkz&#10;mwsqM7z3LcvC6B44Ky/eDYteh6YB63JAVyac9cN5bkGim6TdBPYRY0z2PKJzmrVoDgxj7ScDp5IA&#10;ru4soSLjaBQNVcW0KKdVSCSromu7ypdMitNSUzrfFzr/XqtIQwVZ0iMjI3Pv3j1c+8e1kDQ3QJKT&#10;k9FGTmr1tOdMLn8+uAuboilUWVZwDUFBXweMzdx/udxPT6umJOxdljmYOzbMSppQHvz7daRaQgUu&#10;TIKGHaVCdE3bg1bBwgnRvPyAj49UEqr04w7hkbW5CaF2BloqNbk+XYcqwc795kzdhLIgQz0tbUtv&#10;ZuYsxjNilw8JsLNMwissGPqfHsPtuL5PhD7g7gdX5Wpq67Jy57yUowqJmfWHGanvabHdTI10ptSG&#10;ARMBwXUdrqrN9YXMp4Q7XN0Fllr/0wHBtewpq8vxWzMt8THOfUhOgOwKktyxlD9fAk/Q68gafE2u&#10;BLhLJ8Uizm/fkZuHK/UtxmJXQxZHJCsP72JAjDkM8E4Lk90xBQZBCA/dZx2oLyPGqbePlE8iQcMQ&#10;cXZ2HvcTgzEhaW6ArF27FlUAqdQIR0KFHz6+Pl0rJyNjaMshKOjogh4+kclpiAj2EPunD9oEiBky&#10;VNfMsbU53KKwsjSvSztKurtEeYmekl4tyi/c367wZ/EjJ5QFf3myRmz69SXgfXa8WlAcQNNTi/S3&#10;OrAi61E7eLJCaAycbUxVDcxMYurYgr3iaR/PZyiwAU3CK+k0/cs7EV9SzBRgRq2enqSurc/KnTu8&#10;GSSIrYfsCcvdSQsrU9VleDkxwba93yp83CE6uCo7JtDGSFeVX+j/6XFwMPHnRbfu53cerODm+S9u&#10;ir7XQiwuoLniFNfeTj7we3W2b0GK781D/bu4ifGwVZgrUdrg2gNrMF7/zHAT11QKhXpeYq2OJO63&#10;8IqS3WWR5Q341DlwTdKjHH9vwZUZ3qyoOAD7aXxvcyMpJM0NkB9//BELmK6trvSwbSQB0wFgRAR5&#10;mqtomTA4r3e8leFfNo3LEd8X7Lgtc1PFrCGJroPlzRVBYLNMq+OsnZlRkOQjSXMAlOmQOvDjBd7U&#10;mrCmsuCvTtYOIjsu2IOrpiW42tKsWHpzGyJ/vsQH1+n4B3nxoXaqmvqGPhnsyg9MGrCV84gLOZCV&#10;+gHcxEhu1tTWm10fiQ0HP7ghBEtETZ/NKlk+HDsO0qD+6Qp91zh1TZ2sWJcL24q7O0U/X+LNb4yy&#10;Yes7Wxsvn5Jw5xpcHJ4CHE9sLgvv4yNVvAL/OcLI21f7HXlJAM3lJbrPrY9ZMjHuSaewIN7ttytD&#10;a8IcUeTVXXjkK7hURZYf6zWHj6aHN2sa27FMdJ50PnNqJ5B4677y6VxOSapXc0XwxR1FQNniX8HR&#10;drA0xmju4sWLuN6PdyFpboCADW9nZwcaAAb/8fW5Q1LGCwFnrZ4eT5GSZviXEtR0dGFkH31mc0Hf&#10;fbk12b5YkChxTsSAug1uJnwB62nT3PS0CKdn2aooF3C/O1s3uSoEteyAHQakhATdncLTmwpSIx0N&#10;dVTL0j3b9peDhfjR4Upuvp+ejraubSAzbz694cjz2QrsNXbFeg26Y16C8+3r9aHeljp2wSz+nhf2&#10;x8FlmaIPwT/VBP/UWG9ydejXZyBLoht7y0vTPQ21VcE/PbkhHxgKHkRcGvDgnQfLRcWBc0RRYLcO&#10;SXAYgCaCPS2PrMtHT+dmRbrcvtZASIPhs2M1kyuDsVvA55Z5KSZuGYR3NLoAGpWWVZpQHiR+rmcB&#10;e3YMEgfrPj1WLYPus6+pqfk///M/uN6PdyFpjigTJkxAmzqpqmwweZ5ZGZ6PW1cFakoKOmzv17eo&#10;G5xWmoXHrat4Q93TJSpJ6etxG4Szm/Jm8nG7DyhMUPjiBbC9Xdxvz9VOrQ1rrgj5/Di4sURaBOL4&#10;8lRtU0WwqYFGiJf57sUZD9tEv10RLGyKtmYbqZvYmsaL2MIDwErP4TuWYJ8Gw9mMYaBrH8qoP/T8&#10;hauIf1q33Ti0RFWX7u3M3DQn5d4N4f1W0db5aQFuLIahJmQGPG7gKUI+2/eXi4oCZgsjf0X6MV/8&#10;4CUpHvdb8Q10anN8gOslE4gBdF+c4i0u80+OVBpYBhJe0+jC0C5Shkq9eQiJgzAyzGuMxtQ7PT0d&#10;1/h3QEiaI0pLSwumByzaEINZwwSQQm6Cq5ySBpNTT9DU0QI9vMnF1VW8Lu3OdSE3x/cfQ9lo0IYv&#10;aY45vBrZmB18tw9XZm+YlSSZ4DmAev7TBd4MXrioOOAjNNbFwF8R3Lsh+OD9ZE8Hurmpzkx++A8X&#10;eI876vevyAr3s1bWNDQKyDWr3YKu/x+awsyqN6oaWbOfvdQBWJLecJRVvEzfJUpdUxsK9jLSw1j/&#10;1ana5soQhpFGgBt78zykS06yVx4yBrlt2VPGy/Of1xD1LBd1SMzgclr34pHHV02N29MXEooAeMvl&#10;6V5POnFb71FHo6mZ02uLsjmJET5BRcvU343dO3AC0INWXvu+wsEjEoMBJwa4mWHqvWPHDlzj3wEh&#10;aY4o/+///T8ajQZ6AJb9xe2FUFsIujJMgDtJpVBpLsmD9HV0wAxv5AS4iKvuN6eqptaFiO8uiZ4u&#10;fnqkEzbMCo/DL/DFVhoM/9HgLmAHvS+IAMpo3VdOMJfQBFCFkOkm2fEu+prK+UnuV3eVARO1H6go&#10;S/fS0NDUcwpnFy0GtsJoS9K+g+9M/hCx5LBkbNGHpokTNBlODJrudC7n+/P8J531x9fnJXLs4Ual&#10;6V439iIz3SSfBc2M4NyWwrocv+WTYu9eH9qRfw4ubi2cV48HqvnmdG152tBb30KxVGX73ruBtzQ9&#10;XUJXV9fXE59mEoDuU0ShSEOLQnjYTXOSUyOdh0Pi35ypU5BF9jORl5fv7u7GNf4dEJLmhpDq6mq0&#10;wZPiFow8ulF3l9DB0khNl43q/ejvisIOr0+M7K9+P17gTihHAh0PxpnNhRMrgrAHedwpSotwGnKi&#10;/PPRi9aouy2CJRNjarL9zm4uJNgUGMCA+v4cd0ptGNNIy9eFuXleKnh/P18SzBZGsE31NOgOpklN&#10;LNGLl1LQGo6b1W42CsxT0TQK8rLYsSjtUXvDL5fBI46xYevbmxvAlyG72Lo7BYdXZ1dn+66dnogG&#10;4BvJ63vULsyIcsKm0WEm20dovDwC4KfKDJ8HfUNV8OxuTnavbZ1fs7api4GO2u8tA1gbntfDga6l&#10;rgxF/aj9mc4HnAJApjohzTclJiYG1/V3Q0iaG0IuX76M0RzdSOvhUMuhhgfu8vfiqVQZhl8JnUNQ&#10;2VEAmyMM8XUQ0xzYOIVJ7oP75r47W5ccZn+nLwjS/uVZyybHSdaT4UCcHqOVB62CdTMSanP8DqzI&#10;fNw5hK0EyR62ibYtSAN3kmGsOak69JvTdQ/bGnYvyUDGoLVpxkGFZrXbBsc+AfpjNBxh5i3QtQ/R&#10;1tICS7B1fzk82rXdpSVpnoZaKikRDic+yHsycC0nCi68qW3zU6syfXctTn/c0b/6bUTgNlcEwU2x&#10;P789W5McZnfrKjL3RfKy3Z3CwmRPMGPxP7tEtlbmYGUT3tRoYBIruE5GVlFUTIyDf3VXoY8TffO8&#10;tPxEN0dLwzn1kT8P6H/sTwys7euCbz69ZctmXNffDSFpbgj5448/TExMQBtAI05+kD+cCvO0q7YX&#10;6caq6+no925uXxPoaqnq0F3onNHvr2GHNzjZmmM7V6AZ4DZVhFzeUYLlFj7BuLi+pzQ51O7z41VY&#10;miedgqQwe7DIsD9fEY86hLuXZILdtHluMhCf+L6SVQssvpY9ZcUpHkY6qhnRTmADPu5ouL6nrDDJ&#10;Q0tLW88pglW4GHgN2I2GDEfsMY3hq9NsbMyM5zVG/XyJf7dFtHF2iq8zg0XTmlQV8tUp4rAvAO4I&#10;/vjK9+KBdk8gS9NG5+m+PVOXH+8qbjau7ipN4dh/cqRKzCDwZf/y7EXN/Utfn3ROMDI0eT1T55r1&#10;LYMV5GQ+7XuVYnR38O+iITOhZL49y51UFWpnZlCdg0zkftTROLUmrG/mc90nR6vQUHRSioqK75TH&#10;CkLS3NBSX1+PmHNSUnlJboT2czAgQcu+MmTal5L8kbVIT7/4uKgkUFpGgRlUO0hxXxXgC9NozIft&#10;/XMdfr/Oz4p2mlsfeXxdwQezkgoT3Xl5fr9e7m/Y181MWv7yptzzAU7TqQ0Fdbl+SyfG3kK7+Qdf&#10;Hw7+dIE3WxRhxdJzszVZPS3hznXhDxd4swThFkwDDRM7I98MfdcYVU39mCDbQ6ty4KE+PlotLA4w&#10;NVAPRT3W+60DZoeg18Quy31fGMEvDLiGrFqFu/cneEXAxSdWhhxZi08qgs9vT9eWpXuWZ3htmZty&#10;bG3+lJrQ8nTPR+395jPwso6hxevom2OGieQVNcGS7RsCwt/pkw7erSs8aFy/Po3MbgFqu7a7fP+q&#10;0vRYf2VFBZaJbmywLdaRCo/zXk0oZsqlpKTgWv7OCElzQ8snn3yCRdnUUlf67coLDASwkrKjHaMC&#10;bbU1lDl+FpI99F+drlVRlNcz9yMo7quDHt6sx3D59OiA5v1hG3/FlHg7c6PKnNDvztf31QpALVgi&#10;YI8QQjONFuCRW/eViYoCp3M5356FSiVpc2GzMZA5aI/ahfuXZ0b4W9H01PiF/h8fqXrQ3nB4Tc60&#10;uvCFE6KB2h60I0O00YHWRjpqNbk+HQfKsQ4yAsDI+ux4dVN5yMTK0E+OVo4uwYkBZm9soDUwKfYn&#10;3AJu9OkJUU6ir7MVbfPc1Ccd/S8acHpjvt7rmVBiaB8jTaVe3E7chHfT7CR5dMUDFZnoifa6YV+Q&#10;HjgKlUI52kfT4MVbMvXQhlvq0KFDuJa/M0LS3DPF2dkZU4vV0xNeWIug4kEd+O48z5atDw6OxHFe&#10;Uaq7rLzqa5kf75E9vzFK0knE8LBNuGtxRl2u/yw+59Nj1eDH/XyRGxNgTYjCOOqAh/3yZA34TY2l&#10;wV0HKyTpXhLgyXYdqogOtFVWUo0MsNm3LOvny8LPT9TN4HHMTHUdrYxXTRWvXhCfhX+Ha17bVcrL&#10;939fEPHDBaBOog87umjfX54UZnuvRQBGa/uB8veqQ3n5gUdW53QPmmkEGsIvCmL4lxHf0SuDxWlQ&#10;UtUP9TbrkVjMgAEarYwoR7Q9RppkEPw/VKAku5E50pCSe3JDHrJzk5SUvr7+f/7zH1zF3xkhae6Z&#10;snz5ckxdvJwYQ44qDomdizKyY53F1Q+U7OahSnlZGf3XsOMXI3yCpa3L9+eG8BMBwLxfn6qdVx9d&#10;mOzL8bFq3z/EwszXAaCnX6/w5zVG1eX4n91SODikFeQW0swRRloElRk7xavpspRVtJRUdHTorkyX&#10;2F1Ls9AECCRPgRp7eHVOVabvyinxwDsYCUqmeU04u7kwws+qJN13xeS4Hy/wJAxkHFhWwTI1tXCj&#10;j3ZYGmQSuFMCENmx9XmE+3bsL31wg3v/Bj/Y0yzUz279rKTNc5J2zE8+tjYbSO3CtqIvTyCWPuQN&#10;8pwVg7fZAoEA1+93SUiae6Y8evRISUkJNEOGSrm+p99Aew5ApT49zlNEuor7t5UDysuOdQGDjhnK&#10;H/Xg6YyAai93+0+PIYvtB9Z5xHADj2/3ksykMIfPjlUPNI5eK5CcwO0etQk/mJVUne23a1EGOE2S&#10;VickmCuMZAXXmoY308ObGJxGRngjuOGsgLJdSzLEydCU3Putgg1otCh4lscSEcDHBpCBlr1lccF2&#10;Jz8ogNZOfHfxl140ga2dA/M17EvNCm9UVNP3dWGJYwRgANJ3sjT+9TJi3/10ketmQzuwMmfIVwz5&#10;/OE8T0VRFjRZWlr6s88+w/X7XRKS5p4neXl5aBMoVZru+RyaAE2CX+9c4y+eGMOi6VCkKLV5Aybc&#10;dR6sUJCT1bfwN3kNU+QZwVywI7gFQWB3/HpZ8KhddK9V9MmR6uWTY1MjHBdOiH44cEunsUQv6lgd&#10;Xp1dk+2HbBmDDPLixTKNG8lAaG7As7ACK7bMw8PnQQH+doW3qCmmNgeZpjdaQ6gjALzf36/zp9aG&#10;ZkY7A3F/cbL2QavoYbvox4v84+vzitN9jC29maGvZTs3I8c4cDbhLmJWxXBgRZY0hdJUHvzTRSTC&#10;86fHquzMDK7tKZNMgwFOnMnHYwX7+/vjmv2OCUlzz5MbN25gAxHqKgo/XxzgrfR08Z50IBOpoDEH&#10;t3FiVaiBjiqmTCBIenSzBQygiMWpHjJyKsxBFXtUAAaRiXe+Nt1ZTU3LxFAvI9Z7YkXI0bU5I54f&#10;O7qAUgK78tL2Il5+wNKJsfdakBGDKXVAc3WEB2EFVm6ckwQE9+tl7ix+hKAgoOMA1sf35p8C8nC3&#10;hb9vWUZjaXBypJeBjqaaurYO04PhV/aaVi4zw0QKKjqh3uYEiocCCfPB9+UCTavI8u74sPLSznI7&#10;c4OvToFd358S8KhdyDLRxhLv3LkT1+x3TEiae5789ddfbu5uoB9goL0vihArEHw5sCJDWBRwY39F&#10;Zaa3mjISixUZ5KJQjPTUmypDStI83xeEiVUN8OWpGlUlBV2mx+tbzA9XhopBc02zdvQpzQw+vDr3&#10;/g0hMCxB798goH7e2Fteke51bF3+5Lp49qBdnFmBVYua43csTK/J9v30aNXbk3nIBmTm9+uCXYvT&#10;c5MDzOx9aB5ZzLD61/k2JxrYcKSp1EuDBlhb95VrqinpaqqIhxzkZKSjAm1rCiNdbU1uX5FsX+t2&#10;LErDEhkZGf373//GNfsdE5LmXiBbt25FlUSKaayNGke4At1tEdD0NUCBkLF7VN2sWfrL34uHmgD2&#10;3cM27k/nB2wmABZKfUkgVVr+dQzGEUBH+E6I8J2Tb1lW8OE1OQ+QeWdAGW+DTYS4seBKO9lbmQ2i&#10;OUZApZMN84NZyWC/vDUEB+wm3L0kIzcF2M3XBGE3yPZrZDcMzBCurLxqerQTYcAaigUc5+Mf5P9+&#10;Q7R+VhLwGjaEiigh2tJGB1h19810QVc+MLFfp02bhuv0uyckzb1AoAEUr+TfODtZQtu407hhyHEK&#10;MhS7c3H64/YBC4wG19JbV/iGOqoahtavYwbpkMD5zg3hu1KU7x62id4ON5a7f0UOwz5YsigY4U1g&#10;JZ3dWvQ20DGw290bImC3HGA3O9R2Q4LNYOw2+iuUCYBi0WV5KivIEuZFYoDy6SsiLjI9e2NBQpgd&#10;tsIB9NHfjS12ci9sK8QoUElJ6e7du7hOv3tC0tyLZfbs2aiqUJysjLslpkf8dJGrqaq4clrys7YB&#10;A6br2ygPUUr4c+XUBAqFauKWjqoyAknlfp1oZoM/65Zm5ehdlhV0eE3uw/Z6tLb053aMAXdfPSPZ&#10;1C21P5NO0R8iuyu8SY4DS/x+q2j/iqy8lAC2nY+JRzYzvOG1xVZ6Jhh+xWD4N5YFD7M0gJQ/O1Zd&#10;mOIBje6ORenYa+3p5MeHIDFiQcrKynBtfieFpLkXy+PHjzU0NBCek5LaKw49dhOJIc4v9Du3OR8/&#10;Mgg/nq/ZMhfpUBcfedIhdLc3VVTVQx0fonKPCZpZHJTvHLzLc0KPrct71I5M0Rh7voM7giUSE+7L&#10;5DSYgI8WKihKDxw8K20MgD4+sJsQ2K0wI8TCwQ88UxanYQw800FA7EQGp1FVl0030rzTFzNVMquE&#10;I5K4dbXeiqknDjZxY2+5DBrxX0ZG5uuvv8a1+Z0UkuaGJQ0NDWijKOXtTO+WCI/xpAPZEFP8JwGt&#10;+6vUleU/Pdo/hw5wcXsx+Bf6FoFjbyMMBO7P2jr7VuaGHl+f/7ANWTcqmdUxwN5lmaYe2UBzxg6x&#10;Q86HeK2A5713A9gtuygzxMLRH7Hd+j3TNwZjx1gqhbptYTqez5v42hVwRRc3R3VLxIaQBDDg7as1&#10;5/qC5vd28VMiHDGlTUtLw/X4XRWS5oYld+7cUVZWBo0Bp+Dgqmyxbj0LoHNAf+UZnhQpStzAjdDh&#10;eEWmFzIW4VdC0O83AjqnmckR0lxT7Vz8qvLCgO/Q8Qr0KdDtDV8rfr3MM7ULBca3dPJ/1DHCPYZe&#10;FsBud28IUHYLhvsiowqDBkPeFJjBdbIKatFB1oSlXZDndbOSLJgG4pg0zwEkBlMO662jUCg3b97E&#10;9fhdFZLmhit8Ph9tGqU87E2fdLx4quruJRnSVCooGfzbvWRAlO1fL3MZRloq2gwG4hkRFf1NAbiG&#10;hY7P2rn4Y/bdA9S+e76j9IoAD8vanUMPb3L3BI/1NQ6PoA0PYrsdWJldnBFk5ehn4p7JDBO9aZt6&#10;ABjhTVo0Bw1VxU+PEUcevjtbp6+toiQvO78x+kn7C0IVgCmXiphyyPBDfHw8rsHvsJA0N1wBgw5b&#10;+wW6AxRGUCwCvjhZo6OBWH+gmEvfS67J9no60LfdszRTmiptYMN54y7SYADpMEMFNOcUW2efytyQ&#10;4x/kP3pt/izwDtspFArBwS2w+9mb8r0KIOf324SHVuVIsptksY/hQNCL4JpCoUgvbIohtC7w56Xt&#10;BZtmJ395iluW7hnmbdZ1qPI5b+TqrhJZacSUo1KppCkHQtLcS4i4h87ewvA5K6getQl8XVlgx0HK&#10;mjykWx3tvxuguNDe5sa7SMsojME0uhEDLB1mmNDYJdnWCfgu+PSmAnRJ6Wjad20HKowd4oB0aDah&#10;v1wi9ri/AoACkAjGh1bnlGQFWTn5mrqlvw39bs8BM5grp6gR5MEWB8IUAy1zvNhBc8DQdrUxmSWI&#10;eNSfsp/yerr4kf6WmPq9g6HlhhSS5l5CHj16pKGhjhKd1MopCWLFksTTTl5DaRA2Zzie4+RsZfzL&#10;JaTKrZ4a2/FhuSRBwHGmsZaypgla/V77VKxXQR/fJTm4+NQVAN/lP+kQPu18VfsOSmNOQyw7uAa5&#10;hXfhlnlphAQjANABxm6lmUGWjr4mbuksTv1b5ZkOCUb4BA0jG3BXP0EmyuFjDpi2PGgTpEXYV2b7&#10;zBFF7lyYenVX6S9XBLevN/EKQ3ycGZd3ll3ZVb5tfv8+OEfW5kmjHCcrK/vll1/huvtuC0lzLyd9&#10;c+ikTAzUbw8c7wc9gzp2cFUOGuhQypyu+9sV/qppiRVZ3g/bG6py/IO9zCXjTED6o+vywLnQM/OV&#10;mCX79vIdOtGvmRUqMHZOtHfxri0IOYPYd2J/Fv0c7qgFkhiMEW9f/NmZ4RNiIvwl94d/KeDstiYX&#10;YTcHH5pbGjQebz+7iWFsH02Roq6ZkdhXmJKPxstPRFYcYgIEJk2laGsoO9nQGSaGVApFSV728k58&#10;QRi8DhdbZDY7yDs+V05SSJp7OfnnP/9pamqKKBGF0lgWJNnjBrT19elaQ101+I1KpcxuTFkyKa44&#10;zUdJQc6GZeBmZ6qjobxlTv86CvQUnqgkgEKRMfXIfIt6iIaBgXwX3Md3z5xbQwDWJCyfkkz3yu27&#10;5iRTl6T9K3LEVsnzgV4BKcAHrcIjwG7gmTr4mLimgtX5N2I3DAy/EhlZxbQox8FL3L45XdXdwf/x&#10;fJ2+tioQHGKkDRDkmKgEn28I566aloB5Eqqqqrdu3cK19p0XkuZeWrZt24apmIqivORaHKi3hUmu&#10;0Lpqqyt7OJgWJLvPrY+EGvjNmbrH7aKeLuEP5+u+OkmMbfmgje/txJBTVGcGIb7b3w7AKcxQvrFT&#10;goOzF8J3mwseIYveXuDP9nZxj64rYDshU0nElwLHzcrJH5yyF57+9CbKbmtzyzKDrBy9aC4pLITd&#10;+nP1NwIzjK+kbsg20f5FIqQNht+vC5wsjb4/Xwv8tXp6Isff7tKO8q3zU6dzw/ISPQLc2UxjLWdr&#10;Y/EOvL9c5hnrqWNkOH36dFxfSSFpbgTyxx9/eHl5YUyXEGrXK7ERwVcnqz49VvWgTYTGX3xBXcXw&#10;tKv2s+PVOpoqqrosNOIFsRr8XQC+JyuEZ+QU7+DiWVsQdG5rEdh3mJUh8bDcni7er5f5k2sjmc6R&#10;DA5xS1MGp9HMKWReYxxUXbDUCKYNYru1CY+vy6vICbZ18qa5JDPDBH87200ME5TZtUwclRRkL24v&#10;lnxSABQdv9BfRUm+9QASEvVJhyDUy+zASmzOJjYiwe/prH/UNxQGhVOX74epJYPB+Mc//oHrKykk&#10;zY1MWltbZWSQ3cvBdtu/HAnqjakapoIS358J8SnwBbBvRbaMNFWH6SnRSfd3BeLPhvCMHWOdXb1y&#10;En1m8CLWz0resyRj05zUWcKozKQQc6dAZkDVs4wvOJ3hW2ztEpCXGjKnIWbrvDQ4d+305Cm1nPQ4&#10;HxtHL/CUWUgcZmC3t3rc5oWARzC0DadSpRdNjCX4+6ASF7cXofN7KapK8rNFyKBq2/4KJyuju0gD&#10;0J9SnL5lbzm2oz7I3r17cU0lBRWS5kYopaWlqEZR2CY6v7e8RMc5aCSo7IXtBZLKClo+qSqEQpEG&#10;diBUhr8vgLLZHBHdv4LlVwJg+pexQnnobs3Dsb+amZxGZkgdcpZ/MdO/lBFQxQ6vHwfNAAqEoOke&#10;WdLS8nmJrpKLZDA8aBW429JszIywzjj49HSkX99b2VgW3FQ+xHp+sPXEAZfCwsL+/PNPXE1JQYWk&#10;uRHKgwcP9PTwHeGERQGE1vg5+P5cXbCXmamhxhNke4T+4/BnEsdOWkZBoleexLgFM6BCVkHdy9H0&#10;7lBt5C8Xa3YsSOvuEu1akmmsj89hUpCTqSsMs2IZdx2slEwMrLd0Uiw28qCgoPCOr9IfUkiaG7ls&#10;2bIF0z95GekrO0sHuxIEgDpe3lHKMNaCU/zdzHoH7e93+xrf2dpYTlGDEVBBqBUkxhMYITxFNQNo&#10;6r4+PSD26pD45RKvMNlNWhqJmQmGnbS0dLAnPjMJU7kvTtZoqSHrc0CmTp2KaycpEkLS3MgFXAMO&#10;h4NqF8XJ2uh+6/NWGgKprZ2RZKCDDYRRyjO9BvXiIX9+caKapq+upG7IDH4N+7qSeAvADKtX0zNT&#10;V5G/uosY/Rz0Z7AKwZHeLt7htbnmdF1U2aT0tVXvXAfvAVEY4LvYYBvsuI2NzTu4B+twhKS5V5Lv&#10;v/9eVRXf6aa5Mrh3UKcJprX3WwUVmV5B7ux1s3OwxEsnxaEJID3xlMs7SzXUFFV0mG8uJh2J1wMO&#10;MpSsaewgLyuzb/ngAKLcc5vzW/YUDtlYQuI71/hZcS5UCmXD7GQsXCscXD09EY6ARoGVd/36dVwv&#10;SRkoJM29qoh3rVaQk7mwbcC0gFtX6qbWhB5YlevvxqrO8XnQyp/fEAUpQSvPbsKDcZ5Yl3N9T/HT&#10;vvU9KLgHVubA1TQMbd6qECYkXhGM8Am6LE9pKnX5e/EEjgNq++xYtbGe+vW95ZLHJQFpts5Pi0Fi&#10;NIHHipz+2fFqbXUkQgQIj8fDNZKUQULS3KsKuK7BwcGYqtmy9e9c6x+LAIciOdweSK2hDAw9ZB5A&#10;YYo7JJOXof50Ee+Y27M0y8xE+6eBU0OhDmyamyYjTdU0cYT2H2rI33TuKwkx6OFNuuZ+FAp1Ojf8&#10;6aBdbG5d5TlZG4NuvFcb1v3sFW9XdhR8dRKP0vq4XRDkyUb1TsrKyuqf//wnrpGkDBKS5kZBfv75&#10;ZyyKOhhqJake4rEFsNFuXeHZmxvsWIQEboLjXk4MSEQ30uruFIJyAw+WpXsBD0b4WRJi2PV28RY1&#10;x1KpVD2W5+BptG8V6GH1tCDeW57JNwvgOCObMOA4foH/4OkjQFhxITZYTBH4V5zq8aB1iMlxKMSr&#10;+rnTeeHICegS/dbWVlwXSRlKSJobHdm2bSumpuCSbJmfhukofAI+OlTWeQBxZh93NuhoICNi4X7W&#10;wGK3rnJTIuwTw+yu7iqfIwz/8fyAWOpwIqSZJYykUt5epoPaq2kWTJVRplJk5JQNjDzyCQlIAKCU&#10;jG0RjqvK9hnMcYDre4p4Bb5rZiRp9g2YhniZ/3jhOQGvuOe3Fssjk4ERlSPXdb1QSJobHfnrr79y&#10;c3MxHdXWUP74aPVgHf3yZC0VbX/5hf4dBytdbIyncTmSMUsGo6eLP40bDkyny/JEJ9YSq9CbRDBf&#10;g+5loKN+/IOCX68IJlWHysqr6jul/X1XX70OMHA7TrokzfPZQaeB0ZCR07YD5eamOujEESkrpj4W&#10;uYugSPDnr5e5TBoyLQkkICDg//7v/3AtJOUZQtLcqElPT4+5uTloHph1bnYm91uIOn1wVQ42hzM5&#10;ysuSofvhqhyw1whpBqO3kz9TEClNldY0cWK+PSMSwTwFDYaHA33/smxwoKDuAV83lARpqavqWHLo&#10;pAOLgsFp0jP3B46ryvYdTmB9KMkfztcGuLHR1lBKV1N56/z0BY3RlyXWzMB14kNs0d+ldHR0f/nl&#10;F1z/SHm2kDQ3mtLZ2amoqIipYElafycdhiUTYzDH1sna+OOjVYSxtmcB9Buus2BCtKw0VcPI9m1Y&#10;3q/vmCIjp2ZvYfizxMgJ5BOeaP2sJA1VZUUttqF7Ps33mQtX3wWA9a3L8oI3zi/w6x6K48TMNRC1&#10;928I8hPdsJ46ELD6b1/Dp2SC0TeDx0F/kqJKSx85cgTXPFKeKyTNjbKsWbMG4zJpKnXltARJLvvl&#10;IteCoQsu7c+XkPEH8fHnA0vZ28VdOzNRQU5WTc+MGfImZw4be5fIySltnJ0q3sixp4P/5Qlw0pGq&#10;CPYpcF9SmK2mioqMjKKRex7h9HcETE69Js2RSpWexuUM2R/368Waxc1RPYNWwmAAWpxcg9CZka76&#10;l6fEKyWQoK19u+tLTZgwAdc5Ul4kJM2Nsvz111+FhYWYIiopyp3d3D/bE75c31PGpmn/fn0I5YZf&#10;H7ULL20v/GBm0r6lmb9e5hHMPfhz77JsFSU5ZQ1jRmAVoV6NGdRM3HIS3CXW8HJXTYuTpVKu7CoR&#10;P2lvl/Bx12RXe4auXTzh9HcB0A6p6ZnLy8osnRRHmDuCFg73q1M1y6ekQoKpdWHPCpj8zVm+pori&#10;xb6ZmFC2Hx+p1NNSwfzZkJAQsktu+ELS3OjLv/71L1dXV1QbpYz11b862T8cAVTV9WHFoC044ZN7&#10;dkuhDUsPU2L4VFOWn1QVKrH7CUZ5XNB7A21VeUVNhk8BoXaNAejhzQpa7KWTYrFcgTGyZnqiqZGO&#10;FEXOycb09EbgdJyae7oEbvZ0ZR0zdbrXIHgOBUIaDIQ0YhCSYSCkwYD8pMn2ByP0dXrQ/SGhGAEV&#10;SmpGqkryu5dmDw7o0NvFn8ELt2Hp1+b55ye562oqr5qCrYch4vqu4h2L0sTleesKz8HCANUOKVNT&#10;0/v37+PaRsowhKS51yK//vqrvr4+qpMUV1vjO1f7bZ++LwNwfkuRqpIcml5KUV6mMttn5dTE6EDr&#10;JI7dozbMN+w/8bNj1TZmBtIyijTnpDEe1jR0z5WXU9y2IA3ND3fdzEQZWRU9u3iTgGpNdqCKktKN&#10;ffjO+b1dgux459xE9zwEbgM/CX8O+SmG5J/PSixOM/RPCRxHeXklfccUwuOMNppNPbPkFNSgbbu8&#10;E2zbId71gRVZbBOd364KwaYD/HaZd+sKEiOTkAwgbhoB0NpFBVj///bOA67Ja/3jZC8IhL0hYe8p&#10;CIhsZKMsQVQ2AkpCAkKttVqtdbRVa1u1rVurttZq9VYtFQUnI9j1b6+2zrqui+G9t7ftp/X+n3cY&#10;QhK8VgExnu/n+WB8c/LmzXnP+b3PcybRGMLlcuVyOVnOEI8Gkrmh4vjx42w2m1Cu1CiPO20DDfis&#10;7m6XuTvgD2qKjoUJv2kzVkMgcVeHND3WQ1asvsqT+HKzOCHclUKhmzmHE9MkhsVmcY1d6suiieuB&#10;yNTL2dLEPVnxrp6VX1EmxLPkgC88GWaKF0/F4NvBh3prThqDazZ0XcD28Q2WnuOoNNYoT2ul1rR+&#10;1iuX5CT6hgU49sixdeRvtdbuXzv1xcqomsIxB9dN1Sh2YOD7T8sdTfTRU6nUHTt2kCUM8cggmRtC&#10;Nm3aBOUS0y8dnYq8kB61DU0Ia9pcRMWe1BQTgd6pj8uVHbc1CyZwWYwfDijPeCUNdBMUkEal6ps5&#10;i6LFKrVuKMw+/gWmrtXmpZnEBdxtrzU20LMILlQkMHIZB+Lb26kIyTXX26di7bsqaHSeXYxMcbWD&#10;aMIYmZGtL4VCzUvxu6Gp4ZUwkLn0GC+416nRnlkJfub4LjYEdCplzfzx6jkGH1mIDREnE6KRwI8H&#10;krmhZe7cuUQBhYI6VxyrMsQEsw7QsjR4m06j7nonX/kteLyDOMJnsZnemjYGhLNtXJIl4HNYPCN8&#10;Mc4hXzecbxMYP8aVmIoE3x4V7GRgH0YEznZxMzmGoobyCOLaIMGVlupueV1PZ113J/ZXoxFvqf/V&#10;aBqTYV+BWS381dTeL4Xjd9tnVk8ZwzawG4LFh2fZjSnl6ltxWIwl9UkPH+wNebJ2YQb+SMOGiuBt&#10;sNhuhAa6bCqVYmWq391Rq5weotq1izLoD56UBQUFaFngxwPJ3NAC5bKoqIgoplCg3345XSUChaL/&#10;4ZvZUOKTIz2URRCOt30yjcfBGuxero5THFcxSNa+a5qPqxWNxjR3ixEOcQBrE1lNZwuWzUokvv3I&#10;lmIDPZ6uubepZypHIHQVml1oguOYS9LTKQtwt3YRmg6DBXraxoY6x4U67/+A2BGmz7a+nhkeYO/n&#10;YcViMkzck1R+zhOafdwL1j4pNAbX3tKwcX2RIlp/iEEEukAabyLQBSfd28VyVkX0qZ1lt1rrFkgT&#10;mTTqrVN9Mgdn++SdyaCeROGJi4tDa8k9NkjmhpzffvstOTmZKKzgsm1cmqXSCnOuScJlM16rBe1Q&#10;tGpVX2gSuzlgnRgQzK7vv7urut04IS3NCYIAlm/qIIwYwkG5WE+rkcPyF5MfXKdY/um0sUFOcJnl&#10;uSEXD/ddUg/WcmdhYBdk6pNp6pMxdKZr4lSWG0Y4dPjYPcjbvuyFI/BWl7w+arSLses4lZ/zuIa5&#10;zMJoscDKCwLV8bGecLPU403Iortt4g/fyHrw9CITwBXebpNdPSbtltfi3h/WBbF+cXZ4gAh8TzwN&#10;tmPhgXVT9bgsotj4+/v39PSQ5Qnx10EyNxz885//DA0NJYosh0Xf+TY2QYoo9Hi5l8iKxiZFuPfg&#10;A27hrb9/McPPndw73dxY79qxfrEY1AHljz84KNn65kRTQ106k2ftk2Y/ZFvDCEQR4aMciBVW8O+t&#10;/mTlRE9Hi7MHyaUH4NrApzvx0XQnezNT7/GKD9o8+Kt4oXiLsIGOK0xjAgO7YFBY+FKwNa+kZyf5&#10;rJidDOEecTGEgdBEj3Y2ck9V/uBjGxb5jsphcgV8LmvF7FTirinbPfkM+MZv9lXuWDlZl8N6b0GG&#10;igtP2Ond08DhrS+PkhSO9XQ0b33QSQ1Z2rKtVMAnp9M4OTnduHGDLEmIxwLJ3DDR1dXl4+ODl1sK&#10;+G57Vk1RSBUU69ut0qSxLnkp/ntWTVpUl2hmhG3dD0npVMqGxcTojb7q8WNjVV1x+K2Tqs1AcJ6z&#10;jdUpUR4UHaq+uaswsgpvrVOtpU9qURIG1zgnybftk3K89oLrIX7ghlT/47j445V5thaGNIYug2tu&#10;PWb6UDcXGtiNxmUOk9dpk7BnSXaCr4qsDKLMCaMlRrZ+FAot1E/YubsCvlf5iwi7eVIyKdV/tI9d&#10;RV5YeKBIj8c6+qHqNqxgcJGLZyaxGPRV87PgSYb/BMxatpVAVIsXFR1ra+uLFy+SZQjxuCCZGz7g&#10;mezm5oaXXmzzzT2rpyjr161TNbLisTwOE5M3HAtjvfWLMtUdgZ6OmpRoz2BvO/AXlEIh8i/EQe+/&#10;OgHqCZ3JtfAcp9RaNzhyA86UTXgVz9SNy2K17qpSak8Ud3fUlk8MpjP1DJ1i7GPrhmcCv75toMKb&#10;I2Uu0QfPNPGyFxIWSmN78QElTy5z9vENVn7jmRwDPQ5roTThTt/I7X4Gl1GVH5Ia7dGF7caNDZP+&#10;5O3ctp0aZA4MLmzzkswbx/tuImgcuOREATA3N0fbdA0KSOaGlWvXrjk6OhKFGBTt47fzlFUMXoM7&#10;9v6C9Ndqx+1YloPPCevnxxF2uUXiYGsMZzAR8LYty4VqrJIAatqZxursBG8alcYT2NiFFAzeKGJS&#10;K+3jXtC3DeZxOC9NjyEu4FJzjavQlM4ysAopGs4Z+3ybABWZK8bG7kE+iFOj3CJGOd6T1zyxzM2y&#10;Dy/jmzlTKdSYEGdw4vARef3yXGG3W2vhGVOeFwZfCjkD0f25Q5L2XdMuHVadvQdGXCfxiAJNbN5W&#10;aqKkcd999x1ZbhBPBpK54QZiEAcHcm1rULot2IwC5TqjQdeUDZy1iUl+xMfHBjmlRLh9s28aUU9U&#10;rLdDuuudSS5CUyqVAXGWMGqGWu19IrOLm2Xmm81mcWtLIt+dNz7I245j6GgTOdzLCoDMleWG4gNK&#10;ZNMmhYGnXJo1Cl73ymWpUR4RQU49cmzQSdRoFyP3x5lgK4qpMXUMo9LY1mb6H7yaodwoqZzbCvvH&#10;SRmfx2bQaWmxXuB021kZshg08ND1uMyl9YnqvjlhcLaD6wsM9cn2ONC4zs5OssQgnhgkc0+BK1eu&#10;PIhedZh02rvzJqgP+NJo4A4sezGFGCsa4GF14zjmL6j7CMr2jxPSudWx+rpsBkvXzCVSGDu442Nn&#10;mQfmQwDL1rc1EIbbRsse0oEwRCZwiBTo67mIzMEE+nwG28iAr+siMoP/6vI4ujwu8RaXwzP1zVX5&#10;7MNNGFdn4ZkIUSqHxaieEna5/34dhKmLHdzKnEQfomn1wV8SuNctWCOduk8n/vTdyYp+VdC4b7/9&#10;liwriMEAydzT4erVq97e3kSxplOpr9UmqMzn12hHt5Vy2dhAKoEeRz5A+3d/w2oU1KIfDsyYkh4A&#10;1YzJFVh6JkIFHsTeCbs4bKAJ/npoexs0W+xMc78cM58JYOZ+E+2ipeb+E818MuC/FgF55gF5+FsZ&#10;FgH5tnGP2vssjKu39pvA5ZvjMxbcIeRUbxkgrEdes3tVftvH/ZreLh2pzojz4jDpLDrdxd40Py1w&#10;ycyEvFR/CoXyak2syl2DM69fnEXcVsDa2vr7778nSwlikEAy99S4fft2cHAwUbjhoS+ZGt7VPuC8&#10;Vzh+uVmCraCNDzPeuDRnoPAWRA0Sq58HwqUTH5UlRrhB1WXrmlh6p+Bip1rDn09TNCYK4+utA7J4&#10;BlYUHUqIr/2BtVMVnchqJr7QJJmcHiCyMjqLbZ7f73bck0uvHa+9fgLi5Vrc3Z5xt32mmZHe1tez&#10;lJPBs21JfbJinoODg8P58+fJ8oEYPJDMPU3u3bsXHx9PFHGoVxnxXjdOqPt04v0f5J/cOU2xufq0&#10;3JBezUEuJnBfbphaWxx+9ZgGxYQj8MHGDUUxIc6Y2PGMLTwTRHgY+zwv80uYMG6mtV86l29J0aGO&#10;8rL9eGVez4ACh7V7bliSaWHCh9tmayG4obYgPmG3TkrKs0cd2VJ8uaV22YtpgR7WN0/23biuNumM&#10;yaHE9iCAr6/v9evXyZKBGFSQzD1lfv311/x8cit+YLSv7dnGfhP1QZv2rJ5kYQw1CqsQQd62N0+p&#10;jkdVGCQGlzA1ytvOwnDT0uyBplhCqHVwXcG4Ma50GpXJ0TdzjhBFVQ/zmk4jxmaJYiQWHnEcPROQ&#10;/tG+9h+/NekhbjVhfz9QUTghMDkK25MBQtG6kgiNfQsQkEoKxsBpQ/0dqyeHXTxMdqrC36tHa1Kj&#10;yE0Lgejo6O7ubrJMIAYbJHNPnz///LOhoUFR4oVWhke3lxKuGVFb4MX/7Z8+NlAEafasLiAODmR3&#10;26SBnjZwHnATYkOdO3eTY+vVrbej5uj2ktxkfy6bQaNzDG187EKn2sc/L7vVwC+1Dy81FgbTmbpM&#10;Oi0pwn3/2qkPn3uvbBCK3jgudccn5LGZ9KPbNefz7VZZZrzXDwew9IqD3/ytkth8mgCec2i+6pCC&#10;ZG5EcP/+/TVr1jCZ5MqafB57w+Js5cgUlO52q1RWMrY0K2igQQlgkOyduemEXmbGe+9ePfnIlqkq&#10;aVQMzvb9/ul1pREQglEoNF1Da4hkhdGSIVjMY0QYOK0Qp1t6p/JNRBQqw1CfU5Eb2oF1MvzvLiB1&#10;+/yDqQw6FVy6UV42d9s0e9k9SvcLcnvf+1PMjfXw9lgKjUabM2fOH3/8QZYDxNCAZG4E0djYaGRk&#10;hGsUhUal1hSGP1g6mDQIgq60qDR1Y06Z4vWFJjFRhcyMdC9g41H7Umoy8lSQDPNNTkjXLcocO8qR&#10;AZWPzjGw9LAJzBHF1mpNMIt1uQRNMrTxZbB0IXsDPGxWzE79uQWb7T9QRhE5QyTQmAbEsTQH60ei&#10;6FAWyhIGOBXkM5bV3R01i2cmgutHtD9wudwtW7aQ9x4xlCCZG1mcPXvWw4PchRPqTmSww5kvsPUq&#10;+lebPrtxsiY92r2rHVvAB0QQr3JYFVo5J02hYgrr6ZB++m7unQGcDtzEPfKazt0VDeVRjrbGVPB2&#10;WHqgC9aB2Q6xMsK/U+qseBrDR/6iYb4bqFtwvrFwFJtrSKFQrUz1p08ec2x7aTfWw6CaRcp2/YT0&#10;g4UTirOCUqPcZ0wZc2RLscZhJZebJbYWBpDnejzWV59V4qukqCcT/9wiyUrwIRsm8IEjp06dIu86&#10;YohBMjfi6O3tzcjIIGuDjo6lCR9iT43jh8F3mF0V4yYyJwKuI1tLiN3tgn3suto1aNntVkl4oEhk&#10;Y7S0Pgnvin1IJRd3dcgaNxRW5YfZWgioFAqdyTWwcLPwShZFVtljk1VHtIsHVyiKrrbySTe08Qal&#10;xlZmNtQrzBi1Z3X+nTZihAf2G/v/5D4DOduwOMvB2jA70Tcr0Rfzv/BFtOaK49RjW3gIbV+eizet&#10;UpyFpsmRbkc/LCSOP0ggbtlW4io0we8nxpgxY1Cn6nCCZG4kcv/+/SVLljAY5JBRGpVSWxxx65Rq&#10;Betql8aGOOnrsk9/NuNuuyzE1x4SM+nUw1uKlRzAfpX5nbnjiXMa6/PWvTYBkuEpNSzCThhU0a6O&#10;2sObC+tKI71dLOlUUDwal29mZB9o7TcBl7z6R5C8Iff7wGsjpA0CbRPRaD2BFSgzXCvozvTJYZ9/&#10;MFmhbko5o9l65eKlDck8NqNxUwn4ZSB5n39QwMWWt6RQKTqr5o1XSQ8GbnJsmCskgEcCSB4hhUTG&#10;dndIl8xM5DDJWwnupEQi+e2338g7jRgWkMyNXI4cOQKhDVk9dCiBnjbtuyqgripXVFC3t19OcxeZ&#10;ZScHEg5FSXYwEVtprM/vziNlbu/7RZcOT4cq/d781BMflQ08CJY0OBtEed/vn7F6XnpOkq+dpSGI&#10;CAS1bF1jgbWnhXus7eh8UbRYGN8wPG15mK7FNzjE1NiFFFh6JBjZ+oL4Uqh0yChzY356jOeyF5Ih&#10;hASfVCXH/qfBp7hsRkSwk8JxgzO8IonH400KONe31Ab0/NRY5eVkWZodBJGp4rvgU38/MGPcGBfI&#10;J/zW6AgEgp07d5J3FzGMIJkb0dy8eTMlJUXRoKPHZb7ekHS3XVmSsDp8vkkMdYzJoBkZ6J47hFXO&#10;7vaaM1/07Q+rsGWzU+A8cMLm7aCY2HzYjUtzGTRqQrjr6YGHnvQ3Mcjo3fbazt3TVs1LK8wc5eVs&#10;yWMzKTpUKo3J5hnpmzkZi0ZbeCZYB+aJIitEMTXC+Hr7uBdAmAhTEayHGJEePgvqKYqViiIqrYMm&#10;WXonmziEGFi4cvRMqTQ2fC+LQXcRmuWl+C97MfnkR+W3WmUqjWgad9IYyF6qioYcCvK2U4pPsf4Z&#10;W0tDOA5Z17S5b4txMHh98fCMA2snK39pj7xmw5IsMyNyuRFg9OiQn376ibyviOEFydxI548//lix&#10;YgWXyyWri45OZJDD6T2VoFCKSgUGmtW0uTjMXzglPXDPqslTxgcWZwaqt4W/KosjTuLjalOSFdy6&#10;q1JSMAai3XWLMi81kaEr1Fvw8lTOP5BBsh657OcW6aGNRStmJ5fnhkQEOdqY6YP0gGNF0cE6bRks&#10;vp6htZ6xg7Gtj8A2wNQ5Arw/c/d4U7cES59028Bsm8Bs28AcK9/xcMTcLR571zVSYBMAPhrf1FHP&#10;0IbJ1qcxOHA2cItAzc2N9UL8hUWZQUvrEw6sLbhwWNyDbRaj3vCv2fAfKPm5RbZpaebf3uu3fQTk&#10;WDY+8Z7NoP/YqJwD4nniOPhFkHXbl2Fr1qs/QgiD42cbZ2SOw3bwIrKaTqfPmjXr119/Je8oYthB&#10;Mvds8O233/r7+xPVBuDzWAtlCXdaVSPNu22ylXPSzAx1Dfmcs4393iKsvjQc6jCoxZkv67ctzzc1&#10;4qdEedw82W/QP7zesXzia7UJuHsyYLOdusEHQfVAKbo66i4dkZz6qHz7slxQotqSiNyUwHHhbr6u&#10;Vg62xiYGXPD+2EwGk0Fn0ml0Gg3kg06lMul0OMJhMuBduH4HGyMfF8vYMJecRP+awvBFtfFb38g+&#10;tq30/CFxV/tMcLUIIR5Ibh5iN46Lx8d46XFZ1mYG7Z+U939XXDAhkMjkl6bHKmt9+65poFtUis4x&#10;bPC2In2fwZV0dUjfWzBB2YkTiUTNzc3kXUQ8JZDMPTOAO/Dyyy8r+iWgygV62hzeXNzfZYNqKT7X&#10;JN63Jh9eqEmAWDx1DHwWHK2LzQ2y4vCJSV7qPRtwwvH4AhtnDvZVcvxblL2bv2C4/EGALCG2E+yS&#10;199qq796THapWQKO2E+NM77bO+3sF9Ph9cUjEjh+89TMbnlDt7wO0oPU4tKJnUTltI9ud9tqu5Ui&#10;fYgoWz4sLs4OTo/1VglvwdYvzsRzV8fYgHfuUN9PvtAkpuroONmZ3NXUiw0XKd9dERfqTHh8AJVK&#10;LS8v7+3tJe8f4umBZO4Zo7Oz08+PXFYTYNCppTmjQSAeTQUk0/CNX3V57ILM8Cnp/rfV/EGwa8dl&#10;xH4rtdiG/9gR0ILpk0Y3TIs8uq2ku0MxIOPZsHvymrQo9xBfu8PkwDfs4uF3XThc42hjrLxnIGE3&#10;T9Z4OVkQSpcS5U4MMwSNXrcoG6R/z+rJyonxt6qvH69pKI/Ce2NJHBwcGhsbyXuGeNogmXv2+P33&#10;3xcvXszj8cgqpUMxFegun51yp5Vc2HZgE0+dgHXIUig6JdnBXf26Mki711H90Yo8wiUBd+baMSKN&#10;+NvPxfq6HDaTnpvkoz52bITbkpmJWFxMoxZmjPrpS7LZESQvOcJ973v9tgDHTdy+q9we73CATIgI&#10;cnx7bnpVfpjIylBtSzZsMeeNS7KF1pCYBNzt2traf/3rX+TdQowAkMw9q5w/fz41NZUYqQDAP14u&#10;FlAPex42+VySFu0DH6nIC+3WFHmBQTUuzBzl70ku4/7GLHJL1jttdTamBi3bKzUOPB7h9vXeSgYN&#10;W9MNcslQn7u0PpF4JKxZML4sJ1i97wLeunhYDA6at4uVpYl+mL/DqzXx+OrBoHGkMwha37ixMDxA&#10;+OAOYISFhZ0+fZq8Q4gRA5K5Z5j79+/v3bvXycmJrGQ6WE9kTIjzoc1FGh0ukLCKSaHiqeHKDVXK&#10;BrX3dqvM2dakfY9UX5cNJ3SyN7mNR20Qro4NdHjm/DjCeuTSUd62Av2+ngFfV8u9a6b8dEjmYmcC&#10;P1klPWGElnV3yOAvvH5wHJzBmvZdFZnjvME9JE+Hr2y+fv16NAl/ZIJk7pnnl19+WbRokYEBNq2S&#10;AKpfeqzHqZ3l6qrUg283Rbgk6gaVuXFDQWyoC+hCVX4ouClgW9/AVip+oTzqNVmCSvpnxeB3vSKJ&#10;l5XELapLMtLnEtEojUrJHOfv6WJzYN3/WNuKMDjJPbnk632VBRmBbAY2qQ6HwuFwZs6ciVaLG8kg&#10;mdMSbty4UVlZqVjKCWDSadlJvse3lzy6CwbunqQgfPmLKVClv9lXxcJmyFJC/YV3OxoC3K06d1eq&#10;pB8UU3KUhtA6d1f4uVp1y+t+/LK6ODMIModCrBOiQ8lJ8rvbXtfb8bAFXeDZ8NXeipKsUbwHmzYA&#10;NBotNzcXDfod+SCZ0yrOnj0LFQ+qH1kRcc8uJdK9cUPhQ5b8BoMafqGpauPSHEM+r2lLyT35jN5O&#10;cXaiD2gBeD1rFk72d7fukQ9tq9yQ6l1PhzTAw6Z9F7bZI2hW84el4fgypZBFVArF1kyw6+2J6hdw&#10;r1PcK5eCX5yX4k9M4CeAD44bN669vZ3Md8TIBsmcFvLVV19lZGRQsY1UcH8Fr8lh/sKtb+bgSz9q&#10;iFihhjdvLowIcmIxaNmJvrdOYWmObC3Bh/JT+Hq69WWRQyFD/zghwZe0FMM37lmVe6d1qNr+wFGd&#10;XRldXx6FDwDEjvR0yDYsykqJdHu9IfGHA9PV14Dp7qjd+97khHA3ovviAZTIyEg04vfZAsmc1gJi&#10;l5OTQ6f3+SCAyNroVWn8+Sao9qrdi2AQ3p5vkmxcNOFuG1bn4b9Rox0x30VH5/MPpiinHBSDaxgf&#10;48GkU+WfTltUmwBfs6g2TnnExuDa6gWZ4JFNSQ88vq1IcRCuQeUb4b8/H615a06ql7MF+ZTAgccG&#10;eHAtLS1k/iKeHZDMaTlnzpwpKytTnhIL6HKZeal+B9ZN7WqvfbiPtu+9fAtjPajtkoIxd1sHXYDE&#10;785N19dlvyJJTBzr7uFocXpP+VD4jGCXmyWudiYJ4a4r56RdPqL6LhgE6eDfHdteWp472kifi48c&#10;JFWOwWDAA6Ojo+P+/ftktiKeKZDMPRdcv3597ty5lpZ926xAHYaA1M3BfJ447tt9VQMtxHSvE8JJ&#10;2f61BZKpYRcO/YX5rY9iPR3S84ekRz+u8XSx8/d0OPax+PDmKbdODtgR/CTW2yG+3IyNBQEZVVFS&#10;OPjjl+LXG5ICPGxo2H6CfT6cQCCQSqXnzp0j8xHxbIJk7jnil19+2bp1a1hYGN5s1weLTo8Iclw5&#10;JxWfIQDhqkaVGWTpgdiwrmQsg0Y14nOCfR2jQ910sdWcdOZLYlRSDpH1yiWXm2vWvpaRFOnGZfcL&#10;7SkUio+Pz6pVq3p6esi8QzzLIJl77oDI6+uvvxaLxSYmimW7Sf+Fw6THhDqvmJ3y/YEZPfgSIEMU&#10;QoLBmd96KdXRxnDP6qnTJ4+tL4tu2lycFuPRtOmRRrE9hhF+XK+85lyT5L0F41OjPfW4LPx397lv&#10;fD6/qKjoxIkTf/75J5lfiGcfJHPPL+Dc7dy5My0tjcUiansf4GQFeNrMqohq2lx0u62O6K8YdMmD&#10;0/bI67o7ZI62JnaWAmKlX5U0g2Jw2q72uhMflb4iiQsPdGBja+H1g0ajRUdHb9iwAS0oopUgmUP8&#10;986dO++//35MTIxilScSvB3e2ICXHuv15gvJbTvL77bPxLsmSckbFOED92p6flhFXuijD2N+iCku&#10;Ca6zu6Pu9GeV785Ln5jsZ2XCV5E2AIL3kJCQ5cuXX716lcwLhDaCZA7Rx+3bt9evX5+enq6np0cq&#10;gVJAB69MDXWTIjzmVsfuWzP54mHMF8P9ryd1wXDp1DDA5S8Z7hvKrhyVHVxfsFAWPyHOx8pUHx/3&#10;pwqbzY6Li3vnnXeuXLlC/nKEVoNkDqGBf//73/v375dIJO7u7ir9FQQgHkw6zcnOBNTkpaqYD9+c&#10;KP+0/MYJWY+8llhgHfP4OlSV6C+aunpiR3BfEvuKXrns5qm6r/dW7FyZN18Sl5Pk7+FozmaqBqQE&#10;FApFJBKVlZV9+umnaP7p8waSOcTDuH///uXLl7ds2VJSUuLs7Kwy2PgBmLCAjuhymK4i03HhruUT&#10;Q+bXxG1amvXF+sJv9lZebpbcaq0D1w+8LXxIB7Eg8AM17HutYhIQMvjUnba6Ky2S7/5W1bSpeOsb&#10;Oa/VjqvKH5MS5QGips9ja/TXCECg7ezsJk2aBCH5jz/+iJYPeW5BMod4VEDyrl+/vmfPnlmzZkHQ&#10;Z2JiotHRU0DMjQdjMemGfK6dhcDH1SrUT5gQ4ZqZ4DspLbBgQnBpdkjFxDDCynNC4Uh++qisJN+k&#10;SLcwf6Gvu7XQytBQn8dhMaj46YhZqAMB7woEgrFjx8pksh07dly6dAl1mCIAJHOIxwScowsXLnz2&#10;2WcLFy7Mz8/39/fn8/kPF77BBfMfdXW9vLyys7Pnzp27c+fOM2fOoJ2eEeogmUMMGiB8V69ePX78&#10;+NatW0H7Kisr09PTg4OD7e3teTweKODDfTF1ID18isPh2NjYBAQEpKSklJWVzZ8/f+PGjc3NzeCs&#10;/f777+R3IxADg2QOMUz85z//gZj37NmznZ2dR48ePXjw4Oeffw4umDL79u07cOBAS0tLR0cHuGbX&#10;rl1DmyognhwkcwgEQstBModAILQcJHMIBELLQTKHQCC0HCRzCARCy0Eyh0AgtBwkcwgEQstBModA&#10;ILQcJHMIBELLQTKHQCC0HCRzCARCy0Eyh0AgtBwkcwgEQstBModAILQcJHMIBELLQTKHQCC0HCRz&#10;CARCy0Eyh0AgtBwkcwgEQstBModAILQcJHMIBELLQTKHQCC0HCRzCARCy0Eyh0AgtBwkcwgEQstB&#10;ModAILQcJHMIBEKr+e9//x9J8idPv5NCjAAAAABJRU5ErkJgglBLAwQKAAAAAAAAACEA7FXLl2ah&#10;AABmoQAAFAAAAGRycy9tZWRpYS9pbWFnZTMucG5niVBORw0KGgoAAAANSUhEUgAAAQYAAABCCAYA&#10;AAC1i3jyAAAAAXNSR0IArs4c6QAAAARnQU1BAACxjwv8YQUAAAAJcEhZcwAADsMAAA7DAcdvqGQA&#10;AKD7SURBVHhe7b13YFfV0jUcICE9ISR0UGyI1JDee6UEQhcRexdBem9JSKEl9NAChN67FEXEGjso&#10;oqIoFqR3kpDC+tbaJ8Gr3vf5vD73/e+NDuf8Ttl79t4za2Z2OzbAXtIXNtuOlvifAorOA+ARP5N+&#10;QSV+4/Ec6QrpKulaFVWfl5BK/yHdIF0kKQ/l9ROP1XSaZOVbyefKmE85qZh0kb/PMP/TpMsmDaVV&#10;UcZ/qpm5VXXhtn5UooLvl/K9EuZSwpKV4jpu3eZjFSQeq/n5T6maf/GpertEUj2JdK5rZ0knmYee&#10;0bNnb1/mu2dwG1+TtW+B4krrpir0RrlJuLjYSuNXPU86wwJV8O2yWyf46zTfvYgzlcUm/9vX+Q/L&#10;q3r6ieU6xwRKeG4aR4mICdaLnj19p45ZI8zK1FfZdVy7+C2zr8T35eVWmny9/AwfIB+sdj7Hk6vk&#10;/sZlpskMrzMHvqs6qGDZKsW28mJ9XuRRaVwgqbwqlkmo5EfyyVYtL0UF0xdb4kVyJt5P/8xKULuV&#10;8iabroxplTBtVckt8aBrV8+wbk6S7Rv4hvclN0zOuscsbvBV1fuPfF55iyXxclNH8chjOfO6UcqM&#10;9AzL8A2vfUfS82V6UMS6u3WBJ5SfslK1AMtdwXKr/KwjydQl1r/SVzWfZWLfsrV+ZCqneS4eypXO&#10;dTJZzHLd+IFVc4G8sI7JhFJU+S9IZpUcqeI664XlVX2d4dHoVgUfvsFaqriAq1dummsSFaV/4wLL&#10;oLo6R76UTmUZLhSf5/vlJu0fSNIh5XWKbJzhUfxeZu1dopxc4pO/8WopubpRcZkyRXmquFxEyfC3&#10;0Z9Aga8JGHqSvtz9STl4xM5vz2Lvj+ew86tz2PPlFew/chWvH7mEN47+auj1o+es359b9OZnV/7j&#10;o97f+8UV7D52ATu+/hVbv/kNW76+iq1f3cSOY1fN9f1fKr+fcejz3wy9yfPXvziF/cd+xL5jPCcf&#10;b356E29/CLz3AfDhB2X4qOgqPvrwHD74+Cze+eQC3zuLN744idePfYPXvzpupffxbRz6CObdv8vv&#10;n4+vf34Ve1hXu7+4aepo3xesk6NnDe37QmW7igOUvN3HyrH3q1KW5Tz2fHiETVNuFN0InKRVp5Jg&#10;tTyF5OTpcnzC1v2QUvIxr398oRyXKQOXr1/DuUuXcfrKLXz8WwV+omBfoKScpxZ+y/cOX7mIg2d/&#10;wnc3+JKUXmlSGm7y/ts//IR9535DEbXyU17/hdeukS78Vo7vf75MobYMguFKQi0lFVGoyq/xKgEE&#10;N6/h/MdfmutK+gSV8Tj5/I48fP+LpWjHKYEnefyMvH/O8pzga0oGBERUMB3mf/pMJY7wua8p0O+d&#10;rcAvUgwqgxHwm6yQEtWPVTXX+I/Axly4XW4E+LOffsQHzLeIyPDbRVYM710nLz8xiw+oeWQFXxG8&#10;jp6/oho2uq60SvhcaZnhxrxzjSQFeoNpnaS2VfLWNx+QMdWdSbaMvBezvn9DJX/r2hWW61eW6we+&#10;e/AHyv4XZ3DkfKkBOaV1jNeluEbhWXaUsaYqL+ParWs4w3sfs64oOviCjBnQVLkFNvz/Nu9XNZk5&#10;3rrNCikncwSlU7/dxCmW8V1q+8cqoPgp4z/k+cL3yr3SlPE3AoTAQ6AgOsrE3iMyFP1UjK8uluOr&#10;q6X4jqgrwFBbXyH4lLOcKivpd2AouXXDxitiS6vmwfM33NU6GzyifvAMuPgPh2vgUHgFT0KDgKlo&#10;7JeFZn7paOY/Fs0CRqOJ/yQ09k9H/cB0eAZPgVfQf36sH6h0p5Gy0SBoIvOaCM/AafAMyIVXwCzU&#10;D8hGo8CJaBIwHs18mX+HXDTukI8GPktR36cAXn4L4BWYbXho5J+Fxr4zzDPNOsxFM+8FfHYB6vvN&#10;ZZqzUDdoGuoEZ5uj0q/vm0+y3v+7/P7lGDTV8OtFUh01CpxkeBU19p9ieHJtm44GgTPRNHQG7mJd&#10;hnTJwHtHy3CDbX6JjSbrbBqZQiHD/BuFbsz8g/B+bAFaPrYcDw5YgeYp0xHZLw8JfaYhPGUqQnvM&#10;QbsehQjstwkhifPhl5iNFg9nofkTk9Hi6dFI234IFyTcEk7SuwTCxBFTcdfjI3D/Czm4p3cW2sZl&#10;ITAmDz5Jc+DTYyGap06D/3NLMGzhx3jrKyoQ+bn6LxJ+q4QCSiGWh/Xe95V4ZNYeeA9ahIcG5KLD&#10;43PRrm8O/B/Nw/2pWWj5yFw07cny9kxDyFOTsfvjb3HlGjWBFvjqpZvIzt0A/9Q0tGWe4Y9OxzPj&#10;V+AipbpUdINqXCEAsHKWGl/jP2TH/N7/7nFE9R2G+JcXwO/hqYjsPgTvfHoWl/jMax/8hHYJjyOw&#10;1yCE9B+OJ6fk4xTruQpvLSWsqmtijAGM3N0/oGW3NAQljERqymhMGDoH1GGjZBf41gkqtjyTU3x+&#10;zRu/4bmMAwh+Yhnqp86AR2IGwvrNR9IT+Xh44hbk7j+HT9imP/PlK6o7JcL8L5w5i5Hp8xDaaxQe&#10;7DgJHR6ejuemrzcKfFsPyBsp55FtdpMHgYKar1TAUHkNhw4dQsIjY9AqZQqadcqEH+v65K8lKBNK&#10;lfDJchXKAjplK9zY8WUZBs8+hC4Dl5PHXDwQNRz3hA9CQM8s9B+/E4sPluJHPm/y4vEK651VWMTf&#10;FjCwoQUM/qQiG7cpcGtdCMf2y2DTNgs1fTJRq20e7FrPh+NDC+H00Dw4tZ4OxzY5cGw1B3Zt5sGm&#10;/RzYeP8zqtFuDtOZB5eWPLaeBYfWymsRarVeCrtWBea8dptZFpGH2g8VoFbLDajZcjtsWu6CTetN&#10;sGm3kGlNRw1v8tt+Omq2WYQaLINNK95rs4H3V8CmwxI+s5TE83ZrWDZRAc8XkX+W4d/w9reo/Xym&#10;s4R5LjF1JP4dW8+wiPUjnu1aLYGz90o4t82Hw/0ZaBk+HUdpnm+wMeQqX2LbV1s0NZJcvn5pLF/b&#10;V2ETmIX6fbegdths1A1IJxhPIfil4a5wAlrkWjj5L0ObhLW4K2IeasfNQo0u2bAJfxFPLn3DuI/X&#10;mP4VHtcePg6XxGdgE/IcbDpnwTFxNpqEzsYD4QXkbTHu7robnp2XwjEmEw2TctB50Hrs/aTMWK5z&#10;Ny9TYK7jxOmTxsKteucc7u2VA5vYMajdNxc2Celw6pgFh5jJcIqeAofYbDgk5aIWAadO6hzc1zsD&#10;79B0SdCNsvOfYWkrUcf3BTSITIeHz0Q8FJeJ1z66YhRY9VBK011BpbxSLNUs5rUyU0ey/k+MXAdP&#10;31fgEjAEtb1fxD3RQ/DWidtGIb4jg92en4KmwY+gHst6T9JQer8XjQIaYJD+sL5vS4PIx2VSj5E7&#10;0SgiA3e1eQneHZ7AzycrjPeissviygvY+v0NpAwrRJ2AkWhEMPVIWszyL0T9PuvRkIB/d1AO23os&#10;HDqkodfIT3HwC5aXWmbCCeYpcHti5HIau+Hw4PPu4VnwfTwHB05YgR/KyGE5rcKtSpTxp56/Tj51&#10;JKcElbmo4/c8HCPSUbfbUjTplI1jp/mAElfIzId+/OmSkR95AsPz3kLU44tRP2QU3Du8ivtYv607&#10;zkCrTrPRouNC1PGfAc+QfMQ8sR0fMTo9X+XV8VhEsoCBlsWGXoIFDHUyKYDb4BS4AbXDF1FQlsA2&#10;eAXsA9dQCNfB2X817y0jLYFDwGrY8bpNKJUwnAr3D6hG6BI4hcyCGy26S8AiOAcUMJ/VJm3laRdU&#10;CLvgAtiGkI/QhahFqhFK0FKeoVT60DXmd63wPNSIyoBNVCZsIqis4eKJwBCxDjYxBI5YKn80wSFy&#10;NWzCNvM9Xqcy2UTk8Tle/ze8/S0KZXrBm1ErcDPrYh0cAgvhpDIYKmQ51qBu9G64BG+Bg89yOLfP&#10;xX0Rs/ApPT+FiFKES2zVK2zS8xT733gutH8sdy9qxNMLemanEUCXpGVomjAb90bRKwibimZReagf&#10;vwJ2AfPQLGIx64/lCMiDbW/WSUI2Bm/70aQjRRZt/+ICPFMnwSaFipyyHI6dVqJZzGI0DVoMZz+2&#10;bcg6uEXPhVNkBhwipjLd0Qh5ehmOUtKkcGcrrxqBe+3bK/CInwAbv/Fwf5JtnzyN9ToWtRMnwy05&#10;A16dZqJJ75WwS2CdR8yBQ6d8NO42E+8zZDlD+TV9ADw+O2k13MJG4kEqVqvOr+GeyBV4ZNx2E87I&#10;vb1QeZM1oYj8HMHze6rOFaOomz4oQYvkRWieXIjGHeejWUoelWQathxnyEJEEa/rDn4F704j0DQ+&#10;g4ZtMB7J3ESrT7CRhgkd+FzFpUpzuu29k6gXmo77k5bjgYBxGPD0fJTzuQvU0e/5jkAh/6PTeKh/&#10;NmzbDkKz2LmoJ/kKmElZmgsbAkKD0Dw0D52Lll03oVE0Zfq+THp06/H64QrTh3X+Wplpg76jtsMl&#10;aBYadd4Ht5i1sA8Zjb6TFrFczOi2QixpZxluM2/Tx2OxivW738X9Uc/AiW1v24n19shraNJnKd44&#10;dpHgoyfKjbNRSjD7gfX8wsQDaEivvkl4Btz9xqJx1GSWcRxqtHiRBnUoGkbRqESshEvgWtyXuBZx&#10;/aZjx6FvDagIGA4evWkBAyvcxva+Wf6kIhJf2kJrSEtK99fGnxYoMJ/H5bDxpSL4USn9F7BiqFT+&#10;VKgA/g7is8F8Joj0Hx8pqCGTUDMwDTV9F6FmByq0L9P0Y5r+Iubhz3wJRDYhfDaM/Bgib0Q8myDd&#10;53MBtN4hBIawNCorlSSU18LIcwSfiSZYRPN6BN/X9UAqs97Ts2EUcqX7t/n901HpKD0Cmakjgpup&#10;H0M8V30FrqL153m7uVTCmbg3NgfHKcHn2fIChmtskmtUgCv0Fc7TLkqhe2ZQ6fwHwaHbIrilFuCF&#10;FeeRf6gcBQcuYvHOn5G39RRy3yjFjP3lmLu7FE/P/JrPbYDHgP0U2Fw8t/KkSecsrc8lCueWotNw&#10;T5wEJ6bl2G0dYiceQ+6OMizadRtL3wTm7gVGLPoSoU8vRKOus+DReTbLNg6PzDho3OiTpSUGGAZk&#10;bEKN4DQ0fXw37Lvmw7PPXEzedwYz6WLnH76C+W/exIzXgchhh+HSsQB1uy6HR9xUFFHuz5IPCwgJ&#10;DJk7aHjGw6vLGjSM2AfndivhGDAGyz6+aGJ1gcMto06y2acIDDdM/0fy4O2oHUAPLHIT6iQsgWP0&#10;NALSLGz92eqI1BvfnKlEIsOTZskMIZPmon6n8TjAROWxGG0TA1QkKcITaQVwD8lCg6hFuC9wHDbs&#10;/hnXq9pF6R3kP+3607pGToK790S64nkIeXg9nsr+HNPeqsRGIseMLVfxxMT3UYdhcV16AyGPbkcT&#10;37GI6jwCn3511ng6DMLQbfRrqOG/EO4J78Cj40Fa/+lo02cy3j35M9khd5XkSD2pPDVdC1T0s8SK&#10;fi/nwj1gIBo/Sg85YSPbdzkaPLIK7/1IQGC6V2/eMAAinp8asQ0uLYbiIXo0dfwmwbv3AnQethbT&#10;tp/Erm+BxYdvoX/6h7g7eSlBKh93Jy6Dc8vH0fnJbBAQDDA8Om6jBQynKy8aYHD2yS+yf2gSPGMo&#10;zD7ZqBlPaxBF5aGg2YQTCMKoCGGyskLLGRZiyuqG56ImFbVW6Mz/+GgTQaWNGWtZ+iAWOmAHagYv&#10;Q00isA3dZ5NnCK+Hrmd+zIuurk1MOhVdLnM+agatgrPPerj6rKVgLUWtYLp4oVTQcFIkz2OYRtwU&#10;Wl1SJPNjejWDl/O5fNiGT4Jt5Fh6G5l/m98/H23CmT4ttk0Ew5QIgkGEfqtcuqd6m4uakQSFkLmo&#10;HTKDHsVYWpiBOEY0/pEteY0SUExAKDfjD3KbGYPz7IWc9bQog+CWlElFnYGtbFS5w+rLkoBLcaSo&#10;Un5dX3boNOrSTXTpTGD1y8Sgxd8ZCyvLc5sCtv+DX1EvfCzc4lmHodPw9Lzj+Jn3JEyn+eBNPqN0&#10;1x78GC37ZMApeSYcGFq0enYTdn9XbvJ485syNA59FQ3iF8MpdAHaPbwMRbwhPZPw630p28/88eSE&#10;N1A3OB11wjLRpnsevuG1s5Re5ae0eo7fiBpsR/dum9A44W3clXAIzjFz0XPmQbxPpRAcXKk8j7JK&#10;wcQ5k+7iN87Rq5kNx/idcOtyEJ4p61Cn8zx49VmMzXxBodMNFlguceHu7w0w2NIY1KRSv7r8U5ym&#10;JZbLbcJ5lv29n0rQstc41E2ajTqRs9Dn1Q2mzpSX2uDtH28j4nG+f/9LeCByDjoQFB59ajPe+9h6&#10;5ify+R3pa6andth2ohKBTzH0C30GTQP64JkhU3D62jX6gaWmrVIn7ke9LltQt8sn8OhUBJdoKmfI&#10;cDybswrf3Shm24tzMkkejQdAHpeu/wZN/V+Ba+hUeD75Jmz6HYRN0mrU778CRacqUcLnVPe/sm5n&#10;rjqG+8PS0TphBVrRo7qLOjWHoK1xLIoPTpI0AvQ9aR9ds8ez36AX9Aza9chkiPMsCAgCh9+B4Rqu&#10;27g9MMMAg0v7yfCMpjLyWCsxiwI+kUQQoIDb0I23CRMYTKeSMcaMlBs+BzUp8LWDp/8jqhHGPBib&#10;2kQzj6CtBAa6ziHzrethzCeUblsw3WOReFC+EVkMH2agVtBCOPothWe7FaRCuHqvQ21fPhdAIAmm&#10;xWUoZMMGt4lkWuE5BIS5dJEZAvkV0MWfD4dgus0hE8lH1l/4+rtUk2GQTbjcZuZF19mGYYKpH1G4&#10;6o11FJyHmhH0FqJmwt5vOBvhKaOUF6mMFuZL3SmKshi8dpka9sKk9agbMhINkqZRwKfiHUqelOq6&#10;eicpapW0QRI5RZXXmEbhm5/AJXyk6SdQSJC26jcjWBIyWcc33z7JMGQS7uq0hJ7ZJAyc/7FRglv8&#10;z/S2K7Ct0NBVJR7P3EJ+p6JGEj0dAt2K94uNMs9cfQQebV+Gd58dsGk5CZMWHTNpaNizvJhnKgpJ&#10;sfXAMdvRmCDYPCYbD8ROxpd0ceW9SKGUVq9JDL8ScuCYQlAP24bGifvhnKTQbDTmfXLJeA3nGb7c&#10;Zr3cLLthFLXT0O2syzmwS94D996HaEwWwCGRIJ04BVuJq6Y8t5g5yyOga91zPrxSV6J20nw07z0f&#10;b35lgZeGPtVXMXbth3CIGYY6HeegIYEwd+sJY9kv8P3zfH/dexfQNGIs2qesQL1WGej32E58+ZkS&#10;IJm2u0GlLDbA+DWbRUq376dfEPXUC5i8qMDkdbVc/mCp5e2M34y63daiRvhuAtY+NErejAax0+EU&#10;/Bz2/XCDYH+baZaaJlMHpEaNug5Ygftp0OonFdC4sX76vwab7ivh3nMWjjJDDWao3F8RHeKeWoQG&#10;AVloGLwIzSLzMe+1GyYUEiidI6cayLzE9GVU1AbbPjuFlKG5lK8xsPUZiAe6Gq/hd2C4gVt3gMG5&#10;5VRa4Hw4hNMC0jUynoEAgXG+DeN9cwxTDC+LTjc6dIlRUKNo/4BqBDOtBCpVHC189D6myzAmIJ3A&#10;MImuJpXMhxZYrrj3UjgnLEeNoNmwD1gO+7ZLcF/sBni1mwX3BxhP+c5Bk2DG8j4H+A7TCWEFhtG9&#10;950LxygeH2I+LZfj7vhDjLvWwub+GXCn92DnN518zP0LX3+XagXKG5BAq8+Ddaa6krdjiOchrKMQ&#10;ekDBS2EXmAunDuPQMmEcjlLRJTiy5tXKyzYzQqch9sGTDsLLfyqaxuUzDpyH149ZFqSyhJKgYT96&#10;GWVsas3puEna8t6HaBAzHPWS58EtdDrGLz5uXFGUMdGKMrzz7nHcFzUGjeJmwzk0A0MWFxmB1nwI&#10;439USHxOUTCLMXHlB/SGpqJm7Hq4J2/A8kOVpn9g4frv0dB7MO6OzYdjuwlYsPV7o+jSxOKLNNmS&#10;Uj6nwytjtqBVbAYaBo5Bh05T8REtlJT1Mu8rx0fTt6JmzBTYd1xMIFuKu1K2ERjYTqGMz4cXgjps&#10;BF5VoqHT3e+VwcU/E7ZRy+HUcydqEVDsO+bDnWFP/d7pWHf8umwt64+VVFZp5kms+bCCCphp+lNs&#10;w2Zh6NwPzdwKKf8RYvE9j+bBsXMu701FxItr8SPfUZ2I9EzsM9PQJCaNHsBcegxLsGqr1TYCv7Jb&#10;JWw2+QLXDWDrne/5+yxr5NubP7GMArVSkjpNy4w/2HGCvLnRcOu8lV7gATSOWYl7Oy2FOz3zsFeX&#10;Gi/pDFtU6WkEdj0V++4OmWgVVwj7oAVwfWw3aj5J/Qgdg+YDZuBHhjm3WDd6b+Hhr9EklsAfuxie&#10;gQvRe8znZihY4dAV8vhbxTGm+y1Z1zwe8V2Kc2VXsOKND+AePYTeVy5c4zLkNRQRICxgKMFtAwyk&#10;IrcHpsHFexldRSqjX5WnIDBQJ2MArbGOEnbF6qG8TqWoGVhAS0zB/wdk0o5iXhoZaEuAiVuFemxs&#10;m3aD4BG1hGhaiAaJ9CJakZcOabD1y4KbN+OnVuTz3kfQ+Zl0+HZ9DvUDnoHNvQSyBxly+BEcCBIW&#10;mMn7WQJPonS9oL2waTyP4LECbrznElEAe4KbvIh/x9vfIZXdJoh1IgomQBAAahCxbYJZR0G6R2EI&#10;Wk3wXAl7/wVw9p6M1rSgx2gSy9n4sm53gEFCRyomDZz0Ljz8Z1CRl+OexEU48CWBhM9Wym+UZ0HR&#10;q2STSzBvUhg3vvcZ6sWMhlfyAnoOORi39Ave07Oytdfx5gdH0DJ5Iuonsj1bj8ZTue8boblQekE+&#10;A85e0YQrWmdeeyprN+yCsuESr1GdmQQduszEjbdoLe8NGoL7Oi5AI1r7oAFpRuDFjVg3k3OYwG9U&#10;uqfH7EKj0CkU1Gy07ZKFD2kylfZVPiiFf2LKRtSOHg+njnlo/egq9Jv2Nby60nvotIzu9lSk7/jS&#10;KOd51stZvpjQrxAe4fPhkrwKrUe+i9Csz2GXmAfX5Ew07j0W2765bM2DMODKf1hX7xF840dTDiIW&#10;Mq+l8O2/DF8yLVn2GQe+h3M3eR+L4BEzEzmbf8ZPVHjV1jW+/OFv5xkqjYM7gaFecgFCnz2MdW8D&#10;J4gsX6s/42oZThMcTly+guOnK/ELK+ESG/GKgQSFhKwEzbkgUIklWeguU1bAuSND9W4r0ITANmDy&#10;MdbPXNjHzUP9nnmYc/hLo+Ti7yOexDxcgBYh+WjkswCJQ4/ioRHvwKYPDVzSBLR4dCq+PcHKJM96&#10;/uXlu1E7YBjqRy7A/R03sjy3TXgjEC4hP7c0mc74D6dxu1TcCEZv4LsrDKceITgmyfvPgHvftb8D&#10;Axn/F2CYQWBYDucQCrqvOusYN1O4axAUavpvJK2j1aZCh8hSChgo+LKY5vwfkCxtEIEheQtj2hWM&#10;+an8AS9QyZ9Go5DNsLlnJdx4v6bPVLhSkOrFToCX32S0SxiCtsmNsOXoGPg+1QiNunWAQ8RA1Gas&#10;XzNmG8GGQk1rK4vkEEFv5K5pqMf06gStRU1vlss7E7XiqbztGZrI0v873v4WsewCBQJmjUCBJPMP&#10;orvOo37XoLdTM3A9y7QaDr75cGmXgbYxGfiKilIhQKAA68D2NUd5EbJqT2Uchn3INHgkL0dDKsuO&#10;4xRaCn6xHhCYUOgkcLIu8h9WvfsL3KiErp2Ww44hy9AVXxgFvEX1Kqd4bHnvAzTpMgn1erKuQ+bg&#10;uRXnjbsuP+EEM/6OaQooth+9inZ9FsA9fDYe6rEbHVLX4TPK0zUy+BuVKqjHJNgHDseDTxXANvlF&#10;PLf2ENZ/V45PKaOaiXiEz7xPhvplH6GXNA2O0TNxf7cZeIfSKwDRfATx/MzkNXCNGAX3jlPRqv8M&#10;LPkECH/1HbbVXHglZsNnwCwTv0uEV+8D7O8ZAS+GDk16r8Kg3VfxzMbTsIsjeMVNRrPuQ/Da14SR&#10;6gq8yZKX3zLvLnznKhyi5sAppgDOwenIPXAFxFiEDiuAY6o8vNkIenSjmTh0nhV64dY18leKDZ8U&#10;oWFXylOndHq0C+GaugahQ99A+Etr4NcvE1HPToPfY9lo130KOvdl6Ja9D6eZ9w3WdokZVmAmaiCW&#10;t5R1J5DrSmCo12MKrfNsNO08H7uPAlFPrDNhphQz5NVcMwNTfQBZW7+Gc+sRuJdebbOAOVhMUEqe&#10;+QVBYRIc6SG17DsBXx6hn8K09U7kmOmwCx4Oz+j5aN97J+vDak8Bndrf+BVm1IMNrchVuMD6VZv0&#10;yHwLtl0Wwak7HYLuy4roOVR7DBU2rvfnGGDg0XgMziEUIN+ZrDha8kAqlv9q1KALXsN/JRWBYBHM&#10;6+roM97D/4aYXhLdfv9lTC8THrGj4BnWH/fFjELzwLVoHvQ6XH3pCvpk0W0fDKeQl/BQpxwMmZmP&#10;Oa91wpHbz2HDLy9h+O5R8BsyDTWjiXzt6cJ7C9DSyN8o1InJhHtwBsuVhQe60Hr7Ewy801CrCxVa&#10;fQNVIdE/IpWf9VOD4U3NgMWkfALBAgICPRWNpASqvtaS91Vw8KM1b59GYJiMr6iVAgaFEorrb0qg&#10;2EhqSFmNATn7UDNyCpy75MMrZSG2fGuh/3UJm4CBf2pbPS8gWfnONTjFzqZrTHc8JheDCr8wwnid&#10;sKEIffsXx+BCS2PXjUBMd9xv1CfI2n0Bs/ecxkJ6BPPfB8Zv/RF+z+ajaac8Wp5ZqEsP7eFXtpuJ&#10;R+LtEvOdtuYd1PZ7Hg70Plwfy2TbDUaboWvhP3QLHnpiiZmQ1fLJTaibSsCMXYh6fdegWY9ZOETX&#10;wlhjKoqE8flJK1EnnMqeNIWANQSHqMuzXgfsvCeida+lqBM4CsveuoXjfD70kXVoHjvPdMBFDt+J&#10;3USWJwqOwjZ8CuokTGUYMgS7vzxrZg0aZbzOmrpxwXgoR/lP+EDG9KEz4ZmYi8CX1mLhpxWo05mW&#10;u886epfTMGbed2ZOyU2BVuklvleMle+9A4/OL8OhZy7s+9PIqNM2nuUNH2YMkGfCWLremYzLF8Pr&#10;nkF4nqGI8lM9lVHhKsljCdtYo5Dqg1FbpExaDfvY4XBLysLdnWeAjgZmbfoFDtG5qBmXi7pJI7Do&#10;44t4nXUR/PwShr0z4dZ+ElJf2otvyV+fvCMMt0fDs3cO7k8di2PHWKO8LqB76NmxrMt0NE5ejNY9&#10;NuAQDY+AUXUtTxC3SRIYgYIuilmea55LnxkfUSZmylsQQBTRc7CAgc6ojW2rGf6kIqcH0+Dou8Dq&#10;YwhgRah3XUNzgcso/CQJfIgAYxqJlteMHMxhhf1DCiW4hNPCt6WlbZ8O+9aPob5fJEbOWgvvmIWw&#10;bZSLWi2WwN5vMdxjp8M5nMARMhxdhw7FxzfH43M8he3nx6J77mNM61G6vhlUqB2wj9+B2rFT4RT9&#10;PK/FYvyKfajT/hHYNH+MLj0BI4gutfoHOjJmC2eZ/h1vf4dU9qB5BIM59BTokgXNpKWcznBC9Sbw&#10;VH0tQ82QxbAPyIVzh3FoHTcGx+jnqQ9A8/ZvsoXUkXiDx0v8LdfwkZkbqeDD4NRtGjxTc7CZZsQo&#10;ukIOWSM+JyGU9RUwFB4u/QMwvFJ43AjGNZosPfPaifOoGTUWNbvSY+q5lwKwHvUSstC652yGbLPh&#10;EDmbbvkshnJT0IhC2yB8HKL7zsQXFDDJkvI6W6zZ/hri2446ibRcfQnCHTMIACTfUaz/yXDtMg+1&#10;Gc44dGV42YO8JM9G414z8MYZK4S4SiWxgGEVgWGUAYb7eg7HAaKhHN2E5zagWbg60KYi8ZUDGFl4&#10;Ac6Bk4wiNUocjam7fzBrGx6edhB2vN6442zcmzIee764imKmbWKakuvUA3lKFpjOe+MKvRM+23UO&#10;3OIJLiN3wT05G45x9Ir6rMQHtK6au2DqlQqk+Hvbp1+hbqdRsOU7tfqyLXosR5OnluKuR7PRKIV8&#10;Exicw7Loti9Fy4CJeGnwOlMuTVgznosASheojAIGFh/dM3YRiBjPJ+ehBcPl79gwmi4e8iJDdO+R&#10;cIsYh6TRO/HM4hNwjiJgJk1D/bAxKCT/Cgt6pNGyR06GW5dcNEkejxM/3Tbhpfpj2j47GQ2Ss9A0&#10;cT5ad1uOQycteblBZiolAVozJH7UCFUeg5ZhqH565nxAOZ4Jj15rDDDUiJhlAcOVO8Awq8ihFZWT&#10;sbBccptAAoOG+NSfwJi8BmPmGsGaYKS+B1rd6l53KYdGK/4JhdC6+yyCC11v79SViH5kAnoOTsKu&#10;Twvw4pTpCOo+DXfFFNKDWUm3cQHcEslP62GoG5qKtUcysLjoUaw7PgfRrz4Bm1YD6ObmwyP6DdNf&#10;UdPvObR5uD+6DUvBO6d2Y8CIZxE7YCge7DIdtQLIdztSCL2hMHkN/4a3v0Ohc81oR63gPNIs1Aph&#10;2qQaobPMPWs+Bb0hAqBtYC4cfNT5OAZHaUElOwIGLQy7SVRXX4EWMhmPYQa9jJhX4NotA/VS07Cd&#10;wKA2LdV8ZM10q6SfwVOlIdRfe/gyPaNpJkavRfd9yPITptFlGM5Tq1/78poJ01z6bkPdJ99GjSSW&#10;u+3L8GBY4Oqbjpr0Djy7z4NzZ7rOfs8idMBULN3+Ic7xXaoc0ynG9dvW7MOTDBVyt16GV7d81O2/&#10;Fg0HrKIrnM3YOY9WlkAeo6HkqbDrvgi2KTPQuE863mDMog66y1QaAdUzk9fDNXwirSTB6eHxWPHe&#10;z1YoQ8/FrcVg1tES1ItagkZdlqNRDxqfVr3RefR8HKHiaxLUk9mH6blMMaMs96dkYS+V+6o8KaOY&#10;8pGlDFb5TzLPyJcWwS2OoVS3uWYeRuOUfNToMBbjC+gt8L0rF6i9lTKpl3GNwPLByeu4n6BpE8U2&#10;jFyENqPew5wjwG5q+K5vbuAwvYG3CZpFPB5iGPTJ8TKjd8qvVIqnhqFm3mQ7a7qx+mL65LxNIzIZ&#10;DTsXoFX3BTh07Iapk7z9Z2DnMxSNYqehecoSAkcBXOKZr/cLeDhtI35kcRTydRm5E06R0+AcvwD1&#10;CerfkBetn1HokTx2GVxDxqNRZC7api7GTvJqtX8xim/rbTIknsikIooKFlc/ZTw6Tt4P28SFcOnC&#10;fLsUFHkl5VnAcAG37wADj7D1W45aEXSzaeFsIumSh6pTjb/VF6AOtVABAQVfgBBq9cxr0sk/IfXs&#10;e0WzEu4biAfCJiJt4WK8f/oVfHilK974ZRAKP1mMiIH5sA1hI909jPnnwS1yNR4kKvYdNx/eXbvj&#10;1enzENJzJOq0mQi3NoyTHlrHWD4X8c9NQt72Kfjo9FB8e/kVfPTNZMxZORlxA9LgEZQJ5zgqbBDd&#10;/6B/z9vfIXVcqvw1g+cbgKgZkocaJM1bsMIN1l3YWh5Vdwtg65uGFgmT8RklRUIkAyfLVm2w1Fhq&#10;0GeytsCJbqtX50w0TUnDPppJ3cNNPn2LAnyLLazlhxQMHba9dQINo0eiXsdcuERkYsyS73CT12UV&#10;pCcHPrpNwJxBoCEv8UtQt+cyBD09h0CZjS6PLmT9zULznul46JlsPDZzHT66aHkaGhBVZ5o8mnIG&#10;pdI3uQ/Hj9NKJRWikfpp2gxEyDMLkb7+e8yg5uQdKkYwLWid1GkMKdLRvPcYHD6jrlKCA3mSMjwx&#10;ZStd8iy61Xm4q8tobPjonCm39LPnM5vNKIBHtIb25qFh/2moEdMbSz85YiynAOS5Ke/CI2AmGics&#10;xT20wPtOWJ6TqSNVZDELrapifkp3wVvfokHnCWiYOh8OYbmoHzsfrbrMwgdEGXlDN66Tq9tMgb5/&#10;KV2P0yxnx4Fvwj5oBYF+Bfxf3I/dzENpCT6UhdZaVK8kVZgkUpte1dCLGlWNy/x1TV5gtzSGYdHy&#10;fNegXa9VBIYr5h0NNXYetBr3kadGkSvhELqG3soqeCSPwqYTF43lF6UyjHKmXLnErkOjjvn4kDKk&#10;MquvaFThp2b9TuPwmbiHofPUwo/Mvet8k6WhmJBR8qSJU1fJsHi+xCde/+1L3N0nC3Yx80BPQV7D&#10;vwID/gUYZhEYVqJWOOOvamCo7mAzxHMJfZg8hfnG4pu5Af7VtKiKeO63FLX9C3hcQXQvhIMviee6&#10;bp4JWAhHTeNtOx7NY3Lg8dBzaB4SjIL3UvFJeT+cQDbaPNGMbmp3s1bAJnIZHBMYdrQvRP2YzXD1&#10;owVsN5BA8DgaBYxB0+Cl8OywHi4PrUdd79m4O6wfHkxohqJfR+KzM88THGYjLLUlPNt1Ru3Wo80w&#10;q23IKjO68K/81vbn0Sj+wiqygM/MfyD/jr6iAjj5Wu/VClxCcPkdHGoYUKAnZIYvGdNrcpamTgcR&#10;4HwzCAxpd4DB9KRTeKpJ4YUU6IWpW1AnZBga0eW9p1Mm9tEiSoArtURb64sFDKWWAFbyve1vfU1g&#10;GE5gmGkBw+KTWqBoZcIXd75+HQ1jGGenEqDCp6PHjE/wFqX1/a9v4KMj1/E9TceBH27hCyYvxTtd&#10;WUKh0gLd8xSii/xP58yO909TEqdM/RyN/eagYfh8M+lp5obPjPU5Rf5l0XtM3kGPcwg9iHTc03Mi&#10;DjNRAYLmCEi5Hp+yDbXpcbom5lNJ6UHRiqkT9RIzOUivof5DI9AsYRkapRJ4wp9C56w5Zi6AXHK9&#10;32/oHtQjaMiraBI93axgVfoqrgUMTIj1omnQspfiye95ympEGto+uh0uPml4evIBozzmHaOiTF0r&#10;GcmjQHVQ1rdoGFGIupGr4BqYjQkFH+I3VjlvWajAc8tDL+bbZVT+26buDn32C45+eRY3tIqNaane&#10;BGhRIw7CMYnATEPSpm8hvmR2yls85O/+HndH5qBO4Hy06L2f4JCDHhNXmveqgaHH2ENGZl2TtqFp&#10;15V46ztrqrXKt/q9q3iQocc9MbPg3HYYOr6yDEdv3DaD2lfJoaiY9XKT/Jh5Gnzny4pTGLl+KRwj&#10;X6EBWsCwLg/jCt4vCnhibnUo8TswOLScBnvfZWy0lQSGaWaCi+lgIyDUCCyEhucs4ae3oDAgmApB&#10;ZmsFSSk02cmymLqvsMN4GH4UxoANqB26le7cdlqYXIYEy3gvg+9NhTNDF7uHsuHqMwqNYx/D/KIN&#10;GLF1DNIOLETHKWlE+BEm/RoBBCv/raih0ZHAFbALngG70DTUDGOMG5TDZ1bCMWQ7HDpshW2reagf&#10;OhHevQZhydtbMHHdJMx8LR/xgwaiVrtH4KJp0O1WwTH8Ndh0mMcYexEcowgSkYWwiyb4aT58KF1i&#10;TbxSyMSwwIw6BKxBbd81FkD4WeAmj6OGRiKqvQbWg5mfoXoTqMpbYMhiG8B8OkxGy/iJZh7DHevG&#10;k8orFB+eX7xZahTk8ckr0TSermFCNh7sMdeMSkjxBBoVt2mKymjSND2O8nmDr656/Se4Rk1Ew35r&#10;YBebi1eX/GhcZGO1mP6eN8+heTJjVvXE+47Hc/nWcKB4EH7oMQmwfmv57e928DrvWW6ynv+akryB&#10;rnOTRNZf0Cx4Js1HyqAl+Iba+hPxSs/IgvWb+hrswukRJOTj7q75KKLW/sj7SvE3lrP/xPUURFrP&#10;pBXwikvHvm+tEEOx/mU+O3qS5qg8hgbhL6NB3DN47fsr+JlMahq5AOCJCfv5Xj6adab17TwbBz6x&#10;Om9NfTLMQglzul0J6ga+40/13A9cwdg9JgPNu1I2wsbiE2rxWRb1JrX32m0N12qKUTEu37DK+z7j&#10;dG+GQ55RlGfvCWjVew7m7P3VKL/uy1NTdgIKtZnAp+CT2wS0CWgRORyr1nyM00Qz9QPondhxH1Ge&#10;FqNG/ELcnTodX7POVPfyQH5l2WKfX4J7u+bCPZRGLnwwPvr2Kq7wptpEyh837n1jHG1iVqBJ54U4&#10;TuNyy/AP/EBgfWr8Nrh6D8PdSQvQJHkuOo3bZWY9qj2Uv+Sn+qjQZvqed9CC+nFf3+mweegZEBDw&#10;+je3fgeGqwwlCAgGGJxa5tCyL4F9OBU6gIqhzkcCgPoXpIy1ApdSAauFn4qve4qnNUsxjApkQgx5&#10;E9VWkxZV3oc/LWdrKgoVyqZtHj2AuXCLnQWH4Cyi5DKifwGad54Hj7ih8HkxDTYtg1Gv63N4gK6u&#10;lN8Aj4ZK/TebodM7nov6ODQ1W8OqtM61wjbDVsDRLh+uwbm4p8t0eEQ+BfvALmj/+Kt4oC9j6qjR&#10;zIfPt2caBAfP+FVMm+VsMZWUCRsfAQHTvTODUelXKblcS9ZBbSK7QyDLwdBG3oLmLfwBGMSb5jJo&#10;LoVGXkKW0TOZA6cOk9Aqbjy+JDCou0AWxeihJIQ/JNyyiE9PXYkGYa/SC2A8HJuBTV9aVkcNazZh&#10;kbio+5vvKZ1171wgsE2GczcqfkQOXs7/1vQ9mHT52Jvvn8ddDGHqp7LcgePx9JyPDMhoFqAEW3Pu&#10;LBGUmFLK1IttdoCxZuKdqVL6Izy2HrDAdFR69VkDp9gsrDp82ii1lEVpisc+k7bAma5p3cRC3Ntt&#10;NT7lAxJuAYMU+6mMjQwVWB9ao9BjDvZTgq+xWGZkgaysXX8Q4d1ewQMxj+OlGevwE8ui9KUESuOx&#10;8TvpxWXRss7E3REjzZ4aWkQkQ24mdZWV4Nr1UsOX6m3XD0Cbx1agYacZsO8wEM9k7MIpJqY01dlo&#10;xeFKuRjX6G2oJn5mWTNXH0ejmClokDwTzlHpqJ+UiRfy3sEXfFRlVcihZ8+R9xcXfA67qKmokzAT&#10;9SPGISh2MObN2YsbfECpx46nYictgl2nOWjC8PAENVSxvppJfORsOcrQaCjcA57A8OmbrIYhYGiy&#10;lpQ5YQqBpTONV6cVBMTZOKnOKNkT3pfcrDv4K7xTM2nYx1HGZ6Fp9yUIeGEd9vM57euhetArWhiX&#10;vuFTBD4xh6HJYLiED8fdXSbIW8DBE7eKePwjMJD+c2BQf0PEZCrnRAscNIXZKJHcaCqMwKFNFq0U&#10;vQnffDSM3YTGkRtg12IWXVBa2nsn0rLPh117gsEDLxM0nse9vafCPvRFeCSOgFv8BAsYgmcZBTQd&#10;oPRcDDDIG5FV1pAjFVIuWq2wQtiqo9R3LhWXwkvX6r5UulesAA11OoYOpuIPQk2/sbANzIG9/ww4&#10;tc8k0uagcfQy3N1xHZy0HqQDwUFeQJimWNPLEamPhQpfI3wq85lIviYz/syxvIN/CgwiSRYFRFb7&#10;dHGxAYZn0pebNRUPdZ2BFp1z8AYtjxTuR/rGGt40L5m5yPyfaaw5+BPcYsbBudNsOMTlYOjS42YE&#10;QCt59cxhxvANokagQWoe7OPS8Pist42CXlZHFI9iw6CUNEv+sSEhFqPT61an4298MH3VJ/AMGwL3&#10;6ElmAVPPjEP4mkKn+1oPeYnvC0D6jFkOT4aHDRIX415at495UfP5BTUG+KasMkuPPelRPNB9BvZ8&#10;RReX0m3maTCfS0xz5zsnsWzfl3j7lGZjWO/KC5Kyv5C+E/ViZ6JZl3lo2WU03vvRmjGoOlRhrlyp&#10;wOiJ+Xh25Eq8mPM+YgfuhntkNurFZ+LepJFm4xLBwI1yqSTpFrmqYI1oQpg2VmEaKpNGDZJfXYkm&#10;XbPhHJ+BZr3zcW+v+WianI6EF5chq/Bz9H9lPqIfzqZ7n4cmD6+EWzJl58H+6PvcVJxnkhfImBQ7&#10;cfwBuKYuhEe3eWiWNB7fMZQrvXTLzGYV32rfAgL4koOn8KvaTQ1TWomb5EF1ljD+IJy7Lodr16Vo&#10;FD8F39JFKT7Ph/i/ZOA3vrNoz0n4PaLZraPNdPqmnWbhrsRMJA/ciJey38WjY/fBp8d8eAVNQR2G&#10;K42T83gcgv5pm+Qt/BUYHB/M9icoFPH4V2AIlpXRcKXG6qkAgRT8IIYYZj4DgSE83aIQKhTdeY3b&#10;GwpeTso3k0saJK+DGxXbK2ABGvrS7W/8OFKeno+Ex/Ng1/ZFCtFU1I3OhK3fONT0GUe3m0DjN56e&#10;w2CGJ+mkTCrbtKp8NXzKtAOYh1Y1agZmEPMOnI0aYQQZkoYO5QXIotu0oyfQnvy1mQDX8Gx40J10&#10;Dh8D95iRsA94HL1Gz0GLuGdhd98TsL1/JJzaTYc7gUdLkW1aEoB8GW747WT6BCSFUKa8kww/pvzi&#10;J4guInmoEVRVN+b6YtKyPwEDXdJ/AQbNY9C2aEYGSOcrK40QvJC1FJ5+T5jZivfHj8WbtHhSjtME&#10;g1vV1l1TJCUXTGPtga/MlGiHqPG0WOkYs/yIEWzzKOndz86hbtBzdKXHwjFuHB6dvtdYPN0207L/&#10;QgIJ6/waBU76un7/V7g37AkE9SWQ+r1kJi59Rh0SwIh3hSDaN0EK+ugodaSNhwdB/b7kHBSxvFeY&#10;lp5Tvi+mF7COxxjweKDLJApkueHX9Lkwax3lnqvM6ldQHhfpElytcp2fn7AWXiFjUS+a9Zk6BG/9&#10;eA2nWRfnmIHy+OnMbfhHP4d7AgaifuAEhmVzGf7MhmvAMIxbcthY8FvmSeaiecXGy2BhyoWUpPIS&#10;U2blK3d84LIiytUwKvxzcImdirup3J4RabDjb7+OaXBv9xzqJc+Ge1fqhM9gdBu/Fkd+uobfLlwx&#10;Sq82TR69Ho7xaQyn09E8eiROy58XC+XluHHDMgiy6OJNcFVxjXyYKe2WL5M4YouZ1GUfk46GUcPw&#10;w89VFco6Uaew6kX1lbH2Q7ToOhZuwa+gbuhYPJQyDw/EzTWbIXm2y0TT0Hl4sPNqNGUY5xqcjiHz&#10;3xMgmLKS/kvAYIRfikoF8N9EogIF7ObvHby+nkRlarsItr5M755suDw0Gi2jnkW7uCBkFzyG8Uue&#10;gkd4kpkw0iBphhX7t5zGOIsufuxa1EsqNKBQM5SKGDaBYQuVMph5kxcbvy2kbfQm1jA/eiaBM1Ez&#10;fBpsIwkgYTl8hmGNH693WEUw2Af3sK3wiChEnagcAsMrjHEfR/2Ovlj+yRAMWxCPsL6P4K6AEajX&#10;bg68fNfBxY+8t6OXorUV/iyLgKEK7IzCV+VvEyAP5p8BgwBBO5mpfdWwEgAJyKCcxYyxe6CR31Os&#10;r1ew/8h1o1B6xprzWIrymxRdgQolb/2u93BfwisE1mdQN4rlmXsA56s1n/cPvf8tGoQ8SaB8Aa7R&#10;r6LPlNVGEO4Ag5wQUfU5j7ou/vTM0W/O46lB2WjYMhntY17EvSHPYsqyT40llBCXqL+DZxUVV0wH&#10;1xOvZqF5xGB4+L2Ctp0m4tBxDcoqrXJcZmA8OGMR6ga+Alf/obg37kXs+OAHUyrlqZXHN1lQpau6&#10;EKlebhKsxIvmCgyatAwN/F+Ai/fT8ArujW1HfjK8qMgCIMXnrcOfwf3hQ9E4fDIcvEfhHoYDj0zc&#10;eYdnq9vvHKOmqgYQaTckAUPlNZSUXTfPCZiOsUz5711G5Ktr4BI2DnXC0tAkPg9NI+j1tBmEBgE0&#10;MuEZaPzwEgzZ+KOZgCyArGCp1V7ytpKGzoFd4PM0kEPwEBX71HFeVKUYD8Xav1PPKSwRmKBCiMxW&#10;YrwhQOwyrAB29Hydw4fQWLyCEyfl3fBVKyNTNzr9ni+vKfqBZS3E/Ulj0CRkPLzaT0Izvzw8EL4U&#10;Ht7TYN96MoKf3ompWy5A86RUbwLCkjLTHfRXYLBCicVVwFA1wel/CCU0PbpWQAFq+a+hAtHd9t9F&#10;ZSA4BGszFCqsZlD6rYNryFbUC1yNkF4rMTRnIVYemIIfy0fh8K8DMffdHQh+ZREVNgvOBCHXoI2s&#10;eFrp1rTWrefSXZ9B130yajJuqxk+0fRpiB+BUA2/XfQu1lPpCFiaXBSmhV9TyDePGjb043Ptt6KG&#10;Fle13kpwykMtn0lo+XA6Hs1bguVfLcGBSz3w9sVHMX9HPno8txL3Ba+D4wMrYdeGABGrzlaFCgpX&#10;GB5VT4UO0qw5pum3n4DB878dSvwJGEiatCSFV6NeZAufrbyN1fvewavpKzF2xm6kzd6HH6gdeka7&#10;82kDk7IKtqa0VnSrAp998R3GztuGpzM3Y9DsvVh/6AfcoHxLwm7fLMPX353BkFmb8cKcfRi85C3M&#10;3XvUzGQs1lJIAcG/kJTTgAJJwqYt6I6fvIS0acuRMWsdXh23EHOWH8JXLIPG0aVPV7QnpNSX7ng5&#10;rdzyta9hzMydBLjXMDrvNXytDn8+IU24WnwNq3a9jVdmHMAruYcwbOZafHTijLUalHmaB3mUckhv&#10;JLDXKytY1DJetsBhw+6PMHbmHoyZ8zpenb4eR6jjAjoBiOrxxIUKDMteg+fTN6HP2K1IHbUd41Z8&#10;hW+ZWDVeChhKL5y0MlBmLGflNf6jUZ/bUlOr41XpyThrirb2sCx89yZeyH4HPV/diSfo3r806U2k&#10;r/ge01+vwB5Wg0Dha2bw1c+aiqV1ExdwkaHZbPL8FNvz1TlvY/zM13FJvZVi+AahqlLDwRZgqZ3V&#10;rCjnzcs/kZ9rxjmcv/MI338NAxe8iVFztuPMGT5NlCy/aKGCqu4aG01JynP4jHWw5aPzmLr0M/L4&#10;Fh4ZtBfPjH8fExb/gIK3bpup6xpG/RdQYNGvF/H4vwcGxf3WkN4SAoQsJ0muvXZFUs++4v+QtVRg&#10;xup3zYHDg2MQ0H0AFuwZimOlj+Oz0lfw0vJ0uMYOQg3fcbDxng1bb3Ue7kQt7+2oG/ealV9olgGF&#10;mkR/CxiopP7bUdN3l1lqrR2T7Onm6zmbcO29QGBQpyGByTbyTaa7D/bBh4z3oCFD1/CBaP3o88h7&#10;JxtH8QTev9Ufz2XSwrV8BXVa0I333kIeMuEQwTCGeWrCjulYNZOWpPTMP4Dg50+w0erP/wAYWsb/&#10;ERiMoSJJIDQ1WkcpnJmKzOM5ebt8ToJTSvNQcus8DRslUIok0kQF3r/Iw898SBZOAmbumU1GLan5&#10;jcIl75VZG8GRLlgmh4eqtP7VSxDpGZF4PE+JK+bNiwQcww+fr75fVsESqMOSAq5RATkQF3lDG01r&#10;fwaVyeRlegqobLyumLqaV+Vl8aFE+ZzZFpr3SrWKsZLYp/dusNwKMJj25Qpc4CWNOkhxRdor8xIZ&#10;FZgoTQm8vIPqfQhUbv3+7mwZSsxSVT5Fa6zlA0rHTBFR4cWH4dVKSb06WmimOlA5lLboMst3is1w&#10;ioik+lTvv2ZvKvQQSN02ZVUJtYjJ2tPiGyarcp9V0kpQx1tEtYoLuHL1gvmpPC5d4rUyJl7OtwQQ&#10;5Elpfs1qVrihTYANn+qZFKvkXXVeTFnQjurn6W2c5wMCiV+YqPGkSPJGfiGJF4UsP7H8YuOW6lvh&#10;Y3lpEel3YCAg/GNgcPSfTyI4+C+1FDaM7rv2aoiebg33UWEcYhlfBa+GXbtJdC+7YezSUVj/2ePY&#10;dXIMksYOYV6Mf7XXgs8ceg2ayHGQll17Oq5kvkvNMKgBB5IZDlU+WtjltxUOPhvgErAKTqHkh96F&#10;TSiVOIJhUCSBKXIV7GJfp6ewArYhe2Efuh4OQeSrzdOwD+iG9N3zkH+kN9Z//wp6jRsLu/teYmxf&#10;gIYRG+lpjKWXMp5ppREYyNudERflwfKzTrRIynSC/ofAoJmP1aGEdkE2W6SzdbUj8Y3b142iqEPJ&#10;eLZ8yPQ8m228JJISOLa27muY8zqbnAIhBa0WWll5LT++fZkCdqsYlfQMJHBynmXbtdfhrXK+p842&#10;CRjT11Gn1cBQrfTK9cez9ASqrht3nycaQdBRzxQzJjeKVkrxvUI10T0+V61ISqOynEqteQLl2kHC&#10;EvTfeKLzSrrtN6+Qu0oyXlZOL4flI0hUmv3cqZjqHJTIy7Ums6YLhKS6KeYj2vhZZPFfhjM3zuhp&#10;qqW1mEpKIIU8x+elU3rwxhkqLdNQDto+UR6U7omfciJ2pcDOrGSVuorKeI31TFARfhmPiqR2vMp0&#10;z/EogJACKk0LKJk7lb6U5dD175mknjH3TcWQaa12LFfLWJ2Qqit5RlB98V0BxO1bN807AgSrJnhZ&#10;/Q+qL+Z97TJDFiI1WaDnVcJ0rL4oK5Ahf5XluMTnlYaMj/aI0A6bmm1bfrtEnoKV1n8LGDS5x8lv&#10;EVx8lsLRt9DyGjRSIGCIpUJRCWySmU7wBDgl0rsIzUb92HHoMWYBmkYHo33fbgh+aSYadqUXEJAO&#10;G18NAa6FfRC9AR/G8D7rUJNKb8ChSvGsEGaJmVdQy38V+V1j8pbXYtx+DTVqGDOc5/JctMVacCFq&#10;hFGJteVaB3ooYZPQuu8sJAybCafwdvB79hHEDJoP2w7DzBx4u5CpcE1i2f3oLWiUhe8bJa/aREYh&#10;i5kGHWTx8k+BwVhoNqwa9DYbqZLqUs4mMzsHUzbuaKnOzZ8E9AbvU3n0kq6b+Qy3TDoSbAmChNYa&#10;5KYZlZtPwVBSEgwJlTZaNSJWQTHV6IOe558O1VlKSKsF9SrzKGWGul5SWoHrN6qAiZqhNK9rfnYJ&#10;Uy4nXadAX2O+ukTS+5r6bfnNvMd4WvnIyosXUDANQGlKMoVXIGYeV6+sRkeqyqzjbXJ0+1/dmmom&#10;q0kbzhjglGt+lWfWJi9SSh11xyxfN+mTxCMP8kPUN6FzJVMNfOYZbY6j3j3NddbKScNPMVlQe5Wg&#10;uFhgZW25Y1gwM1L5S5a+TGDIMjBt1ZOeVF5WuUkVPGNYeOuKdvu08j9z09qFypS9Ugp7nU6YBaba&#10;J1TlUK3cUD3zTK0ir0rJiX7/0xvFuFn6G69fNDBZSYi8TfNw45amY2nDH7WCAYRqKiJA/O9DCf3W&#10;/gau3qvgSCW2o6IaCyo3PppufRwVy28IaqfO4zGDVpjWvPUkNI5n/B46jh7Ey2jcOQ/28hb8mJ9f&#10;rgEbAUwN/9WwDdRyb4HDGpI1wUregvY8EGlykZlNKWDwF4/0JNQfoGFSAwwCCvISMQ816EGY6cq+&#10;majRIQ2OgRmoE5YBB/9R9CLGEFjozcTnwuahl/g8+Y4g/1Jws+XcdoYMPKoeQmYROLIIYDNgp85G&#10;0//wz0IJto4l5EYC1eSyB2wRNpaJEHhPI4jyGKsFT26tjhIOWawqzbsTlogMMChJvajBch35V8br&#10;5ZoApB6r27RUIiPoSl1btkvIJOTWf5blsdxoK+/fSW9IkH9j0ppNZ8oiX1wzMuWallvwo/fljpvy&#10;GSvK/PisFEVXzXyJ4tMovcKyV/PNYxl9+xuXqEq3CQasD6Wl50VG98QEGag4T061aYN6cdVhxzwq&#10;ys+ShYt8R7MULD6rSaGDcMzKSN9SKGUNlOAG66W6XGL/Blm9ooLpgtpIj5uyKFVrAxarS/Uy8eg0&#10;rl35hayyLGo4WfMSnl9nIlWJig+poVpZb1lXCAwE5uvXrFGQ6vsCjusM9q9fU/kZmhXLWFj9K3pL&#10;x+KbelI8F5M038QwaPEpfkVmyPk6vc3qQOoC06kCAz5XfF39NnxUAiMXrLKsiOf/BWAIWEFhpyvf&#10;fjMceRQw6FljZbXlmShyMRy70Pr70mOI3MA0CB5tFptt3rX9eQ3f2bTkdNODZqFW6Gy+r9880gOw&#10;DyUo+Ctk2HxncpPZ50DAoD4F8mGntRoEBTt/zUys6ucwCkmF1QpIM1GJSh5BKx+RY6ZX1w6eR++A&#10;oNFqEZx9t8LZn/y1yEWdeKYRNhMuHRWqzGMYso2AoHkMDGvU2em/0ZRZeWqdhyY6CZz+E2D4yzwG&#10;NSTduMoyonmlnF6FElQF6Zgaj1Jwnc9JDGT5RLIVIu3RoIk9SkuKpklNiu2vUHq0D0C1V1FG012s&#10;/cLMnyUs2soN5XKwJaa6JpGTBbJIClPO6zdoJa9WlBoetMJSQqsZiOdIgjH1oUnkBFKmh7xK+0pv&#10;XGcaCnGUlvKQ9ePbBpis3KQzMP0lLJ2ukS6yIJq+a2SVpHS1+9N5luNX1skZksqpPg6jIYb4D70m&#10;K20S+b1tPA4rDaWl55WWSmrBnkpyARUl6iSU4qhGy83WdKp3YVw16bdGWy7x/V/4+3se1Z+g2pNi&#10;mndVeH2UR6HdFZ6rN091oYLy1JSDpyJdpt9l6kV1oL0gzvK+eiQkAQo3tEelXtXf9WtqdRVUYYx1&#10;LGeoozbS5HWt0FWJzJ8OStQqqB7F6TOWR6KfmiNiJlapmlRW5qs+H90nKBTx/K/AwCOB4e8PV2op&#10;tp3Pajh0KKRi5tPCVym2eYcKEbieSrGDQLAajlG7jOWX+6/t1G0azIFrMBXOV1u2LTHb1demZTf7&#10;KGo6duBca7KS9oHw3URvQsODmnAk5c9nHrkEiOl8lwARkG94MftF0NOw9kGgYhI8akXRC4igtxIy&#10;kZQGO3ozjpGFcArbCJfA12Bzzx40CvvQlMHm3nTU67iOvKwgUDAPXw1TijTHnelqXwr/Qtj6awHV&#10;bLNi0ixF/4fDlQYUJDGyMvpKE9Vfyvj5iVPYuPdrbD54DuvfuIK1b17Eqrd/xMp3T1j0Ds/fuozV&#10;b14xM942vvkTjz+b8y3vnMU7X5XhFGVJom/0lKR1A8rSmsTEO9oirlSiWCW55iiSoMttl7ssS215&#10;DEpL4qmvbG3+4GcUHj6F9Z9cxuKic8g/9AN+YXImJJd+McMyBv+WxVaka6VpSaPyt3gSWWBB68tr&#10;2gdTSiE69jOw953vsHL7e5i/6R2kr30XYwvfx5TVn2DO1uPYtO87vH74O5y7JKtfJdisz1K5BCqo&#10;qVuSilalJMYo8qbFFz0LA2mneIMNQnAyERGvKKz4nJe3Hb6GeWuPY9aqI5ix6hNM3/Appu8+hvnv&#10;/2o2oP1IPFtJ84/ehL4tqI4h8aBKUw+l8iZz+mhUdQ1bkKsYvwzb3v0WhW+exorDF7HozfNY9vZl&#10;LDxwCmvf+smEHqbutVmEQkZ6ALdNuGTlaMGb9Z9GUMyfDtWVq1eYr9Z+aKOdPe+dwYrNP2DL3mJs&#10;2Q7sfwtYvesENr6hr6MZgPjvAIO5Zywk3fOIkXTXh6BG+GhazWxaeYYC3q/RM3gdNVrtgWf4ToYR&#10;c+BOD6RRHMOClvNg770S9sHrUCtsNb2FJZalDZkJLe026zEEAAFSdiqmQMF/vVH+GoFSRPIQQm9A&#10;+0No9aV5liBDxVUYIn71nH34AtiGqxz0GrSU3I/nBDEtCrML2AqXlttQ96H1qB+4EF7BDGs6sExt&#10;tSx5K0Mf5quJW9Xb1mtnaOZjwCh0iqFqEPinwKDhRBOTsnElsJfYktMLd8O70yjcFTEWTWIy0DAu&#10;DfUSR6Fe8qsWJY1Eg/g0NIzNRIPo8WgYPRqNokajSdRI3Bs/FoF9Z6D7kEK8MHUH3v2eFoNCIktl&#10;5IXxhBEuKanIaJCoWot0TYqsI1WawKXefoHCe6duo123EXggZRzqx5GfpPFmWbVn3CDM3/iVMdx3&#10;kIh/smdyty2HnjdNrx1PeaiWXXXo3SAqaANWeR/7aYrHFHyFTs/OQ0DXUWge/gzDzmfpqb7M9h3E&#10;NhwGd8rYA7Ej4ZM8HH0G5SFn1Zv46NQtw2O102I8CuWlrKsz4+/bjM+sD8/d5C1ZeaofeZBn8RNP&#10;Nx4+j8F57yDyqQLcnZhh9kSoGzwMdQIH06ANhlP4CLgmZ6Dp40sROGwjsrYcw74jF802dKbYzLeS&#10;Lk+l9qFX3kxX2K/2Vu2qiqTQ2h9cHZ4+3UejacIk1udEuEePg2f8JLhHDMM9bO+XszYbT1HvGNSS&#10;V2TazupTUDnV06GOVsmOycF4TzwVsbznibuadTpq/odo2TEb98TOQIPAHDT2z0Xz0BzcHTkYSc+k&#10;mfUu3xSbleT/p1DiT8DwP4QSZos39SdoJ+bo4bCJGUR3fZTZQVl9Di7tdsHLZw88OiyjZX4GPv2n&#10;ouPwBbBr/7D5HJ0bmbPVLEaFF1JWP1r3wJmwjaA1Vrr0GkyfQqC2l9P2aeqIpLtPb0Cuu+kzCCc4&#10;VC900nV6FHZ+1mInreq08Z5PL2Uu7EJ4NCtCBXTknUpbk6HMA+FrYVf/Wdwb1R8DZ5OP5qlwDchC&#10;/cjdsPPdaOVRPe3bzI/guwplwrLM9Gh1SP7jUELCawRWJ+brAsZdHr5gJ9yDBqOW73i4xS+AU+IC&#10;OHacDvvOGXDsnGa+/OSSOA8uCQvN0S1xLtzjZ8E1cioc6Rk5BY9HnfAJaBgzAXEvLMW0dUdxgkIv&#10;cJC8GHAwcYaRW0PWCe+azkhKUlWnpHRL78kybvm0hO36Ijxi0mEfmQ3bOHp2FGSbhx7F42N34KKk&#10;WIWQ7PKglYdSvxKWzeRRraw8qtgSZYVKcjSOE4tGrfkJLR5ZYVaIqg/KK3QY7kvJQJPUGajTewmc&#10;+qyGU681qJu6DHd3zsV9yVlwDx2FxomT0G3MBqz7SJ86tjr5jE6aamXOigekMMZbqWDe6nazpkWr&#10;6s+ycDveOoeXsg/gwR6UQb9RlMcJcIzXZ/aWoFn3+bi72xw0TZkDj4TZqKlPKkTR4MTnwz0uB0GP&#10;L0Zm4VEcpwNilJWZa+6BqWuSeLE6b1nvzNv0F1RW4CxvhjyVD7eEXNSOyjb5eXZdgDpamxE+Br4P&#10;56CIaKn3Td0JGIx3qXkdVruo7nQU3FnhGkulTksVm1fUblq9GvaCJiBORsPUlXBPXII6iQyjqbe1&#10;fV+Ed59JAgWBQxGP/w1gkOCvo2JSAbVVO2N49dY7+i2Be7uNZlt3zbq6i0rXolsrjFr9OOa/PQHt&#10;Hm6DNl17oV7IK6jpq/4Fvq/Zk36a2kxrHEGl17cs/GcxH55LEQUQJDNCITKhgkAph41EYNKu0lL+&#10;gAJrBaTPBjh2oGK3Wg4770LYE1y0arSm9oCMXMp3FjGsyEH7uNEITIjFgIktsOXblxD0zL3wf1Ir&#10;+9j4LRkyBDJvbU6jcEQgpBGKIHovWlSl+QyG/iEwiKoU5Rpdb1k7jbmPLixCk25zcfeju+CYshm2&#10;qZtRswd577kUtj3zYddjGWp3W4/aXRleJa1FzU5r4ZyyFnVSV8MrdRXqp66AV9cC1OtCEGzzCh7o&#10;Mhmj5h7A0Z+thVoSGPMJNOar7A1GiCR88l6qOyz5v8JlbfZyivTYlP1wDpuM+t1Wwq3rRrg/vA31&#10;ntmAOt1nwa/3POx5kyLM/yv4jtLV3s3aQ1G+kJTEpF9VXvEgXkTvnShDv4zXWa8E4HYZ8Exdhwf6&#10;rkVdAo9H4gw4dGY5ujOk68mwNJXUeb3ZsMQ1ei7qd+dvbSwUmo3Al1Zj3lunTR0az0FKotim8gLz&#10;5VGdkxW3DU7o033nyMRPfGTSghNoJDlqNYYGbj4cem+EQ9/NcOxDDzUhD7XjZpCPPDTpuhh3dVuL&#10;Bp03oW6nXajbdR9qRlP+22XB0X8ceg5biz2fXDCAo/zP3tKMRll0eSha/qZSC5z4L+v/NDU6+EW2&#10;bwJD6aRlcGXbefRah7o9V6J2dCY86QWOmL0f5y3NZ92ycgVwt8pN26nudMsAh6lhwQCFy5AWW1tz&#10;H55f8JH1pbZwAkHvAtj1W4zaWlPRdzqa9p2JkOfzzTyMvwADAeEfAgOVJIQud+h2Eq1tCO9TkZyY&#10;hkf7Fajffg7qtnkOfUYOw5qjY7H1pyfwOSZh63cT8UruFNyTMJQhxzRa8rWoHamZkmzgII0kEBSY&#10;h43fdKNkhpifGYkwwCB+yKOUTxvG6HsOYVruTd6CqPAEBw1jOvhspPXfBQc/TYaiMvsKgOiZyAvQ&#10;tyvoHsb3HYXCrdPwwflH8BX6Yufp5zBmwxgq0zS4yPPQaEcQy2pWkPI9gYJZVMVj9TDm3waGf7OI&#10;Sg3O4002uIRJHVqDl7xNgE1jYxLkUrahRuo2KsVa1Oi5HLa9FqB2jwVw7rqSYLAajgQDRyqqduBx&#10;77wUdTsvIy2nu1sA56R83PMI28XnVTSNG46sNR/iF0qRBEZfaJeYKnvzJ6X9F8U1RL5M5xRPPyNj&#10;d0VnwIuWpk4Xlj2eYVbKRth0XAjX3gybWg/GhNmfWZ2eJInp1fLrFF7LYzD5qLxV6eq+AYWjZ9D9&#10;BYZfrZ+HW/ICNH/qdTh1WWc+FqP9GLQVmpN2MU5iGySyPpNY551XwyVlJTxS16NW0jZ49nsP9skE&#10;Dr9JiBhciNdPadBX5VOHB30I9SFoToAZkmNdUykFCidJiS/vR8Nkhp5sP5cua+Hx6G7U6kFl70RZ&#10;67YIdftQllPyUDdpJhokzUVjKnD9uJXwittAsNiJ2sm70OSxw6ifQq+23RD49M5CwcHvTTvKcxFI&#10;aA5l6W0NM1ONVTmsA7HyKxviocdZHoKRa8o6ePXcAgfy4tplNY/0JBJz0CJlIt4/edvqjBXjjJEq&#10;ikvNXjTVwKp2tGpUwGBN59JO1aoDrWxt/RiNSfJc1BlAOerGtupGfemaBvtHaMjjp+DeXjPN0nSF&#10;Ev8lYKDV1G7O6kRUz33ABtjxvktADjx8p6O+z1Q0D5qEBn5x6DXZB59gDD7EQEw7+DAeTO4Bx1Yj&#10;zczJO6slpUxy1avBIERKZinaH4HBGoFQaGH2adDRDGNSOan04k8ApWHPWr5bzQxJTZ+2PkbDPGT5&#10;Gc85hr+MZt59EZ0SgnfPP4mj6INtvz7BmNkVbgGvwtVf4cgq44VYqygZOmnYUrMepfQKpQwA/DNg&#10;kJ5Y/1jxpxRWAjVuxUE4B6RTGDfAqdNq2HcthEufdahJ4XTuMp5A+hw8IkbCk7G2W9SraNxlHDzC&#10;hsLmQcbjYVPQMDbP7DJ918Pr4Z6ymEI3Gw17TYdb9CuYvedr07mnjYbMZi60ZbdvX7OmQ5Dkfpte&#10;fN7RSk7NwpSADc5+E/WCM3FP182oFcn2il9Fq0qA7FYIh16FcGbs2jp1Fn6lpJ6RcWYaJSWyZ+qv&#10;UMl0NBmaIgsoZOk+/7YS0b0yYd/2ZTTvWQCv7qvhTrBr0J2ene9oszdkuz4zEPjkAsQN34wOL69D&#10;rTiGcDEU6o6L4Nl7O5w7bUKt6FVwT1jO+DwdM7d9byZzFZvl4wSGStJ1XqEGab6HlFVLpwOfpTwl&#10;LIZ9790EnBWo05OA03kObGMmoklPhklBLzEEfZlgOA6NOmbAPWw8nP3Hw4uecTN9xzI2H80IJDZx&#10;S1ArdhEadl8Fr6Q5cAkaiUUHLpmuTdWdvLMyLdZiiGaGZdXXwv9/oovf9gXqVse58EhehnoJhagT&#10;sxp1k1nHBECHrkvhwny7T1xneDagqipkGQTAqj+BwqVr1X6DctO+Ejfw2zVtsQM8lb4PTcmTfcRC&#10;1Ou5E/YEndpdl8Gj3zLYp+TCLnEO2jy2DN8zPVIR6b8QShjloEUKprL474GGFLWi0SmIlRiQBk/f&#10;qXBrmWF2WXp+zigCwiCkv9ETMw8zvIh+Dk5ts6kwVCADCpZLbgGD+g+qwUGgoHDir8Bg5jj40c2u&#10;2rxFlt1MmTadl3xPYEHgqKGpy/4adpSVZx6y/pHj4Uhl8nzoKfR8dghWvD8MOfs7YvqbQ9Cmf4rZ&#10;Wdrm3vnWMCjDFkvZGVYwL0M6r7r2vwIG81dponA1r4RpwvJ9cPHPQL3EDbQeBL0EphtPa9VvEYau&#10;/wS5rx9H/p6TyN30JbI2vIf5+45h5aFfkL/rFEbN+wShjy6Fa/AUeHXOh2u3ZfQq8uHUNRf2cWOQ&#10;MHQp3qNRkaoq/Na2X/pWtADBgAJJslfCqxoE0zTak9Tpjs8Von7ITDRK3oimvelCxy9hiMM26LkB&#10;tlQIe7rajTtmYe3b183MSnW4GUE2gEANMKTRDs0FsIBDHYSacFT0LdD5hRWw6zAYXh3pPQROMhui&#10;DlvxLdZ/UIzPiZZfkj79FTjImHtRUQkenv8JasRlwTZxPoFhNb2NzajXaSPs/TLwRPp+nKKeWD31&#10;rNGbWnMg7SQgspKPESMey95JD4ttrC9gdd4K14e3E5AWwylqHOoSbNv1nYReY5cja9uXWPTWOaz8&#10;6BYWHrqO9PU/4umswwjptwBu/iPojY1Ds8c2E8ALUL8n5TCUINxpCdr3zseqQ9eMqkp5b2n40szs&#10;JGOs5AoW/GdWSevn8lEreRbqJS1G43jWcfRa1O+0HTUYLtXqSS86OQcPPDoT2z+6YGRGc6JUuTdv&#10;WbNdDcCakQoBg7wSawhUXt6hrysQTqWvG5YL53ACT1eWmXXk1HGF6adx6Uz5Tlhk9qrQ3pKk/xIw&#10;SInlyusZKqCGI+0IDA7BU+EYNJWu+Bw0Cd8Ld+9VCHtyM5p3HgqPmETEDiNohI2DV+RipieAkRKJ&#10;qGwGAEQCg2pAEKmfgQooMuBg8WRNflKnJH8LGIyHUb2LFN+XUpN/6zsP6heoAp/QOWaSUgOfaUh8&#10;rAARTw6Ga1AEvPtPRtNOc8xiLqfQHUbZtVrTEBVeYFTLT/Mx6JGwLsTXPwUGVBOVxVJGaxx7/IoD&#10;tEyMMRM30V1eBzu669riu+WTK/AmJU3Ooqy+1iLoyOSMdRB9R2FbeuAiOg7dDtvgiXDsRFBIZWiV&#10;Mp+KMA0OQS8gZ8PnxgJJZfXRGgUxVWwYklUtva0BtQqT5qq3f8K98QwjIugNhi3DvX33slzTadXm&#10;MR5fDzsCg3OneahDZR4wYTvOVlkzK1FKnIEhCxgEO6bY/EcgRMNm5ilsfOsM2qdORN3wIeg2fheW&#10;f3DLWDHxqbQEJNUCL/A8SCcgYfQWWuoZcOi0hsK+CfW6bYF9UCaCHptvvimp+jR9DLdZaUxLXrzm&#10;DExadhSNksZRdukB9KR7nbyBcf0Gys8kM0LQf8JGhl0fGK/iS2b4A/lUp6bqWUetSNxRdA1T1xxj&#10;eJEGj455aNhDsjUNjbtrVTCVvd1QdB5YiCMENAH+dW3LJ+RVHw7p1vUSs4dCm6f4bGIu6icvQRN6&#10;CQ3iV8OLXlkNhha1eq8h+C6Afcw4PJe+DddZAdrHU2hQwhP13FTPa1Ataf6J/lN+CmNembYbDfVB&#10;3vDZcItbhbpdCH4pBDECg0snhoA0HH8GBtJfgYHHvwLD/zRcqbkMwTNZodr/YJl132yhnk2aBtuA&#10;fNT22Q1779dRu/1mNvoa1PKZApt24yj4+ajZbgHTYzraar0qvd9JQ4qkQMZE/0JmqDIwv+pIYp6G&#10;qq6bd6mcZnm2odyqo4YQeY/PmY5Oehy2fgxH7qeL5cfYvdV4uuKjUTdyDezp+djcr76EHXxPw5WZ&#10;VIRMq6wsp/bF1CfobVUX/5t5DCK5lRSY6jF0AYNCCUfWf93EzQwd6CL3XMk4ex4eHLAAH/EhPaNJ&#10;PnpeKierdIENW30uxVn7yW00TZlBz2g6nFPXmI6tej3Ex2D0GLHc7F+gMMHEv0ao+Cf5kpyRrHWc&#10;VlrPTt9plhrXp3V1CluMBh0L0aTrQgSP2GfcUnu6/x5dl8AlfJLZRejNY5b3o0la1p9lzaqBwfwp&#10;ryqS0uvuqgPf4rFJhWbzW5XxR0ufUXL1OsouE6IqqAosp8otwd94pBR1Os9G7c70WmNWwjNlE8PA&#10;OWjHsOlbZiVQsSZXlZmZzfJO9Lm8u+PTcE+feagdPx0NH95JJVkHl6g5NFRpeC5zP97/QVOfrLqs&#10;JgGkQFj56rfS1qK1GTt/wt3a5p9p2SrU6rsRHvEL0TBpNhpFT0Da8g/N81q4qdEgAw636I/dLIWm&#10;OLd/cjFs6RHWS15KsFoOz4QCuHdV/w1DqR4M0R4uhF1MBjqkTsf+dwnVqlMmUVJRzFLdwK1S1hwR&#10;71aZtsqpNKUVb7s+u4C2qZMZik1GA3oznl22MCzZbIBBHz92TFrwfw8YpBR2/kQ0/3nmqHvWNydE&#10;UpBlfI6I7E03vu0GeMS+jjqRO2HTshBewe/Ro9jPNKlAmqzENI1iVX2wxVJ4K18djTLrIy4GMAQc&#10;VR2UOhr6FxCpmmsgRa4Rkk2iUuuofHRf/RO+21DT+zU4tj+Img/uNKs6GyTspydAXtttIZHPoD0k&#10;KTbTp4XU5iyaxCUld/CfzXL/F4BBZpMkCyqBVx/DmBWH4RAwHR6J2xlPL0OdHivpAs7Ffb1y8Dkt&#10;odx7WVpZDs0EVlqlVBqFI5epjRJEreR7fNa7zD8bLl03wCV1GxySCtC8+wLc32UsDjM+UNecnq1K&#10;yvpHwauZkKDedOBtuu9t+s+AW8IcNOq+CXWTyEvULDwx7X3zBSn7TnRHO5PHlMVwi8rEfYkZGL/w&#10;fSOcmlijIlrqLXAgVXW+mbwMkVG62BopuMRTKaB4kn9h6kgWUesRtNpQaw9uXUfJ9WsmDHr7uzJ4&#10;dJqG2ur4i6FSqQMvPg8+/WaafQmkxNdvW671ZWqMtr5/ddZnsGkzHHc/QqXrkg/PzqsZ1+ejfniW&#10;2eXo86owS9xeqlq3UA1rmvgkwNNvXb/CcgjA8nb/iruTM3AvQza7kBw0Jgg3SlkC55AJ6NAny3wp&#10;XJ6O6sP86eO75RW4RJ78nlwOBwKJV9ISAu9Ss0+mU1eG1Z3pJdLdr9Vd1n2R2XXpmeHboe4EAelN&#10;xhQltxkClpMz1unVq5f/4FE9PJ7hQtQw86GdRt3XE0A3wS5uNZyS18AtZTVBge3VZcnfAwYrlPj7&#10;U6Ll0lsbo2ofxDlm7wQTv2uUwEyJXko3mPG990K4JAsQqGAtFsItgDGd9za4B2w06w1qhuaYlZGm&#10;45DhgBUuVPUjKEyQIisUMB2MVmz/e8hgjUaYcKM6bNCwplx7pae0w6bymGXlofSVrt9m1PLdDqeA&#10;7ajZfg0cAsXLRnoK5NGXFZhILyeWwKCNYMywrPicbq2T0DyNAIZMAcyDef79UOL/BAyWslQDw+gV&#10;75gP1Lgn7TSdj84pS+GSMAvNUyZCnyw0y5Cka2xMo2QUjHKzAlEfTLlshsk0/JT7+nnYU4mdOm+m&#10;u72LoJmPlo+uh0vgi1j97kljAUVSYima2S5OMbDicf6WkGVt+cJ8k8GVFsyDwOBGIXYPnYJlr18C&#10;Q1i0eGKt6f9wTp5PSzmToDPLfHn5e2q23heb1p/S/DfAcI2qVXkVN65ewDXG4aoD4wprDrL+tHJT&#10;C5KKyektQkYp7/KWgET7TtSOGAv7lGWmJ79ht0K4hk1BwsuLzWfxDTiRBDI6P3gMaBiejmbd6PZH&#10;TIebhnTp9tcLy0Z4/yV459sqv0YaxvLfuH6VFpmhFpVQ8wQsknclu6yZob8r4tA576FZwlS4x+TB&#10;PXER4/kVZm6Jc9BQTFhRZABPvKiajdlnm18gU8FProRz3GICwzJ4JC2CY+Js0ydk043GpRdlSKNM&#10;VGxPyt+D4dk49CGrgIkokLBmYpAX1qlmR6ru1J576S5p/8i6CVPMl8z06ULHpNWwjS9EbXXQ0gv1&#10;7L4Sdejt2cUv+b8BDASFDhvg6LPKAIMUx8wnMJ+EZ+wdpZ78NNj4jECDvixk4AQqE11SuqX1gobA&#10;of2zcAwZh1qhGWb/RPPRlqD5Jp/fQcHqQzCTnAwwVPUjqIPRdDL+O2BQf4PCGvJIXjXN2mz4ovT5&#10;28pjkeljsA8ZBJfIV+AUPoGAwJicDWsXQ/4jSd4EOjMkSVI9MD/xqtWX+kq2WdFJXv8TYPjLIioz&#10;U81Slt+B4V0CA+PCpF1w774Z9h2pjEmzcF/KWJwsUSQpZaGSlZDMu8W4fqF6zv9pKsIVY8kWvn0R&#10;rnFzYZ9A9zHlTfKxCg270uKHDcXiN74yz4gktKUCKE2gMd+sKDXrK37iadKw1XyfnlJnhhHd1pm5&#10;H+16zsbnzEq8Pr/oG9jH58IlfjZd1vlolpyLe+LSUfimvkphlUkKZABBwGDmSVRdNEQzrnkGVMlb&#10;LNP568VG7aSbl6/dQoWGTshb+dVrKL5INRQosN6+oSczLI+hTPR4OHddRG9hGRozbtbEqFEL3zJl&#10;ktJKGXUULxMWH0etNmPRoj9DxNBZcE8tQKPkPDyYnIXMFUeNp6K0r12uAjCzmlKwIhJk3DAjOLfN&#10;nAg+fbuEyl1i7nzC+vDrk4f7ei6HfbQ+VLsR7p3pNURNQfBTc/AJ0UNqbLU7C0FPSd+lCHtiNVxi&#10;l9I7XAr3josI4Hlw6UtZ6jsHjgMKUKsbFTllI+uVYVK7bLwy6RBOUvu1u7VWkBpgqJrwpHJ+xoIP&#10;yNoG5wgCQ6eZqNuNuhS7gOHDKnj13ETgWcaQQh2la80Hiv5HYCAg/ENgKICDzzq+U2gUzuxVoBWN&#10;BhSoGPqYDFG0RjLBIXAU7AJHELGHwLVtDB4e8wg6D3sYruFPmI1VpWxGeZl+9QpLCxQs+h0YNGJB&#10;MKBnYgGDxYtF6qDkM1X8WsTKVXoECQMKIbL6U02ejpFPoNf0gYgY1h1OId1g0yjV7AhsG6Il4CPM&#10;xBazwa2Wkptdr5VvlgExTXzSgirl9Z8CQ/Wya/wJGCiOFjAsf/8OMGhMvxZj0IYpc/FQ90n45kop&#10;rmrhkYBBKxn1BRH1SJWqS5IBNE4Zr0FWbNE7Fyh0c2AbuxlevT6iIOyHU8Rc3NWJFv+t42bjFuUn&#10;tTTbs5mlz1QCegxXL1fiCB9omJxOYaUFS1gG5x5r4RiVhifSdhplkCCu/hTwTJ5lJgA1TllkPmzj&#10;HjIRA3M/MIuC9AxLZ5VVsynNzD0pBn+LNAnpBrWq4jofsVx3gYkUWkf12ale1PGmDW6lvEdOs47m&#10;vQu3wEHw6jYTdVLn0auZiYbx2bgvdhw2vXPGqMzFihKS9fGck2Q4pO9CNI6bD4dIhhC9qLgMf+pG&#10;jUNY/2n4lGkaANHMJ/HHuqi8ztpRCENvzOwnUeUpWFaaCVaSQyq5yqd5ERMLjsI5NA2Neq9HbYZt&#10;domL0aD7QtgGvITNn90w1txs62/a/ZZZ0BRBYHAlMNTh8woZHLrkok7/+XAdMAf1nqGl70bZidEu&#10;6q/BvcM8PED5e+PzMpwuU9+QWqEMpawc1ZHacddxoF7cKHh1zoZbx1x6BjSU9Bob9lmLls/sgRvB&#10;wFEeTY91PDKUiF/63wcGWWgpiF2gpazWp9vopmnvg0imIY8hcDIpHe5MU197juidjtj+YSg47IPZ&#10;BwPRuv/DuKsH43P/CahHxHSNYmz+0HR4xjIEaUuFuzPqUDVsWAUM1oQjeidmVKAqxBBYBVUNaeod&#10;/w2wD2QI8+AKKto6xpK0/B3G0uoNpgs8GW2f74wtZ1/A80uaI+ypVDyQMA62LSfB2W8mXcxsegzP&#10;o4amQ2veg9kB2xrNMMOp5Od/u1GLJSCUlD8DQ5XH4J64C/ZJqxgH0k3vmAfvftPx+ZkbuKHtx6pX&#10;5bBBzd4LpsfgNEoqvqNSXTeewLi1R1jeNNz1KIEm/nU4Jewyvd9N48fi4PfXTF56TiBSrJ1OSql2&#10;ilkZV2jp8ZjZh+mOMhTptho1UhhuMeZt2HkqCt/6zbKs1Ivj5MHv6ZWolzjdLFu/mzFx/YRcNIvL&#10;MD36stTabcn8CcA0t4GKV6bBfRah7CpzN5ZZQ7YWIEipj1JRV+z9GhvfPosN717B+g9KMH/fVTw7&#10;6zO0e3Q1PAiWrklz4dVjPtw75ZhdkRuFjcOQnP13Nl25fOsqj9auAweOlqMpvYn7uhQQZGnMqIh1&#10;UxfCOeR5jF32ugk97oCYKraUgKB5EMZbEH+6w4Sr242nBkDUFryl9VLHmcB93Skn4VTuHlvo6a2A&#10;Zw+GgQSrARlbTD0L3MwfvbIrTDrmmbU0QjPQ7OHtqNebYWt8JmqnZiF5/jsYtOccbPzGonmf7XAJ&#10;XYvGURvRmN5vt5eW43uyqF0a1Gmt/ilxqbYMfmoeGnXJhl0Uda7LfHoMBPWHXsXwraV4dMEpevU5&#10;qN9jFWxj8hmibPifgeGfhhJSRqMMUlRtkKLdm7S7cihj9TAWMnwpahM1HSIWwqndcrSKWYWh6Ttw&#10;6Is1FMo+2HsqHMs/fwexI/bCURu9PjAMNXxp0QMXwi1yjZlDYHkOJDMc+a/AIGtOJZVi6lP95p5C&#10;ByqowggCgyY3uYceRm2f10znp82DfMdvFO7qPRY9cxdizam1OHC9O96/+RiWH1yFvq+ux33hjFfb&#10;a8/9SbSEGagZTm/H5EVFN30NBCJNbNI07urP9v2HwPDvOh8laBJmNe6Y5e/AwT+XVngX43oKGGNP&#10;Z8ar7R/Nw1Hqv54zckphNM4C6crV87h56xyu3T5Hxao0S4O7T96K+inqvKLrHL4F9VP3wTMmF/6P&#10;TMeRC9oWxgojtMjKWs8vwCFRSU4QvOKepJcQwzAtaSVcH95Mr2E6gl/INx9rMcON5EH8DlvyOS3v&#10;BDTqNBeNGbd7xM2BR9RUzH7tkrGSp6lfKqo8hgptdGA6HPlbHoNx2ekpEIy0L6tsoGZnZha8jbsj&#10;XkSLjhNMx169uCw4RuRYxkDD3Mnr4dx9E1y6ziNApMMrajJ6D9uG74ltApdTv/3GKtJ4S6WBzJUH&#10;fkGjkPFo1nEpvDquMtZS39pslDwICw8eMeWwgEGMCbwUKlSBgnjkn1UGUjXvIgEpy0OW8T0fDX9+&#10;E2pHEdQZAjoQTLXde52kDHQesdzkIagx6TCkuswMY54h6AbOQoOeCvcoK7HZcOiagQErPsJaykmL&#10;/ovgGDyN5duIJvE70ShqKVp3nYGlb3xp2o9NZ2RJ3kLBoYtoED+ZYV0O6qbMx90DGAbGpKPlYwUo&#10;/Ap4Ycn39JQz0KDbCjjEL4NbFwFDwX8fGKx5B7KkVFDzgVspjWYX0koHb+c5QaLVNLhGLIXjQwSH&#10;uyai7t29sXD1HBy/+AoLMx9PTJ+NWn6j4RA0hc+OpqcgUKDX0IbKqAVQylMegJSd3oAFDMxPQKQF&#10;TLLagQw1qsIM8SYlNbMe/SjM9zFG93kddcPfJEAshkdsFpyjn4Jn1y6YtG8KvkEmvi7LxjPjhsHG&#10;vQvs75oAL2/m/+AE2PplMU+W04CAJkcR7MxHcFXmKqD4X6+VoJRV/mm4cvlhOPozPkzYSYu4DTUY&#10;I9YMn4GW/RbgLVpSE7tTVs/TBGkOgJRJyqCjBE898jnbPzcfE9FsvFqxq1E7fhMapRJkCIxPTN5g&#10;VtzpeSnDuRJNOpLwl+I6Y3nxtuH1S6gbOIHWbhmt2HLUf5TtGjUegxYfMvlXK4fyO/AtcFc8gSFp&#10;Jjzp9bkn5cMlahriB220vBLmpcEOoo4BhjLtLMU8TJ8r01E1yAHSkJ74+ZnPT1z8Ntx8njZbxHsQ&#10;kFwSFxj33L7bVjg/fBC1ex6CTectcKRV9H1xA6btuoFjfNnsUcE0bhRb+x3IYxAwTF72IcPYyWgk&#10;QEhcYaaLu3XMxr09hmH/KatPRmGKNqcpV2enasd4MmSKaRogrCJ1EdwBBvOVWA36Eoz4z4DM9+EY&#10;w7busgaOXdfCoeNCNEiZCb/HcvANG1jlM1XBRM7zR+iTS82iQXXsysPQ1GUHht7PF7xnNpYdXXgM&#10;jh1GomHcWoYT+8j/esrGBHQcvAAnyZp41rDzMTZKl2Eb4RQ22RiReqmLUKfTLNQOGYHR607iKJ8Z&#10;uOgInMMmwlNzGDpqlufmvwcMPBIY/pN5DBqSI+kZDU+GauhO+xfQQgUQHAI2mL0NPONWoBEtcRO6&#10;6M3aD8KMpZsxd91QzNs+GV1G0CJ1GA0vxoi2vpNpeRhWeGfBpv00uEUJkKy5DtYw5r8MU4o0RKlv&#10;S4jMUCbfrRr61DColn7X9t0BO+8d8AjdhZrt58MlLB12IU8SSTtiyNppmLj2Caw4mIUnRmSiQZuB&#10;aB48D/fGrIWLH93UuA3WRrZ+LI//NqZPt8989UplJR8hzD/YqoN/PFxZRRIWAYPczQkFB5n/NNRL&#10;2GoasGYcQTVpKXxf3o7X+C7/N8qp4bMfKLsSkJ+YgN79klowbcunCH9hEZwiJ6NW9FzjddTvvQ1u&#10;8fNQL2w4lu8/YVxPrc+otjhWjzutWHGFccVfnPouHHymMlbdDMeOtHzdFqBB6mRs/FweCf/EMF8W&#10;z5plmPTCErjRVXdPWgBPWiQNbzZIzDCfn5PwGmXQv+UlKJXXwD+NLKg33RhekjZoEVjpOyoz1n6M&#10;e+OGoUlSGjwJOK4EHJeU1QxrtsKuK9sjiYYnrhC1KeSh9DhXf25N/DpDhNTGKuqv0Di/AFNe0Ys5&#10;+9A4JgsNktX7v9KsK3HvJGAYik+YqYDhDEFaKy9LFFIZT4EFEwqY+iGPaied6xLJushnSy+ZetRn&#10;9IYs/gaOUbmwpcI5dFpJQJ6LZj3m4N4uo/AJ3ScBg76ArTTPsBr8B8yFXcxsuAi0UzbAs+ca2EdP&#10;wmM5m007f0TGQvrNQV0a32Ypu2ksNtKjng6vmBFYcOAH04+jdp//2jkCxwwTYqkTs343GjC/EXiw&#10;VzbeYEIapXox9014RI41K0RdO6+nN7ONfK74vwAMVROFzHceNBHozkdnCA4BW3h/LcMMPvfgSFpf&#10;Wh+/MWgekYlOT6/BQ5GD4fxgHyQN2sFCzoBz8FSztbsbLWNNCqQbAUIdZWbyFPOzlE7pMz3xJKIX&#10;YeUviy6A4jOauxA83bwjQPGIoaVrsxD2LJet9yzY+0+hJR2F+h2HoOfkZbBvGYp2yU8jqOdU3B87&#10;FXWD0mDbjmFNK5bdh0BAb8PGh9ZJ38wIIgAJFMKq5mmY8v5zYOD/5k9HtssdYJhUcADufhmM1Teh&#10;AZXatetq2CUshwOVLXLYGsQPWYL4Z5Yh6vGl6DhkM5KGruNxNToOKkTEU7RQkWNg0+5VsxxboVzD&#10;ftvM0m236CnoNXIVfqBAminLcpEl5VKGMsXj1s7Cb/8AtOm+GHVjV9La7ablWYsaoWORPHY5TlCo&#10;BRyGaZ7LgupDL9PXH4NTwFC4JhB8ehBIZJXo3g9Z8LY16kG6pq9KC4AqS83wqMCgSkfMRjJm5ySe&#10;n6dOps/bDs+23fFgp7Hwih4Dh9DxqB2RhdqRM6k4c8wq0hbP7YNdR5aLSlCPVrLPiD146+ht43kI&#10;9DSkp/JI6Z/IfgMe0dMYHq6g4qyCSxcLGB7oNRpHWfGqd33LUjxpiNIaQeGFKpfGeAy8d8drENMi&#10;fcHq1kXDt77LObLgO7hE01LHLoEzgcEpfg7uSs1F8+ThRskFDOpQ1d+v/BH4zHzYJeahdtfNsKUH&#10;1KTvdmPVHxtfYOpNEJW1ogh1AqegXiLD64jVaNB1k/EMol5YanaS0grK6Bf0zYup8EheAvfkpWjY&#10;bTHcI8dj6MJ3zGxNeW7PZW5Gk7gxcI+dDueOBIbUPf8zMPzTT9SZ62ZIkTG+Qgu59urBlwtdtfLQ&#10;WSvigrLMF3U1XbVWe3oDLTLg4TsPDZi2TcvxqNFmLGp3mASXkCzYB6QzPs1FnehcCvdE2FHJzSfq&#10;lCdddCuEUR5aiam0BQrVU53JWwifDc1BrVBt6sq82k0mKGXDKWgm6hBo3Bmj1vZNR61242DbeoT5&#10;0rZj66Go1XIUnHwz4BiUQ4GmKxxLUNA3I8ziME10YlhiPlKrDtZZf+Lln4USRq6qSIoj66ZYcXLB&#10;a6jjNwWN6LHYx7A9kpfDNkGz++bDo2sOLd4kuti0fvG5Zot7l/gs0/ln5z+edZiBxsn58CQg3EVA&#10;8OrNmDeZfPoMR5sBc7D23d+MVS7T9+DKGYFr2zAqwM3Sy+a6FCRz83eozTprlLKH8fgeehrLzQYl&#10;Gds/NX0Gv8rii/kqgNBXqj9kme5PyTLDloqVnciDa1wmggZMw/GqfpHLV1U6TcMqx5Wb1h6LSsZS&#10;R4ZTZnovvYaS2zjwzheYMHMths/Yipdn7MVz0w/h8WmH0WXkTrTtPReeoaNZpmFw6LYEtTqyrluP&#10;hQtd7m5Pz8emvUfv1KeUS1vIv5x/1MiDC8MIJwJd7Y6L4ZKcgzYPp+EDFlrlEoioLcz0SvWDaE6H&#10;6QPhNZLuVZ1W/fGZ28yh4orJT3X3Qt6nVLxZZnVrnZRCuCXNppcyFe16TTLenBRdzyoNrZWIGLSI&#10;4EaZ7UwDlkDPjqGjvuA1cPJKU2d69sMTN+HTlwAYx3JSnpr2exNenZbBNWQ8FrxxCbP3noVjwGjj&#10;LXgxhNG8CNfo6fDuNxdvn7LqQB+zeTVnHe6JH2mWszskrmO4s9vMbfgfgcG+5X/+UVt1+GkoUAuh&#10;NBwo5TBKoT4Hs926Oop47ksl96dSBdENCqNL3jYf9pEsZPs0Fm4GPMNnoWHsbCrvVFrqEYh4Zb/5&#10;oq9DmKXcGmKUwv+ujIrrBT4CBB31W/0b1cDAd/R9yfAxdOtGI3LoVrrl2QxZxqNO2Dw4++SjEfnw&#10;ClkLuw5ZxkMxn7oPWc9yEhD0oRqFKerLIJiYzWjUsapRCXW4Bi0y5Rapb+OfAoMEzVgokoSgGhjS&#10;CnbD03cSGsetQ+Mem9GgL0OhPq/BhefO3ehJdcyBE62mc+xCM53WJjaPFpTKGENljFmOu3vugmv8&#10;Gjb+Kjh3JaDQQtzVfx7Gbf7KDFHeUMZm33VCwU1Ka+UNxvjXjGJoZmXcUHp8/nmo12U/geE1gsJ8&#10;+Dw+G2/SVzYhjIY19VcFDLL2cml7jNsBlwSt2FsMx876mvUMNI0fiiV7PjNlu0UrbDa6lSXXngK8&#10;pq3VjdtuYnqS2WRE6mDVjcBKyiTFleX/jhf2fVaM4bR+DySPNR/yde23A62e2o+WXRehRsMUdOk/&#10;FicvWjtE653jpCm7rrJMmQyL1jH234KaHZfBpVMuWnRPw9aPrphyiZPqKcdmpEgdsfIaTOejtSmc&#10;xRWvGZ6VwwXcJjCo/QQM3UbtNErp2WUFPFJWmD0x3KPGIuaF2fiBr2mvTJVOqfzEDIMHqnM3B7bd&#10;tGZjB639JnqtkzEqY7XxSrShjvpNJq85gYZdV6BGDBW64y40IYA4Uc5Dnl6G4KcXU3Yno3H31ca7&#10;c00ogBu9qxGLj5p6k5dykRmOy12H5lGD6InOhGMyw/xOO//PwMBKt7F/aIYBBgIE40q612EU5j99&#10;Br96ZKAaGAxgUEnMxqj+i6hY1rnua7MWTXbSXAObAMZb4RTOdqup4Hth02ETlZ+IpvXzjJXqUsBr&#10;tRpJV2kcXP2fxT1d+6Pgs88QOpAWPLw/aoeNMopuvqotD4MgZYBKHYzkw1JGKqWAqYrkZWjlpEtU&#10;b7R/8mHkvbUTES8NhpNfPzTV5KUWebBvvw72fuvpTcxHnRiWT7s9tVkN+1CiaLj6EwgM0QwV1BMu&#10;0hwGgpLAUaMl2qehemdqAeQfgIHnpt7+fz6D/zswaAMVLZb9HRjq+k4hMGyASxzzSl6FGonrTQzq&#10;nDofXr3orqcU0AtbgUb9NpgFVvXpvjdKXYe6tO71EggSVOamPRj6BE+kwEzD8PVHoE+tyXpcKmbu&#10;Ur5i/hI4kKSsUo5Vn5xFveQpdIEL4J6yF3VTXodt2GL0zPjAdIYpjjduN4VV32lQf4DSVAw7bNUv&#10;cE3MR81Yuuld18CjE/mMGY1nM9fhVxZUynONXop6/qVad0ZCbl9GZQlVWIudzFJp8nRbW+JXmD1V&#10;VVdX+ehJZqY6kgL/RjybtfEowY/Gi9a5RuRcPNh7Fe6NS8NdAU8ic+kuAwriVSM0BR9Q0H0nGCvu&#10;2pNhLo/OdLcbxo/DnG3fmjKYtMWk2NLwrfleRlVdGS6shUoWCRjUU3OBzsUlw5/c9aCntSHQDNSh&#10;5XbrXIjGXRczTB6OnsOXW/XG15SSyq/Nb7yfotGMzYZL791w6ErwT1gPl4ApGJK+wXxzpOK2tefm&#10;p3zZe8ASeHSkTPkvQL2eu+HVbZ3ZQco2ZAya9lyG+l0ok+G59BgXoF1qHo6xOgVd55iPPkg0ft5W&#10;GsMXUL9THsu+GbU6bYV9XAHaDViOH9k+fwAG1u8dYCDB3mcllVEuNBkOZxxvPv++BtbWalQgCr8Z&#10;LtRYPhXFwX8JXfClhjQ1Wrs3OfrpQzS8F2Ddd6AFdvC1vgFhHQt5jc/6E0TaTkSz2HQ0DHwW6asW&#10;YMs3z2LP6Z7Y9tOrmPn2NAQOYjjgMxo1YqmovuQnkI3aYZkZTmwYPwkeYXT95aF4Ezj0rUnt0/hQ&#10;Dtr2HYuMrdkU9B44hbHY8ulA5KzNQmDv6cw/D7Ya+fCdYwDN8Oy7wszgrOZPH9DRPetLWyoHAVA8&#10;+xYYciKpXAIKM3eiChiMtyAAM1/8JtiEEgBDqaAEGn0Fq0VCGj6j2TYWlCQlUTSszUwkmBIe08fg&#10;m4mGcVupXFvgnrodDinbzPCXPd1S58TxcI2YDI/IHLMNWp2YafCKm04lnEoXexLqhoxC/fBhrNch&#10;eGzKOqz/6DejJBJ+tjdFWjs3Ewz05ShZ7HIqIK8Tr9A7bRXBIJ1gtACuPWj9eh5CzYSdaPzIW2j3&#10;ygfwG/ImQkcdQNCwHaRtCBxOGrYbISPfR/uX34dd1Bo06L4f9tGr4clY3p0hT7uHp+ONHy2rrzLe&#10;0JRrltpaQyyOxNlVKpiOUriq+1VUXn4Lt25pvMC6IkVR/cn7SR67B7VpAdX/Uoch0z29lpuhS9/u&#10;WfiByWv9hSYVHSFyebR/Bm0eJUgnErhjFsHjse1wjRyH53P2GqUWMP5MdpTHjSs80aiEppqb7a/F&#10;q+pNrUUQJ9iUmz6Ii7jy20nDz44vbqNxt4VwTmGb0xi6dd2JRl0KUS9sMl7Nfs1Ybnlr6mSVMdDW&#10;+4HPrzQzE51SqKRsaw0h1g7NxJNT95haUbvcqLCMRsHeryh3L6Bux3lw7b4VNTptMp/F15R5t+R5&#10;uLfnYtyTlI0Gfi9j1e6fcYYZ6mNGeldpDcrdxzB5uJkQVjN1OWp3XwcX1oNf/0X4gXwJGHisBobf&#10;QwkCBOx9+YLmIPj/CRjMfouy1LSIst5URllGeQnGDScA/KdHgYezTx6aR+fCo8VjCEmNxPajiSzE&#10;k/gWE9B9XDjuTX2JHsYQ8jKDHgiVrwPdpnYTUS84GWMLlqJV1xdhc9/DqNWBljFxC2y96W77L4Z3&#10;z2Hw7fsAjt58Dj/iEbx/4kX0HRgDt9Z96ClkUziovHG0bvQw/i6//+6oqdV3vAUCpgWaBAcNZ4ay&#10;7sI0kkGvIWgBgSGNwDD5DjBIACVomn9vfaugGhheJzBMQ/24nQSB9XDsREGLYpzfaTF8XlmO2JEF&#10;iHx2KWKfK0TYk8sR8sQSBA+Yh5ABs5H0/AI8OWUj0le8jWV7v8AxJqit1yUclyjIl+kdaJ6c9heu&#10;VI50k2/ctEDpvV9uI/C5WXBOmAAXWtOayYW0Ktth2+k1uPc4BPuOO8kHy5TAslERzV6fifQq6bFo&#10;s5I6dNEdomnF4rcypFmHBp03wC12DuonZSJr54+mE0xzJiTsxgqb2YSXUXL1Z3oHWvpdxnCjDFdL&#10;bqKMlrKSXoMBCSmonue90uJbuHazwiiXhH38hlP0bqbBpSNddq0pSV5EV34GWnXJw8EvmBcrWTik&#10;r3Z3GZBtRmWaPkKPmCBbs+c6gtc0PJSabkZPBJ6qK/HH5HGrWOCg0IYBd+kF6EtY6jhVu2lX6xIC&#10;qtnlmnUoy/zMNLablsgnrYVzzzfg3HkHy16A+xOzsXbfb6Z9LWNAfgiKP/FH8HOrYRfNEJDeoGNn&#10;hgFdWecR6Xg064ABK6VrfZsD+PLHC+g/ZjkcgkYx7TVw6fO62WTGnp5irZg81E/Mgbv3s+jxbB5O&#10;nGI+AiGWXUPakquX8w7Six5NUGHbdV8M++6FBO75CHwkH9+z3N9VoohkAcN13LzjMTi3TKc1XACH&#10;cFo7xmPWqAStMF33WgEKI+hKayFSqCaazCBp7gIz0YxH0yn3nx01N8EriLF+qxVo9uBUtPbrhcLt&#10;Q7H5wFM48MFS9Hj6ZTje8wTq+WehXsQkuAcOwz3h4zBgWDaeHR+Mgycm4rlZ/RA75Hk07TTcdBza&#10;tmdc3yILDu37oUVSCHZ+mom8db2x8+35iEztAccWA+BmdntmmBPFUMH0H/yRr799VJ8GAcF8lUrr&#10;MEKmG7KAU89ozsMyHhebreYdfMahZcIYaOajrJ6Ez/Jbf9+PQaHEpGWHLGCI307Xci08emwwM/V8&#10;Bu3Ayq8r8Dkb/DO6id8xkR/5+kn+1jLj45SiryjLPzAhWT8JlRRe6coOa8dnCZgVK5ehXN4Cmbh0&#10;/ZZ5dva2o2iSSKGLSUODXrRkcYvN4huHxDVwjF5GIpDHaLehufQK5qNhj3lo0HMeXdr55lrdxAVo&#10;mkJPIX4ZmnXbCK/E5ahPRXWiF5MycjO+Jr/6lqXKbjiTh3C7xHQ6ii8pzXmaON0Xh8UMecr1+TSN&#10;Eijk0TRwTX5QxZHE86ojQO3oWXDvokVeq2AbPdvMwLyXYLTqwEXzPYirtJwaGp29/H3UatEf9z9K&#10;r1iboCQugleX2XAnWIxaesR4TAIbeRniRwp/8wKDpxL6OuYr2KTym8Qn1mgVD9qARXy/9U05vB+Z&#10;DccEhrga3u31GmrHr4QrPdqYJ5fiBzbIVT6ocokuFl81Q83Bzy+DXWwuvYsVcOqyjOBKgxM+Ho9l&#10;7TLKbNWVJSPKZ8s75+HcYTB1knz32AOXvnvh9vAuOHdZjMZdZuFuegSLtn1jbd1H/jRrXu2vcg2e&#10;dQB1IofDs1seanfLJ/ivIDAshP8jiwQK+Ob2vwBDMYHB7f4cf4JDkUuLNLj4LIBzKIHBL9N8fMUs&#10;YQ6wdlTW/grab0HLj80+B2bojsCgD7v8EwpeDpegN2DTfD0eCN4E35gMvDBqONoGt8bDT6ah12N0&#10;nRuNxf20UvWDx8PD53m0ihqCMdOnY/+nL+GHspH48PoczDw4H35PTDF7GHhFbTahjEfocCQPzES/&#10;YcPxYHAoXhiZh9heGWgcNBl1IwgIrQh84VRcbTr773j7O6SyB9Et0wKyoFzYmr0oCAzBAlSmq0/m&#10;h7DuQojODM2cO4xD67gxOEYJtIYLTXsb0ri4hMAChsNw09Z4BAa7qCVmP0ebkEy0GLAABylgEmDt&#10;Ji3FkPAIBNRBp9/VTq9iXrO2gFJxg2RGJf81TzPmZv28zt8/85keQyiYYaNRNyEPDbquZBhTgEap&#10;q9CgYz6cgieiAUO+5smZDFdGoV7kWDSJn0hDMhCN4yaYbext275ktrR3CU3DvT2Wwy16Ll3pFXCL&#10;nG5WXW7+RHtFUeENL1L2SyZ/udfacJZXDP86ysqJRYtX/qORApl+dQrqN0/1cZ05bzIWjmAYoaXF&#10;3Wipk/JNDN0kZizWHbpgFOQ6wUgzzz/7rgKtOo5Gg+Qs02lZg+Vy7zQHd3ebTflZhMVvXjZeg/wY&#10;8SQMMh2Pml5qNpIV6VzIUYkbV+XpAV8TNx6fso2uPOWBxtSlx0YzwUn7b7oGj8HIOW+bcunDuUzW&#10;0PWKWzhJvoJfWAS7uGwz5OrcZQE8u86DY/hIPJm53SizWDA8EBTVGXmKzHV5kd4CZaxOx42UQ3pv&#10;BGB9X9U1kl72sFU4ykLIO9H6Ek0sEzCoTENmvQbPiKFokEKvsEs+wUgewyL49l+Gb5n21wQGgoMF&#10;DIyaDDC43z+jiEe4easwdH19ZtL6zTPzF/Sdhpp+a80GJWaykeYTmH0P5C7/LyhEQ4IEBu+9tPab&#10;4NhhKu6OeRm17k5B4w4UzvYb4emzHXX815lP23lQOD3aDUO7uIdx6EQOjt4Yh0NnsxE1MIHhRG/U&#10;aElL3ZKubvtlZuizdtvBaB6SgZpeL+LutjPRIXYtaj+YTjCiwvqtQK3Y7eSDlfrvePs7pA7GQO0X&#10;oTkedL0FnGYiFtPXhCvz4Zu1DDdWwcFvAVzap6FtzGR8xXjX9H6r1SljhvhbFsEAw9J34eaTi3rx&#10;O1Gv+0Y0e4yCljAdrQbMwKd8SLH6RZoCvX7p1k1cKS/BdbrZ1idiLH9AyUuvzD93FIzE9yuNObGu&#10;SWgEKnuPluCeuHFoGDcLjTsWwDliAa1+oQGE+EHrKXAr0Y8hTP9Ry9Ht+bno/fJSdHt2IfoNXoGn&#10;xq7H82lb0HtEAfpN3IgWXdPQpNM0NOi0wCwnbtiR4EDLOTDvM8O7hLZEVpgcnyMKCNDe/foWJi/c&#10;j81vnzEKoWtSTll7w6v4vsoQ4yJhT24A7wkAe6d/xpBmKYFhG0OulfBKXUHPJRsNw1/FG8dumWcE&#10;wlpKrXwnLjwEN30fguGHW7clcOucj8bdl6CG3wikjNqBt9g24kzZXuA/6oM0dcdEyq5cRfGFi8Q0&#10;IS3/Z7rqgM1cdwKNEjNQh4BkE0nr32stvHqsJB/T4N9vJt74stgCGiZTzNhGRyX7PZkLfDEfdvEZ&#10;cGPcr705vbrNglP4EDydtcmAqNrSLD4za0z4Pmn3B/oeRYHpW/PsuQV1+26GQ9x0eBGol7xx2vAv&#10;cFUeZn4Ij2rj4TP3MJQaaj4LWYdhqUeX1XCn4enQf7m8BQMMJAsYmKWN2wPTDDCQ4NZ+OYGBbhYF&#10;U5OTtKpRi5Fq+W1ELe2xqF54DQ1WzyEwG8LKov2Do7aej36dlncPbHypRLSStWiNHIImwd6bPDy4&#10;Ew4BBA4fPuc9gxVGd7xNDur7v4TZu/LwWEYIpu0cjuAne8K+9Ui4+2+DZ+xbqE3vo0bQNDPH3Kk1&#10;w5W2m+By31o09tsKm6YT4EyUdYjWbEamKxD8u/z++Wi2kiefmpKtjlnTEalJYKwj/rb6ZdbT06I7&#10;7kvXrV0GgSEDXzH+M8AgQFDr6UgJ0Kk8gPHLiuDsOxueCTtRg/GnQ0dNwR6Pe7qPxcfXblJpGGuX&#10;S+TV5BIBqZGO12lVbtA1lxCVWC5v1cajd2YPKa9qYp5SAMWyY5d+wjxH4a7O9BAS15vh1aYMA9r3&#10;mY03Tlp8mVEIvneNSUk3rzE9HX88w3tkRbtCfUpkezpnC9yomE1TF8AxahEapmyBU9B8+Pdfb7Zc&#10;U54ldMvNsKXSJQ2fdQgOLfohrP8srH//Fr5nEQQQppRMV1MKjEaR5F1RP7Hr/au4TyMv0dpAdoeZ&#10;7+GlUQB6Mw+ljMERWk7VigHQq9ZeD+8QgHx7pZnJP9rjwiNlGb0MjbClGc8hadA6LH39nFEu44Gx&#10;vGZomWRmO5J0NDwwwbFLjqBFL1rfBOpL9Ex49VljrHE9pmXn9zymrPzAKKXWjAmgi4uLcatM37ag&#10;686KCHhxEWzjMwkMC+4AgzOB4ZnMPwGDRkdYdn1P+AovDhi6C3YPDYdL7DwqOT2NhEzEvbIM3zFh&#10;5adn9K6aXeWWxzB0loBhOEF7HkO/5fDstI5e3VJ4P7pcoPBHYKCDcgcYeIQLPQZnbfDqpz4ExskC&#10;AAm+vhsZQCXQ+LwWEUk5gqUMBRSipaT//GiUK2GT1aEVR8sdz/ySp/D3ZKa9HLUiX6Py8r7WXDDG&#10;tQlbjBoEiZY9diD2FaJzizbw6fMogh5Jg6cfBaTFDoIHgaTdQp4PhmsnKpQ3rUnwPngE7DcfwbHx&#10;mQH7qAVEdpalnZR4xV/4+rtHvWuAQWTmVFSBpuqoGjiDVqNW0ErY+zNE856M1rGTcYxWSa6tEfQq&#10;BdUHbNWAUtIxBUXQDlFaXVm/z3Z49l5lFvy0eTQLX9wsoeWjkJivRFNKblH69bl10/QiqYLUyXJ9&#10;K2/yt/ZtqMrnDvH3Vd6SArzNf4KeoesfPguNOgpct8IzuhBekTPRfcQ6s/ZCSiL+lIyG9OTdFkvD&#10;eeEKJVhWWbkqvYJ3v4Z7xPPw7Egwj18Bz5Q9cAhfy1BkCfK2XzAKr7REen7Q9A/g3uFV1A0ajXs7&#10;zsKDVKqncz4wgKT6OMu6OcuHNeSmaeBfMOzPXHwIgX1nmnUPNWI2wC1lG+oylHCJn27i6EcmFpoh&#10;Un1zU9UsSy1l/I3pzN18DN69suESPhFutJzahEbf4dDGKjV9hsGn3zzk7fgV+76yQEs8arboGVaj&#10;lO4CE1y/7wT6jViNxsn0Uv2mmv0NaifS++i/Dk6JOVTUsUgevMCAkzwVVblQRV/CKq2aw/Et68//&#10;hZWoET8TrqlLTCjh1XUOnMNG4OnMraae9JyGbk3nK0FeO3dplGX9vnMITJ0Oh/ZDGBqPJxBOQd7W&#10;LwyYSAKsDkt5kVanttIanLsPnmFj0LDTIrglrzUjXlp24P3oCrCofwQG4pcBBmef/CLnllPN5B/T&#10;+RgwlcqjVYVUMk3UkZCbCTtUNtNhR+GnO23mMWg47x9Q9aQkmxiGJakEAJ90gsIYgsQkaw5B+1we&#10;qXT+PI/l8zHkq4XW/G+DzQND4RY0DI5tnmR4MAzuPtvgHPA2gWA9asQWonaqpiaPYszHd9osZpkY&#10;NrSZbz7Hb0O31iYoD7Xj15hRhX/H298hTXAyXoMZlmQ+Zlm2Oh1FPDdzGZahJgHDLjAXTh3U+TjO&#10;zGOQUphptQIIUrViaQhu5Ir3CTzWfgxurBfbZFreuBw82CcTn125xYbmC/IE5OcqVq9ks9+iqdbQ&#10;2i2CQzklrpziwBCjQp+nr/YalM+NchofZsZzipqZl7Dgg6sMHSahQcfVqBO3nXHnDrTosRd1AtOx&#10;4vB5I1RnS/VdTYINBa1EroIQQgmQtLGSrKE+l69Q6Gum3bLvOLgmToVHt8101/fBkWm6hhcgdcTr&#10;ZnRCQKMpyHM2foOWVCSPwAlo+/Aq1I2eBVv/KQw/5qBh4gx0GbYbr8z+lO76SYxfchRPpu1F/IsF&#10;eDAl04Q59VM2o2bUWrh3Xo/mD2+AY9h4NEsciRmbioySiEXtj2i+/sRzKYmuDxi9Co1jx8IpZgYa&#10;9dlA4F2COknzcF+f5WZKsq33IIQ9vQLdR+8wn8ybt/cSsjZph+jXEfPcErTsMoXh0Rgzb0MjBB49&#10;1hNglsE2Ngtu8RPQrONQfEBUs7wOVX45ytWJqiPdD/Eir8j3hfU0iAwzGbY5kwevFPXxjcbTU3ca&#10;QJKcXC8VAlt1L5DTEKSu5BZ+ggVbfsTM9V9j5qqiO+B96YZGeIpxleGahqYlVwK4V3LfQJ3wSajX&#10;maFi8ia2y04CwwoTSvzFY7iG678DQzvG8ZG0pm0nEsUIDGHjCALa92AOBZzXNV8gXBOfNCtSw5mz&#10;aSFzKfQz/xGZTjrTgan5CYrHGaOHToIt3Z2aYWNRQ0ux9X1KszMUz8MyTG+sbcACY1Gd/abD3Teb&#10;8fhs2Heo+vit9pmkpbOJG80KH05g4XsaXQkjuIQxL/EemUHSqIv2gdQy73/P3/8fmXURWjgWLuK5&#10;vpGp+hGZ/SJYR0G5qBE+B04EWTufofD0fxKn2LD6wrqsgXBdQqtxcTWslGbU6vfoDtPd67QHHj23&#10;si3mwzkuD20eycPHlBYJt5EQSYE64oyrSZIZv0MSRiqD8cGtc2ZBMNJn0vga7+sjsvrQSOf03XCJ&#10;oxtM5fJI3gv70I2oE7EMfv1XmslBmtWo5Ui3jUdCAVVyAgYVoMpruEUreJ1WTRhxnLwNW/2u2d24&#10;bvdNqBmzBU37fkjgX4hGsTPwEdFDgvojkwroNhn3x2ShUSQpcR7qd1xKZVtMUFxCd3w5HKJmwDl6&#10;Glz5jEt0JkPALBNPOyXNMTsQ1Y4uQIOuW3BPn810wafCJZjxec52fHKm0tSn+l00DCqFvHpTamIB&#10;cNF3FRg257ABAafY2fDoSGvdmS45vcy6HefCM5nxe3IeHChzjpQVx5hsPpcDh9hs2McyTI2fAYfE&#10;ubTyqwgI68yIiBvBzD58LFr3yyKQfGUAVW1lTeRiY5kZo2wb/qlT8HvWXYv+9MaTVsElZRO8uq+H&#10;cww9xcjJeDzdmqCl6hXPWikq0ryX6jKI1EmrodPqmbRW4+jOVZb7Op+1Pr6jDuunc/axvJPRoNt6&#10;OCRvR93U/fCMK0SrHvPMtPE/AMNvty/Z2N2fa4DB/qFJ8IxZBpsOWVQsKRBd+ih1qMhLoKXV7kz6&#10;FJ3GrTXUx+v6lFwtAoct6T89iuxC82BvJkptgpM/4zOChWms8HG08mnmvnk2PAe2EZnmA7V2ofNg&#10;T1fdKWAFXAKWGHIILISt3HnxKZ4Zt9kkkH8dY6mk8kCiaMXFt+7H0GuIzkGNiFl/m98/H636YH0Z&#10;Ytqa/q36MZ/rYx4R82BHL6dmOC1+OD2G4PFoFD7IxNnaNk3NV1yhNQPlOEPLLmvLKAODl+2FA8Gw&#10;TsctRvA0FFWvy0J0GLAARbRC2hHayJcUU0dL7y2igBiq+rtFK67uLgmnWVJc9Z/OJTB76aLc/+hs&#10;1ArPhGsCXeqO9FJi1tEjmomHJx7EKaYlvvSxudtG1Mm1QKc6/yoeKumVWGneNkJY8MlvqN8lDfZx&#10;C2iZtqNB6htwilgBr6hsZG76xmw0IoCcveFrxD62DK4+o9A4IQ8tHtlodhnSrFt9G9K5s6Yua9h0&#10;gZn+XTNhAey6rIAzgcDrkZ1o0nMzmndbDffwLDj5vorEl/Ox//hN4xVIKa+V6lsLUqUy1oBlqfVL&#10;GzV9Qc3rM3E/mlMxHGmQGnedh+a9lxGM9KmATMbu+airEIOegAPd71qJC6nEC1GboYd7n/WoP2Ab&#10;apHHej1XwZ7gZdNuICIHFuC1Exbw/XDFGsq0gIm5/gkYfqDWB7y4B7WTqKiJa1AvheFWx8VomjgN&#10;j6Xtxvd8TW0kOdH4h7pSrT29rU8NqhwG/4UIImMQ9PTvYaWeFUAqJBs4/x16g1Ph2VX7PzLPhI3w&#10;il2KDn3mmcVY314tKSJZwMCMDTCQikjwjNhCd5zKFcAwwp/gIHefCmhjPjHPUMJ8EJYKEUjX2cTY&#10;vGbWKvwDCtK2V7Pg4DMf9u02k7bC3mcxavvTnQyYhloBefQCVsHGdx150CiIwgMqXTBd9QD1g6yD&#10;re9S2PvOp/tJ74Xut00A+RVvWsOgvhDj1pNfhUGBCkvouuldM21Z6fGZf8fb36KqPgalqzoyO1Cz&#10;fgzxXPWllZ9t6FG0pdfgOwP30PJ8Rf06x0aX4KpxherqUJQQyEqMXbWXAJ2DRp0Zr8bPQ53Oc82K&#10;uPb98mgJLStSUS0ZkjkJRRUwWPPrf5cV3ZZwljCPm/xXE6lEOpPCT9t7HHWTJxIQcuHVaSkadFmL&#10;+vFL6Y7nYcOnlkCJr1LjMUjEJHjM6F8EsoRBr7BIce2pG1eMUnzJTCMHEbyjsnB3ny10X9ejSZeV&#10;dN8zEP/cXHzNZAQzog2HriHuKQK87zCzLL5JzxVo+sgG1O1RaCZ1uXVbBs9ehfDsvRquPdfANoV1&#10;2pmUtBQuUYyzvYejfsgI9B+3Gfu/LDGgIC5VbgFipZnSrO9Z0IMiv1dpZnVP9SgQm7LhpAkrbB54&#10;HF5x6fB+ci0tOT2BpLmmD0Kbxrr3oNHqsZoh6krUIDDYdCmALYHDLpo64j0YjTtlYOjST8yu2r+w&#10;MqrdelWRBQZsCXl2puJ4hTd+JpPBz28jeK6AfUQ+POMXoR6NbpPoSXgqbYfxHlUW8alP5ltfDre+&#10;Hi6ZMWnrH4UqZuEXE6z+XqchfZHqkqnjU6QXFUrETEbjHstRr9dm1vMWeIXlIbz/PPxEnr8+d+53&#10;YDhfBptmIfP9CQhFNp5Z8AjaDoeQjbCj5dXKPtvQlagdtJYWeT0cqQCOVDBHKoUDFcIuWMtx19Jy&#10;UjHC//NjzbACuITkwj1oLlz91sPFjxYycJWVfkg+HIKXo3bADtIe2AVtNrzI+taIoNLR3a1BPh3I&#10;jwuBwiV0GtPSrrxLySf5DdiC2oGbYReyku8VMEShQAXzt9IKZJrBK+l5FKCGtqH7m/z+5Ri6njxs&#10;gW0Q8wpi/QTRugcyRjXEcpAPt3DWp/8G2LUngLWejub0BD4iPGvO/DUJKdtTDqIWJl2j0JzmryFz&#10;l8Otw6vmozNNu8xG4y50nYNGoEOvTHzBVjZCz/dvC1kkc0xHlkOk3nPJiki3RFICKa06LatBgSEk&#10;frhxE9HPppHPF+hSTmR8n2HmIDgHjEHUM0uM9yKhUn6anWl1a+mTdlQ35iUSIhTftD4io7zO3rx5&#10;B+DSNxyBa+CrqMPQzTFwCo1OGuoGvoL6vo9g2wc/mue0u5MEX5uzZK37Bq170YPzH0ZAZSgYMoEy&#10;OJXgyHAxeYbZw9ApOZeeA0O0eHqbBMum8WmIfGw2Rs5+E/oytNRCXP5yXqMe+hOT9JG00W2VUpaU&#10;VuBmcbmZPfkz61Hg9xlRcvzSj9Gi00TYtHwStbxfhbu+6h2eQW8gx2x465A0G3ZJsywiH1qdeXe3&#10;LPSeuBkFh8/ha7aH6kvlUW0pfwsyla86HnVu/anuzhA5Ojw8H670YD1jctGIIOPhOxSNAgfipfTN&#10;Ji3VkQUM5XeAQZ/IVceiARvNqdDEr3IWxEzCYg1UbUlnZpJWva9wcOCs3XANGgi3qIlwYzjmGjEN&#10;7t7jEcMQlYDwR2AgbzYEBQsYPNLh2nYVansvIwoy/vbNQk1vunRtF1Co8+HYej6c2syAY9tpsG8z&#10;11y3aU/qQPKmVfyPj2xkn4mk8ajVgS5/B4YoPiI2vA+tuTefIz82baiEbVbTVSNfHegB+IgIDj68&#10;75Nt0rD3GQmn9uPhTP6cH6IL+uAqOLVcafHZfiZqtae73I7uaOvlhmq34Xk7pvO/4b89eSBPtdou&#10;Nek5tpnN+plpUeu5zHsBaremVetQCOe2rL8HpuKhiBk4SgHWuLaGkqr3JbhJwZXbd6bsAmYVbkBM&#10;3zxEPVqIu6JH477kMWgY9grinszC56f1oVi2fbXmM41qL+HP3sKfgUGuvkjgcPHWZXx79gLaJj0D&#10;354T0brbePj0zYR37wy04/noBfvwC2VOoKA0LN9DSKQ9kaw5FLqi3aWVV1m5ddR18SfR1M7JoX0n&#10;4YHE4ejQPQM+3ScjsMdYtE94FjOW7sFxxlMCMn0b45wUlAl8SHcjd8+vSB2/Be36z0TLnhm4p9N4&#10;1IscBPfglwgur+Le1EwEvVCIlNFbMHXNZ/hQS4uZzlW+r7KqDsoUdEsfeTD0hz9LUbVbvhT4Mo+/&#10;smi/sUBFTCtr9WdIfXUlQh6biwdSpuKupCmoFzMWdSNHmC9YtX10JhKHr0X/zB0EhJ9wnPooJb4k&#10;HsiA6kBZXjjPwKqKB/3WLl0i/QlcGWkg8fk5Zkg4uP9chPSdDv9O4xDSZTiGpxfiFFFB9V9d62q3&#10;cpIVmpAUOmipulmzwZKYaeOyGCqVniM88Jbe/54OxLh5O9EuZTjapE6Ad99peKhLJsJ6LcRzo9cL&#10;FP4IDDcrbgoYWtFr2NCsXQ54hFcIlT9wOK3UUNQNmQSvoKlo5J+Fxv508wLGonHgaKLaJDQImAqv&#10;wCx4ar+FwOz/+OgVlI76wWPhFToCnmHDUCd8BFzDJsE1dCrcQ7JQN2gavBjS1PfPRQO/2aRc1GeI&#10;4Ul+6oSkw53PuoePNe95hQ1Go+BhaOY3CXf5TEPz9nNxF4Gnif8kNAoaTVdzFLwY44tfpdEgIJv0&#10;9/j8Px9JgTN4rvRYR6yTJgHjDTX2n2LqzKVNGvObgSYhtG6BExDUKQ3vfE6Lzba7ePn2HWVWIyoC&#10;1hqG706fwb63b+Dw57C+20gte5dexnsnZektJb9OLdAmxXpR7945WqeGpKi3Kq3+BWux1u90o/wG&#10;frl8HW8dOW8+o7bvyHW880OlWS9x6IS1DNl4JiTzVyV8t0nyHsr4n0BGMbzSKy6l6CpDKkIJ+bpC&#10;+ZRAfknXei/jn48JEu//UI6Pf7yFD766gq9/LLFmY+p77lWgoueVr7wNub6a6v3alzew8+Pz2Hj4&#10;FFa/fgLrD/1oeNW+k/qmZrWrLVUQwBjAVLo6Mt1bN3SR5yRZ6XJtnGticUt5dL2ECH2VmeuKyixQ&#10;+4lpf04zu/Pjm9j6wVVsePs81r99Bjs+vGA+dPMNH1LIJIuu569WlUHpVZSyZm6y5qr4qAZrjTxV&#10;AwN/mQ/QqBx7jpfh4FdlOHysGB/S7fjo2CV8+d1lw4+aWEeR6tn0koh/VZ7peFYmf6KqPJSn2Kgu&#10;13dErwOfncHhb0rBA977Htj0egne+Fi+yJ/6GIAvbCpwxmbjkZs9SV9u/7QMPGLriTPY+cMZbD12&#10;Btu/uIQ9Ry7jtSMXsPfoz4ZeO3IGez+7hAOfXDX0xsfX//MjGXrjQ2D/xxXYy1bY88XP2HXkKnZ9&#10;XoLXPi3F/k+v400K1eGPzuBdNs5775fweBOHP7yMNz+1+Nj01WWs/+o6tn55me9eZto3cfCjErz5&#10;YQkOfszfn5PXL7/GruNfYOfx49h57BR2fnGBedxkHiXYz+f/Nr9/Ooo/pbOTgrrr6CVTJ/upySLV&#10;lepsz5dl2PZ5sXlm92ensf3dj6kA2s7sIumCmVar0LOi5DYFSqohMZPFo1Dwunb50cIeWUQpgcKA&#10;CjnLEgjJgQRFAn6H9Pt30qIfxdYi619rVEJEb9p8vERCo12ZlLP6HUTi5MxViT3/LI1i8hRTpqeu&#10;Lw1dyq29UnaZ53RzS27yFkWRad5Z88TXBCwacVEeIvWiy5iflVYZbWFOcn8rSnHlhvWNBqNopO9Z&#10;YPFhKQUf4XsGRJmuzpW27p25WozzF/iwucEnNUuwmEzoJVUJL6vACsNLbhYT43jfbPR63VoLIWZZ&#10;RnnlAjUpsOrlNyapaeXq9dfvOxOdSEpPh6vFV5iF1Iohlr6UpaFFM226qvAso543rPBoRi7Nn6DV&#10;muBVHX4olepyMiKzqudfSPmZf3Sjqqn1U9mIqp/T7WoSMAh7q+vqGh/Q5w1Vr5qgpXBW8yIsj7Ky&#10;iL8tYKjEXpvbBAeCQStSAQGhiIDwF6Kg/4GoHIaoIP9rIkAUERjuEBWuiIBQREAoIiD8G7pZRHAw&#10;RHAwREAwRFAoIiD8gQgORQQHQwSGIgJDEQHhv8a/+CUY/FsiMNwhegpF9BSKCAh3iKBwhwgMRfQY&#10;imgViggKhggId4jCU0Rg4HvXiygCpLL/gXT/dyIk8L1Kpl9ZRHAwRGEvIjgU0XMoIjDcIQprEQWn&#10;iMpCYlqi8ltFBIYiegxMo9gQgcEQ7WMRPYYiAkMRdewOUcl4D0UEhjtEYDBEabWo/CbTv2odK0pN&#10;vgSIInoNho9qXkQU7CIqzR9I1+gp8F2WU1TCdEQ6L2f6rEMdCQpF1H1DBAIS67CaVJ+6ZspbafhW&#10;3RAQiggMd0i/dZ0AUURAKCIgGCIg/IFUDgIDy6dysi74PMGmiMBQRGAootfAPMv4bnkRQcGQyqkj&#10;AcGUq/pIvTVtJqI+W+mSF1Mukur3z0TdN0RAuEMECOvI6wQHQwSGO0RA4LuVBTy2MsDwr39V4OBP&#10;cPgjHTvjTzD4A9FbMETlMkQF+V8RPQV/gsIdorL5Exz8CQR/IQKCIQKCIXoKhggMd4iAYIigYIig&#10;4E9QsOiLC4bENwHiH/Fv3iWP1URv4Q4REEwd0WMwRG/Bn57CX4hegz89BX8CgiECwh0iKBgiINwh&#10;AoM/gcEQBetvUrkhAsMdopAZIigYIhj8hShAhggK/gQFQwQFQwQFfwLCHSIoGCIwGCIoGKKC+VNQ&#10;/QkI/gQDc6w+p3L5ExiY7s3fqaLUnx6DP5XkDyQ+CADM1yIqjCFdIyjcIQKCRRUss6hc6Yt4r/r8&#10;dqk/PQZDBIV/IdZpZaU/vQbDt4hgcIcICoYIDIZ3AsIfiIBgiB6DKYdFzM8Qn2ediggQ/gQI6zfb&#10;RW1aXU6d02swVF3GO2UmERhMWlZ5rHPV75+p+h0CwV+IgPBXYjoieg5/BYX/9/f//v7f3//7s/5s&#10;bP4/j+1/Jssug6EAAAAASUVORK5CYIJQSwMEFAAGAAgAAAAhAMBw6ofhAAAACgEAAA8AAABkcnMv&#10;ZG93bnJldi54bWxMj8FuwjAMhu+T9g6RkXaDNBtBUJoihLad0KTBpGm30Ji2okmqJrTl7eedxu23&#10;/On352wz2ob12IXaOwVilgBDV3hTu1LB1/FtugQWonZGN96hghsG2OSPD5lOjR/cJ/aHWDIqcSHV&#10;CqoY25TzUFRodZj5Fh3tzr6zOtLYldx0eqBy2/DnJFlwq2tHFyrd4q7C4nK4WgXvgx62L+K131/O&#10;u9vPUX587wUq9TQZt2tgEcf4D8OfPqlDTk4nf3UmsEbBVC4loRTm8xUwIlYLQeGkQAoJPM/4/Qv5&#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FxdQx8EAABeDgAADgAAAAAAAAAAAAAAAAA6AgAAZHJzL2Uyb0RvYy54bWxQSwECLQAK&#10;AAAAAAAAACEA2BVqPEKjAABCowAAFAAAAAAAAAAAAAAAAACFBgAAZHJzL21lZGlhL2ltYWdlMS5w&#10;bmdQSwECLQAKAAAAAAAAACEAi86v117JAABeyQAAFAAAAAAAAAAAAAAAAAD5qQAAZHJzL21lZGlh&#10;L2ltYWdlMi5wbmdQSwECLQAKAAAAAAAAACEA7FXLl2ahAABmoQAAFAAAAAAAAAAAAAAAAACJcwEA&#10;ZHJzL21lZGlhL2ltYWdlMy5wbmdQSwECLQAUAAYACAAAACEAwHDqh+EAAAAKAQAADwAAAAAAAAAA&#10;AAAAAAAhFQIAZHJzL2Rvd25yZXYueG1sUEsBAi0AFAAGAAgAAAAhADcnR2HMAAAAKQIAABkAAAAA&#10;AAAAAAAAAAAALxYCAGRycy9fcmVscy9lMm9Eb2MueG1sLnJlbHNQSwUGAAAAAAgACAAAAgAAMhcC&#10;AAAA&#10;">
              <v:group id="Gruppieren 3" o:spid="_x0000_s1027" style="position:absolute;left:28984;width:35812;height:6122" coordorigin="32569" coordsize="35811,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52876;top:556;width:15505;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UrwgAAANwAAAAPAAAAZHJzL2Rvd25yZXYueG1sRE9Na8JA&#10;EL0X/A/LFLwU3ahFJbpKWih48KL20tuQHZPQ7GzIrrr21zsHocfH+15vk2vVlfrQeDYwGWegiEtv&#10;G64MfJ++RktQISJbbD2TgTsF2G4GL2vMrb/xga7HWCkJ4ZCjgTrGLtc6lDU5DGPfEQt39r3DKLCv&#10;tO3xJuGu1dMsm2uHDUtDjR191lT+Hi9OendFCvtTc/l7O1cf7/xzmBWLZMzwNRUrUJFS/Bc/3Ttr&#10;YDqX+XJGjoDePAAAAP//AwBQSwECLQAUAAYACAAAACEA2+H2y+4AAACFAQAAEwAAAAAAAAAAAAAA&#10;AAAAAAAAW0NvbnRlbnRfVHlwZXNdLnhtbFBLAQItABQABgAIAAAAIQBa9CxbvwAAABUBAAALAAAA&#10;AAAAAAAAAAAAAB8BAABfcmVscy8ucmVsc1BLAQItABQABgAIAAAAIQCWFNUrwgAAANwAAAAPAAAA&#10;AAAAAAAAAAAAAAcCAABkcnMvZG93bnJldi54bWxQSwUGAAAAAAMAAwC3AAAA9gIAAAAA&#10;">
                  <v:imagedata r:id="rId4" o:title=""/>
                </v:shape>
                <v:shape id="Picture 2" o:spid="_x0000_s1029" type="#_x0000_t75" style="position:absolute;left:32569;width:6838;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B1xAAAANwAAAAPAAAAZHJzL2Rvd25yZXYueG1sRI9Bi8Iw&#10;FITvC/6H8ARva9oedKlGkYrgSbS7wh4fzbOtNi+libb+eyMs7HGYmW+Y5XowjXhQ52rLCuJpBIK4&#10;sLrmUsHP9+7zC4TzyBoby6TgSQ7Wq9HHElNtez7RI/elCBB2KSqovG9TKV1RkUE3tS1x8C62M+iD&#10;7EqpO+wD3DQyiaKZNFhzWKiwpayi4pbfjYJ8ez1sfp/H7JgVc3tOzC6+92elJuNhswDhafD/4b/2&#10;XitIZjG8z4QjIFcvAAAA//8DAFBLAQItABQABgAIAAAAIQDb4fbL7gAAAIUBAAATAAAAAAAAAAAA&#10;AAAAAAAAAABbQ29udGVudF9UeXBlc10ueG1sUEsBAi0AFAAGAAgAAAAhAFr0LFu/AAAAFQEAAAsA&#10;AAAAAAAAAAAAAAAAHwEAAF9yZWxzLy5yZWxzUEsBAi0AFAAGAAgAAAAhALt98HXEAAAA3AAAAA8A&#10;AAAAAAAAAAAAAAAABwIAAGRycy9kb3ducmV2LnhtbFBLBQYAAAAAAwADALcAAAD4AgAAAAA=&#10;">
                  <v:imagedata r:id="rId5" o:title="" croptop="4213f" cropbottom="4764f" cropleft="9560f" cropright="8105f"/>
                </v:shape>
              </v:group>
              <v:shape id="Grafik 2" o:spid="_x0000_s1030" type="#_x0000_t75" style="position:absolute;top:1035;width:1449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yzxQAAANsAAAAPAAAAZHJzL2Rvd25yZXYueG1sRI/dasJA&#10;FITvC77DcgRvim4qNJToKiIKvbAtjT7AIXvcRLNnQ3bz0z59t1Do5TAz3zDr7Whr0VPrK8cKnhYJ&#10;COLC6YqNgsv5OH8B4QOyxtoxKfgiD9vN5GGNmXYDf1KfByMihH2GCsoQmkxKX5Rk0S9cQxy9q2st&#10;hihbI3WLQ4TbWi6TJJUWK44LJTa0L6m4551V8PGWJ7ejS83hMR36U/dt6u7dKDWbjrsViEBj+A//&#10;tV+1guUz/H6JP0BufgAAAP//AwBQSwECLQAUAAYACAAAACEA2+H2y+4AAACFAQAAEwAAAAAAAAAA&#10;AAAAAAAAAAAAW0NvbnRlbnRfVHlwZXNdLnhtbFBLAQItABQABgAIAAAAIQBa9CxbvwAAABUBAAAL&#10;AAAAAAAAAAAAAAAAAB8BAABfcmVscy8ucmVsc1BLAQItABQABgAIAAAAIQClFAyzxQAAANsAAAAP&#10;AAAAAAAAAAAAAAAAAAcCAABkcnMvZG93bnJldi54bWxQSwUGAAAAAAMAAwC3AAAA+QIAAAAA&#10;">
                <v:imagedata r:id="rId6" o:title="" croptop="-1f" cropbottom="3142f"/>
              </v:shape>
            </v:group>
          </w:pict>
        </mc:Fallback>
      </mc:AlternateConten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1709"/>
    <w:multiLevelType w:val="hybridMultilevel"/>
    <w:tmpl w:val="C664A302"/>
    <w:lvl w:ilvl="0" w:tplc="8ADC7BE6">
      <w:start w:val="1"/>
      <w:numFmt w:val="bullet"/>
      <w:lvlText w:val=""/>
      <w:lvlJc w:val="left"/>
      <w:pPr>
        <w:ind w:left="720" w:hanging="360"/>
      </w:pPr>
      <w:rPr>
        <w:rFonts w:ascii="Wingdings" w:hAnsi="Wingdings" w:hint="default"/>
        <w:b w:val="0"/>
        <w:i w:val="0"/>
        <w:color w:val="31417A"/>
        <w:sz w:val="22"/>
        <w:u w:color="31417A"/>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D32ACF"/>
    <w:multiLevelType w:val="hybridMultilevel"/>
    <w:tmpl w:val="0C5218A0"/>
    <w:lvl w:ilvl="0" w:tplc="8ADC7BE6">
      <w:start w:val="1"/>
      <w:numFmt w:val="bullet"/>
      <w:lvlText w:val=""/>
      <w:lvlJc w:val="left"/>
      <w:pPr>
        <w:ind w:left="720" w:hanging="360"/>
      </w:pPr>
      <w:rPr>
        <w:rFonts w:ascii="Wingdings" w:hAnsi="Wingdings" w:hint="default"/>
        <w:b w:val="0"/>
        <w:i w:val="0"/>
        <w:color w:val="31417A"/>
        <w:sz w:val="22"/>
        <w:u w:color="3141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693317"/>
    <w:multiLevelType w:val="hybridMultilevel"/>
    <w:tmpl w:val="55FE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83DF9"/>
    <w:multiLevelType w:val="hybridMultilevel"/>
    <w:tmpl w:val="8B66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EB1CFC"/>
    <w:multiLevelType w:val="multilevel"/>
    <w:tmpl w:val="5D06230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363089"/>
    <w:multiLevelType w:val="multilevel"/>
    <w:tmpl w:val="57B41F7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B55CD"/>
    <w:multiLevelType w:val="hybridMultilevel"/>
    <w:tmpl w:val="B296A916"/>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F7872"/>
    <w:multiLevelType w:val="hybridMultilevel"/>
    <w:tmpl w:val="0E0AEA2C"/>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97649E"/>
    <w:multiLevelType w:val="hybridMultilevel"/>
    <w:tmpl w:val="BD46B240"/>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936EF"/>
    <w:multiLevelType w:val="multilevel"/>
    <w:tmpl w:val="3B023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45009"/>
    <w:multiLevelType w:val="hybridMultilevel"/>
    <w:tmpl w:val="6B2A8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666EDF"/>
    <w:multiLevelType w:val="multilevel"/>
    <w:tmpl w:val="4A0E8E8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7624176"/>
    <w:multiLevelType w:val="hybridMultilevel"/>
    <w:tmpl w:val="4114E834"/>
    <w:lvl w:ilvl="0" w:tplc="04070003">
      <w:start w:val="1"/>
      <w:numFmt w:val="bullet"/>
      <w:lvlText w:val="o"/>
      <w:lvlJc w:val="left"/>
      <w:pPr>
        <w:ind w:left="1080" w:hanging="360"/>
      </w:pPr>
      <w:rPr>
        <w:rFonts w:ascii="Courier New" w:hAnsi="Courier New" w:cs="Courier New" w:hint="default"/>
        <w:b w:val="0"/>
        <w:i w:val="0"/>
        <w:color w:val="31417A"/>
        <w:sz w:val="22"/>
        <w:u w:color="31417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C03540E"/>
    <w:multiLevelType w:val="hybridMultilevel"/>
    <w:tmpl w:val="BC64E9A4"/>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EC3E39"/>
    <w:multiLevelType w:val="hybridMultilevel"/>
    <w:tmpl w:val="9FF02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061389"/>
    <w:multiLevelType w:val="hybridMultilevel"/>
    <w:tmpl w:val="469C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F962F8"/>
    <w:multiLevelType w:val="multilevel"/>
    <w:tmpl w:val="CD606E9A"/>
    <w:lvl w:ilvl="0">
      <w:start w:val="1"/>
      <w:numFmt w:val="decimal"/>
      <w:lvlText w:val="%1"/>
      <w:lvlJc w:val="left"/>
      <w:pPr>
        <w:ind w:left="574" w:hanging="432"/>
      </w:pPr>
    </w:lvl>
    <w:lvl w:ilvl="1">
      <w:start w:val="1"/>
      <w:numFmt w:val="decimal"/>
      <w:lvlText w:val="%1.%2"/>
      <w:lvlJc w:val="left"/>
      <w:pPr>
        <w:ind w:left="3837" w:hanging="576"/>
      </w:pPr>
    </w:lvl>
    <w:lvl w:ilvl="2">
      <w:start w:val="1"/>
      <w:numFmt w:val="decimal"/>
      <w:lvlText w:val="%1.%2.%3"/>
      <w:lvlJc w:val="left"/>
      <w:pPr>
        <w:ind w:left="1004" w:hanging="720"/>
      </w:pPr>
      <w:rPr>
        <w:b/>
        <w:color w:val="auto"/>
        <w:sz w:val="22"/>
        <w:szCs w:val="22"/>
      </w:rPr>
    </w:lvl>
    <w:lvl w:ilvl="3">
      <w:start w:val="1"/>
      <w:numFmt w:val="decimal"/>
      <w:lvlText w:val="%1.%2.%3.%4"/>
      <w:lvlJc w:val="left"/>
      <w:pPr>
        <w:ind w:left="1148" w:hanging="864"/>
      </w:pPr>
    </w:lvl>
    <w:lvl w:ilvl="4">
      <w:start w:val="1"/>
      <w:numFmt w:val="decimal"/>
      <w:lvlText w:val="%1.%2.%3.%4.%5"/>
      <w:lvlJc w:val="left"/>
      <w:pPr>
        <w:ind w:left="4269" w:hanging="1008"/>
      </w:pPr>
    </w:lvl>
    <w:lvl w:ilvl="5">
      <w:start w:val="1"/>
      <w:numFmt w:val="decimal"/>
      <w:lvlText w:val="%1.%2.%3.%4.%5.%6"/>
      <w:lvlJc w:val="left"/>
      <w:pPr>
        <w:ind w:left="4413" w:hanging="1152"/>
      </w:pPr>
    </w:lvl>
    <w:lvl w:ilvl="6">
      <w:start w:val="1"/>
      <w:numFmt w:val="decimal"/>
      <w:lvlText w:val="%1.%2.%3.%4.%5.%6.%7"/>
      <w:lvlJc w:val="left"/>
      <w:pPr>
        <w:ind w:left="4557" w:hanging="1296"/>
      </w:pPr>
    </w:lvl>
    <w:lvl w:ilvl="7">
      <w:start w:val="1"/>
      <w:numFmt w:val="decimal"/>
      <w:lvlText w:val="%1.%2.%3.%4.%5.%6.%7.%8"/>
      <w:lvlJc w:val="left"/>
      <w:pPr>
        <w:ind w:left="4701" w:hanging="1440"/>
      </w:pPr>
    </w:lvl>
    <w:lvl w:ilvl="8">
      <w:start w:val="1"/>
      <w:numFmt w:val="decimal"/>
      <w:lvlText w:val="%1.%2.%3.%4.%5.%6.%7.%8.%9"/>
      <w:lvlJc w:val="left"/>
      <w:pPr>
        <w:ind w:left="4845" w:hanging="1584"/>
      </w:pPr>
    </w:lvl>
  </w:abstractNum>
  <w:abstractNum w:abstractNumId="17" w15:restartNumberingAfterBreak="0">
    <w:nsid w:val="1FB049B5"/>
    <w:multiLevelType w:val="hybridMultilevel"/>
    <w:tmpl w:val="AF44677E"/>
    <w:lvl w:ilvl="0" w:tplc="8ADC7BE6">
      <w:start w:val="1"/>
      <w:numFmt w:val="bullet"/>
      <w:lvlText w:val=""/>
      <w:lvlJc w:val="left"/>
      <w:pPr>
        <w:ind w:left="720" w:hanging="360"/>
      </w:pPr>
      <w:rPr>
        <w:rFonts w:ascii="Wingdings" w:hAnsi="Wingdings" w:hint="default"/>
        <w:b w:val="0"/>
        <w:i w:val="0"/>
        <w:color w:val="31417A"/>
        <w:sz w:val="22"/>
        <w:u w:color="3141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55BD7"/>
    <w:multiLevelType w:val="multilevel"/>
    <w:tmpl w:val="E0F6DB2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0F425B"/>
    <w:multiLevelType w:val="hybridMultilevel"/>
    <w:tmpl w:val="B60C9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9C577A"/>
    <w:multiLevelType w:val="multilevel"/>
    <w:tmpl w:val="5BB477C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AB40807"/>
    <w:multiLevelType w:val="multilevel"/>
    <w:tmpl w:val="04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2AF836FB"/>
    <w:multiLevelType w:val="multilevel"/>
    <w:tmpl w:val="DC8EE5C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BDE268E"/>
    <w:multiLevelType w:val="multilevel"/>
    <w:tmpl w:val="9542A3A6"/>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FB746D7"/>
    <w:multiLevelType w:val="multilevel"/>
    <w:tmpl w:val="DA1CEAA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2467539"/>
    <w:multiLevelType w:val="hybridMultilevel"/>
    <w:tmpl w:val="D58E34DE"/>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7918B4"/>
    <w:multiLevelType w:val="hybridMultilevel"/>
    <w:tmpl w:val="CD50FE50"/>
    <w:lvl w:ilvl="0" w:tplc="8ADC7BE6">
      <w:start w:val="1"/>
      <w:numFmt w:val="bullet"/>
      <w:lvlText w:val=""/>
      <w:lvlJc w:val="left"/>
      <w:pPr>
        <w:ind w:left="720" w:hanging="360"/>
      </w:pPr>
      <w:rPr>
        <w:rFonts w:ascii="Wingdings" w:hAnsi="Wingdings" w:hint="default"/>
        <w:b w:val="0"/>
        <w:i w:val="0"/>
        <w:color w:val="31417A"/>
        <w:sz w:val="22"/>
        <w:u w:color="3141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4640B86"/>
    <w:multiLevelType w:val="multilevel"/>
    <w:tmpl w:val="71566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52346AE"/>
    <w:multiLevelType w:val="multilevel"/>
    <w:tmpl w:val="A7AACB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4028A9"/>
    <w:multiLevelType w:val="hybridMultilevel"/>
    <w:tmpl w:val="19704E74"/>
    <w:lvl w:ilvl="0" w:tplc="8ADC7BE6">
      <w:start w:val="1"/>
      <w:numFmt w:val="bullet"/>
      <w:lvlText w:val=""/>
      <w:lvlJc w:val="left"/>
      <w:pPr>
        <w:ind w:left="720" w:hanging="360"/>
      </w:pPr>
      <w:rPr>
        <w:rFonts w:ascii="Wingdings" w:hAnsi="Wingdings" w:hint="default"/>
        <w:b w:val="0"/>
        <w:i w:val="0"/>
        <w:color w:val="31417A"/>
        <w:sz w:val="22"/>
        <w:u w:color="3141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D328C7"/>
    <w:multiLevelType w:val="hybridMultilevel"/>
    <w:tmpl w:val="494A1760"/>
    <w:lvl w:ilvl="0" w:tplc="427E295E">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E55223"/>
    <w:multiLevelType w:val="hybridMultilevel"/>
    <w:tmpl w:val="9FC4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8359E6"/>
    <w:multiLevelType w:val="hybridMultilevel"/>
    <w:tmpl w:val="072A15F8"/>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EE1ED4"/>
    <w:multiLevelType w:val="multilevel"/>
    <w:tmpl w:val="B6AA16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AB858F5"/>
    <w:multiLevelType w:val="hybridMultilevel"/>
    <w:tmpl w:val="CA20D99C"/>
    <w:lvl w:ilvl="0" w:tplc="8ADC7BE6">
      <w:start w:val="1"/>
      <w:numFmt w:val="bullet"/>
      <w:lvlText w:val=""/>
      <w:lvlJc w:val="left"/>
      <w:pPr>
        <w:ind w:left="720" w:hanging="360"/>
      </w:pPr>
      <w:rPr>
        <w:rFonts w:ascii="Wingdings" w:hAnsi="Wingdings" w:hint="default"/>
        <w:b w:val="0"/>
        <w:i w:val="0"/>
        <w:color w:val="31417A"/>
        <w:sz w:val="22"/>
        <w:u w:color="31417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8B6B40"/>
    <w:multiLevelType w:val="hybridMultilevel"/>
    <w:tmpl w:val="72F45CE4"/>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A22CC2"/>
    <w:multiLevelType w:val="multilevel"/>
    <w:tmpl w:val="77521C2A"/>
    <w:lvl w:ilvl="0">
      <w:start w:val="1"/>
      <w:numFmt w:val="decimal"/>
      <w:pStyle w:val="bulletGTP"/>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7" w15:restartNumberingAfterBreak="0">
    <w:nsid w:val="40AF4024"/>
    <w:multiLevelType w:val="hybridMultilevel"/>
    <w:tmpl w:val="E26C011E"/>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E07020"/>
    <w:multiLevelType w:val="hybridMultilevel"/>
    <w:tmpl w:val="AA564DB2"/>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6612AE"/>
    <w:multiLevelType w:val="hybridMultilevel"/>
    <w:tmpl w:val="B33A3662"/>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30601A2"/>
    <w:multiLevelType w:val="hybridMultilevel"/>
    <w:tmpl w:val="A498D794"/>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8C31DB"/>
    <w:multiLevelType w:val="hybridMultilevel"/>
    <w:tmpl w:val="95D22C70"/>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B78F2"/>
    <w:multiLevelType w:val="multilevel"/>
    <w:tmpl w:val="5A4A3D0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D5749C3"/>
    <w:multiLevelType w:val="hybridMultilevel"/>
    <w:tmpl w:val="1BD2B806"/>
    <w:lvl w:ilvl="0" w:tplc="8ADC7BE6">
      <w:start w:val="1"/>
      <w:numFmt w:val="bullet"/>
      <w:lvlText w:val=""/>
      <w:lvlJc w:val="left"/>
      <w:pPr>
        <w:ind w:left="720" w:hanging="360"/>
      </w:pPr>
      <w:rPr>
        <w:rFonts w:ascii="Wingdings" w:hAnsi="Wingdings" w:hint="default"/>
        <w:b w:val="0"/>
        <w:i w:val="0"/>
        <w:color w:val="31417A"/>
        <w:sz w:val="22"/>
        <w:u w:color="31417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D6274AA"/>
    <w:multiLevelType w:val="multilevel"/>
    <w:tmpl w:val="F3FE096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DC82B0A"/>
    <w:multiLevelType w:val="hybridMultilevel"/>
    <w:tmpl w:val="A170E32E"/>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E513CAD"/>
    <w:multiLevelType w:val="multilevel"/>
    <w:tmpl w:val="07BC0A50"/>
    <w:lvl w:ilvl="0">
      <w:start w:val="1"/>
      <w:numFmt w:val="decimal"/>
      <w:lvlText w:val="%1."/>
      <w:lvlJc w:val="left"/>
      <w:pPr>
        <w:ind w:left="360" w:hanging="360"/>
      </w:pPr>
      <w:rPr>
        <w:rFonts w:hint="default"/>
      </w:rPr>
    </w:lvl>
    <w:lvl w:ilvl="1">
      <w:start w:val="1"/>
      <w:numFmt w:val="decimal"/>
      <w:pStyle w:val="111GTP"/>
      <w:lvlText w:val="%1.%2."/>
      <w:lvlJc w:val="left"/>
      <w:pPr>
        <w:ind w:left="432" w:hanging="432"/>
      </w:pPr>
    </w:lvl>
    <w:lvl w:ilvl="2">
      <w:start w:val="1"/>
      <w:numFmt w:val="decimal"/>
      <w:pStyle w:val="111GTP"/>
      <w:lvlText w:val="%1.%2.%3."/>
      <w:lvlJc w:val="left"/>
      <w:pPr>
        <w:ind w:left="504" w:hanging="504"/>
      </w:pPr>
    </w:lvl>
    <w:lvl w:ilvl="3">
      <w:start w:val="1"/>
      <w:numFmt w:val="decimal"/>
      <w:pStyle w:val="1111GTP"/>
      <w:lvlText w:val="%1.%2.%3.%4."/>
      <w:lvlJc w:val="left"/>
      <w:pPr>
        <w:ind w:left="648"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292662C"/>
    <w:multiLevelType w:val="multilevel"/>
    <w:tmpl w:val="CE80C43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2E85773"/>
    <w:multiLevelType w:val="multilevel"/>
    <w:tmpl w:val="64322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DC4C28"/>
    <w:multiLevelType w:val="multilevel"/>
    <w:tmpl w:val="CB2E3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5354EB"/>
    <w:multiLevelType w:val="hybridMultilevel"/>
    <w:tmpl w:val="0884EC5A"/>
    <w:lvl w:ilvl="0" w:tplc="04070001">
      <w:start w:val="1"/>
      <w:numFmt w:val="bullet"/>
      <w:lvlText w:val=""/>
      <w:lvlJc w:val="left"/>
      <w:pPr>
        <w:ind w:left="720" w:hanging="360"/>
      </w:pPr>
      <w:rPr>
        <w:rFonts w:ascii="Symbol" w:hAnsi="Symbol" w:hint="default"/>
      </w:rPr>
    </w:lvl>
    <w:lvl w:ilvl="1" w:tplc="C5945568">
      <w:start w:val="1"/>
      <w:numFmt w:val="bullet"/>
      <w:pStyle w:val="subbulletGTP"/>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BC27209"/>
    <w:multiLevelType w:val="multilevel"/>
    <w:tmpl w:val="3732F3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511484"/>
    <w:multiLevelType w:val="hybridMultilevel"/>
    <w:tmpl w:val="E8BAE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6A61E4A">
      <w:start w:val="1"/>
      <w:numFmt w:val="bullet"/>
      <w:pStyle w:val="sub2bulletGTP"/>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2158A9"/>
    <w:multiLevelType w:val="hybridMultilevel"/>
    <w:tmpl w:val="2B32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487891"/>
    <w:multiLevelType w:val="multilevel"/>
    <w:tmpl w:val="5A0A9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5D5E73"/>
    <w:multiLevelType w:val="hybridMultilevel"/>
    <w:tmpl w:val="39D0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CB4AB9"/>
    <w:multiLevelType w:val="hybridMultilevel"/>
    <w:tmpl w:val="B8B82028"/>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7422E0"/>
    <w:multiLevelType w:val="hybridMultilevel"/>
    <w:tmpl w:val="4604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EF52C0"/>
    <w:multiLevelType w:val="hybridMultilevel"/>
    <w:tmpl w:val="957E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B2013E"/>
    <w:multiLevelType w:val="hybridMultilevel"/>
    <w:tmpl w:val="55E6B7A0"/>
    <w:lvl w:ilvl="0" w:tplc="E396A90A">
      <w:start w:val="1"/>
      <w:numFmt w:val="bullet"/>
      <w:pStyle w:val="Bullet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1303D9"/>
    <w:multiLevelType w:val="hybridMultilevel"/>
    <w:tmpl w:val="CF30DD10"/>
    <w:lvl w:ilvl="0" w:tplc="4A46C422">
      <w:start w:val="1"/>
      <w:numFmt w:val="decimal"/>
      <w:lvlText w:val="%1."/>
      <w:lvlJc w:val="left"/>
      <w:pPr>
        <w:ind w:left="720" w:hanging="360"/>
      </w:pPr>
      <w:rPr>
        <w:b w:val="0"/>
        <w:lang w:val="ru-RU"/>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1" w15:restartNumberingAfterBreak="0">
    <w:nsid w:val="7279652E"/>
    <w:multiLevelType w:val="hybridMultilevel"/>
    <w:tmpl w:val="DBE46FF6"/>
    <w:lvl w:ilvl="0" w:tplc="F3AE15C8">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8ADC7BE6">
      <w:start w:val="1"/>
      <w:numFmt w:val="bullet"/>
      <w:lvlText w:val=""/>
      <w:lvlJc w:val="left"/>
      <w:pPr>
        <w:ind w:left="2520" w:hanging="720"/>
      </w:pPr>
      <w:rPr>
        <w:rFonts w:ascii="Wingdings" w:hAnsi="Wingdings" w:hint="default"/>
        <w:b w:val="0"/>
        <w:i w:val="0"/>
        <w:color w:val="31417A"/>
        <w:sz w:val="22"/>
        <w:u w:color="31417A"/>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3595B89"/>
    <w:multiLevelType w:val="hybridMultilevel"/>
    <w:tmpl w:val="CF4A0324"/>
    <w:lvl w:ilvl="0" w:tplc="8ADC7BE6">
      <w:start w:val="1"/>
      <w:numFmt w:val="bullet"/>
      <w:lvlText w:val=""/>
      <w:lvlJc w:val="left"/>
      <w:pPr>
        <w:ind w:left="720" w:hanging="360"/>
      </w:pPr>
      <w:rPr>
        <w:rFonts w:ascii="Wingdings" w:hAnsi="Wingdings" w:hint="default"/>
        <w:b w:val="0"/>
        <w:i w:val="0"/>
        <w:color w:val="31417A"/>
        <w:sz w:val="22"/>
        <w:u w:color="31417A"/>
      </w:rPr>
    </w:lvl>
    <w:lvl w:ilvl="1" w:tplc="08090003" w:tentative="1">
      <w:start w:val="1"/>
      <w:numFmt w:val="bullet"/>
      <w:lvlText w:val="o"/>
      <w:lvlJc w:val="left"/>
      <w:pPr>
        <w:ind w:left="1440" w:hanging="360"/>
      </w:pPr>
      <w:rPr>
        <w:rFonts w:ascii="Courier New" w:hAnsi="Courier New" w:cs="Courier New" w:hint="default"/>
      </w:rPr>
    </w:lvl>
    <w:lvl w:ilvl="2" w:tplc="8ADC7BE6">
      <w:start w:val="1"/>
      <w:numFmt w:val="bullet"/>
      <w:lvlText w:val=""/>
      <w:lvlJc w:val="left"/>
      <w:pPr>
        <w:ind w:left="2160" w:hanging="360"/>
      </w:pPr>
      <w:rPr>
        <w:rFonts w:ascii="Wingdings" w:hAnsi="Wingdings" w:hint="default"/>
        <w:b w:val="0"/>
        <w:i w:val="0"/>
        <w:color w:val="31417A"/>
        <w:sz w:val="22"/>
        <w:u w:color="31417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314F36"/>
    <w:multiLevelType w:val="hybridMultilevel"/>
    <w:tmpl w:val="2910B810"/>
    <w:lvl w:ilvl="0" w:tplc="8ADC7BE6">
      <w:start w:val="1"/>
      <w:numFmt w:val="bullet"/>
      <w:lvlText w:val=""/>
      <w:lvlJc w:val="left"/>
      <w:pPr>
        <w:ind w:left="1004" w:hanging="360"/>
      </w:pPr>
      <w:rPr>
        <w:rFonts w:ascii="Wingdings" w:hAnsi="Wingdings" w:hint="default"/>
        <w:b w:val="0"/>
        <w:i w:val="0"/>
        <w:color w:val="31417A"/>
        <w:sz w:val="22"/>
        <w:u w:color="31417A"/>
      </w:rPr>
    </w:lvl>
    <w:lvl w:ilvl="1" w:tplc="08090003" w:tentative="1">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4" w15:restartNumberingAfterBreak="0">
    <w:nsid w:val="795B72BF"/>
    <w:multiLevelType w:val="multilevel"/>
    <w:tmpl w:val="C11029AA"/>
    <w:lvl w:ilvl="0">
      <w:start w:val="1"/>
      <w:numFmt w:val="bullet"/>
      <w:lvlText w:val=""/>
      <w:lvlJc w:val="left"/>
      <w:pPr>
        <w:tabs>
          <w:tab w:val="num" w:pos="720"/>
        </w:tabs>
        <w:ind w:left="720" w:hanging="360"/>
      </w:pPr>
      <w:rPr>
        <w:rFonts w:ascii="Wingdings" w:hAnsi="Wingdings" w:hint="default"/>
        <w:b w:val="0"/>
        <w:i w:val="0"/>
        <w:color w:val="31417A"/>
        <w:sz w:val="22"/>
        <w:u w:color="31417A"/>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D65B14"/>
    <w:multiLevelType w:val="multilevel"/>
    <w:tmpl w:val="CC9AB4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AF6947"/>
    <w:multiLevelType w:val="hybridMultilevel"/>
    <w:tmpl w:val="E95E6D16"/>
    <w:lvl w:ilvl="0" w:tplc="F3AE15C8">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5E62398E">
      <w:numFmt w:val="bullet"/>
      <w:lvlText w:val="•"/>
      <w:lvlJc w:val="left"/>
      <w:pPr>
        <w:ind w:left="2520" w:hanging="720"/>
      </w:pPr>
      <w:rPr>
        <w:rFonts w:ascii="Arial" w:eastAsia="Calibri"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C674A35"/>
    <w:multiLevelType w:val="hybridMultilevel"/>
    <w:tmpl w:val="4ED822FC"/>
    <w:lvl w:ilvl="0" w:tplc="8ADC7BE6">
      <w:start w:val="1"/>
      <w:numFmt w:val="bullet"/>
      <w:lvlText w:val=""/>
      <w:lvlJc w:val="left"/>
      <w:pPr>
        <w:ind w:left="720" w:hanging="360"/>
      </w:pPr>
      <w:rPr>
        <w:rFonts w:ascii="Wingdings" w:hAnsi="Wingdings" w:hint="default"/>
        <w:b w:val="0"/>
        <w:i w:val="0"/>
        <w:color w:val="31417A"/>
        <w:sz w:val="22"/>
        <w:u w:color="31417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FD27EFA"/>
    <w:multiLevelType w:val="multilevel"/>
    <w:tmpl w:val="3B6C1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50"/>
  </w:num>
  <w:num w:numId="3">
    <w:abstractNumId w:val="52"/>
  </w:num>
  <w:num w:numId="4">
    <w:abstractNumId w:val="36"/>
  </w:num>
  <w:num w:numId="5">
    <w:abstractNumId w:val="59"/>
  </w:num>
  <w:num w:numId="6">
    <w:abstractNumId w:val="30"/>
  </w:num>
  <w:num w:numId="7">
    <w:abstractNumId w:val="16"/>
  </w:num>
  <w:num w:numId="8">
    <w:abstractNumId w:val="21"/>
  </w:num>
  <w:num w:numId="9">
    <w:abstractNumId w:val="7"/>
  </w:num>
  <w:num w:numId="10">
    <w:abstractNumId w:val="13"/>
  </w:num>
  <w:num w:numId="11">
    <w:abstractNumId w:val="0"/>
  </w:num>
  <w:num w:numId="12">
    <w:abstractNumId w:val="9"/>
  </w:num>
  <w:num w:numId="13">
    <w:abstractNumId w:val="65"/>
  </w:num>
  <w:num w:numId="14">
    <w:abstractNumId w:val="18"/>
  </w:num>
  <w:num w:numId="15">
    <w:abstractNumId w:val="28"/>
  </w:num>
  <w:num w:numId="16">
    <w:abstractNumId w:val="54"/>
  </w:num>
  <w:num w:numId="17">
    <w:abstractNumId w:val="48"/>
  </w:num>
  <w:num w:numId="18">
    <w:abstractNumId w:val="68"/>
  </w:num>
  <w:num w:numId="19">
    <w:abstractNumId w:val="51"/>
  </w:num>
  <w:num w:numId="20">
    <w:abstractNumId w:val="49"/>
  </w:num>
  <w:num w:numId="21">
    <w:abstractNumId w:val="19"/>
  </w:num>
  <w:num w:numId="22">
    <w:abstractNumId w:val="10"/>
  </w:num>
  <w:num w:numId="23">
    <w:abstractNumId w:val="3"/>
  </w:num>
  <w:num w:numId="24">
    <w:abstractNumId w:val="55"/>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4"/>
  </w:num>
  <w:num w:numId="28">
    <w:abstractNumId w:val="58"/>
  </w:num>
  <w:num w:numId="29">
    <w:abstractNumId w:val="15"/>
  </w:num>
  <w:num w:numId="30">
    <w:abstractNumId w:val="2"/>
  </w:num>
  <w:num w:numId="31">
    <w:abstractNumId w:val="57"/>
  </w:num>
  <w:num w:numId="32">
    <w:abstractNumId w:val="53"/>
  </w:num>
  <w:num w:numId="33">
    <w:abstractNumId w:val="31"/>
  </w:num>
  <w:num w:numId="34">
    <w:abstractNumId w:val="33"/>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14"/>
  </w:num>
  <w:num w:numId="46">
    <w:abstractNumId w:val="66"/>
  </w:num>
  <w:num w:numId="47">
    <w:abstractNumId w:val="41"/>
  </w:num>
  <w:num w:numId="48">
    <w:abstractNumId w:val="64"/>
  </w:num>
  <w:num w:numId="49">
    <w:abstractNumId w:val="38"/>
  </w:num>
  <w:num w:numId="50">
    <w:abstractNumId w:val="56"/>
  </w:num>
  <w:num w:numId="51">
    <w:abstractNumId w:val="35"/>
  </w:num>
  <w:num w:numId="52">
    <w:abstractNumId w:val="39"/>
  </w:num>
  <w:num w:numId="53">
    <w:abstractNumId w:val="43"/>
  </w:num>
  <w:num w:numId="54">
    <w:abstractNumId w:val="61"/>
  </w:num>
  <w:num w:numId="55">
    <w:abstractNumId w:val="29"/>
  </w:num>
  <w:num w:numId="56">
    <w:abstractNumId w:val="40"/>
  </w:num>
  <w:num w:numId="57">
    <w:abstractNumId w:val="34"/>
  </w:num>
  <w:num w:numId="58">
    <w:abstractNumId w:val="63"/>
  </w:num>
  <w:num w:numId="59">
    <w:abstractNumId w:val="17"/>
  </w:num>
  <w:num w:numId="60">
    <w:abstractNumId w:val="62"/>
  </w:num>
  <w:num w:numId="61">
    <w:abstractNumId w:val="37"/>
  </w:num>
  <w:num w:numId="62">
    <w:abstractNumId w:val="25"/>
  </w:num>
  <w:num w:numId="63">
    <w:abstractNumId w:val="45"/>
  </w:num>
  <w:num w:numId="64">
    <w:abstractNumId w:val="67"/>
  </w:num>
  <w:num w:numId="65">
    <w:abstractNumId w:val="8"/>
  </w:num>
  <w:num w:numId="66">
    <w:abstractNumId w:val="6"/>
  </w:num>
  <w:num w:numId="67">
    <w:abstractNumId w:val="12"/>
  </w:num>
  <w:num w:numId="68">
    <w:abstractNumId w:val="26"/>
  </w:num>
  <w:num w:numId="69">
    <w:abstractNumId w:val="32"/>
  </w:num>
  <w:num w:numId="70">
    <w:abstractNumId w:val="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62"/>
    <w:rsid w:val="00006023"/>
    <w:rsid w:val="00011C77"/>
    <w:rsid w:val="00013CEA"/>
    <w:rsid w:val="00015829"/>
    <w:rsid w:val="000277C4"/>
    <w:rsid w:val="000322E5"/>
    <w:rsid w:val="00036154"/>
    <w:rsid w:val="00050E30"/>
    <w:rsid w:val="00061AD9"/>
    <w:rsid w:val="0006308C"/>
    <w:rsid w:val="00063640"/>
    <w:rsid w:val="00067F1C"/>
    <w:rsid w:val="000704CA"/>
    <w:rsid w:val="000768A8"/>
    <w:rsid w:val="000771AF"/>
    <w:rsid w:val="00083249"/>
    <w:rsid w:val="000915BA"/>
    <w:rsid w:val="0009537A"/>
    <w:rsid w:val="00095468"/>
    <w:rsid w:val="000A350C"/>
    <w:rsid w:val="000A43A1"/>
    <w:rsid w:val="000A6151"/>
    <w:rsid w:val="000A7BA9"/>
    <w:rsid w:val="000B0DCF"/>
    <w:rsid w:val="000C5D01"/>
    <w:rsid w:val="000D248B"/>
    <w:rsid w:val="000E41EC"/>
    <w:rsid w:val="000E46B2"/>
    <w:rsid w:val="000E7EC1"/>
    <w:rsid w:val="000F2B19"/>
    <w:rsid w:val="000F38A5"/>
    <w:rsid w:val="000F4A81"/>
    <w:rsid w:val="000F780C"/>
    <w:rsid w:val="001126DB"/>
    <w:rsid w:val="00120BAC"/>
    <w:rsid w:val="00121C05"/>
    <w:rsid w:val="0012538E"/>
    <w:rsid w:val="001368F3"/>
    <w:rsid w:val="00137D77"/>
    <w:rsid w:val="00145486"/>
    <w:rsid w:val="00151097"/>
    <w:rsid w:val="0016065C"/>
    <w:rsid w:val="00165E81"/>
    <w:rsid w:val="00176174"/>
    <w:rsid w:val="001838DC"/>
    <w:rsid w:val="0018459C"/>
    <w:rsid w:val="001972FD"/>
    <w:rsid w:val="001A3F85"/>
    <w:rsid w:val="001A404A"/>
    <w:rsid w:val="001A7EE7"/>
    <w:rsid w:val="001B37A0"/>
    <w:rsid w:val="001B575A"/>
    <w:rsid w:val="001C5C35"/>
    <w:rsid w:val="001D1ABB"/>
    <w:rsid w:val="001D2F2C"/>
    <w:rsid w:val="001E0032"/>
    <w:rsid w:val="001E1D7E"/>
    <w:rsid w:val="001F127C"/>
    <w:rsid w:val="001F3BEE"/>
    <w:rsid w:val="002036E0"/>
    <w:rsid w:val="00221A24"/>
    <w:rsid w:val="00221E0D"/>
    <w:rsid w:val="00222EB2"/>
    <w:rsid w:val="0024431F"/>
    <w:rsid w:val="00254FF0"/>
    <w:rsid w:val="00255E30"/>
    <w:rsid w:val="00255FFA"/>
    <w:rsid w:val="00262CA2"/>
    <w:rsid w:val="002639DA"/>
    <w:rsid w:val="0026480B"/>
    <w:rsid w:val="00264B4C"/>
    <w:rsid w:val="00264F18"/>
    <w:rsid w:val="00275172"/>
    <w:rsid w:val="00276DAA"/>
    <w:rsid w:val="0027777D"/>
    <w:rsid w:val="00277EBD"/>
    <w:rsid w:val="00280772"/>
    <w:rsid w:val="00285B12"/>
    <w:rsid w:val="00287779"/>
    <w:rsid w:val="00295294"/>
    <w:rsid w:val="002A20DC"/>
    <w:rsid w:val="002A575B"/>
    <w:rsid w:val="002A5BAA"/>
    <w:rsid w:val="002A69A9"/>
    <w:rsid w:val="002A7A9A"/>
    <w:rsid w:val="002B2747"/>
    <w:rsid w:val="002B33B3"/>
    <w:rsid w:val="002B48F0"/>
    <w:rsid w:val="002C50B3"/>
    <w:rsid w:val="002D2CB0"/>
    <w:rsid w:val="002D3FE4"/>
    <w:rsid w:val="002D6ED5"/>
    <w:rsid w:val="002D6F51"/>
    <w:rsid w:val="002E0558"/>
    <w:rsid w:val="002E2B2C"/>
    <w:rsid w:val="002E3686"/>
    <w:rsid w:val="002E5F49"/>
    <w:rsid w:val="00300A52"/>
    <w:rsid w:val="0030352C"/>
    <w:rsid w:val="00306ECA"/>
    <w:rsid w:val="0031489E"/>
    <w:rsid w:val="00316104"/>
    <w:rsid w:val="003169FC"/>
    <w:rsid w:val="0031702A"/>
    <w:rsid w:val="003172F7"/>
    <w:rsid w:val="00317B87"/>
    <w:rsid w:val="003247AE"/>
    <w:rsid w:val="00327828"/>
    <w:rsid w:val="003359E0"/>
    <w:rsid w:val="00356019"/>
    <w:rsid w:val="0036570D"/>
    <w:rsid w:val="00390102"/>
    <w:rsid w:val="00391C97"/>
    <w:rsid w:val="003A3B0E"/>
    <w:rsid w:val="003A5E4A"/>
    <w:rsid w:val="003A7E00"/>
    <w:rsid w:val="003B01F0"/>
    <w:rsid w:val="003B163F"/>
    <w:rsid w:val="003D089B"/>
    <w:rsid w:val="003D1452"/>
    <w:rsid w:val="003D37AC"/>
    <w:rsid w:val="003E1231"/>
    <w:rsid w:val="003E3571"/>
    <w:rsid w:val="003E563F"/>
    <w:rsid w:val="003F0114"/>
    <w:rsid w:val="003F0D83"/>
    <w:rsid w:val="003F1576"/>
    <w:rsid w:val="003F293F"/>
    <w:rsid w:val="003F2C4A"/>
    <w:rsid w:val="003F517D"/>
    <w:rsid w:val="003F70EA"/>
    <w:rsid w:val="004059B0"/>
    <w:rsid w:val="00406F3F"/>
    <w:rsid w:val="00410D4A"/>
    <w:rsid w:val="0041201A"/>
    <w:rsid w:val="004122C9"/>
    <w:rsid w:val="00416988"/>
    <w:rsid w:val="0042516F"/>
    <w:rsid w:val="00430619"/>
    <w:rsid w:val="00442E77"/>
    <w:rsid w:val="00444506"/>
    <w:rsid w:val="00452B8E"/>
    <w:rsid w:val="00461717"/>
    <w:rsid w:val="004739A4"/>
    <w:rsid w:val="004766AC"/>
    <w:rsid w:val="00481A34"/>
    <w:rsid w:val="00486AFF"/>
    <w:rsid w:val="00492A6A"/>
    <w:rsid w:val="004B5034"/>
    <w:rsid w:val="004B726C"/>
    <w:rsid w:val="004C269A"/>
    <w:rsid w:val="004C2AAB"/>
    <w:rsid w:val="004C4950"/>
    <w:rsid w:val="004C5694"/>
    <w:rsid w:val="004D0DD1"/>
    <w:rsid w:val="004D6791"/>
    <w:rsid w:val="004E0B0C"/>
    <w:rsid w:val="004E3355"/>
    <w:rsid w:val="004F09B1"/>
    <w:rsid w:val="00500A13"/>
    <w:rsid w:val="00504BD6"/>
    <w:rsid w:val="00505443"/>
    <w:rsid w:val="00510D7F"/>
    <w:rsid w:val="00512BFA"/>
    <w:rsid w:val="005134C0"/>
    <w:rsid w:val="0053230F"/>
    <w:rsid w:val="00533D77"/>
    <w:rsid w:val="005351CA"/>
    <w:rsid w:val="005355EE"/>
    <w:rsid w:val="00535EA6"/>
    <w:rsid w:val="0054246D"/>
    <w:rsid w:val="00544E79"/>
    <w:rsid w:val="00557232"/>
    <w:rsid w:val="0057279B"/>
    <w:rsid w:val="00572987"/>
    <w:rsid w:val="00581368"/>
    <w:rsid w:val="00583AE5"/>
    <w:rsid w:val="005923BA"/>
    <w:rsid w:val="005C3423"/>
    <w:rsid w:val="005C6007"/>
    <w:rsid w:val="005D01BC"/>
    <w:rsid w:val="005D70A9"/>
    <w:rsid w:val="005E01FC"/>
    <w:rsid w:val="005F1C42"/>
    <w:rsid w:val="005F3F2A"/>
    <w:rsid w:val="005F6735"/>
    <w:rsid w:val="00600AB3"/>
    <w:rsid w:val="00601569"/>
    <w:rsid w:val="006042DC"/>
    <w:rsid w:val="00605236"/>
    <w:rsid w:val="0060633F"/>
    <w:rsid w:val="00622EE2"/>
    <w:rsid w:val="00625DDD"/>
    <w:rsid w:val="006264BA"/>
    <w:rsid w:val="00632D04"/>
    <w:rsid w:val="00640053"/>
    <w:rsid w:val="0064705F"/>
    <w:rsid w:val="0065320C"/>
    <w:rsid w:val="00656801"/>
    <w:rsid w:val="00660032"/>
    <w:rsid w:val="00665558"/>
    <w:rsid w:val="00672962"/>
    <w:rsid w:val="006767A1"/>
    <w:rsid w:val="00681F58"/>
    <w:rsid w:val="0068365C"/>
    <w:rsid w:val="00685703"/>
    <w:rsid w:val="00690478"/>
    <w:rsid w:val="006958CB"/>
    <w:rsid w:val="006A05CB"/>
    <w:rsid w:val="006A2A37"/>
    <w:rsid w:val="006A36B9"/>
    <w:rsid w:val="006A41A4"/>
    <w:rsid w:val="006A6D87"/>
    <w:rsid w:val="006B3C4A"/>
    <w:rsid w:val="006B40BE"/>
    <w:rsid w:val="006B552C"/>
    <w:rsid w:val="006D2E75"/>
    <w:rsid w:val="006E2DB4"/>
    <w:rsid w:val="006E5037"/>
    <w:rsid w:val="006E5936"/>
    <w:rsid w:val="006E673D"/>
    <w:rsid w:val="006E747E"/>
    <w:rsid w:val="006F3FD1"/>
    <w:rsid w:val="006F6AEF"/>
    <w:rsid w:val="00704050"/>
    <w:rsid w:val="00710C69"/>
    <w:rsid w:val="007136EA"/>
    <w:rsid w:val="007167C1"/>
    <w:rsid w:val="00720BD1"/>
    <w:rsid w:val="00723BCE"/>
    <w:rsid w:val="00726718"/>
    <w:rsid w:val="00735BAF"/>
    <w:rsid w:val="00743C2A"/>
    <w:rsid w:val="00745559"/>
    <w:rsid w:val="007507E1"/>
    <w:rsid w:val="0075113A"/>
    <w:rsid w:val="00764D14"/>
    <w:rsid w:val="00773EED"/>
    <w:rsid w:val="00775779"/>
    <w:rsid w:val="00776A2F"/>
    <w:rsid w:val="0078129C"/>
    <w:rsid w:val="00793033"/>
    <w:rsid w:val="007A2C78"/>
    <w:rsid w:val="007A4C23"/>
    <w:rsid w:val="007A4E08"/>
    <w:rsid w:val="007B0BB7"/>
    <w:rsid w:val="007B188F"/>
    <w:rsid w:val="007E1660"/>
    <w:rsid w:val="007E228B"/>
    <w:rsid w:val="007E33D3"/>
    <w:rsid w:val="007E39A2"/>
    <w:rsid w:val="007E5629"/>
    <w:rsid w:val="007E5633"/>
    <w:rsid w:val="007E6433"/>
    <w:rsid w:val="007F24F2"/>
    <w:rsid w:val="007F5C8A"/>
    <w:rsid w:val="00811D5C"/>
    <w:rsid w:val="00814E50"/>
    <w:rsid w:val="0082436C"/>
    <w:rsid w:val="0082462F"/>
    <w:rsid w:val="008247D6"/>
    <w:rsid w:val="00824B4E"/>
    <w:rsid w:val="00825B9B"/>
    <w:rsid w:val="00835D7D"/>
    <w:rsid w:val="00846970"/>
    <w:rsid w:val="008504CB"/>
    <w:rsid w:val="008519E7"/>
    <w:rsid w:val="00852494"/>
    <w:rsid w:val="00864AFF"/>
    <w:rsid w:val="00865AAE"/>
    <w:rsid w:val="00891AF5"/>
    <w:rsid w:val="00895CBB"/>
    <w:rsid w:val="008A3618"/>
    <w:rsid w:val="008A54D8"/>
    <w:rsid w:val="008B1ECB"/>
    <w:rsid w:val="008B6474"/>
    <w:rsid w:val="008C252E"/>
    <w:rsid w:val="008C38AF"/>
    <w:rsid w:val="008C3CEA"/>
    <w:rsid w:val="008D712B"/>
    <w:rsid w:val="008E0F72"/>
    <w:rsid w:val="008E3AEF"/>
    <w:rsid w:val="008E4751"/>
    <w:rsid w:val="008E7E4D"/>
    <w:rsid w:val="008F1374"/>
    <w:rsid w:val="008F44DB"/>
    <w:rsid w:val="008F6056"/>
    <w:rsid w:val="009020FA"/>
    <w:rsid w:val="00905739"/>
    <w:rsid w:val="00906812"/>
    <w:rsid w:val="00907545"/>
    <w:rsid w:val="00912D9A"/>
    <w:rsid w:val="009168D1"/>
    <w:rsid w:val="0092175C"/>
    <w:rsid w:val="00925054"/>
    <w:rsid w:val="00926A3C"/>
    <w:rsid w:val="00926ACA"/>
    <w:rsid w:val="00930351"/>
    <w:rsid w:val="009416F7"/>
    <w:rsid w:val="00941D3A"/>
    <w:rsid w:val="00942BD1"/>
    <w:rsid w:val="00953586"/>
    <w:rsid w:val="009556A3"/>
    <w:rsid w:val="00955DCF"/>
    <w:rsid w:val="009676DF"/>
    <w:rsid w:val="00972935"/>
    <w:rsid w:val="00974662"/>
    <w:rsid w:val="009773A1"/>
    <w:rsid w:val="00982A14"/>
    <w:rsid w:val="00982AA3"/>
    <w:rsid w:val="0098457A"/>
    <w:rsid w:val="00990F54"/>
    <w:rsid w:val="00993A79"/>
    <w:rsid w:val="00994866"/>
    <w:rsid w:val="00994D45"/>
    <w:rsid w:val="009A0F0A"/>
    <w:rsid w:val="009A4011"/>
    <w:rsid w:val="009A6E7C"/>
    <w:rsid w:val="009A79BD"/>
    <w:rsid w:val="009B20AF"/>
    <w:rsid w:val="009C01A5"/>
    <w:rsid w:val="009E1045"/>
    <w:rsid w:val="009E1F36"/>
    <w:rsid w:val="009E776C"/>
    <w:rsid w:val="009F5D34"/>
    <w:rsid w:val="00A046FD"/>
    <w:rsid w:val="00A04CFF"/>
    <w:rsid w:val="00A0662A"/>
    <w:rsid w:val="00A127C2"/>
    <w:rsid w:val="00A12972"/>
    <w:rsid w:val="00A31FDA"/>
    <w:rsid w:val="00A32DB4"/>
    <w:rsid w:val="00A340A7"/>
    <w:rsid w:val="00A34EA4"/>
    <w:rsid w:val="00A3511B"/>
    <w:rsid w:val="00A356D8"/>
    <w:rsid w:val="00A3745B"/>
    <w:rsid w:val="00A40941"/>
    <w:rsid w:val="00A439D8"/>
    <w:rsid w:val="00A44CF0"/>
    <w:rsid w:val="00A46A82"/>
    <w:rsid w:val="00A473E5"/>
    <w:rsid w:val="00A47B88"/>
    <w:rsid w:val="00A607D0"/>
    <w:rsid w:val="00A61BEE"/>
    <w:rsid w:val="00A6241E"/>
    <w:rsid w:val="00A640A9"/>
    <w:rsid w:val="00A66F30"/>
    <w:rsid w:val="00A804FF"/>
    <w:rsid w:val="00A81811"/>
    <w:rsid w:val="00A91C86"/>
    <w:rsid w:val="00A95EE1"/>
    <w:rsid w:val="00AA3830"/>
    <w:rsid w:val="00AA5267"/>
    <w:rsid w:val="00AA7E47"/>
    <w:rsid w:val="00AC2E4C"/>
    <w:rsid w:val="00AC669B"/>
    <w:rsid w:val="00AC66D9"/>
    <w:rsid w:val="00AE1ED6"/>
    <w:rsid w:val="00AF1DDA"/>
    <w:rsid w:val="00AF6FFD"/>
    <w:rsid w:val="00B0072F"/>
    <w:rsid w:val="00B00B83"/>
    <w:rsid w:val="00B052E8"/>
    <w:rsid w:val="00B07C4C"/>
    <w:rsid w:val="00B11E7B"/>
    <w:rsid w:val="00B21F08"/>
    <w:rsid w:val="00B22206"/>
    <w:rsid w:val="00B23451"/>
    <w:rsid w:val="00B25E05"/>
    <w:rsid w:val="00B26D1C"/>
    <w:rsid w:val="00B26FDE"/>
    <w:rsid w:val="00B4073F"/>
    <w:rsid w:val="00B40988"/>
    <w:rsid w:val="00B41680"/>
    <w:rsid w:val="00B4443D"/>
    <w:rsid w:val="00B450BD"/>
    <w:rsid w:val="00B47F84"/>
    <w:rsid w:val="00B5132B"/>
    <w:rsid w:val="00B518C7"/>
    <w:rsid w:val="00B522A4"/>
    <w:rsid w:val="00B52444"/>
    <w:rsid w:val="00B56599"/>
    <w:rsid w:val="00B83D6C"/>
    <w:rsid w:val="00B93AB1"/>
    <w:rsid w:val="00BA71F3"/>
    <w:rsid w:val="00BB2B68"/>
    <w:rsid w:val="00BB31CD"/>
    <w:rsid w:val="00BB4664"/>
    <w:rsid w:val="00BC0772"/>
    <w:rsid w:val="00BC129B"/>
    <w:rsid w:val="00BD153C"/>
    <w:rsid w:val="00BD730B"/>
    <w:rsid w:val="00BE195C"/>
    <w:rsid w:val="00BE4D8C"/>
    <w:rsid w:val="00BE7E8C"/>
    <w:rsid w:val="00C01A4E"/>
    <w:rsid w:val="00C01C7C"/>
    <w:rsid w:val="00C13796"/>
    <w:rsid w:val="00C27FE0"/>
    <w:rsid w:val="00C313D0"/>
    <w:rsid w:val="00C32C79"/>
    <w:rsid w:val="00C34F98"/>
    <w:rsid w:val="00C4301F"/>
    <w:rsid w:val="00C45EC5"/>
    <w:rsid w:val="00C52F31"/>
    <w:rsid w:val="00C55129"/>
    <w:rsid w:val="00C605F0"/>
    <w:rsid w:val="00C7039B"/>
    <w:rsid w:val="00C83413"/>
    <w:rsid w:val="00C842B6"/>
    <w:rsid w:val="00C93588"/>
    <w:rsid w:val="00CA2917"/>
    <w:rsid w:val="00CA3DE4"/>
    <w:rsid w:val="00CA4AB9"/>
    <w:rsid w:val="00CB01B3"/>
    <w:rsid w:val="00CB226A"/>
    <w:rsid w:val="00CB4870"/>
    <w:rsid w:val="00CB4B9C"/>
    <w:rsid w:val="00CD23F7"/>
    <w:rsid w:val="00CD2F62"/>
    <w:rsid w:val="00CD517E"/>
    <w:rsid w:val="00CD59FC"/>
    <w:rsid w:val="00CE24C9"/>
    <w:rsid w:val="00CE48DC"/>
    <w:rsid w:val="00CE63A8"/>
    <w:rsid w:val="00D028CA"/>
    <w:rsid w:val="00D25E38"/>
    <w:rsid w:val="00D269A0"/>
    <w:rsid w:val="00D3002F"/>
    <w:rsid w:val="00D342CF"/>
    <w:rsid w:val="00D36649"/>
    <w:rsid w:val="00D37153"/>
    <w:rsid w:val="00D37FA1"/>
    <w:rsid w:val="00D50C5D"/>
    <w:rsid w:val="00D52786"/>
    <w:rsid w:val="00D55092"/>
    <w:rsid w:val="00D55540"/>
    <w:rsid w:val="00D65E68"/>
    <w:rsid w:val="00D668B0"/>
    <w:rsid w:val="00D72FA5"/>
    <w:rsid w:val="00D75719"/>
    <w:rsid w:val="00D80663"/>
    <w:rsid w:val="00D826B2"/>
    <w:rsid w:val="00DA09EF"/>
    <w:rsid w:val="00DA1338"/>
    <w:rsid w:val="00DA6587"/>
    <w:rsid w:val="00DB05C3"/>
    <w:rsid w:val="00DE395F"/>
    <w:rsid w:val="00DE516D"/>
    <w:rsid w:val="00DF6CD4"/>
    <w:rsid w:val="00E04052"/>
    <w:rsid w:val="00E1025F"/>
    <w:rsid w:val="00E13A4F"/>
    <w:rsid w:val="00E229CA"/>
    <w:rsid w:val="00E31255"/>
    <w:rsid w:val="00E400B5"/>
    <w:rsid w:val="00E4309C"/>
    <w:rsid w:val="00E43322"/>
    <w:rsid w:val="00E45FA6"/>
    <w:rsid w:val="00E470EA"/>
    <w:rsid w:val="00E47F4D"/>
    <w:rsid w:val="00E6290A"/>
    <w:rsid w:val="00E703B2"/>
    <w:rsid w:val="00E80FB7"/>
    <w:rsid w:val="00E83A39"/>
    <w:rsid w:val="00E84498"/>
    <w:rsid w:val="00E86F0F"/>
    <w:rsid w:val="00E90272"/>
    <w:rsid w:val="00E959D1"/>
    <w:rsid w:val="00E9729C"/>
    <w:rsid w:val="00EA2489"/>
    <w:rsid w:val="00EA53D3"/>
    <w:rsid w:val="00EB1014"/>
    <w:rsid w:val="00EB5315"/>
    <w:rsid w:val="00EC4C11"/>
    <w:rsid w:val="00EC6B00"/>
    <w:rsid w:val="00ED321E"/>
    <w:rsid w:val="00ED4B45"/>
    <w:rsid w:val="00ED710C"/>
    <w:rsid w:val="00EE3D21"/>
    <w:rsid w:val="00EF55F9"/>
    <w:rsid w:val="00EF5C5E"/>
    <w:rsid w:val="00F0004D"/>
    <w:rsid w:val="00F07773"/>
    <w:rsid w:val="00F17427"/>
    <w:rsid w:val="00F204D7"/>
    <w:rsid w:val="00F21C38"/>
    <w:rsid w:val="00F2582F"/>
    <w:rsid w:val="00F25EE5"/>
    <w:rsid w:val="00F27491"/>
    <w:rsid w:val="00F304CF"/>
    <w:rsid w:val="00F340C3"/>
    <w:rsid w:val="00F35712"/>
    <w:rsid w:val="00F40998"/>
    <w:rsid w:val="00F43976"/>
    <w:rsid w:val="00F46E60"/>
    <w:rsid w:val="00F54B60"/>
    <w:rsid w:val="00F61E5D"/>
    <w:rsid w:val="00F661CC"/>
    <w:rsid w:val="00F667C1"/>
    <w:rsid w:val="00F67B9E"/>
    <w:rsid w:val="00F67F3B"/>
    <w:rsid w:val="00F71F60"/>
    <w:rsid w:val="00F759F3"/>
    <w:rsid w:val="00F774FF"/>
    <w:rsid w:val="00F8244D"/>
    <w:rsid w:val="00F82942"/>
    <w:rsid w:val="00F84961"/>
    <w:rsid w:val="00F925AB"/>
    <w:rsid w:val="00F966A5"/>
    <w:rsid w:val="00F96AD9"/>
    <w:rsid w:val="00FA15CD"/>
    <w:rsid w:val="00FA1A83"/>
    <w:rsid w:val="00FA7B75"/>
    <w:rsid w:val="00FB2319"/>
    <w:rsid w:val="00FB67F1"/>
    <w:rsid w:val="00FC1080"/>
    <w:rsid w:val="00FD6BA5"/>
    <w:rsid w:val="00FE11E7"/>
    <w:rsid w:val="00FE36D0"/>
    <w:rsid w:val="00FE3786"/>
    <w:rsid w:val="00FF0726"/>
    <w:rsid w:val="00FF19DC"/>
    <w:rsid w:val="00FF6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035A5"/>
  <w15:docId w15:val="{2D63F82C-4FF0-4AC8-9952-3D75ABD4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lang w:val="fr-BE"/>
    </w:rPr>
  </w:style>
  <w:style w:type="paragraph" w:styleId="1">
    <w:name w:val="heading 1"/>
    <w:basedOn w:val="a"/>
    <w:next w:val="a"/>
    <w:link w:val="10"/>
    <w:uiPriority w:val="9"/>
    <w:qFormat/>
    <w:rsid w:val="00050E30"/>
    <w:pPr>
      <w:keepNext/>
      <w:numPr>
        <w:numId w:val="8"/>
      </w:numPr>
      <w:suppressAutoHyphens w:val="0"/>
      <w:autoSpaceDN/>
      <w:spacing w:before="240" w:after="60" w:line="276" w:lineRule="auto"/>
      <w:textAlignment w:val="auto"/>
      <w:outlineLvl w:val="0"/>
    </w:pPr>
    <w:rPr>
      <w:rFonts w:ascii="Calibri Light" w:eastAsia="Times New Roman" w:hAnsi="Calibri Light"/>
      <w:b/>
      <w:bCs/>
      <w:kern w:val="32"/>
      <w:sz w:val="32"/>
      <w:szCs w:val="32"/>
      <w:lang w:val="en-US"/>
    </w:rPr>
  </w:style>
  <w:style w:type="paragraph" w:styleId="2">
    <w:name w:val="heading 2"/>
    <w:basedOn w:val="a"/>
    <w:uiPriority w:val="9"/>
    <w:qFormat/>
    <w:pPr>
      <w:widowControl w:val="0"/>
      <w:numPr>
        <w:ilvl w:val="1"/>
        <w:numId w:val="8"/>
      </w:numPr>
      <w:autoSpaceDE w:val="0"/>
      <w:spacing w:after="0" w:line="240" w:lineRule="auto"/>
      <w:jc w:val="both"/>
      <w:outlineLvl w:val="1"/>
    </w:pPr>
    <w:rPr>
      <w:rFonts w:ascii="Arial" w:eastAsia="Arial" w:hAnsi="Arial" w:cs="Arial"/>
      <w:b/>
      <w:bCs/>
      <w:lang w:val="en-US" w:bidi="en-US"/>
    </w:rPr>
  </w:style>
  <w:style w:type="paragraph" w:styleId="3">
    <w:name w:val="heading 3"/>
    <w:basedOn w:val="a"/>
    <w:next w:val="a"/>
    <w:link w:val="30"/>
    <w:uiPriority w:val="9"/>
    <w:unhideWhenUsed/>
    <w:qFormat/>
    <w:rsid w:val="00050E30"/>
    <w:pPr>
      <w:keepNext/>
      <w:numPr>
        <w:ilvl w:val="2"/>
        <w:numId w:val="8"/>
      </w:numPr>
      <w:suppressAutoHyphens w:val="0"/>
      <w:autoSpaceDN/>
      <w:spacing w:before="240" w:after="60" w:line="276" w:lineRule="auto"/>
      <w:textAlignment w:val="auto"/>
      <w:outlineLvl w:val="2"/>
    </w:pPr>
    <w:rPr>
      <w:rFonts w:ascii="Cambria" w:eastAsia="Times New Roman" w:hAnsi="Cambria"/>
      <w:b/>
      <w:bCs/>
      <w:sz w:val="26"/>
      <w:szCs w:val="26"/>
      <w:lang w:val="en-US"/>
    </w:rPr>
  </w:style>
  <w:style w:type="paragraph" w:styleId="4">
    <w:name w:val="heading 4"/>
    <w:basedOn w:val="a"/>
    <w:next w:val="a"/>
    <w:link w:val="40"/>
    <w:uiPriority w:val="9"/>
    <w:unhideWhenUsed/>
    <w:qFormat/>
    <w:rsid w:val="00050E30"/>
    <w:pPr>
      <w:keepNext/>
      <w:numPr>
        <w:ilvl w:val="3"/>
        <w:numId w:val="8"/>
      </w:numPr>
      <w:suppressAutoHyphens w:val="0"/>
      <w:autoSpaceDN/>
      <w:spacing w:before="240" w:after="60" w:line="276" w:lineRule="auto"/>
      <w:textAlignment w:val="auto"/>
      <w:outlineLvl w:val="3"/>
    </w:pPr>
    <w:rPr>
      <w:rFonts w:eastAsia="Times New Roman"/>
      <w:b/>
      <w:bCs/>
      <w:sz w:val="28"/>
      <w:szCs w:val="28"/>
      <w:lang w:val="en-US"/>
    </w:rPr>
  </w:style>
  <w:style w:type="paragraph" w:styleId="5">
    <w:name w:val="heading 5"/>
    <w:basedOn w:val="a"/>
    <w:next w:val="a"/>
    <w:link w:val="50"/>
    <w:uiPriority w:val="9"/>
    <w:semiHidden/>
    <w:unhideWhenUsed/>
    <w:qFormat/>
    <w:rsid w:val="00A61BEE"/>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2436C"/>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2436C"/>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2436C"/>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2436C"/>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0E30"/>
    <w:rPr>
      <w:rFonts w:ascii="Calibri Light" w:eastAsia="Times New Roman" w:hAnsi="Calibri Light"/>
      <w:b/>
      <w:bCs/>
      <w:kern w:val="32"/>
      <w:sz w:val="32"/>
      <w:szCs w:val="32"/>
      <w:lang w:val="en-US"/>
    </w:rPr>
  </w:style>
  <w:style w:type="character" w:customStyle="1" w:styleId="30">
    <w:name w:val="Заголовок 3 Знак"/>
    <w:basedOn w:val="a0"/>
    <w:link w:val="3"/>
    <w:uiPriority w:val="9"/>
    <w:rsid w:val="00050E30"/>
    <w:rPr>
      <w:rFonts w:ascii="Cambria" w:eastAsia="Times New Roman" w:hAnsi="Cambria"/>
      <w:b/>
      <w:bCs/>
      <w:sz w:val="26"/>
      <w:szCs w:val="26"/>
      <w:lang w:val="en-US"/>
    </w:rPr>
  </w:style>
  <w:style w:type="character" w:customStyle="1" w:styleId="40">
    <w:name w:val="Заголовок 4 Знак"/>
    <w:basedOn w:val="a0"/>
    <w:link w:val="4"/>
    <w:uiPriority w:val="9"/>
    <w:rsid w:val="00050E30"/>
    <w:rPr>
      <w:rFonts w:eastAsia="Times New Roman"/>
      <w:b/>
      <w:bCs/>
      <w:sz w:val="28"/>
      <w:szCs w:val="28"/>
      <w:lang w:val="en-US"/>
    </w:rPr>
  </w:style>
  <w:style w:type="character" w:customStyle="1" w:styleId="Heading2Char">
    <w:name w:val="Heading 2 Char"/>
    <w:basedOn w:val="a0"/>
    <w:uiPriority w:val="9"/>
    <w:rPr>
      <w:rFonts w:ascii="Arial" w:eastAsia="Arial" w:hAnsi="Arial" w:cs="Arial"/>
      <w:b/>
      <w:bCs/>
      <w:lang w:val="en-US" w:bidi="en-US"/>
    </w:rPr>
  </w:style>
  <w:style w:type="paragraph" w:styleId="a3">
    <w:name w:val="Body Text"/>
    <w:basedOn w:val="a"/>
    <w:uiPriority w:val="1"/>
    <w:qFormat/>
    <w:pPr>
      <w:widowControl w:val="0"/>
      <w:autoSpaceDE w:val="0"/>
      <w:spacing w:after="0" w:line="240" w:lineRule="auto"/>
    </w:pPr>
    <w:rPr>
      <w:rFonts w:ascii="Arial" w:eastAsia="Arial" w:hAnsi="Arial" w:cs="Arial"/>
      <w:sz w:val="20"/>
      <w:szCs w:val="20"/>
      <w:lang w:val="en-US" w:bidi="en-US"/>
    </w:rPr>
  </w:style>
  <w:style w:type="character" w:customStyle="1" w:styleId="BodyTextChar">
    <w:name w:val="Body Text Char"/>
    <w:basedOn w:val="a0"/>
    <w:uiPriority w:val="1"/>
    <w:rPr>
      <w:rFonts w:ascii="Arial" w:eastAsia="Arial" w:hAnsi="Arial" w:cs="Arial"/>
      <w:sz w:val="20"/>
      <w:szCs w:val="20"/>
      <w:lang w:val="en-US" w:bidi="en-US"/>
    </w:rPr>
  </w:style>
  <w:style w:type="paragraph" w:styleId="a4">
    <w:name w:val="List Paragraph"/>
    <w:basedOn w:val="a"/>
    <w:link w:val="a5"/>
    <w:uiPriority w:val="34"/>
    <w:qFormat/>
    <w:pPr>
      <w:ind w:left="720"/>
    </w:pPr>
  </w:style>
  <w:style w:type="character" w:customStyle="1" w:styleId="a5">
    <w:name w:val="Абзац списка Знак"/>
    <w:link w:val="a4"/>
    <w:rsid w:val="00050E30"/>
    <w:rPr>
      <w:lang w:val="fr-BE"/>
    </w:rPr>
  </w:style>
  <w:style w:type="paragraph" w:styleId="a6">
    <w:name w:val="header"/>
    <w:basedOn w:val="a"/>
    <w:uiPriority w:val="99"/>
    <w:pPr>
      <w:tabs>
        <w:tab w:val="center" w:pos="4513"/>
        <w:tab w:val="right" w:pos="9026"/>
      </w:tabs>
      <w:spacing w:after="0" w:line="240" w:lineRule="auto"/>
    </w:pPr>
  </w:style>
  <w:style w:type="character" w:customStyle="1" w:styleId="HeaderChar">
    <w:name w:val="Header Char"/>
    <w:basedOn w:val="a0"/>
    <w:uiPriority w:val="99"/>
    <w:rPr>
      <w:lang w:val="fr-BE"/>
    </w:rPr>
  </w:style>
  <w:style w:type="paragraph" w:styleId="a7">
    <w:name w:val="footer"/>
    <w:basedOn w:val="a"/>
    <w:uiPriority w:val="99"/>
    <w:pPr>
      <w:tabs>
        <w:tab w:val="center" w:pos="4513"/>
        <w:tab w:val="right" w:pos="9026"/>
      </w:tabs>
      <w:spacing w:after="0" w:line="240" w:lineRule="auto"/>
    </w:pPr>
  </w:style>
  <w:style w:type="character" w:customStyle="1" w:styleId="FooterChar">
    <w:name w:val="Footer Char"/>
    <w:basedOn w:val="a0"/>
    <w:uiPriority w:val="99"/>
    <w:rPr>
      <w:lang w:val="fr-BE"/>
    </w:rPr>
  </w:style>
  <w:style w:type="character" w:customStyle="1" w:styleId="CommentReference1">
    <w:name w:val="Comment Reference1"/>
    <w:basedOn w:val="a0"/>
    <w:rPr>
      <w:sz w:val="16"/>
      <w:szCs w:val="16"/>
    </w:rPr>
  </w:style>
  <w:style w:type="paragraph" w:customStyle="1" w:styleId="CommentText1">
    <w:name w:val="Comment Text1"/>
    <w:basedOn w:val="a"/>
    <w:pPr>
      <w:spacing w:line="240" w:lineRule="auto"/>
    </w:pPr>
    <w:rPr>
      <w:sz w:val="20"/>
      <w:szCs w:val="20"/>
    </w:rPr>
  </w:style>
  <w:style w:type="character" w:customStyle="1" w:styleId="CommentTextChar">
    <w:name w:val="Comment Text Char"/>
    <w:basedOn w:val="a0"/>
    <w:uiPriority w:val="99"/>
    <w:rPr>
      <w:sz w:val="20"/>
      <w:szCs w:val="20"/>
      <w:lang w:val="fr-BE"/>
    </w:rPr>
  </w:style>
  <w:style w:type="paragraph" w:customStyle="1" w:styleId="CommentSubject1">
    <w:name w:val="Comment Subject1"/>
    <w:basedOn w:val="CommentText1"/>
    <w:next w:val="CommentText1"/>
    <w:rPr>
      <w:b/>
      <w:bCs/>
    </w:rPr>
  </w:style>
  <w:style w:type="character" w:customStyle="1" w:styleId="CommentSubjectChar">
    <w:name w:val="Comment Subject Char"/>
    <w:basedOn w:val="CommentTextChar"/>
    <w:uiPriority w:val="99"/>
    <w:rPr>
      <w:b/>
      <w:bCs/>
      <w:sz w:val="20"/>
      <w:szCs w:val="20"/>
      <w:lang w:val="fr-BE"/>
    </w:rPr>
  </w:style>
  <w:style w:type="paragraph" w:styleId="a8">
    <w:name w:val="Balloon Text"/>
    <w:basedOn w:val="a"/>
    <w:uiPriority w:val="99"/>
    <w:pPr>
      <w:spacing w:after="0" w:line="240" w:lineRule="auto"/>
    </w:pPr>
    <w:rPr>
      <w:rFonts w:ascii="Segoe UI" w:hAnsi="Segoe UI" w:cs="Segoe UI"/>
      <w:sz w:val="18"/>
      <w:szCs w:val="18"/>
    </w:rPr>
  </w:style>
  <w:style w:type="character" w:customStyle="1" w:styleId="BalloonTextChar">
    <w:name w:val="Balloon Text Char"/>
    <w:basedOn w:val="a0"/>
    <w:uiPriority w:val="99"/>
    <w:rPr>
      <w:rFonts w:ascii="Segoe UI" w:hAnsi="Segoe UI" w:cs="Segoe UI"/>
      <w:sz w:val="18"/>
      <w:szCs w:val="18"/>
      <w:lang w:val="fr-BE"/>
    </w:rPr>
  </w:style>
  <w:style w:type="paragraph" w:styleId="a9">
    <w:name w:val="footnote text"/>
    <w:basedOn w:val="a"/>
    <w:uiPriority w:val="99"/>
    <w:pPr>
      <w:spacing w:after="0" w:line="240" w:lineRule="auto"/>
    </w:pPr>
    <w:rPr>
      <w:sz w:val="20"/>
      <w:szCs w:val="20"/>
    </w:rPr>
  </w:style>
  <w:style w:type="character" w:customStyle="1" w:styleId="FootnoteTextChar">
    <w:name w:val="Footnote Text Char"/>
    <w:basedOn w:val="a0"/>
    <w:uiPriority w:val="99"/>
    <w:rPr>
      <w:sz w:val="20"/>
      <w:szCs w:val="20"/>
      <w:lang w:val="fr-BE"/>
    </w:rPr>
  </w:style>
  <w:style w:type="character" w:styleId="aa">
    <w:name w:val="footnote reference"/>
    <w:aliases w:val="Appel note de bas de p"/>
    <w:basedOn w:val="a0"/>
    <w:uiPriority w:val="99"/>
    <w:rPr>
      <w:position w:val="0"/>
      <w:vertAlign w:val="superscript"/>
    </w:rPr>
  </w:style>
  <w:style w:type="character" w:styleId="ab">
    <w:name w:val="Hyperlink"/>
    <w:basedOn w:val="a0"/>
    <w:uiPriority w:val="99"/>
    <w:unhideWhenUsed/>
    <w:rsid w:val="002B2747"/>
    <w:rPr>
      <w:color w:val="0000FF" w:themeColor="hyperlink"/>
      <w:u w:val="single"/>
    </w:rPr>
  </w:style>
  <w:style w:type="paragraph" w:styleId="HTML">
    <w:name w:val="HTML Preformatted"/>
    <w:basedOn w:val="a"/>
    <w:link w:val="HTML0"/>
    <w:uiPriority w:val="99"/>
    <w:unhideWhenUsed/>
    <w:rsid w:val="006E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6E747E"/>
    <w:rPr>
      <w:rFonts w:ascii="Courier New" w:eastAsia="Times New Roman" w:hAnsi="Courier New" w:cs="Courier New"/>
      <w:sz w:val="20"/>
      <w:szCs w:val="20"/>
      <w:lang w:val="uk-UA" w:eastAsia="uk-UA"/>
    </w:rPr>
  </w:style>
  <w:style w:type="paragraph" w:customStyle="1" w:styleId="rvps2">
    <w:name w:val="rvps2"/>
    <w:basedOn w:val="a"/>
    <w:rsid w:val="0027517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uk-UA" w:eastAsia="uk-UA"/>
    </w:rPr>
  </w:style>
  <w:style w:type="character" w:customStyle="1" w:styleId="rvts9">
    <w:name w:val="rvts9"/>
    <w:basedOn w:val="a0"/>
    <w:rsid w:val="000704CA"/>
  </w:style>
  <w:style w:type="paragraph" w:customStyle="1" w:styleId="rvps14">
    <w:name w:val="rvps14"/>
    <w:basedOn w:val="a"/>
    <w:rsid w:val="00D25E3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uk-UA" w:eastAsia="uk-UA"/>
    </w:rPr>
  </w:style>
  <w:style w:type="character" w:customStyle="1" w:styleId="rvts46">
    <w:name w:val="rvts46"/>
    <w:basedOn w:val="a0"/>
    <w:rsid w:val="0031489E"/>
  </w:style>
  <w:style w:type="character" w:customStyle="1" w:styleId="rvts11">
    <w:name w:val="rvts11"/>
    <w:basedOn w:val="a0"/>
    <w:rsid w:val="0031489E"/>
  </w:style>
  <w:style w:type="character" w:styleId="ac">
    <w:name w:val="annotation reference"/>
    <w:basedOn w:val="a0"/>
    <w:uiPriority w:val="99"/>
    <w:unhideWhenUsed/>
    <w:rsid w:val="000E46B2"/>
    <w:rPr>
      <w:sz w:val="16"/>
      <w:szCs w:val="16"/>
    </w:rPr>
  </w:style>
  <w:style w:type="paragraph" w:styleId="ad">
    <w:name w:val="annotation text"/>
    <w:basedOn w:val="a"/>
    <w:link w:val="ae"/>
    <w:uiPriority w:val="99"/>
    <w:unhideWhenUsed/>
    <w:rsid w:val="000E46B2"/>
    <w:pPr>
      <w:spacing w:line="240" w:lineRule="auto"/>
    </w:pPr>
    <w:rPr>
      <w:sz w:val="20"/>
      <w:szCs w:val="20"/>
    </w:rPr>
  </w:style>
  <w:style w:type="character" w:customStyle="1" w:styleId="ae">
    <w:name w:val="Текст примечания Знак"/>
    <w:basedOn w:val="a0"/>
    <w:link w:val="ad"/>
    <w:uiPriority w:val="99"/>
    <w:rsid w:val="000E46B2"/>
    <w:rPr>
      <w:sz w:val="20"/>
      <w:szCs w:val="20"/>
      <w:lang w:val="fr-BE"/>
    </w:rPr>
  </w:style>
  <w:style w:type="paragraph" w:styleId="af">
    <w:name w:val="annotation subject"/>
    <w:basedOn w:val="ad"/>
    <w:next w:val="ad"/>
    <w:link w:val="af0"/>
    <w:uiPriority w:val="99"/>
    <w:semiHidden/>
    <w:unhideWhenUsed/>
    <w:rsid w:val="000E46B2"/>
    <w:rPr>
      <w:b/>
      <w:bCs/>
    </w:rPr>
  </w:style>
  <w:style w:type="character" w:customStyle="1" w:styleId="af0">
    <w:name w:val="Тема примечания Знак"/>
    <w:basedOn w:val="ae"/>
    <w:link w:val="af"/>
    <w:uiPriority w:val="99"/>
    <w:semiHidden/>
    <w:rsid w:val="000E46B2"/>
    <w:rPr>
      <w:b/>
      <w:bCs/>
      <w:sz w:val="20"/>
      <w:szCs w:val="20"/>
      <w:lang w:val="fr-BE"/>
    </w:rPr>
  </w:style>
  <w:style w:type="paragraph" w:customStyle="1" w:styleId="NormalGTP">
    <w:name w:val="Normal GTP"/>
    <w:basedOn w:val="a"/>
    <w:link w:val="NormalGTPChar"/>
    <w:qFormat/>
    <w:rsid w:val="00050E30"/>
    <w:pPr>
      <w:suppressAutoHyphens w:val="0"/>
      <w:autoSpaceDN/>
      <w:spacing w:before="120" w:after="120" w:line="276" w:lineRule="auto"/>
      <w:jc w:val="both"/>
      <w:textAlignment w:val="auto"/>
    </w:pPr>
    <w:rPr>
      <w:rFonts w:ascii="Arial" w:hAnsi="Arial"/>
      <w:noProof/>
      <w:sz w:val="20"/>
      <w:lang w:val="en-GB"/>
    </w:rPr>
  </w:style>
  <w:style w:type="character" w:customStyle="1" w:styleId="NormalGTPChar">
    <w:name w:val="Normal GTP Char"/>
    <w:link w:val="NormalGTP"/>
    <w:rsid w:val="00050E30"/>
    <w:rPr>
      <w:rFonts w:ascii="Arial" w:hAnsi="Arial"/>
      <w:noProof/>
      <w:sz w:val="20"/>
    </w:rPr>
  </w:style>
  <w:style w:type="paragraph" w:customStyle="1" w:styleId="1GTP">
    <w:name w:val="1. GTP"/>
    <w:basedOn w:val="a"/>
    <w:next w:val="NormalGTP"/>
    <w:qFormat/>
    <w:rsid w:val="00050E30"/>
    <w:pPr>
      <w:keepNext/>
      <w:keepLines/>
      <w:shd w:val="clear" w:color="auto" w:fill="FFFFFF"/>
      <w:tabs>
        <w:tab w:val="left" w:pos="426"/>
      </w:tabs>
      <w:suppressAutoHyphens w:val="0"/>
      <w:autoSpaceDN/>
      <w:spacing w:before="480" w:after="240" w:line="276" w:lineRule="auto"/>
      <w:textAlignment w:val="auto"/>
      <w:outlineLvl w:val="0"/>
    </w:pPr>
    <w:rPr>
      <w:rFonts w:ascii="Arial" w:eastAsia="Times New Roman" w:hAnsi="Arial"/>
      <w:b/>
      <w:bCs/>
      <w:caps/>
      <w:noProof/>
      <w:color w:val="0F243E"/>
      <w:sz w:val="32"/>
      <w:szCs w:val="28"/>
      <w:lang w:val="en-GB"/>
    </w:rPr>
  </w:style>
  <w:style w:type="paragraph" w:customStyle="1" w:styleId="11GTP">
    <w:name w:val="1.1 GTP"/>
    <w:basedOn w:val="a"/>
    <w:qFormat/>
    <w:rsid w:val="00050E30"/>
    <w:pPr>
      <w:keepNext/>
      <w:keepLines/>
      <w:suppressAutoHyphens w:val="0"/>
      <w:autoSpaceDN/>
      <w:spacing w:before="200" w:after="200" w:line="276" w:lineRule="auto"/>
      <w:ind w:left="432" w:hanging="432"/>
      <w:textAlignment w:val="auto"/>
    </w:pPr>
    <w:rPr>
      <w:rFonts w:ascii="Arial" w:eastAsia="Times New Roman" w:hAnsi="Arial"/>
      <w:b/>
      <w:bCs/>
      <w:noProof/>
      <w:color w:val="17365D"/>
      <w:sz w:val="32"/>
      <w:szCs w:val="26"/>
      <w:lang w:val="en-GB"/>
    </w:rPr>
  </w:style>
  <w:style w:type="paragraph" w:customStyle="1" w:styleId="111GTP">
    <w:name w:val="1.1.1 GTP"/>
    <w:basedOn w:val="a"/>
    <w:link w:val="111GTPChar"/>
    <w:qFormat/>
    <w:rsid w:val="00050E30"/>
    <w:pPr>
      <w:keepNext/>
      <w:keepLines/>
      <w:numPr>
        <w:ilvl w:val="2"/>
        <w:numId w:val="1"/>
      </w:numPr>
      <w:suppressAutoHyphens w:val="0"/>
      <w:autoSpaceDN/>
      <w:spacing w:before="200" w:after="200" w:line="276" w:lineRule="auto"/>
      <w:textAlignment w:val="auto"/>
    </w:pPr>
    <w:rPr>
      <w:rFonts w:ascii="Arial" w:eastAsia="Times New Roman" w:hAnsi="Arial"/>
      <w:b/>
      <w:bCs/>
      <w:noProof/>
      <w:color w:val="17365D"/>
      <w:sz w:val="32"/>
      <w:lang w:val="en-GB"/>
    </w:rPr>
  </w:style>
  <w:style w:type="character" w:customStyle="1" w:styleId="111GTPChar">
    <w:name w:val="1.1.1 GTP Char"/>
    <w:link w:val="111GTP"/>
    <w:rsid w:val="00050E30"/>
    <w:rPr>
      <w:rFonts w:ascii="Arial" w:eastAsia="Times New Roman" w:hAnsi="Arial"/>
      <w:b/>
      <w:bCs/>
      <w:noProof/>
      <w:color w:val="17365D"/>
      <w:sz w:val="32"/>
    </w:rPr>
  </w:style>
  <w:style w:type="paragraph" w:customStyle="1" w:styleId="BulletGTP0">
    <w:name w:val="Bullet GTP"/>
    <w:basedOn w:val="NormalGTP"/>
    <w:qFormat/>
    <w:rsid w:val="00050E30"/>
  </w:style>
  <w:style w:type="paragraph" w:customStyle="1" w:styleId="captationGTP">
    <w:name w:val="captation GTP"/>
    <w:basedOn w:val="NormalGTP"/>
    <w:next w:val="NormalGTP"/>
    <w:qFormat/>
    <w:rsid w:val="00050E30"/>
    <w:rPr>
      <w:b/>
      <w:color w:val="002060"/>
    </w:rPr>
  </w:style>
  <w:style w:type="paragraph" w:customStyle="1" w:styleId="sourceACN">
    <w:name w:val="source ACN"/>
    <w:basedOn w:val="a"/>
    <w:link w:val="sourceACNChar"/>
    <w:qFormat/>
    <w:rsid w:val="00050E30"/>
    <w:pPr>
      <w:suppressAutoHyphens w:val="0"/>
      <w:autoSpaceDN/>
      <w:spacing w:after="0" w:line="240" w:lineRule="auto"/>
      <w:jc w:val="both"/>
      <w:textAlignment w:val="auto"/>
    </w:pPr>
    <w:rPr>
      <w:rFonts w:ascii="Arial" w:eastAsia="Times New Roman" w:hAnsi="Arial"/>
      <w:i/>
      <w:sz w:val="16"/>
      <w:szCs w:val="24"/>
      <w:lang w:val="en-GB"/>
    </w:rPr>
  </w:style>
  <w:style w:type="character" w:customStyle="1" w:styleId="sourceACNChar">
    <w:name w:val="source ACN Char"/>
    <w:link w:val="sourceACN"/>
    <w:rsid w:val="00050E30"/>
    <w:rPr>
      <w:rFonts w:ascii="Arial" w:eastAsia="Times New Roman" w:hAnsi="Arial"/>
      <w:i/>
      <w:sz w:val="16"/>
      <w:szCs w:val="24"/>
    </w:rPr>
  </w:style>
  <w:style w:type="paragraph" w:customStyle="1" w:styleId="1111GTP">
    <w:name w:val="1.1.1.1. GTP"/>
    <w:basedOn w:val="a"/>
    <w:link w:val="1111GTPChar"/>
    <w:qFormat/>
    <w:rsid w:val="00050E30"/>
    <w:pPr>
      <w:keepNext/>
      <w:keepLines/>
      <w:numPr>
        <w:ilvl w:val="3"/>
        <w:numId w:val="1"/>
      </w:numPr>
      <w:tabs>
        <w:tab w:val="left" w:pos="851"/>
      </w:tabs>
      <w:suppressAutoHyphens w:val="0"/>
      <w:autoSpaceDN/>
      <w:spacing w:before="200" w:after="200" w:line="276" w:lineRule="auto"/>
      <w:textAlignment w:val="auto"/>
    </w:pPr>
    <w:rPr>
      <w:rFonts w:ascii="Arial" w:eastAsia="Times New Roman" w:hAnsi="Arial"/>
      <w:b/>
      <w:bCs/>
      <w:noProof/>
      <w:color w:val="17365D"/>
      <w:lang w:val="tr-TR"/>
    </w:rPr>
  </w:style>
  <w:style w:type="character" w:customStyle="1" w:styleId="1111GTPChar">
    <w:name w:val="1.1.1.1. GTP Char"/>
    <w:link w:val="1111GTP"/>
    <w:rsid w:val="00050E30"/>
    <w:rPr>
      <w:rFonts w:ascii="Arial" w:eastAsia="Times New Roman" w:hAnsi="Arial"/>
      <w:b/>
      <w:bCs/>
      <w:noProof/>
      <w:color w:val="17365D"/>
      <w:lang w:val="tr-TR"/>
    </w:rPr>
  </w:style>
  <w:style w:type="paragraph" w:customStyle="1" w:styleId="Style1">
    <w:name w:val="Style1"/>
    <w:basedOn w:val="a"/>
    <w:rsid w:val="00050E30"/>
    <w:pPr>
      <w:tabs>
        <w:tab w:val="num" w:pos="1440"/>
      </w:tabs>
      <w:suppressAutoHyphens w:val="0"/>
      <w:autoSpaceDN/>
      <w:spacing w:after="0" w:line="240" w:lineRule="auto"/>
      <w:ind w:left="1440" w:hanging="360"/>
      <w:jc w:val="both"/>
      <w:textAlignment w:val="auto"/>
    </w:pPr>
    <w:rPr>
      <w:rFonts w:ascii="Arial" w:eastAsia="Times New Roman" w:hAnsi="Arial"/>
      <w:color w:val="000000"/>
      <w:sz w:val="20"/>
      <w:szCs w:val="24"/>
      <w:lang w:val="en-US" w:eastAsia="en-GB"/>
    </w:rPr>
  </w:style>
  <w:style w:type="paragraph" w:customStyle="1" w:styleId="subtitleGTP">
    <w:name w:val="subtitle GTP"/>
    <w:basedOn w:val="a"/>
    <w:next w:val="NormalGTP"/>
    <w:qFormat/>
    <w:rsid w:val="00050E30"/>
    <w:pPr>
      <w:suppressAutoHyphens w:val="0"/>
      <w:autoSpaceDN/>
      <w:spacing w:before="120" w:after="200" w:line="276" w:lineRule="auto"/>
      <w:jc w:val="both"/>
      <w:textAlignment w:val="auto"/>
    </w:pPr>
    <w:rPr>
      <w:rFonts w:ascii="Arial" w:eastAsia="Arial Unicode MS" w:hAnsi="Arial" w:cs="Arial"/>
      <w:b/>
      <w:noProof/>
      <w:color w:val="244061"/>
      <w:sz w:val="20"/>
      <w:szCs w:val="20"/>
      <w:lang w:val="en-GB"/>
    </w:rPr>
  </w:style>
  <w:style w:type="paragraph" w:customStyle="1" w:styleId="subbulletGTP">
    <w:name w:val="sub bullet GTP"/>
    <w:basedOn w:val="a4"/>
    <w:link w:val="subbulletGTPChar"/>
    <w:qFormat/>
    <w:rsid w:val="00050E30"/>
    <w:pPr>
      <w:numPr>
        <w:ilvl w:val="1"/>
        <w:numId w:val="2"/>
      </w:numPr>
      <w:suppressAutoHyphens w:val="0"/>
      <w:autoSpaceDN/>
      <w:spacing w:after="200" w:line="240" w:lineRule="auto"/>
      <w:jc w:val="both"/>
      <w:textAlignment w:val="auto"/>
    </w:pPr>
    <w:rPr>
      <w:rFonts w:ascii="Arial" w:eastAsia="Times New Roman" w:hAnsi="Arial" w:cs="Arial"/>
      <w:bCs/>
      <w:sz w:val="20"/>
      <w:szCs w:val="20"/>
      <w:lang w:val="en-GB" w:eastAsia="en-GB"/>
    </w:rPr>
  </w:style>
  <w:style w:type="character" w:customStyle="1" w:styleId="subbulletGTPChar">
    <w:name w:val="sub bullet GTP Char"/>
    <w:link w:val="subbulletGTP"/>
    <w:rsid w:val="00050E30"/>
    <w:rPr>
      <w:rFonts w:ascii="Arial" w:eastAsia="Times New Roman" w:hAnsi="Arial" w:cs="Arial"/>
      <w:bCs/>
      <w:sz w:val="20"/>
      <w:szCs w:val="20"/>
      <w:lang w:eastAsia="en-GB"/>
    </w:rPr>
  </w:style>
  <w:style w:type="paragraph" w:styleId="af1">
    <w:name w:val="caption"/>
    <w:basedOn w:val="a"/>
    <w:next w:val="a"/>
    <w:link w:val="af2"/>
    <w:uiPriority w:val="35"/>
    <w:qFormat/>
    <w:rsid w:val="00050E30"/>
    <w:pPr>
      <w:tabs>
        <w:tab w:val="left" w:pos="7020"/>
        <w:tab w:val="left" w:pos="7200"/>
      </w:tabs>
      <w:suppressAutoHyphens w:val="0"/>
      <w:autoSpaceDN/>
      <w:spacing w:after="0" w:line="240" w:lineRule="auto"/>
      <w:jc w:val="center"/>
      <w:textAlignment w:val="auto"/>
    </w:pPr>
    <w:rPr>
      <w:rFonts w:ascii="Arial" w:eastAsia="Times New Roman" w:hAnsi="Arial"/>
      <w:b/>
      <w:iCs/>
      <w:sz w:val="20"/>
      <w:szCs w:val="24"/>
      <w:lang w:val="en-US"/>
    </w:rPr>
  </w:style>
  <w:style w:type="character" w:customStyle="1" w:styleId="af2">
    <w:name w:val="Название объекта Знак"/>
    <w:link w:val="af1"/>
    <w:rsid w:val="00050E30"/>
    <w:rPr>
      <w:rFonts w:ascii="Arial" w:eastAsia="Times New Roman" w:hAnsi="Arial"/>
      <w:b/>
      <w:iCs/>
      <w:sz w:val="20"/>
      <w:szCs w:val="24"/>
      <w:lang w:val="en-US"/>
    </w:rPr>
  </w:style>
  <w:style w:type="paragraph" w:customStyle="1" w:styleId="bulletGTP">
    <w:name w:val="bullet # GTP"/>
    <w:basedOn w:val="a4"/>
    <w:link w:val="bulletGTPChar"/>
    <w:qFormat/>
    <w:rsid w:val="00050E30"/>
    <w:pPr>
      <w:numPr>
        <w:numId w:val="4"/>
      </w:numPr>
      <w:suppressAutoHyphens w:val="0"/>
      <w:autoSpaceDN/>
      <w:spacing w:after="200" w:line="240" w:lineRule="auto"/>
      <w:contextualSpacing/>
      <w:jc w:val="both"/>
      <w:textAlignment w:val="auto"/>
    </w:pPr>
    <w:rPr>
      <w:rFonts w:ascii="Arial" w:eastAsia="Times New Roman" w:hAnsi="Arial" w:cs="Arial"/>
      <w:sz w:val="20"/>
      <w:szCs w:val="20"/>
      <w:lang w:val="en-GB" w:eastAsia="en-GB"/>
    </w:rPr>
  </w:style>
  <w:style w:type="character" w:customStyle="1" w:styleId="bulletGTPChar">
    <w:name w:val="bullet # GTP Char"/>
    <w:link w:val="bulletGTP"/>
    <w:rsid w:val="00050E30"/>
    <w:rPr>
      <w:rFonts w:ascii="Arial" w:eastAsia="Times New Roman" w:hAnsi="Arial" w:cs="Arial"/>
      <w:sz w:val="20"/>
      <w:szCs w:val="20"/>
      <w:lang w:eastAsia="en-GB"/>
    </w:rPr>
  </w:style>
  <w:style w:type="paragraph" w:customStyle="1" w:styleId="sub2bulletGTP">
    <w:name w:val="sub 2 bullet GTP"/>
    <w:basedOn w:val="a4"/>
    <w:link w:val="sub2bulletGTPChar"/>
    <w:qFormat/>
    <w:rsid w:val="00050E30"/>
    <w:pPr>
      <w:numPr>
        <w:ilvl w:val="2"/>
        <w:numId w:val="3"/>
      </w:numPr>
      <w:suppressAutoHyphens w:val="0"/>
      <w:autoSpaceDE w:val="0"/>
      <w:adjustRightInd w:val="0"/>
      <w:spacing w:after="0" w:line="240" w:lineRule="auto"/>
      <w:contextualSpacing/>
      <w:jc w:val="both"/>
      <w:textAlignment w:val="auto"/>
    </w:pPr>
    <w:rPr>
      <w:rFonts w:ascii="Arial" w:eastAsia="Times New Roman" w:hAnsi="Arial" w:cs="Arial"/>
      <w:sz w:val="20"/>
      <w:szCs w:val="20"/>
      <w:lang w:val="en-GB" w:eastAsia="en-GB"/>
    </w:rPr>
  </w:style>
  <w:style w:type="character" w:customStyle="1" w:styleId="sub2bulletGTPChar">
    <w:name w:val="sub 2 bullet GTP Char"/>
    <w:link w:val="sub2bulletGTP"/>
    <w:rsid w:val="00050E30"/>
    <w:rPr>
      <w:rFonts w:ascii="Arial" w:eastAsia="Times New Roman" w:hAnsi="Arial" w:cs="Arial"/>
      <w:sz w:val="20"/>
      <w:szCs w:val="20"/>
      <w:lang w:eastAsia="en-GB"/>
    </w:rPr>
  </w:style>
  <w:style w:type="paragraph" w:styleId="11">
    <w:name w:val="toc 1"/>
    <w:basedOn w:val="a"/>
    <w:uiPriority w:val="39"/>
    <w:qFormat/>
    <w:rsid w:val="00050E30"/>
    <w:pPr>
      <w:spacing w:before="120" w:after="0"/>
    </w:pPr>
    <w:rPr>
      <w:rFonts w:asciiTheme="minorHAnsi" w:hAnsiTheme="minorHAnsi"/>
      <w:b/>
      <w:bCs/>
      <w:i/>
      <w:iCs/>
      <w:sz w:val="24"/>
      <w:szCs w:val="24"/>
    </w:rPr>
  </w:style>
  <w:style w:type="paragraph" w:styleId="20">
    <w:name w:val="toc 2"/>
    <w:basedOn w:val="a"/>
    <w:uiPriority w:val="39"/>
    <w:qFormat/>
    <w:rsid w:val="00050E30"/>
    <w:pPr>
      <w:spacing w:before="120" w:after="0"/>
      <w:ind w:left="220"/>
    </w:pPr>
    <w:rPr>
      <w:rFonts w:asciiTheme="minorHAnsi" w:hAnsiTheme="minorHAnsi"/>
      <w:b/>
      <w:bCs/>
    </w:rPr>
  </w:style>
  <w:style w:type="paragraph" w:styleId="31">
    <w:name w:val="toc 3"/>
    <w:basedOn w:val="a"/>
    <w:uiPriority w:val="39"/>
    <w:qFormat/>
    <w:rsid w:val="00050E30"/>
    <w:pPr>
      <w:spacing w:after="0"/>
      <w:ind w:left="440"/>
    </w:pPr>
    <w:rPr>
      <w:rFonts w:asciiTheme="minorHAnsi" w:hAnsiTheme="minorHAnsi"/>
      <w:sz w:val="20"/>
      <w:szCs w:val="20"/>
    </w:rPr>
  </w:style>
  <w:style w:type="paragraph" w:customStyle="1" w:styleId="TableParagraph">
    <w:name w:val="Table Paragraph"/>
    <w:basedOn w:val="a"/>
    <w:uiPriority w:val="1"/>
    <w:qFormat/>
    <w:rsid w:val="00050E30"/>
    <w:pPr>
      <w:widowControl w:val="0"/>
      <w:suppressAutoHyphens w:val="0"/>
      <w:autoSpaceDE w:val="0"/>
      <w:spacing w:after="0" w:line="240" w:lineRule="auto"/>
      <w:textAlignment w:val="auto"/>
    </w:pPr>
    <w:rPr>
      <w:rFonts w:ascii="Times New Roman" w:eastAsia="Times New Roman" w:hAnsi="Times New Roman"/>
      <w:lang w:val="en-US" w:bidi="en-US"/>
    </w:rPr>
  </w:style>
  <w:style w:type="paragraph" w:styleId="af3">
    <w:name w:val="Normal (Web)"/>
    <w:basedOn w:val="a"/>
    <w:uiPriority w:val="99"/>
    <w:unhideWhenUsed/>
    <w:rsid w:val="00050E30"/>
    <w:pPr>
      <w:suppressAutoHyphens w:val="0"/>
      <w:autoSpaceDN/>
      <w:spacing w:before="100" w:beforeAutospacing="1" w:after="100" w:afterAutospacing="1" w:line="240" w:lineRule="auto"/>
      <w:textAlignment w:val="auto"/>
    </w:pPr>
    <w:rPr>
      <w:rFonts w:ascii="Times New Roman" w:eastAsia="MS Mincho" w:hAnsi="Times New Roman"/>
      <w:sz w:val="20"/>
      <w:szCs w:val="20"/>
      <w:lang w:val="en-US"/>
    </w:rPr>
  </w:style>
  <w:style w:type="paragraph" w:customStyle="1" w:styleId="FootnoteGTP">
    <w:name w:val="Footnote GTP"/>
    <w:basedOn w:val="a9"/>
    <w:link w:val="FootnoteGTPChar"/>
    <w:qFormat/>
    <w:rsid w:val="00050E30"/>
    <w:pPr>
      <w:suppressAutoHyphens w:val="0"/>
      <w:autoSpaceDN/>
      <w:textAlignment w:val="auto"/>
    </w:pPr>
    <w:rPr>
      <w:rFonts w:ascii="Arial" w:eastAsia="Times New Roman" w:hAnsi="Arial"/>
      <w:sz w:val="16"/>
      <w:szCs w:val="16"/>
      <w:lang w:val="en-GB"/>
    </w:rPr>
  </w:style>
  <w:style w:type="character" w:customStyle="1" w:styleId="FootnoteGTPChar">
    <w:name w:val="Footnote GTP Char"/>
    <w:link w:val="FootnoteGTP"/>
    <w:rsid w:val="00050E30"/>
    <w:rPr>
      <w:rFonts w:ascii="Arial" w:eastAsia="Times New Roman" w:hAnsi="Arial"/>
      <w:sz w:val="16"/>
      <w:szCs w:val="16"/>
    </w:rPr>
  </w:style>
  <w:style w:type="paragraph" w:customStyle="1" w:styleId="legal">
    <w:name w:val="legal"/>
    <w:basedOn w:val="NormalGTP"/>
    <w:link w:val="legalChar"/>
    <w:qFormat/>
    <w:rsid w:val="00050E30"/>
    <w:pPr>
      <w:ind w:left="720"/>
    </w:pPr>
    <w:rPr>
      <w:i/>
    </w:rPr>
  </w:style>
  <w:style w:type="character" w:customStyle="1" w:styleId="legalChar">
    <w:name w:val="legal Char"/>
    <w:link w:val="legal"/>
    <w:rsid w:val="00050E30"/>
    <w:rPr>
      <w:rFonts w:ascii="Arial" w:hAnsi="Arial"/>
      <w:i/>
      <w:noProof/>
      <w:sz w:val="20"/>
    </w:rPr>
  </w:style>
  <w:style w:type="paragraph" w:styleId="af4">
    <w:name w:val="No Spacing"/>
    <w:aliases w:val="Basic"/>
    <w:basedOn w:val="a"/>
    <w:link w:val="af5"/>
    <w:uiPriority w:val="1"/>
    <w:qFormat/>
    <w:rsid w:val="00A046FD"/>
    <w:pPr>
      <w:jc w:val="both"/>
    </w:pPr>
    <w:rPr>
      <w:rFonts w:ascii="Arial" w:hAnsi="Arial" w:cs="Arial"/>
      <w:sz w:val="20"/>
      <w:szCs w:val="18"/>
      <w:lang w:val="en-GB"/>
    </w:rPr>
  </w:style>
  <w:style w:type="table" w:styleId="af6">
    <w:name w:val="Table Grid"/>
    <w:basedOn w:val="a1"/>
    <w:uiPriority w:val="39"/>
    <w:rsid w:val="00A04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y">
    <w:name w:val="Bullety"/>
    <w:basedOn w:val="af4"/>
    <w:link w:val="BulletyChar"/>
    <w:qFormat/>
    <w:rsid w:val="00A046FD"/>
    <w:pPr>
      <w:numPr>
        <w:numId w:val="5"/>
      </w:numPr>
    </w:pPr>
  </w:style>
  <w:style w:type="character" w:customStyle="1" w:styleId="af5">
    <w:name w:val="Без интервала Знак"/>
    <w:aliases w:val="Basic Знак"/>
    <w:basedOn w:val="a0"/>
    <w:link w:val="af4"/>
    <w:uiPriority w:val="1"/>
    <w:rsid w:val="00A046FD"/>
    <w:rPr>
      <w:rFonts w:ascii="Arial" w:hAnsi="Arial" w:cs="Arial"/>
      <w:sz w:val="20"/>
      <w:szCs w:val="18"/>
    </w:rPr>
  </w:style>
  <w:style w:type="character" w:customStyle="1" w:styleId="BulletyChar">
    <w:name w:val="Bullety Char"/>
    <w:basedOn w:val="af5"/>
    <w:link w:val="Bullety"/>
    <w:rsid w:val="00A046FD"/>
    <w:rPr>
      <w:rFonts w:ascii="Arial" w:hAnsi="Arial" w:cs="Arial"/>
      <w:sz w:val="20"/>
      <w:szCs w:val="18"/>
    </w:rPr>
  </w:style>
  <w:style w:type="paragraph" w:customStyle="1" w:styleId="lista">
    <w:name w:val="lista"/>
    <w:basedOn w:val="a4"/>
    <w:link w:val="listaChar"/>
    <w:qFormat/>
    <w:rsid w:val="00A046FD"/>
    <w:pPr>
      <w:numPr>
        <w:numId w:val="6"/>
      </w:numPr>
      <w:jc w:val="both"/>
    </w:pPr>
    <w:rPr>
      <w:rFonts w:ascii="Arial" w:hAnsi="Arial" w:cs="Arial"/>
      <w:sz w:val="20"/>
    </w:rPr>
  </w:style>
  <w:style w:type="character" w:customStyle="1" w:styleId="listaChar">
    <w:name w:val="lista Char"/>
    <w:basedOn w:val="a5"/>
    <w:link w:val="lista"/>
    <w:rsid w:val="00A046FD"/>
    <w:rPr>
      <w:rFonts w:ascii="Arial" w:hAnsi="Arial" w:cs="Arial"/>
      <w:sz w:val="20"/>
      <w:lang w:val="fr-BE"/>
    </w:rPr>
  </w:style>
  <w:style w:type="character" w:customStyle="1" w:styleId="50">
    <w:name w:val="Заголовок 5 Знак"/>
    <w:basedOn w:val="a0"/>
    <w:link w:val="5"/>
    <w:uiPriority w:val="9"/>
    <w:semiHidden/>
    <w:rsid w:val="00A61BEE"/>
    <w:rPr>
      <w:rFonts w:asciiTheme="majorHAnsi" w:eastAsiaTheme="majorEastAsia" w:hAnsiTheme="majorHAnsi" w:cstheme="majorBidi"/>
      <w:color w:val="243F60" w:themeColor="accent1" w:themeShade="7F"/>
      <w:lang w:val="fr-BE"/>
    </w:rPr>
  </w:style>
  <w:style w:type="paragraph" w:styleId="af7">
    <w:name w:val="TOC Heading"/>
    <w:basedOn w:val="1"/>
    <w:next w:val="a"/>
    <w:uiPriority w:val="39"/>
    <w:unhideWhenUsed/>
    <w:qFormat/>
    <w:rsid w:val="000A7BA9"/>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41">
    <w:name w:val="toc 4"/>
    <w:basedOn w:val="a"/>
    <w:next w:val="a"/>
    <w:autoRedefine/>
    <w:uiPriority w:val="39"/>
    <w:unhideWhenUsed/>
    <w:rsid w:val="000A7BA9"/>
    <w:pPr>
      <w:spacing w:after="0"/>
      <w:ind w:left="660"/>
    </w:pPr>
    <w:rPr>
      <w:rFonts w:asciiTheme="minorHAnsi" w:hAnsiTheme="minorHAnsi"/>
      <w:sz w:val="20"/>
      <w:szCs w:val="20"/>
    </w:rPr>
  </w:style>
  <w:style w:type="paragraph" w:styleId="51">
    <w:name w:val="toc 5"/>
    <w:basedOn w:val="a"/>
    <w:next w:val="a"/>
    <w:autoRedefine/>
    <w:uiPriority w:val="39"/>
    <w:unhideWhenUsed/>
    <w:rsid w:val="000A7BA9"/>
    <w:pPr>
      <w:spacing w:after="0"/>
      <w:ind w:left="880"/>
    </w:pPr>
    <w:rPr>
      <w:rFonts w:asciiTheme="minorHAnsi" w:hAnsiTheme="minorHAnsi"/>
      <w:sz w:val="20"/>
      <w:szCs w:val="20"/>
    </w:rPr>
  </w:style>
  <w:style w:type="paragraph" w:styleId="61">
    <w:name w:val="toc 6"/>
    <w:basedOn w:val="a"/>
    <w:next w:val="a"/>
    <w:autoRedefine/>
    <w:uiPriority w:val="39"/>
    <w:unhideWhenUsed/>
    <w:rsid w:val="000A7BA9"/>
    <w:pPr>
      <w:spacing w:after="0"/>
      <w:ind w:left="1100"/>
    </w:pPr>
    <w:rPr>
      <w:rFonts w:asciiTheme="minorHAnsi" w:hAnsiTheme="minorHAnsi"/>
      <w:sz w:val="20"/>
      <w:szCs w:val="20"/>
    </w:rPr>
  </w:style>
  <w:style w:type="paragraph" w:styleId="71">
    <w:name w:val="toc 7"/>
    <w:basedOn w:val="a"/>
    <w:next w:val="a"/>
    <w:autoRedefine/>
    <w:uiPriority w:val="39"/>
    <w:unhideWhenUsed/>
    <w:rsid w:val="000A7BA9"/>
    <w:pPr>
      <w:spacing w:after="0"/>
      <w:ind w:left="1320"/>
    </w:pPr>
    <w:rPr>
      <w:rFonts w:asciiTheme="minorHAnsi" w:hAnsiTheme="minorHAnsi"/>
      <w:sz w:val="20"/>
      <w:szCs w:val="20"/>
    </w:rPr>
  </w:style>
  <w:style w:type="paragraph" w:styleId="81">
    <w:name w:val="toc 8"/>
    <w:basedOn w:val="a"/>
    <w:next w:val="a"/>
    <w:autoRedefine/>
    <w:uiPriority w:val="39"/>
    <w:unhideWhenUsed/>
    <w:rsid w:val="000A7BA9"/>
    <w:pPr>
      <w:spacing w:after="0"/>
      <w:ind w:left="1540"/>
    </w:pPr>
    <w:rPr>
      <w:rFonts w:asciiTheme="minorHAnsi" w:hAnsiTheme="minorHAnsi"/>
      <w:sz w:val="20"/>
      <w:szCs w:val="20"/>
    </w:rPr>
  </w:style>
  <w:style w:type="paragraph" w:styleId="91">
    <w:name w:val="toc 9"/>
    <w:basedOn w:val="a"/>
    <w:next w:val="a"/>
    <w:autoRedefine/>
    <w:uiPriority w:val="39"/>
    <w:unhideWhenUsed/>
    <w:rsid w:val="000A7BA9"/>
    <w:pPr>
      <w:spacing w:after="0"/>
      <w:ind w:left="1760"/>
    </w:pPr>
    <w:rPr>
      <w:rFonts w:asciiTheme="minorHAnsi" w:hAnsiTheme="minorHAnsi"/>
      <w:sz w:val="20"/>
      <w:szCs w:val="20"/>
    </w:rPr>
  </w:style>
  <w:style w:type="paragraph" w:customStyle="1" w:styleId="FSHeader1">
    <w:name w:val="FS Header 1"/>
    <w:basedOn w:val="1"/>
    <w:qFormat/>
    <w:rsid w:val="0082436C"/>
    <w:pPr>
      <w:pageBreakBefore/>
      <w:widowControl w:val="0"/>
      <w:numPr>
        <w:numId w:val="0"/>
      </w:numPr>
      <w:autoSpaceDE w:val="0"/>
      <w:autoSpaceDN w:val="0"/>
      <w:adjustRightInd w:val="0"/>
      <w:spacing w:before="0" w:after="240" w:line="240" w:lineRule="auto"/>
      <w:jc w:val="both"/>
    </w:pPr>
    <w:rPr>
      <w:rFonts w:ascii="Frutiger LT 47 LightCn" w:hAnsi="Frutiger LT 47 LightCn"/>
      <w:bCs w:val="0"/>
      <w:color w:val="31417A"/>
      <w:kern w:val="0"/>
      <w:sz w:val="28"/>
      <w:szCs w:val="28"/>
      <w:lang w:val="en-GB" w:eastAsia="de-DE"/>
    </w:rPr>
  </w:style>
  <w:style w:type="character" w:customStyle="1" w:styleId="60">
    <w:name w:val="Заголовок 6 Знак"/>
    <w:basedOn w:val="a0"/>
    <w:link w:val="6"/>
    <w:uiPriority w:val="9"/>
    <w:semiHidden/>
    <w:rsid w:val="0082436C"/>
    <w:rPr>
      <w:rFonts w:asciiTheme="majorHAnsi" w:eastAsiaTheme="majorEastAsia" w:hAnsiTheme="majorHAnsi" w:cstheme="majorBidi"/>
      <w:i/>
      <w:iCs/>
      <w:color w:val="243F60" w:themeColor="accent1" w:themeShade="7F"/>
      <w:lang w:val="fr-BE"/>
    </w:rPr>
  </w:style>
  <w:style w:type="character" w:customStyle="1" w:styleId="70">
    <w:name w:val="Заголовок 7 Знак"/>
    <w:basedOn w:val="a0"/>
    <w:link w:val="7"/>
    <w:uiPriority w:val="9"/>
    <w:semiHidden/>
    <w:rsid w:val="0082436C"/>
    <w:rPr>
      <w:rFonts w:asciiTheme="majorHAnsi" w:eastAsiaTheme="majorEastAsia" w:hAnsiTheme="majorHAnsi" w:cstheme="majorBidi"/>
      <w:i/>
      <w:iCs/>
      <w:color w:val="404040" w:themeColor="text1" w:themeTint="BF"/>
      <w:lang w:val="fr-BE"/>
    </w:rPr>
  </w:style>
  <w:style w:type="character" w:customStyle="1" w:styleId="80">
    <w:name w:val="Заголовок 8 Знак"/>
    <w:basedOn w:val="a0"/>
    <w:link w:val="8"/>
    <w:uiPriority w:val="9"/>
    <w:semiHidden/>
    <w:rsid w:val="0082436C"/>
    <w:rPr>
      <w:rFonts w:asciiTheme="majorHAnsi" w:eastAsiaTheme="majorEastAsia" w:hAnsiTheme="majorHAnsi" w:cstheme="majorBidi"/>
      <w:color w:val="404040" w:themeColor="text1" w:themeTint="BF"/>
      <w:sz w:val="20"/>
      <w:szCs w:val="20"/>
      <w:lang w:val="fr-BE"/>
    </w:rPr>
  </w:style>
  <w:style w:type="character" w:customStyle="1" w:styleId="90">
    <w:name w:val="Заголовок 9 Знак"/>
    <w:basedOn w:val="a0"/>
    <w:link w:val="9"/>
    <w:uiPriority w:val="9"/>
    <w:semiHidden/>
    <w:rsid w:val="0082436C"/>
    <w:rPr>
      <w:rFonts w:asciiTheme="majorHAnsi" w:eastAsiaTheme="majorEastAsia" w:hAnsiTheme="majorHAnsi" w:cstheme="majorBidi"/>
      <w:i/>
      <w:iCs/>
      <w:color w:val="404040" w:themeColor="text1" w:themeTint="BF"/>
      <w:sz w:val="20"/>
      <w:szCs w:val="20"/>
      <w:lang w:val="fr-BE"/>
    </w:rPr>
  </w:style>
  <w:style w:type="paragraph" w:customStyle="1" w:styleId="FSHeader2">
    <w:name w:val="FS Header 2"/>
    <w:basedOn w:val="2"/>
    <w:qFormat/>
    <w:rsid w:val="0082436C"/>
    <w:pPr>
      <w:keepNext/>
      <w:keepLines/>
      <w:numPr>
        <w:ilvl w:val="0"/>
        <w:numId w:val="0"/>
      </w:numPr>
      <w:suppressAutoHyphens w:val="0"/>
      <w:adjustRightInd w:val="0"/>
      <w:spacing w:before="240" w:after="120"/>
      <w:textAlignment w:val="auto"/>
    </w:pPr>
    <w:rPr>
      <w:rFonts w:ascii="Frutiger LT 47 LightCn" w:eastAsia="Calibri" w:hAnsi="Frutiger LT 47 LightCn" w:cs="Times New Roman"/>
      <w:bCs w:val="0"/>
      <w:color w:val="1F497D" w:themeColor="text2"/>
      <w:sz w:val="26"/>
      <w:szCs w:val="26"/>
      <w:lang w:val="en-GB" w:eastAsia="de-DE" w:bidi="ar-SA"/>
    </w:rPr>
  </w:style>
  <w:style w:type="paragraph" w:customStyle="1" w:styleId="Default">
    <w:name w:val="Default"/>
    <w:rsid w:val="006B552C"/>
    <w:pPr>
      <w:autoSpaceDE w:val="0"/>
      <w:adjustRightInd w:val="0"/>
      <w:spacing w:after="0" w:line="240" w:lineRule="auto"/>
      <w:textAlignment w:val="auto"/>
    </w:pPr>
    <w:rPr>
      <w:rFonts w:ascii="Times New Roman" w:eastAsiaTheme="minorHAnsi" w:hAnsi="Times New Roman"/>
      <w:color w:val="000000"/>
      <w:sz w:val="24"/>
      <w:szCs w:val="24"/>
      <w:lang w:val="en-US"/>
    </w:rPr>
  </w:style>
  <w:style w:type="paragraph" w:customStyle="1" w:styleId="Subheader1">
    <w:name w:val="Subheader 1"/>
    <w:basedOn w:val="a"/>
    <w:qFormat/>
    <w:rsid w:val="006B552C"/>
    <w:pPr>
      <w:suppressAutoHyphens w:val="0"/>
      <w:autoSpaceDE w:val="0"/>
      <w:adjustRightInd w:val="0"/>
      <w:spacing w:before="240" w:after="120" w:line="240" w:lineRule="auto"/>
      <w:jc w:val="both"/>
      <w:textAlignment w:val="auto"/>
    </w:pPr>
    <w:rPr>
      <w:rFonts w:ascii="Frutiger LT 47 LightCn" w:eastAsiaTheme="minorHAnsi" w:hAnsi="Frutiger LT 47 LightCn" w:cs="FrutigerLT47LightCn"/>
      <w:b/>
      <w:sz w:val="24"/>
      <w:lang w:val="en-GB" w:eastAsia="de-DE"/>
    </w:rPr>
  </w:style>
  <w:style w:type="paragraph" w:styleId="af8">
    <w:name w:val="table of figures"/>
    <w:basedOn w:val="a"/>
    <w:next w:val="a"/>
    <w:uiPriority w:val="99"/>
    <w:unhideWhenUsed/>
    <w:rsid w:val="00743C2A"/>
    <w:pPr>
      <w:spacing w:after="0"/>
    </w:pPr>
  </w:style>
  <w:style w:type="character" w:customStyle="1" w:styleId="ilfuvd">
    <w:name w:val="ilfuvd"/>
    <w:basedOn w:val="a0"/>
    <w:rsid w:val="00852494"/>
  </w:style>
  <w:style w:type="character" w:customStyle="1" w:styleId="st">
    <w:name w:val="st"/>
    <w:basedOn w:val="a0"/>
    <w:rsid w:val="00852494"/>
  </w:style>
  <w:style w:type="character" w:styleId="af9">
    <w:name w:val="Emphasis"/>
    <w:basedOn w:val="a0"/>
    <w:uiPriority w:val="20"/>
    <w:qFormat/>
    <w:rsid w:val="00852494"/>
    <w:rPr>
      <w:i/>
      <w:iCs/>
    </w:rPr>
  </w:style>
  <w:style w:type="character" w:customStyle="1" w:styleId="highlighted">
    <w:name w:val="highlighted"/>
    <w:basedOn w:val="a0"/>
    <w:rsid w:val="00852494"/>
  </w:style>
  <w:style w:type="character" w:customStyle="1" w:styleId="shorttext">
    <w:name w:val="short_text"/>
    <w:basedOn w:val="a0"/>
    <w:rsid w:val="00C93588"/>
  </w:style>
  <w:style w:type="paragraph" w:styleId="afa">
    <w:name w:val="Revision"/>
    <w:hidden/>
    <w:uiPriority w:val="99"/>
    <w:semiHidden/>
    <w:rsid w:val="00295294"/>
    <w:pPr>
      <w:autoSpaceDN/>
      <w:spacing w:after="0" w:line="240" w:lineRule="auto"/>
      <w:textAlignment w:val="auto"/>
    </w:pPr>
    <w:rPr>
      <w:lang w:val="fr-BE"/>
    </w:rPr>
  </w:style>
  <w:style w:type="character" w:customStyle="1" w:styleId="notranslate">
    <w:name w:val="notranslate"/>
    <w:basedOn w:val="a0"/>
    <w:rsid w:val="005F1C42"/>
  </w:style>
  <w:style w:type="paragraph" w:customStyle="1" w:styleId="m3187071979921499948msolistparagraph">
    <w:name w:val="m_3187071979921499948msolistparagraph"/>
    <w:basedOn w:val="a"/>
    <w:rsid w:val="00906812"/>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uk-UA" w:eastAsia="uk-UA"/>
    </w:rPr>
  </w:style>
  <w:style w:type="character" w:styleId="afb">
    <w:name w:val="Strong"/>
    <w:basedOn w:val="a0"/>
    <w:uiPriority w:val="22"/>
    <w:qFormat/>
    <w:rsid w:val="00906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631">
      <w:bodyDiv w:val="1"/>
      <w:marLeft w:val="0"/>
      <w:marRight w:val="0"/>
      <w:marTop w:val="0"/>
      <w:marBottom w:val="0"/>
      <w:divBdr>
        <w:top w:val="none" w:sz="0" w:space="0" w:color="auto"/>
        <w:left w:val="none" w:sz="0" w:space="0" w:color="auto"/>
        <w:bottom w:val="none" w:sz="0" w:space="0" w:color="auto"/>
        <w:right w:val="none" w:sz="0" w:space="0" w:color="auto"/>
      </w:divBdr>
    </w:div>
    <w:div w:id="28266263">
      <w:bodyDiv w:val="1"/>
      <w:marLeft w:val="0"/>
      <w:marRight w:val="0"/>
      <w:marTop w:val="0"/>
      <w:marBottom w:val="0"/>
      <w:divBdr>
        <w:top w:val="none" w:sz="0" w:space="0" w:color="auto"/>
        <w:left w:val="none" w:sz="0" w:space="0" w:color="auto"/>
        <w:bottom w:val="none" w:sz="0" w:space="0" w:color="auto"/>
        <w:right w:val="none" w:sz="0" w:space="0" w:color="auto"/>
      </w:divBdr>
    </w:div>
    <w:div w:id="101996148">
      <w:bodyDiv w:val="1"/>
      <w:marLeft w:val="0"/>
      <w:marRight w:val="0"/>
      <w:marTop w:val="0"/>
      <w:marBottom w:val="0"/>
      <w:divBdr>
        <w:top w:val="none" w:sz="0" w:space="0" w:color="auto"/>
        <w:left w:val="none" w:sz="0" w:space="0" w:color="auto"/>
        <w:bottom w:val="none" w:sz="0" w:space="0" w:color="auto"/>
        <w:right w:val="none" w:sz="0" w:space="0" w:color="auto"/>
      </w:divBdr>
    </w:div>
    <w:div w:id="135414997">
      <w:bodyDiv w:val="1"/>
      <w:marLeft w:val="0"/>
      <w:marRight w:val="0"/>
      <w:marTop w:val="0"/>
      <w:marBottom w:val="0"/>
      <w:divBdr>
        <w:top w:val="none" w:sz="0" w:space="0" w:color="auto"/>
        <w:left w:val="none" w:sz="0" w:space="0" w:color="auto"/>
        <w:bottom w:val="none" w:sz="0" w:space="0" w:color="auto"/>
        <w:right w:val="none" w:sz="0" w:space="0" w:color="auto"/>
      </w:divBdr>
    </w:div>
    <w:div w:id="192545658">
      <w:bodyDiv w:val="1"/>
      <w:marLeft w:val="0"/>
      <w:marRight w:val="0"/>
      <w:marTop w:val="0"/>
      <w:marBottom w:val="0"/>
      <w:divBdr>
        <w:top w:val="none" w:sz="0" w:space="0" w:color="auto"/>
        <w:left w:val="none" w:sz="0" w:space="0" w:color="auto"/>
        <w:bottom w:val="none" w:sz="0" w:space="0" w:color="auto"/>
        <w:right w:val="none" w:sz="0" w:space="0" w:color="auto"/>
      </w:divBdr>
    </w:div>
    <w:div w:id="204607594">
      <w:bodyDiv w:val="1"/>
      <w:marLeft w:val="0"/>
      <w:marRight w:val="0"/>
      <w:marTop w:val="0"/>
      <w:marBottom w:val="0"/>
      <w:divBdr>
        <w:top w:val="none" w:sz="0" w:space="0" w:color="auto"/>
        <w:left w:val="none" w:sz="0" w:space="0" w:color="auto"/>
        <w:bottom w:val="none" w:sz="0" w:space="0" w:color="auto"/>
        <w:right w:val="none" w:sz="0" w:space="0" w:color="auto"/>
      </w:divBdr>
    </w:div>
    <w:div w:id="270599786">
      <w:bodyDiv w:val="1"/>
      <w:marLeft w:val="0"/>
      <w:marRight w:val="0"/>
      <w:marTop w:val="0"/>
      <w:marBottom w:val="0"/>
      <w:divBdr>
        <w:top w:val="none" w:sz="0" w:space="0" w:color="auto"/>
        <w:left w:val="none" w:sz="0" w:space="0" w:color="auto"/>
        <w:bottom w:val="none" w:sz="0" w:space="0" w:color="auto"/>
        <w:right w:val="none" w:sz="0" w:space="0" w:color="auto"/>
      </w:divBdr>
    </w:div>
    <w:div w:id="442654660">
      <w:bodyDiv w:val="1"/>
      <w:marLeft w:val="0"/>
      <w:marRight w:val="0"/>
      <w:marTop w:val="0"/>
      <w:marBottom w:val="0"/>
      <w:divBdr>
        <w:top w:val="none" w:sz="0" w:space="0" w:color="auto"/>
        <w:left w:val="none" w:sz="0" w:space="0" w:color="auto"/>
        <w:bottom w:val="none" w:sz="0" w:space="0" w:color="auto"/>
        <w:right w:val="none" w:sz="0" w:space="0" w:color="auto"/>
      </w:divBdr>
    </w:div>
    <w:div w:id="452292360">
      <w:bodyDiv w:val="1"/>
      <w:marLeft w:val="0"/>
      <w:marRight w:val="0"/>
      <w:marTop w:val="0"/>
      <w:marBottom w:val="0"/>
      <w:divBdr>
        <w:top w:val="none" w:sz="0" w:space="0" w:color="auto"/>
        <w:left w:val="none" w:sz="0" w:space="0" w:color="auto"/>
        <w:bottom w:val="none" w:sz="0" w:space="0" w:color="auto"/>
        <w:right w:val="none" w:sz="0" w:space="0" w:color="auto"/>
      </w:divBdr>
    </w:div>
    <w:div w:id="607854500">
      <w:bodyDiv w:val="1"/>
      <w:marLeft w:val="0"/>
      <w:marRight w:val="0"/>
      <w:marTop w:val="0"/>
      <w:marBottom w:val="0"/>
      <w:divBdr>
        <w:top w:val="none" w:sz="0" w:space="0" w:color="auto"/>
        <w:left w:val="none" w:sz="0" w:space="0" w:color="auto"/>
        <w:bottom w:val="none" w:sz="0" w:space="0" w:color="auto"/>
        <w:right w:val="none" w:sz="0" w:space="0" w:color="auto"/>
      </w:divBdr>
    </w:div>
    <w:div w:id="769351937">
      <w:bodyDiv w:val="1"/>
      <w:marLeft w:val="0"/>
      <w:marRight w:val="0"/>
      <w:marTop w:val="0"/>
      <w:marBottom w:val="0"/>
      <w:divBdr>
        <w:top w:val="none" w:sz="0" w:space="0" w:color="auto"/>
        <w:left w:val="none" w:sz="0" w:space="0" w:color="auto"/>
        <w:bottom w:val="none" w:sz="0" w:space="0" w:color="auto"/>
        <w:right w:val="none" w:sz="0" w:space="0" w:color="auto"/>
      </w:divBdr>
    </w:div>
    <w:div w:id="969363625">
      <w:bodyDiv w:val="1"/>
      <w:marLeft w:val="0"/>
      <w:marRight w:val="0"/>
      <w:marTop w:val="0"/>
      <w:marBottom w:val="0"/>
      <w:divBdr>
        <w:top w:val="none" w:sz="0" w:space="0" w:color="auto"/>
        <w:left w:val="none" w:sz="0" w:space="0" w:color="auto"/>
        <w:bottom w:val="none" w:sz="0" w:space="0" w:color="auto"/>
        <w:right w:val="none" w:sz="0" w:space="0" w:color="auto"/>
      </w:divBdr>
    </w:div>
    <w:div w:id="1050113244">
      <w:bodyDiv w:val="1"/>
      <w:marLeft w:val="0"/>
      <w:marRight w:val="0"/>
      <w:marTop w:val="0"/>
      <w:marBottom w:val="0"/>
      <w:divBdr>
        <w:top w:val="none" w:sz="0" w:space="0" w:color="auto"/>
        <w:left w:val="none" w:sz="0" w:space="0" w:color="auto"/>
        <w:bottom w:val="none" w:sz="0" w:space="0" w:color="auto"/>
        <w:right w:val="none" w:sz="0" w:space="0" w:color="auto"/>
      </w:divBdr>
    </w:div>
    <w:div w:id="1237087964">
      <w:bodyDiv w:val="1"/>
      <w:marLeft w:val="0"/>
      <w:marRight w:val="0"/>
      <w:marTop w:val="0"/>
      <w:marBottom w:val="0"/>
      <w:divBdr>
        <w:top w:val="none" w:sz="0" w:space="0" w:color="auto"/>
        <w:left w:val="none" w:sz="0" w:space="0" w:color="auto"/>
        <w:bottom w:val="none" w:sz="0" w:space="0" w:color="auto"/>
        <w:right w:val="none" w:sz="0" w:space="0" w:color="auto"/>
      </w:divBdr>
    </w:div>
    <w:div w:id="1455439431">
      <w:bodyDiv w:val="1"/>
      <w:marLeft w:val="0"/>
      <w:marRight w:val="0"/>
      <w:marTop w:val="0"/>
      <w:marBottom w:val="0"/>
      <w:divBdr>
        <w:top w:val="none" w:sz="0" w:space="0" w:color="auto"/>
        <w:left w:val="none" w:sz="0" w:space="0" w:color="auto"/>
        <w:bottom w:val="none" w:sz="0" w:space="0" w:color="auto"/>
        <w:right w:val="none" w:sz="0" w:space="0" w:color="auto"/>
      </w:divBdr>
    </w:div>
    <w:div w:id="1537936096">
      <w:bodyDiv w:val="1"/>
      <w:marLeft w:val="0"/>
      <w:marRight w:val="0"/>
      <w:marTop w:val="0"/>
      <w:marBottom w:val="0"/>
      <w:divBdr>
        <w:top w:val="none" w:sz="0" w:space="0" w:color="auto"/>
        <w:left w:val="none" w:sz="0" w:space="0" w:color="auto"/>
        <w:bottom w:val="none" w:sz="0" w:space="0" w:color="auto"/>
        <w:right w:val="none" w:sz="0" w:space="0" w:color="auto"/>
      </w:divBdr>
    </w:div>
    <w:div w:id="1547907690">
      <w:bodyDiv w:val="1"/>
      <w:marLeft w:val="0"/>
      <w:marRight w:val="0"/>
      <w:marTop w:val="0"/>
      <w:marBottom w:val="0"/>
      <w:divBdr>
        <w:top w:val="none" w:sz="0" w:space="0" w:color="auto"/>
        <w:left w:val="none" w:sz="0" w:space="0" w:color="auto"/>
        <w:bottom w:val="none" w:sz="0" w:space="0" w:color="auto"/>
        <w:right w:val="none" w:sz="0" w:space="0" w:color="auto"/>
      </w:divBdr>
    </w:div>
    <w:div w:id="1563253202">
      <w:bodyDiv w:val="1"/>
      <w:marLeft w:val="0"/>
      <w:marRight w:val="0"/>
      <w:marTop w:val="0"/>
      <w:marBottom w:val="0"/>
      <w:divBdr>
        <w:top w:val="none" w:sz="0" w:space="0" w:color="auto"/>
        <w:left w:val="none" w:sz="0" w:space="0" w:color="auto"/>
        <w:bottom w:val="none" w:sz="0" w:space="0" w:color="auto"/>
        <w:right w:val="none" w:sz="0" w:space="0" w:color="auto"/>
      </w:divBdr>
    </w:div>
    <w:div w:id="1709449598">
      <w:bodyDiv w:val="1"/>
      <w:marLeft w:val="0"/>
      <w:marRight w:val="0"/>
      <w:marTop w:val="0"/>
      <w:marBottom w:val="0"/>
      <w:divBdr>
        <w:top w:val="none" w:sz="0" w:space="0" w:color="auto"/>
        <w:left w:val="none" w:sz="0" w:space="0" w:color="auto"/>
        <w:bottom w:val="none" w:sz="0" w:space="0" w:color="auto"/>
        <w:right w:val="none" w:sz="0" w:space="0" w:color="auto"/>
      </w:divBdr>
    </w:div>
    <w:div w:id="1743092164">
      <w:bodyDiv w:val="1"/>
      <w:marLeft w:val="0"/>
      <w:marRight w:val="0"/>
      <w:marTop w:val="0"/>
      <w:marBottom w:val="0"/>
      <w:divBdr>
        <w:top w:val="none" w:sz="0" w:space="0" w:color="auto"/>
        <w:left w:val="none" w:sz="0" w:space="0" w:color="auto"/>
        <w:bottom w:val="none" w:sz="0" w:space="0" w:color="auto"/>
        <w:right w:val="none" w:sz="0" w:space="0" w:color="auto"/>
      </w:divBdr>
    </w:div>
    <w:div w:id="1769081507">
      <w:bodyDiv w:val="1"/>
      <w:marLeft w:val="0"/>
      <w:marRight w:val="0"/>
      <w:marTop w:val="0"/>
      <w:marBottom w:val="0"/>
      <w:divBdr>
        <w:top w:val="none" w:sz="0" w:space="0" w:color="auto"/>
        <w:left w:val="none" w:sz="0" w:space="0" w:color="auto"/>
        <w:bottom w:val="none" w:sz="0" w:space="0" w:color="auto"/>
        <w:right w:val="none" w:sz="0" w:space="0" w:color="auto"/>
      </w:divBdr>
    </w:div>
    <w:div w:id="1790978083">
      <w:bodyDiv w:val="1"/>
      <w:marLeft w:val="0"/>
      <w:marRight w:val="0"/>
      <w:marTop w:val="0"/>
      <w:marBottom w:val="0"/>
      <w:divBdr>
        <w:top w:val="none" w:sz="0" w:space="0" w:color="auto"/>
        <w:left w:val="none" w:sz="0" w:space="0" w:color="auto"/>
        <w:bottom w:val="none" w:sz="0" w:space="0" w:color="auto"/>
        <w:right w:val="none" w:sz="0" w:space="0" w:color="auto"/>
      </w:divBdr>
    </w:div>
    <w:div w:id="1913344154">
      <w:bodyDiv w:val="1"/>
      <w:marLeft w:val="0"/>
      <w:marRight w:val="0"/>
      <w:marTop w:val="0"/>
      <w:marBottom w:val="0"/>
      <w:divBdr>
        <w:top w:val="none" w:sz="0" w:space="0" w:color="auto"/>
        <w:left w:val="none" w:sz="0" w:space="0" w:color="auto"/>
        <w:bottom w:val="none" w:sz="0" w:space="0" w:color="auto"/>
        <w:right w:val="none" w:sz="0" w:space="0" w:color="auto"/>
      </w:divBdr>
    </w:div>
    <w:div w:id="2042431919">
      <w:bodyDiv w:val="1"/>
      <w:marLeft w:val="0"/>
      <w:marRight w:val="0"/>
      <w:marTop w:val="0"/>
      <w:marBottom w:val="0"/>
      <w:divBdr>
        <w:top w:val="none" w:sz="0" w:space="0" w:color="auto"/>
        <w:left w:val="none" w:sz="0" w:space="0" w:color="auto"/>
        <w:bottom w:val="none" w:sz="0" w:space="0" w:color="auto"/>
        <w:right w:val="none" w:sz="0" w:space="0" w:color="auto"/>
      </w:divBdr>
    </w:div>
    <w:div w:id="2043089839">
      <w:bodyDiv w:val="1"/>
      <w:marLeft w:val="0"/>
      <w:marRight w:val="0"/>
      <w:marTop w:val="0"/>
      <w:marBottom w:val="0"/>
      <w:divBdr>
        <w:top w:val="none" w:sz="0" w:space="0" w:color="auto"/>
        <w:left w:val="none" w:sz="0" w:space="0" w:color="auto"/>
        <w:bottom w:val="none" w:sz="0" w:space="0" w:color="auto"/>
        <w:right w:val="none" w:sz="0" w:space="0" w:color="auto"/>
      </w:divBdr>
    </w:div>
    <w:div w:id="209551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emf"/><Relationship Id="rId68" Type="http://schemas.openxmlformats.org/officeDocument/2006/relationships/image" Target="media/image57.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www.energoatom.kiev.ua/ua/about/separated/trading/"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hcmc.gr/en_US/web/portal/foreis"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hyperlink" Target="http://www.frankfurt-school.de" TargetMode="External"/><Relationship Id="rId51" Type="http://schemas.openxmlformats.org/officeDocument/2006/relationships/image" Target="media/image40.png"/><Relationship Id="rId72" Type="http://schemas.openxmlformats.org/officeDocument/2006/relationships/hyperlink" Target="https://translate.google.com/translate?hl=en&amp;prev=_t&amp;sl=en&amp;tl=uk&amp;u=http://utg.ua/en/utg/business-info/live.html%23supply"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cer-remit.eu/portal/organised-marketplace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www.energoatom.kiev.ua/ua/about/separated/trad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microsoft.com/office/2007/relationships/hdphoto" Target="media/hdphoto1.wdp"/><Relationship Id="rId55" Type="http://schemas.openxmlformats.org/officeDocument/2006/relationships/image" Target="media/image44.png"/><Relationship Id="rId76" Type="http://schemas.openxmlformats.org/officeDocument/2006/relationships/hyperlink" Target="http://www.energoatom.kiev.ua/ua/about/separated/trading/" TargetMode="External"/><Relationship Id="rId7" Type="http://schemas.openxmlformats.org/officeDocument/2006/relationships/endnotes" Target="endnotes.xml"/><Relationship Id="rId71" Type="http://schemas.openxmlformats.org/officeDocument/2006/relationships/hyperlink" Target="http://www.edigas.org"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emf"/></Relationships>
</file>

<file path=word/_rels/footnotes.xml.rels><?xml version="1.0" encoding="UTF-8" standalone="yes"?>
<Relationships xmlns="http://schemas.openxmlformats.org/package/2006/relationships"><Relationship Id="rId3" Type="http://schemas.openxmlformats.org/officeDocument/2006/relationships/hyperlink" Target="http://www.entsog.eu/public/uploads/files/publications/Press%20Releases/2014/PR072-14%20140930%20Press%20Release%20ENTSOG%20launches%20the%20new%20Transparency%20Platform.pdf" TargetMode="External"/><Relationship Id="rId2" Type="http://schemas.openxmlformats.org/officeDocument/2006/relationships/hyperlink" Target="https://transparency.entsog.eu/" TargetMode="External"/><Relationship Id="rId1" Type="http://schemas.openxmlformats.org/officeDocument/2006/relationships/hyperlink" Target="http://www.efet.org" TargetMode="External"/><Relationship Id="rId5" Type="http://schemas.openxmlformats.org/officeDocument/2006/relationships/hyperlink" Target="https://www.europex.org/position-papers/the-essential-tasks-of-third-party-market-operators-in-the-electricity-market/" TargetMode="External"/><Relationship Id="rId4" Type="http://schemas.openxmlformats.org/officeDocument/2006/relationships/hyperlink" Target="https://www.acer-remit.eu/portal/ho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62.png"/><Relationship Id="rId1" Type="http://schemas.openxmlformats.org/officeDocument/2006/relationships/image" Target="media/image61.png"/><Relationship Id="rId6" Type="http://schemas.openxmlformats.org/officeDocument/2006/relationships/image" Target="media/image66.png"/><Relationship Id="rId5" Type="http://schemas.openxmlformats.org/officeDocument/2006/relationships/image" Target="media/image65.png"/><Relationship Id="rId4" Type="http://schemas.openxmlformats.org/officeDocument/2006/relationships/image" Target="media/image64.png"/></Relationships>
</file>

<file path=word/_rels/header2.xml.rels><?xml version="1.0" encoding="UTF-8" standalone="yes"?>
<Relationships xmlns="http://schemas.openxmlformats.org/package/2006/relationships"><Relationship Id="rId3" Type="http://schemas.openxmlformats.org/officeDocument/2006/relationships/image" Target="media/image63.png"/><Relationship Id="rId2" Type="http://schemas.openxmlformats.org/officeDocument/2006/relationships/image" Target="media/image62.png"/><Relationship Id="rId1" Type="http://schemas.openxmlformats.org/officeDocument/2006/relationships/image" Target="media/image61.png"/><Relationship Id="rId6" Type="http://schemas.openxmlformats.org/officeDocument/2006/relationships/image" Target="media/image66.png"/><Relationship Id="rId5" Type="http://schemas.openxmlformats.org/officeDocument/2006/relationships/image" Target="media/image65.png"/><Relationship Id="rId4" Type="http://schemas.openxmlformats.org/officeDocument/2006/relationships/image" Target="media/image6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F6D7-36A8-4703-AD4A-0C863665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54547</Words>
  <Characters>310919</Characters>
  <Application>Microsoft Office Word</Application>
  <DocSecurity>0</DocSecurity>
  <Lines>2590</Lines>
  <Paragraphs>729</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Frankfurt School</Company>
  <LinksUpToDate>false</LinksUpToDate>
  <CharactersWithSpaces>364737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Haizmann</dc:creator>
  <cp:lastModifiedBy>Руслан Кисляк</cp:lastModifiedBy>
  <cp:revision>2</cp:revision>
  <cp:lastPrinted>2019-05-22T16:39:00Z</cp:lastPrinted>
  <dcterms:created xsi:type="dcterms:W3CDTF">2019-06-20T10:09:00Z</dcterms:created>
  <dcterms:modified xsi:type="dcterms:W3CDTF">2019-06-20T10:09:00Z</dcterms:modified>
</cp:coreProperties>
</file>