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ACF2" w14:textId="00BD6813" w:rsidR="003678BB" w:rsidRPr="0060607E" w:rsidRDefault="008606F6" w:rsidP="004172EA">
      <w:pPr>
        <w:spacing w:after="0" w:line="240" w:lineRule="auto"/>
        <w:rPr>
          <w:rFonts w:cs="Arial"/>
          <w:b/>
        </w:rPr>
      </w:pPr>
      <w:r w:rsidRPr="0060607E">
        <w:rPr>
          <w:rFonts w:cs="Arial"/>
          <w:b/>
        </w:rPr>
        <w:t>Інформаційна довідка п</w:t>
      </w:r>
      <w:r w:rsidR="008E32B1" w:rsidRPr="0060607E">
        <w:rPr>
          <w:rFonts w:cs="Arial"/>
          <w:b/>
        </w:rPr>
        <w:t xml:space="preserve">ро </w:t>
      </w:r>
      <w:r w:rsidRPr="0060607E">
        <w:rPr>
          <w:rFonts w:cs="Arial"/>
          <w:b/>
        </w:rPr>
        <w:t>р</w:t>
      </w:r>
      <w:r w:rsidR="008E32B1" w:rsidRPr="0060607E">
        <w:rPr>
          <w:rFonts w:cs="Arial"/>
          <w:b/>
        </w:rPr>
        <w:t xml:space="preserve">еформу </w:t>
      </w:r>
      <w:r w:rsidR="0060607E">
        <w:rPr>
          <w:rFonts w:cs="Arial"/>
          <w:b/>
        </w:rPr>
        <w:t>системи підготовки</w:t>
      </w:r>
      <w:r w:rsidR="008E32B1" w:rsidRPr="0060607E">
        <w:rPr>
          <w:rFonts w:cs="Arial"/>
          <w:b/>
        </w:rPr>
        <w:t xml:space="preserve"> </w:t>
      </w:r>
      <w:r w:rsidR="0060607E">
        <w:rPr>
          <w:rFonts w:cs="Arial"/>
          <w:b/>
        </w:rPr>
        <w:t xml:space="preserve">та атестації </w:t>
      </w:r>
      <w:r w:rsidR="008E32B1" w:rsidRPr="0060607E">
        <w:rPr>
          <w:rFonts w:cs="Arial"/>
          <w:b/>
        </w:rPr>
        <w:t xml:space="preserve">фахівців фондового ринку </w:t>
      </w:r>
    </w:p>
    <w:p w14:paraId="3C6E515B" w14:textId="77777777" w:rsidR="008606F6" w:rsidRPr="00CA43B8" w:rsidRDefault="008606F6" w:rsidP="004172EA">
      <w:pPr>
        <w:spacing w:after="0" w:line="240" w:lineRule="auto"/>
        <w:rPr>
          <w:rFonts w:cs="Arial"/>
        </w:rPr>
      </w:pPr>
    </w:p>
    <w:p w14:paraId="545CA345" w14:textId="227CE3E7" w:rsidR="003678BB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21 грудня 2017 року </w:t>
      </w:r>
      <w:hyperlink r:id="rId7">
        <w:r w:rsidRPr="00CA43B8">
          <w:rPr>
            <w:rFonts w:cs="Arial"/>
            <w:color w:val="0000FF"/>
            <w:u w:val="single"/>
          </w:rPr>
          <w:t>рішенням</w:t>
        </w:r>
      </w:hyperlink>
      <w:r w:rsidRPr="00CA43B8">
        <w:rPr>
          <w:rFonts w:cs="Arial"/>
        </w:rPr>
        <w:t xml:space="preserve"> №909 Національної комісії з цінних паперів та фондового ринку була затверджена Концепція «Підготовка та атестація фахівців фондового ринку та керуючих активами: прозорість і відповідність сучасним вимо</w:t>
      </w:r>
      <w:r w:rsidR="00640689">
        <w:rPr>
          <w:rFonts w:cs="Arial"/>
        </w:rPr>
        <w:t>гам та міжнародним стандартам».</w:t>
      </w:r>
    </w:p>
    <w:p w14:paraId="661F9A6D" w14:textId="77777777" w:rsidR="00640689" w:rsidRPr="00CA43B8" w:rsidRDefault="00640689" w:rsidP="00180CEF">
      <w:pPr>
        <w:spacing w:after="0" w:line="240" w:lineRule="auto"/>
        <w:jc w:val="both"/>
        <w:rPr>
          <w:rFonts w:cs="Arial"/>
        </w:rPr>
      </w:pPr>
    </w:p>
    <w:p w14:paraId="2210A11A" w14:textId="0E29B5FC" w:rsidR="00640689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Ця Концепція розроблялась в рамках</w:t>
      </w:r>
      <w:r w:rsidR="00640689">
        <w:rPr>
          <w:rFonts w:cs="Arial"/>
        </w:rPr>
        <w:t xml:space="preserve"> підписаного </w:t>
      </w:r>
      <w:r w:rsidR="00640689" w:rsidRPr="00640689">
        <w:rPr>
          <w:rFonts w:cs="Arial"/>
        </w:rPr>
        <w:t>2 лютого 2017 року</w:t>
      </w:r>
      <w:r w:rsidRPr="00CA43B8">
        <w:rPr>
          <w:rFonts w:cs="Arial"/>
        </w:rPr>
        <w:t xml:space="preserve"> </w:t>
      </w:r>
      <w:hyperlink r:id="rId8">
        <w:r w:rsidRPr="00CA43B8">
          <w:rPr>
            <w:rFonts w:cs="Arial"/>
            <w:color w:val="0000FF"/>
            <w:u w:val="single"/>
          </w:rPr>
          <w:t>Меморандуму</w:t>
        </w:r>
      </w:hyperlink>
      <w:r w:rsidRPr="00CA43B8">
        <w:rPr>
          <w:rFonts w:cs="Arial"/>
        </w:rPr>
        <w:t xml:space="preserve"> між НКЦПФР та Асоціації інвестиційних п</w:t>
      </w:r>
      <w:r w:rsidR="00315A0C" w:rsidRPr="00CA43B8">
        <w:rPr>
          <w:rFonts w:cs="Arial"/>
        </w:rPr>
        <w:t xml:space="preserve">рофесіоналів CFA </w:t>
      </w:r>
      <w:proofErr w:type="spellStart"/>
      <w:r w:rsidR="00315A0C" w:rsidRPr="00CA43B8">
        <w:rPr>
          <w:rFonts w:cs="Arial"/>
        </w:rPr>
        <w:t>Society</w:t>
      </w:r>
      <w:proofErr w:type="spellEnd"/>
      <w:r w:rsidR="00315A0C" w:rsidRPr="00CA43B8">
        <w:rPr>
          <w:rFonts w:cs="Arial"/>
        </w:rPr>
        <w:t xml:space="preserve"> </w:t>
      </w:r>
      <w:proofErr w:type="spellStart"/>
      <w:r w:rsidR="00315A0C" w:rsidRPr="00CA43B8">
        <w:rPr>
          <w:rFonts w:cs="Arial"/>
        </w:rPr>
        <w:t>Ukrain</w:t>
      </w:r>
      <w:r w:rsidRPr="00CA43B8">
        <w:rPr>
          <w:rFonts w:cs="Arial"/>
        </w:rPr>
        <w:t>e</w:t>
      </w:r>
      <w:proofErr w:type="spellEnd"/>
      <w:r w:rsidRPr="00CA43B8">
        <w:rPr>
          <w:rFonts w:cs="Arial"/>
        </w:rPr>
        <w:t xml:space="preserve">, яка офіційно представляє в Україні міжнародний CFA Інститут. </w:t>
      </w:r>
      <w:r w:rsidR="00640689" w:rsidRPr="00CA43B8">
        <w:rPr>
          <w:rFonts w:cs="Arial"/>
        </w:rPr>
        <w:t>Згодом</w:t>
      </w:r>
      <w:r w:rsidR="00640689">
        <w:rPr>
          <w:rFonts w:cs="Arial"/>
        </w:rPr>
        <w:t>,</w:t>
      </w:r>
      <w:r w:rsidR="00640689" w:rsidRPr="00CA43B8">
        <w:rPr>
          <w:rFonts w:cs="Arial"/>
        </w:rPr>
        <w:t xml:space="preserve"> </w:t>
      </w:r>
      <w:r w:rsidR="00640689" w:rsidRPr="00640689">
        <w:rPr>
          <w:rFonts w:cs="Arial"/>
        </w:rPr>
        <w:t>14 травня 2018 року</w:t>
      </w:r>
      <w:r w:rsidR="00640689">
        <w:rPr>
          <w:rFonts w:cs="Arial"/>
        </w:rPr>
        <w:t>,</w:t>
      </w:r>
      <w:r w:rsidR="00640689" w:rsidRPr="00640689">
        <w:rPr>
          <w:rFonts w:cs="Arial"/>
        </w:rPr>
        <w:t xml:space="preserve"> до Меморандуму </w:t>
      </w:r>
      <w:r w:rsidR="00640689">
        <w:rPr>
          <w:rFonts w:cs="Arial"/>
        </w:rPr>
        <w:t xml:space="preserve">також </w:t>
      </w:r>
      <w:r w:rsidR="00640689" w:rsidRPr="00640689">
        <w:rPr>
          <w:rFonts w:cs="Arial"/>
        </w:rPr>
        <w:t>приєднався Проект USAID “Трансформація фінансового сектору” (FST).</w:t>
      </w:r>
    </w:p>
    <w:p w14:paraId="6762F002" w14:textId="77777777" w:rsidR="004172EA" w:rsidRPr="00CA43B8" w:rsidRDefault="004172EA" w:rsidP="00180CEF">
      <w:pPr>
        <w:spacing w:after="0" w:line="240" w:lineRule="auto"/>
        <w:jc w:val="both"/>
        <w:rPr>
          <w:rFonts w:cs="Arial"/>
        </w:rPr>
      </w:pPr>
    </w:p>
    <w:p w14:paraId="20FA4A87" w14:textId="6CACA406" w:rsidR="003678BB" w:rsidRPr="00CA43B8" w:rsidRDefault="00640689" w:rsidP="00180CE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Концепцією</w:t>
      </w:r>
      <w:r w:rsidR="001C4037" w:rsidRPr="00CA43B8">
        <w:rPr>
          <w:rFonts w:cs="Arial"/>
        </w:rPr>
        <w:t xml:space="preserve"> визначено основні недоліки чинної системи підготовки та атестації фахівців фондового ринку, зокрема:</w:t>
      </w:r>
    </w:p>
    <w:p w14:paraId="3D09CE1F" w14:textId="77777777" w:rsidR="003678BB" w:rsidRPr="00CA43B8" w:rsidRDefault="001C4037" w:rsidP="00180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proofErr w:type="spellStart"/>
      <w:r w:rsidRPr="00CA43B8">
        <w:rPr>
          <w:rFonts w:cs="Arial"/>
        </w:rPr>
        <w:t>низьк</w:t>
      </w:r>
      <w:proofErr w:type="spellEnd"/>
      <w:r w:rsidR="00315A0C" w:rsidRPr="00CA43B8">
        <w:rPr>
          <w:rFonts w:cs="Arial"/>
          <w:lang w:val="ru-RU"/>
        </w:rPr>
        <w:t>а</w:t>
      </w:r>
      <w:r w:rsidRPr="00CA43B8">
        <w:rPr>
          <w:rFonts w:cs="Arial"/>
        </w:rPr>
        <w:t xml:space="preserve"> ефективність системи підготовки та атестації фахівців, що не дозволяє забезпечити учасників ринку висококваліфікованим персоналом;</w:t>
      </w:r>
    </w:p>
    <w:p w14:paraId="3C355FA1" w14:textId="77777777" w:rsidR="003678BB" w:rsidRPr="00CA43B8" w:rsidRDefault="001C4037" w:rsidP="00180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CA43B8">
        <w:rPr>
          <w:rFonts w:cs="Arial"/>
        </w:rPr>
        <w:t>неефективн</w:t>
      </w:r>
      <w:r w:rsidR="00315A0C" w:rsidRPr="00CA43B8">
        <w:rPr>
          <w:rFonts w:cs="Arial"/>
        </w:rPr>
        <w:t xml:space="preserve">а </w:t>
      </w:r>
      <w:r w:rsidRPr="00CA43B8">
        <w:rPr>
          <w:rFonts w:cs="Arial"/>
        </w:rPr>
        <w:t>технічн</w:t>
      </w:r>
      <w:r w:rsidR="00315A0C" w:rsidRPr="00CA43B8">
        <w:rPr>
          <w:rFonts w:cs="Arial"/>
        </w:rPr>
        <w:t>а</w:t>
      </w:r>
      <w:r w:rsidRPr="00CA43B8">
        <w:rPr>
          <w:rFonts w:cs="Arial"/>
        </w:rPr>
        <w:t xml:space="preserve"> систем</w:t>
      </w:r>
      <w:r w:rsidR="00315A0C" w:rsidRPr="00CA43B8">
        <w:rPr>
          <w:rFonts w:cs="Arial"/>
        </w:rPr>
        <w:t>а</w:t>
      </w:r>
      <w:r w:rsidRPr="00CA43B8">
        <w:rPr>
          <w:rFonts w:cs="Arial"/>
        </w:rPr>
        <w:t xml:space="preserve"> проведення тестування, недостатній рівень спеціалізації, застаріл</w:t>
      </w:r>
      <w:r w:rsidR="00315A0C" w:rsidRPr="00CA43B8">
        <w:rPr>
          <w:rFonts w:cs="Arial"/>
        </w:rPr>
        <w:t>а</w:t>
      </w:r>
      <w:r w:rsidRPr="00CA43B8">
        <w:rPr>
          <w:rFonts w:cs="Arial"/>
        </w:rPr>
        <w:t xml:space="preserve"> програм</w:t>
      </w:r>
      <w:r w:rsidR="00315A0C" w:rsidRPr="00CA43B8">
        <w:rPr>
          <w:rFonts w:cs="Arial"/>
        </w:rPr>
        <w:t>а</w:t>
      </w:r>
      <w:r w:rsidRPr="00CA43B8">
        <w:rPr>
          <w:rFonts w:cs="Arial"/>
        </w:rPr>
        <w:t xml:space="preserve"> перевірки знань з відсутністю етичної складової, що не відповідає кращим європейським зразкам;</w:t>
      </w:r>
    </w:p>
    <w:p w14:paraId="66A275E8" w14:textId="77777777" w:rsidR="003678BB" w:rsidRPr="00CA43B8" w:rsidRDefault="001C4037" w:rsidP="00180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CA43B8">
        <w:rPr>
          <w:rFonts w:cs="Arial"/>
        </w:rPr>
        <w:t>відсутність ефективного контролю з боку регулятора за процесом та результатами підготовки і атестації фахівців і, як наслідок, неможливість аналізу ефективності цих процесів.</w:t>
      </w:r>
    </w:p>
    <w:p w14:paraId="2C3FEBB0" w14:textId="77777777" w:rsidR="00640689" w:rsidRDefault="00640689" w:rsidP="00180CEF">
      <w:pPr>
        <w:spacing w:after="0" w:line="240" w:lineRule="auto"/>
        <w:jc w:val="both"/>
        <w:rPr>
          <w:rFonts w:cs="Arial"/>
        </w:rPr>
      </w:pPr>
    </w:p>
    <w:p w14:paraId="01923DFF" w14:textId="5313CAF3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Концепція передбачає створення ефективної системи підготовки та атестації фахівців фондового ринку із акцентом на професійні компетенції, та заснованої на незалежній оцінці кандидатів згідно з кращими світовими практиками. </w:t>
      </w:r>
    </w:p>
    <w:p w14:paraId="1D155225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626104A6" w14:textId="77777777" w:rsidR="003678BB" w:rsidRPr="00640689" w:rsidRDefault="001C4037" w:rsidP="00180CEF">
      <w:pPr>
        <w:spacing w:after="0" w:line="240" w:lineRule="auto"/>
        <w:jc w:val="both"/>
        <w:rPr>
          <w:rFonts w:cs="Arial"/>
          <w:b/>
        </w:rPr>
      </w:pPr>
      <w:r w:rsidRPr="00640689">
        <w:rPr>
          <w:rFonts w:cs="Arial"/>
          <w:b/>
        </w:rPr>
        <w:t>Два рівні атестації</w:t>
      </w:r>
    </w:p>
    <w:p w14:paraId="55FD0984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3EFC4A2B" w14:textId="77777777" w:rsidR="003678BB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Концепція запроваджує два рівні атестації. Первинна атестація для осіб, які вперше отримують сертифікат фахівця фондового ринку, перевірятиме чотири блоки знань: загальна теорія, законодавство, практичні завдання та професійна етика. Повторна атестація передбачає подальший професійний розвиток та подовження терміну дії сертифіката, проводиться через три роки (+ три місяці) після первинної (попередньої)</w:t>
      </w:r>
      <w:r w:rsidR="00096EB2" w:rsidRPr="00CA43B8">
        <w:rPr>
          <w:rFonts w:cs="Arial"/>
          <w:lang w:val="ru-RU"/>
        </w:rPr>
        <w:t>.</w:t>
      </w:r>
      <w:r w:rsidRPr="00CA43B8">
        <w:rPr>
          <w:rFonts w:cs="Arial"/>
        </w:rPr>
        <w:t xml:space="preserve"> </w:t>
      </w:r>
      <w:r w:rsidR="00096EB2" w:rsidRPr="00CA43B8">
        <w:rPr>
          <w:rFonts w:cs="Arial"/>
        </w:rPr>
        <w:t xml:space="preserve">Перевірятимуться </w:t>
      </w:r>
      <w:r w:rsidRPr="00CA43B8">
        <w:rPr>
          <w:rFonts w:cs="Arial"/>
        </w:rPr>
        <w:t>лише три блоки знань (без загальної теорії). Якщо особа має міжнародний професійний сертифікат, то їй надається право не складати певний блок іспиту, який покривається даним сертифікатом.</w:t>
      </w:r>
    </w:p>
    <w:p w14:paraId="395DBF72" w14:textId="77777777" w:rsidR="00640689" w:rsidRPr="00CA43B8" w:rsidRDefault="00640689" w:rsidP="00180CEF">
      <w:pPr>
        <w:spacing w:after="0" w:line="240" w:lineRule="auto"/>
        <w:jc w:val="both"/>
        <w:rPr>
          <w:rFonts w:cs="Arial"/>
        </w:rPr>
      </w:pPr>
    </w:p>
    <w:p w14:paraId="6FB62E35" w14:textId="77777777" w:rsidR="003678BB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Загалом концепція запроваджує безперервний професійний розвиток фахівців; розширює формати навчання (є можливість онлайн навчання); повністю розмежовує процеси підготовки кваліфікаційних іспитів та їх прийому; підвищує якість навчальних програм за рахунок запозичення напрацювань міжнародних організацій; доповнює навчальні програми та іспити практичними кейсами та </w:t>
      </w:r>
      <w:proofErr w:type="spellStart"/>
      <w:r w:rsidRPr="00CA43B8">
        <w:rPr>
          <w:rFonts w:cs="Arial"/>
        </w:rPr>
        <w:t>компонентою</w:t>
      </w:r>
      <w:proofErr w:type="spellEnd"/>
      <w:r w:rsidRPr="00CA43B8">
        <w:rPr>
          <w:rFonts w:cs="Arial"/>
        </w:rPr>
        <w:t xml:space="preserve"> щодо професійної етики; має на меті підвищити об’єктивність оцінювання.</w:t>
      </w:r>
    </w:p>
    <w:p w14:paraId="5C863E52" w14:textId="77777777" w:rsidR="00640689" w:rsidRPr="00CA43B8" w:rsidRDefault="00640689" w:rsidP="00180CEF">
      <w:pPr>
        <w:spacing w:after="0" w:line="240" w:lineRule="auto"/>
        <w:jc w:val="both"/>
        <w:rPr>
          <w:rFonts w:cs="Arial"/>
        </w:rPr>
      </w:pPr>
    </w:p>
    <w:p w14:paraId="3B17983F" w14:textId="77777777" w:rsidR="003678BB" w:rsidRPr="00640689" w:rsidRDefault="001C4037" w:rsidP="00180CEF">
      <w:pPr>
        <w:spacing w:after="0" w:line="240" w:lineRule="auto"/>
        <w:jc w:val="both"/>
        <w:rPr>
          <w:rFonts w:cs="Arial"/>
          <w:b/>
        </w:rPr>
      </w:pPr>
      <w:r w:rsidRPr="00640689">
        <w:rPr>
          <w:rFonts w:cs="Arial"/>
          <w:b/>
        </w:rPr>
        <w:t>Тестові завдання та навчальні програми</w:t>
      </w:r>
    </w:p>
    <w:p w14:paraId="2511BBB0" w14:textId="77777777" w:rsidR="00640689" w:rsidRPr="00CA43B8" w:rsidRDefault="00640689" w:rsidP="00180CEF">
      <w:pPr>
        <w:spacing w:after="0" w:line="240" w:lineRule="auto"/>
        <w:jc w:val="both"/>
        <w:rPr>
          <w:rFonts w:cs="Arial"/>
        </w:rPr>
      </w:pPr>
    </w:p>
    <w:p w14:paraId="797D70EE" w14:textId="5AE4B0E3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Якість навчальних програм у вищих навчальних закладах, які мають право здійснювати навчання, відповідно до договорів з НКЦПФР, </w:t>
      </w:r>
      <w:r w:rsidR="00640689">
        <w:rPr>
          <w:rFonts w:cs="Arial"/>
        </w:rPr>
        <w:t xml:space="preserve">наразі </w:t>
      </w:r>
      <w:r w:rsidRPr="00CA43B8">
        <w:rPr>
          <w:rFonts w:cs="Arial"/>
        </w:rPr>
        <w:t xml:space="preserve">є </w:t>
      </w:r>
      <w:r w:rsidR="00640689">
        <w:rPr>
          <w:rFonts w:cs="Arial"/>
        </w:rPr>
        <w:t>низькою і не відповідає потребам часу</w:t>
      </w:r>
      <w:r w:rsidRPr="00CA43B8">
        <w:rPr>
          <w:rFonts w:cs="Arial"/>
        </w:rPr>
        <w:t>.</w:t>
      </w:r>
      <w:r w:rsidR="00180CEF">
        <w:rPr>
          <w:rFonts w:cs="Arial"/>
        </w:rPr>
        <w:t xml:space="preserve"> </w:t>
      </w:r>
      <w:r w:rsidRPr="00CA43B8">
        <w:rPr>
          <w:rFonts w:cs="Arial"/>
        </w:rPr>
        <w:t>Проектом змін передбачено осучаснення програм та надання можливості проходити навчання у різних (навчальних) закладах</w:t>
      </w:r>
      <w:r w:rsidR="00180CEF">
        <w:rPr>
          <w:rFonts w:cs="Arial"/>
        </w:rPr>
        <w:t xml:space="preserve"> і в більш сучасних форматах</w:t>
      </w:r>
      <w:r w:rsidRPr="00CA43B8">
        <w:rPr>
          <w:rFonts w:cs="Arial"/>
        </w:rPr>
        <w:t>.</w:t>
      </w:r>
    </w:p>
    <w:p w14:paraId="06CDB7EA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5C624FB9" w14:textId="77777777" w:rsidR="003678BB" w:rsidRPr="00180CEF" w:rsidRDefault="001C4037" w:rsidP="00180CEF">
      <w:pPr>
        <w:spacing w:after="0" w:line="240" w:lineRule="auto"/>
        <w:jc w:val="both"/>
        <w:rPr>
          <w:rFonts w:cs="Arial"/>
          <w:b/>
        </w:rPr>
      </w:pPr>
      <w:r w:rsidRPr="00180CEF">
        <w:rPr>
          <w:rFonts w:cs="Arial"/>
          <w:b/>
        </w:rPr>
        <w:t>Система оцінювання</w:t>
      </w:r>
    </w:p>
    <w:p w14:paraId="4FC2FF6C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42995063" w14:textId="6EE503F9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Система оцінювання в Україні не розрізняє сильних та слабких фахівців, що контрастує зі світовим досвідом.</w:t>
      </w:r>
      <w:r w:rsidR="00180CEF">
        <w:rPr>
          <w:rFonts w:cs="Arial"/>
        </w:rPr>
        <w:t xml:space="preserve"> </w:t>
      </w:r>
    </w:p>
    <w:p w14:paraId="19084FAB" w14:textId="62D651C7" w:rsidR="00180CEF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lastRenderedPageBreak/>
        <w:t>Однією з ознак такої проблеми є дуже</w:t>
      </w:r>
      <w:r w:rsidR="00180CEF">
        <w:rPr>
          <w:rFonts w:cs="Arial"/>
        </w:rPr>
        <w:t xml:space="preserve"> високий відсоток здачі іспитів. </w:t>
      </w:r>
      <w:r w:rsidRPr="00CA43B8">
        <w:rPr>
          <w:rFonts w:cs="Arial"/>
        </w:rPr>
        <w:t>Частка фахівців, що склали кваліфікаційний іспит станом на 13.09.2017 року</w:t>
      </w:r>
      <w:r w:rsidR="00180CEF">
        <w:rPr>
          <w:rFonts w:cs="Arial"/>
        </w:rPr>
        <w:t>,</w:t>
      </w:r>
      <w:r w:rsidRPr="00CA43B8">
        <w:rPr>
          <w:rFonts w:cs="Arial"/>
        </w:rPr>
        <w:t xml:space="preserve"> становить 97,1%. Водночас міжнародний досвід свідчить, що успішність складання іспитів </w:t>
      </w:r>
      <w:r w:rsidR="00180CEF">
        <w:rPr>
          <w:rFonts w:cs="Arial"/>
        </w:rPr>
        <w:t xml:space="preserve">зазвичай нижче, зокрема </w:t>
      </w:r>
      <w:r w:rsidRPr="00CA43B8">
        <w:rPr>
          <w:rFonts w:cs="Arial"/>
        </w:rPr>
        <w:t>у США - 86%, Франція - 66%, CFA (перший рівень) - 42%.</w:t>
      </w:r>
    </w:p>
    <w:p w14:paraId="4573154D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6B050928" w14:textId="3476E1D9" w:rsidR="004172EA" w:rsidRPr="00180CEF" w:rsidRDefault="001C4037" w:rsidP="00180CEF">
      <w:pPr>
        <w:spacing w:after="0" w:line="240" w:lineRule="auto"/>
        <w:jc w:val="both"/>
        <w:rPr>
          <w:rFonts w:cs="Arial"/>
          <w:b/>
        </w:rPr>
      </w:pPr>
      <w:r w:rsidRPr="00180CEF">
        <w:rPr>
          <w:rFonts w:cs="Arial"/>
          <w:b/>
        </w:rPr>
        <w:t>Кваліфікаційний іспит</w:t>
      </w:r>
    </w:p>
    <w:p w14:paraId="3B3D29BC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74EC35D0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Оновлений іспит відрізнятиметься не лише переліком блоків знань, а й форматом, наближеним до найкращих світових стандартів:</w:t>
      </w:r>
    </w:p>
    <w:p w14:paraId="24D96B6B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- усі завдання виконуються письмово/електронно,</w:t>
      </w:r>
    </w:p>
    <w:p w14:paraId="43FAAF47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- іспити проводяться двічі на рік,</w:t>
      </w:r>
    </w:p>
    <w:p w14:paraId="0323149B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- формат іспиту - лише тестові завдання (обрати правильну відповідь з кількох запропонованих). </w:t>
      </w:r>
    </w:p>
    <w:p w14:paraId="530C35E7" w14:textId="77777777" w:rsidR="00180CEF" w:rsidRDefault="00180CEF" w:rsidP="00180CEF">
      <w:pPr>
        <w:spacing w:after="0" w:line="240" w:lineRule="auto"/>
        <w:jc w:val="both"/>
        <w:rPr>
          <w:rFonts w:cs="Arial"/>
        </w:rPr>
      </w:pPr>
    </w:p>
    <w:p w14:paraId="73DA41AB" w14:textId="77777777" w:rsidR="003678BB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 xml:space="preserve">Задля успішного складання іспиту учасник повинен набрати мінімальну кількість балів за кожним із блоків. У разі неотримання мінімальної кількості балів хоча б за одним із блоків - іспит вважається не складеним.  </w:t>
      </w:r>
    </w:p>
    <w:p w14:paraId="167CCD5D" w14:textId="77777777" w:rsidR="00180CEF" w:rsidRPr="00CA43B8" w:rsidRDefault="00180CEF" w:rsidP="00180CEF">
      <w:pPr>
        <w:spacing w:after="0" w:line="240" w:lineRule="auto"/>
        <w:jc w:val="both"/>
        <w:rPr>
          <w:rFonts w:cs="Arial"/>
        </w:rPr>
      </w:pPr>
    </w:p>
    <w:p w14:paraId="17162248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Передбачена можливість зараховувати результати успішно складених іспитів та отриманих сертифікатів визнаних міжнародних професійних організацій і асоціацій (CFA, CIIA, SFDR та інших). Особі надається право не складати відповідний блок чи декілька блоків іспиту, які покриваються таким сертифікатом.</w:t>
      </w:r>
    </w:p>
    <w:p w14:paraId="4A3DF1D3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472DD097" w14:textId="77777777" w:rsidR="003678BB" w:rsidRPr="00180CEF" w:rsidRDefault="001C4037" w:rsidP="00180CEF">
      <w:pPr>
        <w:spacing w:after="0" w:line="240" w:lineRule="auto"/>
        <w:jc w:val="both"/>
        <w:rPr>
          <w:rFonts w:cs="Arial"/>
          <w:b/>
        </w:rPr>
      </w:pPr>
      <w:r w:rsidRPr="00180CEF">
        <w:rPr>
          <w:rFonts w:cs="Arial"/>
          <w:b/>
        </w:rPr>
        <w:t>Професійна етика</w:t>
      </w:r>
    </w:p>
    <w:p w14:paraId="4899AAE5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43A7FFAE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Наразі у процесі атестації фахівців не здійснюється перевірка знань професійної етики. Але світова практика свідчить, що ця компонента є досить актуальним питанням для забезпечення ефективної системи сертифікації фахівців фондового ринку.</w:t>
      </w:r>
    </w:p>
    <w:p w14:paraId="32E2F9E6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1F089359" w14:textId="77777777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Передумовою включення питань з професійної етики до програм іспитів є формування, обговорення та прийняття професійними організаціями та регулятором єдиного Етичного кодексу.</w:t>
      </w:r>
    </w:p>
    <w:p w14:paraId="4383D083" w14:textId="77777777" w:rsidR="004172EA" w:rsidRDefault="004172EA" w:rsidP="00180CEF">
      <w:pPr>
        <w:spacing w:after="0" w:line="240" w:lineRule="auto"/>
        <w:jc w:val="both"/>
        <w:rPr>
          <w:rFonts w:cs="Arial"/>
        </w:rPr>
      </w:pPr>
    </w:p>
    <w:p w14:paraId="27098EB5" w14:textId="2A8A9721" w:rsidR="003678BB" w:rsidRPr="00CA43B8" w:rsidRDefault="001C4037" w:rsidP="00180CEF">
      <w:pPr>
        <w:spacing w:after="0" w:line="240" w:lineRule="auto"/>
        <w:jc w:val="both"/>
        <w:rPr>
          <w:rFonts w:cs="Arial"/>
        </w:rPr>
      </w:pPr>
      <w:r w:rsidRPr="00CA43B8">
        <w:rPr>
          <w:rFonts w:cs="Arial"/>
        </w:rPr>
        <w:t>З Концепц</w:t>
      </w:r>
      <w:r w:rsidR="00096EB2" w:rsidRPr="00CA43B8">
        <w:rPr>
          <w:rFonts w:cs="Arial"/>
        </w:rPr>
        <w:t>ією</w:t>
      </w:r>
      <w:r w:rsidRPr="00CA43B8">
        <w:rPr>
          <w:rFonts w:cs="Arial"/>
        </w:rPr>
        <w:t xml:space="preserve"> </w:t>
      </w:r>
      <w:r w:rsidR="00180CEF">
        <w:rPr>
          <w:rFonts w:cs="Arial"/>
        </w:rPr>
        <w:t>реформування</w:t>
      </w:r>
      <w:r w:rsidRPr="00CA43B8">
        <w:rPr>
          <w:rFonts w:cs="Arial"/>
        </w:rPr>
        <w:t xml:space="preserve"> системи підготовки та атестації фахівців фондового ринку можна ознайомитись за </w:t>
      </w:r>
      <w:hyperlink r:id="rId9" w:history="1">
        <w:r w:rsidRPr="00CA43B8">
          <w:rPr>
            <w:rStyle w:val="a5"/>
            <w:rFonts w:cs="Arial"/>
          </w:rPr>
          <w:t>посилан</w:t>
        </w:r>
        <w:r w:rsidRPr="00CA43B8">
          <w:rPr>
            <w:rStyle w:val="a5"/>
            <w:rFonts w:cs="Arial"/>
          </w:rPr>
          <w:t>н</w:t>
        </w:r>
        <w:r w:rsidRPr="00CA43B8">
          <w:rPr>
            <w:rStyle w:val="a5"/>
            <w:rFonts w:cs="Arial"/>
          </w:rPr>
          <w:t>ям</w:t>
        </w:r>
      </w:hyperlink>
      <w:r w:rsidRPr="00CA43B8">
        <w:rPr>
          <w:rFonts w:cs="Arial"/>
        </w:rPr>
        <w:t>.</w:t>
      </w:r>
    </w:p>
    <w:p w14:paraId="527DE9EB" w14:textId="77777777" w:rsidR="004172EA" w:rsidRPr="00CA43B8" w:rsidRDefault="004172EA" w:rsidP="00180CEF">
      <w:pPr>
        <w:jc w:val="both"/>
        <w:rPr>
          <w:rFonts w:cs="Arial"/>
        </w:rPr>
      </w:pPr>
      <w:bookmarkStart w:id="0" w:name="_GoBack"/>
      <w:bookmarkEnd w:id="0"/>
    </w:p>
    <w:sectPr w:rsidR="004172EA" w:rsidRPr="00CA43B8" w:rsidSect="00CA43B8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F9360" w14:textId="77777777" w:rsidR="000821E1" w:rsidRDefault="000821E1" w:rsidP="008E32B1">
      <w:pPr>
        <w:spacing w:after="0" w:line="240" w:lineRule="auto"/>
      </w:pPr>
      <w:r>
        <w:separator/>
      </w:r>
    </w:p>
  </w:endnote>
  <w:endnote w:type="continuationSeparator" w:id="0">
    <w:p w14:paraId="146C181E" w14:textId="77777777" w:rsidR="000821E1" w:rsidRDefault="000821E1" w:rsidP="008E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6C0BA" w14:textId="77777777" w:rsidR="000821E1" w:rsidRDefault="000821E1" w:rsidP="008E32B1">
      <w:pPr>
        <w:spacing w:after="0" w:line="240" w:lineRule="auto"/>
      </w:pPr>
      <w:r>
        <w:separator/>
      </w:r>
    </w:p>
  </w:footnote>
  <w:footnote w:type="continuationSeparator" w:id="0">
    <w:p w14:paraId="37C895A1" w14:textId="77777777" w:rsidR="000821E1" w:rsidRDefault="000821E1" w:rsidP="008E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61530" w14:textId="77777777" w:rsidR="008E32B1" w:rsidRDefault="008E32B1">
    <w:pPr>
      <w:pStyle w:val="a6"/>
    </w:pPr>
  </w:p>
  <w:p w14:paraId="4C67C381" w14:textId="77777777" w:rsidR="008E32B1" w:rsidRDefault="008E32B1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359C6"/>
    <w:multiLevelType w:val="multilevel"/>
    <w:tmpl w:val="99E6AA7C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BB"/>
    <w:rsid w:val="000821E1"/>
    <w:rsid w:val="00096EB2"/>
    <w:rsid w:val="00180CEF"/>
    <w:rsid w:val="001C4037"/>
    <w:rsid w:val="00315A0C"/>
    <w:rsid w:val="003678BB"/>
    <w:rsid w:val="004172EA"/>
    <w:rsid w:val="0060607E"/>
    <w:rsid w:val="00640689"/>
    <w:rsid w:val="007B0A67"/>
    <w:rsid w:val="008606F6"/>
    <w:rsid w:val="008E32B1"/>
    <w:rsid w:val="009F2334"/>
    <w:rsid w:val="00C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5E71D"/>
  <w15:docId w15:val="{87311D2C-531C-4C74-9118-65E89F9D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C403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2B1"/>
  </w:style>
  <w:style w:type="paragraph" w:styleId="a8">
    <w:name w:val="footer"/>
    <w:basedOn w:val="a"/>
    <w:link w:val="a9"/>
    <w:uiPriority w:val="99"/>
    <w:unhideWhenUsed/>
    <w:rsid w:val="008E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2B1"/>
  </w:style>
  <w:style w:type="character" w:styleId="aa">
    <w:name w:val="FollowedHyperlink"/>
    <w:basedOn w:val="a0"/>
    <w:uiPriority w:val="99"/>
    <w:semiHidden/>
    <w:unhideWhenUsed/>
    <w:rsid w:val="00180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nssmc.gov.ua/documents/pdgotovka-ta-atestatsya-fahvtsv-fondovogo-rinku-ta-keruyutchih-aktivami-prozorsty-vdpovdnsty-sutchasnim-vimogam-ta-mz/" TargetMode="External"/><Relationship Id="rId8" Type="http://schemas.openxmlformats.org/officeDocument/2006/relationships/hyperlink" Target="https://www.nssmc.gov.ua/2017/02/02/nktspfr-pdpisala-z-cfa-society-ukraine-memorandum-pro-reformuvannya-sistemi-sertifkats-fahvtsv-fondovogo-rinku/" TargetMode="External"/><Relationship Id="rId9" Type="http://schemas.openxmlformats.org/officeDocument/2006/relationships/hyperlink" Target="https://www.nssmc.gov.ua/documents/pdgotovka-ta-atestatsya-fahvtsv-fondovogo-rinku-ta-keruyutchih-aktivami-prozorsty-vdpovdnsty-sutchasnim-vimogam-ta-mz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785</Words>
  <Characters>4542</Characters>
  <Application>Microsoft Macintosh Word</Application>
  <DocSecurity>0</DocSecurity>
  <Lines>119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Yurgentum</dc:creator>
  <cp:lastModifiedBy>Ольга Кам</cp:lastModifiedBy>
  <cp:revision>4</cp:revision>
  <dcterms:created xsi:type="dcterms:W3CDTF">2018-06-12T09:15:00Z</dcterms:created>
  <dcterms:modified xsi:type="dcterms:W3CDTF">2018-06-12T09:48:00Z</dcterms:modified>
</cp:coreProperties>
</file>