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53" w:rsidRPr="00C0524C" w:rsidRDefault="003D0253" w:rsidP="003D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Аналіз впливу регуляторного </w:t>
      </w:r>
      <w:proofErr w:type="spellStart"/>
      <w:r w:rsidRPr="00C052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акта</w:t>
      </w:r>
      <w:proofErr w:type="spellEnd"/>
    </w:p>
    <w:p w:rsidR="003D0253" w:rsidRPr="00C0524C" w:rsidRDefault="003D0253" w:rsidP="0070488D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052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до проекту рішення Національної комісії з цінних паперів та фондового ринку «</w:t>
      </w:r>
      <w:r w:rsidR="00601B59" w:rsidRPr="00C0524C">
        <w:rPr>
          <w:rFonts w:ascii="Times New Roman" w:hAnsi="Times New Roman" w:cs="Times New Roman"/>
          <w:b/>
          <w:sz w:val="27"/>
          <w:szCs w:val="27"/>
        </w:rPr>
        <w:t>Про затвердження Порядку ведення реєстру оцінювачів, які можуть проводити незалежну оцінку у випадках, встановлених законодавством про цінні папери та акціонерні товариства»</w:t>
      </w:r>
    </w:p>
    <w:p w:rsidR="00BA4C77" w:rsidRPr="00C0524C" w:rsidRDefault="00BA4C77" w:rsidP="003D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A4C77" w:rsidRPr="00C0524C" w:rsidRDefault="00BA4C77" w:rsidP="00BA4C7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І. Визначення проблеми</w:t>
      </w:r>
    </w:p>
    <w:p w:rsidR="00BA4C77" w:rsidRPr="00C0524C" w:rsidRDefault="00BA4C77" w:rsidP="00BA4C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D1895" w:rsidRPr="00C0524C" w:rsidRDefault="003D1895" w:rsidP="003D18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законодавстві України відбулися зміни, зокрема </w:t>
      </w:r>
      <w:r w:rsidR="00B925FA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B925FA">
        <w:rPr>
          <w:rFonts w:ascii="Times New Roman" w:hAnsi="Times New Roman" w:cs="Times New Roman"/>
          <w:sz w:val="27"/>
          <w:szCs w:val="27"/>
        </w:rPr>
        <w:t xml:space="preserve"> законодавст</w:t>
      </w:r>
      <w:r w:rsidR="008B57D0">
        <w:rPr>
          <w:rFonts w:ascii="Times New Roman" w:hAnsi="Times New Roman" w:cs="Times New Roman"/>
          <w:sz w:val="27"/>
          <w:szCs w:val="27"/>
        </w:rPr>
        <w:t>в</w:t>
      </w:r>
      <w:r w:rsidR="00B925FA">
        <w:rPr>
          <w:rFonts w:ascii="Times New Roman" w:hAnsi="Times New Roman" w:cs="Times New Roman"/>
          <w:sz w:val="27"/>
          <w:szCs w:val="27"/>
        </w:rPr>
        <w:t>і</w:t>
      </w:r>
      <w:r w:rsidRPr="00C0524C">
        <w:rPr>
          <w:rFonts w:ascii="Times New Roman" w:hAnsi="Times New Roman" w:cs="Times New Roman"/>
          <w:sz w:val="27"/>
          <w:szCs w:val="27"/>
        </w:rPr>
        <w:t xml:space="preserve"> про акціонерні товариства</w:t>
      </w:r>
      <w:r w:rsidR="00B925FA">
        <w:rPr>
          <w:rFonts w:ascii="Times New Roman" w:hAnsi="Times New Roman" w:cs="Times New Roman"/>
          <w:sz w:val="27"/>
          <w:szCs w:val="27"/>
        </w:rPr>
        <w:t>, а саме</w:t>
      </w:r>
      <w:r w:rsidR="008B57D0">
        <w:rPr>
          <w:rFonts w:ascii="Times New Roman" w:hAnsi="Times New Roman" w:cs="Times New Roman"/>
          <w:sz w:val="27"/>
          <w:szCs w:val="27"/>
        </w:rPr>
        <w:t>, прийнято</w:t>
      </w:r>
      <w:r w:rsidRPr="00C0524C">
        <w:rPr>
          <w:rFonts w:ascii="Times New Roman" w:hAnsi="Times New Roman" w:cs="Times New Roman"/>
          <w:sz w:val="27"/>
          <w:szCs w:val="27"/>
        </w:rPr>
        <w:t xml:space="preserve"> Закон України «</w:t>
      </w:r>
      <w:r w:rsidRPr="00C0524C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Про внесення змін до деяких законодавчих актів України щодо підвищення рівня корпоративного управління в акціонерних товариствах»</w:t>
      </w:r>
      <w:r w:rsidR="008B57D0" w:rsidRPr="00C0524C">
        <w:rPr>
          <w:rFonts w:ascii="Times New Roman" w:hAnsi="Times New Roman" w:cs="Times New Roman"/>
          <w:sz w:val="27"/>
          <w:szCs w:val="27"/>
        </w:rPr>
        <w:t xml:space="preserve"> </w:t>
      </w:r>
      <w:r w:rsidR="005004A5">
        <w:rPr>
          <w:rFonts w:ascii="Times New Roman" w:hAnsi="Times New Roman" w:cs="Times New Roman"/>
          <w:sz w:val="27"/>
          <w:szCs w:val="27"/>
        </w:rPr>
        <w:t>від 23.03</w:t>
      </w:r>
      <w:r w:rsidR="005004A5" w:rsidRPr="00C0524C">
        <w:rPr>
          <w:rFonts w:ascii="Times New Roman" w:hAnsi="Times New Roman" w:cs="Times New Roman"/>
          <w:sz w:val="27"/>
          <w:szCs w:val="27"/>
        </w:rPr>
        <w:t xml:space="preserve">.17 № </w:t>
      </w:r>
      <w:r w:rsidR="005004A5">
        <w:rPr>
          <w:rFonts w:ascii="Times New Roman" w:hAnsi="Times New Roman" w:cs="Times New Roman"/>
          <w:sz w:val="27"/>
          <w:szCs w:val="27"/>
        </w:rPr>
        <w:t>1983</w:t>
      </w:r>
      <w:r w:rsidR="005004A5" w:rsidRPr="00C0524C">
        <w:rPr>
          <w:rFonts w:ascii="Times New Roman" w:hAnsi="Times New Roman" w:cs="Times New Roman"/>
          <w:sz w:val="27"/>
          <w:szCs w:val="27"/>
        </w:rPr>
        <w:t>-</w:t>
      </w:r>
      <w:r w:rsidR="005004A5" w:rsidRPr="00C0524C">
        <w:rPr>
          <w:rFonts w:ascii="Times New Roman" w:hAnsi="Times New Roman" w:cs="Times New Roman"/>
          <w:sz w:val="27"/>
          <w:szCs w:val="27"/>
          <w:lang w:val="en-US"/>
        </w:rPr>
        <w:t>VI</w:t>
      </w:r>
      <w:r w:rsidR="005004A5" w:rsidRPr="00C0524C">
        <w:rPr>
          <w:rFonts w:ascii="Times New Roman" w:hAnsi="Times New Roman" w:cs="Times New Roman"/>
          <w:sz w:val="27"/>
          <w:szCs w:val="27"/>
        </w:rPr>
        <w:t>І</w:t>
      </w:r>
      <w:r w:rsidR="005004A5">
        <w:rPr>
          <w:rFonts w:ascii="Times New Roman" w:hAnsi="Times New Roman" w:cs="Times New Roman"/>
          <w:sz w:val="27"/>
          <w:szCs w:val="27"/>
        </w:rPr>
        <w:t>І</w:t>
      </w:r>
      <w:r w:rsidR="008B57D0" w:rsidRPr="00C0524C">
        <w:rPr>
          <w:rFonts w:ascii="Times New Roman" w:hAnsi="Times New Roman" w:cs="Times New Roman"/>
          <w:sz w:val="27"/>
          <w:szCs w:val="27"/>
        </w:rPr>
        <w:t xml:space="preserve"> </w:t>
      </w:r>
      <w:r w:rsidRPr="00C0524C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та</w:t>
      </w:r>
      <w:r w:rsidRPr="008B57D0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 xml:space="preserve"> Закон України </w:t>
      </w:r>
      <w:r w:rsidRPr="00C0524C">
        <w:rPr>
          <w:rFonts w:ascii="Times New Roman" w:hAnsi="Times New Roman" w:cs="Times New Roman"/>
          <w:sz w:val="27"/>
          <w:szCs w:val="27"/>
        </w:rPr>
        <w:t>«Про внесення змін до деяких законодавчих актів України щодо спрощення ведення бізнесу та залучення інвест</w:t>
      </w:r>
      <w:r w:rsidR="00821F02" w:rsidRPr="00C0524C">
        <w:rPr>
          <w:rFonts w:ascii="Times New Roman" w:hAnsi="Times New Roman" w:cs="Times New Roman"/>
          <w:sz w:val="27"/>
          <w:szCs w:val="27"/>
        </w:rPr>
        <w:t>ицій емітентами цінних паперів»</w:t>
      </w: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B57D0" w:rsidRPr="00C0524C">
        <w:rPr>
          <w:rFonts w:ascii="Times New Roman" w:hAnsi="Times New Roman" w:cs="Times New Roman"/>
          <w:sz w:val="27"/>
          <w:szCs w:val="27"/>
        </w:rPr>
        <w:t xml:space="preserve">від 16.11.17 </w:t>
      </w:r>
      <w:r w:rsidR="005004A5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8B57D0" w:rsidRPr="00C0524C">
        <w:rPr>
          <w:rFonts w:ascii="Times New Roman" w:hAnsi="Times New Roman" w:cs="Times New Roman"/>
          <w:sz w:val="27"/>
          <w:szCs w:val="27"/>
        </w:rPr>
        <w:t>№ 2210-</w:t>
      </w:r>
      <w:r w:rsidR="008B57D0" w:rsidRPr="00C0524C">
        <w:rPr>
          <w:rFonts w:ascii="Times New Roman" w:hAnsi="Times New Roman" w:cs="Times New Roman"/>
          <w:sz w:val="27"/>
          <w:szCs w:val="27"/>
          <w:lang w:val="en-US"/>
        </w:rPr>
        <w:t>VI</w:t>
      </w:r>
      <w:r w:rsidR="008B57D0" w:rsidRPr="00C0524C">
        <w:rPr>
          <w:rFonts w:ascii="Times New Roman" w:hAnsi="Times New Roman" w:cs="Times New Roman"/>
          <w:sz w:val="27"/>
          <w:szCs w:val="27"/>
        </w:rPr>
        <w:t>ІІ</w:t>
      </w:r>
      <w:r w:rsidR="008B57D0">
        <w:rPr>
          <w:rFonts w:ascii="Times New Roman" w:hAnsi="Times New Roman" w:cs="Times New Roman"/>
          <w:sz w:val="27"/>
          <w:szCs w:val="27"/>
        </w:rPr>
        <w:t>,</w:t>
      </w:r>
      <w:r w:rsidR="008B57D0"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що </w:t>
      </w:r>
      <w:r w:rsidR="005004A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вимагають</w:t>
      </w: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розробки</w:t>
      </w:r>
      <w:r w:rsidRPr="008B57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нових</w:t>
      </w: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нормативно-правових актів</w:t>
      </w:r>
      <w:r w:rsidRPr="008B57D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D1895" w:rsidRPr="00C0524C" w:rsidRDefault="003D1895" w:rsidP="003D18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24C">
        <w:rPr>
          <w:rFonts w:ascii="Times New Roman" w:hAnsi="Times New Roman" w:cs="Times New Roman"/>
          <w:sz w:val="27"/>
          <w:szCs w:val="27"/>
        </w:rPr>
        <w:t>Так</w:t>
      </w:r>
      <w:r w:rsidR="00E75036" w:rsidRPr="00C0524C">
        <w:rPr>
          <w:rFonts w:ascii="Times New Roman" w:hAnsi="Times New Roman" w:cs="Times New Roman"/>
          <w:sz w:val="27"/>
          <w:szCs w:val="27"/>
        </w:rPr>
        <w:t>,</w:t>
      </w:r>
      <w:r w:rsidRPr="00C0524C">
        <w:rPr>
          <w:rFonts w:ascii="Times New Roman" w:hAnsi="Times New Roman" w:cs="Times New Roman"/>
          <w:sz w:val="27"/>
          <w:szCs w:val="27"/>
        </w:rPr>
        <w:t xml:space="preserve"> </w:t>
      </w:r>
      <w:r w:rsidR="00E34270" w:rsidRPr="00C0524C">
        <w:rPr>
          <w:rFonts w:ascii="Times New Roman" w:hAnsi="Times New Roman" w:cs="Times New Roman"/>
          <w:sz w:val="27"/>
          <w:szCs w:val="27"/>
        </w:rPr>
        <w:t>З</w:t>
      </w:r>
      <w:r w:rsidR="00A667CE" w:rsidRPr="00C0524C">
        <w:rPr>
          <w:rFonts w:ascii="Times New Roman" w:hAnsi="Times New Roman" w:cs="Times New Roman"/>
          <w:sz w:val="27"/>
          <w:szCs w:val="27"/>
        </w:rPr>
        <w:t>акон</w:t>
      </w:r>
      <w:r w:rsidR="00E34270" w:rsidRPr="00C0524C">
        <w:rPr>
          <w:rFonts w:ascii="Times New Roman" w:hAnsi="Times New Roman" w:cs="Times New Roman"/>
          <w:sz w:val="27"/>
          <w:szCs w:val="27"/>
        </w:rPr>
        <w:t xml:space="preserve"> України</w:t>
      </w:r>
      <w:r w:rsidR="00A667CE" w:rsidRPr="00C0524C">
        <w:rPr>
          <w:rFonts w:ascii="Times New Roman" w:hAnsi="Times New Roman" w:cs="Times New Roman"/>
          <w:sz w:val="27"/>
          <w:szCs w:val="27"/>
        </w:rPr>
        <w:t xml:space="preserve"> </w:t>
      </w:r>
      <w:r w:rsidR="00E34270" w:rsidRPr="00C0524C">
        <w:rPr>
          <w:rFonts w:ascii="Times New Roman" w:hAnsi="Times New Roman" w:cs="Times New Roman"/>
          <w:sz w:val="27"/>
          <w:szCs w:val="27"/>
        </w:rPr>
        <w:t>«</w:t>
      </w:r>
      <w:r w:rsidR="00E34270" w:rsidRPr="00C0524C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Про внесення змін до деяких законодавчих актів України щодо підвищення рівня корпоративного управління в акціонерних товариствах»</w:t>
      </w:r>
      <w:r w:rsidRPr="00C0524C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 xml:space="preserve"> </w:t>
      </w:r>
      <w:r w:rsidR="004E5D35" w:rsidRPr="00C0524C">
        <w:rPr>
          <w:rFonts w:ascii="Times New Roman" w:hAnsi="Times New Roman" w:cs="Times New Roman"/>
          <w:sz w:val="27"/>
          <w:szCs w:val="27"/>
        </w:rPr>
        <w:t xml:space="preserve"> дав украї</w:t>
      </w:r>
      <w:r w:rsidR="00A667CE" w:rsidRPr="00C0524C">
        <w:rPr>
          <w:rFonts w:ascii="Times New Roman" w:hAnsi="Times New Roman" w:cs="Times New Roman"/>
          <w:sz w:val="27"/>
          <w:szCs w:val="27"/>
        </w:rPr>
        <w:t xml:space="preserve">нському ринку такий поширений в світі інструмент як </w:t>
      </w:r>
      <w:r w:rsidR="00103635" w:rsidRPr="00C0524C">
        <w:rPr>
          <w:rFonts w:ascii="Times New Roman" w:hAnsi="Times New Roman" w:cs="Times New Roman"/>
          <w:sz w:val="27"/>
          <w:szCs w:val="27"/>
        </w:rPr>
        <w:t>squeeze-out</w:t>
      </w:r>
      <w:r w:rsidR="00A667CE" w:rsidRPr="00C0524C">
        <w:rPr>
          <w:rFonts w:ascii="Times New Roman" w:hAnsi="Times New Roman" w:cs="Times New Roman"/>
          <w:sz w:val="27"/>
          <w:szCs w:val="27"/>
        </w:rPr>
        <w:t xml:space="preserve"> або обов'язковий викуп акцій. </w:t>
      </w:r>
    </w:p>
    <w:p w:rsidR="00103635" w:rsidRPr="00C0524C" w:rsidRDefault="00103635" w:rsidP="003D18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24C">
        <w:rPr>
          <w:rFonts w:ascii="Times New Roman" w:hAnsi="Times New Roman" w:cs="Times New Roman"/>
          <w:sz w:val="27"/>
          <w:szCs w:val="27"/>
        </w:rPr>
        <w:t>А</w:t>
      </w:r>
      <w:r w:rsidR="00A667CE" w:rsidRPr="00C0524C">
        <w:rPr>
          <w:rFonts w:ascii="Times New Roman" w:hAnsi="Times New Roman" w:cs="Times New Roman"/>
          <w:sz w:val="27"/>
          <w:szCs w:val="27"/>
        </w:rPr>
        <w:t xml:space="preserve">ле </w:t>
      </w:r>
      <w:r w:rsidRPr="00C0524C">
        <w:rPr>
          <w:rFonts w:ascii="Times New Roman" w:hAnsi="Times New Roman" w:cs="Times New Roman"/>
          <w:sz w:val="27"/>
          <w:szCs w:val="27"/>
        </w:rPr>
        <w:t>на сьогодні проблема</w:t>
      </w:r>
      <w:r w:rsidR="00A667CE" w:rsidRPr="00C0524C">
        <w:rPr>
          <w:rFonts w:ascii="Times New Roman" w:hAnsi="Times New Roman" w:cs="Times New Roman"/>
          <w:sz w:val="27"/>
          <w:szCs w:val="27"/>
        </w:rPr>
        <w:t xml:space="preserve"> застосування </w:t>
      </w:r>
      <w:r w:rsidRPr="00C0524C">
        <w:rPr>
          <w:rFonts w:ascii="Times New Roman" w:hAnsi="Times New Roman" w:cs="Times New Roman"/>
          <w:sz w:val="27"/>
          <w:szCs w:val="27"/>
        </w:rPr>
        <w:t>процесів squeeze-out</w:t>
      </w:r>
      <w:r w:rsidR="00A667CE" w:rsidRPr="00C0524C">
        <w:rPr>
          <w:rFonts w:ascii="Times New Roman" w:hAnsi="Times New Roman" w:cs="Times New Roman"/>
          <w:sz w:val="27"/>
          <w:szCs w:val="27"/>
        </w:rPr>
        <w:t>, а саме проблема формування ціни викупу</w:t>
      </w:r>
      <w:r w:rsidRPr="00C0524C">
        <w:rPr>
          <w:rFonts w:ascii="Times New Roman" w:hAnsi="Times New Roman" w:cs="Times New Roman"/>
          <w:sz w:val="27"/>
          <w:szCs w:val="27"/>
        </w:rPr>
        <w:t xml:space="preserve"> залишається актуальною</w:t>
      </w:r>
      <w:r w:rsidR="00A667CE" w:rsidRPr="00C0524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D1895" w:rsidRPr="00C0524C" w:rsidRDefault="00A667CE" w:rsidP="0070488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524C">
        <w:rPr>
          <w:rFonts w:ascii="Times New Roman" w:hAnsi="Times New Roman" w:cs="Times New Roman"/>
          <w:sz w:val="27"/>
          <w:szCs w:val="27"/>
        </w:rPr>
        <w:t>Міноритарні акціонери (часто це професійні торговці цінними паперами) патол</w:t>
      </w:r>
      <w:r w:rsidR="00232408" w:rsidRPr="00C0524C">
        <w:rPr>
          <w:rFonts w:ascii="Times New Roman" w:hAnsi="Times New Roman" w:cs="Times New Roman"/>
          <w:sz w:val="27"/>
          <w:szCs w:val="27"/>
        </w:rPr>
        <w:t>огічно не довіряють мажоритарному</w:t>
      </w:r>
      <w:r w:rsidRPr="00C0524C">
        <w:rPr>
          <w:rFonts w:ascii="Times New Roman" w:hAnsi="Times New Roman" w:cs="Times New Roman"/>
          <w:sz w:val="27"/>
          <w:szCs w:val="27"/>
        </w:rPr>
        <w:t xml:space="preserve"> акціонер</w:t>
      </w:r>
      <w:r w:rsidR="005004A5">
        <w:rPr>
          <w:rFonts w:ascii="Times New Roman" w:hAnsi="Times New Roman" w:cs="Times New Roman"/>
          <w:sz w:val="27"/>
          <w:szCs w:val="27"/>
        </w:rPr>
        <w:t>у</w:t>
      </w:r>
      <w:r w:rsidRPr="00C0524C">
        <w:rPr>
          <w:rFonts w:ascii="Times New Roman" w:hAnsi="Times New Roman" w:cs="Times New Roman"/>
          <w:sz w:val="27"/>
          <w:szCs w:val="27"/>
        </w:rPr>
        <w:t xml:space="preserve"> (він же емітент), і навпаки, мажоритарний акціонер не вірить професійним торговцям. </w:t>
      </w:r>
      <w:r w:rsidR="00103635" w:rsidRPr="00C0524C">
        <w:rPr>
          <w:rFonts w:ascii="Times New Roman" w:hAnsi="Times New Roman" w:cs="Times New Roman"/>
          <w:sz w:val="27"/>
          <w:szCs w:val="27"/>
        </w:rPr>
        <w:t xml:space="preserve">Ця недовіра </w:t>
      </w:r>
      <w:r w:rsidRPr="00C0524C">
        <w:rPr>
          <w:rFonts w:ascii="Times New Roman" w:hAnsi="Times New Roman" w:cs="Times New Roman"/>
          <w:sz w:val="27"/>
          <w:szCs w:val="27"/>
        </w:rPr>
        <w:t>між сторонами впливає на якість відносин,</w:t>
      </w:r>
      <w:r w:rsidR="00950B03" w:rsidRPr="00C0524C">
        <w:rPr>
          <w:rFonts w:ascii="Times New Roman" w:hAnsi="Times New Roman" w:cs="Times New Roman"/>
          <w:sz w:val="27"/>
          <w:szCs w:val="27"/>
        </w:rPr>
        <w:t xml:space="preserve"> які є</w:t>
      </w:r>
      <w:r w:rsidRPr="00C0524C">
        <w:rPr>
          <w:rFonts w:ascii="Times New Roman" w:hAnsi="Times New Roman" w:cs="Times New Roman"/>
          <w:sz w:val="27"/>
          <w:szCs w:val="27"/>
        </w:rPr>
        <w:t xml:space="preserve"> на ринку</w:t>
      </w:r>
      <w:r w:rsidR="00232408" w:rsidRPr="00C0524C">
        <w:rPr>
          <w:rFonts w:ascii="Times New Roman" w:hAnsi="Times New Roman" w:cs="Times New Roman"/>
          <w:sz w:val="27"/>
          <w:szCs w:val="27"/>
        </w:rPr>
        <w:t>.</w:t>
      </w:r>
      <w:r w:rsidRPr="00C0524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C0187" w:rsidRPr="00C0524C" w:rsidRDefault="00232408" w:rsidP="0070488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524C">
        <w:rPr>
          <w:rFonts w:ascii="Times New Roman" w:hAnsi="Times New Roman" w:cs="Times New Roman"/>
          <w:sz w:val="27"/>
          <w:szCs w:val="27"/>
        </w:rPr>
        <w:t>С</w:t>
      </w:r>
      <w:r w:rsidR="00A667CE" w:rsidRPr="00C0524C">
        <w:rPr>
          <w:rFonts w:ascii="Times New Roman" w:hAnsi="Times New Roman" w:cs="Times New Roman"/>
          <w:sz w:val="27"/>
          <w:szCs w:val="27"/>
        </w:rPr>
        <w:t xml:space="preserve">ьогодні ми маємо </w:t>
      </w:r>
      <w:r w:rsidR="00794CEF" w:rsidRPr="00C0524C">
        <w:rPr>
          <w:rFonts w:ascii="Times New Roman" w:hAnsi="Times New Roman" w:cs="Times New Roman"/>
          <w:sz w:val="27"/>
          <w:szCs w:val="27"/>
        </w:rPr>
        <w:t xml:space="preserve">критичні випадки, коли емітенти використовували оцінювачів для роздування або зниження вартості активів. </w:t>
      </w:r>
    </w:p>
    <w:p w:rsidR="0070488D" w:rsidRPr="00C0524C" w:rsidRDefault="00794CEF" w:rsidP="0070488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524C">
        <w:rPr>
          <w:rFonts w:ascii="Times New Roman" w:hAnsi="Times New Roman" w:cs="Times New Roman"/>
          <w:sz w:val="27"/>
          <w:szCs w:val="27"/>
        </w:rPr>
        <w:t xml:space="preserve">Враховуючи дуже низьку культуру процесу оцінювання вартості компаній, за "невелику плату" оцінювач може виправдати </w:t>
      </w:r>
      <w:r w:rsidR="00BC0187" w:rsidRPr="00C0524C">
        <w:rPr>
          <w:rFonts w:ascii="Times New Roman" w:hAnsi="Times New Roman" w:cs="Times New Roman"/>
          <w:sz w:val="27"/>
          <w:szCs w:val="27"/>
        </w:rPr>
        <w:t>будь-яку оцінку, яку замовляє</w:t>
      </w:r>
      <w:r w:rsidRPr="00C0524C">
        <w:rPr>
          <w:rFonts w:ascii="Times New Roman" w:hAnsi="Times New Roman" w:cs="Times New Roman"/>
          <w:sz w:val="27"/>
          <w:szCs w:val="27"/>
        </w:rPr>
        <w:t xml:space="preserve"> мажоритарний акціонер. </w:t>
      </w:r>
    </w:p>
    <w:p w:rsidR="0070488D" w:rsidRPr="00C0524C" w:rsidRDefault="00BE2541" w:rsidP="0070488D">
      <w:pPr>
        <w:spacing w:after="0"/>
        <w:ind w:firstLine="708"/>
        <w:jc w:val="both"/>
        <w:rPr>
          <w:rFonts w:ascii="Times New Roman" w:hAnsi="Times New Roman" w:cs="Times New Roman"/>
          <w:color w:val="212121"/>
          <w:sz w:val="27"/>
          <w:szCs w:val="27"/>
        </w:rPr>
      </w:pPr>
      <w:r w:rsidRPr="00C0524C">
        <w:rPr>
          <w:rFonts w:ascii="Times New Roman" w:hAnsi="Times New Roman" w:cs="Times New Roman"/>
          <w:sz w:val="27"/>
          <w:szCs w:val="27"/>
        </w:rPr>
        <w:t>У</w:t>
      </w:r>
      <w:r w:rsidR="00D03798" w:rsidRPr="00C0524C">
        <w:rPr>
          <w:rFonts w:ascii="Times New Roman" w:hAnsi="Times New Roman" w:cs="Times New Roman"/>
          <w:sz w:val="27"/>
          <w:szCs w:val="27"/>
        </w:rPr>
        <w:t xml:space="preserve"> більшості емі</w:t>
      </w:r>
      <w:r w:rsidRPr="00C0524C">
        <w:rPr>
          <w:rFonts w:ascii="Times New Roman" w:hAnsi="Times New Roman" w:cs="Times New Roman"/>
          <w:sz w:val="27"/>
          <w:szCs w:val="27"/>
        </w:rPr>
        <w:t>тенті</w:t>
      </w:r>
      <w:r w:rsidR="00D03798" w:rsidRPr="00C0524C">
        <w:rPr>
          <w:rFonts w:ascii="Times New Roman" w:hAnsi="Times New Roman" w:cs="Times New Roman"/>
          <w:sz w:val="27"/>
          <w:szCs w:val="27"/>
        </w:rPr>
        <w:t xml:space="preserve">в </w:t>
      </w:r>
      <w:r w:rsidR="00D03798" w:rsidRPr="00C0524C">
        <w:rPr>
          <w:rFonts w:ascii="Times New Roman" w:hAnsi="Times New Roman" w:cs="Times New Roman"/>
          <w:color w:val="212121"/>
          <w:sz w:val="27"/>
          <w:szCs w:val="27"/>
        </w:rPr>
        <w:t xml:space="preserve">відсутня якісна історія біржових торгів, тому в таких випадках більшість </w:t>
      </w:r>
      <w:r w:rsidR="00950B03" w:rsidRPr="00C0524C">
        <w:rPr>
          <w:rFonts w:ascii="Times New Roman" w:hAnsi="Times New Roman" w:cs="Times New Roman"/>
          <w:color w:val="212121"/>
          <w:sz w:val="27"/>
          <w:szCs w:val="27"/>
        </w:rPr>
        <w:t>мажоритарних акціонерів</w:t>
      </w:r>
      <w:r w:rsidR="00D03798" w:rsidRPr="00C0524C">
        <w:rPr>
          <w:rFonts w:ascii="Times New Roman" w:hAnsi="Times New Roman" w:cs="Times New Roman"/>
          <w:color w:val="212121"/>
          <w:sz w:val="27"/>
          <w:szCs w:val="27"/>
        </w:rPr>
        <w:t xml:space="preserve"> не можуть використовувати один із самих проз</w:t>
      </w:r>
      <w:r w:rsidRPr="00C0524C">
        <w:rPr>
          <w:rFonts w:ascii="Times New Roman" w:hAnsi="Times New Roman" w:cs="Times New Roman"/>
          <w:color w:val="212121"/>
          <w:sz w:val="27"/>
          <w:szCs w:val="27"/>
        </w:rPr>
        <w:t>орих механізмів оцінки - біржову ціну</w:t>
      </w:r>
      <w:r w:rsidR="00D03798" w:rsidRPr="00C0524C">
        <w:rPr>
          <w:rFonts w:ascii="Times New Roman" w:hAnsi="Times New Roman" w:cs="Times New Roman"/>
          <w:color w:val="212121"/>
          <w:sz w:val="27"/>
          <w:szCs w:val="27"/>
        </w:rPr>
        <w:t xml:space="preserve"> - і будуть </w:t>
      </w:r>
      <w:r w:rsidR="00950B03" w:rsidRPr="00C0524C">
        <w:rPr>
          <w:rFonts w:ascii="Times New Roman" w:hAnsi="Times New Roman" w:cs="Times New Roman"/>
          <w:color w:val="212121"/>
          <w:sz w:val="27"/>
          <w:szCs w:val="27"/>
        </w:rPr>
        <w:t>залучати оцінювачів</w:t>
      </w:r>
      <w:r w:rsidRPr="00C0524C">
        <w:rPr>
          <w:rFonts w:ascii="Times New Roman" w:hAnsi="Times New Roman" w:cs="Times New Roman"/>
          <w:color w:val="212121"/>
          <w:sz w:val="27"/>
          <w:szCs w:val="27"/>
        </w:rPr>
        <w:t>.</w:t>
      </w:r>
    </w:p>
    <w:p w:rsidR="0070488D" w:rsidRPr="00C0524C" w:rsidRDefault="00A37E7F" w:rsidP="0070488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524C">
        <w:rPr>
          <w:rFonts w:ascii="Times New Roman" w:hAnsi="Times New Roman" w:cs="Times New Roman"/>
          <w:sz w:val="27"/>
          <w:szCs w:val="27"/>
        </w:rPr>
        <w:t xml:space="preserve">Але відповідно до проведеної оцінки частіше всього викуп  здійснюється  </w:t>
      </w:r>
      <w:r w:rsidR="00C3198F">
        <w:rPr>
          <w:rFonts w:ascii="Times New Roman" w:hAnsi="Times New Roman" w:cs="Times New Roman"/>
          <w:sz w:val="27"/>
          <w:szCs w:val="27"/>
        </w:rPr>
        <w:t>за</w:t>
      </w:r>
      <w:r w:rsidRPr="00C0524C">
        <w:rPr>
          <w:rFonts w:ascii="Times New Roman" w:hAnsi="Times New Roman" w:cs="Times New Roman"/>
          <w:sz w:val="27"/>
          <w:szCs w:val="27"/>
        </w:rPr>
        <w:t xml:space="preserve"> цін</w:t>
      </w:r>
      <w:r w:rsidR="00C3198F">
        <w:rPr>
          <w:rFonts w:ascii="Times New Roman" w:hAnsi="Times New Roman" w:cs="Times New Roman"/>
          <w:sz w:val="27"/>
          <w:szCs w:val="27"/>
        </w:rPr>
        <w:t>ою</w:t>
      </w:r>
      <w:r w:rsidRPr="00C0524C">
        <w:rPr>
          <w:rFonts w:ascii="Times New Roman" w:hAnsi="Times New Roman" w:cs="Times New Roman"/>
          <w:sz w:val="27"/>
          <w:szCs w:val="27"/>
        </w:rPr>
        <w:t>, яка значно нижче</w:t>
      </w:r>
      <w:r w:rsidR="00D03798" w:rsidRPr="00C0524C">
        <w:rPr>
          <w:rFonts w:ascii="Times New Roman" w:hAnsi="Times New Roman" w:cs="Times New Roman"/>
          <w:sz w:val="27"/>
          <w:szCs w:val="27"/>
        </w:rPr>
        <w:t xml:space="preserve"> </w:t>
      </w:r>
      <w:r w:rsidRPr="00C0524C">
        <w:rPr>
          <w:rFonts w:ascii="Times New Roman" w:hAnsi="Times New Roman" w:cs="Times New Roman"/>
          <w:sz w:val="27"/>
          <w:szCs w:val="27"/>
        </w:rPr>
        <w:t>вартості чисти</w:t>
      </w:r>
      <w:r w:rsidR="00D03798" w:rsidRPr="00C0524C">
        <w:rPr>
          <w:rFonts w:ascii="Times New Roman" w:hAnsi="Times New Roman" w:cs="Times New Roman"/>
          <w:sz w:val="27"/>
          <w:szCs w:val="27"/>
        </w:rPr>
        <w:t>х актив</w:t>
      </w:r>
      <w:r w:rsidRPr="00C0524C">
        <w:rPr>
          <w:rFonts w:ascii="Times New Roman" w:hAnsi="Times New Roman" w:cs="Times New Roman"/>
          <w:sz w:val="27"/>
          <w:szCs w:val="27"/>
        </w:rPr>
        <w:t>ів компанії</w:t>
      </w:r>
      <w:r w:rsidR="00C3198F">
        <w:rPr>
          <w:rFonts w:ascii="Times New Roman" w:hAnsi="Times New Roman" w:cs="Times New Roman"/>
          <w:sz w:val="27"/>
          <w:szCs w:val="27"/>
        </w:rPr>
        <w:t>,</w:t>
      </w:r>
      <w:r w:rsidRPr="00C0524C">
        <w:rPr>
          <w:rFonts w:ascii="Times New Roman" w:hAnsi="Times New Roman" w:cs="Times New Roman"/>
          <w:sz w:val="27"/>
          <w:szCs w:val="27"/>
        </w:rPr>
        <w:t xml:space="preserve"> чи взагалі ціна за акцію нижче</w:t>
      </w:r>
      <w:r w:rsidR="00D03798" w:rsidRPr="00C0524C">
        <w:rPr>
          <w:rFonts w:ascii="Times New Roman" w:hAnsi="Times New Roman" w:cs="Times New Roman"/>
          <w:sz w:val="27"/>
          <w:szCs w:val="27"/>
        </w:rPr>
        <w:t xml:space="preserve"> </w:t>
      </w:r>
      <w:r w:rsidR="00821F02" w:rsidRPr="00C0524C">
        <w:rPr>
          <w:rFonts w:ascii="Times New Roman" w:hAnsi="Times New Roman" w:cs="Times New Roman"/>
          <w:sz w:val="27"/>
          <w:szCs w:val="27"/>
        </w:rPr>
        <w:t xml:space="preserve">або однакова </w:t>
      </w:r>
      <w:r w:rsidRPr="00C0524C">
        <w:rPr>
          <w:rFonts w:ascii="Times New Roman" w:hAnsi="Times New Roman" w:cs="Times New Roman"/>
          <w:sz w:val="27"/>
          <w:szCs w:val="27"/>
        </w:rPr>
        <w:t>з прибутком</w:t>
      </w:r>
      <w:r w:rsidR="00D03798" w:rsidRPr="00C0524C">
        <w:rPr>
          <w:rFonts w:ascii="Times New Roman" w:hAnsi="Times New Roman" w:cs="Times New Roman"/>
          <w:sz w:val="27"/>
          <w:szCs w:val="27"/>
        </w:rPr>
        <w:t xml:space="preserve">, яку компанія отримала в рік викупу. Такі оцінки лежать за межами професійних стандартів. </w:t>
      </w:r>
    </w:p>
    <w:p w:rsidR="00D03798" w:rsidRPr="00C0524C" w:rsidRDefault="0070488D" w:rsidP="0070488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524C">
        <w:rPr>
          <w:rFonts w:ascii="Times New Roman" w:hAnsi="Times New Roman" w:cs="Times New Roman"/>
          <w:sz w:val="27"/>
          <w:szCs w:val="27"/>
        </w:rPr>
        <w:t>Т</w:t>
      </w:r>
      <w:r w:rsidR="003169DD" w:rsidRPr="00C0524C">
        <w:rPr>
          <w:rFonts w:ascii="Times New Roman" w:hAnsi="Times New Roman" w:cs="Times New Roman"/>
          <w:sz w:val="27"/>
          <w:szCs w:val="27"/>
        </w:rPr>
        <w:t xml:space="preserve">ому необхідно залучати </w:t>
      </w:r>
      <w:r w:rsidR="003169DD" w:rsidRPr="00C0524C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оцінювачів</w:t>
      </w:r>
      <w:r w:rsidR="00C3198F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-</w:t>
      </w:r>
      <w:r w:rsidR="003169DD" w:rsidRPr="00C0524C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професіоналів</w:t>
      </w:r>
      <w:r w:rsidR="00C3198F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,</w:t>
      </w:r>
      <w:r w:rsidR="003169DD" w:rsidRPr="00C0524C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компанії, що володіють практичними знаннями і великим досвідом, та виконують кваліфіковані і якісні оцінки.</w:t>
      </w:r>
    </w:p>
    <w:p w:rsidR="00891362" w:rsidRPr="00C0524C" w:rsidRDefault="00E75036" w:rsidP="008913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524C">
        <w:rPr>
          <w:rFonts w:ascii="Times New Roman" w:hAnsi="Times New Roman" w:cs="Times New Roman"/>
          <w:sz w:val="27"/>
          <w:szCs w:val="27"/>
        </w:rPr>
        <w:t xml:space="preserve">Законом України «Про внесення змін до деяких законодавчих актів України щодо спрощення ведення бізнесу та залучення інвестицій емітентами цінних паперів» </w:t>
      </w:r>
      <w:r w:rsidR="00891362" w:rsidRPr="00C0524C">
        <w:rPr>
          <w:rFonts w:ascii="Times New Roman" w:hAnsi="Times New Roman" w:cs="Times New Roman"/>
          <w:sz w:val="27"/>
          <w:szCs w:val="27"/>
        </w:rPr>
        <w:t>внесені</w:t>
      </w:r>
      <w:r w:rsidRPr="00C0524C">
        <w:rPr>
          <w:rFonts w:ascii="Times New Roman" w:hAnsi="Times New Roman" w:cs="Times New Roman"/>
          <w:sz w:val="27"/>
          <w:szCs w:val="27"/>
        </w:rPr>
        <w:t xml:space="preserve"> зміни до Закону України «Про державне регулювання ринку цінних паперів в Ук</w:t>
      </w:r>
      <w:r w:rsidR="00891362" w:rsidRPr="00C0524C">
        <w:rPr>
          <w:rFonts w:ascii="Times New Roman" w:hAnsi="Times New Roman" w:cs="Times New Roman"/>
          <w:sz w:val="27"/>
          <w:szCs w:val="27"/>
        </w:rPr>
        <w:t>раїні»</w:t>
      </w:r>
      <w:r w:rsidRPr="00C0524C">
        <w:rPr>
          <w:rFonts w:ascii="Times New Roman" w:hAnsi="Times New Roman" w:cs="Times New Roman"/>
          <w:sz w:val="27"/>
          <w:szCs w:val="27"/>
        </w:rPr>
        <w:t>, зокрема  в частині роз</w:t>
      </w:r>
      <w:r w:rsidR="00891362" w:rsidRPr="00C0524C">
        <w:rPr>
          <w:rFonts w:ascii="Times New Roman" w:hAnsi="Times New Roman" w:cs="Times New Roman"/>
          <w:sz w:val="27"/>
          <w:szCs w:val="27"/>
        </w:rPr>
        <w:t xml:space="preserve">ширення основних завдань </w:t>
      </w:r>
      <w:r w:rsidR="00EB3BB0"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Національної комісії з цінних паперів та фондового ринку</w:t>
      </w:r>
      <w:bookmarkStart w:id="0" w:name="_GoBack"/>
      <w:bookmarkEnd w:id="0"/>
      <w:r w:rsidR="00C3198F">
        <w:rPr>
          <w:rFonts w:ascii="Times New Roman" w:hAnsi="Times New Roman" w:cs="Times New Roman"/>
          <w:sz w:val="27"/>
          <w:szCs w:val="27"/>
        </w:rPr>
        <w:t>.</w:t>
      </w:r>
    </w:p>
    <w:p w:rsidR="00891362" w:rsidRPr="00C0524C" w:rsidRDefault="00E75036" w:rsidP="008913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524C">
        <w:rPr>
          <w:rFonts w:ascii="Times New Roman" w:hAnsi="Times New Roman" w:cs="Times New Roman"/>
          <w:sz w:val="27"/>
          <w:szCs w:val="27"/>
        </w:rPr>
        <w:t xml:space="preserve">Так, відповідно до пункту 24-1 статті 7 Закону України «Про державне регулювання ринку цінних паперів в Україні» серед основних завдань </w:t>
      </w:r>
      <w:r w:rsidR="00C20EAF" w:rsidRPr="00C0524C">
        <w:rPr>
          <w:rFonts w:ascii="Times New Roman" w:hAnsi="Times New Roman" w:cs="Times New Roman"/>
          <w:sz w:val="27"/>
          <w:szCs w:val="27"/>
        </w:rPr>
        <w:t>Комісії</w:t>
      </w:r>
      <w:r w:rsidRPr="00C0524C">
        <w:rPr>
          <w:rFonts w:ascii="Times New Roman" w:hAnsi="Times New Roman" w:cs="Times New Roman"/>
          <w:sz w:val="27"/>
          <w:szCs w:val="27"/>
        </w:rPr>
        <w:t xml:space="preserve"> є </w:t>
      </w:r>
      <w:r w:rsidRPr="00C0524C">
        <w:rPr>
          <w:rFonts w:ascii="Times New Roman" w:hAnsi="Times New Roman" w:cs="Times New Roman"/>
          <w:sz w:val="27"/>
          <w:szCs w:val="27"/>
        </w:rPr>
        <w:lastRenderedPageBreak/>
        <w:t>встановлення вимог, визначення порядку ведення та ведення реєстру оцінювачів, які можуть проводити незалежну оцінку у випадках, встановлених законодавством про цінні папери та акціонерні товариства.</w:t>
      </w:r>
    </w:p>
    <w:p w:rsidR="005B63C4" w:rsidRPr="00C0524C" w:rsidRDefault="007F0850" w:rsidP="0089136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524C">
        <w:rPr>
          <w:rFonts w:ascii="Times New Roman" w:hAnsi="Times New Roman" w:cs="Times New Roman"/>
          <w:sz w:val="27"/>
          <w:szCs w:val="27"/>
        </w:rPr>
        <w:t xml:space="preserve">З метою виконання </w:t>
      </w:r>
      <w:r w:rsidR="005B63C4" w:rsidRPr="00C0524C">
        <w:rPr>
          <w:rFonts w:ascii="Times New Roman" w:hAnsi="Times New Roman" w:cs="Times New Roman"/>
          <w:sz w:val="27"/>
          <w:szCs w:val="27"/>
        </w:rPr>
        <w:t xml:space="preserve">зазначеного Комісія </w:t>
      </w:r>
      <w:r w:rsidR="0070488D" w:rsidRPr="00C0524C">
        <w:rPr>
          <w:rFonts w:ascii="Times New Roman" w:hAnsi="Times New Roman" w:cs="Times New Roman"/>
          <w:sz w:val="27"/>
          <w:szCs w:val="27"/>
        </w:rPr>
        <w:t xml:space="preserve">встановила вимоги до оцінювачів, що будуть </w:t>
      </w:r>
      <w:r w:rsidR="00514FFD" w:rsidRPr="00C0524C">
        <w:rPr>
          <w:rFonts w:ascii="Times New Roman" w:hAnsi="Times New Roman" w:cs="Times New Roman"/>
          <w:sz w:val="27"/>
          <w:szCs w:val="27"/>
        </w:rPr>
        <w:t xml:space="preserve">проводити незалежну </w:t>
      </w:r>
      <w:r w:rsidR="00A822B1">
        <w:rPr>
          <w:rFonts w:ascii="Times New Roman" w:hAnsi="Times New Roman" w:cs="Times New Roman"/>
          <w:sz w:val="27"/>
          <w:szCs w:val="27"/>
        </w:rPr>
        <w:t xml:space="preserve">оцінку </w:t>
      </w:r>
      <w:r w:rsidR="00C63D75" w:rsidRPr="00C0524C">
        <w:rPr>
          <w:rFonts w:ascii="Times New Roman" w:hAnsi="Times New Roman" w:cs="Times New Roman"/>
          <w:sz w:val="27"/>
          <w:szCs w:val="27"/>
        </w:rPr>
        <w:t xml:space="preserve">у випадках, встановлених законодавством про цінні папери та акціонерні товариства </w:t>
      </w:r>
      <w:r w:rsidR="005B63C4" w:rsidRPr="00C0524C">
        <w:rPr>
          <w:rFonts w:ascii="Times New Roman" w:hAnsi="Times New Roman" w:cs="Times New Roman"/>
          <w:sz w:val="27"/>
          <w:szCs w:val="27"/>
        </w:rPr>
        <w:t>та розр</w:t>
      </w:r>
      <w:r w:rsidR="001B7AC1" w:rsidRPr="00C0524C">
        <w:rPr>
          <w:rFonts w:ascii="Times New Roman" w:hAnsi="Times New Roman" w:cs="Times New Roman"/>
          <w:sz w:val="27"/>
          <w:szCs w:val="27"/>
        </w:rPr>
        <w:t>обила проект регуляторного акт</w:t>
      </w:r>
      <w:r w:rsidR="001B7AC1" w:rsidRPr="00C0524C">
        <w:rPr>
          <w:rFonts w:ascii="Times New Roman" w:hAnsi="Times New Roman" w:cs="Times New Roman"/>
          <w:sz w:val="27"/>
          <w:szCs w:val="27"/>
          <w:lang w:val="ru-RU"/>
        </w:rPr>
        <w:t xml:space="preserve">а </w:t>
      </w:r>
      <w:r w:rsidR="008D7216" w:rsidRPr="00C0524C">
        <w:rPr>
          <w:rFonts w:ascii="Times New Roman" w:hAnsi="Times New Roman" w:cs="Times New Roman"/>
          <w:sz w:val="27"/>
          <w:szCs w:val="27"/>
        </w:rPr>
        <w:t xml:space="preserve">«Порядок ведення </w:t>
      </w:r>
      <w:r w:rsidR="005B63C4" w:rsidRPr="00C0524C">
        <w:rPr>
          <w:rFonts w:ascii="Times New Roman" w:hAnsi="Times New Roman" w:cs="Times New Roman"/>
          <w:sz w:val="27"/>
          <w:szCs w:val="27"/>
        </w:rPr>
        <w:t>реєстру оцінювачів, які можуть проводити незалежну оцінку у випадках, встановлених законодавством про цінні папери та акціонерні товариства»</w:t>
      </w:r>
      <w:r w:rsidR="004A001E" w:rsidRPr="00C0524C">
        <w:rPr>
          <w:rFonts w:ascii="Times New Roman" w:hAnsi="Times New Roman" w:cs="Times New Roman"/>
          <w:sz w:val="27"/>
          <w:szCs w:val="27"/>
        </w:rPr>
        <w:t>.</w:t>
      </w:r>
    </w:p>
    <w:p w:rsidR="007F0850" w:rsidRPr="00C0524C" w:rsidRDefault="007F0850" w:rsidP="00A47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Основні групи (підгрупи), на які проблема справляє вплив: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180"/>
        <w:gridCol w:w="3167"/>
      </w:tblGrid>
      <w:tr w:rsidR="007F0850" w:rsidRPr="00C0524C" w:rsidTr="00103BB8">
        <w:tc>
          <w:tcPr>
            <w:tcW w:w="3322" w:type="dxa"/>
            <w:shd w:val="clear" w:color="auto" w:fill="auto"/>
          </w:tcPr>
          <w:p w:rsidR="007F0850" w:rsidRPr="00C0524C" w:rsidRDefault="007F0850" w:rsidP="007F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Групи (підгрупи)</w:t>
            </w:r>
          </w:p>
        </w:tc>
        <w:tc>
          <w:tcPr>
            <w:tcW w:w="3270" w:type="dxa"/>
            <w:shd w:val="clear" w:color="auto" w:fill="auto"/>
          </w:tcPr>
          <w:p w:rsidR="007F0850" w:rsidRPr="00C0524C" w:rsidRDefault="007F0850" w:rsidP="007F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Так</w:t>
            </w:r>
          </w:p>
        </w:tc>
        <w:tc>
          <w:tcPr>
            <w:tcW w:w="3263" w:type="dxa"/>
            <w:shd w:val="clear" w:color="auto" w:fill="auto"/>
          </w:tcPr>
          <w:p w:rsidR="007F0850" w:rsidRPr="00C0524C" w:rsidRDefault="007F0850" w:rsidP="007F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Ні</w:t>
            </w:r>
          </w:p>
        </w:tc>
      </w:tr>
      <w:tr w:rsidR="007F0850" w:rsidRPr="00C0524C" w:rsidTr="00103BB8">
        <w:tc>
          <w:tcPr>
            <w:tcW w:w="3322" w:type="dxa"/>
            <w:shd w:val="clear" w:color="auto" w:fill="auto"/>
          </w:tcPr>
          <w:p w:rsidR="007F0850" w:rsidRPr="00C0524C" w:rsidRDefault="007F0850" w:rsidP="007F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Громадяни (інвестори) </w:t>
            </w:r>
          </w:p>
        </w:tc>
        <w:tc>
          <w:tcPr>
            <w:tcW w:w="3270" w:type="dxa"/>
            <w:shd w:val="clear" w:color="auto" w:fill="auto"/>
          </w:tcPr>
          <w:p w:rsidR="007F0850" w:rsidRPr="00C0524C" w:rsidRDefault="007F0850" w:rsidP="007F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так</w:t>
            </w:r>
          </w:p>
        </w:tc>
        <w:tc>
          <w:tcPr>
            <w:tcW w:w="3263" w:type="dxa"/>
            <w:shd w:val="clear" w:color="auto" w:fill="auto"/>
          </w:tcPr>
          <w:p w:rsidR="007F0850" w:rsidRPr="00C0524C" w:rsidRDefault="007F0850" w:rsidP="007F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F0850" w:rsidRPr="00C0524C" w:rsidTr="00103BB8">
        <w:tc>
          <w:tcPr>
            <w:tcW w:w="3322" w:type="dxa"/>
            <w:shd w:val="clear" w:color="auto" w:fill="auto"/>
          </w:tcPr>
          <w:p w:rsidR="007F0850" w:rsidRPr="00C0524C" w:rsidRDefault="007F0850" w:rsidP="007F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Держава</w:t>
            </w:r>
          </w:p>
        </w:tc>
        <w:tc>
          <w:tcPr>
            <w:tcW w:w="3270" w:type="dxa"/>
            <w:shd w:val="clear" w:color="auto" w:fill="auto"/>
          </w:tcPr>
          <w:p w:rsidR="007F0850" w:rsidRPr="00C0524C" w:rsidRDefault="007F0850" w:rsidP="007F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так</w:t>
            </w:r>
          </w:p>
        </w:tc>
        <w:tc>
          <w:tcPr>
            <w:tcW w:w="3263" w:type="dxa"/>
            <w:shd w:val="clear" w:color="auto" w:fill="auto"/>
          </w:tcPr>
          <w:p w:rsidR="007F0850" w:rsidRPr="00C0524C" w:rsidRDefault="007F0850" w:rsidP="007F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F0850" w:rsidRPr="00C0524C" w:rsidTr="00103BB8">
        <w:tc>
          <w:tcPr>
            <w:tcW w:w="3322" w:type="dxa"/>
            <w:shd w:val="clear" w:color="auto" w:fill="auto"/>
          </w:tcPr>
          <w:p w:rsidR="007F0850" w:rsidRPr="00C0524C" w:rsidRDefault="007F0850" w:rsidP="007F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Суб’єкти господарювання,</w:t>
            </w:r>
          </w:p>
        </w:tc>
        <w:tc>
          <w:tcPr>
            <w:tcW w:w="3270" w:type="dxa"/>
            <w:shd w:val="clear" w:color="auto" w:fill="auto"/>
          </w:tcPr>
          <w:p w:rsidR="007F0850" w:rsidRPr="00C0524C" w:rsidRDefault="007F0850" w:rsidP="007F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так</w:t>
            </w:r>
          </w:p>
        </w:tc>
        <w:tc>
          <w:tcPr>
            <w:tcW w:w="3263" w:type="dxa"/>
            <w:shd w:val="clear" w:color="auto" w:fill="auto"/>
          </w:tcPr>
          <w:p w:rsidR="007F0850" w:rsidRPr="00C0524C" w:rsidRDefault="007F0850" w:rsidP="007F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F0850" w:rsidRPr="00C0524C" w:rsidTr="00103BB8">
        <w:tc>
          <w:tcPr>
            <w:tcW w:w="3322" w:type="dxa"/>
            <w:shd w:val="clear" w:color="auto" w:fill="auto"/>
          </w:tcPr>
          <w:p w:rsidR="007F0850" w:rsidRPr="00C0524C" w:rsidRDefault="007F0850" w:rsidP="007F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 тому числі суб’єкти малого підприємництва</w:t>
            </w:r>
          </w:p>
        </w:tc>
        <w:tc>
          <w:tcPr>
            <w:tcW w:w="3270" w:type="dxa"/>
            <w:shd w:val="clear" w:color="auto" w:fill="auto"/>
          </w:tcPr>
          <w:p w:rsidR="007F0850" w:rsidRPr="00C0524C" w:rsidRDefault="007F0850" w:rsidP="007F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так</w:t>
            </w:r>
          </w:p>
        </w:tc>
        <w:tc>
          <w:tcPr>
            <w:tcW w:w="3263" w:type="dxa"/>
            <w:shd w:val="clear" w:color="auto" w:fill="auto"/>
          </w:tcPr>
          <w:p w:rsidR="007F0850" w:rsidRPr="00C0524C" w:rsidRDefault="007F0850" w:rsidP="007F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2B5875" w:rsidRPr="00C0524C" w:rsidRDefault="00601B59" w:rsidP="00A47156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524C">
        <w:rPr>
          <w:rFonts w:ascii="Times New Roman" w:hAnsi="Times New Roman" w:cs="Times New Roman"/>
          <w:sz w:val="27"/>
          <w:szCs w:val="27"/>
        </w:rPr>
        <w:t>Дана проблема не може бути вирішена за допомогою ринкових механізмів, оскільки такі механізми відсутні, вирішення проблеми можливе лише</w:t>
      </w:r>
      <w:r w:rsidR="002B5875" w:rsidRPr="00C0524C">
        <w:rPr>
          <w:rFonts w:ascii="Times New Roman" w:hAnsi="Times New Roman" w:cs="Times New Roman"/>
          <w:sz w:val="27"/>
          <w:szCs w:val="27"/>
        </w:rPr>
        <w:t xml:space="preserve"> шляхом державного регулювання.</w:t>
      </w:r>
    </w:p>
    <w:p w:rsidR="003D1895" w:rsidRPr="00C0524C" w:rsidRDefault="00601B59" w:rsidP="00BE24D0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524C">
        <w:rPr>
          <w:rFonts w:ascii="Times New Roman" w:hAnsi="Times New Roman" w:cs="Times New Roman"/>
          <w:sz w:val="27"/>
          <w:szCs w:val="27"/>
        </w:rPr>
        <w:t>Проблема не може бути розв’язана за допомогою діючих регуляторних актів, у зв'язку з тим, що на сьогодні відсутні регуляторні акти, які б</w:t>
      </w:r>
      <w:r w:rsidR="008C1E98" w:rsidRPr="00C0524C">
        <w:rPr>
          <w:rFonts w:ascii="Times New Roman" w:hAnsi="Times New Roman" w:cs="Times New Roman"/>
          <w:sz w:val="27"/>
          <w:szCs w:val="27"/>
        </w:rPr>
        <w:t xml:space="preserve"> забезпечили виконання </w:t>
      </w:r>
      <w:r w:rsidR="00A822B1">
        <w:rPr>
          <w:rFonts w:ascii="Times New Roman" w:hAnsi="Times New Roman" w:cs="Times New Roman"/>
          <w:sz w:val="27"/>
          <w:szCs w:val="27"/>
        </w:rPr>
        <w:t xml:space="preserve">відповідної </w:t>
      </w:r>
      <w:r w:rsidR="00A405FD" w:rsidRPr="00C0524C">
        <w:rPr>
          <w:rFonts w:ascii="Times New Roman" w:hAnsi="Times New Roman" w:cs="Times New Roman"/>
          <w:sz w:val="27"/>
          <w:szCs w:val="27"/>
        </w:rPr>
        <w:t xml:space="preserve">норми </w:t>
      </w:r>
      <w:r w:rsidR="00BE24D0" w:rsidRPr="00C0524C">
        <w:rPr>
          <w:rFonts w:ascii="Times New Roman" w:hAnsi="Times New Roman" w:cs="Times New Roman"/>
          <w:sz w:val="27"/>
          <w:szCs w:val="27"/>
        </w:rPr>
        <w:t xml:space="preserve">Закону України </w:t>
      </w:r>
      <w:r w:rsidR="00D44F8F" w:rsidRPr="00C0524C">
        <w:rPr>
          <w:rFonts w:ascii="Times New Roman" w:hAnsi="Times New Roman" w:cs="Times New Roman"/>
          <w:sz w:val="27"/>
          <w:szCs w:val="27"/>
        </w:rPr>
        <w:t>«Про державне регулювання ринку цінних паперів в Україні»</w:t>
      </w:r>
      <w:r w:rsidR="00F91A03" w:rsidRPr="00C0524C">
        <w:rPr>
          <w:rFonts w:ascii="Times New Roman" w:hAnsi="Times New Roman" w:cs="Times New Roman"/>
          <w:sz w:val="27"/>
          <w:szCs w:val="27"/>
        </w:rPr>
        <w:t xml:space="preserve"> (далі - Закон)</w:t>
      </w:r>
      <w:r w:rsidR="00BE24D0" w:rsidRPr="00C0524C">
        <w:rPr>
          <w:rFonts w:ascii="Times New Roman" w:hAnsi="Times New Roman" w:cs="Times New Roman"/>
          <w:sz w:val="27"/>
          <w:szCs w:val="27"/>
        </w:rPr>
        <w:t>.</w:t>
      </w:r>
    </w:p>
    <w:p w:rsidR="003D1895" w:rsidRPr="00C0524C" w:rsidRDefault="003D1895" w:rsidP="00793B36">
      <w:pPr>
        <w:suppressAutoHyphens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93B36" w:rsidRPr="00C0524C" w:rsidRDefault="00793B36" w:rsidP="00793B36">
      <w:pPr>
        <w:suppressAutoHyphens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ІІ. Цілі державного регулювання</w:t>
      </w:r>
    </w:p>
    <w:p w:rsidR="00793B36" w:rsidRPr="00C0524C" w:rsidRDefault="00793B36" w:rsidP="00793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Основними цілями прийняття проекту регуляторного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акта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є:</w:t>
      </w:r>
    </w:p>
    <w:p w:rsidR="0015684D" w:rsidRPr="00C0524C" w:rsidRDefault="000305C5" w:rsidP="00156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24C">
        <w:rPr>
          <w:rFonts w:ascii="Times New Roman" w:hAnsi="Times New Roman" w:cs="Times New Roman"/>
          <w:sz w:val="27"/>
          <w:szCs w:val="27"/>
        </w:rPr>
        <w:t xml:space="preserve">виконання </w:t>
      </w:r>
      <w:r w:rsidR="0015684D" w:rsidRPr="00C0524C">
        <w:rPr>
          <w:rFonts w:ascii="Times New Roman" w:hAnsi="Times New Roman" w:cs="Times New Roman"/>
          <w:sz w:val="27"/>
          <w:szCs w:val="27"/>
        </w:rPr>
        <w:t>вимог Закону;</w:t>
      </w:r>
    </w:p>
    <w:p w:rsidR="0015684D" w:rsidRPr="00C0524C" w:rsidRDefault="00977E48" w:rsidP="00156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24C">
        <w:rPr>
          <w:rFonts w:ascii="Times New Roman" w:hAnsi="Times New Roman" w:cs="Times New Roman"/>
          <w:sz w:val="27"/>
          <w:szCs w:val="27"/>
        </w:rPr>
        <w:t xml:space="preserve">розробка порядку ведення </w:t>
      </w:r>
      <w:r w:rsidR="0015684D" w:rsidRPr="00C0524C">
        <w:rPr>
          <w:rFonts w:ascii="Times New Roman" w:hAnsi="Times New Roman" w:cs="Times New Roman"/>
          <w:sz w:val="27"/>
          <w:szCs w:val="27"/>
        </w:rPr>
        <w:t>реєстру оцінювачів,</w:t>
      </w:r>
      <w:r w:rsidR="0015684D" w:rsidRPr="00C0524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5684D" w:rsidRPr="00C0524C">
        <w:rPr>
          <w:rFonts w:ascii="Times New Roman" w:hAnsi="Times New Roman" w:cs="Times New Roman"/>
          <w:sz w:val="27"/>
          <w:szCs w:val="27"/>
        </w:rPr>
        <w:t xml:space="preserve">які можуть проводити незалежну оцінку у випадках, встановлених законодавством про цінні папери та акціонерні товариства; </w:t>
      </w:r>
    </w:p>
    <w:p w:rsidR="0015684D" w:rsidRPr="00C0524C" w:rsidRDefault="0015684D" w:rsidP="00156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524C">
        <w:rPr>
          <w:rFonts w:ascii="Times New Roman" w:hAnsi="Times New Roman" w:cs="Times New Roman"/>
          <w:sz w:val="27"/>
          <w:szCs w:val="27"/>
        </w:rPr>
        <w:t xml:space="preserve">встановлення </w:t>
      </w:r>
      <w:r w:rsidR="00D44F8F" w:rsidRPr="00C0524C">
        <w:rPr>
          <w:rFonts w:ascii="Times New Roman" w:hAnsi="Times New Roman" w:cs="Times New Roman"/>
          <w:sz w:val="27"/>
          <w:szCs w:val="27"/>
        </w:rPr>
        <w:t>вимог</w:t>
      </w:r>
      <w:r w:rsidR="00514FFD" w:rsidRPr="00C0524C">
        <w:rPr>
          <w:rFonts w:ascii="Times New Roman" w:hAnsi="Times New Roman" w:cs="Times New Roman"/>
          <w:sz w:val="27"/>
          <w:szCs w:val="27"/>
        </w:rPr>
        <w:t xml:space="preserve"> до осіб, що мають бажання проводити незалежну оцінку</w:t>
      </w:r>
      <w:r w:rsidR="00F331AF" w:rsidRPr="00C0524C">
        <w:rPr>
          <w:rFonts w:ascii="Times New Roman" w:hAnsi="Times New Roman" w:cs="Times New Roman"/>
          <w:sz w:val="27"/>
          <w:szCs w:val="27"/>
        </w:rPr>
        <w:t xml:space="preserve"> у випадках, встановлених законодавством про цінні папери та акціонерні товариства</w:t>
      </w:r>
      <w:r w:rsidRPr="00C0524C">
        <w:rPr>
          <w:rFonts w:ascii="Times New Roman" w:hAnsi="Times New Roman" w:cs="Times New Roman"/>
          <w:sz w:val="27"/>
          <w:szCs w:val="27"/>
        </w:rPr>
        <w:t>.</w:t>
      </w:r>
    </w:p>
    <w:p w:rsidR="00321018" w:rsidRPr="00C0524C" w:rsidRDefault="00321018" w:rsidP="00156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93B36" w:rsidRPr="00C0524C" w:rsidRDefault="00793B36" w:rsidP="00A471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ІІІ. Визначення та оцінка альтернативних способів досягнення цілей</w:t>
      </w:r>
    </w:p>
    <w:p w:rsidR="00F91A03" w:rsidRPr="00C0524C" w:rsidRDefault="00793B36" w:rsidP="00877619">
      <w:pPr>
        <w:numPr>
          <w:ilvl w:val="0"/>
          <w:numId w:val="1"/>
        </w:numPr>
        <w:spacing w:before="120"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>Визначення альтернативних способів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106"/>
      </w:tblGrid>
      <w:tr w:rsidR="00793B36" w:rsidRPr="00C0524C" w:rsidTr="002B6F5A">
        <w:tc>
          <w:tcPr>
            <w:tcW w:w="3528" w:type="dxa"/>
            <w:shd w:val="clear" w:color="auto" w:fill="auto"/>
          </w:tcPr>
          <w:p w:rsidR="00793B36" w:rsidRPr="00C0524C" w:rsidRDefault="00793B36" w:rsidP="00793B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Вид альтернативи</w:t>
            </w:r>
          </w:p>
        </w:tc>
        <w:tc>
          <w:tcPr>
            <w:tcW w:w="6106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Опис альтернативи</w:t>
            </w:r>
          </w:p>
        </w:tc>
      </w:tr>
      <w:tr w:rsidR="00793B36" w:rsidRPr="00C0524C" w:rsidTr="002B6F5A">
        <w:tc>
          <w:tcPr>
            <w:tcW w:w="3528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Альтернатива 1</w:t>
            </w:r>
          </w:p>
        </w:tc>
        <w:tc>
          <w:tcPr>
            <w:tcW w:w="6106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Відсутність регулювання.</w:t>
            </w:r>
            <w:r w:rsidRPr="00C052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F91A03" w:rsidRPr="00C0524C">
              <w:rPr>
                <w:rFonts w:ascii="Times New Roman" w:hAnsi="Times New Roman" w:cs="Times New Roman"/>
                <w:sz w:val="27"/>
                <w:szCs w:val="27"/>
              </w:rPr>
              <w:t>Залишення існуючої на даний момент ситуації без змін не відповідає вимогам Закону</w:t>
            </w:r>
            <w:r w:rsidR="009F71EA" w:rsidRPr="00C0524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793B36" w:rsidRPr="00C0524C" w:rsidTr="002B6F5A">
        <w:tc>
          <w:tcPr>
            <w:tcW w:w="3528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Альтернатива 2</w:t>
            </w:r>
          </w:p>
        </w:tc>
        <w:tc>
          <w:tcPr>
            <w:tcW w:w="6106" w:type="dxa"/>
            <w:shd w:val="clear" w:color="auto" w:fill="auto"/>
          </w:tcPr>
          <w:p w:rsidR="00793B36" w:rsidRPr="00C0524C" w:rsidRDefault="00793B36" w:rsidP="00354EA7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Розробка проекту регуляторного </w:t>
            </w:r>
            <w:proofErr w:type="spellStart"/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акта</w:t>
            </w:r>
            <w:proofErr w:type="spellEnd"/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 w:rsidR="00F91A03"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що </w:t>
            </w:r>
            <w:r w:rsidR="00F91A03" w:rsidRPr="00C0524C">
              <w:rPr>
                <w:rFonts w:ascii="Times New Roman" w:hAnsi="Times New Roman" w:cs="Times New Roman"/>
                <w:sz w:val="27"/>
                <w:szCs w:val="27"/>
              </w:rPr>
              <w:t>забезпечує виконання вимог Закону</w:t>
            </w:r>
            <w:r w:rsidR="00667E7D" w:rsidRPr="00C0524C">
              <w:rPr>
                <w:rFonts w:ascii="Times New Roman" w:hAnsi="Times New Roman" w:cs="Times New Roman"/>
                <w:sz w:val="27"/>
                <w:szCs w:val="27"/>
              </w:rPr>
              <w:t xml:space="preserve"> в частині виконання органами державної влади своїх повноважень</w:t>
            </w:r>
            <w:r w:rsidR="009F71EA" w:rsidRPr="00C0524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793B36" w:rsidRDefault="00793B36" w:rsidP="00793B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F49DF" w:rsidRPr="00C0524C" w:rsidRDefault="004F49DF" w:rsidP="00793B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93B36" w:rsidRPr="00C0524C" w:rsidRDefault="00793B36" w:rsidP="00793B3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Оцінка вибраних альтернативних способів досягнення цілей</w:t>
      </w:r>
    </w:p>
    <w:p w:rsidR="00793B36" w:rsidRPr="00C0524C" w:rsidRDefault="00793B36" w:rsidP="00793B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793B36" w:rsidRPr="00C0524C" w:rsidRDefault="00793B36" w:rsidP="00793B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C0524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Оцінка впливу на сферу інтересів держави </w:t>
      </w:r>
    </w:p>
    <w:p w:rsidR="00793B36" w:rsidRPr="00C0524C" w:rsidRDefault="00793B36" w:rsidP="00793B3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02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780"/>
        <w:gridCol w:w="4018"/>
      </w:tblGrid>
      <w:tr w:rsidR="00793B36" w:rsidRPr="00C0524C" w:rsidTr="002B6F5A">
        <w:tc>
          <w:tcPr>
            <w:tcW w:w="2448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Вид альтернативи</w:t>
            </w:r>
          </w:p>
        </w:tc>
        <w:tc>
          <w:tcPr>
            <w:tcW w:w="3780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Вигоди</w:t>
            </w:r>
          </w:p>
        </w:tc>
        <w:tc>
          <w:tcPr>
            <w:tcW w:w="4018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Витрати</w:t>
            </w:r>
          </w:p>
        </w:tc>
      </w:tr>
      <w:tr w:rsidR="00793B36" w:rsidRPr="00C0524C" w:rsidTr="002B6F5A">
        <w:trPr>
          <w:trHeight w:val="1112"/>
        </w:trPr>
        <w:tc>
          <w:tcPr>
            <w:tcW w:w="2448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1. Відсутність регулювання</w:t>
            </w:r>
          </w:p>
        </w:tc>
        <w:tc>
          <w:tcPr>
            <w:tcW w:w="3780" w:type="dxa"/>
            <w:shd w:val="clear" w:color="auto" w:fill="auto"/>
          </w:tcPr>
          <w:p w:rsidR="00793B36" w:rsidRPr="00C0524C" w:rsidRDefault="00E5076B" w:rsidP="00E50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Відсутні.</w:t>
            </w:r>
          </w:p>
        </w:tc>
        <w:tc>
          <w:tcPr>
            <w:tcW w:w="4018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r w:rsidR="00C40C36"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ідсутні.</w:t>
            </w:r>
          </w:p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93B36" w:rsidRPr="00C0524C" w:rsidTr="002B6F5A">
        <w:trPr>
          <w:trHeight w:val="2855"/>
        </w:trPr>
        <w:tc>
          <w:tcPr>
            <w:tcW w:w="2448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2. Розробка проекту нормативно-правового акту</w:t>
            </w:r>
          </w:p>
        </w:tc>
        <w:tc>
          <w:tcPr>
            <w:tcW w:w="3780" w:type="dxa"/>
            <w:shd w:val="clear" w:color="auto" w:fill="auto"/>
          </w:tcPr>
          <w:p w:rsidR="00877619" w:rsidRPr="00C0524C" w:rsidRDefault="00877619" w:rsidP="00877619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1. Наявність документу, який </w:t>
            </w:r>
            <w:r w:rsidR="00524B7C" w:rsidRPr="00C0524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встановлює вимоги до оцінювачів та </w:t>
            </w: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визначає </w:t>
            </w:r>
            <w:r w:rsidR="00A822B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порядок </w:t>
            </w:r>
            <w:r w:rsidRPr="00C0524C">
              <w:rPr>
                <w:rFonts w:ascii="Times New Roman" w:hAnsi="Times New Roman" w:cs="Times New Roman"/>
                <w:sz w:val="27"/>
                <w:szCs w:val="27"/>
              </w:rPr>
              <w:t>ведення реєстру оцінювачів, які можуть проводити незалежну оцінку у випадках, встановлених законодавством про цінні папери та акціонерні товариства</w:t>
            </w: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  <w:p w:rsidR="00793B36" w:rsidRPr="00C0524C" w:rsidRDefault="00877619" w:rsidP="00E50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Виконання вимог Закону</w:t>
            </w:r>
            <w:r w:rsidR="00E5076B"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018" w:type="dxa"/>
            <w:shd w:val="clear" w:color="auto" w:fill="auto"/>
          </w:tcPr>
          <w:p w:rsidR="00793B36" w:rsidRPr="00C0524C" w:rsidRDefault="006C7942" w:rsidP="00D45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hAnsi="Times New Roman" w:cs="Times New Roman"/>
                <w:sz w:val="27"/>
                <w:szCs w:val="27"/>
              </w:rPr>
              <w:t xml:space="preserve">Додаткове навантаження на працівників Комісії щодо необхідності здійснювати </w:t>
            </w:r>
            <w:r w:rsidR="00D45939" w:rsidRPr="00C0524C">
              <w:rPr>
                <w:rFonts w:ascii="Times New Roman" w:hAnsi="Times New Roman" w:cs="Times New Roman"/>
                <w:sz w:val="27"/>
                <w:szCs w:val="27"/>
              </w:rPr>
              <w:t xml:space="preserve">реєстраційні </w:t>
            </w:r>
            <w:r w:rsidRPr="00C0524C">
              <w:rPr>
                <w:rFonts w:ascii="Times New Roman" w:hAnsi="Times New Roman" w:cs="Times New Roman"/>
                <w:sz w:val="27"/>
                <w:szCs w:val="27"/>
              </w:rPr>
              <w:t>функції</w:t>
            </w:r>
            <w:r w:rsidR="00793B36"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</w:tbl>
    <w:p w:rsidR="00793B36" w:rsidRPr="00C0524C" w:rsidRDefault="00793B36" w:rsidP="00793B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93B36" w:rsidRPr="00C0524C" w:rsidRDefault="00793B36" w:rsidP="00793B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C0524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Оцінка впливу на сферу інтересів громадян (інвесторів)</w:t>
      </w:r>
    </w:p>
    <w:p w:rsidR="00793B36" w:rsidRPr="00C0524C" w:rsidRDefault="00793B36" w:rsidP="00793B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3827"/>
        <w:gridCol w:w="3964"/>
      </w:tblGrid>
      <w:tr w:rsidR="00793B36" w:rsidRPr="00C0524C" w:rsidTr="008E5123">
        <w:tc>
          <w:tcPr>
            <w:tcW w:w="2450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Вид альтернативи</w:t>
            </w:r>
          </w:p>
        </w:tc>
        <w:tc>
          <w:tcPr>
            <w:tcW w:w="3827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Вигоди</w:t>
            </w:r>
          </w:p>
        </w:tc>
        <w:tc>
          <w:tcPr>
            <w:tcW w:w="3964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Витрати</w:t>
            </w:r>
          </w:p>
        </w:tc>
      </w:tr>
      <w:tr w:rsidR="00793B36" w:rsidRPr="00C0524C" w:rsidTr="008E5123">
        <w:tc>
          <w:tcPr>
            <w:tcW w:w="2450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1. Відсутність регулювання</w:t>
            </w:r>
          </w:p>
        </w:tc>
        <w:tc>
          <w:tcPr>
            <w:tcW w:w="3827" w:type="dxa"/>
            <w:shd w:val="clear" w:color="auto" w:fill="auto"/>
          </w:tcPr>
          <w:p w:rsidR="00793B36" w:rsidRPr="00C0524C" w:rsidRDefault="00793B36" w:rsidP="00A82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Відсутність </w:t>
            </w:r>
            <w:proofErr w:type="spellStart"/>
            <w:r w:rsidR="00A822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вигод</w:t>
            </w:r>
            <w:proofErr w:type="spellEnd"/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964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Відсутність витрат.</w:t>
            </w:r>
          </w:p>
        </w:tc>
      </w:tr>
      <w:tr w:rsidR="00793B36" w:rsidRPr="00C0524C" w:rsidTr="008E5123">
        <w:trPr>
          <w:trHeight w:val="115"/>
        </w:trPr>
        <w:tc>
          <w:tcPr>
            <w:tcW w:w="2450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2. Розробка проекту нормативно-правового акту</w:t>
            </w:r>
          </w:p>
        </w:tc>
        <w:tc>
          <w:tcPr>
            <w:tcW w:w="3827" w:type="dxa"/>
            <w:shd w:val="clear" w:color="auto" w:fill="auto"/>
          </w:tcPr>
          <w:p w:rsidR="00793B36" w:rsidRPr="00C0524C" w:rsidRDefault="00BE01A3" w:rsidP="00D7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highlight w:val="yellow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 xml:space="preserve">Забезпечення якісної незалежної оцінки </w:t>
            </w:r>
            <w:r w:rsidRPr="00C0524C">
              <w:rPr>
                <w:rFonts w:ascii="Times New Roman" w:hAnsi="Times New Roman" w:cs="Times New Roman"/>
                <w:sz w:val="27"/>
                <w:szCs w:val="27"/>
              </w:rPr>
              <w:t>у випадках, встановлених законодавством про цінні папери та акціонерні товариства</w:t>
            </w: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964" w:type="dxa"/>
            <w:shd w:val="clear" w:color="auto" w:fill="auto"/>
          </w:tcPr>
          <w:p w:rsidR="00793B36" w:rsidRPr="00C0524C" w:rsidRDefault="00BE01A3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Відсутність витрат</w:t>
            </w:r>
            <w:r w:rsidR="006C7942"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</w:tbl>
    <w:p w:rsidR="00793B36" w:rsidRPr="00C0524C" w:rsidRDefault="00793B36" w:rsidP="00793B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93B36" w:rsidRPr="00C0524C" w:rsidRDefault="00793B36" w:rsidP="00793B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C0524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Оцінка впливу на сферу інтересів суб’єктів господарювання</w:t>
      </w:r>
    </w:p>
    <w:p w:rsidR="00793B36" w:rsidRPr="00C0524C" w:rsidRDefault="00793B36" w:rsidP="00793B36">
      <w:pPr>
        <w:spacing w:after="12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93B36" w:rsidRDefault="00F331AF" w:rsidP="00F6622C">
      <w:pPr>
        <w:spacing w:after="12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>Під дію регулювання підпадає</w:t>
      </w:r>
      <w:r w:rsidR="00BE01A3"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176C9"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2873 </w:t>
      </w:r>
      <w:r w:rsidR="002176C9" w:rsidRPr="00C0524C">
        <w:rPr>
          <w:rFonts w:ascii="Times New Roman" w:hAnsi="Times New Roman" w:cs="Times New Roman"/>
          <w:sz w:val="27"/>
          <w:szCs w:val="27"/>
        </w:rPr>
        <w:t>суб’єкта оціночної діяльності</w:t>
      </w:r>
      <w:r w:rsidR="00793B36"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F49DF" w:rsidRPr="00C0524C" w:rsidRDefault="004F49DF" w:rsidP="00F6622C">
      <w:pPr>
        <w:spacing w:after="12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9"/>
        <w:gridCol w:w="1168"/>
        <w:gridCol w:w="833"/>
        <w:gridCol w:w="987"/>
        <w:gridCol w:w="944"/>
      </w:tblGrid>
      <w:tr w:rsidR="00793B36" w:rsidRPr="00C0524C" w:rsidTr="00CE27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Показник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Середні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Малі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Мікро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Разом</w:t>
            </w:r>
          </w:p>
        </w:tc>
      </w:tr>
      <w:tr w:rsidR="00793B36" w:rsidRPr="00C0524C" w:rsidTr="00CE27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1E0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Кількість суб’єктів господарювання, що </w:t>
            </w:r>
          </w:p>
          <w:p w:rsidR="005151E0" w:rsidRPr="00C0524C" w:rsidRDefault="005151E0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5151E0" w:rsidRPr="00C0524C" w:rsidRDefault="00793B36" w:rsidP="00515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підпадають під дію регулювання, одиниць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93B36" w:rsidRPr="00C0524C" w:rsidRDefault="000A008A" w:rsidP="0089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156</w:t>
            </w:r>
            <w:r w:rsidR="00896AE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93B36" w:rsidRPr="00C0524C" w:rsidRDefault="000A008A" w:rsidP="00140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93B36" w:rsidRPr="00C0524C" w:rsidRDefault="00FD4D81" w:rsidP="00FD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2873</w:t>
            </w:r>
          </w:p>
        </w:tc>
      </w:tr>
      <w:tr w:rsidR="00793B36" w:rsidRPr="00C0524C" w:rsidTr="00CE2784">
        <w:trPr>
          <w:trHeight w:val="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Питома вага групи у загальній кількості, відсотків</w:t>
            </w:r>
          </w:p>
          <w:p w:rsidR="005151E0" w:rsidRPr="00C0524C" w:rsidRDefault="005151E0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F6622C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54</w:t>
            </w:r>
            <w:r w:rsidR="00793B36"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F6622C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46</w:t>
            </w:r>
            <w:r w:rsidR="00793B36"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FD4D81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  <w:r w:rsidR="00793B36"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0%</w:t>
            </w:r>
          </w:p>
        </w:tc>
      </w:tr>
    </w:tbl>
    <w:p w:rsidR="00FE0DCC" w:rsidRDefault="00FE0DCC" w:rsidP="00793B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F49DF" w:rsidRDefault="004F49DF" w:rsidP="00793B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F49DF" w:rsidRPr="00C0524C" w:rsidRDefault="004F49DF" w:rsidP="00793B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3286"/>
        <w:gridCol w:w="5026"/>
      </w:tblGrid>
      <w:tr w:rsidR="00793B36" w:rsidRPr="00C0524C" w:rsidTr="00CE27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Вид альтернативи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Вигоди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Витрати</w:t>
            </w:r>
          </w:p>
        </w:tc>
      </w:tr>
      <w:tr w:rsidR="00793B36" w:rsidRPr="00C0524C" w:rsidTr="00CE27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1. Відсутність регулювання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Відсутні 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BE01A3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Відсутні</w:t>
            </w:r>
          </w:p>
        </w:tc>
      </w:tr>
      <w:tr w:rsidR="00793B36" w:rsidRPr="00C0524C" w:rsidTr="00CE2784">
        <w:trPr>
          <w:trHeight w:val="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2. Розробка проекту нормативно-правового акту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BE01A3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hAnsi="Times New Roman" w:cs="Times New Roman"/>
                <w:sz w:val="27"/>
                <w:szCs w:val="27"/>
              </w:rPr>
              <w:t>Включення до реєстру оцінювачів, які можуть проводити незалежну оцінку у випадках, встановлених законодавством про цінні папери та акціонерні товариства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Витрати, пов’язані з необхідністю подання до Комісії 1 пакету документів для</w:t>
            </w:r>
            <w:r w:rsidR="00511A80"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внесення до реєстру </w:t>
            </w:r>
            <w:r w:rsidR="00511A80" w:rsidRPr="00C0524C">
              <w:rPr>
                <w:rFonts w:ascii="Times New Roman" w:hAnsi="Times New Roman" w:cs="Times New Roman"/>
                <w:sz w:val="27"/>
                <w:szCs w:val="27"/>
              </w:rPr>
              <w:t>оцінювачів, які можуть проводити незалежну оцінку у випадках, встановлених законодавством про цінні папери та акціонерні товариства</w:t>
            </w:r>
            <w:r w:rsidR="00123807"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, складає 1517116,38 </w:t>
            </w:r>
            <w:r w:rsidR="00042C6E"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грн.</w:t>
            </w:r>
          </w:p>
          <w:p w:rsidR="00793B36" w:rsidRPr="00C0524C" w:rsidRDefault="00793B36" w:rsidP="00511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511A80" w:rsidRPr="00C0524C" w:rsidRDefault="00511A80" w:rsidP="00793B3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0524C" w:rsidRDefault="00C0524C" w:rsidP="00793B3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F49DF" w:rsidRDefault="004F49DF" w:rsidP="00793B3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93B36" w:rsidRDefault="00793B36" w:rsidP="00793B3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ІV. Вибір найбільш оптимального альтернативного способу досягнення цілей</w:t>
      </w:r>
    </w:p>
    <w:p w:rsidR="004F49DF" w:rsidRPr="00C0524C" w:rsidRDefault="004F49DF" w:rsidP="00793B3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20"/>
        <w:gridCol w:w="4433"/>
      </w:tblGrid>
      <w:tr w:rsidR="00793B36" w:rsidRPr="00C0524C" w:rsidTr="00CE2784">
        <w:tc>
          <w:tcPr>
            <w:tcW w:w="0" w:type="auto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0" w:type="auto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Бал результативності (за чотирибальною системою оцінки)</w:t>
            </w:r>
          </w:p>
        </w:tc>
        <w:tc>
          <w:tcPr>
            <w:tcW w:w="0" w:type="auto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Коментарі щодо присвоєння відповідного </w:t>
            </w:r>
            <w:proofErr w:type="spellStart"/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бала</w:t>
            </w:r>
            <w:proofErr w:type="spellEnd"/>
          </w:p>
        </w:tc>
      </w:tr>
      <w:tr w:rsidR="00793B36" w:rsidRPr="00C0524C" w:rsidTr="00CE2784">
        <w:tc>
          <w:tcPr>
            <w:tcW w:w="0" w:type="auto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1. Відсутність регулювання</w:t>
            </w:r>
          </w:p>
        </w:tc>
        <w:tc>
          <w:tcPr>
            <w:tcW w:w="0" w:type="auto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Проблема продовжує існувати тривалий час. Відсутня впевненість щодо вирішення проблем</w:t>
            </w:r>
            <w:r w:rsidR="007531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</w:t>
            </w: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майбутньому.</w:t>
            </w:r>
          </w:p>
        </w:tc>
      </w:tr>
      <w:tr w:rsidR="00793B36" w:rsidRPr="00C0524C" w:rsidTr="00CE2784">
        <w:trPr>
          <w:trHeight w:val="115"/>
        </w:trPr>
        <w:tc>
          <w:tcPr>
            <w:tcW w:w="0" w:type="auto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2. Розробка проекту нормативно-правового акту</w:t>
            </w:r>
          </w:p>
        </w:tc>
        <w:tc>
          <w:tcPr>
            <w:tcW w:w="0" w:type="auto"/>
            <w:shd w:val="clear" w:color="auto" w:fill="auto"/>
          </w:tcPr>
          <w:p w:rsidR="00793B36" w:rsidRPr="00C0524C" w:rsidRDefault="009239E7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93B36" w:rsidRPr="00C0524C" w:rsidRDefault="00793B36" w:rsidP="00923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Цілі прийняття регуляторного </w:t>
            </w:r>
            <w:proofErr w:type="spellStart"/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акта</w:t>
            </w:r>
            <w:proofErr w:type="spellEnd"/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мають бути досягнуті повною мірою, а саме: </w:t>
            </w:r>
          </w:p>
          <w:p w:rsidR="001212AD" w:rsidRPr="00C0524C" w:rsidRDefault="001212AD" w:rsidP="001212AD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1) наявність документу, який встановлює вимоги до оцінювачів та визначає </w:t>
            </w:r>
            <w:r w:rsidR="009239E7" w:rsidRPr="00C0524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порядок </w:t>
            </w:r>
            <w:r w:rsidRPr="00C0524C">
              <w:rPr>
                <w:rFonts w:ascii="Times New Roman" w:hAnsi="Times New Roman" w:cs="Times New Roman"/>
                <w:sz w:val="27"/>
                <w:szCs w:val="27"/>
              </w:rPr>
              <w:t>ведення реєстру оцінювачів, які можуть проводити незалежну оцінку у випадках, встановлених законодавством про цінні папери та акціонерні товариства</w:t>
            </w: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</w:rPr>
              <w:t>;</w:t>
            </w:r>
          </w:p>
          <w:p w:rsidR="00793B36" w:rsidRPr="00C0524C" w:rsidRDefault="001212AD" w:rsidP="001212AD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</w:t>
            </w:r>
            <w:r w:rsidR="009010C2"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</w:t>
            </w: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иконання вимог Закону.</w:t>
            </w:r>
          </w:p>
        </w:tc>
      </w:tr>
    </w:tbl>
    <w:p w:rsidR="00793B36" w:rsidRDefault="00793B36" w:rsidP="00793B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524C" w:rsidRDefault="00C0524C" w:rsidP="00793B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524C" w:rsidRDefault="00C0524C" w:rsidP="00793B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524C" w:rsidRDefault="00C0524C" w:rsidP="00793B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524C" w:rsidRDefault="00C0524C" w:rsidP="00793B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524C" w:rsidRDefault="00C0524C" w:rsidP="00793B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524C" w:rsidRDefault="00C0524C" w:rsidP="00793B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F49DF" w:rsidRPr="00C0524C" w:rsidRDefault="004F49DF" w:rsidP="00793B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0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3285"/>
        <w:gridCol w:w="2594"/>
        <w:gridCol w:w="2372"/>
      </w:tblGrid>
      <w:tr w:rsidR="00793B36" w:rsidRPr="00C0524C" w:rsidTr="004F49DF">
        <w:trPr>
          <w:trHeight w:val="824"/>
        </w:trPr>
        <w:tc>
          <w:tcPr>
            <w:tcW w:w="0" w:type="auto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 xml:space="preserve">Рейтинг </w:t>
            </w:r>
            <w:proofErr w:type="spellStart"/>
            <w:r w:rsidRPr="00C0524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результатив</w:t>
            </w:r>
            <w:proofErr w:type="spellEnd"/>
            <w:r w:rsidRPr="00C0524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-</w:t>
            </w:r>
          </w:p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 w:rsidRPr="00C0524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ності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Вигоди (підсумок)</w:t>
            </w:r>
          </w:p>
        </w:tc>
        <w:tc>
          <w:tcPr>
            <w:tcW w:w="2594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Витрати (підсумок)</w:t>
            </w:r>
          </w:p>
        </w:tc>
        <w:tc>
          <w:tcPr>
            <w:tcW w:w="2372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Обґрунтування відповідного місця альтернативи у рейтингу</w:t>
            </w:r>
          </w:p>
        </w:tc>
      </w:tr>
      <w:tr w:rsidR="00793B36" w:rsidRPr="00C0524C" w:rsidTr="004F49DF">
        <w:trPr>
          <w:trHeight w:val="3213"/>
        </w:trPr>
        <w:tc>
          <w:tcPr>
            <w:tcW w:w="0" w:type="auto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Розробка проекту нормативно-правового акту</w:t>
            </w:r>
          </w:p>
        </w:tc>
        <w:tc>
          <w:tcPr>
            <w:tcW w:w="3285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Для держави - висока результативність, ефективність, політична та адміністративна здійсненність. </w:t>
            </w:r>
          </w:p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Для громадян – захист прав інвесторів, які вклали гроші у</w:t>
            </w:r>
            <w:r w:rsidR="005070A4" w:rsidRPr="00C0524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ринки капіталу</w:t>
            </w:r>
            <w:r w:rsidR="0038071B" w:rsidRPr="00C0524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, як наслідок, </w:t>
            </w:r>
            <w:r w:rsidRPr="00C0524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збільшення довіри до </w:t>
            </w:r>
            <w:r w:rsidR="005070A4" w:rsidRPr="00C0524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ринків капіталу </w:t>
            </w:r>
            <w:r w:rsidRPr="00C0524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з боку інвесторів (зростання обсягів інвестування, збільшення кількості  інвесторів), поліпшення ситуації на фінансовому ринку України.</w:t>
            </w:r>
          </w:p>
          <w:p w:rsidR="0038071B" w:rsidRPr="00C0524C" w:rsidRDefault="0038071B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Для суб’єктів господарювання </w:t>
            </w:r>
            <w:r w:rsidRPr="00C0524C">
              <w:rPr>
                <w:rFonts w:ascii="Times New Roman" w:hAnsi="Times New Roman" w:cs="Times New Roman"/>
                <w:sz w:val="27"/>
                <w:szCs w:val="27"/>
              </w:rPr>
              <w:t>можливість проводити незалежну оцінку у випадках, встановлених законодавством про цінні папери та акціонерні товариства.</w:t>
            </w:r>
          </w:p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Додаткове навантаження на працівників НКЦПФР щодо необхідності здійснювати реєстраційні функції.</w:t>
            </w:r>
          </w:p>
        </w:tc>
        <w:tc>
          <w:tcPr>
            <w:tcW w:w="2372" w:type="dxa"/>
            <w:shd w:val="clear" w:color="auto" w:fill="auto"/>
          </w:tcPr>
          <w:p w:rsidR="00793B36" w:rsidRPr="00C0524C" w:rsidRDefault="00793B36" w:rsidP="00793B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Стимулювання розвитку </w:t>
            </w:r>
            <w:r w:rsidR="005070A4"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ринків капіталу </w:t>
            </w: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через прийняття законодавчих актів </w:t>
            </w:r>
            <w:r w:rsidRPr="00C0524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вбачається найбільш ефективним та результативним, оскільки сприятиме системному вирішенню існуючих </w:t>
            </w: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проблем функціонування</w:t>
            </w:r>
            <w:r w:rsidR="005070A4"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ринків капіталу </w:t>
            </w: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793B36" w:rsidRPr="00C0524C" w:rsidRDefault="00793B36" w:rsidP="005070A4">
            <w:pPr>
              <w:spacing w:after="0" w:line="240" w:lineRule="auto"/>
              <w:ind w:firstLine="78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Підвищення довіри внутрішнього інвестора – населення, інституціональних інвесторів та іноземних інвесторів до </w:t>
            </w:r>
            <w:r w:rsidR="005070A4" w:rsidRPr="00C0524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фінансових інструментів ринків капіталу</w:t>
            </w:r>
            <w:r w:rsidRPr="00C0524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призведе до збільшення інвестицій в економіку України.</w:t>
            </w:r>
          </w:p>
        </w:tc>
      </w:tr>
      <w:tr w:rsidR="00793B36" w:rsidRPr="00C0524C" w:rsidTr="004F49DF">
        <w:trPr>
          <w:trHeight w:val="116"/>
        </w:trPr>
        <w:tc>
          <w:tcPr>
            <w:tcW w:w="0" w:type="auto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Відсутність регулювання</w:t>
            </w:r>
          </w:p>
        </w:tc>
        <w:tc>
          <w:tcPr>
            <w:tcW w:w="3285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Для держави </w:t>
            </w:r>
            <w:r w:rsidR="007531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розвиток фондового ринку (хоча і дуже повільний) та відсутність видатків на реалізацію.</w:t>
            </w:r>
          </w:p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Для учасників </w:t>
            </w:r>
            <w:r w:rsidR="00D22D33"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ринків капіталу</w:t>
            </w:r>
            <w:r w:rsidR="0038071B"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та</w:t>
            </w:r>
            <w:r w:rsidR="00D22D33"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38071B" w:rsidRPr="00C0524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суб’єктів</w:t>
            </w:r>
            <w:r w:rsidR="0038071B"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господарювання </w:t>
            </w: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вигоди відсутні. </w:t>
            </w:r>
          </w:p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Для громадян вигоди відсутні.</w:t>
            </w:r>
          </w:p>
        </w:tc>
        <w:tc>
          <w:tcPr>
            <w:tcW w:w="2594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Дуже тривалий та невизначений час для реалізації.</w:t>
            </w:r>
          </w:p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Відсутність впевненості щодо вирішення проблем</w:t>
            </w:r>
            <w:r w:rsidR="007531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</w:t>
            </w:r>
            <w:r w:rsidRPr="00C052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Неотримані інвестиції від фізичних та юридичних осіб.</w:t>
            </w:r>
          </w:p>
        </w:tc>
        <w:tc>
          <w:tcPr>
            <w:tcW w:w="2372" w:type="dxa"/>
            <w:shd w:val="clear" w:color="auto" w:fill="auto"/>
          </w:tcPr>
          <w:p w:rsidR="00793B36" w:rsidRPr="00C0524C" w:rsidRDefault="00793B36" w:rsidP="00793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C0524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Альтернатива має низьку ефективність. Цілі прийняття регуляторного </w:t>
            </w:r>
            <w:proofErr w:type="spellStart"/>
            <w:r w:rsidRPr="00C0524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акта</w:t>
            </w:r>
            <w:proofErr w:type="spellEnd"/>
            <w:r w:rsidRPr="00C0524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не можуть бути досягнуті в найближчий час, тобто проблема продовжить існувати.</w:t>
            </w:r>
          </w:p>
        </w:tc>
      </w:tr>
    </w:tbl>
    <w:p w:rsidR="00854EF3" w:rsidRPr="00C0524C" w:rsidRDefault="00854EF3" w:rsidP="00793B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93B36" w:rsidRPr="00C0524C" w:rsidRDefault="00793B36" w:rsidP="00793B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V.  Механізми та заходи, які забезпечать розв’язання визначеної проблеми</w:t>
      </w:r>
    </w:p>
    <w:p w:rsidR="00D55C0F" w:rsidRPr="00C0524C" w:rsidRDefault="00D55C0F" w:rsidP="00D55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C0524C">
        <w:rPr>
          <w:rFonts w:ascii="Times New Roman" w:eastAsia="Times New Roman" w:hAnsi="Times New Roman" w:cs="Times New Roman"/>
          <w:sz w:val="27"/>
          <w:szCs w:val="27"/>
          <w:lang w:eastAsia="uk-UA"/>
        </w:rPr>
        <w:t>Для розв’язання проблеми, визначеної у пункті 1 цього аналізу регуляторного впливу, передбачається:</w:t>
      </w:r>
    </w:p>
    <w:p w:rsidR="000063A3" w:rsidRPr="00C0524C" w:rsidRDefault="00821F02" w:rsidP="000063A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524C">
        <w:rPr>
          <w:rFonts w:ascii="Times New Roman" w:hAnsi="Times New Roman" w:cs="Times New Roman"/>
          <w:sz w:val="27"/>
          <w:szCs w:val="27"/>
        </w:rPr>
        <w:t>в</w:t>
      </w:r>
      <w:r w:rsidR="00D55C0F" w:rsidRPr="00C0524C">
        <w:rPr>
          <w:rFonts w:ascii="Times New Roman" w:hAnsi="Times New Roman" w:cs="Times New Roman"/>
          <w:sz w:val="27"/>
          <w:szCs w:val="27"/>
        </w:rPr>
        <w:t>становити</w:t>
      </w:r>
      <w:r w:rsidRPr="00C0524C">
        <w:rPr>
          <w:rFonts w:ascii="Times New Roman" w:hAnsi="Times New Roman" w:cs="Times New Roman"/>
          <w:sz w:val="27"/>
          <w:szCs w:val="27"/>
        </w:rPr>
        <w:t xml:space="preserve"> вимог</w:t>
      </w:r>
      <w:r w:rsidR="00D55C0F" w:rsidRPr="00C0524C">
        <w:rPr>
          <w:rFonts w:ascii="Times New Roman" w:hAnsi="Times New Roman" w:cs="Times New Roman"/>
          <w:sz w:val="27"/>
          <w:szCs w:val="27"/>
        </w:rPr>
        <w:t>и</w:t>
      </w:r>
      <w:r w:rsidRPr="00C0524C">
        <w:rPr>
          <w:rFonts w:ascii="Times New Roman" w:hAnsi="Times New Roman" w:cs="Times New Roman"/>
          <w:sz w:val="27"/>
          <w:szCs w:val="27"/>
        </w:rPr>
        <w:t xml:space="preserve"> до оцінювачів, які можуть проводити оцінку у випадках, встановлених законодавством про цінні папери та акціонерні товариства</w:t>
      </w:r>
      <w:r w:rsidR="007531E3">
        <w:rPr>
          <w:rFonts w:ascii="Times New Roman" w:hAnsi="Times New Roman" w:cs="Times New Roman"/>
          <w:sz w:val="27"/>
          <w:szCs w:val="27"/>
        </w:rPr>
        <w:t>,</w:t>
      </w:r>
      <w:r w:rsidRPr="00C0524C">
        <w:rPr>
          <w:rFonts w:ascii="Times New Roman" w:hAnsi="Times New Roman" w:cs="Times New Roman"/>
          <w:sz w:val="27"/>
          <w:szCs w:val="27"/>
        </w:rPr>
        <w:t xml:space="preserve"> Комісією</w:t>
      </w:r>
      <w:r w:rsidR="00D55C0F" w:rsidRPr="00C0524C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854B89" w:rsidRPr="00C0524C" w:rsidRDefault="00854B89" w:rsidP="000063A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524C">
        <w:rPr>
          <w:rFonts w:ascii="Times New Roman" w:hAnsi="Times New Roman" w:cs="Times New Roman"/>
          <w:sz w:val="27"/>
          <w:szCs w:val="27"/>
        </w:rPr>
        <w:t>визначити процедуру ведення реєстру оцінювачів, які можуть проводити незалежну оцінку у випадках, встановлених законодавством про цінні папери та акціонерні товариства;</w:t>
      </w:r>
    </w:p>
    <w:p w:rsidR="00854B89" w:rsidRPr="00C0524C" w:rsidRDefault="00854B89" w:rsidP="00854B8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524C">
        <w:rPr>
          <w:rFonts w:ascii="Times New Roman" w:hAnsi="Times New Roman" w:cs="Times New Roman"/>
          <w:sz w:val="27"/>
          <w:szCs w:val="27"/>
        </w:rPr>
        <w:t>визначити норми</w:t>
      </w:r>
      <w:r w:rsidR="007531E3">
        <w:rPr>
          <w:rFonts w:ascii="Times New Roman" w:hAnsi="Times New Roman" w:cs="Times New Roman"/>
          <w:sz w:val="27"/>
          <w:szCs w:val="27"/>
        </w:rPr>
        <w:t>,</w:t>
      </w:r>
      <w:r w:rsidRPr="00C0524C">
        <w:rPr>
          <w:rFonts w:ascii="Times New Roman" w:hAnsi="Times New Roman" w:cs="Times New Roman"/>
          <w:sz w:val="27"/>
          <w:szCs w:val="27"/>
        </w:rPr>
        <w:t xml:space="preserve"> на підставі яких Комісія може включ</w:t>
      </w:r>
      <w:r w:rsidR="007531E3">
        <w:rPr>
          <w:rFonts w:ascii="Times New Roman" w:hAnsi="Times New Roman" w:cs="Times New Roman"/>
          <w:sz w:val="27"/>
          <w:szCs w:val="27"/>
        </w:rPr>
        <w:t>а</w:t>
      </w:r>
      <w:r w:rsidRPr="00C0524C">
        <w:rPr>
          <w:rFonts w:ascii="Times New Roman" w:hAnsi="Times New Roman" w:cs="Times New Roman"/>
          <w:sz w:val="27"/>
          <w:szCs w:val="27"/>
        </w:rPr>
        <w:t>ти (виключати) з реєстру оцінювачів, які можуть проводити незалежну оцінку у випадках, встановлених законодавством про цінні папери та акціонерні товариства;</w:t>
      </w:r>
    </w:p>
    <w:p w:rsidR="009657DE" w:rsidRPr="00C0524C" w:rsidRDefault="001A2982" w:rsidP="009657D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524C">
        <w:rPr>
          <w:rFonts w:ascii="Times New Roman" w:hAnsi="Times New Roman" w:cs="Times New Roman"/>
          <w:sz w:val="27"/>
          <w:szCs w:val="27"/>
        </w:rPr>
        <w:t xml:space="preserve">встановити вимоги до оцінювачів, які можуть проводити незалежну оцінку у випадках, встановлених законодавством про цінні папери та акціонерні товариства, </w:t>
      </w:r>
      <w:r w:rsidR="009657DE" w:rsidRPr="00C0524C">
        <w:rPr>
          <w:rFonts w:ascii="Times New Roman" w:hAnsi="Times New Roman" w:cs="Times New Roman"/>
          <w:sz w:val="27"/>
          <w:szCs w:val="27"/>
        </w:rPr>
        <w:t>які знаходяться в цьому реєстрі.</w:t>
      </w:r>
    </w:p>
    <w:p w:rsidR="00B61926" w:rsidRPr="00C0524C" w:rsidRDefault="00B61926" w:rsidP="00B61926">
      <w:pPr>
        <w:pStyle w:val="a7"/>
        <w:spacing w:after="0" w:line="240" w:lineRule="auto"/>
        <w:ind w:left="1129"/>
        <w:jc w:val="both"/>
        <w:rPr>
          <w:rFonts w:ascii="Times New Roman" w:hAnsi="Times New Roman" w:cs="Times New Roman"/>
          <w:sz w:val="27"/>
          <w:szCs w:val="27"/>
        </w:rPr>
      </w:pPr>
    </w:p>
    <w:p w:rsidR="00B61926" w:rsidRPr="00C0524C" w:rsidRDefault="00B61926" w:rsidP="000063A3">
      <w:pPr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C0524C">
        <w:rPr>
          <w:rFonts w:ascii="Times New Roman" w:hAnsi="Times New Roman" w:cs="Times New Roman"/>
          <w:sz w:val="27"/>
          <w:szCs w:val="27"/>
          <w:u w:val="single"/>
        </w:rPr>
        <w:t>Організаційні заходи для впровадження регулювання</w:t>
      </w:r>
    </w:p>
    <w:p w:rsidR="002D1E38" w:rsidRPr="00C0524C" w:rsidRDefault="00B61926" w:rsidP="002D1E38">
      <w:pPr>
        <w:pStyle w:val="a7"/>
        <w:ind w:left="0"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524C">
        <w:rPr>
          <w:rFonts w:ascii="Times New Roman" w:hAnsi="Times New Roman" w:cs="Times New Roman"/>
          <w:sz w:val="27"/>
          <w:szCs w:val="27"/>
        </w:rPr>
        <w:t xml:space="preserve">Для впровадження цього регуляторного </w:t>
      </w:r>
      <w:proofErr w:type="spellStart"/>
      <w:r w:rsidRPr="00C0524C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C0524C">
        <w:rPr>
          <w:rFonts w:ascii="Times New Roman" w:hAnsi="Times New Roman" w:cs="Times New Roman"/>
          <w:sz w:val="27"/>
          <w:szCs w:val="27"/>
        </w:rPr>
        <w:t xml:space="preserve"> необхідно забезпечити інформування громадськості про вимоги регуляторного </w:t>
      </w:r>
      <w:proofErr w:type="spellStart"/>
      <w:r w:rsidRPr="00C0524C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C0524C">
        <w:rPr>
          <w:rFonts w:ascii="Times New Roman" w:hAnsi="Times New Roman" w:cs="Times New Roman"/>
          <w:sz w:val="27"/>
          <w:szCs w:val="27"/>
        </w:rPr>
        <w:t xml:space="preserve"> шляхом його </w:t>
      </w:r>
      <w:r w:rsidR="007531E3"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оприлюдне</w:t>
      </w:r>
      <w:r w:rsidR="007531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ння</w:t>
      </w:r>
      <w:r w:rsidR="007531E3"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офіційному веб-сайті Національної комісії з цінних паперів та фондового ринку</w:t>
      </w:r>
      <w:r w:rsidRPr="00C0524C">
        <w:rPr>
          <w:rFonts w:ascii="Times New Roman" w:hAnsi="Times New Roman" w:cs="Times New Roman"/>
          <w:sz w:val="27"/>
          <w:szCs w:val="27"/>
        </w:rPr>
        <w:t>.</w:t>
      </w:r>
    </w:p>
    <w:p w:rsidR="002D1E38" w:rsidRPr="00C0524C" w:rsidRDefault="00793B36" w:rsidP="002D1E38">
      <w:pPr>
        <w:pStyle w:val="a7"/>
        <w:ind w:left="0" w:right="-1"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Заходами, які забезпечать розв’язання визначених проблем, є погодження регуляторного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акта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із зацікавленими органами (в тому числі отримання пропозицій та зауважень) та його державна реєстрація в Міністерстві юстиції України; здійснення постійного контролю та </w:t>
      </w:r>
      <w:r w:rsidR="00972D4D"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>моніторингу діяльності оцінювачів</w:t>
      </w: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 яких розповсюджується дія даного регуляторного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акта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працівниками</w:t>
      </w:r>
      <w:r w:rsidR="00972D4D"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72D4D" w:rsidRPr="00C052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Комісії</w:t>
      </w:r>
      <w:r w:rsidRPr="00C052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; прийняття та аналіз інформації, отриманої у порядку подання </w:t>
      </w:r>
      <w:r w:rsidR="009308C9" w:rsidRPr="00C052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інформації </w:t>
      </w:r>
      <w:r w:rsidR="00972D4D" w:rsidRPr="00C052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до Комісії.</w:t>
      </w:r>
    </w:p>
    <w:p w:rsidR="00793B36" w:rsidRPr="00C0524C" w:rsidRDefault="00793B36" w:rsidP="002D1E38">
      <w:pPr>
        <w:pStyle w:val="a7"/>
        <w:ind w:left="0"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052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Державний контроль та нагляд за дотриманням вимог регуляторного </w:t>
      </w:r>
      <w:proofErr w:type="spellStart"/>
      <w:r w:rsidRPr="00C052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акта</w:t>
      </w:r>
      <w:proofErr w:type="spellEnd"/>
      <w:r w:rsidRPr="00C052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здійснюється Національною комісією з цінних паперів та фондового ринку.</w:t>
      </w:r>
    </w:p>
    <w:p w:rsidR="00732833" w:rsidRPr="00C0524C" w:rsidRDefault="00732833" w:rsidP="00793B36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93B36" w:rsidRPr="00C0524C" w:rsidRDefault="00793B36" w:rsidP="00793B36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VІ. Оцінка виконання вимог регуляторного </w:t>
      </w:r>
      <w:proofErr w:type="spellStart"/>
      <w:r w:rsidRPr="00C052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акта</w:t>
      </w:r>
      <w:proofErr w:type="spellEnd"/>
      <w:r w:rsidRPr="00C052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793B36" w:rsidRPr="00C0524C" w:rsidRDefault="00793B36" w:rsidP="00793B36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Тес</w:t>
      </w:r>
      <w:r w:rsidR="00FE0DCC" w:rsidRPr="00C052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 малого підприємництва (М-Тест)</w:t>
      </w:r>
    </w:p>
    <w:p w:rsidR="008F0B04" w:rsidRPr="00C0524C" w:rsidRDefault="008F0B04" w:rsidP="00793B36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8F0B04" w:rsidRPr="00C0524C" w:rsidRDefault="008F0B04" w:rsidP="00141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Реалізація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регуляторного акта не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потребуватиме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додаткових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бюджетних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витрат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і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ресурсів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адміністрування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органами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виконавчої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влади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чи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органами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місцевого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самоврядування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8F0B04" w:rsidRPr="00C0524C" w:rsidRDefault="008F0B04" w:rsidP="00141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Державне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не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передбачає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утворення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нового державного органу (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або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нового структурного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підрозділу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діючого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органу).</w:t>
      </w:r>
    </w:p>
    <w:p w:rsidR="008F0B04" w:rsidRPr="00C0524C" w:rsidRDefault="008F0B04" w:rsidP="00141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Відповідно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розрахунок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витрат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вимог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регуляторного акта для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органів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виконавчої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влади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чи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органів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місцевого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самоврядування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згідно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додатком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3 до Методики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проведення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аналізу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впливу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регуляторного акта не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проводився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8F0B04" w:rsidRPr="00C0524C" w:rsidRDefault="008F0B04" w:rsidP="00141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lastRenderedPageBreak/>
        <w:t>Розрахунок</w:t>
      </w:r>
      <w:proofErr w:type="spellEnd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витрат</w:t>
      </w:r>
      <w:proofErr w:type="spellEnd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суб’єктів</w:t>
      </w:r>
      <w:proofErr w:type="spellEnd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малого </w:t>
      </w:r>
      <w:proofErr w:type="spellStart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підприємництва</w:t>
      </w:r>
      <w:proofErr w:type="spellEnd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на </w:t>
      </w:r>
      <w:proofErr w:type="spellStart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виконання</w:t>
      </w:r>
      <w:proofErr w:type="spellEnd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вимог</w:t>
      </w:r>
      <w:proofErr w:type="spellEnd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регулювання</w:t>
      </w:r>
      <w:proofErr w:type="spellEnd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(</w:t>
      </w:r>
      <w:proofErr w:type="spellStart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Додаток</w:t>
      </w:r>
      <w:proofErr w:type="spellEnd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4 </w:t>
      </w:r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Тест малого </w:t>
      </w:r>
      <w:proofErr w:type="spellStart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підприємництва</w:t>
      </w:r>
      <w:proofErr w:type="spellEnd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до Методики </w:t>
      </w:r>
      <w:proofErr w:type="spellStart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проведення</w:t>
      </w:r>
      <w:proofErr w:type="spellEnd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аналізу</w:t>
      </w:r>
      <w:proofErr w:type="spellEnd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впливу</w:t>
      </w:r>
      <w:proofErr w:type="spellEnd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регуляторного акт</w:t>
      </w:r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)</w:t>
      </w:r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додається.</w:t>
      </w:r>
    </w:p>
    <w:p w:rsidR="008F0B04" w:rsidRPr="00C0524C" w:rsidRDefault="008F0B04" w:rsidP="00141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Прийняття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регуляторного акту </w:t>
      </w:r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дозволить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виконати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вимогу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Закону</w:t>
      </w: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а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також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усунути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перешкоди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які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можуть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створити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підґрунтя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для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виникнення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конфліктних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ситуацій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між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контролюючими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органами та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суб’єктами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господарювання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8F0B04" w:rsidRPr="00C0524C" w:rsidRDefault="008F0B04" w:rsidP="00141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Прийняття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оприлюднення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регуляторного акту </w:t>
      </w:r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в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установленому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порядку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забезпечить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доведення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його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вимог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до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суб’єктів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господарювання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центральних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місцевих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органів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виконавчої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влади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і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органів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місцевого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самоврядування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8F0B04" w:rsidRPr="00C0524C" w:rsidRDefault="008F0B04" w:rsidP="00141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Досягнення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цілей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не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передбачає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додаткових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організаційних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заходів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8F0B04" w:rsidRPr="00C0524C" w:rsidRDefault="008F0B04" w:rsidP="00141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C0524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Введення в дію регуляторного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eastAsia="uk-UA"/>
        </w:rPr>
        <w:t>акта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не потребує збільшення штату державних службовців, а лише упорядковує вже існуючу діяльність із зазначеного питання.</w:t>
      </w:r>
    </w:p>
    <w:p w:rsidR="008F0B04" w:rsidRPr="00C0524C" w:rsidRDefault="008F0B04" w:rsidP="00141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C0524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Прийняття регуляторного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eastAsia="uk-UA"/>
        </w:rPr>
        <w:t>акта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не призведе до неочікуваних результатів і не потребуватиме  додаткових витрат з державного бюджету.</w:t>
      </w:r>
    </w:p>
    <w:p w:rsidR="008F0B04" w:rsidRPr="00C0524C" w:rsidRDefault="008F0B04" w:rsidP="00141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Можлива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шкода у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разі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очікуваних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наслідків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дії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акта не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прогнозується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8F0B04" w:rsidRPr="00C0524C" w:rsidRDefault="008F0B04" w:rsidP="00793B36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793B36" w:rsidRPr="00C0524C" w:rsidRDefault="00793B36" w:rsidP="00793B3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VІІ.  Обґрунтування запропонованого строку дії регуляторного </w:t>
      </w:r>
      <w:proofErr w:type="spellStart"/>
      <w:r w:rsidRPr="00C052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акта</w:t>
      </w:r>
      <w:proofErr w:type="spellEnd"/>
    </w:p>
    <w:p w:rsidR="00793B36" w:rsidRPr="00C0524C" w:rsidRDefault="00793B36" w:rsidP="00793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Строк дії регуляторного </w:t>
      </w:r>
      <w:proofErr w:type="spellStart"/>
      <w:r w:rsidRPr="00C052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акта</w:t>
      </w:r>
      <w:proofErr w:type="spellEnd"/>
      <w:r w:rsidRPr="00C052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необмежен</w:t>
      </w:r>
      <w:r w:rsidR="0038071B" w:rsidRPr="00C052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ий у часі, оскільки дія Закону, на виконання якого розроблено проект рішення</w:t>
      </w:r>
      <w:r w:rsidR="007531E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</w:t>
      </w:r>
      <w:r w:rsidR="0038071B" w:rsidRPr="00C052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має необмежений термін дії</w:t>
      </w:r>
      <w:r w:rsidRPr="00C052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 </w:t>
      </w:r>
    </w:p>
    <w:p w:rsidR="00793B36" w:rsidRPr="00C0524C" w:rsidRDefault="00793B36" w:rsidP="00793B3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93B36" w:rsidRPr="00C0524C" w:rsidRDefault="00793B36" w:rsidP="00793B3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VІІІ.  Визначення показників результативності дії регуляторного </w:t>
      </w:r>
      <w:proofErr w:type="spellStart"/>
      <w:r w:rsidRPr="00C052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акта</w:t>
      </w:r>
      <w:proofErr w:type="spellEnd"/>
    </w:p>
    <w:p w:rsidR="00793B36" w:rsidRPr="00C0524C" w:rsidRDefault="00793B36" w:rsidP="00793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Виходячи з цілей державного регулювання, визначених у другому розділі даного Аналізу впливу регуляторного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акта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для відстеження результативності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акта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обрано такі показники:</w:t>
      </w:r>
    </w:p>
    <w:p w:rsidR="00793B36" w:rsidRPr="00C0524C" w:rsidRDefault="00793B36" w:rsidP="00793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lang w:eastAsia="ru-RU"/>
        </w:rPr>
        <w:t>1) Р</w:t>
      </w:r>
      <w:r w:rsidRPr="00C0524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озмір надходжень до державного та місцевих бюджетів і державних цільових фондів, пов’язаних з дією </w:t>
      </w:r>
      <w:proofErr w:type="spellStart"/>
      <w:r w:rsidRPr="00C0524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акта</w:t>
      </w:r>
      <w:proofErr w:type="spellEnd"/>
      <w:r w:rsidRPr="00C0524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  <w:r w:rsidRPr="00C0524C">
        <w:rPr>
          <w:rFonts w:ascii="Times New Roman" w:eastAsia="Times New Roman" w:hAnsi="Times New Roman" w:cs="Times New Roman"/>
          <w:i/>
          <w:color w:val="000000"/>
          <w:spacing w:val="-1"/>
          <w:sz w:val="27"/>
          <w:szCs w:val="27"/>
          <w:lang w:eastAsia="ru-RU"/>
        </w:rPr>
        <w:t xml:space="preserve"> </w:t>
      </w:r>
      <w:r w:rsidRPr="00C0524C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– не зміниться</w:t>
      </w:r>
      <w:r w:rsidRPr="00C0524C">
        <w:rPr>
          <w:rFonts w:ascii="Times New Roman" w:eastAsia="Times New Roman" w:hAnsi="Times New Roman" w:cs="Times New Roman"/>
          <w:i/>
          <w:color w:val="000000"/>
          <w:spacing w:val="-1"/>
          <w:sz w:val="27"/>
          <w:szCs w:val="27"/>
          <w:lang w:eastAsia="ru-RU"/>
        </w:rPr>
        <w:t>.</w:t>
      </w:r>
    </w:p>
    <w:p w:rsidR="00793B36" w:rsidRPr="00C0524C" w:rsidRDefault="00793B36" w:rsidP="00793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2) Кількість суб’єктів господарювання та/або фізичних осіб, на яких поширюватиметься дія </w:t>
      </w:r>
      <w:proofErr w:type="spellStart"/>
      <w:r w:rsidRPr="00C0524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акта</w:t>
      </w:r>
      <w:proofErr w:type="spellEnd"/>
      <w:r w:rsidRPr="00C0524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  <w:r w:rsidR="0038071B"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дія </w:t>
      </w:r>
      <w:proofErr w:type="spellStart"/>
      <w:r w:rsidR="0038071B"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</w:t>
      </w:r>
      <w:r w:rsidR="007531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spellEnd"/>
      <w:r w:rsidR="0038071B"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поширюється на</w:t>
      </w:r>
      <w:r w:rsidR="006D0960"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C6FE9"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2873 </w:t>
      </w:r>
      <w:r w:rsidR="00EC6FE9" w:rsidRPr="00C0524C">
        <w:rPr>
          <w:rFonts w:ascii="Times New Roman" w:hAnsi="Times New Roman" w:cs="Times New Roman"/>
          <w:sz w:val="27"/>
          <w:szCs w:val="27"/>
        </w:rPr>
        <w:t>суб’єкта</w:t>
      </w:r>
      <w:r w:rsidR="006D0960" w:rsidRPr="00C0524C">
        <w:rPr>
          <w:rFonts w:ascii="Times New Roman" w:hAnsi="Times New Roman" w:cs="Times New Roman"/>
          <w:sz w:val="27"/>
          <w:szCs w:val="27"/>
        </w:rPr>
        <w:t xml:space="preserve"> оціночної діяльності</w:t>
      </w:r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93B36" w:rsidRPr="00C0524C" w:rsidRDefault="00793B36" w:rsidP="00793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3) Розмір коштів і час, що витрачатимуться суб’єктами господарювання та/або фізичними особами, пов’язаними з виконанням вимог регуляторного </w:t>
      </w:r>
      <w:proofErr w:type="spellStart"/>
      <w:r w:rsidRPr="00C0524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акта</w:t>
      </w:r>
      <w:proofErr w:type="spellEnd"/>
      <w:r w:rsidRPr="00C0524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.</w:t>
      </w:r>
    </w:p>
    <w:p w:rsidR="00793B36" w:rsidRPr="00C0524C" w:rsidRDefault="00793B36" w:rsidP="00793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Розмір коштів та часу, які витратять суб’єкти господарювання на виконання вимог дано</w:t>
      </w:r>
      <w:r w:rsidR="00EC6FE9"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 регуляторного </w:t>
      </w:r>
      <w:proofErr w:type="spellStart"/>
      <w:r w:rsidR="00EC6FE9"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акта</w:t>
      </w:r>
      <w:proofErr w:type="spellEnd"/>
      <w:r w:rsidR="007531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EC6FE9"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EC6FE9"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збільшаться</w:t>
      </w:r>
      <w:proofErr w:type="spellEnd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93B36" w:rsidRPr="00C0524C" w:rsidRDefault="00793B36" w:rsidP="00793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4) </w:t>
      </w:r>
      <w:r w:rsidRPr="00C0524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Кількість скарг та пропозицій від </w:t>
      </w:r>
      <w:r w:rsidR="00EC6FE9" w:rsidRPr="00C0524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оцінювачів та </w:t>
      </w:r>
      <w:r w:rsidR="002B47E3" w:rsidRPr="00C0524C">
        <w:rPr>
          <w:rFonts w:ascii="Times New Roman" w:hAnsi="Times New Roman" w:cs="Times New Roman"/>
          <w:sz w:val="27"/>
          <w:szCs w:val="27"/>
        </w:rPr>
        <w:t>суб’єктів оціночної діяльності</w:t>
      </w:r>
      <w:r w:rsidR="002B47E3" w:rsidRPr="00C0524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  <w:r w:rsidRPr="00C0524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в результаті дії зазначеного регуляторного </w:t>
      </w:r>
      <w:proofErr w:type="spellStart"/>
      <w:r w:rsidRPr="00C0524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ак</w:t>
      </w:r>
      <w:r w:rsidR="00EC6FE9" w:rsidRPr="00C0524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та</w:t>
      </w:r>
      <w:proofErr w:type="spellEnd"/>
      <w:r w:rsidR="00EC6FE9" w:rsidRPr="00C0524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.</w:t>
      </w:r>
    </w:p>
    <w:p w:rsidR="00793B36" w:rsidRPr="00C0524C" w:rsidRDefault="00793B36" w:rsidP="00793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5) Рівень поінформованості суб’єктів господарювання та/або фізичних осіб з основних положень </w:t>
      </w:r>
      <w:proofErr w:type="spellStart"/>
      <w:r w:rsidRPr="00C0524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акта</w:t>
      </w:r>
      <w:proofErr w:type="spellEnd"/>
      <w:r w:rsidRPr="00C0524C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середній. Даний проект регуляторного </w:t>
      </w:r>
      <w:proofErr w:type="spellStart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акта</w:t>
      </w:r>
      <w:proofErr w:type="spellEnd"/>
      <w:r w:rsidRPr="00C05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 метою громадського обговорення оприлюднено на офіційному веб-сайті Національної комісії з цінних паперів та фондового ринку.</w:t>
      </w:r>
    </w:p>
    <w:p w:rsidR="00793B36" w:rsidRPr="00C0524C" w:rsidRDefault="00793B36" w:rsidP="00793B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793B36" w:rsidRPr="00C0524C" w:rsidRDefault="00793B36" w:rsidP="00793B3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ІХ. Визначення заходів, за допомогою яких здійснюватиметься відстеження результативності дії регуляторного </w:t>
      </w:r>
      <w:proofErr w:type="spellStart"/>
      <w:r w:rsidR="00E2161D" w:rsidRPr="00C0524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акта</w:t>
      </w:r>
      <w:proofErr w:type="spellEnd"/>
    </w:p>
    <w:p w:rsidR="00793B36" w:rsidRPr="00C0524C" w:rsidRDefault="00793B36" w:rsidP="00793B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93B36" w:rsidRPr="00C0524C" w:rsidRDefault="00793B36" w:rsidP="00793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Відстеження результативності буде здійснено із застосуванням статистичного та соціологічного методу, шляхом аналізу офіційної статистичної інформації</w:t>
      </w:r>
      <w:r w:rsidR="007531E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  <w:r w:rsidRPr="00C052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793B36" w:rsidRPr="00C0524C" w:rsidRDefault="00793B36" w:rsidP="00793B3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Базове відстеження результативності ви</w:t>
      </w:r>
      <w:r w:rsidR="00E2161D"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щезазначеного регуляторного </w:t>
      </w:r>
      <w:proofErr w:type="spellStart"/>
      <w:r w:rsidR="00E2161D"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акта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буде </w:t>
      </w:r>
      <w:proofErr w:type="spellStart"/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>здійснюватись</w:t>
      </w:r>
      <w:proofErr w:type="spellEnd"/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через рік після набрання чинності його положень.</w:t>
      </w:r>
    </w:p>
    <w:p w:rsidR="00793B36" w:rsidRPr="00C0524C" w:rsidRDefault="00793B36" w:rsidP="00793B3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Повторне відстеження планується здійснити через два роки з дня набрання чинності більшіс</w:t>
      </w:r>
      <w:r w:rsidR="00E2161D"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>тю положень регуляторного акту</w:t>
      </w: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результаті якого відбудеться </w:t>
      </w: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порівняння показників базового та повторного </w:t>
      </w:r>
      <w:r w:rsidR="007531E3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</w:t>
      </w: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>стеження. У разі надходження пропозицій та зауважень, які заслуговують на увагу, або виявлення неврегульованих та проблемних питань, у разі необхідності вони будуть обговорені та винесені на розгляд засідання Комісії, з метою ініціювання внесення відповідних змін до цього регуляторного акту.</w:t>
      </w:r>
    </w:p>
    <w:p w:rsidR="00793B36" w:rsidRPr="00C0524C" w:rsidRDefault="00793B36" w:rsidP="00793B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Періодичні відстеження планується здійснювати раз на три роки з дня виконання заходів з повторного відстеження з метою подальшого удоскон</w:t>
      </w:r>
      <w:r w:rsidR="00E2161D" w:rsidRPr="00C052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алення даного регуляторного </w:t>
      </w:r>
      <w:proofErr w:type="spellStart"/>
      <w:r w:rsidR="00E2161D" w:rsidRPr="00C052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акта</w:t>
      </w:r>
      <w:proofErr w:type="spellEnd"/>
      <w:r w:rsidRPr="00C0524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793B36" w:rsidRPr="00C0524C" w:rsidRDefault="00793B36" w:rsidP="00793B3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>Виконавцем заходів з відстеження результативності дії регуляторного акт</w:t>
      </w:r>
      <w:r w:rsidR="00E2161D" w:rsidRPr="00C0524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</w:t>
      </w:r>
      <w:r w:rsidRPr="00C052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буде Національна комісія з цінних паперів та фондового ринку.</w:t>
      </w:r>
    </w:p>
    <w:p w:rsidR="00793B36" w:rsidRPr="00C0524C" w:rsidRDefault="00793B36" w:rsidP="00793B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F0850" w:rsidRDefault="007F0850" w:rsidP="007F0850">
      <w:pPr>
        <w:rPr>
          <w:sz w:val="27"/>
          <w:szCs w:val="27"/>
        </w:rPr>
      </w:pPr>
    </w:p>
    <w:p w:rsidR="00C0524C" w:rsidRDefault="00C0524C" w:rsidP="007F0850">
      <w:pPr>
        <w:rPr>
          <w:sz w:val="27"/>
          <w:szCs w:val="27"/>
        </w:rPr>
      </w:pPr>
    </w:p>
    <w:p w:rsidR="00C0524C" w:rsidRDefault="00C0524C" w:rsidP="007F0850">
      <w:pPr>
        <w:rPr>
          <w:sz w:val="27"/>
          <w:szCs w:val="27"/>
        </w:rPr>
      </w:pPr>
    </w:p>
    <w:p w:rsidR="004F49DF" w:rsidRDefault="004F49DF" w:rsidP="007F0850">
      <w:pPr>
        <w:rPr>
          <w:sz w:val="27"/>
          <w:szCs w:val="27"/>
        </w:rPr>
      </w:pPr>
    </w:p>
    <w:p w:rsidR="004F49DF" w:rsidRDefault="004F49DF" w:rsidP="007F0850">
      <w:pPr>
        <w:rPr>
          <w:sz w:val="27"/>
          <w:szCs w:val="27"/>
        </w:rPr>
      </w:pPr>
    </w:p>
    <w:p w:rsidR="00C0524C" w:rsidRDefault="00C0524C" w:rsidP="007F0850">
      <w:pPr>
        <w:rPr>
          <w:sz w:val="27"/>
          <w:szCs w:val="27"/>
        </w:rPr>
      </w:pPr>
    </w:p>
    <w:p w:rsidR="00C0524C" w:rsidRPr="00C0524C" w:rsidRDefault="00C0524C" w:rsidP="007F0850">
      <w:pPr>
        <w:rPr>
          <w:sz w:val="27"/>
          <w:szCs w:val="27"/>
        </w:rPr>
      </w:pPr>
    </w:p>
    <w:p w:rsidR="00793B36" w:rsidRPr="00C0524C" w:rsidRDefault="00793B36" w:rsidP="00C0524C">
      <w:pPr>
        <w:ind w:left="851"/>
        <w:rPr>
          <w:rFonts w:ascii="Times New Roman" w:hAnsi="Times New Roman" w:cs="Times New Roman"/>
          <w:b/>
          <w:sz w:val="27"/>
          <w:szCs w:val="27"/>
        </w:rPr>
      </w:pPr>
      <w:r w:rsidRPr="00C0524C">
        <w:rPr>
          <w:rFonts w:ascii="Times New Roman" w:hAnsi="Times New Roman" w:cs="Times New Roman"/>
          <w:b/>
          <w:sz w:val="27"/>
          <w:szCs w:val="27"/>
        </w:rPr>
        <w:t>Голова Комісії</w:t>
      </w:r>
      <w:r w:rsidRPr="00C0524C">
        <w:rPr>
          <w:rFonts w:ascii="Times New Roman" w:hAnsi="Times New Roman" w:cs="Times New Roman"/>
          <w:b/>
          <w:sz w:val="27"/>
          <w:szCs w:val="27"/>
        </w:rPr>
        <w:tab/>
      </w:r>
      <w:r w:rsidRPr="00C0524C">
        <w:rPr>
          <w:rFonts w:ascii="Times New Roman" w:hAnsi="Times New Roman" w:cs="Times New Roman"/>
          <w:b/>
          <w:sz w:val="27"/>
          <w:szCs w:val="27"/>
        </w:rPr>
        <w:tab/>
      </w:r>
      <w:r w:rsidRPr="00C0524C">
        <w:rPr>
          <w:rFonts w:ascii="Times New Roman" w:hAnsi="Times New Roman" w:cs="Times New Roman"/>
          <w:b/>
          <w:sz w:val="27"/>
          <w:szCs w:val="27"/>
        </w:rPr>
        <w:tab/>
      </w:r>
      <w:r w:rsidRPr="00C0524C">
        <w:rPr>
          <w:rFonts w:ascii="Times New Roman" w:hAnsi="Times New Roman" w:cs="Times New Roman"/>
          <w:b/>
          <w:sz w:val="27"/>
          <w:szCs w:val="27"/>
        </w:rPr>
        <w:tab/>
      </w:r>
      <w:r w:rsidRPr="00C0524C">
        <w:rPr>
          <w:rFonts w:ascii="Times New Roman" w:hAnsi="Times New Roman" w:cs="Times New Roman"/>
          <w:b/>
          <w:sz w:val="27"/>
          <w:szCs w:val="27"/>
        </w:rPr>
        <w:tab/>
      </w:r>
      <w:r w:rsidRPr="00C0524C">
        <w:rPr>
          <w:rFonts w:ascii="Times New Roman" w:hAnsi="Times New Roman" w:cs="Times New Roman"/>
          <w:b/>
          <w:sz w:val="27"/>
          <w:szCs w:val="27"/>
        </w:rPr>
        <w:tab/>
      </w:r>
      <w:r w:rsidRPr="00C0524C">
        <w:rPr>
          <w:rFonts w:ascii="Times New Roman" w:hAnsi="Times New Roman" w:cs="Times New Roman"/>
          <w:b/>
          <w:sz w:val="27"/>
          <w:szCs w:val="27"/>
        </w:rPr>
        <w:tab/>
        <w:t xml:space="preserve">    Т. </w:t>
      </w:r>
      <w:proofErr w:type="spellStart"/>
      <w:r w:rsidRPr="00C0524C">
        <w:rPr>
          <w:rFonts w:ascii="Times New Roman" w:hAnsi="Times New Roman" w:cs="Times New Roman"/>
          <w:b/>
          <w:sz w:val="27"/>
          <w:szCs w:val="27"/>
        </w:rPr>
        <w:t>Хромаєв</w:t>
      </w:r>
      <w:proofErr w:type="spellEnd"/>
    </w:p>
    <w:p w:rsidR="008D59C7" w:rsidRPr="00C0524C" w:rsidRDefault="008D59C7" w:rsidP="007F0850">
      <w:pPr>
        <w:rPr>
          <w:rFonts w:ascii="Times New Roman" w:hAnsi="Times New Roman" w:cs="Times New Roman"/>
          <w:b/>
          <w:sz w:val="27"/>
          <w:szCs w:val="27"/>
        </w:rPr>
      </w:pPr>
    </w:p>
    <w:p w:rsidR="008D59C7" w:rsidRPr="00C0524C" w:rsidRDefault="008D59C7" w:rsidP="007F0850">
      <w:pPr>
        <w:rPr>
          <w:rFonts w:ascii="Times New Roman" w:hAnsi="Times New Roman" w:cs="Times New Roman"/>
          <w:b/>
          <w:sz w:val="27"/>
          <w:szCs w:val="27"/>
        </w:rPr>
      </w:pPr>
    </w:p>
    <w:p w:rsidR="008D59C7" w:rsidRPr="00C0524C" w:rsidRDefault="008D59C7" w:rsidP="007F0850">
      <w:pPr>
        <w:rPr>
          <w:rFonts w:ascii="Times New Roman" w:hAnsi="Times New Roman" w:cs="Times New Roman"/>
          <w:b/>
          <w:sz w:val="27"/>
          <w:szCs w:val="27"/>
        </w:rPr>
      </w:pPr>
    </w:p>
    <w:p w:rsidR="008D59C7" w:rsidRPr="00C0524C" w:rsidRDefault="008D59C7" w:rsidP="007F0850">
      <w:pPr>
        <w:rPr>
          <w:rFonts w:ascii="Times New Roman" w:hAnsi="Times New Roman" w:cs="Times New Roman"/>
          <w:b/>
          <w:sz w:val="27"/>
          <w:szCs w:val="27"/>
        </w:rPr>
      </w:pPr>
    </w:p>
    <w:p w:rsidR="008D59C7" w:rsidRPr="00C0524C" w:rsidRDefault="008D59C7" w:rsidP="007F0850">
      <w:pPr>
        <w:rPr>
          <w:rFonts w:ascii="Times New Roman" w:hAnsi="Times New Roman" w:cs="Times New Roman"/>
          <w:b/>
          <w:sz w:val="27"/>
          <w:szCs w:val="27"/>
        </w:rPr>
      </w:pPr>
    </w:p>
    <w:p w:rsidR="008D59C7" w:rsidRPr="00C0524C" w:rsidRDefault="008D59C7" w:rsidP="007F0850">
      <w:pPr>
        <w:rPr>
          <w:rFonts w:ascii="Times New Roman" w:hAnsi="Times New Roman" w:cs="Times New Roman"/>
          <w:b/>
          <w:sz w:val="27"/>
          <w:szCs w:val="27"/>
        </w:rPr>
      </w:pPr>
    </w:p>
    <w:p w:rsidR="008D59C7" w:rsidRPr="00404A17" w:rsidRDefault="008D59C7" w:rsidP="007F0850">
      <w:pPr>
        <w:rPr>
          <w:rFonts w:ascii="Times New Roman" w:hAnsi="Times New Roman" w:cs="Times New Roman"/>
          <w:b/>
          <w:sz w:val="28"/>
          <w:szCs w:val="28"/>
        </w:rPr>
      </w:pPr>
    </w:p>
    <w:sectPr w:rsidR="008D59C7" w:rsidRPr="00404A17" w:rsidSect="004F49DF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96D2A"/>
    <w:multiLevelType w:val="hybridMultilevel"/>
    <w:tmpl w:val="B788912C"/>
    <w:lvl w:ilvl="0" w:tplc="08AAAE20">
      <w:start w:val="1"/>
      <w:numFmt w:val="decimal"/>
      <w:lvlText w:val="%1)"/>
      <w:lvlJc w:val="left"/>
      <w:pPr>
        <w:ind w:left="1129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849" w:hanging="360"/>
      </w:pPr>
    </w:lvl>
    <w:lvl w:ilvl="2" w:tplc="0422001B" w:tentative="1">
      <w:start w:val="1"/>
      <w:numFmt w:val="lowerRoman"/>
      <w:lvlText w:val="%3."/>
      <w:lvlJc w:val="right"/>
      <w:pPr>
        <w:ind w:left="2569" w:hanging="180"/>
      </w:pPr>
    </w:lvl>
    <w:lvl w:ilvl="3" w:tplc="0422000F" w:tentative="1">
      <w:start w:val="1"/>
      <w:numFmt w:val="decimal"/>
      <w:lvlText w:val="%4."/>
      <w:lvlJc w:val="left"/>
      <w:pPr>
        <w:ind w:left="3289" w:hanging="360"/>
      </w:pPr>
    </w:lvl>
    <w:lvl w:ilvl="4" w:tplc="04220019" w:tentative="1">
      <w:start w:val="1"/>
      <w:numFmt w:val="lowerLetter"/>
      <w:lvlText w:val="%5."/>
      <w:lvlJc w:val="left"/>
      <w:pPr>
        <w:ind w:left="4009" w:hanging="360"/>
      </w:pPr>
    </w:lvl>
    <w:lvl w:ilvl="5" w:tplc="0422001B" w:tentative="1">
      <w:start w:val="1"/>
      <w:numFmt w:val="lowerRoman"/>
      <w:lvlText w:val="%6."/>
      <w:lvlJc w:val="right"/>
      <w:pPr>
        <w:ind w:left="4729" w:hanging="180"/>
      </w:pPr>
    </w:lvl>
    <w:lvl w:ilvl="6" w:tplc="0422000F" w:tentative="1">
      <w:start w:val="1"/>
      <w:numFmt w:val="decimal"/>
      <w:lvlText w:val="%7."/>
      <w:lvlJc w:val="left"/>
      <w:pPr>
        <w:ind w:left="5449" w:hanging="360"/>
      </w:pPr>
    </w:lvl>
    <w:lvl w:ilvl="7" w:tplc="04220019" w:tentative="1">
      <w:start w:val="1"/>
      <w:numFmt w:val="lowerLetter"/>
      <w:lvlText w:val="%8."/>
      <w:lvlJc w:val="left"/>
      <w:pPr>
        <w:ind w:left="6169" w:hanging="360"/>
      </w:pPr>
    </w:lvl>
    <w:lvl w:ilvl="8" w:tplc="0422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5A3457FF"/>
    <w:multiLevelType w:val="hybridMultilevel"/>
    <w:tmpl w:val="88B87396"/>
    <w:lvl w:ilvl="0" w:tplc="72189FA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891771"/>
    <w:multiLevelType w:val="hybridMultilevel"/>
    <w:tmpl w:val="E0B0557C"/>
    <w:lvl w:ilvl="0" w:tplc="49582C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440035C"/>
    <w:multiLevelType w:val="hybridMultilevel"/>
    <w:tmpl w:val="4B9874AC"/>
    <w:lvl w:ilvl="0" w:tplc="D214C66A">
      <w:start w:val="2"/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CE"/>
    <w:rsid w:val="000063A3"/>
    <w:rsid w:val="00011F2E"/>
    <w:rsid w:val="000305C5"/>
    <w:rsid w:val="00042C6E"/>
    <w:rsid w:val="00074611"/>
    <w:rsid w:val="00077A6A"/>
    <w:rsid w:val="000A008A"/>
    <w:rsid w:val="000F5979"/>
    <w:rsid w:val="00103635"/>
    <w:rsid w:val="001212AD"/>
    <w:rsid w:val="00123807"/>
    <w:rsid w:val="00140713"/>
    <w:rsid w:val="00141798"/>
    <w:rsid w:val="0015684D"/>
    <w:rsid w:val="001A1249"/>
    <w:rsid w:val="001A2982"/>
    <w:rsid w:val="001B7AC1"/>
    <w:rsid w:val="002051D7"/>
    <w:rsid w:val="002176C9"/>
    <w:rsid w:val="00232408"/>
    <w:rsid w:val="002B47E3"/>
    <w:rsid w:val="002B5875"/>
    <w:rsid w:val="002B6F5A"/>
    <w:rsid w:val="002D1E38"/>
    <w:rsid w:val="003169DD"/>
    <w:rsid w:val="00321018"/>
    <w:rsid w:val="00354EA7"/>
    <w:rsid w:val="0038071B"/>
    <w:rsid w:val="003C1B52"/>
    <w:rsid w:val="003D0253"/>
    <w:rsid w:val="003D1895"/>
    <w:rsid w:val="00404A17"/>
    <w:rsid w:val="004319D0"/>
    <w:rsid w:val="004A001E"/>
    <w:rsid w:val="004E5D35"/>
    <w:rsid w:val="004F49DF"/>
    <w:rsid w:val="005004A5"/>
    <w:rsid w:val="005070A4"/>
    <w:rsid w:val="00511A80"/>
    <w:rsid w:val="00514FFD"/>
    <w:rsid w:val="005151E0"/>
    <w:rsid w:val="00524B7C"/>
    <w:rsid w:val="005B63C4"/>
    <w:rsid w:val="00601B59"/>
    <w:rsid w:val="00667E7D"/>
    <w:rsid w:val="00675FBB"/>
    <w:rsid w:val="00693E8F"/>
    <w:rsid w:val="006C7942"/>
    <w:rsid w:val="006D0960"/>
    <w:rsid w:val="006D3051"/>
    <w:rsid w:val="0070488D"/>
    <w:rsid w:val="00732833"/>
    <w:rsid w:val="007531E3"/>
    <w:rsid w:val="007706E6"/>
    <w:rsid w:val="00793B36"/>
    <w:rsid w:val="00794CEF"/>
    <w:rsid w:val="007B55D1"/>
    <w:rsid w:val="007F0850"/>
    <w:rsid w:val="00821F02"/>
    <w:rsid w:val="00854B89"/>
    <w:rsid w:val="00854EF3"/>
    <w:rsid w:val="00856497"/>
    <w:rsid w:val="00877619"/>
    <w:rsid w:val="00891362"/>
    <w:rsid w:val="00896AEA"/>
    <w:rsid w:val="008A5300"/>
    <w:rsid w:val="008B57D0"/>
    <w:rsid w:val="008C1E98"/>
    <w:rsid w:val="008D01EE"/>
    <w:rsid w:val="008D59C7"/>
    <w:rsid w:val="008D7216"/>
    <w:rsid w:val="008E5123"/>
    <w:rsid w:val="008F0B04"/>
    <w:rsid w:val="009010C2"/>
    <w:rsid w:val="009239E7"/>
    <w:rsid w:val="009308C9"/>
    <w:rsid w:val="00950B03"/>
    <w:rsid w:val="009657DE"/>
    <w:rsid w:val="00972D4D"/>
    <w:rsid w:val="009761FA"/>
    <w:rsid w:val="00977E48"/>
    <w:rsid w:val="00990F02"/>
    <w:rsid w:val="009F71EA"/>
    <w:rsid w:val="00A37E7F"/>
    <w:rsid w:val="00A405FD"/>
    <w:rsid w:val="00A47156"/>
    <w:rsid w:val="00A63E35"/>
    <w:rsid w:val="00A667CE"/>
    <w:rsid w:val="00A822B1"/>
    <w:rsid w:val="00A90490"/>
    <w:rsid w:val="00AC7306"/>
    <w:rsid w:val="00AD0EA3"/>
    <w:rsid w:val="00B61926"/>
    <w:rsid w:val="00B925FA"/>
    <w:rsid w:val="00BA4C77"/>
    <w:rsid w:val="00BC0187"/>
    <w:rsid w:val="00BE01A3"/>
    <w:rsid w:val="00BE24D0"/>
    <w:rsid w:val="00BE2541"/>
    <w:rsid w:val="00C0524C"/>
    <w:rsid w:val="00C20EAF"/>
    <w:rsid w:val="00C3198F"/>
    <w:rsid w:val="00C40C36"/>
    <w:rsid w:val="00C63D75"/>
    <w:rsid w:val="00C7392F"/>
    <w:rsid w:val="00D03798"/>
    <w:rsid w:val="00D054C1"/>
    <w:rsid w:val="00D064A6"/>
    <w:rsid w:val="00D153D8"/>
    <w:rsid w:val="00D22D33"/>
    <w:rsid w:val="00D44F8F"/>
    <w:rsid w:val="00D45939"/>
    <w:rsid w:val="00D51285"/>
    <w:rsid w:val="00D55C0F"/>
    <w:rsid w:val="00D72510"/>
    <w:rsid w:val="00D75A21"/>
    <w:rsid w:val="00E2161D"/>
    <w:rsid w:val="00E34270"/>
    <w:rsid w:val="00E5076B"/>
    <w:rsid w:val="00E75036"/>
    <w:rsid w:val="00EB3BB0"/>
    <w:rsid w:val="00EC6FE9"/>
    <w:rsid w:val="00F331AF"/>
    <w:rsid w:val="00F6622C"/>
    <w:rsid w:val="00F91A03"/>
    <w:rsid w:val="00FB3D3B"/>
    <w:rsid w:val="00FD4D81"/>
    <w:rsid w:val="00FE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48BC"/>
  <w15:chartTrackingRefBased/>
  <w15:docId w15:val="{811BEDAC-4E5A-4660-9FB6-3FE19FDF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03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D0379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Strong"/>
    <w:basedOn w:val="a0"/>
    <w:uiPriority w:val="22"/>
    <w:qFormat/>
    <w:rsid w:val="003169DD"/>
    <w:rPr>
      <w:b/>
      <w:bCs/>
    </w:rPr>
  </w:style>
  <w:style w:type="paragraph" w:customStyle="1" w:styleId="a4">
    <w:name w:val="Абзац списка"/>
    <w:basedOn w:val="a"/>
    <w:qFormat/>
    <w:rsid w:val="00601B5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15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151E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A5300"/>
    <w:pPr>
      <w:ind w:left="720"/>
      <w:contextualSpacing/>
    </w:pPr>
  </w:style>
  <w:style w:type="paragraph" w:styleId="a8">
    <w:name w:val="Normal (Web)"/>
    <w:basedOn w:val="a"/>
    <w:rsid w:val="0082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1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F3E59-1164-41E4-BC92-BC2ED284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8</Pages>
  <Words>9964</Words>
  <Characters>5680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15613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Шпотак</dc:creator>
  <cp:keywords/>
  <dc:description/>
  <cp:lastModifiedBy>Вікторія Сорока</cp:lastModifiedBy>
  <cp:revision>103</cp:revision>
  <cp:lastPrinted>2018-07-18T12:34:00Z</cp:lastPrinted>
  <dcterms:created xsi:type="dcterms:W3CDTF">2018-05-04T07:27:00Z</dcterms:created>
  <dcterms:modified xsi:type="dcterms:W3CDTF">2018-07-18T12:40:00Z</dcterms:modified>
</cp:coreProperties>
</file>