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2CC" w:rsidRPr="00791761" w:rsidRDefault="008A42CC" w:rsidP="00786E0E">
      <w:pPr>
        <w:pStyle w:val="a7"/>
        <w:tabs>
          <w:tab w:val="clear" w:pos="709"/>
          <w:tab w:val="left" w:pos="0"/>
          <w:tab w:val="left" w:pos="1134"/>
        </w:tabs>
        <w:jc w:val="center"/>
        <w:rPr>
          <w:szCs w:val="28"/>
        </w:rPr>
      </w:pPr>
      <w:bookmarkStart w:id="0" w:name="_GoBack"/>
      <w:bookmarkEnd w:id="0"/>
      <w:r w:rsidRPr="008A42CC">
        <w:rPr>
          <w:noProof/>
          <w:szCs w:val="28"/>
          <w:lang w:eastAsia="uk-UA"/>
        </w:rPr>
        <w:drawing>
          <wp:inline distT="0" distB="0" distL="0" distR="0">
            <wp:extent cx="74295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2CC" w:rsidRPr="00020595" w:rsidRDefault="008A42CC" w:rsidP="00170C15">
      <w:pPr>
        <w:pStyle w:val="a7"/>
        <w:tabs>
          <w:tab w:val="clear" w:pos="709"/>
          <w:tab w:val="left" w:pos="0"/>
          <w:tab w:val="left" w:pos="1134"/>
        </w:tabs>
        <w:jc w:val="center"/>
        <w:rPr>
          <w:szCs w:val="28"/>
        </w:rPr>
      </w:pPr>
    </w:p>
    <w:p w:rsidR="008A42CC" w:rsidRPr="008A42CC" w:rsidRDefault="008A42CC" w:rsidP="00170C15">
      <w:pPr>
        <w:pStyle w:val="a7"/>
        <w:tabs>
          <w:tab w:val="clear" w:pos="709"/>
          <w:tab w:val="left" w:pos="0"/>
          <w:tab w:val="left" w:pos="1134"/>
        </w:tabs>
        <w:jc w:val="center"/>
        <w:rPr>
          <w:szCs w:val="28"/>
        </w:rPr>
      </w:pPr>
      <w:r w:rsidRPr="008A42CC">
        <w:rPr>
          <w:szCs w:val="28"/>
        </w:rPr>
        <w:t>НАЦІОНАЛЬНА КОМІСІЯ З ЦІННИХ ПАПЕРІВ</w:t>
      </w:r>
    </w:p>
    <w:p w:rsidR="008A42CC" w:rsidRPr="008A42CC" w:rsidRDefault="008A42CC" w:rsidP="00170C15">
      <w:pPr>
        <w:pStyle w:val="a7"/>
        <w:tabs>
          <w:tab w:val="clear" w:pos="709"/>
          <w:tab w:val="left" w:pos="0"/>
          <w:tab w:val="left" w:pos="1134"/>
        </w:tabs>
        <w:jc w:val="center"/>
        <w:rPr>
          <w:szCs w:val="28"/>
        </w:rPr>
      </w:pPr>
      <w:r w:rsidRPr="008A42CC">
        <w:rPr>
          <w:szCs w:val="28"/>
        </w:rPr>
        <w:t>ТА ФОНДОВОГО РИНКУ</w:t>
      </w:r>
    </w:p>
    <w:p w:rsidR="008A42CC" w:rsidRPr="008A42CC" w:rsidRDefault="008A42CC" w:rsidP="00170C15">
      <w:pPr>
        <w:pStyle w:val="a7"/>
        <w:tabs>
          <w:tab w:val="clear" w:pos="709"/>
          <w:tab w:val="left" w:pos="0"/>
          <w:tab w:val="left" w:pos="1134"/>
        </w:tabs>
        <w:jc w:val="center"/>
        <w:rPr>
          <w:szCs w:val="28"/>
        </w:rPr>
      </w:pPr>
    </w:p>
    <w:p w:rsidR="008A42CC" w:rsidRPr="008A42CC" w:rsidRDefault="008A42CC" w:rsidP="00170C15">
      <w:pPr>
        <w:pStyle w:val="a7"/>
        <w:tabs>
          <w:tab w:val="clear" w:pos="709"/>
          <w:tab w:val="left" w:pos="0"/>
          <w:tab w:val="left" w:pos="1134"/>
        </w:tabs>
        <w:jc w:val="center"/>
        <w:rPr>
          <w:szCs w:val="28"/>
        </w:rPr>
      </w:pPr>
      <w:r w:rsidRPr="008A42CC">
        <w:rPr>
          <w:szCs w:val="28"/>
        </w:rPr>
        <w:t xml:space="preserve">Р І Ш Е Н </w:t>
      </w:r>
      <w:proofErr w:type="spellStart"/>
      <w:r w:rsidRPr="008A42CC">
        <w:rPr>
          <w:szCs w:val="28"/>
        </w:rPr>
        <w:t>Н</w:t>
      </w:r>
      <w:proofErr w:type="spellEnd"/>
      <w:r w:rsidRPr="008A42CC">
        <w:rPr>
          <w:szCs w:val="28"/>
        </w:rPr>
        <w:t xml:space="preserve"> Я</w:t>
      </w:r>
    </w:p>
    <w:p w:rsidR="008A42CC" w:rsidRPr="00020595" w:rsidRDefault="008A42CC" w:rsidP="00170C15">
      <w:pPr>
        <w:pStyle w:val="a7"/>
        <w:tabs>
          <w:tab w:val="clear" w:pos="709"/>
          <w:tab w:val="left" w:pos="0"/>
          <w:tab w:val="left" w:pos="1134"/>
        </w:tabs>
        <w:jc w:val="center"/>
        <w:rPr>
          <w:szCs w:val="28"/>
        </w:rPr>
      </w:pPr>
    </w:p>
    <w:p w:rsidR="008A42CC" w:rsidRPr="008A42CC" w:rsidRDefault="008A42CC" w:rsidP="00786E0E">
      <w:pPr>
        <w:pStyle w:val="a7"/>
        <w:tabs>
          <w:tab w:val="clear" w:pos="709"/>
          <w:tab w:val="left" w:pos="0"/>
          <w:tab w:val="left" w:pos="1134"/>
        </w:tabs>
        <w:rPr>
          <w:szCs w:val="28"/>
        </w:rPr>
      </w:pPr>
      <w:r w:rsidRPr="008A42CC">
        <w:rPr>
          <w:szCs w:val="28"/>
        </w:rPr>
        <w:t>______</w:t>
      </w:r>
      <w:r w:rsidR="00791761">
        <w:rPr>
          <w:szCs w:val="28"/>
        </w:rPr>
        <w:t>__</w:t>
      </w:r>
      <w:r w:rsidRPr="008A42CC">
        <w:rPr>
          <w:szCs w:val="28"/>
        </w:rPr>
        <w:t xml:space="preserve">2018   </w:t>
      </w:r>
      <w:r w:rsidRPr="008A42CC">
        <w:rPr>
          <w:szCs w:val="28"/>
        </w:rPr>
        <w:tab/>
      </w:r>
      <w:r w:rsidRPr="008A42CC">
        <w:rPr>
          <w:szCs w:val="28"/>
        </w:rPr>
        <w:tab/>
        <w:t xml:space="preserve">           </w:t>
      </w:r>
      <w:r w:rsidR="00791761">
        <w:rPr>
          <w:szCs w:val="28"/>
        </w:rPr>
        <w:t xml:space="preserve">         </w:t>
      </w:r>
      <w:r w:rsidRPr="008A42CC">
        <w:rPr>
          <w:szCs w:val="28"/>
        </w:rPr>
        <w:t xml:space="preserve">   м. Київ      </w:t>
      </w:r>
      <w:r w:rsidRPr="008A42CC">
        <w:rPr>
          <w:szCs w:val="28"/>
        </w:rPr>
        <w:tab/>
      </w:r>
      <w:r w:rsidRPr="008A42CC">
        <w:rPr>
          <w:szCs w:val="28"/>
        </w:rPr>
        <w:tab/>
      </w:r>
      <w:r w:rsidRPr="008A42CC">
        <w:rPr>
          <w:szCs w:val="28"/>
        </w:rPr>
        <w:tab/>
      </w:r>
      <w:r w:rsidRPr="008A42CC">
        <w:rPr>
          <w:szCs w:val="28"/>
        </w:rPr>
        <w:tab/>
        <w:t>№ ______</w:t>
      </w:r>
    </w:p>
    <w:p w:rsidR="008A42CC" w:rsidRPr="0027697C" w:rsidRDefault="008A42CC" w:rsidP="00786E0E">
      <w:pPr>
        <w:pStyle w:val="a7"/>
        <w:tabs>
          <w:tab w:val="clear" w:pos="709"/>
          <w:tab w:val="left" w:pos="0"/>
          <w:tab w:val="left" w:pos="1134"/>
        </w:tabs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4"/>
        <w:gridCol w:w="4824"/>
      </w:tblGrid>
      <w:tr w:rsidR="008A42CC" w:rsidRPr="0064342F" w:rsidTr="00094DF7">
        <w:trPr>
          <w:trHeight w:val="750"/>
        </w:trPr>
        <w:tc>
          <w:tcPr>
            <w:tcW w:w="4824" w:type="dxa"/>
          </w:tcPr>
          <w:p w:rsidR="00791761" w:rsidRDefault="00791761" w:rsidP="00717B87">
            <w:pPr>
              <w:pStyle w:val="a7"/>
              <w:tabs>
                <w:tab w:val="clear" w:pos="709"/>
                <w:tab w:val="left" w:pos="0"/>
                <w:tab w:val="left" w:pos="1134"/>
              </w:tabs>
              <w:rPr>
                <w:szCs w:val="28"/>
              </w:rPr>
            </w:pPr>
          </w:p>
          <w:p w:rsidR="008A42CC" w:rsidRPr="008A42CC" w:rsidRDefault="008A42CC" w:rsidP="00786E0E">
            <w:pPr>
              <w:pStyle w:val="a7"/>
              <w:tabs>
                <w:tab w:val="clear" w:pos="709"/>
                <w:tab w:val="left" w:pos="0"/>
                <w:tab w:val="left" w:pos="1134"/>
              </w:tabs>
              <w:rPr>
                <w:szCs w:val="28"/>
              </w:rPr>
            </w:pPr>
            <w:r w:rsidRPr="008A42CC">
              <w:rPr>
                <w:szCs w:val="28"/>
              </w:rPr>
              <w:t xml:space="preserve">Про затвердження Змін до Положення про провадження депозитарної діяльності (щодо сприяння залученню інвестицій) </w:t>
            </w:r>
          </w:p>
        </w:tc>
        <w:tc>
          <w:tcPr>
            <w:tcW w:w="4824" w:type="dxa"/>
          </w:tcPr>
          <w:p w:rsidR="008A42CC" w:rsidRPr="008A42CC" w:rsidRDefault="008A42CC" w:rsidP="00786E0E">
            <w:pPr>
              <w:pStyle w:val="a7"/>
              <w:tabs>
                <w:tab w:val="clear" w:pos="709"/>
                <w:tab w:val="left" w:pos="0"/>
                <w:tab w:val="left" w:pos="1134"/>
              </w:tabs>
              <w:rPr>
                <w:szCs w:val="28"/>
              </w:rPr>
            </w:pPr>
          </w:p>
        </w:tc>
      </w:tr>
    </w:tbl>
    <w:p w:rsidR="008A42CC" w:rsidRDefault="008A42CC" w:rsidP="00717B87">
      <w:pPr>
        <w:pStyle w:val="a7"/>
        <w:tabs>
          <w:tab w:val="clear" w:pos="709"/>
          <w:tab w:val="left" w:pos="0"/>
          <w:tab w:val="left" w:pos="1134"/>
        </w:tabs>
        <w:rPr>
          <w:szCs w:val="28"/>
        </w:rPr>
      </w:pPr>
    </w:p>
    <w:p w:rsidR="006845D2" w:rsidRDefault="006845D2" w:rsidP="00717B87">
      <w:pPr>
        <w:pStyle w:val="a7"/>
        <w:tabs>
          <w:tab w:val="clear" w:pos="709"/>
          <w:tab w:val="left" w:pos="0"/>
          <w:tab w:val="left" w:pos="1134"/>
        </w:tabs>
        <w:rPr>
          <w:szCs w:val="28"/>
        </w:rPr>
      </w:pPr>
    </w:p>
    <w:p w:rsidR="008A42CC" w:rsidRPr="008A42C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  <w:r w:rsidRPr="008A42CC">
        <w:rPr>
          <w:szCs w:val="28"/>
        </w:rPr>
        <w:t>Відповідно до пункту 38 частини другої статті 7 та пункту 13 статті 8 Закону України «Про державне регулювання ринку цінних паперів в Україні», Закону України «Про депозитарну систе</w:t>
      </w:r>
      <w:r w:rsidR="002D2488">
        <w:rPr>
          <w:szCs w:val="28"/>
        </w:rPr>
        <w:t>му України», Закону України від </w:t>
      </w:r>
      <w:r w:rsidR="00F90BD4">
        <w:rPr>
          <w:szCs w:val="28"/>
        </w:rPr>
        <w:t>05</w:t>
      </w:r>
      <w:r w:rsidR="002D2488">
        <w:rPr>
          <w:szCs w:val="28"/>
        </w:rPr>
        <w:t> </w:t>
      </w:r>
      <w:r w:rsidRPr="008A42CC">
        <w:rPr>
          <w:szCs w:val="28"/>
        </w:rPr>
        <w:t>травня 2018 року № 2418-VIII «Про внесення змін до деяких законів України щодо сприяння залученню іноземних інвестицій», з метою удосконалення регулювання питань провадження депозитарної діяльності та сприяння залученню інвестицій</w:t>
      </w:r>
    </w:p>
    <w:p w:rsidR="008A42CC" w:rsidRPr="0027697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 w:val="24"/>
          <w:szCs w:val="24"/>
        </w:rPr>
      </w:pPr>
    </w:p>
    <w:p w:rsidR="008A42CC" w:rsidRPr="008A42CC" w:rsidRDefault="008A42CC" w:rsidP="00EA0E3C">
      <w:pPr>
        <w:pStyle w:val="a7"/>
        <w:tabs>
          <w:tab w:val="clear" w:pos="709"/>
          <w:tab w:val="left" w:pos="0"/>
          <w:tab w:val="left" w:pos="1134"/>
        </w:tabs>
        <w:ind w:firstLine="851"/>
        <w:jc w:val="center"/>
        <w:rPr>
          <w:szCs w:val="28"/>
        </w:rPr>
      </w:pPr>
      <w:r w:rsidRPr="008A42CC">
        <w:rPr>
          <w:szCs w:val="28"/>
        </w:rPr>
        <w:t>Національна комісія з цінних паперів та фондового ринку</w:t>
      </w:r>
    </w:p>
    <w:p w:rsidR="008A42CC" w:rsidRPr="0027697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 w:val="24"/>
          <w:szCs w:val="24"/>
        </w:rPr>
      </w:pPr>
    </w:p>
    <w:p w:rsidR="008A42CC" w:rsidRPr="0064342F" w:rsidRDefault="008A42CC" w:rsidP="00EA0E3C">
      <w:pPr>
        <w:pStyle w:val="a7"/>
        <w:tabs>
          <w:tab w:val="clear" w:pos="709"/>
          <w:tab w:val="left" w:pos="0"/>
          <w:tab w:val="left" w:pos="1134"/>
        </w:tabs>
        <w:ind w:firstLine="851"/>
        <w:jc w:val="center"/>
        <w:rPr>
          <w:szCs w:val="28"/>
        </w:rPr>
      </w:pPr>
      <w:r w:rsidRPr="0064342F">
        <w:rPr>
          <w:szCs w:val="28"/>
        </w:rPr>
        <w:t>В И Р І Ш И Л А:</w:t>
      </w:r>
    </w:p>
    <w:p w:rsidR="008A42CC" w:rsidRPr="0027697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 w:val="24"/>
          <w:szCs w:val="24"/>
        </w:rPr>
      </w:pPr>
    </w:p>
    <w:p w:rsidR="008A42CC" w:rsidRPr="008A42C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  <w:r w:rsidRPr="008A42CC">
        <w:rPr>
          <w:szCs w:val="28"/>
        </w:rPr>
        <w:t>1. Затвердити Зміни до Положення про провадження депозитарної діяльності, затвердженого рішенням Національної комісії з цінних паперів та фондового ринку від 23 квітня 2013 року № 735, зареєстрованого в Міністерстві юстиції України 27 червня 2013 року за № 1084/23616 (із змінами), (далі – Зміни), що додаються.</w:t>
      </w:r>
    </w:p>
    <w:p w:rsidR="008A42CC" w:rsidRPr="0027697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 w:val="24"/>
          <w:szCs w:val="24"/>
        </w:rPr>
      </w:pPr>
    </w:p>
    <w:p w:rsidR="008A42CC" w:rsidRPr="008A42C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  <w:r w:rsidRPr="008A42CC">
        <w:rPr>
          <w:szCs w:val="28"/>
        </w:rPr>
        <w:t>2. Центральному депозитарію цінних паперів, депозитарним установам привести свої внутрішні документи у відповідність до Змін не пізніше трьох місяців з дня набрання чинності цим рішенням.</w:t>
      </w:r>
    </w:p>
    <w:p w:rsidR="008A42CC" w:rsidRPr="0027697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 w:val="24"/>
          <w:szCs w:val="24"/>
        </w:rPr>
      </w:pPr>
    </w:p>
    <w:p w:rsidR="008A42CC" w:rsidRPr="008A42C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  <w:r w:rsidRPr="008A42CC">
        <w:rPr>
          <w:szCs w:val="28"/>
        </w:rPr>
        <w:t>3. Департаменту методології регулювання професійних учасників ринку цінних паперів (Курочкіна І.) забезпечити подання цього рішення на державну реєстрацію до Міністерства юстиції України.</w:t>
      </w:r>
    </w:p>
    <w:p w:rsidR="008A42CC" w:rsidRPr="0027697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 w:val="24"/>
          <w:szCs w:val="24"/>
        </w:rPr>
      </w:pPr>
    </w:p>
    <w:p w:rsidR="008A42CC" w:rsidRPr="008A42C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  <w:r w:rsidRPr="008A42CC">
        <w:rPr>
          <w:szCs w:val="28"/>
        </w:rPr>
        <w:t xml:space="preserve">4. </w:t>
      </w:r>
      <w:r w:rsidR="00245219" w:rsidRPr="0064342F">
        <w:rPr>
          <w:szCs w:val="28"/>
        </w:rPr>
        <w:t>Департаменту</w:t>
      </w:r>
      <w:r w:rsidRPr="0064342F">
        <w:rPr>
          <w:szCs w:val="28"/>
        </w:rPr>
        <w:t xml:space="preserve"> міжнародної співпраці та комунікацій</w:t>
      </w:r>
      <w:r w:rsidRPr="008A42CC">
        <w:rPr>
          <w:szCs w:val="28"/>
        </w:rPr>
        <w:t xml:space="preserve"> (</w:t>
      </w:r>
      <w:proofErr w:type="spellStart"/>
      <w:r w:rsidRPr="008A42CC">
        <w:rPr>
          <w:szCs w:val="28"/>
        </w:rPr>
        <w:t>Юшкевич</w:t>
      </w:r>
      <w:proofErr w:type="spellEnd"/>
      <w:r w:rsidRPr="008A42CC">
        <w:rPr>
          <w:szCs w:val="28"/>
        </w:rPr>
        <w:t> О.) забезпечити опублікування цього рішення в офіційному друкованому виданні Національної комісії з цінних паперів та фондового ринку.</w:t>
      </w:r>
    </w:p>
    <w:p w:rsidR="008A42CC" w:rsidRPr="008A42C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</w:p>
    <w:p w:rsidR="008A42CC" w:rsidRPr="0064342F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  <w:r w:rsidRPr="008A42CC">
        <w:rPr>
          <w:szCs w:val="28"/>
        </w:rPr>
        <w:t>5. Департаменту методології регулювання професійних учасників ринку цінних паперів (Курочкіна І.) забезпечити оприлюднення цього рішення на офіційному веб-сайті Національної комісії з цінних паперів та фондового</w:t>
      </w:r>
      <w:r w:rsidRPr="0064342F">
        <w:rPr>
          <w:szCs w:val="28"/>
        </w:rPr>
        <w:t xml:space="preserve"> ринку.</w:t>
      </w:r>
    </w:p>
    <w:p w:rsidR="008A42CC" w:rsidRPr="008A42C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</w:p>
    <w:p w:rsidR="008A42CC" w:rsidRPr="008A42C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  <w:r w:rsidRPr="008A42CC">
        <w:rPr>
          <w:szCs w:val="28"/>
        </w:rPr>
        <w:t>6. Це рішення набирає чинності з дня його офіційного опублікування</w:t>
      </w:r>
      <w:r>
        <w:rPr>
          <w:szCs w:val="28"/>
        </w:rPr>
        <w:t>.</w:t>
      </w:r>
    </w:p>
    <w:p w:rsidR="008A42CC" w:rsidRPr="008A42C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</w:p>
    <w:p w:rsidR="008A42CC" w:rsidRPr="008A42C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  <w:r w:rsidRPr="008A42CC">
        <w:rPr>
          <w:szCs w:val="28"/>
        </w:rPr>
        <w:t xml:space="preserve">7. Контроль за виконанням цього рішення покласти на члена Національної комісії з цінних паперів та фондового ринку </w:t>
      </w:r>
      <w:proofErr w:type="spellStart"/>
      <w:r w:rsidRPr="008A42CC">
        <w:rPr>
          <w:szCs w:val="28"/>
        </w:rPr>
        <w:t>Тарабакіна</w:t>
      </w:r>
      <w:proofErr w:type="spellEnd"/>
      <w:r w:rsidRPr="008A42CC">
        <w:rPr>
          <w:szCs w:val="28"/>
        </w:rPr>
        <w:t xml:space="preserve"> Д.</w:t>
      </w:r>
    </w:p>
    <w:p w:rsidR="008A42CC" w:rsidRPr="008A42C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</w:p>
    <w:p w:rsidR="008A42CC" w:rsidRPr="008A42C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</w:p>
    <w:p w:rsidR="008A42CC" w:rsidRPr="008A42C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</w:p>
    <w:p w:rsidR="008A42CC" w:rsidRPr="008A42CC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</w:p>
    <w:p w:rsidR="008A42CC" w:rsidRPr="0064342F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  <w:r w:rsidRPr="0064342F">
        <w:rPr>
          <w:szCs w:val="28"/>
        </w:rPr>
        <w:t>Голова Комісії</w:t>
      </w:r>
      <w:r w:rsidR="00052414">
        <w:rPr>
          <w:szCs w:val="28"/>
        </w:rPr>
        <w:tab/>
      </w:r>
      <w:r w:rsidR="00052414">
        <w:rPr>
          <w:szCs w:val="28"/>
        </w:rPr>
        <w:tab/>
      </w:r>
      <w:r w:rsidR="00052414">
        <w:rPr>
          <w:szCs w:val="28"/>
        </w:rPr>
        <w:tab/>
      </w:r>
      <w:r w:rsidR="00052414">
        <w:rPr>
          <w:szCs w:val="28"/>
        </w:rPr>
        <w:tab/>
      </w:r>
      <w:r w:rsidR="00052414">
        <w:rPr>
          <w:szCs w:val="28"/>
        </w:rPr>
        <w:tab/>
      </w:r>
      <w:r w:rsidR="00052414">
        <w:rPr>
          <w:szCs w:val="28"/>
        </w:rPr>
        <w:tab/>
      </w:r>
      <w:r w:rsidRPr="0064342F">
        <w:rPr>
          <w:szCs w:val="28"/>
        </w:rPr>
        <w:tab/>
      </w:r>
      <w:r w:rsidRPr="0064342F">
        <w:rPr>
          <w:szCs w:val="28"/>
        </w:rPr>
        <w:tab/>
        <w:t xml:space="preserve">Т. </w:t>
      </w:r>
      <w:proofErr w:type="spellStart"/>
      <w:r w:rsidRPr="0064342F">
        <w:rPr>
          <w:szCs w:val="28"/>
        </w:rPr>
        <w:t>Хромаєв</w:t>
      </w:r>
      <w:proofErr w:type="spellEnd"/>
    </w:p>
    <w:p w:rsidR="008A42CC" w:rsidRPr="0064342F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</w:p>
    <w:p w:rsidR="008A42CC" w:rsidRPr="0064342F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</w:p>
    <w:p w:rsidR="008A42CC" w:rsidRPr="0064342F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</w:p>
    <w:p w:rsidR="008A42CC" w:rsidRPr="0064342F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</w:p>
    <w:p w:rsidR="008A42CC" w:rsidRPr="0064342F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</w:p>
    <w:p w:rsidR="008A42CC" w:rsidRPr="0064342F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</w:p>
    <w:p w:rsidR="008A42CC" w:rsidRPr="0064342F" w:rsidRDefault="008A42CC" w:rsidP="0064342F">
      <w:pPr>
        <w:pStyle w:val="a7"/>
        <w:tabs>
          <w:tab w:val="clear" w:pos="709"/>
          <w:tab w:val="left" w:pos="0"/>
          <w:tab w:val="left" w:pos="1134"/>
        </w:tabs>
        <w:ind w:firstLine="851"/>
        <w:rPr>
          <w:szCs w:val="28"/>
        </w:rPr>
      </w:pPr>
    </w:p>
    <w:p w:rsidR="00052414" w:rsidRDefault="00052414" w:rsidP="00052414">
      <w:pPr>
        <w:pStyle w:val="a7"/>
        <w:tabs>
          <w:tab w:val="clear" w:pos="709"/>
          <w:tab w:val="left" w:pos="1134"/>
        </w:tabs>
        <w:ind w:left="6237"/>
        <w:rPr>
          <w:sz w:val="24"/>
          <w:szCs w:val="24"/>
        </w:rPr>
      </w:pPr>
    </w:p>
    <w:p w:rsidR="00052414" w:rsidRDefault="00052414" w:rsidP="00052414">
      <w:pPr>
        <w:pStyle w:val="a7"/>
        <w:tabs>
          <w:tab w:val="clear" w:pos="709"/>
          <w:tab w:val="left" w:pos="1134"/>
        </w:tabs>
        <w:ind w:left="6237"/>
        <w:rPr>
          <w:sz w:val="24"/>
          <w:szCs w:val="24"/>
        </w:rPr>
      </w:pPr>
    </w:p>
    <w:p w:rsidR="00052414" w:rsidRDefault="00052414" w:rsidP="00052414">
      <w:pPr>
        <w:pStyle w:val="a7"/>
        <w:tabs>
          <w:tab w:val="clear" w:pos="709"/>
          <w:tab w:val="left" w:pos="1134"/>
        </w:tabs>
        <w:ind w:left="6237"/>
        <w:rPr>
          <w:sz w:val="24"/>
          <w:szCs w:val="24"/>
        </w:rPr>
      </w:pPr>
    </w:p>
    <w:p w:rsidR="00052414" w:rsidRDefault="00052414" w:rsidP="00052414">
      <w:pPr>
        <w:pStyle w:val="a7"/>
        <w:tabs>
          <w:tab w:val="clear" w:pos="709"/>
          <w:tab w:val="left" w:pos="1134"/>
        </w:tabs>
        <w:ind w:left="6237"/>
        <w:rPr>
          <w:sz w:val="24"/>
          <w:szCs w:val="24"/>
        </w:rPr>
      </w:pPr>
    </w:p>
    <w:p w:rsidR="00052414" w:rsidRDefault="00052414" w:rsidP="00052414">
      <w:pPr>
        <w:pStyle w:val="a7"/>
        <w:tabs>
          <w:tab w:val="clear" w:pos="709"/>
          <w:tab w:val="left" w:pos="1134"/>
        </w:tabs>
        <w:ind w:left="6237"/>
        <w:rPr>
          <w:sz w:val="24"/>
          <w:szCs w:val="24"/>
        </w:rPr>
      </w:pPr>
    </w:p>
    <w:p w:rsidR="00052414" w:rsidRDefault="00052414" w:rsidP="00052414">
      <w:pPr>
        <w:pStyle w:val="a7"/>
        <w:tabs>
          <w:tab w:val="clear" w:pos="709"/>
          <w:tab w:val="left" w:pos="1134"/>
        </w:tabs>
        <w:ind w:left="6237"/>
        <w:rPr>
          <w:sz w:val="24"/>
          <w:szCs w:val="24"/>
        </w:rPr>
      </w:pPr>
    </w:p>
    <w:p w:rsidR="00052414" w:rsidRDefault="00052414" w:rsidP="00052414">
      <w:pPr>
        <w:pStyle w:val="a7"/>
        <w:tabs>
          <w:tab w:val="clear" w:pos="709"/>
          <w:tab w:val="left" w:pos="1134"/>
        </w:tabs>
        <w:ind w:left="6237"/>
        <w:rPr>
          <w:sz w:val="24"/>
          <w:szCs w:val="24"/>
        </w:rPr>
      </w:pPr>
    </w:p>
    <w:p w:rsidR="00052414" w:rsidRDefault="00052414" w:rsidP="00052414">
      <w:pPr>
        <w:pStyle w:val="a7"/>
        <w:tabs>
          <w:tab w:val="clear" w:pos="709"/>
          <w:tab w:val="left" w:pos="1134"/>
        </w:tabs>
        <w:ind w:left="6237"/>
        <w:rPr>
          <w:sz w:val="24"/>
          <w:szCs w:val="24"/>
        </w:rPr>
      </w:pPr>
    </w:p>
    <w:p w:rsidR="00052414" w:rsidRDefault="00052414" w:rsidP="00052414">
      <w:pPr>
        <w:pStyle w:val="a7"/>
        <w:tabs>
          <w:tab w:val="clear" w:pos="709"/>
          <w:tab w:val="left" w:pos="1134"/>
        </w:tabs>
        <w:ind w:left="6237"/>
        <w:rPr>
          <w:sz w:val="24"/>
          <w:szCs w:val="24"/>
        </w:rPr>
      </w:pPr>
    </w:p>
    <w:p w:rsidR="008A42CC" w:rsidRPr="00052414" w:rsidRDefault="008A42CC" w:rsidP="00052414">
      <w:pPr>
        <w:pStyle w:val="a7"/>
        <w:tabs>
          <w:tab w:val="clear" w:pos="709"/>
          <w:tab w:val="left" w:pos="1134"/>
        </w:tabs>
        <w:ind w:left="6237"/>
        <w:rPr>
          <w:sz w:val="24"/>
          <w:szCs w:val="24"/>
        </w:rPr>
      </w:pPr>
      <w:r w:rsidRPr="00052414">
        <w:rPr>
          <w:sz w:val="24"/>
          <w:szCs w:val="24"/>
        </w:rPr>
        <w:t>Протокол засідання Комісії</w:t>
      </w:r>
    </w:p>
    <w:p w:rsidR="008A42CC" w:rsidRPr="00052414" w:rsidRDefault="008A42CC" w:rsidP="00052414">
      <w:pPr>
        <w:pStyle w:val="a7"/>
        <w:tabs>
          <w:tab w:val="clear" w:pos="709"/>
          <w:tab w:val="left" w:pos="1134"/>
        </w:tabs>
        <w:ind w:left="6237"/>
        <w:rPr>
          <w:sz w:val="24"/>
          <w:szCs w:val="24"/>
        </w:rPr>
      </w:pPr>
      <w:r w:rsidRPr="00052414">
        <w:rPr>
          <w:sz w:val="24"/>
          <w:szCs w:val="24"/>
        </w:rPr>
        <w:t>від ______.2018 № _____</w:t>
      </w:r>
    </w:p>
    <w:p w:rsidR="00AC2DF3" w:rsidRPr="0064342F" w:rsidRDefault="00AC2DF3" w:rsidP="00052414">
      <w:pPr>
        <w:pStyle w:val="a7"/>
        <w:tabs>
          <w:tab w:val="clear" w:pos="709"/>
          <w:tab w:val="left" w:pos="0"/>
          <w:tab w:val="left" w:pos="1134"/>
        </w:tabs>
        <w:ind w:left="6237"/>
        <w:rPr>
          <w:szCs w:val="28"/>
        </w:rPr>
      </w:pPr>
    </w:p>
    <w:sectPr w:rsidR="00AC2DF3" w:rsidRPr="0064342F" w:rsidSect="0027697C">
      <w:headerReference w:type="default" r:id="rId7"/>
      <w:headerReference w:type="first" r:id="rId8"/>
      <w:pgSz w:w="11906" w:h="16838"/>
      <w:pgMar w:top="851" w:right="849" w:bottom="426" w:left="1260" w:header="0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9A4" w:rsidRDefault="00E479A4" w:rsidP="004D3747">
      <w:pPr>
        <w:spacing w:after="0" w:line="240" w:lineRule="auto"/>
      </w:pPr>
      <w:r>
        <w:separator/>
      </w:r>
    </w:p>
  </w:endnote>
  <w:endnote w:type="continuationSeparator" w:id="0">
    <w:p w:rsidR="00E479A4" w:rsidRDefault="00E479A4" w:rsidP="004D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9A4" w:rsidRDefault="00E479A4" w:rsidP="004D3747">
      <w:pPr>
        <w:spacing w:after="0" w:line="240" w:lineRule="auto"/>
      </w:pPr>
      <w:r>
        <w:separator/>
      </w:r>
    </w:p>
  </w:footnote>
  <w:footnote w:type="continuationSeparator" w:id="0">
    <w:p w:rsidR="00E479A4" w:rsidRDefault="00E479A4" w:rsidP="004D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16E" w:rsidRDefault="009D516E" w:rsidP="009D516E">
    <w:pPr>
      <w:pStyle w:val="a3"/>
      <w:jc w:val="center"/>
    </w:pPr>
  </w:p>
  <w:p w:rsidR="009D516E" w:rsidRDefault="009D516E" w:rsidP="009D516E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16E" w:rsidRDefault="009D516E">
    <w:pPr>
      <w:pStyle w:val="a3"/>
      <w:jc w:val="center"/>
    </w:pPr>
  </w:p>
  <w:p w:rsidR="009D516E" w:rsidRDefault="009D516E">
    <w:pPr>
      <w:pStyle w:val="a3"/>
      <w:jc w:val="center"/>
    </w:pPr>
  </w:p>
  <w:p w:rsidR="009D516E" w:rsidRDefault="009D516E" w:rsidP="00786E0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CC"/>
    <w:rsid w:val="00020595"/>
    <w:rsid w:val="00052414"/>
    <w:rsid w:val="00151254"/>
    <w:rsid w:val="00167ADD"/>
    <w:rsid w:val="00170C15"/>
    <w:rsid w:val="00245219"/>
    <w:rsid w:val="0027697C"/>
    <w:rsid w:val="002D2488"/>
    <w:rsid w:val="004D3747"/>
    <w:rsid w:val="00623331"/>
    <w:rsid w:val="0064342F"/>
    <w:rsid w:val="006845D2"/>
    <w:rsid w:val="00717B87"/>
    <w:rsid w:val="00786E0E"/>
    <w:rsid w:val="00791761"/>
    <w:rsid w:val="008645D9"/>
    <w:rsid w:val="008A42CC"/>
    <w:rsid w:val="009D516E"/>
    <w:rsid w:val="00A3574E"/>
    <w:rsid w:val="00AC2DF3"/>
    <w:rsid w:val="00B13D73"/>
    <w:rsid w:val="00B72A32"/>
    <w:rsid w:val="00C67232"/>
    <w:rsid w:val="00CA69B8"/>
    <w:rsid w:val="00DB2A7F"/>
    <w:rsid w:val="00E479A4"/>
    <w:rsid w:val="00EA0E3C"/>
    <w:rsid w:val="00F470F9"/>
    <w:rsid w:val="00F90BD4"/>
    <w:rsid w:val="00FE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EAD09E-51C3-4835-B9E2-F9D06A07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7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D3747"/>
  </w:style>
  <w:style w:type="paragraph" w:styleId="a5">
    <w:name w:val="footer"/>
    <w:basedOn w:val="a"/>
    <w:link w:val="a6"/>
    <w:uiPriority w:val="99"/>
    <w:unhideWhenUsed/>
    <w:rsid w:val="004D37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D3747"/>
  </w:style>
  <w:style w:type="paragraph" w:styleId="a7">
    <w:name w:val="Body Text"/>
    <w:basedOn w:val="a"/>
    <w:link w:val="a8"/>
    <w:rsid w:val="0064342F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ий текст Знак"/>
    <w:basedOn w:val="a0"/>
    <w:link w:val="a7"/>
    <w:rsid w:val="006434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Омельченко</dc:creator>
  <cp:keywords/>
  <dc:description/>
  <cp:lastModifiedBy>Ірина Омельченко</cp:lastModifiedBy>
  <cp:revision>2</cp:revision>
  <cp:lastPrinted>2018-10-05T10:22:00Z</cp:lastPrinted>
  <dcterms:created xsi:type="dcterms:W3CDTF">2018-10-10T12:10:00Z</dcterms:created>
  <dcterms:modified xsi:type="dcterms:W3CDTF">2018-10-10T12:10:00Z</dcterms:modified>
</cp:coreProperties>
</file>