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71F" w:rsidRPr="00C9771F" w:rsidRDefault="00C9771F" w:rsidP="00C9771F">
      <w:pPr>
        <w:spacing w:before="330" w:after="165" w:line="240" w:lineRule="auto"/>
        <w:ind w:firstLine="426"/>
        <w:jc w:val="center"/>
        <w:outlineLvl w:val="1"/>
        <w:rPr>
          <w:rFonts w:ascii="Times New Roman" w:eastAsia="Times New Roman" w:hAnsi="Times New Roman" w:cs="Times New Roman"/>
          <w:sz w:val="24"/>
          <w:szCs w:val="24"/>
          <w:lang w:eastAsia="uk-UA"/>
        </w:rPr>
      </w:pPr>
      <w:r w:rsidRPr="00C9771F">
        <w:rPr>
          <w:rFonts w:ascii="Times New Roman" w:eastAsia="Times New Roman" w:hAnsi="Times New Roman" w:cs="Times New Roman"/>
          <w:b/>
          <w:bCs/>
          <w:sz w:val="24"/>
          <w:szCs w:val="24"/>
          <w:lang w:eastAsia="uk-UA"/>
        </w:rPr>
        <w:t>НАЦІОНАЛЬНА КОМІСІЯ З ЦІННИХ ПАПЕРІВ ТА ФОНДОВОГО РИНКУ</w:t>
      </w:r>
    </w:p>
    <w:p w:rsidR="00C9771F" w:rsidRPr="00C9771F" w:rsidRDefault="00C9771F" w:rsidP="00C9771F">
      <w:pPr>
        <w:spacing w:before="330" w:after="165" w:line="240" w:lineRule="auto"/>
        <w:ind w:firstLine="426"/>
        <w:jc w:val="center"/>
        <w:outlineLvl w:val="1"/>
        <w:rPr>
          <w:rFonts w:ascii="Times New Roman" w:eastAsia="Times New Roman" w:hAnsi="Times New Roman" w:cs="Times New Roman"/>
          <w:sz w:val="24"/>
          <w:szCs w:val="24"/>
          <w:lang w:eastAsia="uk-UA"/>
        </w:rPr>
      </w:pPr>
      <w:r w:rsidRPr="00C9771F">
        <w:rPr>
          <w:rFonts w:ascii="Times New Roman" w:eastAsia="Times New Roman" w:hAnsi="Times New Roman" w:cs="Times New Roman"/>
          <w:b/>
          <w:bCs/>
          <w:sz w:val="24"/>
          <w:szCs w:val="24"/>
          <w:lang w:eastAsia="uk-UA"/>
        </w:rPr>
        <w:t>РІШЕННЯ</w:t>
      </w:r>
    </w:p>
    <w:tbl>
      <w:tblPr>
        <w:tblW w:w="5000" w:type="pct"/>
        <w:tblCellMar>
          <w:top w:w="15" w:type="dxa"/>
          <w:left w:w="15" w:type="dxa"/>
          <w:bottom w:w="15" w:type="dxa"/>
          <w:right w:w="15" w:type="dxa"/>
        </w:tblCellMar>
        <w:tblLook w:val="04A0" w:firstRow="1" w:lastRow="0" w:firstColumn="1" w:lastColumn="0" w:noHBand="0" w:noVBand="1"/>
      </w:tblPr>
      <w:tblGrid>
        <w:gridCol w:w="3373"/>
        <w:gridCol w:w="2892"/>
        <w:gridCol w:w="3374"/>
      </w:tblGrid>
      <w:tr w:rsidR="00C9771F" w:rsidRPr="00C9771F" w:rsidTr="00C9771F">
        <w:tc>
          <w:tcPr>
            <w:tcW w:w="1750" w:type="pct"/>
            <w:shd w:val="clear" w:color="auto" w:fill="auto"/>
            <w:tcMar>
              <w:top w:w="0" w:type="dxa"/>
              <w:left w:w="0" w:type="dxa"/>
              <w:bottom w:w="0" w:type="dxa"/>
              <w:right w:w="0" w:type="dxa"/>
            </w:tcMar>
            <w:hideMark/>
          </w:tcPr>
          <w:p w:rsidR="00C9771F" w:rsidRPr="00C9771F" w:rsidRDefault="00C9771F" w:rsidP="00C9771F">
            <w:pPr>
              <w:spacing w:after="165" w:line="240" w:lineRule="auto"/>
              <w:ind w:firstLine="426"/>
              <w:rPr>
                <w:rFonts w:ascii="Times New Roman" w:eastAsia="Times New Roman" w:hAnsi="Times New Roman" w:cs="Times New Roman"/>
                <w:sz w:val="24"/>
                <w:szCs w:val="24"/>
                <w:lang w:eastAsia="uk-UA"/>
              </w:rPr>
            </w:pPr>
            <w:r w:rsidRPr="00C9771F">
              <w:rPr>
                <w:rFonts w:ascii="Times New Roman" w:eastAsia="Times New Roman" w:hAnsi="Times New Roman" w:cs="Times New Roman"/>
                <w:b/>
                <w:bCs/>
                <w:sz w:val="24"/>
                <w:szCs w:val="24"/>
                <w:lang w:eastAsia="uk-UA"/>
              </w:rPr>
              <w:t>04.10.2018</w:t>
            </w:r>
          </w:p>
        </w:tc>
        <w:tc>
          <w:tcPr>
            <w:tcW w:w="1500" w:type="pct"/>
            <w:shd w:val="clear" w:color="auto" w:fill="auto"/>
            <w:tcMar>
              <w:top w:w="0" w:type="dxa"/>
              <w:left w:w="0" w:type="dxa"/>
              <w:bottom w:w="0" w:type="dxa"/>
              <w:right w:w="0" w:type="dxa"/>
            </w:tcMar>
            <w:hideMark/>
          </w:tcPr>
          <w:p w:rsidR="00C9771F" w:rsidRPr="00C9771F" w:rsidRDefault="00C9771F" w:rsidP="00C9771F">
            <w:pPr>
              <w:spacing w:after="165" w:line="240" w:lineRule="auto"/>
              <w:ind w:firstLine="426"/>
              <w:rPr>
                <w:rFonts w:ascii="Times New Roman" w:eastAsia="Times New Roman" w:hAnsi="Times New Roman" w:cs="Times New Roman"/>
                <w:sz w:val="24"/>
                <w:szCs w:val="24"/>
                <w:lang w:eastAsia="uk-UA"/>
              </w:rPr>
            </w:pPr>
            <w:r w:rsidRPr="00C9771F">
              <w:rPr>
                <w:rFonts w:ascii="Times New Roman" w:eastAsia="Times New Roman" w:hAnsi="Times New Roman" w:cs="Times New Roman"/>
                <w:b/>
                <w:bCs/>
                <w:sz w:val="24"/>
                <w:szCs w:val="24"/>
                <w:lang w:eastAsia="uk-UA"/>
              </w:rPr>
              <w:t>м. Київ</w:t>
            </w:r>
          </w:p>
        </w:tc>
        <w:tc>
          <w:tcPr>
            <w:tcW w:w="1750" w:type="pct"/>
            <w:shd w:val="clear" w:color="auto" w:fill="auto"/>
            <w:tcMar>
              <w:top w:w="0" w:type="dxa"/>
              <w:left w:w="0" w:type="dxa"/>
              <w:bottom w:w="0" w:type="dxa"/>
              <w:right w:w="0" w:type="dxa"/>
            </w:tcMar>
            <w:hideMark/>
          </w:tcPr>
          <w:p w:rsidR="00C9771F" w:rsidRPr="00C9771F" w:rsidRDefault="00C9771F" w:rsidP="00C9771F">
            <w:pPr>
              <w:spacing w:after="165" w:line="240" w:lineRule="auto"/>
              <w:ind w:firstLine="426"/>
              <w:rPr>
                <w:rFonts w:ascii="Times New Roman" w:eastAsia="Times New Roman" w:hAnsi="Times New Roman" w:cs="Times New Roman"/>
                <w:sz w:val="24"/>
                <w:szCs w:val="24"/>
                <w:lang w:eastAsia="uk-UA"/>
              </w:rPr>
            </w:pPr>
            <w:r w:rsidRPr="00C9771F">
              <w:rPr>
                <w:rFonts w:ascii="Times New Roman" w:eastAsia="Times New Roman" w:hAnsi="Times New Roman" w:cs="Times New Roman"/>
                <w:b/>
                <w:bCs/>
                <w:sz w:val="24"/>
                <w:szCs w:val="24"/>
                <w:lang w:eastAsia="uk-UA"/>
              </w:rPr>
              <w:t>N 690</w:t>
            </w:r>
          </w:p>
        </w:tc>
      </w:tr>
    </w:tbl>
    <w:p w:rsidR="00C9771F" w:rsidRPr="00C9771F" w:rsidRDefault="00C9771F" w:rsidP="00C9771F">
      <w:pPr>
        <w:spacing w:after="165" w:line="240" w:lineRule="auto"/>
        <w:ind w:firstLine="426"/>
        <w:jc w:val="right"/>
        <w:rPr>
          <w:rFonts w:ascii="Times New Roman" w:eastAsia="Times New Roman" w:hAnsi="Times New Roman" w:cs="Times New Roman"/>
          <w:sz w:val="24"/>
          <w:szCs w:val="24"/>
          <w:lang w:eastAsia="uk-UA"/>
        </w:rPr>
      </w:pPr>
      <w:r w:rsidRPr="00C9771F">
        <w:rPr>
          <w:rFonts w:ascii="Times New Roman" w:eastAsia="Times New Roman" w:hAnsi="Times New Roman" w:cs="Times New Roman"/>
          <w:b/>
          <w:bCs/>
          <w:sz w:val="24"/>
          <w:szCs w:val="24"/>
          <w:lang w:eastAsia="uk-UA"/>
        </w:rPr>
        <w:t>Зареєстровано в Міністерстві юстиції України</w:t>
      </w:r>
      <w:r w:rsidRPr="00C9771F">
        <w:rPr>
          <w:rFonts w:ascii="Times New Roman" w:eastAsia="Times New Roman" w:hAnsi="Times New Roman" w:cs="Times New Roman"/>
          <w:b/>
          <w:bCs/>
          <w:sz w:val="24"/>
          <w:szCs w:val="24"/>
          <w:lang w:eastAsia="uk-UA"/>
        </w:rPr>
        <w:br/>
        <w:t>25 жовтня 2018 р. за N 1211/32663</w:t>
      </w:r>
    </w:p>
    <w:p w:rsidR="00C9771F" w:rsidRPr="00C9771F" w:rsidRDefault="00C9771F" w:rsidP="00C9771F">
      <w:pPr>
        <w:spacing w:before="330" w:after="165" w:line="240" w:lineRule="auto"/>
        <w:ind w:firstLine="426"/>
        <w:jc w:val="center"/>
        <w:outlineLvl w:val="1"/>
        <w:rPr>
          <w:rFonts w:ascii="Times New Roman" w:eastAsia="Times New Roman" w:hAnsi="Times New Roman" w:cs="Times New Roman"/>
          <w:sz w:val="24"/>
          <w:szCs w:val="24"/>
          <w:lang w:eastAsia="uk-UA"/>
        </w:rPr>
      </w:pPr>
      <w:r w:rsidRPr="00C9771F">
        <w:rPr>
          <w:rFonts w:ascii="Times New Roman" w:eastAsia="Times New Roman" w:hAnsi="Times New Roman" w:cs="Times New Roman"/>
          <w:b/>
          <w:bCs/>
          <w:sz w:val="24"/>
          <w:szCs w:val="24"/>
          <w:lang w:eastAsia="uk-UA"/>
        </w:rPr>
        <w:t>Про внесення змін до рішення Національної комісії з цінних паперів та фондового ринку від 13 жовтня 2015 року N 1707</w:t>
      </w:r>
    </w:p>
    <w:p w:rsidR="00C9771F" w:rsidRPr="00C9771F" w:rsidRDefault="00C9771F" w:rsidP="00C9771F">
      <w:pPr>
        <w:spacing w:after="165" w:line="240" w:lineRule="auto"/>
        <w:ind w:firstLine="426"/>
        <w:jc w:val="both"/>
        <w:rPr>
          <w:rFonts w:ascii="Times New Roman" w:eastAsia="Times New Roman" w:hAnsi="Times New Roman" w:cs="Times New Roman"/>
          <w:sz w:val="24"/>
          <w:szCs w:val="24"/>
          <w:lang w:eastAsia="uk-UA"/>
        </w:rPr>
      </w:pPr>
      <w:r w:rsidRPr="00C9771F">
        <w:rPr>
          <w:rFonts w:ascii="Times New Roman" w:eastAsia="Times New Roman" w:hAnsi="Times New Roman" w:cs="Times New Roman"/>
          <w:sz w:val="24"/>
          <w:szCs w:val="24"/>
          <w:lang w:eastAsia="uk-UA"/>
        </w:rPr>
        <w:t>Відповідно до статті 2, пункту 18 частини другої статті 7 Закону України "Про державне регулювання ринку цінних паперів в Україні", з урахуванням Закону України "Про санкції", з метою уточнення дій депозитарних установ та торговців цінними паперами щодо забезпечення виконання рішень Ради національної безпеки і оборони України про застосування персональних спеціальних економічних та інших обмежувальних заходів (санкцій), уведених в дію відповідними Указами Президента України, Національна комісія з цінних паперів та фондового ринку</w:t>
      </w:r>
    </w:p>
    <w:p w:rsidR="00C9771F" w:rsidRPr="00C9771F" w:rsidRDefault="00C9771F" w:rsidP="00C9771F">
      <w:pPr>
        <w:spacing w:after="165" w:line="240" w:lineRule="auto"/>
        <w:ind w:firstLine="426"/>
        <w:jc w:val="center"/>
        <w:rPr>
          <w:rFonts w:ascii="Times New Roman" w:eastAsia="Times New Roman" w:hAnsi="Times New Roman" w:cs="Times New Roman"/>
          <w:sz w:val="24"/>
          <w:szCs w:val="24"/>
          <w:lang w:eastAsia="uk-UA"/>
        </w:rPr>
      </w:pPr>
      <w:r w:rsidRPr="00C9771F">
        <w:rPr>
          <w:rFonts w:ascii="Times New Roman" w:eastAsia="Times New Roman" w:hAnsi="Times New Roman" w:cs="Times New Roman"/>
          <w:b/>
          <w:bCs/>
          <w:sz w:val="24"/>
          <w:szCs w:val="24"/>
          <w:lang w:eastAsia="uk-UA"/>
        </w:rPr>
        <w:t>ВИРІШИЛА:</w:t>
      </w:r>
    </w:p>
    <w:p w:rsidR="00C9771F" w:rsidRPr="00C9771F" w:rsidRDefault="00C9771F" w:rsidP="00C9771F">
      <w:pPr>
        <w:spacing w:after="165" w:line="240" w:lineRule="auto"/>
        <w:ind w:firstLine="426"/>
        <w:rPr>
          <w:rFonts w:ascii="Times New Roman" w:eastAsia="Times New Roman" w:hAnsi="Times New Roman" w:cs="Times New Roman"/>
          <w:sz w:val="24"/>
          <w:szCs w:val="24"/>
          <w:lang w:eastAsia="uk-UA"/>
        </w:rPr>
      </w:pPr>
      <w:r w:rsidRPr="00C9771F">
        <w:rPr>
          <w:rFonts w:ascii="Times New Roman" w:eastAsia="Times New Roman" w:hAnsi="Times New Roman" w:cs="Times New Roman"/>
          <w:sz w:val="24"/>
          <w:szCs w:val="24"/>
          <w:lang w:eastAsia="uk-UA"/>
        </w:rPr>
        <w:t xml:space="preserve">1. </w:t>
      </w:r>
      <w:proofErr w:type="spellStart"/>
      <w:r w:rsidRPr="00C9771F">
        <w:rPr>
          <w:rFonts w:ascii="Times New Roman" w:eastAsia="Times New Roman" w:hAnsi="Times New Roman" w:cs="Times New Roman"/>
          <w:sz w:val="24"/>
          <w:szCs w:val="24"/>
          <w:lang w:eastAsia="uk-UA"/>
        </w:rPr>
        <w:t>Внести</w:t>
      </w:r>
      <w:proofErr w:type="spellEnd"/>
      <w:r w:rsidRPr="00C9771F">
        <w:rPr>
          <w:rFonts w:ascii="Times New Roman" w:eastAsia="Times New Roman" w:hAnsi="Times New Roman" w:cs="Times New Roman"/>
          <w:sz w:val="24"/>
          <w:szCs w:val="24"/>
          <w:lang w:eastAsia="uk-UA"/>
        </w:rPr>
        <w:t xml:space="preserve"> до рішення Національної комісії з цінних паперів та фондового ринку від 13 жовтня 2015 року N 1707 "Щодо порядку виконання учасниками фондового ринку рішень Ради національної безпеки і оборони України про застосування персональних спеціальних економічних та інших обмежувальних заходів (санкцій)", зареєстрованого в Міністерстві юстиції України 29 жовтня 2015 року за N 1325/27770 (із змінами), такі зміни:</w:t>
      </w:r>
    </w:p>
    <w:p w:rsidR="00C9771F" w:rsidRPr="00C9771F" w:rsidRDefault="00C9771F" w:rsidP="00C9771F">
      <w:pPr>
        <w:spacing w:after="165" w:line="240" w:lineRule="auto"/>
        <w:ind w:firstLine="426"/>
        <w:rPr>
          <w:rFonts w:ascii="Times New Roman" w:eastAsia="Times New Roman" w:hAnsi="Times New Roman" w:cs="Times New Roman"/>
          <w:sz w:val="24"/>
          <w:szCs w:val="24"/>
          <w:lang w:eastAsia="uk-UA"/>
        </w:rPr>
      </w:pPr>
      <w:r w:rsidRPr="00C9771F">
        <w:rPr>
          <w:rFonts w:ascii="Times New Roman" w:eastAsia="Times New Roman" w:hAnsi="Times New Roman" w:cs="Times New Roman"/>
          <w:sz w:val="24"/>
          <w:szCs w:val="24"/>
          <w:lang w:eastAsia="uk-UA"/>
        </w:rPr>
        <w:t>1) підпункт 1 пункту 2 доповнити новим абзацом такого змісту:</w:t>
      </w:r>
    </w:p>
    <w:p w:rsidR="00C9771F" w:rsidRPr="00C9771F" w:rsidRDefault="00C9771F" w:rsidP="00C9771F">
      <w:pPr>
        <w:spacing w:after="165" w:line="240" w:lineRule="auto"/>
        <w:ind w:firstLine="426"/>
        <w:rPr>
          <w:rFonts w:ascii="Times New Roman" w:eastAsia="Times New Roman" w:hAnsi="Times New Roman" w:cs="Times New Roman"/>
          <w:sz w:val="24"/>
          <w:szCs w:val="24"/>
          <w:lang w:eastAsia="uk-UA"/>
        </w:rPr>
      </w:pPr>
      <w:r w:rsidRPr="00C9771F">
        <w:rPr>
          <w:rFonts w:ascii="Times New Roman" w:eastAsia="Times New Roman" w:hAnsi="Times New Roman" w:cs="Times New Roman"/>
          <w:sz w:val="24"/>
          <w:szCs w:val="24"/>
          <w:lang w:eastAsia="uk-UA"/>
        </w:rPr>
        <w:t>"не пізніше п'яти робочих днів з дня внесення змін до системи депозитарного обліку щодо стану рахунків у цінних паперах, відомості щодо яких були надані Національній комісії з цінних паперів та фондового ринку відповідно до абзацу першого цього підпункту, надавати Національній комісії з цінних паперів та фондового ринку щодо власників таких рахунків інформацію про внесені зміни до системи депозитарного обліку (крім інформації про внесені зміни, пов'язані із закінченням дії застосованих санкцій щодо таких власників);";</w:t>
      </w:r>
    </w:p>
    <w:p w:rsidR="00C9771F" w:rsidRPr="00C9771F" w:rsidRDefault="00C9771F" w:rsidP="00C9771F">
      <w:pPr>
        <w:spacing w:after="165" w:line="240" w:lineRule="auto"/>
        <w:ind w:firstLine="426"/>
        <w:rPr>
          <w:rFonts w:ascii="Times New Roman" w:eastAsia="Times New Roman" w:hAnsi="Times New Roman" w:cs="Times New Roman"/>
          <w:sz w:val="24"/>
          <w:szCs w:val="24"/>
          <w:lang w:eastAsia="uk-UA"/>
        </w:rPr>
      </w:pPr>
      <w:r w:rsidRPr="00C9771F">
        <w:rPr>
          <w:rFonts w:ascii="Times New Roman" w:eastAsia="Times New Roman" w:hAnsi="Times New Roman" w:cs="Times New Roman"/>
          <w:sz w:val="24"/>
          <w:szCs w:val="24"/>
          <w:lang w:eastAsia="uk-UA"/>
        </w:rPr>
        <w:t>2) у пункті 6:</w:t>
      </w:r>
    </w:p>
    <w:p w:rsidR="00C9771F" w:rsidRPr="00C9771F" w:rsidRDefault="00C9771F" w:rsidP="00C9771F">
      <w:pPr>
        <w:spacing w:after="165" w:line="240" w:lineRule="auto"/>
        <w:ind w:firstLine="426"/>
        <w:rPr>
          <w:rFonts w:ascii="Times New Roman" w:eastAsia="Times New Roman" w:hAnsi="Times New Roman" w:cs="Times New Roman"/>
          <w:sz w:val="24"/>
          <w:szCs w:val="24"/>
          <w:lang w:eastAsia="uk-UA"/>
        </w:rPr>
      </w:pPr>
      <w:r w:rsidRPr="00C9771F">
        <w:rPr>
          <w:rFonts w:ascii="Times New Roman" w:eastAsia="Times New Roman" w:hAnsi="Times New Roman" w:cs="Times New Roman"/>
          <w:sz w:val="24"/>
          <w:szCs w:val="24"/>
          <w:lang w:eastAsia="uk-UA"/>
        </w:rPr>
        <w:t>у підпункті 1 слова ", "запобігання виведенню капіталів за межі України" виключити;</w:t>
      </w:r>
    </w:p>
    <w:p w:rsidR="00C9771F" w:rsidRPr="00C9771F" w:rsidRDefault="00C9771F" w:rsidP="00C9771F">
      <w:pPr>
        <w:spacing w:after="165" w:line="240" w:lineRule="auto"/>
        <w:ind w:firstLine="426"/>
        <w:rPr>
          <w:rFonts w:ascii="Times New Roman" w:eastAsia="Times New Roman" w:hAnsi="Times New Roman" w:cs="Times New Roman"/>
          <w:sz w:val="24"/>
          <w:szCs w:val="24"/>
          <w:lang w:eastAsia="uk-UA"/>
        </w:rPr>
      </w:pPr>
      <w:r w:rsidRPr="00C9771F">
        <w:rPr>
          <w:rFonts w:ascii="Times New Roman" w:eastAsia="Times New Roman" w:hAnsi="Times New Roman" w:cs="Times New Roman"/>
          <w:sz w:val="24"/>
          <w:szCs w:val="24"/>
          <w:lang w:eastAsia="uk-UA"/>
        </w:rPr>
        <w:t>доповнити пункт новим підпунктом 5 такого змісту:</w:t>
      </w:r>
    </w:p>
    <w:p w:rsidR="00C9771F" w:rsidRPr="00C9771F" w:rsidRDefault="00C9771F" w:rsidP="00C9771F">
      <w:pPr>
        <w:spacing w:after="165" w:line="240" w:lineRule="auto"/>
        <w:ind w:firstLine="426"/>
        <w:rPr>
          <w:rFonts w:ascii="Times New Roman" w:eastAsia="Times New Roman" w:hAnsi="Times New Roman" w:cs="Times New Roman"/>
          <w:sz w:val="24"/>
          <w:szCs w:val="24"/>
          <w:lang w:eastAsia="uk-UA"/>
        </w:rPr>
      </w:pPr>
      <w:r w:rsidRPr="00C9771F">
        <w:rPr>
          <w:rFonts w:ascii="Times New Roman" w:eastAsia="Times New Roman" w:hAnsi="Times New Roman" w:cs="Times New Roman"/>
          <w:sz w:val="24"/>
          <w:szCs w:val="24"/>
          <w:lang w:eastAsia="uk-UA"/>
        </w:rPr>
        <w:t xml:space="preserve">"5) у разі застосування санкції "запобігання виведенню капіталів за межі України" заборонити вчинення дій щодо укладання правочинів щодо цінних паперів та інших фінансових інструментів за участю фізичних та юридичних осіб, зазначених у </w:t>
      </w:r>
      <w:proofErr w:type="spellStart"/>
      <w:r w:rsidRPr="00C9771F">
        <w:rPr>
          <w:rFonts w:ascii="Times New Roman" w:eastAsia="Times New Roman" w:hAnsi="Times New Roman" w:cs="Times New Roman"/>
          <w:sz w:val="24"/>
          <w:szCs w:val="24"/>
          <w:lang w:eastAsia="uk-UA"/>
        </w:rPr>
        <w:t>санкційному</w:t>
      </w:r>
      <w:proofErr w:type="spellEnd"/>
      <w:r w:rsidRPr="00C9771F">
        <w:rPr>
          <w:rFonts w:ascii="Times New Roman" w:eastAsia="Times New Roman" w:hAnsi="Times New Roman" w:cs="Times New Roman"/>
          <w:sz w:val="24"/>
          <w:szCs w:val="24"/>
          <w:lang w:eastAsia="uk-UA"/>
        </w:rPr>
        <w:t xml:space="preserve"> списку, до яких застосовано таку санкцію, якщо виконання таких правочинів призведе до виведення цінних паперів або коштів за межі України та/або якщо грошові розрахунки за такими правочинами здійснюються без залучення торговця цінними паперами.".</w:t>
      </w:r>
    </w:p>
    <w:p w:rsidR="00C9771F" w:rsidRPr="00C9771F" w:rsidRDefault="00C9771F" w:rsidP="00C9771F">
      <w:pPr>
        <w:spacing w:after="165" w:line="240" w:lineRule="auto"/>
        <w:ind w:firstLine="426"/>
        <w:rPr>
          <w:rFonts w:ascii="Times New Roman" w:eastAsia="Times New Roman" w:hAnsi="Times New Roman" w:cs="Times New Roman"/>
          <w:sz w:val="24"/>
          <w:szCs w:val="24"/>
          <w:lang w:eastAsia="uk-UA"/>
        </w:rPr>
      </w:pPr>
      <w:r w:rsidRPr="00C9771F">
        <w:rPr>
          <w:rFonts w:ascii="Times New Roman" w:eastAsia="Times New Roman" w:hAnsi="Times New Roman" w:cs="Times New Roman"/>
          <w:sz w:val="24"/>
          <w:szCs w:val="24"/>
          <w:lang w:eastAsia="uk-UA"/>
        </w:rPr>
        <w:t>2. Департаменту методології регулювання професійних учасників ринку цінних паперів (Курочкіна І.) забезпечити:</w:t>
      </w:r>
    </w:p>
    <w:p w:rsidR="00C9771F" w:rsidRPr="00C9771F" w:rsidRDefault="00C9771F" w:rsidP="00C9771F">
      <w:pPr>
        <w:spacing w:after="165" w:line="240" w:lineRule="auto"/>
        <w:ind w:firstLine="426"/>
        <w:rPr>
          <w:rFonts w:ascii="Times New Roman" w:eastAsia="Times New Roman" w:hAnsi="Times New Roman" w:cs="Times New Roman"/>
          <w:sz w:val="24"/>
          <w:szCs w:val="24"/>
          <w:lang w:eastAsia="uk-UA"/>
        </w:rPr>
      </w:pPr>
      <w:r w:rsidRPr="00C9771F">
        <w:rPr>
          <w:rFonts w:ascii="Times New Roman" w:eastAsia="Times New Roman" w:hAnsi="Times New Roman" w:cs="Times New Roman"/>
          <w:sz w:val="24"/>
          <w:szCs w:val="24"/>
          <w:lang w:eastAsia="uk-UA"/>
        </w:rPr>
        <w:t>подання цього рішення на державну реєстрацію до Міністерства юстиції України;</w:t>
      </w:r>
    </w:p>
    <w:p w:rsidR="00C9771F" w:rsidRPr="00C9771F" w:rsidRDefault="00C9771F" w:rsidP="00C9771F">
      <w:pPr>
        <w:spacing w:after="165" w:line="240" w:lineRule="auto"/>
        <w:ind w:firstLine="426"/>
        <w:rPr>
          <w:rFonts w:ascii="Times New Roman" w:eastAsia="Times New Roman" w:hAnsi="Times New Roman" w:cs="Times New Roman"/>
          <w:sz w:val="24"/>
          <w:szCs w:val="24"/>
          <w:lang w:eastAsia="uk-UA"/>
        </w:rPr>
      </w:pPr>
      <w:r w:rsidRPr="00C9771F">
        <w:rPr>
          <w:rFonts w:ascii="Times New Roman" w:eastAsia="Times New Roman" w:hAnsi="Times New Roman" w:cs="Times New Roman"/>
          <w:sz w:val="24"/>
          <w:szCs w:val="24"/>
          <w:lang w:eastAsia="uk-UA"/>
        </w:rPr>
        <w:t>оприлюднення цього рішення на офіційному веб-сайті Національної комісії з цінних паперів та фондового ринку.</w:t>
      </w:r>
    </w:p>
    <w:p w:rsidR="00C9771F" w:rsidRPr="00C9771F" w:rsidRDefault="00C9771F" w:rsidP="00C9771F">
      <w:pPr>
        <w:spacing w:after="165" w:line="240" w:lineRule="auto"/>
        <w:ind w:firstLine="426"/>
        <w:rPr>
          <w:rFonts w:ascii="Times New Roman" w:eastAsia="Times New Roman" w:hAnsi="Times New Roman" w:cs="Times New Roman"/>
          <w:sz w:val="24"/>
          <w:szCs w:val="24"/>
          <w:lang w:eastAsia="uk-UA"/>
        </w:rPr>
      </w:pPr>
      <w:r w:rsidRPr="00C9771F">
        <w:rPr>
          <w:rFonts w:ascii="Times New Roman" w:eastAsia="Times New Roman" w:hAnsi="Times New Roman" w:cs="Times New Roman"/>
          <w:sz w:val="24"/>
          <w:szCs w:val="24"/>
          <w:lang w:eastAsia="uk-UA"/>
        </w:rPr>
        <w:lastRenderedPageBreak/>
        <w:t>3. Д</w:t>
      </w:r>
      <w:bookmarkStart w:id="0" w:name="_GoBack"/>
      <w:bookmarkEnd w:id="0"/>
      <w:r w:rsidRPr="00C9771F">
        <w:rPr>
          <w:rFonts w:ascii="Times New Roman" w:eastAsia="Times New Roman" w:hAnsi="Times New Roman" w:cs="Times New Roman"/>
          <w:sz w:val="24"/>
          <w:szCs w:val="24"/>
          <w:lang w:eastAsia="uk-UA"/>
        </w:rPr>
        <w:t>епартаменту міжнародної співпраці та комунікацій (</w:t>
      </w:r>
      <w:proofErr w:type="spellStart"/>
      <w:r w:rsidRPr="00C9771F">
        <w:rPr>
          <w:rFonts w:ascii="Times New Roman" w:eastAsia="Times New Roman" w:hAnsi="Times New Roman" w:cs="Times New Roman"/>
          <w:sz w:val="24"/>
          <w:szCs w:val="24"/>
          <w:lang w:eastAsia="uk-UA"/>
        </w:rPr>
        <w:t>Юшкевич</w:t>
      </w:r>
      <w:proofErr w:type="spellEnd"/>
      <w:r w:rsidRPr="00C9771F">
        <w:rPr>
          <w:rFonts w:ascii="Times New Roman" w:eastAsia="Times New Roman" w:hAnsi="Times New Roman" w:cs="Times New Roman"/>
          <w:sz w:val="24"/>
          <w:szCs w:val="24"/>
          <w:lang w:eastAsia="uk-UA"/>
        </w:rPr>
        <w:t xml:space="preserve"> О.) забезпечити опублікування цього рішення в офіційному друкованому виданні Національної комісії з цінних паперів та фондового ринку.</w:t>
      </w:r>
    </w:p>
    <w:p w:rsidR="00C9771F" w:rsidRPr="00C9771F" w:rsidRDefault="00C9771F" w:rsidP="00C9771F">
      <w:pPr>
        <w:spacing w:after="165" w:line="240" w:lineRule="auto"/>
        <w:ind w:firstLine="426"/>
        <w:rPr>
          <w:rFonts w:ascii="Times New Roman" w:eastAsia="Times New Roman" w:hAnsi="Times New Roman" w:cs="Times New Roman"/>
          <w:sz w:val="24"/>
          <w:szCs w:val="24"/>
          <w:lang w:eastAsia="uk-UA"/>
        </w:rPr>
      </w:pPr>
      <w:r w:rsidRPr="00C9771F">
        <w:rPr>
          <w:rFonts w:ascii="Times New Roman" w:eastAsia="Times New Roman" w:hAnsi="Times New Roman" w:cs="Times New Roman"/>
          <w:sz w:val="24"/>
          <w:szCs w:val="24"/>
          <w:lang w:eastAsia="uk-UA"/>
        </w:rPr>
        <w:t>4. Це рішення набирає чинності з дня його офіційного опублікування.</w:t>
      </w:r>
    </w:p>
    <w:p w:rsidR="00C9771F" w:rsidRPr="00C9771F" w:rsidRDefault="00C9771F" w:rsidP="00C9771F">
      <w:pPr>
        <w:spacing w:after="165" w:line="240" w:lineRule="auto"/>
        <w:ind w:firstLine="426"/>
        <w:rPr>
          <w:rFonts w:ascii="Times New Roman" w:eastAsia="Times New Roman" w:hAnsi="Times New Roman" w:cs="Times New Roman"/>
          <w:sz w:val="24"/>
          <w:szCs w:val="24"/>
          <w:lang w:eastAsia="uk-UA"/>
        </w:rPr>
      </w:pPr>
      <w:r w:rsidRPr="00C9771F">
        <w:rPr>
          <w:rFonts w:ascii="Times New Roman" w:eastAsia="Times New Roman" w:hAnsi="Times New Roman" w:cs="Times New Roman"/>
          <w:sz w:val="24"/>
          <w:szCs w:val="24"/>
          <w:lang w:eastAsia="uk-UA"/>
        </w:rPr>
        <w:t>5. Контроль за виконанням цього рішення залишаю за собою.</w:t>
      </w:r>
    </w:p>
    <w:p w:rsidR="00C9771F" w:rsidRPr="00C9771F" w:rsidRDefault="00C9771F" w:rsidP="00C9771F">
      <w:pPr>
        <w:spacing w:after="165" w:line="240" w:lineRule="auto"/>
        <w:ind w:firstLine="426"/>
        <w:rPr>
          <w:rFonts w:ascii="Times New Roman" w:eastAsia="Times New Roman" w:hAnsi="Times New Roman" w:cs="Times New Roman"/>
          <w:sz w:val="24"/>
          <w:szCs w:val="24"/>
          <w:lang w:eastAsia="uk-UA"/>
        </w:rPr>
      </w:pPr>
      <w:r w:rsidRPr="00C9771F">
        <w:rPr>
          <w:rFonts w:ascii="Times New Roman" w:eastAsia="Times New Roman" w:hAnsi="Times New Roman" w:cs="Times New Roman"/>
          <w:sz w:val="24"/>
          <w:szCs w:val="24"/>
          <w:lang w:eastAsia="uk-UA"/>
        </w:rPr>
        <w:t> </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20"/>
      </w:tblGrid>
      <w:tr w:rsidR="00C9771F" w:rsidRPr="00C9771F" w:rsidTr="00C9771F">
        <w:tc>
          <w:tcPr>
            <w:tcW w:w="2500" w:type="pct"/>
            <w:shd w:val="clear" w:color="auto" w:fill="auto"/>
            <w:tcMar>
              <w:top w:w="0" w:type="dxa"/>
              <w:left w:w="0" w:type="dxa"/>
              <w:bottom w:w="0" w:type="dxa"/>
              <w:right w:w="0" w:type="dxa"/>
            </w:tcMar>
            <w:hideMark/>
          </w:tcPr>
          <w:p w:rsidR="00C9771F" w:rsidRPr="00C9771F" w:rsidRDefault="00C9771F" w:rsidP="00C9771F">
            <w:pPr>
              <w:spacing w:after="165" w:line="240" w:lineRule="auto"/>
              <w:ind w:firstLine="426"/>
              <w:rPr>
                <w:rFonts w:ascii="Times New Roman" w:eastAsia="Times New Roman" w:hAnsi="Times New Roman" w:cs="Times New Roman"/>
                <w:sz w:val="24"/>
                <w:szCs w:val="24"/>
                <w:lang w:eastAsia="uk-UA"/>
              </w:rPr>
            </w:pPr>
            <w:r w:rsidRPr="00C9771F">
              <w:rPr>
                <w:rFonts w:ascii="Times New Roman" w:eastAsia="Times New Roman" w:hAnsi="Times New Roman" w:cs="Times New Roman"/>
                <w:b/>
                <w:bCs/>
                <w:sz w:val="24"/>
                <w:szCs w:val="24"/>
                <w:lang w:eastAsia="uk-UA"/>
              </w:rPr>
              <w:t>Голова Комісії</w:t>
            </w:r>
          </w:p>
        </w:tc>
        <w:tc>
          <w:tcPr>
            <w:tcW w:w="2500" w:type="pct"/>
            <w:shd w:val="clear" w:color="auto" w:fill="auto"/>
            <w:tcMar>
              <w:top w:w="0" w:type="dxa"/>
              <w:left w:w="0" w:type="dxa"/>
              <w:bottom w:w="0" w:type="dxa"/>
              <w:right w:w="0" w:type="dxa"/>
            </w:tcMar>
            <w:hideMark/>
          </w:tcPr>
          <w:p w:rsidR="00C9771F" w:rsidRPr="00C9771F" w:rsidRDefault="00C9771F" w:rsidP="00C9771F">
            <w:pPr>
              <w:spacing w:after="165" w:line="240" w:lineRule="auto"/>
              <w:ind w:firstLine="426"/>
              <w:rPr>
                <w:rFonts w:ascii="Times New Roman" w:eastAsia="Times New Roman" w:hAnsi="Times New Roman" w:cs="Times New Roman"/>
                <w:sz w:val="24"/>
                <w:szCs w:val="24"/>
                <w:lang w:eastAsia="uk-UA"/>
              </w:rPr>
            </w:pPr>
            <w:r w:rsidRPr="00C9771F">
              <w:rPr>
                <w:rFonts w:ascii="Times New Roman" w:eastAsia="Times New Roman" w:hAnsi="Times New Roman" w:cs="Times New Roman"/>
                <w:b/>
                <w:bCs/>
                <w:sz w:val="24"/>
                <w:szCs w:val="24"/>
                <w:lang w:eastAsia="uk-UA"/>
              </w:rPr>
              <w:t xml:space="preserve">Т. </w:t>
            </w:r>
            <w:proofErr w:type="spellStart"/>
            <w:r w:rsidRPr="00C9771F">
              <w:rPr>
                <w:rFonts w:ascii="Times New Roman" w:eastAsia="Times New Roman" w:hAnsi="Times New Roman" w:cs="Times New Roman"/>
                <w:b/>
                <w:bCs/>
                <w:sz w:val="24"/>
                <w:szCs w:val="24"/>
                <w:lang w:eastAsia="uk-UA"/>
              </w:rPr>
              <w:t>Хромаєв</w:t>
            </w:r>
            <w:proofErr w:type="spellEnd"/>
          </w:p>
        </w:tc>
      </w:tr>
    </w:tbl>
    <w:p w:rsidR="00C9771F" w:rsidRPr="00C9771F" w:rsidRDefault="00C9771F" w:rsidP="00C9771F">
      <w:pPr>
        <w:spacing w:after="165" w:line="240" w:lineRule="auto"/>
        <w:ind w:firstLine="426"/>
        <w:rPr>
          <w:rFonts w:ascii="Times New Roman" w:eastAsia="Times New Roman" w:hAnsi="Times New Roman" w:cs="Times New Roman"/>
          <w:sz w:val="24"/>
          <w:szCs w:val="24"/>
          <w:lang w:eastAsia="uk-UA"/>
        </w:rPr>
      </w:pPr>
      <w:r w:rsidRPr="00C9771F">
        <w:rPr>
          <w:rFonts w:ascii="Times New Roman" w:eastAsia="Times New Roman" w:hAnsi="Times New Roman" w:cs="Times New Roman"/>
          <w:sz w:val="24"/>
          <w:szCs w:val="24"/>
          <w:lang w:eastAsia="uk-UA"/>
        </w:rPr>
        <w:t> </w:t>
      </w:r>
    </w:p>
    <w:p w:rsidR="00C9771F" w:rsidRPr="00C9771F" w:rsidRDefault="00C9771F" w:rsidP="00C9771F">
      <w:pPr>
        <w:spacing w:after="165" w:line="240" w:lineRule="auto"/>
        <w:ind w:firstLine="426"/>
        <w:jc w:val="right"/>
        <w:rPr>
          <w:rFonts w:ascii="Times New Roman" w:eastAsia="Times New Roman" w:hAnsi="Times New Roman" w:cs="Times New Roman"/>
          <w:sz w:val="24"/>
          <w:szCs w:val="24"/>
          <w:lang w:eastAsia="uk-UA"/>
        </w:rPr>
      </w:pPr>
      <w:r w:rsidRPr="00C9771F">
        <w:rPr>
          <w:rFonts w:ascii="Times New Roman" w:eastAsia="Times New Roman" w:hAnsi="Times New Roman" w:cs="Times New Roman"/>
          <w:sz w:val="24"/>
          <w:szCs w:val="24"/>
          <w:lang w:eastAsia="uk-UA"/>
        </w:rPr>
        <w:t>Протокол засідання Комісії</w:t>
      </w:r>
      <w:r w:rsidRPr="00C9771F">
        <w:rPr>
          <w:rFonts w:ascii="Times New Roman" w:eastAsia="Times New Roman" w:hAnsi="Times New Roman" w:cs="Times New Roman"/>
          <w:sz w:val="24"/>
          <w:szCs w:val="24"/>
          <w:lang w:eastAsia="uk-UA"/>
        </w:rPr>
        <w:br/>
        <w:t>від 04 жовтня 2018 р. N 59</w:t>
      </w:r>
    </w:p>
    <w:p w:rsidR="008C64A2" w:rsidRPr="00C9771F" w:rsidRDefault="008C64A2" w:rsidP="00C9771F">
      <w:pPr>
        <w:ind w:firstLine="426"/>
        <w:rPr>
          <w:rFonts w:ascii="Times New Roman" w:hAnsi="Times New Roman" w:cs="Times New Roman"/>
        </w:rPr>
      </w:pPr>
    </w:p>
    <w:sectPr w:rsidR="008C64A2" w:rsidRPr="00C977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1F"/>
    <w:rsid w:val="008C64A2"/>
    <w:rsid w:val="00C977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3FC9"/>
  <w15:chartTrackingRefBased/>
  <w15:docId w15:val="{3D709E71-5149-40F1-AA0E-AC5611E6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07947">
      <w:bodyDiv w:val="1"/>
      <w:marLeft w:val="0"/>
      <w:marRight w:val="0"/>
      <w:marTop w:val="0"/>
      <w:marBottom w:val="0"/>
      <w:divBdr>
        <w:top w:val="none" w:sz="0" w:space="0" w:color="auto"/>
        <w:left w:val="none" w:sz="0" w:space="0" w:color="auto"/>
        <w:bottom w:val="none" w:sz="0" w:space="0" w:color="auto"/>
        <w:right w:val="none" w:sz="0" w:space="0" w:color="auto"/>
      </w:divBdr>
      <w:divsChild>
        <w:div w:id="389306889">
          <w:marLeft w:val="0"/>
          <w:marRight w:val="0"/>
          <w:marTop w:val="0"/>
          <w:marBottom w:val="0"/>
          <w:divBdr>
            <w:top w:val="none" w:sz="0" w:space="0" w:color="auto"/>
            <w:left w:val="none" w:sz="0" w:space="0" w:color="auto"/>
            <w:bottom w:val="none" w:sz="0" w:space="0" w:color="auto"/>
            <w:right w:val="none" w:sz="0" w:space="0" w:color="auto"/>
          </w:divBdr>
        </w:div>
        <w:div w:id="764958648">
          <w:marLeft w:val="0"/>
          <w:marRight w:val="0"/>
          <w:marTop w:val="0"/>
          <w:marBottom w:val="0"/>
          <w:divBdr>
            <w:top w:val="none" w:sz="0" w:space="0" w:color="auto"/>
            <w:left w:val="none" w:sz="0" w:space="0" w:color="auto"/>
            <w:bottom w:val="none" w:sz="0" w:space="0" w:color="auto"/>
            <w:right w:val="none" w:sz="0" w:space="0" w:color="auto"/>
          </w:divBdr>
        </w:div>
        <w:div w:id="140587801">
          <w:marLeft w:val="0"/>
          <w:marRight w:val="0"/>
          <w:marTop w:val="0"/>
          <w:marBottom w:val="0"/>
          <w:divBdr>
            <w:top w:val="none" w:sz="0" w:space="0" w:color="auto"/>
            <w:left w:val="none" w:sz="0" w:space="0" w:color="auto"/>
            <w:bottom w:val="none" w:sz="0" w:space="0" w:color="auto"/>
            <w:right w:val="none" w:sz="0" w:space="0" w:color="auto"/>
          </w:divBdr>
        </w:div>
        <w:div w:id="1482431124">
          <w:marLeft w:val="0"/>
          <w:marRight w:val="0"/>
          <w:marTop w:val="0"/>
          <w:marBottom w:val="0"/>
          <w:divBdr>
            <w:top w:val="none" w:sz="0" w:space="0" w:color="auto"/>
            <w:left w:val="none" w:sz="0" w:space="0" w:color="auto"/>
            <w:bottom w:val="none" w:sz="0" w:space="0" w:color="auto"/>
            <w:right w:val="none" w:sz="0" w:space="0" w:color="auto"/>
          </w:divBdr>
        </w:div>
        <w:div w:id="925042376">
          <w:marLeft w:val="0"/>
          <w:marRight w:val="0"/>
          <w:marTop w:val="0"/>
          <w:marBottom w:val="0"/>
          <w:divBdr>
            <w:top w:val="none" w:sz="0" w:space="0" w:color="auto"/>
            <w:left w:val="none" w:sz="0" w:space="0" w:color="auto"/>
            <w:bottom w:val="none" w:sz="0" w:space="0" w:color="auto"/>
            <w:right w:val="none" w:sz="0" w:space="0" w:color="auto"/>
          </w:divBdr>
        </w:div>
        <w:div w:id="780760042">
          <w:marLeft w:val="0"/>
          <w:marRight w:val="0"/>
          <w:marTop w:val="0"/>
          <w:marBottom w:val="0"/>
          <w:divBdr>
            <w:top w:val="none" w:sz="0" w:space="0" w:color="auto"/>
            <w:left w:val="none" w:sz="0" w:space="0" w:color="auto"/>
            <w:bottom w:val="none" w:sz="0" w:space="0" w:color="auto"/>
            <w:right w:val="none" w:sz="0" w:space="0" w:color="auto"/>
          </w:divBdr>
        </w:div>
        <w:div w:id="155387546">
          <w:marLeft w:val="0"/>
          <w:marRight w:val="0"/>
          <w:marTop w:val="0"/>
          <w:marBottom w:val="0"/>
          <w:divBdr>
            <w:top w:val="none" w:sz="0" w:space="0" w:color="auto"/>
            <w:left w:val="none" w:sz="0" w:space="0" w:color="auto"/>
            <w:bottom w:val="none" w:sz="0" w:space="0" w:color="auto"/>
            <w:right w:val="none" w:sz="0" w:space="0" w:color="auto"/>
          </w:divBdr>
        </w:div>
        <w:div w:id="1261916803">
          <w:marLeft w:val="0"/>
          <w:marRight w:val="0"/>
          <w:marTop w:val="0"/>
          <w:marBottom w:val="0"/>
          <w:divBdr>
            <w:top w:val="none" w:sz="0" w:space="0" w:color="auto"/>
            <w:left w:val="none" w:sz="0" w:space="0" w:color="auto"/>
            <w:bottom w:val="none" w:sz="0" w:space="0" w:color="auto"/>
            <w:right w:val="none" w:sz="0" w:space="0" w:color="auto"/>
          </w:divBdr>
        </w:div>
        <w:div w:id="489445319">
          <w:marLeft w:val="0"/>
          <w:marRight w:val="0"/>
          <w:marTop w:val="0"/>
          <w:marBottom w:val="0"/>
          <w:divBdr>
            <w:top w:val="none" w:sz="0" w:space="0" w:color="auto"/>
            <w:left w:val="none" w:sz="0" w:space="0" w:color="auto"/>
            <w:bottom w:val="none" w:sz="0" w:space="0" w:color="auto"/>
            <w:right w:val="none" w:sz="0" w:space="0" w:color="auto"/>
          </w:divBdr>
        </w:div>
        <w:div w:id="428739967">
          <w:marLeft w:val="0"/>
          <w:marRight w:val="0"/>
          <w:marTop w:val="0"/>
          <w:marBottom w:val="0"/>
          <w:divBdr>
            <w:top w:val="none" w:sz="0" w:space="0" w:color="auto"/>
            <w:left w:val="none" w:sz="0" w:space="0" w:color="auto"/>
            <w:bottom w:val="none" w:sz="0" w:space="0" w:color="auto"/>
            <w:right w:val="none" w:sz="0" w:space="0" w:color="auto"/>
          </w:divBdr>
        </w:div>
        <w:div w:id="1076242402">
          <w:marLeft w:val="0"/>
          <w:marRight w:val="0"/>
          <w:marTop w:val="0"/>
          <w:marBottom w:val="0"/>
          <w:divBdr>
            <w:top w:val="none" w:sz="0" w:space="0" w:color="auto"/>
            <w:left w:val="none" w:sz="0" w:space="0" w:color="auto"/>
            <w:bottom w:val="none" w:sz="0" w:space="0" w:color="auto"/>
            <w:right w:val="none" w:sz="0" w:space="0" w:color="auto"/>
          </w:divBdr>
        </w:div>
        <w:div w:id="423890545">
          <w:marLeft w:val="0"/>
          <w:marRight w:val="0"/>
          <w:marTop w:val="0"/>
          <w:marBottom w:val="0"/>
          <w:divBdr>
            <w:top w:val="none" w:sz="0" w:space="0" w:color="auto"/>
            <w:left w:val="none" w:sz="0" w:space="0" w:color="auto"/>
            <w:bottom w:val="none" w:sz="0" w:space="0" w:color="auto"/>
            <w:right w:val="none" w:sz="0" w:space="0" w:color="auto"/>
          </w:divBdr>
        </w:div>
        <w:div w:id="397826279">
          <w:marLeft w:val="0"/>
          <w:marRight w:val="0"/>
          <w:marTop w:val="0"/>
          <w:marBottom w:val="0"/>
          <w:divBdr>
            <w:top w:val="none" w:sz="0" w:space="0" w:color="auto"/>
            <w:left w:val="none" w:sz="0" w:space="0" w:color="auto"/>
            <w:bottom w:val="none" w:sz="0" w:space="0" w:color="auto"/>
            <w:right w:val="none" w:sz="0" w:space="0" w:color="auto"/>
          </w:divBdr>
        </w:div>
        <w:div w:id="1067998259">
          <w:marLeft w:val="0"/>
          <w:marRight w:val="0"/>
          <w:marTop w:val="0"/>
          <w:marBottom w:val="0"/>
          <w:divBdr>
            <w:top w:val="none" w:sz="0" w:space="0" w:color="auto"/>
            <w:left w:val="none" w:sz="0" w:space="0" w:color="auto"/>
            <w:bottom w:val="none" w:sz="0" w:space="0" w:color="auto"/>
            <w:right w:val="none" w:sz="0" w:space="0" w:color="auto"/>
          </w:divBdr>
        </w:div>
        <w:div w:id="754084296">
          <w:marLeft w:val="0"/>
          <w:marRight w:val="0"/>
          <w:marTop w:val="0"/>
          <w:marBottom w:val="0"/>
          <w:divBdr>
            <w:top w:val="none" w:sz="0" w:space="0" w:color="auto"/>
            <w:left w:val="none" w:sz="0" w:space="0" w:color="auto"/>
            <w:bottom w:val="none" w:sz="0" w:space="0" w:color="auto"/>
            <w:right w:val="none" w:sz="0" w:space="0" w:color="auto"/>
          </w:divBdr>
        </w:div>
        <w:div w:id="933903924">
          <w:marLeft w:val="0"/>
          <w:marRight w:val="0"/>
          <w:marTop w:val="0"/>
          <w:marBottom w:val="0"/>
          <w:divBdr>
            <w:top w:val="none" w:sz="0" w:space="0" w:color="auto"/>
            <w:left w:val="none" w:sz="0" w:space="0" w:color="auto"/>
            <w:bottom w:val="none" w:sz="0" w:space="0" w:color="auto"/>
            <w:right w:val="none" w:sz="0" w:space="0" w:color="auto"/>
          </w:divBdr>
        </w:div>
        <w:div w:id="1966157650">
          <w:marLeft w:val="0"/>
          <w:marRight w:val="0"/>
          <w:marTop w:val="0"/>
          <w:marBottom w:val="0"/>
          <w:divBdr>
            <w:top w:val="none" w:sz="0" w:space="0" w:color="auto"/>
            <w:left w:val="none" w:sz="0" w:space="0" w:color="auto"/>
            <w:bottom w:val="none" w:sz="0" w:space="0" w:color="auto"/>
            <w:right w:val="none" w:sz="0" w:space="0" w:color="auto"/>
          </w:divBdr>
        </w:div>
        <w:div w:id="1627925261">
          <w:marLeft w:val="0"/>
          <w:marRight w:val="0"/>
          <w:marTop w:val="0"/>
          <w:marBottom w:val="0"/>
          <w:divBdr>
            <w:top w:val="none" w:sz="0" w:space="0" w:color="auto"/>
            <w:left w:val="none" w:sz="0" w:space="0" w:color="auto"/>
            <w:bottom w:val="none" w:sz="0" w:space="0" w:color="auto"/>
            <w:right w:val="none" w:sz="0" w:space="0" w:color="auto"/>
          </w:divBdr>
        </w:div>
        <w:div w:id="433015518">
          <w:marLeft w:val="0"/>
          <w:marRight w:val="0"/>
          <w:marTop w:val="0"/>
          <w:marBottom w:val="0"/>
          <w:divBdr>
            <w:top w:val="none" w:sz="0" w:space="0" w:color="auto"/>
            <w:left w:val="none" w:sz="0" w:space="0" w:color="auto"/>
            <w:bottom w:val="none" w:sz="0" w:space="0" w:color="auto"/>
            <w:right w:val="none" w:sz="0" w:space="0" w:color="auto"/>
          </w:divBdr>
        </w:div>
        <w:div w:id="1325858865">
          <w:marLeft w:val="0"/>
          <w:marRight w:val="0"/>
          <w:marTop w:val="0"/>
          <w:marBottom w:val="0"/>
          <w:divBdr>
            <w:top w:val="none" w:sz="0" w:space="0" w:color="auto"/>
            <w:left w:val="none" w:sz="0" w:space="0" w:color="auto"/>
            <w:bottom w:val="none" w:sz="0" w:space="0" w:color="auto"/>
            <w:right w:val="none" w:sz="0" w:space="0" w:color="auto"/>
          </w:divBdr>
        </w:div>
        <w:div w:id="1653557752">
          <w:marLeft w:val="0"/>
          <w:marRight w:val="0"/>
          <w:marTop w:val="0"/>
          <w:marBottom w:val="0"/>
          <w:divBdr>
            <w:top w:val="none" w:sz="0" w:space="0" w:color="auto"/>
            <w:left w:val="none" w:sz="0" w:space="0" w:color="auto"/>
            <w:bottom w:val="none" w:sz="0" w:space="0" w:color="auto"/>
            <w:right w:val="none" w:sz="0" w:space="0" w:color="auto"/>
          </w:divBdr>
        </w:div>
        <w:div w:id="1556427045">
          <w:marLeft w:val="0"/>
          <w:marRight w:val="0"/>
          <w:marTop w:val="0"/>
          <w:marBottom w:val="0"/>
          <w:divBdr>
            <w:top w:val="none" w:sz="0" w:space="0" w:color="auto"/>
            <w:left w:val="none" w:sz="0" w:space="0" w:color="auto"/>
            <w:bottom w:val="none" w:sz="0" w:space="0" w:color="auto"/>
            <w:right w:val="none" w:sz="0" w:space="0" w:color="auto"/>
          </w:divBdr>
        </w:div>
        <w:div w:id="1765148998">
          <w:marLeft w:val="0"/>
          <w:marRight w:val="0"/>
          <w:marTop w:val="0"/>
          <w:marBottom w:val="0"/>
          <w:divBdr>
            <w:top w:val="none" w:sz="0" w:space="0" w:color="auto"/>
            <w:left w:val="none" w:sz="0" w:space="0" w:color="auto"/>
            <w:bottom w:val="none" w:sz="0" w:space="0" w:color="auto"/>
            <w:right w:val="none" w:sz="0" w:space="0" w:color="auto"/>
          </w:divBdr>
        </w:div>
        <w:div w:id="1456174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2029</Words>
  <Characters>1157</Characters>
  <Application>Microsoft Office Word</Application>
  <DocSecurity>0</DocSecurity>
  <Lines>9</Lines>
  <Paragraphs>6</Paragraphs>
  <ScaleCrop>false</ScaleCrop>
  <Company>NSSMC</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Носікова</dc:creator>
  <cp:keywords/>
  <dc:description/>
  <cp:lastModifiedBy>Ірина Носікова</cp:lastModifiedBy>
  <cp:revision>1</cp:revision>
  <dcterms:created xsi:type="dcterms:W3CDTF">2018-11-22T09:23:00Z</dcterms:created>
  <dcterms:modified xsi:type="dcterms:W3CDTF">2018-11-22T09:26:00Z</dcterms:modified>
</cp:coreProperties>
</file>