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05" w:rsidRPr="00CF59D9" w:rsidRDefault="00353D05" w:rsidP="00353D05">
      <w:pPr>
        <w:rPr>
          <w:sz w:val="28"/>
          <w:szCs w:val="28"/>
          <w:lang w:val="uk-UA"/>
        </w:rPr>
      </w:pPr>
      <w:bookmarkStart w:id="0" w:name="_GoBack"/>
      <w:bookmarkEnd w:id="0"/>
      <w:r w:rsidRPr="00CF59D9"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9" type="#_x0000_t75" style="position:absolute;margin-left:211.5pt;margin-top:0;width:58.5pt;height:69.75pt;z-index:2;visibility:visible">
            <v:imagedata r:id="rId8" o:title=""/>
            <w10:wrap type="square" side="right"/>
          </v:shape>
        </w:pict>
      </w: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pStyle w:val="10"/>
        <w:rPr>
          <w:szCs w:val="28"/>
        </w:rPr>
      </w:pPr>
      <w:r w:rsidRPr="00CF59D9">
        <w:rPr>
          <w:szCs w:val="28"/>
        </w:rPr>
        <w:t>НАЦІОНАЛЬНА КОМІСІЯ З ЦІННИХ ПАПЕРІВ</w:t>
      </w:r>
    </w:p>
    <w:p w:rsidR="00353D05" w:rsidRPr="00CF59D9" w:rsidRDefault="00353D05" w:rsidP="00353D05">
      <w:pPr>
        <w:pStyle w:val="caaieiaie1"/>
        <w:jc w:val="center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t>ТА ФОНДОВОГО РИНКУ</w:t>
      </w:r>
    </w:p>
    <w:p w:rsidR="00353D05" w:rsidRPr="00CF59D9" w:rsidRDefault="00353D05" w:rsidP="00353D05">
      <w:pPr>
        <w:jc w:val="center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pict>
          <v:shape id="_x0000_s1028" style="position:absolute;left:0;text-align:left;margin-left:36pt;margin-top:.8pt;width:424.8pt;height:7.2pt;z-index:1;mso-position-horizontal:absolute;mso-position-horizontal-relative:text;mso-position-vertical:absolute;mso-position-vertical-relative:text" coordsize="20000,20000" path="m,l,20000r20000,l20000,,,xe">
            <v:fill r:id="rId9" o:title="" type="pattern"/>
            <v:path arrowok="t"/>
          </v:shape>
        </w:pict>
      </w:r>
    </w:p>
    <w:p w:rsidR="00353D05" w:rsidRPr="00CF59D9" w:rsidRDefault="00353D05" w:rsidP="00353D05">
      <w:pPr>
        <w:jc w:val="center"/>
        <w:rPr>
          <w:b/>
          <w:sz w:val="28"/>
          <w:szCs w:val="28"/>
          <w:lang w:val="uk-UA"/>
        </w:rPr>
      </w:pPr>
    </w:p>
    <w:p w:rsidR="00353D05" w:rsidRPr="00CF59D9" w:rsidRDefault="00353D05" w:rsidP="00353D05">
      <w:pPr>
        <w:jc w:val="center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t>Р І Ш Е Н Н Я</w:t>
      </w:r>
    </w:p>
    <w:p w:rsidR="00353D05" w:rsidRPr="00CF59D9" w:rsidRDefault="00353D05" w:rsidP="00353D05">
      <w:pPr>
        <w:jc w:val="both"/>
        <w:rPr>
          <w:b/>
          <w:sz w:val="28"/>
          <w:szCs w:val="28"/>
          <w:lang w:val="uk-UA"/>
        </w:rPr>
      </w:pPr>
    </w:p>
    <w:p w:rsidR="00353D05" w:rsidRPr="00CF59D9" w:rsidRDefault="00F22F08" w:rsidP="00F22F08">
      <w:pPr>
        <w:overflowPunct w:val="0"/>
        <w:autoSpaceDE w:val="0"/>
        <w:autoSpaceDN w:val="0"/>
        <w:adjustRightInd w:val="0"/>
        <w:jc w:val="center"/>
        <w:rPr>
          <w:sz w:val="28"/>
          <w:lang w:val="uk-UA"/>
        </w:rPr>
      </w:pPr>
      <w:r>
        <w:rPr>
          <w:sz w:val="28"/>
          <w:lang w:val="uk-UA"/>
        </w:rPr>
        <w:t>29.11</w:t>
      </w:r>
      <w:r w:rsidR="00C420C2">
        <w:rPr>
          <w:sz w:val="28"/>
          <w:lang w:val="uk-UA"/>
        </w:rPr>
        <w:t>.2018</w:t>
      </w:r>
      <w:r w:rsidR="00C420C2">
        <w:rPr>
          <w:sz w:val="28"/>
          <w:lang w:val="uk-UA"/>
        </w:rPr>
        <w:tab/>
      </w:r>
      <w:r w:rsidR="00C420C2">
        <w:rPr>
          <w:sz w:val="28"/>
          <w:lang w:val="uk-UA"/>
        </w:rPr>
        <w:tab/>
        <w:t xml:space="preserve">         </w:t>
      </w:r>
      <w:r w:rsidR="00353D05" w:rsidRPr="00CF59D9">
        <w:rPr>
          <w:sz w:val="28"/>
          <w:lang w:val="uk-UA"/>
        </w:rPr>
        <w:t xml:space="preserve">   м. Київ</w:t>
      </w:r>
      <w:r w:rsidR="00353D05" w:rsidRPr="00CF59D9">
        <w:rPr>
          <w:sz w:val="28"/>
          <w:lang w:val="uk-UA"/>
        </w:rPr>
        <w:tab/>
      </w:r>
      <w:r w:rsidR="00353D05" w:rsidRPr="00CF59D9">
        <w:rPr>
          <w:sz w:val="28"/>
          <w:lang w:val="uk-UA"/>
        </w:rPr>
        <w:tab/>
        <w:t xml:space="preserve">                № </w:t>
      </w:r>
      <w:r>
        <w:rPr>
          <w:sz w:val="28"/>
          <w:lang w:val="uk-UA"/>
        </w:rPr>
        <w:t>839</w:t>
      </w:r>
    </w:p>
    <w:p w:rsidR="00353D05" w:rsidRPr="00CF59D9" w:rsidRDefault="00353D05" w:rsidP="00353D05">
      <w:pPr>
        <w:jc w:val="both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Про  затвердження Порядку </w:t>
      </w: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подання інформації особами, </w:t>
      </w: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які   провадять   діяльність з </w:t>
      </w: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подання   звітності   та/або</w:t>
      </w: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адміністративних даних до</w:t>
      </w: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Національної комісії з цінних </w:t>
      </w: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паперів  та  фондового  ринку</w:t>
      </w:r>
    </w:p>
    <w:p w:rsidR="00353D05" w:rsidRPr="00CF59D9" w:rsidRDefault="00353D05" w:rsidP="00353D05">
      <w:pPr>
        <w:spacing w:line="360" w:lineRule="auto"/>
        <w:jc w:val="both"/>
        <w:rPr>
          <w:sz w:val="28"/>
          <w:szCs w:val="28"/>
          <w:lang w:val="uk-UA"/>
        </w:rPr>
      </w:pPr>
    </w:p>
    <w:p w:rsidR="00353D05" w:rsidRPr="00B028F9" w:rsidRDefault="001E3FD4" w:rsidP="00353D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Зареєстровано в Міністерстві юстиції України 28 </w:t>
      </w:r>
      <w:r w:rsidR="00B028F9">
        <w:rPr>
          <w:sz w:val="24"/>
          <w:szCs w:val="24"/>
          <w:lang w:val="uk-UA"/>
        </w:rPr>
        <w:t>грудня 2018 року за № 1514/3296</w:t>
      </w:r>
      <w:r w:rsidR="00B028F9" w:rsidRPr="00B028F9">
        <w:rPr>
          <w:sz w:val="24"/>
          <w:szCs w:val="24"/>
        </w:rPr>
        <w:t>6</w:t>
      </w:r>
    </w:p>
    <w:p w:rsidR="00353D05" w:rsidRPr="00CF59D9" w:rsidRDefault="00353D05" w:rsidP="00353D05">
      <w:pPr>
        <w:spacing w:line="360" w:lineRule="auto"/>
        <w:jc w:val="both"/>
        <w:rPr>
          <w:sz w:val="24"/>
          <w:szCs w:val="24"/>
          <w:lang w:val="uk-UA"/>
        </w:rPr>
      </w:pPr>
    </w:p>
    <w:p w:rsidR="00353D05" w:rsidRPr="00CF59D9" w:rsidRDefault="00353D05" w:rsidP="00353D05">
      <w:pPr>
        <w:pStyle w:val="3"/>
        <w:spacing w:line="360" w:lineRule="auto"/>
        <w:ind w:firstLine="545"/>
        <w:rPr>
          <w:color w:val="000000"/>
          <w:szCs w:val="28"/>
        </w:rPr>
      </w:pPr>
      <w:r w:rsidRPr="00B00D7C">
        <w:rPr>
          <w:color w:val="000000"/>
          <w:szCs w:val="28"/>
        </w:rPr>
        <w:t xml:space="preserve">Відповідно до пункту 13 статті 8 Закону України «Про державне регулювання ринку цінних паперів», Законів України «Про електронні довірчі послуги», «Про електронні документи та електронний документообіг», </w:t>
      </w:r>
      <w:r w:rsidRPr="00B00D7C">
        <w:rPr>
          <w:szCs w:val="28"/>
        </w:rPr>
        <w:t>Закону України від 16 листопада 2017 року № 2210-VIII «Про внесення змін до деяких законодавчих актів України щодо спрощеного ведення бізнесу та залучення інвестицій емітентами цінних паперів»</w:t>
      </w:r>
      <w:r w:rsidR="00A85C13" w:rsidRPr="00B00D7C">
        <w:rPr>
          <w:szCs w:val="28"/>
        </w:rPr>
        <w:t>,</w:t>
      </w:r>
      <w:r w:rsidR="002449E0" w:rsidRPr="00B00D7C">
        <w:rPr>
          <w:szCs w:val="28"/>
        </w:rPr>
        <w:t xml:space="preserve"> </w:t>
      </w:r>
      <w:r w:rsidRPr="00B00D7C">
        <w:rPr>
          <w:color w:val="000000"/>
          <w:szCs w:val="28"/>
        </w:rPr>
        <w:t xml:space="preserve">з метою встановлення </w:t>
      </w:r>
      <w:r w:rsidR="002449E0" w:rsidRPr="00B00D7C">
        <w:rPr>
          <w:color w:val="000000"/>
          <w:szCs w:val="28"/>
        </w:rPr>
        <w:t>п</w:t>
      </w:r>
      <w:r w:rsidRPr="00B00D7C">
        <w:rPr>
          <w:szCs w:val="28"/>
        </w:rPr>
        <w:t>орядку подання інформації особами, які провадять діяльність з подання звітності та/або адміністративних даних до</w:t>
      </w:r>
      <w:r w:rsidR="002449E0" w:rsidRPr="00B00D7C">
        <w:rPr>
          <w:szCs w:val="28"/>
        </w:rPr>
        <w:t xml:space="preserve"> Національної</w:t>
      </w:r>
      <w:r w:rsidRPr="00B00D7C">
        <w:rPr>
          <w:szCs w:val="28"/>
        </w:rPr>
        <w:t xml:space="preserve"> </w:t>
      </w:r>
      <w:r w:rsidR="002449E0" w:rsidRPr="00B00D7C">
        <w:rPr>
          <w:szCs w:val="28"/>
        </w:rPr>
        <w:t>к</w:t>
      </w:r>
      <w:r w:rsidRPr="00B00D7C">
        <w:rPr>
          <w:szCs w:val="28"/>
        </w:rPr>
        <w:t>омісії</w:t>
      </w:r>
      <w:r w:rsidR="002449E0" w:rsidRPr="00B00D7C">
        <w:rPr>
          <w:szCs w:val="28"/>
        </w:rPr>
        <w:t xml:space="preserve"> з цінних паперів та фондового ринку</w:t>
      </w:r>
      <w:r w:rsidR="00A85C13" w:rsidRPr="00B00D7C">
        <w:rPr>
          <w:szCs w:val="28"/>
        </w:rPr>
        <w:t>,</w:t>
      </w:r>
    </w:p>
    <w:p w:rsidR="00353D05" w:rsidRPr="00CF59D9" w:rsidRDefault="00353D05" w:rsidP="00353D05">
      <w:pPr>
        <w:pStyle w:val="HTML"/>
        <w:spacing w:before="454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59D9">
        <w:rPr>
          <w:rFonts w:ascii="Times New Roman" w:hAnsi="Times New Roman"/>
          <w:sz w:val="28"/>
          <w:szCs w:val="28"/>
          <w:lang w:val="uk-UA"/>
        </w:rPr>
        <w:t>Національна комісія з цінних паперів та фондового ринку</w:t>
      </w:r>
    </w:p>
    <w:p w:rsidR="00353D05" w:rsidRPr="00CF59D9" w:rsidRDefault="00353D05" w:rsidP="00353D05">
      <w:pPr>
        <w:pStyle w:val="2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32" w:firstLine="708"/>
        <w:rPr>
          <w:b/>
          <w:lang w:val="uk-UA"/>
        </w:rPr>
      </w:pPr>
    </w:p>
    <w:p w:rsidR="00353D05" w:rsidRPr="00CF59D9" w:rsidRDefault="00353D05" w:rsidP="00353D05">
      <w:pPr>
        <w:pStyle w:val="2"/>
        <w:keepNext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29" w:firstLine="709"/>
        <w:jc w:val="left"/>
        <w:rPr>
          <w:b/>
          <w:lang w:val="uk-UA"/>
        </w:rPr>
      </w:pPr>
      <w:r w:rsidRPr="00CF59D9">
        <w:rPr>
          <w:b/>
          <w:lang w:val="uk-UA"/>
        </w:rPr>
        <w:t>В И Р І Ш И Л А:</w:t>
      </w:r>
    </w:p>
    <w:p w:rsidR="00353D05" w:rsidRPr="00CF59D9" w:rsidRDefault="00353D05" w:rsidP="00353D05">
      <w:pPr>
        <w:tabs>
          <w:tab w:val="left" w:pos="992"/>
          <w:tab w:val="left" w:pos="1134"/>
        </w:tabs>
        <w:spacing w:before="454" w:line="360" w:lineRule="auto"/>
        <w:ind w:left="567"/>
        <w:jc w:val="both"/>
        <w:rPr>
          <w:sz w:val="28"/>
          <w:szCs w:val="28"/>
          <w:lang w:val="uk-UA"/>
        </w:rPr>
      </w:pPr>
    </w:p>
    <w:p w:rsidR="00353D05" w:rsidRPr="00CF59D9" w:rsidRDefault="00353D05" w:rsidP="00353D05">
      <w:pPr>
        <w:numPr>
          <w:ilvl w:val="0"/>
          <w:numId w:val="11"/>
        </w:numPr>
        <w:tabs>
          <w:tab w:val="left" w:pos="992"/>
          <w:tab w:val="left" w:pos="1134"/>
        </w:tabs>
        <w:spacing w:before="454" w:line="360" w:lineRule="auto"/>
        <w:ind w:left="0"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Затвердити Порядок подання інформації особами, які провадять діяльність з подання звітності та/або адміністративних даних до Національної комісії з цінних паперів та фондового ринку, що додається.</w:t>
      </w:r>
    </w:p>
    <w:p w:rsidR="00353D05" w:rsidRPr="00CF59D9" w:rsidRDefault="00353D05" w:rsidP="00353D05">
      <w:pPr>
        <w:numPr>
          <w:ilvl w:val="0"/>
          <w:numId w:val="11"/>
        </w:numPr>
        <w:tabs>
          <w:tab w:val="left" w:pos="992"/>
          <w:tab w:val="left" w:pos="1134"/>
          <w:tab w:val="left" w:pos="9639"/>
        </w:tabs>
        <w:spacing w:before="454" w:line="360" w:lineRule="auto"/>
        <w:ind w:left="0"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Департаменту інформаційних технологій (Фоменко Є.) забезпечити:</w:t>
      </w:r>
    </w:p>
    <w:p w:rsidR="00353D05" w:rsidRPr="00CF59D9" w:rsidRDefault="00353D05" w:rsidP="00353D05">
      <w:pPr>
        <w:pStyle w:val="Default"/>
        <w:tabs>
          <w:tab w:val="left" w:pos="992"/>
          <w:tab w:val="left" w:pos="1134"/>
        </w:tabs>
        <w:spacing w:beforeLines="150" w:before="360" w:line="360" w:lineRule="auto"/>
        <w:ind w:firstLine="567"/>
        <w:jc w:val="both"/>
        <w:rPr>
          <w:sz w:val="28"/>
          <w:szCs w:val="28"/>
        </w:rPr>
      </w:pPr>
      <w:r w:rsidRPr="00CF59D9">
        <w:rPr>
          <w:sz w:val="28"/>
          <w:szCs w:val="28"/>
        </w:rPr>
        <w:t>подання цього рішення для здійснення експертизи на відповідність положенням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України;</w:t>
      </w:r>
    </w:p>
    <w:p w:rsidR="00353D05" w:rsidRPr="00CF59D9" w:rsidRDefault="00353D05" w:rsidP="00353D05">
      <w:pPr>
        <w:pStyle w:val="Default"/>
        <w:tabs>
          <w:tab w:val="left" w:pos="992"/>
          <w:tab w:val="left" w:pos="1134"/>
        </w:tabs>
        <w:spacing w:beforeLines="150" w:before="360" w:line="360" w:lineRule="auto"/>
        <w:ind w:firstLine="567"/>
        <w:jc w:val="both"/>
        <w:rPr>
          <w:sz w:val="28"/>
          <w:szCs w:val="28"/>
        </w:rPr>
      </w:pPr>
      <w:r w:rsidRPr="00CF59D9">
        <w:rPr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353D05" w:rsidRPr="00CF59D9" w:rsidRDefault="00353D05" w:rsidP="00353D05">
      <w:pPr>
        <w:tabs>
          <w:tab w:val="left" w:pos="992"/>
          <w:tab w:val="left" w:pos="1199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оприлюднення цього рішення на офіційному веб-сайті Комісії.</w:t>
      </w:r>
    </w:p>
    <w:p w:rsidR="00353D05" w:rsidRPr="00CF59D9" w:rsidRDefault="00353D05" w:rsidP="00353D05">
      <w:pPr>
        <w:pStyle w:val="Default"/>
        <w:numPr>
          <w:ilvl w:val="0"/>
          <w:numId w:val="11"/>
        </w:numPr>
        <w:tabs>
          <w:tab w:val="left" w:pos="992"/>
          <w:tab w:val="left" w:pos="1134"/>
        </w:tabs>
        <w:spacing w:before="454" w:line="360" w:lineRule="auto"/>
        <w:ind w:left="0" w:firstLine="567"/>
        <w:jc w:val="both"/>
        <w:rPr>
          <w:sz w:val="28"/>
          <w:szCs w:val="28"/>
        </w:rPr>
      </w:pPr>
      <w:r w:rsidRPr="00CF59D9">
        <w:rPr>
          <w:sz w:val="28"/>
          <w:szCs w:val="28"/>
        </w:rPr>
        <w:t>Департаменту міжнародної співпраці та комунікацій (Юшкевич О.)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353D05" w:rsidRPr="00CF59D9" w:rsidRDefault="00353D05" w:rsidP="00353D05">
      <w:pPr>
        <w:pStyle w:val="Default"/>
        <w:numPr>
          <w:ilvl w:val="0"/>
          <w:numId w:val="11"/>
        </w:numPr>
        <w:tabs>
          <w:tab w:val="left" w:pos="992"/>
          <w:tab w:val="left" w:pos="1134"/>
        </w:tabs>
        <w:spacing w:before="454" w:line="360" w:lineRule="auto"/>
        <w:ind w:left="0" w:firstLine="567"/>
        <w:jc w:val="both"/>
        <w:rPr>
          <w:sz w:val="28"/>
          <w:szCs w:val="28"/>
        </w:rPr>
      </w:pPr>
      <w:r w:rsidRPr="00CF59D9">
        <w:rPr>
          <w:sz w:val="28"/>
          <w:szCs w:val="28"/>
        </w:rPr>
        <w:t xml:space="preserve">Це рішення набирає чинності з дня його офіційного опублікування, але не раніше набрання чинності підпунктом 14 пункту 15 розділу І Закону України від 16 листопада 2017 року № 2210-VIII «Про внесення змін до деяких законодавчих актів України щодо спрощеного ведення бізнесу та залучення інвестицій емітентами цінних паперів». </w:t>
      </w:r>
    </w:p>
    <w:p w:rsidR="00353D05" w:rsidRPr="00CF59D9" w:rsidRDefault="00353D05" w:rsidP="00353D05">
      <w:pPr>
        <w:pStyle w:val="a3"/>
        <w:numPr>
          <w:ilvl w:val="0"/>
          <w:numId w:val="11"/>
        </w:numPr>
        <w:tabs>
          <w:tab w:val="left" w:pos="992"/>
          <w:tab w:val="left" w:pos="1134"/>
          <w:tab w:val="left" w:pos="1440"/>
        </w:tabs>
        <w:spacing w:before="454"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>Контроль за виконанням цього рішення покласти на члена Комісії Лібанова М.</w:t>
      </w:r>
    </w:p>
    <w:p w:rsidR="00353D05" w:rsidRPr="00CF59D9" w:rsidRDefault="00353D05" w:rsidP="00353D05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  <w:lang w:val="uk-UA"/>
        </w:rPr>
      </w:pPr>
    </w:p>
    <w:p w:rsidR="00353D05" w:rsidRPr="00CF59D9" w:rsidRDefault="00353D05" w:rsidP="00353D05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  <w:lang w:val="uk-UA"/>
        </w:rPr>
      </w:pPr>
    </w:p>
    <w:p w:rsidR="00353D05" w:rsidRPr="00CF59D9" w:rsidRDefault="00353D05" w:rsidP="00353D05">
      <w:pPr>
        <w:pStyle w:val="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</w:p>
    <w:p w:rsidR="00353D05" w:rsidRPr="00CF59D9" w:rsidRDefault="00353D05" w:rsidP="00353D05">
      <w:pPr>
        <w:pStyle w:val="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8"/>
        </w:rPr>
      </w:pPr>
      <w:r w:rsidRPr="00CF59D9">
        <w:rPr>
          <w:b/>
          <w:szCs w:val="28"/>
        </w:rPr>
        <w:t>Т.в.о. Голови Комісії</w:t>
      </w:r>
      <w:r w:rsidRPr="00CF59D9">
        <w:rPr>
          <w:b/>
          <w:szCs w:val="28"/>
        </w:rPr>
        <w:tab/>
      </w:r>
      <w:r w:rsidRPr="00CF59D9">
        <w:rPr>
          <w:b/>
          <w:szCs w:val="28"/>
        </w:rPr>
        <w:tab/>
      </w:r>
      <w:r w:rsidRPr="00CF59D9">
        <w:rPr>
          <w:b/>
          <w:szCs w:val="28"/>
        </w:rPr>
        <w:tab/>
      </w:r>
      <w:r w:rsidRPr="00CF59D9">
        <w:rPr>
          <w:b/>
          <w:szCs w:val="28"/>
        </w:rPr>
        <w:tab/>
      </w:r>
      <w:r w:rsidRPr="00CF59D9">
        <w:rPr>
          <w:b/>
          <w:szCs w:val="28"/>
        </w:rPr>
        <w:tab/>
        <w:t>І. Назарчук</w:t>
      </w:r>
    </w:p>
    <w:p w:rsidR="00353D05" w:rsidRPr="00CF59D9" w:rsidRDefault="00353D05" w:rsidP="00353D05">
      <w:pPr>
        <w:pStyle w:val="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</w:p>
    <w:p w:rsidR="00353D05" w:rsidRPr="00CF59D9" w:rsidRDefault="00353D05" w:rsidP="00353D05">
      <w:pPr>
        <w:pStyle w:val="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7"/>
        <w:rPr>
          <w:szCs w:val="28"/>
        </w:rPr>
      </w:pPr>
    </w:p>
    <w:p w:rsidR="00353D05" w:rsidRPr="00CF59D9" w:rsidRDefault="00353D05" w:rsidP="00353D05">
      <w:pPr>
        <w:pStyle w:val="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0"/>
        <w:rPr>
          <w:szCs w:val="28"/>
        </w:rPr>
      </w:pPr>
      <w:r w:rsidRPr="00CF59D9">
        <w:rPr>
          <w:szCs w:val="28"/>
        </w:rPr>
        <w:t>Протокол засідання Комісії</w:t>
      </w:r>
    </w:p>
    <w:p w:rsidR="00353D05" w:rsidRPr="00CF59D9" w:rsidRDefault="00F22F08" w:rsidP="00353D05">
      <w:pPr>
        <w:pStyle w:val="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0"/>
        <w:rPr>
          <w:szCs w:val="28"/>
        </w:rPr>
      </w:pPr>
      <w:r>
        <w:rPr>
          <w:szCs w:val="28"/>
        </w:rPr>
        <w:t>від 29.11</w:t>
      </w:r>
      <w:r w:rsidR="00353D05" w:rsidRPr="00CF59D9">
        <w:rPr>
          <w:szCs w:val="28"/>
        </w:rPr>
        <w:t xml:space="preserve">.2018 № </w:t>
      </w:r>
      <w:r>
        <w:rPr>
          <w:szCs w:val="28"/>
        </w:rPr>
        <w:t>71</w:t>
      </w:r>
      <w:r w:rsidR="00353D05" w:rsidRPr="00CF59D9">
        <w:rPr>
          <w:szCs w:val="28"/>
        </w:rPr>
        <w:t xml:space="preserve">         </w:t>
      </w:r>
    </w:p>
    <w:p w:rsidR="00353D05" w:rsidRPr="00CF59D9" w:rsidRDefault="00353D05" w:rsidP="00353D05">
      <w:pPr>
        <w:rPr>
          <w:lang w:val="uk-UA"/>
        </w:rPr>
      </w:pPr>
    </w:p>
    <w:p w:rsidR="00353D05" w:rsidRPr="00CF59D9" w:rsidRDefault="00353D05" w:rsidP="00353D05">
      <w:pPr>
        <w:rPr>
          <w:lang w:val="uk-UA"/>
        </w:rPr>
        <w:sectPr w:rsidR="00353D05" w:rsidRPr="00CF59D9" w:rsidSect="00524AC0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567"/>
          <w:cols w:space="708"/>
          <w:titlePg/>
          <w:docGrid w:linePitch="360"/>
        </w:sectPr>
      </w:pPr>
    </w:p>
    <w:p w:rsidR="00353D05" w:rsidRPr="00CF59D9" w:rsidRDefault="00353D05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>ЗАТВЕРДЖЕНО</w:t>
      </w:r>
    </w:p>
    <w:p w:rsidR="00353D05" w:rsidRPr="00CF59D9" w:rsidRDefault="00353D05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Рішення Національної комісії</w:t>
      </w:r>
    </w:p>
    <w:p w:rsidR="00353D05" w:rsidRPr="00CF59D9" w:rsidRDefault="00353D05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 цінних паперів та фондового ринку</w:t>
      </w:r>
    </w:p>
    <w:p w:rsidR="00353D05" w:rsidRPr="00CF59D9" w:rsidRDefault="00F22F08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29 листопада 2018 року № 839</w:t>
      </w: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B028F9" w:rsidRDefault="001E3FD4" w:rsidP="00353D05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Зареєстровано в Міністерстві юстиції України 28 </w:t>
      </w:r>
      <w:r w:rsidR="00B028F9">
        <w:rPr>
          <w:sz w:val="24"/>
          <w:szCs w:val="24"/>
          <w:lang w:val="uk-UA"/>
        </w:rPr>
        <w:t>грудня 2018 року за № 1514/3296</w:t>
      </w:r>
      <w:r w:rsidR="00B028F9" w:rsidRPr="00B028F9">
        <w:rPr>
          <w:sz w:val="24"/>
          <w:szCs w:val="24"/>
        </w:rPr>
        <w:t>6</w:t>
      </w: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keepNext/>
        <w:keepLines/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CF59D9">
        <w:rPr>
          <w:b/>
          <w:caps/>
          <w:sz w:val="28"/>
          <w:szCs w:val="28"/>
          <w:lang w:val="uk-UA"/>
        </w:rPr>
        <w:t>Порядок</w:t>
      </w:r>
    </w:p>
    <w:p w:rsidR="00353D05" w:rsidRPr="00CF59D9" w:rsidRDefault="00353D05" w:rsidP="00353D05">
      <w:pPr>
        <w:keepNext/>
        <w:keepLines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F59D9">
        <w:rPr>
          <w:b/>
          <w:bCs/>
          <w:sz w:val="28"/>
          <w:szCs w:val="28"/>
          <w:lang w:val="uk-UA"/>
        </w:rPr>
        <w:t>подання інформації особами, які провадять діяльність з подання звітності та/або адміністративних даних до Національної комісії з цінних паперів та фондового ринку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I. Загальні положення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2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Цей </w:t>
      </w:r>
      <w:r w:rsidR="00295377" w:rsidRPr="00B00D7C">
        <w:rPr>
          <w:sz w:val="28"/>
          <w:szCs w:val="28"/>
          <w:lang w:val="uk-UA"/>
        </w:rPr>
        <w:t>П</w:t>
      </w:r>
      <w:r w:rsidRPr="00B00D7C">
        <w:rPr>
          <w:sz w:val="28"/>
          <w:szCs w:val="28"/>
          <w:lang w:val="uk-UA"/>
        </w:rPr>
        <w:t>орядок</w:t>
      </w:r>
      <w:r w:rsidR="00781D46" w:rsidRPr="00B00D7C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розроблений відповідно до Законів України «Про цінні папери та фондовий ринок», «Про електронні документи та електронний документообіг», «Про електронні довірчі послуги», визначає порядок передавання інформації в електронній формі, якого мають дотримуватись особи (далі – агенти подання), авторизовані Національною комісією з цінних паперів та фондового ринку (далі – Комісія) для провадження діяльності з надання інформаційних послуг на фондовому ринку з подання звітності та/або адміністративних даних (далі – </w:t>
      </w:r>
      <w:r w:rsidR="00203568">
        <w:rPr>
          <w:sz w:val="28"/>
          <w:szCs w:val="28"/>
          <w:lang w:val="uk-UA"/>
        </w:rPr>
        <w:t>регламентовані дані) до Комісії</w:t>
      </w:r>
      <w:r w:rsidR="00D835DA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при здійсненні </w:t>
      </w:r>
      <w:r w:rsidR="006930B1" w:rsidRPr="00D835DA">
        <w:rPr>
          <w:sz w:val="28"/>
          <w:szCs w:val="28"/>
          <w:lang w:val="uk-UA"/>
        </w:rPr>
        <w:t>ними</w:t>
      </w:r>
      <w:r w:rsidR="00A9551B">
        <w:rPr>
          <w:sz w:val="28"/>
          <w:szCs w:val="28"/>
          <w:lang w:val="uk-UA"/>
        </w:rPr>
        <w:t xml:space="preserve"> </w:t>
      </w:r>
      <w:r w:rsidRPr="00B00D7C">
        <w:rPr>
          <w:sz w:val="28"/>
          <w:szCs w:val="28"/>
          <w:lang w:val="uk-UA"/>
        </w:rPr>
        <w:t>інформаційного обміну з особами, що здійснюють подання звітності та</w:t>
      </w:r>
      <w:r w:rsidR="002C3A6D" w:rsidRPr="00B00D7C">
        <w:rPr>
          <w:sz w:val="28"/>
          <w:szCs w:val="28"/>
          <w:lang w:val="uk-UA"/>
        </w:rPr>
        <w:t>/або</w:t>
      </w:r>
      <w:r w:rsidRPr="00B00D7C">
        <w:rPr>
          <w:sz w:val="28"/>
          <w:szCs w:val="28"/>
          <w:lang w:val="uk-UA"/>
        </w:rPr>
        <w:t xml:space="preserve"> адміністративних даних учасників фондо</w:t>
      </w:r>
      <w:r w:rsidR="002C3A6D" w:rsidRPr="00B00D7C">
        <w:rPr>
          <w:sz w:val="28"/>
          <w:szCs w:val="28"/>
          <w:lang w:val="uk-UA"/>
        </w:rPr>
        <w:t>вого ринку (далі – суб'єкти</w:t>
      </w:r>
      <w:r w:rsidRPr="00B00D7C">
        <w:rPr>
          <w:sz w:val="28"/>
          <w:szCs w:val="28"/>
          <w:lang w:val="uk-UA"/>
        </w:rPr>
        <w:t xml:space="preserve"> подання)</w:t>
      </w:r>
      <w:r w:rsidR="00A85C13" w:rsidRPr="00B00D7C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та з Комісією</w:t>
      </w:r>
      <w:r w:rsidR="00052009" w:rsidRPr="00B00D7C">
        <w:rPr>
          <w:sz w:val="28"/>
          <w:szCs w:val="28"/>
          <w:lang w:val="uk-UA"/>
        </w:rPr>
        <w:t>.</w:t>
      </w:r>
    </w:p>
    <w:p w:rsidR="00CE054C" w:rsidRPr="00B00D7C" w:rsidRDefault="00A85C13" w:rsidP="00CE054C">
      <w:pPr>
        <w:pStyle w:val="aa"/>
        <w:widowControl w:val="0"/>
        <w:numPr>
          <w:ilvl w:val="0"/>
          <w:numId w:val="12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lastRenderedPageBreak/>
        <w:t>У</w:t>
      </w:r>
      <w:r w:rsidR="00CE054C" w:rsidRPr="00B00D7C">
        <w:rPr>
          <w:sz w:val="28"/>
          <w:szCs w:val="28"/>
          <w:lang w:val="uk-UA"/>
        </w:rPr>
        <w:t xml:space="preserve"> цьому </w:t>
      </w:r>
      <w:r w:rsidR="002C3A6D" w:rsidRPr="00B00D7C">
        <w:rPr>
          <w:sz w:val="28"/>
          <w:szCs w:val="28"/>
          <w:lang w:val="uk-UA"/>
        </w:rPr>
        <w:t>П</w:t>
      </w:r>
      <w:r w:rsidR="00CE054C" w:rsidRPr="00B00D7C">
        <w:rPr>
          <w:sz w:val="28"/>
          <w:szCs w:val="28"/>
          <w:lang w:val="uk-UA"/>
        </w:rPr>
        <w:t>орядку терміни використовуються у так</w:t>
      </w:r>
      <w:r w:rsidRPr="00B00D7C">
        <w:rPr>
          <w:sz w:val="28"/>
          <w:szCs w:val="28"/>
          <w:lang w:val="uk-UA"/>
        </w:rPr>
        <w:t>их значеннях</w:t>
      </w:r>
      <w:r w:rsidR="00CE054C" w:rsidRPr="00B00D7C">
        <w:rPr>
          <w:sz w:val="28"/>
          <w:szCs w:val="28"/>
          <w:lang w:val="uk-UA"/>
        </w:rPr>
        <w:t>:</w:t>
      </w:r>
    </w:p>
    <w:p w:rsidR="00A85C13" w:rsidRPr="00CF59D9" w:rsidRDefault="00A85C13" w:rsidP="0001219E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квитанція Комісії – повідомлення в електронній формі, яке містить дані про факт і час одержання Комісією електронного документа, що містить регламентовані дані суб’єкта подання;</w:t>
      </w:r>
    </w:p>
    <w:p w:rsidR="00A85C13" w:rsidRPr="00CF59D9" w:rsidRDefault="00A85C13" w:rsidP="00A85C13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контролю Комісії – електронний документ, що містить інформацію про результати автоматичної перевірки програмними засобами Комісії одержаних у вигляді електронного документа регламентованих даних суб’єкта подання, а також про факт прийняття (неприйняття) регламентованих даних Комісією за результатами такої перевірки;</w:t>
      </w:r>
    </w:p>
    <w:p w:rsidR="00A85C13" w:rsidRPr="00CF59D9" w:rsidRDefault="00A85C13" w:rsidP="00A85C13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перевірки – електронний документ, який створюється агентом подання та містить інформацію про результати автоматичної перевірки програмними засобами агента подання одержаних у вигляді електронного документа регламентованих даних суб’єкта подання;</w:t>
      </w:r>
    </w:p>
    <w:p w:rsidR="00CE054C" w:rsidRPr="00CF59D9" w:rsidRDefault="00CE054C" w:rsidP="00CE054C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про отримання – електронний документ, який створюється агентом подання та містить відомості про факт отримання агентом подання даних від суб’єкта подання, склад таких даних та час їх отримання;</w:t>
      </w:r>
    </w:p>
    <w:p w:rsidR="00CE054C" w:rsidRPr="00CF59D9" w:rsidRDefault="00CE054C" w:rsidP="00CE054C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система електронного документообігу (далі - СЕД) - сукупність програмно-технічних засобів та організаційно-технічних заходів у складі програмно-технічного комплексу агента подання із забезпечення обміну електронними документами між агентом подання, з одного боку, та суб’єктами подання і Комісією, з іншого.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2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Інші терміни використовуються у значеннях, наведених у Цивільному кодексі України, Законах України «Про електронні довірчі послуги», «Про електронні документи та електронний документообіг», «Про захист інформації в інформаційно-телекомунікаційних системах».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lastRenderedPageBreak/>
        <w:t xml:space="preserve">II. Функції агента подання </w:t>
      </w:r>
      <w:r w:rsidR="00335538">
        <w:rPr>
          <w:b/>
          <w:sz w:val="28"/>
          <w:szCs w:val="28"/>
        </w:rPr>
        <w:t>щодо</w:t>
      </w:r>
      <w:r w:rsidRPr="00CF59D9">
        <w:rPr>
          <w:b/>
          <w:sz w:val="28"/>
          <w:szCs w:val="28"/>
        </w:rPr>
        <w:t xml:space="preserve"> забезпечення обміну інформацією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виступає посередником та забезпечує обмін інформацією в електронній формі між програмно-технічними комплексами суб'єктів подання (далі – ПТК суб'єкта подання), з одного боку, та комплексом програмно-технічних засобів Комісії, що забезпечує отримання, перевірку та обробку електронних документів, отриманих від суб’єктів подання (далі – ПТК Комісії), з іншого боку, відповідно до вимог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ринку, затвердженого рішенням Державної комісії з цінних паперів та фондового ринку від 13 травня 2011 року № 492, зареєстрованого в Міністерстві юстиції України 25 червня 2011 року за № 789/19527 (зі змінами) (далі – Положення про подання даних у вигляді електронних документів).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Обмін інформацією забезпечується у складі СЕД.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Забезпечення обміну </w:t>
      </w:r>
      <w:r w:rsidR="008F40E3" w:rsidRPr="00B00D7C">
        <w:rPr>
          <w:sz w:val="28"/>
          <w:szCs w:val="28"/>
          <w:lang w:val="uk-UA"/>
        </w:rPr>
        <w:t>складається з таких функцій</w:t>
      </w:r>
      <w:r w:rsidRPr="00B00D7C">
        <w:rPr>
          <w:sz w:val="28"/>
          <w:szCs w:val="28"/>
          <w:lang w:val="uk-UA"/>
        </w:rPr>
        <w:t>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отримання агентом подання регламентованих даних від суб'єктів подання;</w:t>
      </w:r>
    </w:p>
    <w:p w:rsidR="00CE054C" w:rsidRPr="00B00D7C" w:rsidRDefault="00321995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перевірка</w:t>
      </w:r>
      <w:r w:rsidR="00CE054C" w:rsidRPr="00B00D7C">
        <w:rPr>
          <w:sz w:val="28"/>
          <w:szCs w:val="28"/>
          <w:lang w:val="uk-UA"/>
        </w:rPr>
        <w:t xml:space="preserve"> агентом подання регламентованих даних, отриманих від суб'єктів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передавання агентом подання до Комісії отриманих від суб'єктів подання регламентованих даних;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передавання агентом подання суб'єктам подання інформації про результати обробки отриманих від них регламентованих даних;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>зберігання отриманих від суб'єктів подання регламентованих даних та інформації про результати їх обробки;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забезпечення конфіденційності інформації, що передається або зберігається (для інформації з обмеженим доступом).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Забезпечення обміну складається з </w:t>
      </w:r>
      <w:r w:rsidR="00335538">
        <w:rPr>
          <w:sz w:val="28"/>
          <w:szCs w:val="28"/>
          <w:lang w:val="uk-UA"/>
        </w:rPr>
        <w:t>чотирьох</w:t>
      </w:r>
      <w:r w:rsidRPr="00CF59D9">
        <w:rPr>
          <w:sz w:val="28"/>
          <w:szCs w:val="28"/>
          <w:lang w:val="uk-UA"/>
        </w:rPr>
        <w:t xml:space="preserve"> етапів, які забезпечує агент подання: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отримання регламентованих даних з</w:t>
      </w:r>
      <w:r w:rsidR="00335538">
        <w:rPr>
          <w:sz w:val="28"/>
          <w:szCs w:val="28"/>
          <w:lang w:val="uk-UA"/>
        </w:rPr>
        <w:t>і</w:t>
      </w:r>
      <w:r w:rsidRPr="00CF59D9">
        <w:rPr>
          <w:sz w:val="28"/>
          <w:szCs w:val="28"/>
          <w:lang w:val="uk-UA"/>
        </w:rPr>
        <w:t xml:space="preserve"> збереженням таких даних та з підтвердженням суб’єктові подання факту їх отримання;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автоматичної перевірки отриманих регламентованих даних із наданням суб’єктові подання інформації про результат такої перевірки;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переда</w:t>
      </w:r>
      <w:r w:rsidR="00335538">
        <w:rPr>
          <w:sz w:val="28"/>
          <w:szCs w:val="28"/>
          <w:lang w:val="uk-UA"/>
        </w:rPr>
        <w:t>вання</w:t>
      </w:r>
      <w:r w:rsidRPr="00CF59D9">
        <w:rPr>
          <w:sz w:val="28"/>
          <w:szCs w:val="28"/>
          <w:lang w:val="uk-UA"/>
        </w:rPr>
        <w:t xml:space="preserve"> перевірених регламентованих даних суб’єкта подання до Комісії (залежно від результатів автоматичної перевірки);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опрацювання результатів обробки регламентованих даних Комісією, що передбачає очікування результатів такої обробки від Комісії (квитанція Комісії, протокол контролю Комісії), з</w:t>
      </w:r>
      <w:r w:rsidR="00335538">
        <w:rPr>
          <w:sz w:val="28"/>
          <w:szCs w:val="28"/>
          <w:lang w:val="uk-UA"/>
        </w:rPr>
        <w:t>і</w:t>
      </w:r>
      <w:r w:rsidRPr="00CF59D9">
        <w:rPr>
          <w:sz w:val="28"/>
          <w:szCs w:val="28"/>
          <w:lang w:val="uk-UA"/>
        </w:rPr>
        <w:t xml:space="preserve"> збереженням таких результатів, їх врахуванням та подальш</w:t>
      </w:r>
      <w:r w:rsidR="00335538">
        <w:rPr>
          <w:sz w:val="28"/>
          <w:szCs w:val="28"/>
          <w:lang w:val="uk-UA"/>
        </w:rPr>
        <w:t>им переданням</w:t>
      </w:r>
      <w:r w:rsidRPr="00CF59D9">
        <w:rPr>
          <w:sz w:val="28"/>
          <w:szCs w:val="28"/>
          <w:lang w:val="uk-UA"/>
        </w:rPr>
        <w:t xml:space="preserve"> відповідному суб’єктові подання.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має забезпечити суб’єктам подання для подання йому регламентованих даних такі спеціальні засоби (далі – засоби подання регламентованих даних):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4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програмні засоби у складі СЕД для подання регламентованих даних;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4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протокол (протоколи) прикладних програмних інтерфейсів для подання </w:t>
      </w:r>
      <w:r w:rsidRPr="00CF59D9">
        <w:rPr>
          <w:sz w:val="28"/>
          <w:szCs w:val="28"/>
          <w:lang w:val="uk-UA"/>
        </w:rPr>
        <w:lastRenderedPageBreak/>
        <w:t>регламентованих даних у складі СЕД для</w:t>
      </w:r>
      <w:r w:rsidR="00335538">
        <w:rPr>
          <w:sz w:val="28"/>
          <w:szCs w:val="28"/>
          <w:lang w:val="uk-UA"/>
        </w:rPr>
        <w:t xml:space="preserve"> надання</w:t>
      </w:r>
      <w:r w:rsidRPr="00CF59D9">
        <w:rPr>
          <w:sz w:val="28"/>
          <w:szCs w:val="28"/>
          <w:lang w:val="uk-UA"/>
        </w:rPr>
        <w:t xml:space="preserve"> можливості суб’єктам подання запроваджувати власні засоби автоматизації подання регламентованих даних.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поінформованість суб’єктів подання щодо користування засобами подання регламентованих даних, розробляючи, підтримуючи в актуальному стані та надаючи для загального вільного доступу вичерпні інструкції щодо користування відповідними засобами подання регламентованих даних (далі – регламенти подання даних).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має забезпечити актуальність налаштувань СЕД, що передбачає їх відповідність вимогам чинних нормативних (нормативно-технічних) документів з урахуванням змін до них.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Для цілей взаємодії з ПТК Комісії СЕД агента подання забезпечує підключення до ПТК Комісії та функціонування відповідно до протоколу взаємодії, визначеного окремим нормативно-технічним документом Комісії щодо підключення та протоколу взаємодії зовнішніх програмно-технічних комплексів із ПТК Комісії для подання до Комісії регламентованих даних </w:t>
      </w:r>
      <w:r w:rsidR="002C3A6D" w:rsidRPr="00B00D7C">
        <w:rPr>
          <w:sz w:val="28"/>
          <w:szCs w:val="28"/>
          <w:lang w:val="uk-UA"/>
        </w:rPr>
        <w:t xml:space="preserve">     </w:t>
      </w:r>
      <w:r w:rsidRPr="00B00D7C">
        <w:rPr>
          <w:sz w:val="28"/>
          <w:szCs w:val="28"/>
          <w:lang w:val="uk-UA"/>
        </w:rPr>
        <w:t>(далі – регламент взаємодії з ПТК Комісії), який розробляється з урахуванням вимог законодавства щодо забезпечення захисту інформації в інформаційно-телекомунікаційних системах та щодо підключення до автоматизованих систем у розпорядженні органів державної влади</w:t>
      </w:r>
      <w:r w:rsidR="00B459B4" w:rsidRPr="00B00D7C">
        <w:rPr>
          <w:sz w:val="28"/>
          <w:szCs w:val="28"/>
          <w:lang w:val="uk-UA"/>
        </w:rPr>
        <w:t>, а також законодавства у сфері електронних довірчих послуг</w:t>
      </w:r>
      <w:r w:rsidRPr="00B00D7C">
        <w:rPr>
          <w:sz w:val="28"/>
          <w:szCs w:val="28"/>
          <w:lang w:val="uk-UA"/>
        </w:rPr>
        <w:t>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На всіх етапах обміну інформацією агент подання забезпечує захист інформації, що передається, приймається або зберігається СЕД, відповідно до законодавства щодо захисту інформації в інформаційно-телекомунікаційних системах із урахуванням ступеня обмеження доступу до інформації, обмін якою здійснюється (передбачається).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>Агент подання надає суб'єктам подання вичерпну консультативну допомогу з питань подання регламентованих даних, в тому числі щодо причин припинення подання або неприйняття відповідних електронних документів (агентом подання та/або Комісією) та необхідних дій суб'єкта подання для успішного повторного подання регламентованих даних.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III. Отримання агентом подання регламентованих даних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забезпечує отримання від суб'єктів подання </w:t>
      </w:r>
      <w:r w:rsidR="00E76EB8" w:rsidRPr="00CF59D9">
        <w:rPr>
          <w:sz w:val="28"/>
          <w:szCs w:val="28"/>
          <w:lang w:val="uk-UA"/>
        </w:rPr>
        <w:t xml:space="preserve">регламентованих даних </w:t>
      </w:r>
      <w:r w:rsidRPr="00CF59D9">
        <w:rPr>
          <w:sz w:val="28"/>
          <w:szCs w:val="28"/>
          <w:lang w:val="uk-UA"/>
        </w:rPr>
        <w:t>у вигляді електронних документів із перевіркою дотримання вимог до порядку подання регламентованих даних у вигляді електронних документів суб'єктами подання до Комісії, встановлених Положенням про подання даних у вигляді електронних документів.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При отриманні регламентованих даних від суб'єктів подання агент подання забезпечує реєстрацію отриманих електронних документів (пакетів електронних даних) з унікальними реєстраційними реквізитами (дата </w:t>
      </w:r>
      <w:r w:rsidR="00E76EB8" w:rsidRPr="00B00D7C">
        <w:rPr>
          <w:sz w:val="28"/>
          <w:szCs w:val="28"/>
          <w:lang w:val="uk-UA"/>
        </w:rPr>
        <w:t>й</w:t>
      </w:r>
      <w:r w:rsidRPr="00B00D7C">
        <w:rPr>
          <w:sz w:val="28"/>
          <w:szCs w:val="28"/>
          <w:lang w:val="uk-UA"/>
        </w:rPr>
        <w:t xml:space="preserve"> номер реєстрації</w:t>
      </w:r>
      <w:r w:rsidR="00D45B57" w:rsidRPr="00B00D7C">
        <w:rPr>
          <w:sz w:val="28"/>
          <w:szCs w:val="28"/>
          <w:lang w:val="uk-UA"/>
        </w:rPr>
        <w:t>)</w:t>
      </w:r>
      <w:r w:rsidRPr="00B00D7C">
        <w:rPr>
          <w:sz w:val="28"/>
          <w:szCs w:val="28"/>
          <w:lang w:val="uk-UA"/>
        </w:rPr>
        <w:t xml:space="preserve"> </w:t>
      </w:r>
      <w:r w:rsidR="00D45B57" w:rsidRPr="00B00D7C">
        <w:rPr>
          <w:sz w:val="28"/>
          <w:szCs w:val="28"/>
          <w:lang w:val="uk-UA"/>
        </w:rPr>
        <w:t>(</w:t>
      </w:r>
      <w:r w:rsidRPr="00B00D7C">
        <w:rPr>
          <w:sz w:val="28"/>
          <w:szCs w:val="28"/>
          <w:lang w:val="uk-UA"/>
        </w:rPr>
        <w:t>далі – вхідні реєстраційні реквізити) із застосуванням наскрізної послідовної нумерації та їх збереження із фіксацією часу отримання.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Реєстрація отриманих регламентованих даних здійсню</w:t>
      </w:r>
      <w:r w:rsidR="00E76EB8">
        <w:rPr>
          <w:sz w:val="28"/>
          <w:szCs w:val="28"/>
          <w:lang w:val="uk-UA"/>
        </w:rPr>
        <w:t>ється</w:t>
      </w:r>
      <w:r w:rsidRPr="00CF59D9">
        <w:rPr>
          <w:sz w:val="28"/>
          <w:szCs w:val="28"/>
          <w:lang w:val="uk-UA"/>
        </w:rPr>
        <w:t xml:space="preserve"> агентом подання в тій самій посл</w:t>
      </w:r>
      <w:r w:rsidR="00203568">
        <w:rPr>
          <w:sz w:val="28"/>
          <w:szCs w:val="28"/>
          <w:lang w:val="uk-UA"/>
        </w:rPr>
        <w:t>ідовності, в як</w:t>
      </w:r>
      <w:r w:rsidR="00203568" w:rsidRPr="00203568">
        <w:rPr>
          <w:sz w:val="28"/>
          <w:szCs w:val="28"/>
        </w:rPr>
        <w:t>і</w:t>
      </w:r>
      <w:r w:rsidR="00E76EB8">
        <w:rPr>
          <w:sz w:val="28"/>
          <w:szCs w:val="28"/>
          <w:lang w:val="uk-UA"/>
        </w:rPr>
        <w:t>й такі дані було отримано</w:t>
      </w:r>
      <w:r w:rsidRPr="00CF59D9">
        <w:rPr>
          <w:sz w:val="28"/>
          <w:szCs w:val="28"/>
          <w:lang w:val="uk-UA"/>
        </w:rPr>
        <w:t>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Агент подання забезпечує подання електронних документів у супроводі вихідних реєстраційних реквізитів суб'єкта подання (дата </w:t>
      </w:r>
      <w:r w:rsidR="00E76EB8" w:rsidRPr="00B00D7C">
        <w:rPr>
          <w:sz w:val="28"/>
          <w:szCs w:val="28"/>
          <w:lang w:val="uk-UA"/>
        </w:rPr>
        <w:t>й</w:t>
      </w:r>
      <w:r w:rsidRPr="00B00D7C">
        <w:rPr>
          <w:sz w:val="28"/>
          <w:szCs w:val="28"/>
          <w:lang w:val="uk-UA"/>
        </w:rPr>
        <w:t xml:space="preserve"> номер реєстрації</w:t>
      </w:r>
      <w:r w:rsidR="00D45B57" w:rsidRPr="00B00D7C">
        <w:rPr>
          <w:sz w:val="28"/>
          <w:szCs w:val="28"/>
          <w:lang w:val="uk-UA"/>
        </w:rPr>
        <w:t>)</w:t>
      </w:r>
      <w:r w:rsidRPr="00B00D7C">
        <w:rPr>
          <w:sz w:val="28"/>
          <w:szCs w:val="28"/>
          <w:lang w:val="uk-UA"/>
        </w:rPr>
        <w:t xml:space="preserve"> </w:t>
      </w:r>
      <w:r w:rsidR="00D45B57" w:rsidRPr="00B00D7C">
        <w:rPr>
          <w:sz w:val="28"/>
          <w:szCs w:val="28"/>
          <w:lang w:val="uk-UA"/>
        </w:rPr>
        <w:t>(</w:t>
      </w:r>
      <w:r w:rsidRPr="00B00D7C">
        <w:rPr>
          <w:sz w:val="28"/>
          <w:szCs w:val="28"/>
          <w:lang w:val="uk-UA"/>
        </w:rPr>
        <w:t>далі – реєстраційні реквізити у суб’єкта подання) із</w:t>
      </w:r>
      <w:r w:rsidR="00E76EB8" w:rsidRPr="00B00D7C">
        <w:rPr>
          <w:sz w:val="28"/>
          <w:szCs w:val="28"/>
          <w:lang w:val="uk-UA"/>
        </w:rPr>
        <w:t xml:space="preserve"> їх</w:t>
      </w:r>
      <w:r w:rsidRPr="00B00D7C">
        <w:rPr>
          <w:sz w:val="28"/>
          <w:szCs w:val="28"/>
          <w:lang w:val="uk-UA"/>
        </w:rPr>
        <w:t xml:space="preserve"> перевіркою і за умови їх унікальності для одного суб’єкта подання.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Отримані агентом подання від суб'єкта подання дані підлягають збереженню в СЕД у формі, яка д</w:t>
      </w:r>
      <w:r w:rsidR="00E76EB8">
        <w:rPr>
          <w:sz w:val="28"/>
          <w:szCs w:val="28"/>
          <w:lang w:val="uk-UA"/>
        </w:rPr>
        <w:t>ає змогу</w:t>
      </w:r>
      <w:r w:rsidRPr="00CF59D9">
        <w:rPr>
          <w:sz w:val="28"/>
          <w:szCs w:val="28"/>
          <w:lang w:val="uk-UA"/>
        </w:rPr>
        <w:t xml:space="preserve"> відтворити</w:t>
      </w:r>
      <w:r w:rsidR="00E76EB8">
        <w:rPr>
          <w:sz w:val="28"/>
          <w:szCs w:val="28"/>
          <w:lang w:val="uk-UA"/>
        </w:rPr>
        <w:t xml:space="preserve"> їх</w:t>
      </w:r>
      <w:r w:rsidRPr="00CF59D9">
        <w:rPr>
          <w:sz w:val="28"/>
          <w:szCs w:val="28"/>
          <w:lang w:val="uk-UA"/>
        </w:rPr>
        <w:t xml:space="preserve"> в будь-який час </w:t>
      </w:r>
      <w:r w:rsidR="00E76EB8">
        <w:rPr>
          <w:sz w:val="28"/>
          <w:szCs w:val="28"/>
          <w:lang w:val="uk-UA"/>
        </w:rPr>
        <w:t>у</w:t>
      </w:r>
      <w:r w:rsidRPr="00CF59D9">
        <w:rPr>
          <w:sz w:val="28"/>
          <w:szCs w:val="28"/>
          <w:lang w:val="uk-UA"/>
        </w:rPr>
        <w:t xml:space="preserve"> первісному вигляді.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 xml:space="preserve">Форма зберігання отриманих агентом подання від суб'єкта подання </w:t>
      </w:r>
      <w:r w:rsidR="0001219E">
        <w:rPr>
          <w:sz w:val="28"/>
          <w:szCs w:val="28"/>
          <w:lang w:val="uk-UA"/>
        </w:rPr>
        <w:t xml:space="preserve">регламентованих </w:t>
      </w:r>
      <w:r w:rsidRPr="00CF59D9">
        <w:rPr>
          <w:sz w:val="28"/>
          <w:szCs w:val="28"/>
          <w:lang w:val="uk-UA"/>
        </w:rPr>
        <w:t>даних має забезпечувати зберігання сполучених з отриманими даними реквізитів щонайменше у такому складі: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отримання</w:t>
      </w:r>
      <w:r w:rsidR="00EF0F49">
        <w:rPr>
          <w:sz w:val="28"/>
          <w:szCs w:val="28"/>
          <w:lang w:val="uk-UA"/>
        </w:rPr>
        <w:t xml:space="preserve"> регламентованих</w:t>
      </w:r>
      <w:r w:rsidRPr="00CF59D9">
        <w:rPr>
          <w:sz w:val="28"/>
          <w:szCs w:val="28"/>
          <w:lang w:val="uk-UA"/>
        </w:rPr>
        <w:t xml:space="preserve"> даних агентом подання (з точністю до секунди);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отримані</w:t>
      </w:r>
      <w:r w:rsidR="00EF0F49">
        <w:rPr>
          <w:sz w:val="28"/>
          <w:szCs w:val="28"/>
          <w:lang w:val="uk-UA"/>
        </w:rPr>
        <w:t xml:space="preserve"> регламентовані</w:t>
      </w:r>
      <w:r w:rsidRPr="00CF59D9">
        <w:rPr>
          <w:sz w:val="28"/>
          <w:szCs w:val="28"/>
          <w:lang w:val="uk-UA"/>
        </w:rPr>
        <w:t xml:space="preserve"> дані;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кваліфіковані електронні підписи та печатки, які супроводжували отримані</w:t>
      </w:r>
      <w:r w:rsidR="00EF0F49">
        <w:rPr>
          <w:sz w:val="28"/>
          <w:szCs w:val="28"/>
          <w:lang w:val="uk-UA"/>
        </w:rPr>
        <w:t xml:space="preserve"> регламентовані</w:t>
      </w:r>
      <w:r w:rsidRPr="00CF59D9">
        <w:rPr>
          <w:sz w:val="28"/>
          <w:szCs w:val="28"/>
          <w:lang w:val="uk-UA"/>
        </w:rPr>
        <w:t xml:space="preserve"> дані;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інші наявні обставини </w:t>
      </w:r>
      <w:r w:rsidR="00EA46BA">
        <w:rPr>
          <w:sz w:val="28"/>
          <w:szCs w:val="28"/>
          <w:lang w:val="uk-UA"/>
        </w:rPr>
        <w:t>передавання</w:t>
      </w:r>
      <w:r w:rsidR="00EF0F49">
        <w:rPr>
          <w:sz w:val="28"/>
          <w:szCs w:val="28"/>
          <w:lang w:val="uk-UA"/>
        </w:rPr>
        <w:t xml:space="preserve"> регламентованих</w:t>
      </w:r>
      <w:r w:rsidR="00EA46BA">
        <w:rPr>
          <w:sz w:val="28"/>
          <w:szCs w:val="28"/>
          <w:lang w:val="uk-UA"/>
        </w:rPr>
        <w:t xml:space="preserve"> даних – залежно</w:t>
      </w:r>
      <w:r w:rsidRPr="00CF59D9">
        <w:rPr>
          <w:sz w:val="28"/>
          <w:szCs w:val="28"/>
          <w:lang w:val="uk-UA"/>
        </w:rPr>
        <w:t xml:space="preserve"> від реалізованих агентом подання технологій отримання даних, що д</w:t>
      </w:r>
      <w:r w:rsidR="00EA46BA">
        <w:rPr>
          <w:sz w:val="28"/>
          <w:szCs w:val="28"/>
          <w:lang w:val="uk-UA"/>
        </w:rPr>
        <w:t>ають змогу</w:t>
      </w:r>
      <w:r w:rsidRPr="00CF59D9">
        <w:rPr>
          <w:sz w:val="28"/>
          <w:szCs w:val="28"/>
          <w:lang w:val="uk-UA"/>
        </w:rPr>
        <w:t xml:space="preserve"> ідентифікувати сторону подання даних та встановити шлях інформації мережею (мережеві адреси, імена мережевих вузлів, використані облікові записи тощо – </w:t>
      </w:r>
      <w:r w:rsidR="00EA46BA">
        <w:rPr>
          <w:sz w:val="28"/>
          <w:szCs w:val="28"/>
          <w:lang w:val="uk-UA"/>
        </w:rPr>
        <w:t>залежно</w:t>
      </w:r>
      <w:r w:rsidRPr="00CF59D9">
        <w:rPr>
          <w:sz w:val="28"/>
          <w:szCs w:val="28"/>
          <w:lang w:val="uk-UA"/>
        </w:rPr>
        <w:t xml:space="preserve"> від регламенту подання даних).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</w:t>
      </w:r>
      <w:r w:rsidR="00EA46BA">
        <w:rPr>
          <w:sz w:val="28"/>
          <w:szCs w:val="28"/>
          <w:lang w:val="uk-UA"/>
        </w:rPr>
        <w:t>ання забезпечує якнайшвидше (з</w:t>
      </w:r>
      <w:r w:rsidRPr="00CF59D9">
        <w:rPr>
          <w:sz w:val="28"/>
          <w:szCs w:val="28"/>
          <w:lang w:val="uk-UA"/>
        </w:rPr>
        <w:t xml:space="preserve"> моменту отримання від суб'єкта подання регламентованих даних) формування протоколу про отримання відповідних даних.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Сформовані протоколи про отримання підлягають реєстрації з унікальними реєстраційними реквізитами (дата </w:t>
      </w:r>
      <w:r w:rsidR="00EA46BA">
        <w:rPr>
          <w:sz w:val="28"/>
          <w:szCs w:val="28"/>
          <w:lang w:val="uk-UA"/>
        </w:rPr>
        <w:t>й номер реєстрації)</w:t>
      </w:r>
      <w:r w:rsidRPr="00CF59D9">
        <w:rPr>
          <w:sz w:val="28"/>
          <w:szCs w:val="28"/>
          <w:lang w:val="uk-UA"/>
        </w:rPr>
        <w:t xml:space="preserve"> </w:t>
      </w:r>
      <w:r w:rsidR="00EA46BA">
        <w:rPr>
          <w:sz w:val="28"/>
          <w:szCs w:val="28"/>
          <w:lang w:val="uk-UA"/>
        </w:rPr>
        <w:t>(</w:t>
      </w:r>
      <w:r w:rsidRPr="00CF59D9">
        <w:rPr>
          <w:sz w:val="28"/>
          <w:szCs w:val="28"/>
          <w:lang w:val="uk-UA"/>
        </w:rPr>
        <w:t xml:space="preserve">далі – реєстраційні реквізити протоколу про отримання) із застосуванням наскрізної </w:t>
      </w:r>
      <w:r w:rsidRPr="00CF59D9">
        <w:rPr>
          <w:sz w:val="28"/>
          <w:szCs w:val="28"/>
          <w:lang w:val="uk-UA"/>
        </w:rPr>
        <w:lastRenderedPageBreak/>
        <w:t>послідовної нумерації та збереженню в СЕД сполученими із відповідними регламентованими даними.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якнайшвидше (від моменту формування) надання суб'єктові подання протоколу про отримання із можливістю отрим</w:t>
      </w:r>
      <w:r w:rsidR="00EA46BA">
        <w:rPr>
          <w:sz w:val="28"/>
          <w:szCs w:val="28"/>
          <w:lang w:val="uk-UA"/>
        </w:rPr>
        <w:t>ання</w:t>
      </w:r>
      <w:r w:rsidRPr="00CF59D9">
        <w:rPr>
          <w:sz w:val="28"/>
          <w:szCs w:val="28"/>
          <w:lang w:val="uk-UA"/>
        </w:rPr>
        <w:t xml:space="preserve"> його як негайно, так і в будь-який зручний для суб'єкта подання час у майбутньому.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в СЕД фіксацію часу направлення протоколу про отримання відповідному суб'єктові подання, а також часу отримання відповідним суб'єктом подання направленого йому протоколу про отримання.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про отримання мають бути пристосовані як для обробки засобами автоматизації в автоматичному режимі, так і для перетворення засобами автоматизації у візуальну форму для сприйняття людиною.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Відомості про форма</w:t>
      </w:r>
      <w:r w:rsidR="00203568">
        <w:rPr>
          <w:sz w:val="28"/>
          <w:szCs w:val="28"/>
          <w:lang w:val="uk-UA"/>
        </w:rPr>
        <w:t>т, структуру</w:t>
      </w:r>
      <w:r w:rsidRPr="00CF59D9">
        <w:rPr>
          <w:sz w:val="28"/>
          <w:szCs w:val="28"/>
          <w:lang w:val="uk-UA"/>
        </w:rPr>
        <w:t xml:space="preserve"> та склад протоколу про отримання мають бути загальнодоступними.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про отримання мають бути сталими, що передбачає: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незмінність </w:t>
      </w:r>
      <w:r w:rsidR="00EF0F49">
        <w:rPr>
          <w:sz w:val="28"/>
          <w:szCs w:val="28"/>
          <w:lang w:val="uk-UA"/>
        </w:rPr>
        <w:t>протягом року</w:t>
      </w:r>
      <w:r w:rsidRPr="00CF59D9">
        <w:rPr>
          <w:sz w:val="28"/>
          <w:szCs w:val="28"/>
          <w:lang w:val="uk-UA"/>
        </w:rPr>
        <w:t xml:space="preserve"> (крім випадків, коли необхідність внесення змін є негайною та спричинена зовнішніми незалежними від агента подання чинниками);</w:t>
      </w:r>
    </w:p>
    <w:p w:rsidR="00CE054C" w:rsidRPr="00CF59D9" w:rsidRDefault="00EA46BA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поінформованість широкого загалу</w:t>
      </w:r>
      <w:r w:rsidR="00CE054C" w:rsidRPr="00CF59D9">
        <w:rPr>
          <w:sz w:val="28"/>
          <w:szCs w:val="28"/>
          <w:lang w:val="uk-UA"/>
        </w:rPr>
        <w:t xml:space="preserve"> про заплановані зміни щонайменше за півроку до таких змін (крім випадків, коли необхідність внесення змін є негайною та спричинена зовнішніми незалежними від агента подання чинниками</w:t>
      </w:r>
      <w:r>
        <w:rPr>
          <w:sz w:val="28"/>
          <w:szCs w:val="28"/>
          <w:lang w:val="uk-UA"/>
        </w:rPr>
        <w:t>,</w:t>
      </w:r>
      <w:r w:rsidR="00CE054C" w:rsidRPr="00CF59D9">
        <w:rPr>
          <w:sz w:val="28"/>
          <w:szCs w:val="28"/>
          <w:lang w:val="uk-UA"/>
        </w:rPr>
        <w:t xml:space="preserve"> – в такому разі інформація про зміни має поширюватись якомога </w:t>
      </w:r>
      <w:r w:rsidR="00CE054C" w:rsidRPr="00CF59D9">
        <w:rPr>
          <w:sz w:val="28"/>
          <w:szCs w:val="28"/>
          <w:lang w:val="uk-UA"/>
        </w:rPr>
        <w:lastRenderedPageBreak/>
        <w:t>раніше).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про отримання має включати щонайменше такі складові: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протоколу про отримання;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отримання</w:t>
      </w:r>
      <w:r w:rsidR="00EF0F49">
        <w:rPr>
          <w:sz w:val="28"/>
          <w:szCs w:val="28"/>
          <w:lang w:val="uk-UA"/>
        </w:rPr>
        <w:t xml:space="preserve"> регламентованих</w:t>
      </w:r>
      <w:r w:rsidRPr="00CF59D9">
        <w:rPr>
          <w:sz w:val="28"/>
          <w:szCs w:val="28"/>
          <w:lang w:val="uk-UA"/>
        </w:rPr>
        <w:t xml:space="preserve"> даних агентом подання (з точністю до секунди);</w:t>
      </w:r>
    </w:p>
    <w:p w:rsidR="00E52701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t xml:space="preserve">перелік отриманих елементів (файлів), включаючи перелік створених </w:t>
      </w:r>
      <w:r w:rsidR="00EA46BA">
        <w:rPr>
          <w:sz w:val="28"/>
          <w:szCs w:val="28"/>
          <w:lang w:val="uk-UA"/>
        </w:rPr>
        <w:t>у</w:t>
      </w:r>
      <w:r w:rsidRPr="005D338F">
        <w:rPr>
          <w:sz w:val="28"/>
          <w:szCs w:val="28"/>
          <w:lang w:val="uk-UA"/>
        </w:rPr>
        <w:t xml:space="preserve"> зовнішні</w:t>
      </w:r>
      <w:r w:rsidR="00EA46BA">
        <w:rPr>
          <w:sz w:val="28"/>
          <w:szCs w:val="28"/>
          <w:lang w:val="uk-UA"/>
        </w:rPr>
        <w:t>х файлах</w:t>
      </w:r>
      <w:r w:rsidRPr="005D338F">
        <w:rPr>
          <w:sz w:val="28"/>
          <w:szCs w:val="28"/>
          <w:lang w:val="uk-UA"/>
        </w:rPr>
        <w:t xml:space="preserve"> кваліфікованих електронних підписів та печаток, із супроводженням кожної складової щонайменше такими ре</w:t>
      </w:r>
      <w:r w:rsidR="00EA46BA">
        <w:rPr>
          <w:sz w:val="28"/>
          <w:szCs w:val="28"/>
          <w:lang w:val="uk-UA"/>
        </w:rPr>
        <w:t xml:space="preserve">квізитами: </w:t>
      </w:r>
    </w:p>
    <w:p w:rsidR="00EA46BA" w:rsidRDefault="00EA46BA" w:rsidP="00E52701">
      <w:pPr>
        <w:pStyle w:val="aa"/>
        <w:widowControl w:val="0"/>
        <w:suppressAutoHyphens/>
        <w:spacing w:beforeLines="150" w:before="360"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елемента</w:t>
      </w:r>
      <w:r w:rsidR="008F40E3">
        <w:rPr>
          <w:sz w:val="28"/>
          <w:szCs w:val="28"/>
          <w:lang w:val="uk-UA"/>
        </w:rPr>
        <w:t xml:space="preserve"> (ім'я файла</w:t>
      </w:r>
      <w:r w:rsidR="00CE054C" w:rsidRPr="005D338F">
        <w:rPr>
          <w:sz w:val="28"/>
          <w:szCs w:val="28"/>
          <w:lang w:val="uk-UA"/>
        </w:rPr>
        <w:t xml:space="preserve">); </w:t>
      </w:r>
    </w:p>
    <w:p w:rsidR="00E52701" w:rsidRDefault="00CE054C" w:rsidP="00EA46BA">
      <w:pPr>
        <w:pStyle w:val="aa"/>
        <w:widowControl w:val="0"/>
        <w:suppressAutoHyphens/>
        <w:spacing w:beforeLines="150" w:before="360" w:line="360" w:lineRule="auto"/>
        <w:ind w:left="567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t>інформац</w:t>
      </w:r>
      <w:r w:rsidR="00E52701">
        <w:rPr>
          <w:sz w:val="28"/>
          <w:szCs w:val="28"/>
          <w:lang w:val="uk-UA"/>
        </w:rPr>
        <w:t>ія про отриманий розмір елемента</w:t>
      </w:r>
      <w:r w:rsidRPr="005D338F">
        <w:rPr>
          <w:sz w:val="28"/>
          <w:szCs w:val="28"/>
          <w:lang w:val="uk-UA"/>
        </w:rPr>
        <w:t xml:space="preserve">; </w:t>
      </w:r>
    </w:p>
    <w:p w:rsidR="00CE054C" w:rsidRPr="005D338F" w:rsidRDefault="00E52701" w:rsidP="00EF0F49">
      <w:pPr>
        <w:pStyle w:val="aa"/>
        <w:widowControl w:val="0"/>
        <w:suppressAutoHyphens/>
        <w:spacing w:beforeLines="150" w:before="36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інформація, що дає змогу</w:t>
      </w:r>
      <w:r w:rsidR="00CE054C" w:rsidRPr="005D338F">
        <w:rPr>
          <w:sz w:val="28"/>
          <w:szCs w:val="28"/>
          <w:lang w:val="uk-UA"/>
        </w:rPr>
        <w:t xml:space="preserve"> надійно перевірити цілісність (неу</w:t>
      </w:r>
      <w:r>
        <w:rPr>
          <w:sz w:val="28"/>
          <w:szCs w:val="28"/>
          <w:lang w:val="uk-UA"/>
        </w:rPr>
        <w:t>шкодженість) отриманого елемента</w:t>
      </w:r>
      <w:r w:rsidR="00CE054C" w:rsidRPr="005D338F">
        <w:rPr>
          <w:sz w:val="28"/>
          <w:szCs w:val="28"/>
          <w:lang w:val="uk-UA"/>
        </w:rPr>
        <w:t xml:space="preserve"> даних (наприклад</w:t>
      </w:r>
      <w:r>
        <w:rPr>
          <w:sz w:val="28"/>
          <w:szCs w:val="28"/>
          <w:lang w:val="uk-UA"/>
        </w:rPr>
        <w:t>,</w:t>
      </w:r>
      <w:r w:rsidR="00CE054C" w:rsidRPr="005D338F">
        <w:rPr>
          <w:sz w:val="28"/>
          <w:szCs w:val="28"/>
          <w:lang w:val="uk-UA"/>
        </w:rPr>
        <w:t xml:space="preserve"> контрольна сума, значення </w:t>
      </w:r>
      <w:r w:rsidR="002E1345">
        <w:rPr>
          <w:sz w:val="28"/>
          <w:szCs w:val="28"/>
          <w:lang w:val="uk-UA"/>
        </w:rPr>
        <w:t xml:space="preserve">              </w:t>
      </w:r>
      <w:r w:rsidR="00CE054C" w:rsidRPr="005D338F">
        <w:rPr>
          <w:sz w:val="28"/>
          <w:szCs w:val="28"/>
          <w:lang w:val="uk-UA"/>
        </w:rPr>
        <w:t>геш</w:t>
      </w:r>
      <w:r>
        <w:rPr>
          <w:sz w:val="28"/>
          <w:szCs w:val="28"/>
          <w:lang w:val="uk-UA"/>
        </w:rPr>
        <w:t>-</w:t>
      </w:r>
      <w:r w:rsidR="00CE054C" w:rsidRPr="005D338F">
        <w:rPr>
          <w:sz w:val="28"/>
          <w:szCs w:val="28"/>
          <w:lang w:val="uk-UA"/>
        </w:rPr>
        <w:t>функції, електронний підпис, електронна печатка – залежно від реалізованих СЕД технологій);</w:t>
      </w:r>
    </w:p>
    <w:p w:rsidR="00CE054C" w:rsidRPr="005D338F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t>кваліфікована електронна печатка агента подання, яка засвідчує протокол про отримання</w:t>
      </w:r>
      <w:r w:rsidR="003100DF">
        <w:rPr>
          <w:sz w:val="28"/>
          <w:szCs w:val="28"/>
          <w:lang w:val="uk-UA"/>
        </w:rPr>
        <w:t>,</w:t>
      </w:r>
      <w:r w:rsidRPr="005D338F">
        <w:rPr>
          <w:sz w:val="28"/>
          <w:szCs w:val="28"/>
          <w:lang w:val="uk-UA"/>
        </w:rPr>
        <w:t xml:space="preserve"> та кваліфікован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електронн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позначк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часу.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Отримання та збереження агентом подання регламентованих даних, </w:t>
      </w:r>
      <w:r w:rsidRPr="00CF59D9">
        <w:rPr>
          <w:sz w:val="28"/>
          <w:szCs w:val="28"/>
          <w:lang w:val="uk-UA"/>
        </w:rPr>
        <w:lastRenderedPageBreak/>
        <w:t>формування та надання суб'єктам подання відповідних протоколів про отримання мають здійснюватись незалежно від результатів подальшої автоматичної перевірки таких регламентованих даних.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IV. Перевірка агентом подання регламентованих даних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Агент подання невідкладно після реєстрації та збереження отриманих  регламентованих даних здійснює їх автоматичну перевірку засобами СЕД </w:t>
      </w:r>
      <w:r w:rsidR="00D45B57" w:rsidRPr="00B00D7C">
        <w:rPr>
          <w:sz w:val="28"/>
          <w:szCs w:val="28"/>
          <w:lang w:val="uk-UA"/>
        </w:rPr>
        <w:t xml:space="preserve">    </w:t>
      </w:r>
      <w:r w:rsidRPr="00B00D7C">
        <w:rPr>
          <w:sz w:val="28"/>
          <w:szCs w:val="28"/>
          <w:lang w:val="uk-UA"/>
        </w:rPr>
        <w:t>(далі – автоматична перевірка), яка має включати: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перевірку дотримання встановленого агентом подання формату електронних даних;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перевірку наявності кваліфікованих електронних підписів та (або) печаток, </w:t>
      </w:r>
      <w:r w:rsidR="00C3139E" w:rsidRPr="00B00D7C">
        <w:rPr>
          <w:sz w:val="28"/>
          <w:szCs w:val="28"/>
        </w:rPr>
        <w:t>накладених на</w:t>
      </w:r>
      <w:r w:rsidRPr="00B00D7C">
        <w:rPr>
          <w:sz w:val="28"/>
          <w:szCs w:val="28"/>
          <w:lang w:val="uk-UA"/>
        </w:rPr>
        <w:t xml:space="preserve"> електронні документи;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перевірку наявних кваліфікованих електронних підписів та пе</w:t>
      </w:r>
      <w:r w:rsidR="0091205F" w:rsidRPr="00B00D7C">
        <w:rPr>
          <w:sz w:val="28"/>
          <w:szCs w:val="28"/>
          <w:lang w:val="uk-UA"/>
        </w:rPr>
        <w:t>чаток, накладених на</w:t>
      </w:r>
      <w:r w:rsidRPr="00B00D7C">
        <w:rPr>
          <w:sz w:val="28"/>
          <w:szCs w:val="28"/>
          <w:lang w:val="uk-UA"/>
        </w:rPr>
        <w:t xml:space="preserve"> електронні документи (перевірку цілісності електронних даних, чинності</w:t>
      </w:r>
      <w:r w:rsidR="0091205F" w:rsidRPr="00B00D7C">
        <w:rPr>
          <w:sz w:val="28"/>
          <w:szCs w:val="28"/>
          <w:lang w:val="uk-UA"/>
        </w:rPr>
        <w:t xml:space="preserve"> кваліфікованих</w:t>
      </w:r>
      <w:r w:rsidRPr="00B00D7C">
        <w:rPr>
          <w:sz w:val="28"/>
          <w:szCs w:val="28"/>
          <w:lang w:val="uk-UA"/>
        </w:rPr>
        <w:t xml:space="preserve"> сертифікатів</w:t>
      </w:r>
      <w:r w:rsidR="00935F74" w:rsidRPr="00B00D7C">
        <w:rPr>
          <w:sz w:val="28"/>
          <w:szCs w:val="28"/>
          <w:lang w:val="uk-UA"/>
        </w:rPr>
        <w:t xml:space="preserve"> відкритих</w:t>
      </w:r>
      <w:r w:rsidRPr="00B00D7C">
        <w:rPr>
          <w:sz w:val="28"/>
          <w:szCs w:val="28"/>
          <w:lang w:val="uk-UA"/>
        </w:rPr>
        <w:t xml:space="preserve"> ключів, кваліфікованих електронних позначок часу);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автентифікацію особи суб’єкта подання електронного документа на відповідність особі, визначен</w:t>
      </w:r>
      <w:r w:rsidR="0024559D" w:rsidRPr="00B00D7C">
        <w:rPr>
          <w:sz w:val="28"/>
          <w:szCs w:val="28"/>
          <w:lang w:val="uk-UA"/>
        </w:rPr>
        <w:t>ій</w:t>
      </w:r>
      <w:r w:rsidRPr="00B00D7C">
        <w:rPr>
          <w:sz w:val="28"/>
          <w:szCs w:val="28"/>
          <w:lang w:val="uk-UA"/>
        </w:rPr>
        <w:t xml:space="preserve"> за результатами електронної ідентифікації та автентифікації</w:t>
      </w:r>
      <w:r w:rsidR="0024559D" w:rsidRPr="00B00D7C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з використанням наявних</w:t>
      </w:r>
      <w:r w:rsidR="00935F74" w:rsidRPr="00B00D7C">
        <w:rPr>
          <w:sz w:val="28"/>
          <w:szCs w:val="28"/>
          <w:lang w:val="uk-UA"/>
        </w:rPr>
        <w:t xml:space="preserve"> квалфікованих</w:t>
      </w:r>
      <w:r w:rsidRPr="00B00D7C">
        <w:rPr>
          <w:sz w:val="28"/>
          <w:szCs w:val="28"/>
          <w:lang w:val="uk-UA"/>
        </w:rPr>
        <w:t xml:space="preserve"> електронних підписів (</w:t>
      </w:r>
      <w:r w:rsidR="00935F74" w:rsidRPr="00B00D7C">
        <w:rPr>
          <w:sz w:val="28"/>
          <w:szCs w:val="28"/>
          <w:lang w:val="uk-UA"/>
        </w:rPr>
        <w:t xml:space="preserve">кваліфікованих </w:t>
      </w:r>
      <w:r w:rsidRPr="00B00D7C">
        <w:rPr>
          <w:sz w:val="28"/>
          <w:szCs w:val="28"/>
          <w:lang w:val="uk-UA"/>
        </w:rPr>
        <w:t>електронних печаток) до електронного документа;</w:t>
      </w:r>
    </w:p>
    <w:p w:rsidR="00BA2033" w:rsidRDefault="00BA2033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перевірку повноважень осіб</w:t>
      </w:r>
      <w:r w:rsidR="00CE054C" w:rsidRPr="00B00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 w:rsidR="00CE054C" w:rsidRPr="00B00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накладення кваліфікованих електронних підписів та (або) кваліфікованих електронних печаток на електронні документи;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перевірку отриманої інформації на відповідність формату, складу, </w:t>
      </w:r>
      <w:r w:rsidRPr="00B00D7C">
        <w:rPr>
          <w:sz w:val="28"/>
          <w:szCs w:val="28"/>
          <w:lang w:val="uk-UA"/>
        </w:rPr>
        <w:lastRenderedPageBreak/>
        <w:t>структурі відповідно до нормативних (нормативно-технічних) вимог Комісії;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перевірку отриманої інформації на повноту, відповідність та достовірність відповідно до</w:t>
      </w:r>
      <w:r w:rsidR="00145E93" w:rsidRPr="00B00D7C">
        <w:rPr>
          <w:sz w:val="28"/>
          <w:szCs w:val="28"/>
          <w:lang w:val="uk-UA"/>
        </w:rPr>
        <w:t xml:space="preserve"> відомих широкому загалу</w:t>
      </w:r>
      <w:r w:rsidRPr="00B00D7C">
        <w:rPr>
          <w:sz w:val="28"/>
          <w:szCs w:val="28"/>
          <w:lang w:val="uk-UA"/>
        </w:rPr>
        <w:t xml:space="preserve"> методик агента подання,</w:t>
      </w:r>
      <w:r w:rsidRPr="00CF59D9">
        <w:rPr>
          <w:sz w:val="28"/>
          <w:szCs w:val="28"/>
          <w:lang w:val="uk-UA"/>
        </w:rPr>
        <w:t xml:space="preserve"> </w:t>
      </w:r>
      <w:r w:rsidRPr="00B00D7C">
        <w:rPr>
          <w:sz w:val="28"/>
          <w:szCs w:val="28"/>
          <w:lang w:val="uk-UA"/>
        </w:rPr>
        <w:t>які ґрунтуються на нормативних (нормативно-технічних) вимогах Комісії</w:t>
      </w:r>
      <w:r w:rsidRPr="00B00D7C">
        <w:rPr>
          <w:color w:val="FF0000"/>
          <w:sz w:val="28"/>
          <w:szCs w:val="28"/>
          <w:lang w:val="uk-UA"/>
        </w:rPr>
        <w:t>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Якщо за результатами автоматичної перевірки отриманих регламентованих даних не встановлено їх невідповідності умовам автоматичної перевірки (далі – успішна перевірка), такі дані підлягають перед</w:t>
      </w:r>
      <w:r w:rsidR="00F70ABB">
        <w:rPr>
          <w:sz w:val="28"/>
          <w:szCs w:val="28"/>
          <w:lang w:val="uk-UA"/>
        </w:rPr>
        <w:t>а</w:t>
      </w:r>
      <w:r w:rsidR="0024559D">
        <w:rPr>
          <w:sz w:val="28"/>
          <w:szCs w:val="28"/>
          <w:lang w:val="uk-UA"/>
        </w:rPr>
        <w:t>нню</w:t>
      </w:r>
      <w:r w:rsidRPr="00CF59D9">
        <w:rPr>
          <w:sz w:val="28"/>
          <w:szCs w:val="28"/>
          <w:lang w:val="uk-UA"/>
        </w:rPr>
        <w:t xml:space="preserve"> до Комісії.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випадку виявлення невідповідності отриманих регламентованих  даних умовам здійсненої автоматичної перев</w:t>
      </w:r>
      <w:r w:rsidR="0024559D">
        <w:rPr>
          <w:sz w:val="28"/>
          <w:szCs w:val="28"/>
          <w:lang w:val="uk-UA"/>
        </w:rPr>
        <w:t>ірки (далі – невдала перевірка)</w:t>
      </w:r>
      <w:r w:rsidRPr="00CF59D9">
        <w:rPr>
          <w:sz w:val="28"/>
          <w:szCs w:val="28"/>
          <w:lang w:val="uk-UA"/>
        </w:rPr>
        <w:t xml:space="preserve"> агент подання не повинен передавати такі дані до Комісії.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Невідкладно за результатами перевірки агент подання має сформувати протокол перевірки відповідних регламентованих даних.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У випадку невдалої перевірки протокол перевірки має містити інформацію про факт неподання регламентованих даних до Комісії, а також детальні та вичерпні відомості щодо причин припинення подання цих даних (</w:t>
      </w:r>
      <w:r w:rsidR="0035319D" w:rsidRPr="00B00D7C">
        <w:rPr>
          <w:sz w:val="28"/>
          <w:szCs w:val="28"/>
          <w:lang w:val="uk-UA"/>
        </w:rPr>
        <w:t xml:space="preserve">щодо умов, </w:t>
      </w:r>
      <w:r w:rsidRPr="00B00D7C">
        <w:rPr>
          <w:sz w:val="28"/>
          <w:szCs w:val="28"/>
          <w:lang w:val="uk-UA"/>
        </w:rPr>
        <w:t>недотримання яких було встановлено за резул</w:t>
      </w:r>
      <w:r w:rsidR="00203568">
        <w:rPr>
          <w:sz w:val="28"/>
          <w:szCs w:val="28"/>
          <w:lang w:val="uk-UA"/>
        </w:rPr>
        <w:t>ьтатами автоматичної перевірки).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Сформовані протоколи перевірки підлягають реєстрації з унікальними реєстраційними реквізитами (дата </w:t>
      </w:r>
      <w:r w:rsidR="00F70ABB" w:rsidRPr="00B00D7C">
        <w:rPr>
          <w:sz w:val="28"/>
          <w:szCs w:val="28"/>
          <w:lang w:val="uk-UA"/>
        </w:rPr>
        <w:t>й</w:t>
      </w:r>
      <w:r w:rsidRPr="00B00D7C">
        <w:rPr>
          <w:sz w:val="28"/>
          <w:szCs w:val="28"/>
          <w:lang w:val="uk-UA"/>
        </w:rPr>
        <w:t xml:space="preserve"> номер реєстрації</w:t>
      </w:r>
      <w:r w:rsidR="004F7ABD" w:rsidRPr="00B00D7C">
        <w:rPr>
          <w:sz w:val="28"/>
          <w:szCs w:val="28"/>
          <w:lang w:val="uk-UA"/>
        </w:rPr>
        <w:t>)</w:t>
      </w:r>
      <w:r w:rsidRPr="00B00D7C">
        <w:rPr>
          <w:sz w:val="28"/>
          <w:szCs w:val="28"/>
          <w:lang w:val="uk-UA"/>
        </w:rPr>
        <w:t xml:space="preserve"> </w:t>
      </w:r>
      <w:r w:rsidR="004F7ABD" w:rsidRPr="00B00D7C">
        <w:rPr>
          <w:sz w:val="28"/>
          <w:szCs w:val="28"/>
          <w:lang w:val="uk-UA"/>
        </w:rPr>
        <w:t>(</w:t>
      </w:r>
      <w:r w:rsidRPr="00B00D7C">
        <w:rPr>
          <w:sz w:val="28"/>
          <w:szCs w:val="28"/>
          <w:lang w:val="uk-UA"/>
        </w:rPr>
        <w:t>далі – реєстраційні реквізити протоколу перевірки) із застосуванням наскрізної послідовної нумерації та збереженню в СЕД сполученими із відповідними регламентованими даними.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забезпечує якнайшвидше (від моменту формування) </w:t>
      </w:r>
      <w:r w:rsidRPr="00CF59D9">
        <w:rPr>
          <w:sz w:val="28"/>
          <w:szCs w:val="28"/>
          <w:lang w:val="uk-UA"/>
        </w:rPr>
        <w:lastRenderedPageBreak/>
        <w:t xml:space="preserve">надання суб'єктові подання протоколу перевірки із можливістю отримувати його як негайно, так і в будь-який зручний для суб'єкта подання час у майбутньому.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в СЕД фіксацію часу направлення протоколу перевірки відповідному суб'єктові подання, а також часу отримання відповідним суб'єктом подання направленого йому протоколу перевірки.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перевірки мають бути пристосовані як для обробки засобами автоматизації в автоматичному режимі, так і для перетворення засобами автоматизації у візуальну форму для сприйняття людиною.</w:t>
      </w:r>
    </w:p>
    <w:p w:rsidR="00CE054C" w:rsidRPr="00CF59D9" w:rsidRDefault="00203568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формат, структуру</w:t>
      </w:r>
      <w:r w:rsidR="00CE054C" w:rsidRPr="00CF59D9">
        <w:rPr>
          <w:sz w:val="28"/>
          <w:szCs w:val="28"/>
          <w:lang w:val="uk-UA"/>
        </w:rPr>
        <w:t xml:space="preserve"> та склад протоколу перевірки мають бути загальнодоступними.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перевірки мають бути сталими, що передбачає: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незмінність </w:t>
      </w:r>
      <w:r w:rsidR="00EA414D" w:rsidRPr="00B00D7C">
        <w:rPr>
          <w:sz w:val="28"/>
          <w:szCs w:val="28"/>
          <w:lang w:val="uk-UA"/>
        </w:rPr>
        <w:t>протягом року</w:t>
      </w:r>
      <w:r w:rsidRPr="00B00D7C">
        <w:rPr>
          <w:sz w:val="28"/>
          <w:szCs w:val="28"/>
          <w:lang w:val="uk-UA"/>
        </w:rPr>
        <w:t xml:space="preserve"> (крім випадків, коли необхідність внесення змін є негайною та спричинена зовнішніми незалежними від агента подання чинниками);</w:t>
      </w:r>
    </w:p>
    <w:p w:rsidR="00CE054C" w:rsidRPr="00CF59D9" w:rsidRDefault="00F70ABB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поінформованість широкого загалу</w:t>
      </w:r>
      <w:r w:rsidR="00CE054C" w:rsidRPr="00CF59D9">
        <w:rPr>
          <w:sz w:val="28"/>
          <w:szCs w:val="28"/>
          <w:lang w:val="uk-UA"/>
        </w:rPr>
        <w:t xml:space="preserve"> про заплановані зміни щонайменше за півроку до таких змін (крім випадків, коли необхідність внесення змін є негайною та спричинена зовнішніми незалежними від агента подання чинниками</w:t>
      </w:r>
      <w:r>
        <w:rPr>
          <w:sz w:val="28"/>
          <w:szCs w:val="28"/>
          <w:lang w:val="uk-UA"/>
        </w:rPr>
        <w:t>,</w:t>
      </w:r>
      <w:r w:rsidR="00CE054C" w:rsidRPr="00CF59D9">
        <w:rPr>
          <w:sz w:val="28"/>
          <w:szCs w:val="28"/>
          <w:lang w:val="uk-UA"/>
        </w:rPr>
        <w:t xml:space="preserve"> – в такому разі інформація про зміни має поширюватись якомога раніше).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перевірки має включати щонайменше такі складові: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 xml:space="preserve">реєстраційні реквізити протоколу перевірки; 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завершення автоматичної перевірки (з точністю до секунди);</w:t>
      </w:r>
    </w:p>
    <w:p w:rsidR="00CE054C" w:rsidRPr="00CF59D9" w:rsidRDefault="00F70ABB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  <w:r w:rsidR="00CE054C" w:rsidRPr="00CF59D9">
        <w:rPr>
          <w:sz w:val="28"/>
          <w:szCs w:val="28"/>
          <w:lang w:val="uk-UA"/>
        </w:rPr>
        <w:t xml:space="preserve"> про результати автоматичної перевірки регламентованих даних;</w:t>
      </w:r>
    </w:p>
    <w:p w:rsidR="00CE054C" w:rsidRPr="005D338F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t xml:space="preserve">кваліфікована електронна печатка агента подання, </w:t>
      </w:r>
      <w:r w:rsidR="00C61BF6">
        <w:rPr>
          <w:sz w:val="28"/>
          <w:szCs w:val="28"/>
          <w:lang w:val="uk-UA"/>
        </w:rPr>
        <w:t>яка</w:t>
      </w:r>
      <w:r w:rsidRPr="005D338F">
        <w:rPr>
          <w:sz w:val="28"/>
          <w:szCs w:val="28"/>
          <w:lang w:val="uk-UA"/>
        </w:rPr>
        <w:t xml:space="preserve"> засвідчує протокол перевірки</w:t>
      </w:r>
      <w:r w:rsidR="003100DF">
        <w:rPr>
          <w:sz w:val="28"/>
          <w:szCs w:val="28"/>
          <w:lang w:val="uk-UA"/>
        </w:rPr>
        <w:t>,</w:t>
      </w:r>
      <w:r w:rsidRPr="005D338F">
        <w:rPr>
          <w:sz w:val="28"/>
          <w:szCs w:val="28"/>
          <w:lang w:val="uk-UA"/>
        </w:rPr>
        <w:t xml:space="preserve"> та кваліфікован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електронн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позначк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часу.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V. Передача агентом подання регламентованих даних до Комісії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випадку успішної перевірки дані підлягають переда</w:t>
      </w:r>
      <w:r w:rsidR="00C61BF6">
        <w:rPr>
          <w:sz w:val="28"/>
          <w:szCs w:val="28"/>
          <w:lang w:val="uk-UA"/>
        </w:rPr>
        <w:t>ванню</w:t>
      </w:r>
      <w:r w:rsidRPr="00CF59D9">
        <w:rPr>
          <w:sz w:val="28"/>
          <w:szCs w:val="28"/>
          <w:lang w:val="uk-UA"/>
        </w:rPr>
        <w:t xml:space="preserve"> до Комісії невідкладно п</w:t>
      </w:r>
      <w:r w:rsidR="00C61BF6">
        <w:rPr>
          <w:sz w:val="28"/>
          <w:szCs w:val="28"/>
          <w:lang w:val="uk-UA"/>
        </w:rPr>
        <w:t>ісля завершення</w:t>
      </w:r>
      <w:r w:rsidRPr="00CF59D9">
        <w:rPr>
          <w:sz w:val="28"/>
          <w:szCs w:val="28"/>
          <w:lang w:val="uk-UA"/>
        </w:rPr>
        <w:t xml:space="preserve"> такої перевірки – з урахування</w:t>
      </w:r>
      <w:r w:rsidR="00C61BF6">
        <w:rPr>
          <w:sz w:val="28"/>
          <w:szCs w:val="28"/>
          <w:lang w:val="uk-UA"/>
        </w:rPr>
        <w:t>м</w:t>
      </w:r>
      <w:r w:rsidRPr="00CF59D9">
        <w:rPr>
          <w:sz w:val="28"/>
          <w:szCs w:val="28"/>
          <w:lang w:val="uk-UA"/>
        </w:rPr>
        <w:t xml:space="preserve"> послідовності їх отримання, а також з урахуванням того, що працездатність ПТК Комісії поза межами робочого часу не забезпечується.</w:t>
      </w:r>
    </w:p>
    <w:p w:rsidR="009165EC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Передавання до Комісії отриманих регламентованих даних має здійснюва</w:t>
      </w:r>
      <w:r w:rsidR="00C61BF6">
        <w:rPr>
          <w:sz w:val="28"/>
          <w:szCs w:val="28"/>
          <w:lang w:val="uk-UA"/>
        </w:rPr>
        <w:t xml:space="preserve">тись агентом подання </w:t>
      </w:r>
      <w:r w:rsidR="009165EC">
        <w:rPr>
          <w:sz w:val="28"/>
          <w:szCs w:val="28"/>
          <w:lang w:val="uk-UA"/>
        </w:rPr>
        <w:t>в тій самій</w:t>
      </w:r>
      <w:r w:rsidRPr="00CF59D9">
        <w:rPr>
          <w:sz w:val="28"/>
          <w:szCs w:val="28"/>
          <w:lang w:val="uk-UA"/>
        </w:rPr>
        <w:t xml:space="preserve"> послідовності</w:t>
      </w:r>
      <w:r w:rsidR="009165EC">
        <w:rPr>
          <w:sz w:val="28"/>
          <w:szCs w:val="28"/>
          <w:lang w:val="uk-UA"/>
        </w:rPr>
        <w:t xml:space="preserve">, в якій </w:t>
      </w:r>
      <w:r w:rsidR="00F33CFC">
        <w:rPr>
          <w:sz w:val="28"/>
          <w:szCs w:val="28"/>
          <w:lang w:val="uk-UA"/>
        </w:rPr>
        <w:t xml:space="preserve">такі </w:t>
      </w:r>
      <w:r w:rsidR="009165EC">
        <w:rPr>
          <w:sz w:val="28"/>
          <w:szCs w:val="28"/>
          <w:lang w:val="uk-UA"/>
        </w:rPr>
        <w:t>дані бул</w:t>
      </w:r>
      <w:r w:rsidR="00F33CFC">
        <w:rPr>
          <w:sz w:val="28"/>
          <w:szCs w:val="28"/>
          <w:lang w:val="uk-UA"/>
        </w:rPr>
        <w:t>о</w:t>
      </w:r>
      <w:r w:rsidR="009165EC">
        <w:rPr>
          <w:sz w:val="28"/>
          <w:szCs w:val="28"/>
          <w:lang w:val="uk-UA"/>
        </w:rPr>
        <w:t xml:space="preserve"> отриман</w:t>
      </w:r>
      <w:r w:rsidR="00F33CFC">
        <w:rPr>
          <w:sz w:val="28"/>
          <w:szCs w:val="28"/>
          <w:lang w:val="uk-UA"/>
        </w:rPr>
        <w:t>о</w:t>
      </w:r>
      <w:r w:rsidR="009165EC">
        <w:rPr>
          <w:sz w:val="28"/>
          <w:szCs w:val="28"/>
          <w:lang w:val="uk-UA"/>
        </w:rPr>
        <w:t xml:space="preserve">. </w:t>
      </w:r>
    </w:p>
    <w:p w:rsidR="00CE054C" w:rsidRPr="0011247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112479">
        <w:rPr>
          <w:sz w:val="28"/>
          <w:szCs w:val="28"/>
          <w:lang w:val="uk-UA"/>
        </w:rPr>
        <w:t>У разі неможливості з технічних, регламентних або інших причин передати за результатами успішної перевірки</w:t>
      </w:r>
      <w:r w:rsidR="00C61BF6" w:rsidRPr="00112479">
        <w:rPr>
          <w:sz w:val="28"/>
          <w:szCs w:val="28"/>
          <w:lang w:val="uk-UA"/>
        </w:rPr>
        <w:t xml:space="preserve"> регламентовані дані до Комісії</w:t>
      </w:r>
      <w:r w:rsidRPr="00112479">
        <w:rPr>
          <w:sz w:val="28"/>
          <w:szCs w:val="28"/>
          <w:lang w:val="uk-UA"/>
        </w:rPr>
        <w:t xml:space="preserve">  агент подання забезпечує передання таких даних у найкоротший можливий </w:t>
      </w:r>
      <w:r w:rsidR="00EA414D" w:rsidRPr="00112479">
        <w:rPr>
          <w:sz w:val="28"/>
          <w:szCs w:val="28"/>
          <w:lang w:val="uk-UA"/>
        </w:rPr>
        <w:t xml:space="preserve">строк </w:t>
      </w:r>
      <w:r w:rsidRPr="00112479">
        <w:rPr>
          <w:sz w:val="28"/>
          <w:szCs w:val="28"/>
          <w:lang w:val="uk-UA"/>
        </w:rPr>
        <w:t>після відновлення умов для такого передавання.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 xml:space="preserve">Агент подання передає до Комісії регламентовані дані </w:t>
      </w:r>
      <w:r w:rsidR="00C61BF6">
        <w:rPr>
          <w:sz w:val="28"/>
          <w:szCs w:val="28"/>
          <w:lang w:val="uk-UA"/>
        </w:rPr>
        <w:t>суб'єкта подання у складі пакета</w:t>
      </w:r>
      <w:r w:rsidRPr="00CF59D9">
        <w:rPr>
          <w:sz w:val="28"/>
          <w:szCs w:val="28"/>
          <w:lang w:val="uk-UA"/>
        </w:rPr>
        <w:t xml:space="preserve"> електронних даних (далі – пакет регламентованих даних), який формується, реєструється та підлягає збереженню в СЕД з унікальними реєстраційними реквізитами (дата </w:t>
      </w:r>
      <w:r w:rsidR="00C61BF6">
        <w:rPr>
          <w:sz w:val="28"/>
          <w:szCs w:val="28"/>
          <w:lang w:val="uk-UA"/>
        </w:rPr>
        <w:t>й</w:t>
      </w:r>
      <w:r w:rsidRPr="00CF59D9">
        <w:rPr>
          <w:sz w:val="28"/>
          <w:szCs w:val="28"/>
          <w:lang w:val="uk-UA"/>
        </w:rPr>
        <w:t xml:space="preserve"> номер реєстрації</w:t>
      </w:r>
      <w:r w:rsidR="00C61BF6">
        <w:rPr>
          <w:sz w:val="28"/>
          <w:szCs w:val="28"/>
          <w:lang w:val="uk-UA"/>
        </w:rPr>
        <w:t xml:space="preserve"> пакета</w:t>
      </w:r>
      <w:r w:rsidR="00EA414D">
        <w:rPr>
          <w:sz w:val="28"/>
          <w:szCs w:val="28"/>
          <w:lang w:val="uk-UA"/>
        </w:rPr>
        <w:t>)</w:t>
      </w:r>
      <w:r w:rsidRPr="00CF59D9">
        <w:rPr>
          <w:sz w:val="28"/>
          <w:szCs w:val="28"/>
          <w:lang w:val="uk-UA"/>
        </w:rPr>
        <w:t xml:space="preserve"> </w:t>
      </w:r>
      <w:r w:rsidR="00EA414D">
        <w:rPr>
          <w:sz w:val="28"/>
          <w:szCs w:val="28"/>
          <w:lang w:val="uk-UA"/>
        </w:rPr>
        <w:t>(</w:t>
      </w:r>
      <w:r w:rsidRPr="00CF59D9">
        <w:rPr>
          <w:sz w:val="28"/>
          <w:szCs w:val="28"/>
          <w:lang w:val="uk-UA"/>
        </w:rPr>
        <w:t>далі</w:t>
      </w:r>
      <w:r w:rsidR="00096A6A">
        <w:rPr>
          <w:sz w:val="28"/>
          <w:szCs w:val="28"/>
          <w:lang w:val="uk-UA"/>
        </w:rPr>
        <w:t xml:space="preserve"> – реєстраційні реквізити пакета</w:t>
      </w:r>
      <w:r w:rsidRPr="00CF59D9">
        <w:rPr>
          <w:sz w:val="28"/>
          <w:szCs w:val="28"/>
          <w:lang w:val="uk-UA"/>
        </w:rPr>
        <w:t xml:space="preserve">) із </w:t>
      </w:r>
      <w:r w:rsidR="00096A6A">
        <w:rPr>
          <w:sz w:val="28"/>
          <w:szCs w:val="28"/>
          <w:lang w:val="uk-UA"/>
        </w:rPr>
        <w:t>фіксацією часу формування пакета</w:t>
      </w:r>
      <w:r w:rsidRPr="00CF59D9">
        <w:rPr>
          <w:sz w:val="28"/>
          <w:szCs w:val="28"/>
          <w:lang w:val="uk-UA"/>
        </w:rPr>
        <w:t>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Пакет регламентованих даних містить такі складові:</w:t>
      </w:r>
    </w:p>
    <w:p w:rsidR="00CE054C" w:rsidRPr="00CF59D9" w:rsidRDefault="00096A6A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реєстраційні реквізити пакета</w:t>
      </w:r>
      <w:r w:rsidR="00CE054C" w:rsidRPr="00CF59D9">
        <w:rPr>
          <w:sz w:val="28"/>
          <w:szCs w:val="28"/>
          <w:lang w:val="uk-UA"/>
        </w:rPr>
        <w:t>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отримання</w:t>
      </w:r>
      <w:r w:rsidR="002E1345">
        <w:rPr>
          <w:sz w:val="28"/>
          <w:szCs w:val="28"/>
          <w:lang w:val="uk-UA"/>
        </w:rPr>
        <w:t xml:space="preserve"> регламентованих</w:t>
      </w:r>
      <w:r w:rsidRPr="00CF59D9">
        <w:rPr>
          <w:sz w:val="28"/>
          <w:szCs w:val="28"/>
          <w:lang w:val="uk-UA"/>
        </w:rPr>
        <w:t xml:space="preserve"> даних агентом подання (з точністю до секунди);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ф</w:t>
      </w:r>
      <w:r w:rsidR="00096A6A">
        <w:rPr>
          <w:sz w:val="28"/>
          <w:szCs w:val="28"/>
          <w:lang w:val="uk-UA"/>
        </w:rPr>
        <w:t>ормування агентом подання пакета</w:t>
      </w:r>
      <w:r w:rsidRPr="00CF59D9">
        <w:rPr>
          <w:sz w:val="28"/>
          <w:szCs w:val="28"/>
          <w:lang w:val="uk-UA"/>
        </w:rPr>
        <w:t xml:space="preserve"> регламентованих даних (з точністю до секунди);</w:t>
      </w:r>
    </w:p>
    <w:p w:rsidR="00CE054C" w:rsidRDefault="002E1345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регламентовані </w:t>
      </w:r>
      <w:r w:rsidR="00CE054C" w:rsidRPr="00CF59D9">
        <w:rPr>
          <w:sz w:val="28"/>
          <w:szCs w:val="28"/>
          <w:lang w:val="uk-UA"/>
        </w:rPr>
        <w:t xml:space="preserve">дані, отримані від суб'єкта подання, включаючи </w:t>
      </w:r>
      <w:r w:rsidR="00CE054C">
        <w:rPr>
          <w:sz w:val="28"/>
          <w:szCs w:val="28"/>
          <w:lang w:val="uk-UA"/>
        </w:rPr>
        <w:t xml:space="preserve">кваліфіковані електронні підписи </w:t>
      </w:r>
      <w:r w:rsidR="00096A6A">
        <w:rPr>
          <w:sz w:val="28"/>
          <w:szCs w:val="28"/>
          <w:lang w:val="uk-UA"/>
        </w:rPr>
        <w:t>та печатки, створені у зовнішньому</w:t>
      </w:r>
      <w:r w:rsidR="00CE054C">
        <w:rPr>
          <w:sz w:val="28"/>
          <w:szCs w:val="28"/>
          <w:lang w:val="uk-UA"/>
        </w:rPr>
        <w:t xml:space="preserve"> файл</w:t>
      </w:r>
      <w:r w:rsidR="00096A6A">
        <w:rPr>
          <w:sz w:val="28"/>
          <w:szCs w:val="28"/>
          <w:lang w:val="uk-UA"/>
        </w:rPr>
        <w:t>і</w:t>
      </w:r>
      <w:r w:rsidR="00CE054C">
        <w:rPr>
          <w:sz w:val="28"/>
          <w:szCs w:val="28"/>
          <w:lang w:val="uk-UA"/>
        </w:rPr>
        <w:t>;</w:t>
      </w:r>
    </w:p>
    <w:p w:rsidR="00CE054C" w:rsidRPr="0011247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112479">
        <w:rPr>
          <w:sz w:val="28"/>
          <w:szCs w:val="28"/>
          <w:lang w:val="uk-UA"/>
        </w:rPr>
        <w:t xml:space="preserve">кваліфікована електронна печатка агента подання, що </w:t>
      </w:r>
      <w:r w:rsidR="00E46EA0" w:rsidRPr="00112479">
        <w:rPr>
          <w:sz w:val="28"/>
          <w:szCs w:val="28"/>
          <w:lang w:val="uk-UA"/>
        </w:rPr>
        <w:t>підтверджує</w:t>
      </w:r>
      <w:r w:rsidR="00096A6A" w:rsidRPr="00112479">
        <w:rPr>
          <w:sz w:val="28"/>
          <w:szCs w:val="28"/>
          <w:lang w:val="uk-UA"/>
        </w:rPr>
        <w:t xml:space="preserve"> цілісність пакета</w:t>
      </w:r>
      <w:r w:rsidRPr="00112479">
        <w:rPr>
          <w:sz w:val="28"/>
          <w:szCs w:val="28"/>
          <w:lang w:val="uk-UA"/>
        </w:rPr>
        <w:t xml:space="preserve"> регламентованих даних та відповідність</w:t>
      </w:r>
      <w:r w:rsidR="00096A6A" w:rsidRPr="00112479">
        <w:rPr>
          <w:sz w:val="28"/>
          <w:szCs w:val="28"/>
          <w:lang w:val="uk-UA"/>
        </w:rPr>
        <w:t xml:space="preserve"> регламентованих даних</w:t>
      </w:r>
      <w:r w:rsidRPr="00112479">
        <w:rPr>
          <w:sz w:val="28"/>
          <w:szCs w:val="28"/>
          <w:lang w:val="uk-UA"/>
        </w:rPr>
        <w:t xml:space="preserve"> отриманим від суб'єк</w:t>
      </w:r>
      <w:r w:rsidR="00F53A52" w:rsidRPr="00112479">
        <w:rPr>
          <w:sz w:val="28"/>
          <w:szCs w:val="28"/>
          <w:lang w:val="uk-UA"/>
        </w:rPr>
        <w:t>та подання</w:t>
      </w:r>
      <w:r w:rsidRPr="00112479">
        <w:rPr>
          <w:sz w:val="28"/>
          <w:szCs w:val="28"/>
          <w:lang w:val="uk-UA"/>
        </w:rPr>
        <w:t>, та кваліфікована електронна позначка часу.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пакетів регламентованих даних встановлюються регламентом взаємодії з ПТК Комісії.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lastRenderedPageBreak/>
        <w:t>VI. Опрацювання агентом подання результатів обробки регламентованих даних Комісією</w:t>
      </w:r>
    </w:p>
    <w:p w:rsidR="00CE054C" w:rsidRPr="00112479" w:rsidRDefault="00CE054C" w:rsidP="00CE054C">
      <w:pPr>
        <w:pStyle w:val="aa"/>
        <w:widowControl w:val="0"/>
        <w:numPr>
          <w:ilvl w:val="0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112479">
        <w:rPr>
          <w:sz w:val="28"/>
          <w:szCs w:val="28"/>
          <w:lang w:val="uk-UA"/>
        </w:rPr>
        <w:t>Агент подання забезпечує постійний моніторинг результатів обробки Комісією (формуванн</w:t>
      </w:r>
      <w:r w:rsidR="00EA414D" w:rsidRPr="00112479">
        <w:rPr>
          <w:sz w:val="28"/>
          <w:szCs w:val="28"/>
          <w:lang w:val="uk-UA"/>
        </w:rPr>
        <w:t>я Комісією відповідних квитанцій</w:t>
      </w:r>
      <w:r w:rsidRPr="00112479">
        <w:rPr>
          <w:sz w:val="28"/>
          <w:szCs w:val="28"/>
          <w:lang w:val="uk-UA"/>
        </w:rPr>
        <w:t xml:space="preserve"> Комісії, протоколу контролю Комісії) кожн</w:t>
      </w:r>
      <w:r w:rsidR="00F53A52" w:rsidRPr="00112479">
        <w:rPr>
          <w:sz w:val="28"/>
          <w:szCs w:val="28"/>
          <w:lang w:val="uk-UA"/>
        </w:rPr>
        <w:t>ого переданого до Комісії пакета</w:t>
      </w:r>
      <w:r w:rsidRPr="00112479">
        <w:rPr>
          <w:sz w:val="28"/>
          <w:szCs w:val="28"/>
          <w:lang w:val="uk-UA"/>
        </w:rPr>
        <w:t xml:space="preserve"> регламентованих даних – відповідно до регламенту взаємодії з ПТК Комісії.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разі формування квитанції Комісії та її отриманн</w:t>
      </w:r>
      <w:r w:rsidR="00F53A52">
        <w:rPr>
          <w:sz w:val="28"/>
          <w:szCs w:val="28"/>
          <w:lang w:val="uk-UA"/>
        </w:rPr>
        <w:t>я агентом подання</w:t>
      </w:r>
      <w:r w:rsidRPr="00CF59D9">
        <w:rPr>
          <w:sz w:val="28"/>
          <w:szCs w:val="28"/>
          <w:lang w:val="uk-UA"/>
        </w:rPr>
        <w:t xml:space="preserve"> агент подання має забезпечити щодо неї: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збереження інформації квитанції Комісії в СЕД у сполученні з відповідними регламентованими даними та з фіксацією часу</w:t>
      </w:r>
      <w:r w:rsidR="00F53A52">
        <w:rPr>
          <w:sz w:val="28"/>
          <w:szCs w:val="28"/>
          <w:lang w:val="uk-UA"/>
        </w:rPr>
        <w:t xml:space="preserve"> її надходження</w:t>
      </w:r>
      <w:r w:rsidRPr="00CF59D9">
        <w:rPr>
          <w:sz w:val="28"/>
          <w:szCs w:val="28"/>
          <w:lang w:val="uk-UA"/>
        </w:rPr>
        <w:t>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надання суб’єктові подання доступу до квитанції Комісії (із можливістю отримувати квитанцію Комісії як негайно, так і в будь-який зручний для суб'єкта подання час у майбутньому).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разі формування протоколу контролю Комісії та</w:t>
      </w:r>
      <w:r w:rsidR="005D659A">
        <w:rPr>
          <w:sz w:val="28"/>
          <w:szCs w:val="28"/>
          <w:lang w:val="uk-UA"/>
        </w:rPr>
        <w:t xml:space="preserve"> його отримання агентом подання</w:t>
      </w:r>
      <w:r w:rsidRPr="00CF59D9">
        <w:rPr>
          <w:sz w:val="28"/>
          <w:szCs w:val="28"/>
          <w:lang w:val="uk-UA"/>
        </w:rPr>
        <w:t xml:space="preserve"> агент подання має забезпечити щодо нього: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реєстрацію з унікальними реєстраційними реквізитами (дата </w:t>
      </w:r>
      <w:r w:rsidR="005D659A">
        <w:rPr>
          <w:sz w:val="28"/>
          <w:szCs w:val="28"/>
          <w:lang w:val="uk-UA"/>
        </w:rPr>
        <w:t>й</w:t>
      </w:r>
      <w:r w:rsidRPr="00CF59D9">
        <w:rPr>
          <w:sz w:val="28"/>
          <w:szCs w:val="28"/>
          <w:lang w:val="uk-UA"/>
        </w:rPr>
        <w:t xml:space="preserve"> номер реєстрації</w:t>
      </w:r>
      <w:r w:rsidR="005D659A">
        <w:rPr>
          <w:sz w:val="28"/>
          <w:szCs w:val="28"/>
          <w:lang w:val="uk-UA"/>
        </w:rPr>
        <w:t>)</w:t>
      </w:r>
      <w:r w:rsidRPr="00CF59D9">
        <w:rPr>
          <w:sz w:val="28"/>
          <w:szCs w:val="28"/>
          <w:lang w:val="uk-UA"/>
        </w:rPr>
        <w:t xml:space="preserve"> </w:t>
      </w:r>
      <w:r w:rsidR="005D659A">
        <w:rPr>
          <w:sz w:val="28"/>
          <w:szCs w:val="28"/>
          <w:lang w:val="uk-UA"/>
        </w:rPr>
        <w:t>(</w:t>
      </w:r>
      <w:r w:rsidRPr="00CF59D9">
        <w:rPr>
          <w:sz w:val="28"/>
          <w:szCs w:val="28"/>
          <w:lang w:val="uk-UA"/>
        </w:rPr>
        <w:t>далі – реєстраційні реквізити протоколу контролю) та збереження в СЕД у сполученні із відповідними регламентованими даними та з фіксацією часу його надходження;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якнайшвидше (від моменту отримання) направлення протоколу контролю Комісії</w:t>
      </w:r>
      <w:r w:rsidR="009165EC">
        <w:rPr>
          <w:sz w:val="28"/>
          <w:szCs w:val="28"/>
          <w:lang w:val="uk-UA"/>
        </w:rPr>
        <w:t xml:space="preserve"> відповідному</w:t>
      </w:r>
      <w:r w:rsidRPr="00CF59D9">
        <w:rPr>
          <w:sz w:val="28"/>
          <w:szCs w:val="28"/>
          <w:lang w:val="uk-UA"/>
        </w:rPr>
        <w:t xml:space="preserve"> суб'єктові подання</w:t>
      </w:r>
      <w:r w:rsidR="00530CDA">
        <w:rPr>
          <w:sz w:val="28"/>
          <w:szCs w:val="28"/>
          <w:lang w:val="uk-UA"/>
        </w:rPr>
        <w:t xml:space="preserve"> </w:t>
      </w:r>
      <w:r w:rsidRPr="00CF59D9">
        <w:rPr>
          <w:sz w:val="28"/>
          <w:szCs w:val="28"/>
          <w:lang w:val="uk-UA"/>
        </w:rPr>
        <w:t>із можливістю отрим</w:t>
      </w:r>
      <w:r w:rsidR="00530CDA">
        <w:rPr>
          <w:sz w:val="28"/>
          <w:szCs w:val="28"/>
          <w:lang w:val="uk-UA"/>
        </w:rPr>
        <w:t>ання</w:t>
      </w:r>
      <w:r w:rsidRPr="00CF59D9">
        <w:rPr>
          <w:sz w:val="28"/>
          <w:szCs w:val="28"/>
          <w:lang w:val="uk-UA"/>
        </w:rPr>
        <w:t xml:space="preserve"> його як негайно, так і в будь-який зручний для суб'єкта подання час у майбутньому; 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>фіксацію в СЕД часу направлення протоколу контролю Комісії суб'єктові подання, а також часу отримання суб'єктом подання направленого йому протоколу контролю Комісії;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розгляд інформації, викладеної в протоколі контролю Комісії</w:t>
      </w:r>
      <w:r w:rsidR="005D659A">
        <w:rPr>
          <w:sz w:val="28"/>
          <w:szCs w:val="28"/>
          <w:lang w:val="uk-UA"/>
        </w:rPr>
        <w:t>,</w:t>
      </w:r>
      <w:r w:rsidRPr="00CF59D9">
        <w:rPr>
          <w:sz w:val="28"/>
          <w:szCs w:val="28"/>
          <w:lang w:val="uk-UA"/>
        </w:rPr>
        <w:t xml:space="preserve"> щодо факту прийняття або неприйняття відповідних</w:t>
      </w:r>
      <w:r w:rsidR="005D659A">
        <w:rPr>
          <w:sz w:val="28"/>
          <w:szCs w:val="28"/>
          <w:lang w:val="uk-UA"/>
        </w:rPr>
        <w:t xml:space="preserve"> регламентованих даних Комісією</w:t>
      </w:r>
      <w:r w:rsidRPr="00CF59D9">
        <w:rPr>
          <w:sz w:val="28"/>
          <w:szCs w:val="28"/>
          <w:lang w:val="uk-UA"/>
        </w:rPr>
        <w:t xml:space="preserve"> із збереження</w:t>
      </w:r>
      <w:r w:rsidR="005D659A">
        <w:rPr>
          <w:sz w:val="28"/>
          <w:szCs w:val="28"/>
          <w:lang w:val="uk-UA"/>
        </w:rPr>
        <w:t>м відповідного статусу в СЕД та</w:t>
      </w:r>
      <w:r w:rsidRPr="00CF59D9">
        <w:rPr>
          <w:sz w:val="28"/>
          <w:szCs w:val="28"/>
          <w:lang w:val="uk-UA"/>
        </w:rPr>
        <w:t xml:space="preserve"> у випадку неприйняття</w:t>
      </w:r>
      <w:r w:rsidR="005D659A">
        <w:rPr>
          <w:sz w:val="28"/>
          <w:szCs w:val="28"/>
          <w:lang w:val="uk-UA"/>
        </w:rPr>
        <w:t xml:space="preserve"> регламентованих даних Комісією</w:t>
      </w:r>
      <w:r w:rsidRPr="00CF59D9">
        <w:rPr>
          <w:sz w:val="28"/>
          <w:szCs w:val="28"/>
          <w:lang w:val="uk-UA"/>
        </w:rPr>
        <w:t xml:space="preserve"> опрацювання </w:t>
      </w:r>
      <w:r w:rsidR="005D659A">
        <w:rPr>
          <w:sz w:val="28"/>
          <w:szCs w:val="28"/>
          <w:lang w:val="uk-UA"/>
        </w:rPr>
        <w:t>і</w:t>
      </w:r>
      <w:r w:rsidRPr="00CF59D9">
        <w:rPr>
          <w:sz w:val="28"/>
          <w:szCs w:val="28"/>
          <w:lang w:val="uk-UA"/>
        </w:rPr>
        <w:t xml:space="preserve"> </w:t>
      </w:r>
      <w:r w:rsidR="005D659A">
        <w:rPr>
          <w:sz w:val="28"/>
          <w:szCs w:val="28"/>
          <w:lang w:val="uk-UA"/>
        </w:rPr>
        <w:t>врахування обставин неприйняття із</w:t>
      </w:r>
      <w:r w:rsidRPr="00CF59D9">
        <w:rPr>
          <w:sz w:val="28"/>
          <w:szCs w:val="28"/>
          <w:lang w:val="uk-UA"/>
        </w:rPr>
        <w:t xml:space="preserve"> забезпеч</w:t>
      </w:r>
      <w:r w:rsidR="005D659A">
        <w:rPr>
          <w:sz w:val="28"/>
          <w:szCs w:val="28"/>
          <w:lang w:val="uk-UA"/>
        </w:rPr>
        <w:t>енням повторного</w:t>
      </w:r>
      <w:r w:rsidRPr="00CF59D9">
        <w:rPr>
          <w:sz w:val="28"/>
          <w:szCs w:val="28"/>
          <w:lang w:val="uk-UA"/>
        </w:rPr>
        <w:t xml:space="preserve"> передавання коректних регламентованих даних до Комісії або коректн</w:t>
      </w:r>
      <w:r w:rsidR="005D659A">
        <w:rPr>
          <w:sz w:val="28"/>
          <w:szCs w:val="28"/>
          <w:lang w:val="uk-UA"/>
        </w:rPr>
        <w:t>ого</w:t>
      </w:r>
      <w:r w:rsidRPr="00CF59D9">
        <w:rPr>
          <w:sz w:val="28"/>
          <w:szCs w:val="28"/>
          <w:lang w:val="uk-UA"/>
        </w:rPr>
        <w:t xml:space="preserve"> налаштування засобів автоматичної перевірки.</w:t>
      </w:r>
    </w:p>
    <w:p w:rsidR="00353D05" w:rsidRPr="00CF59D9" w:rsidRDefault="00353D05" w:rsidP="00353D05">
      <w:pPr>
        <w:spacing w:line="360" w:lineRule="auto"/>
        <w:ind w:left="567"/>
        <w:rPr>
          <w:b/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ind w:left="567"/>
        <w:rPr>
          <w:b/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t>Директор департаменту</w:t>
      </w:r>
    </w:p>
    <w:p w:rsidR="00353D05" w:rsidRPr="00CF59D9" w:rsidRDefault="00353D05" w:rsidP="00353D05">
      <w:pPr>
        <w:spacing w:line="360" w:lineRule="auto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t>інформаційних  технологій</w:t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  <w:t>Є. Фоменко</w:t>
      </w:r>
    </w:p>
    <w:p w:rsidR="00353D05" w:rsidRPr="00CF59D9" w:rsidRDefault="00353D05" w:rsidP="00353D05">
      <w:pPr>
        <w:spacing w:before="120" w:line="360" w:lineRule="auto"/>
        <w:jc w:val="both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ind w:left="4536"/>
        <w:rPr>
          <w:lang w:val="uk-UA"/>
        </w:rPr>
      </w:pPr>
    </w:p>
    <w:p w:rsidR="008430B0" w:rsidRPr="00CF59D9" w:rsidRDefault="008430B0" w:rsidP="00353D05">
      <w:pPr>
        <w:rPr>
          <w:lang w:val="uk-UA"/>
        </w:rPr>
      </w:pPr>
    </w:p>
    <w:sectPr w:rsidR="008430B0" w:rsidRPr="00CF59D9" w:rsidSect="00524AC0">
      <w:headerReference w:type="default" r:id="rId12"/>
      <w:headerReference w:type="first" r:id="rId13"/>
      <w:pgSz w:w="11906" w:h="16838"/>
      <w:pgMar w:top="1134" w:right="567" w:bottom="1134" w:left="1134" w:header="1134" w:footer="0" w:gutter="567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7A" w:rsidRDefault="00BE567A">
      <w:r>
        <w:separator/>
      </w:r>
    </w:p>
  </w:endnote>
  <w:endnote w:type="continuationSeparator" w:id="0">
    <w:p w:rsidR="00BE567A" w:rsidRDefault="00B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7A" w:rsidRDefault="00BE567A">
      <w:r>
        <w:separator/>
      </w:r>
    </w:p>
  </w:footnote>
  <w:footnote w:type="continuationSeparator" w:id="0">
    <w:p w:rsidR="00BE567A" w:rsidRDefault="00BE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05" w:rsidRDefault="00353D05" w:rsidP="004237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3D05" w:rsidRDefault="00353D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05" w:rsidRPr="00862943" w:rsidRDefault="00353D05" w:rsidP="00862943">
    <w:pPr>
      <w:pStyle w:val="a5"/>
      <w:spacing w:after="120"/>
      <w:jc w:val="center"/>
      <w:rPr>
        <w:sz w:val="28"/>
        <w:szCs w:val="28"/>
      </w:rPr>
    </w:pPr>
    <w:r w:rsidRPr="00862943">
      <w:rPr>
        <w:sz w:val="28"/>
        <w:szCs w:val="28"/>
      </w:rPr>
      <w:fldChar w:fldCharType="begin"/>
    </w:r>
    <w:r w:rsidRPr="00862943">
      <w:rPr>
        <w:sz w:val="28"/>
        <w:szCs w:val="28"/>
      </w:rPr>
      <w:instrText xml:space="preserve"> PAGE   \* MERGEFORMAT </w:instrText>
    </w:r>
    <w:r w:rsidRPr="00862943">
      <w:rPr>
        <w:sz w:val="28"/>
        <w:szCs w:val="28"/>
      </w:rPr>
      <w:fldChar w:fldCharType="separate"/>
    </w:r>
    <w:r w:rsidR="00083A8B">
      <w:rPr>
        <w:noProof/>
        <w:sz w:val="28"/>
        <w:szCs w:val="28"/>
      </w:rPr>
      <w:t>2</w:t>
    </w:r>
    <w:r w:rsidRPr="0086294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0D" w:rsidRPr="00AC47DB" w:rsidRDefault="006D580D" w:rsidP="006D580D">
    <w:pPr>
      <w:pStyle w:val="Header"/>
      <w:spacing w:after="120"/>
      <w:jc w:val="center"/>
      <w:rPr>
        <w:rFonts w:ascii="Times New Roman" w:hAnsi="Times New Roman" w:cs="Times New Roman"/>
        <w:sz w:val="28"/>
        <w:szCs w:val="28"/>
      </w:rPr>
    </w:pPr>
    <w:r w:rsidRPr="00AC47DB">
      <w:rPr>
        <w:rFonts w:ascii="Times New Roman" w:hAnsi="Times New Roman" w:cs="Times New Roman"/>
        <w:sz w:val="28"/>
        <w:szCs w:val="28"/>
      </w:rPr>
      <w:fldChar w:fldCharType="begin"/>
    </w:r>
    <w:r w:rsidRPr="00AC47DB">
      <w:rPr>
        <w:rFonts w:ascii="Times New Roman" w:hAnsi="Times New Roman" w:cs="Times New Roman"/>
        <w:sz w:val="28"/>
        <w:szCs w:val="28"/>
      </w:rPr>
      <w:instrText>PAGE</w:instrText>
    </w:r>
    <w:r w:rsidRPr="00AC47DB">
      <w:rPr>
        <w:rFonts w:ascii="Times New Roman" w:hAnsi="Times New Roman" w:cs="Times New Roman"/>
        <w:sz w:val="28"/>
        <w:szCs w:val="28"/>
      </w:rPr>
      <w:fldChar w:fldCharType="separate"/>
    </w:r>
    <w:r w:rsidR="00083A8B">
      <w:rPr>
        <w:rFonts w:ascii="Times New Roman" w:hAnsi="Times New Roman" w:cs="Times New Roman"/>
        <w:noProof/>
        <w:sz w:val="28"/>
        <w:szCs w:val="28"/>
      </w:rPr>
      <w:t>16</w:t>
    </w:r>
    <w:r w:rsidRPr="00AC47DB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0D" w:rsidRDefault="006D580D" w:rsidP="006D580D">
    <w:pPr>
      <w:spacing w:line="360" w:lineRule="auto"/>
      <w:ind w:left="45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03AC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AC4E09"/>
    <w:multiLevelType w:val="hybridMultilevel"/>
    <w:tmpl w:val="48344026"/>
    <w:lvl w:ilvl="0" w:tplc="A68CC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FF2332"/>
    <w:multiLevelType w:val="multilevel"/>
    <w:tmpl w:val="37E6008E"/>
    <w:numStyleLink w:val="1"/>
  </w:abstractNum>
  <w:abstractNum w:abstractNumId="3" w15:restartNumberingAfterBreak="0">
    <w:nsid w:val="2D86211E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37770B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7B4EDF"/>
    <w:multiLevelType w:val="multilevel"/>
    <w:tmpl w:val="37E6008E"/>
    <w:numStyleLink w:val="1"/>
  </w:abstractNum>
  <w:abstractNum w:abstractNumId="6" w15:restartNumberingAfterBreak="0">
    <w:nsid w:val="43362172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1B1AD1"/>
    <w:multiLevelType w:val="multilevel"/>
    <w:tmpl w:val="37E6008E"/>
    <w:numStyleLink w:val="1"/>
  </w:abstractNum>
  <w:abstractNum w:abstractNumId="8" w15:restartNumberingAfterBreak="0">
    <w:nsid w:val="4F0B31F0"/>
    <w:multiLevelType w:val="hybridMultilevel"/>
    <w:tmpl w:val="276A6C52"/>
    <w:lvl w:ilvl="0" w:tplc="0CA68FE8">
      <w:start w:val="1"/>
      <w:numFmt w:val="decimal"/>
      <w:lvlText w:val="%1."/>
      <w:lvlJc w:val="left"/>
      <w:pPr>
        <w:ind w:left="1707" w:hanging="114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4E35A5"/>
    <w:multiLevelType w:val="multilevel"/>
    <w:tmpl w:val="37E6008E"/>
    <w:styleLink w:val="1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0B0"/>
    <w:rsid w:val="00003FB2"/>
    <w:rsid w:val="000073C7"/>
    <w:rsid w:val="0001219E"/>
    <w:rsid w:val="00052009"/>
    <w:rsid w:val="00083A8B"/>
    <w:rsid w:val="00092874"/>
    <w:rsid w:val="00096A6A"/>
    <w:rsid w:val="000A22C2"/>
    <w:rsid w:val="000C5C6A"/>
    <w:rsid w:val="000D02E4"/>
    <w:rsid w:val="000E3123"/>
    <w:rsid w:val="000E4D38"/>
    <w:rsid w:val="000E5CBC"/>
    <w:rsid w:val="00110472"/>
    <w:rsid w:val="00112479"/>
    <w:rsid w:val="00145E93"/>
    <w:rsid w:val="00151692"/>
    <w:rsid w:val="00162267"/>
    <w:rsid w:val="00163ED3"/>
    <w:rsid w:val="001877D3"/>
    <w:rsid w:val="001B7903"/>
    <w:rsid w:val="001C3BC8"/>
    <w:rsid w:val="001E29B7"/>
    <w:rsid w:val="001E3FD4"/>
    <w:rsid w:val="00203568"/>
    <w:rsid w:val="00222B9C"/>
    <w:rsid w:val="002278FE"/>
    <w:rsid w:val="00243720"/>
    <w:rsid w:val="002449E0"/>
    <w:rsid w:val="0024559D"/>
    <w:rsid w:val="00295377"/>
    <w:rsid w:val="002C3A6D"/>
    <w:rsid w:val="002E1345"/>
    <w:rsid w:val="002F441B"/>
    <w:rsid w:val="003100DF"/>
    <w:rsid w:val="00321995"/>
    <w:rsid w:val="00335538"/>
    <w:rsid w:val="0035319D"/>
    <w:rsid w:val="00353D05"/>
    <w:rsid w:val="003D50B1"/>
    <w:rsid w:val="003D59BA"/>
    <w:rsid w:val="003E4438"/>
    <w:rsid w:val="0040362D"/>
    <w:rsid w:val="00404657"/>
    <w:rsid w:val="004129E2"/>
    <w:rsid w:val="0042049D"/>
    <w:rsid w:val="004237EC"/>
    <w:rsid w:val="00432F5C"/>
    <w:rsid w:val="00457607"/>
    <w:rsid w:val="004648BE"/>
    <w:rsid w:val="00465F6D"/>
    <w:rsid w:val="004A3FEB"/>
    <w:rsid w:val="004C24EE"/>
    <w:rsid w:val="004C7AC5"/>
    <w:rsid w:val="004D2141"/>
    <w:rsid w:val="004D7A0E"/>
    <w:rsid w:val="004E009F"/>
    <w:rsid w:val="004E33CA"/>
    <w:rsid w:val="004E6F22"/>
    <w:rsid w:val="004F567D"/>
    <w:rsid w:val="004F7ABD"/>
    <w:rsid w:val="00524AC0"/>
    <w:rsid w:val="00530CDA"/>
    <w:rsid w:val="00540E4B"/>
    <w:rsid w:val="00546AC0"/>
    <w:rsid w:val="005654D5"/>
    <w:rsid w:val="005A4CE2"/>
    <w:rsid w:val="005D659A"/>
    <w:rsid w:val="005D73E1"/>
    <w:rsid w:val="005F0E3C"/>
    <w:rsid w:val="005F1779"/>
    <w:rsid w:val="006042DE"/>
    <w:rsid w:val="00636294"/>
    <w:rsid w:val="00687127"/>
    <w:rsid w:val="006930B1"/>
    <w:rsid w:val="006D230D"/>
    <w:rsid w:val="006D580D"/>
    <w:rsid w:val="006F2AB1"/>
    <w:rsid w:val="00775D97"/>
    <w:rsid w:val="00781D46"/>
    <w:rsid w:val="00790A27"/>
    <w:rsid w:val="007A67DA"/>
    <w:rsid w:val="007E0E99"/>
    <w:rsid w:val="0081690A"/>
    <w:rsid w:val="00833F34"/>
    <w:rsid w:val="008430B0"/>
    <w:rsid w:val="008569E2"/>
    <w:rsid w:val="00862943"/>
    <w:rsid w:val="00871197"/>
    <w:rsid w:val="008B0F0C"/>
    <w:rsid w:val="008C0834"/>
    <w:rsid w:val="008C0855"/>
    <w:rsid w:val="008C132A"/>
    <w:rsid w:val="008C20DA"/>
    <w:rsid w:val="008D3C5F"/>
    <w:rsid w:val="008E01E9"/>
    <w:rsid w:val="008F0E22"/>
    <w:rsid w:val="008F3EBE"/>
    <w:rsid w:val="008F40E3"/>
    <w:rsid w:val="00900519"/>
    <w:rsid w:val="0091205F"/>
    <w:rsid w:val="0091327D"/>
    <w:rsid w:val="009165EC"/>
    <w:rsid w:val="009279DA"/>
    <w:rsid w:val="00935F74"/>
    <w:rsid w:val="009C0F9C"/>
    <w:rsid w:val="009C5CF1"/>
    <w:rsid w:val="00A43606"/>
    <w:rsid w:val="00A739F6"/>
    <w:rsid w:val="00A84E76"/>
    <w:rsid w:val="00A85C13"/>
    <w:rsid w:val="00A9551B"/>
    <w:rsid w:val="00AC25BE"/>
    <w:rsid w:val="00AF3909"/>
    <w:rsid w:val="00B00D7C"/>
    <w:rsid w:val="00B028F9"/>
    <w:rsid w:val="00B1339B"/>
    <w:rsid w:val="00B43E8F"/>
    <w:rsid w:val="00B45323"/>
    <w:rsid w:val="00B459B4"/>
    <w:rsid w:val="00B57407"/>
    <w:rsid w:val="00BA2033"/>
    <w:rsid w:val="00BC54A3"/>
    <w:rsid w:val="00BE567A"/>
    <w:rsid w:val="00BF312D"/>
    <w:rsid w:val="00C3139E"/>
    <w:rsid w:val="00C420C2"/>
    <w:rsid w:val="00C43D7A"/>
    <w:rsid w:val="00C61BF6"/>
    <w:rsid w:val="00C9649B"/>
    <w:rsid w:val="00CB3F58"/>
    <w:rsid w:val="00CD76A0"/>
    <w:rsid w:val="00CE054C"/>
    <w:rsid w:val="00CE6F8E"/>
    <w:rsid w:val="00CF59D9"/>
    <w:rsid w:val="00D21391"/>
    <w:rsid w:val="00D4109E"/>
    <w:rsid w:val="00D44743"/>
    <w:rsid w:val="00D45B57"/>
    <w:rsid w:val="00D7434B"/>
    <w:rsid w:val="00D835DA"/>
    <w:rsid w:val="00DA1649"/>
    <w:rsid w:val="00DD512F"/>
    <w:rsid w:val="00DD53FC"/>
    <w:rsid w:val="00DF45CD"/>
    <w:rsid w:val="00E14665"/>
    <w:rsid w:val="00E45688"/>
    <w:rsid w:val="00E46EA0"/>
    <w:rsid w:val="00E52701"/>
    <w:rsid w:val="00E76EB8"/>
    <w:rsid w:val="00E86700"/>
    <w:rsid w:val="00E903C9"/>
    <w:rsid w:val="00EA414D"/>
    <w:rsid w:val="00EA46BA"/>
    <w:rsid w:val="00EC40D9"/>
    <w:rsid w:val="00EF0F49"/>
    <w:rsid w:val="00F0075B"/>
    <w:rsid w:val="00F22F08"/>
    <w:rsid w:val="00F33CFC"/>
    <w:rsid w:val="00F53A52"/>
    <w:rsid w:val="00F661AE"/>
    <w:rsid w:val="00F70ABB"/>
    <w:rsid w:val="00FA1259"/>
    <w:rsid w:val="00FC0EAC"/>
    <w:rsid w:val="00FF0283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9DE0460-FB51-43C9-97F2-1608F521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B0"/>
    <w:rPr>
      <w:lang w:val="ru-RU" w:eastAsia="ru-RU"/>
    </w:rPr>
  </w:style>
  <w:style w:type="paragraph" w:styleId="10">
    <w:name w:val="heading 1"/>
    <w:basedOn w:val="a"/>
    <w:next w:val="a"/>
    <w:qFormat/>
    <w:rsid w:val="008430B0"/>
    <w:pPr>
      <w:keepNext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çàãîëîâîê 2"/>
    <w:basedOn w:val="a"/>
    <w:next w:val="a"/>
    <w:rsid w:val="008430B0"/>
    <w:pPr>
      <w:keepNext/>
      <w:ind w:firstLine="851"/>
      <w:jc w:val="center"/>
    </w:pPr>
    <w:rPr>
      <w:sz w:val="28"/>
    </w:rPr>
  </w:style>
  <w:style w:type="paragraph" w:customStyle="1" w:styleId="caaieiaie1">
    <w:name w:val="caaieiaie 1"/>
    <w:basedOn w:val="a"/>
    <w:next w:val="a"/>
    <w:rsid w:val="008430B0"/>
    <w:pPr>
      <w:keepNext/>
    </w:pPr>
    <w:rPr>
      <w:sz w:val="24"/>
    </w:rPr>
  </w:style>
  <w:style w:type="paragraph" w:styleId="3">
    <w:name w:val="Body Text Indent 3"/>
    <w:basedOn w:val="a"/>
    <w:link w:val="30"/>
    <w:rsid w:val="008430B0"/>
    <w:pPr>
      <w:ind w:firstLine="851"/>
      <w:jc w:val="both"/>
    </w:pPr>
    <w:rPr>
      <w:sz w:val="28"/>
      <w:lang w:val="uk-UA"/>
    </w:rPr>
  </w:style>
  <w:style w:type="paragraph" w:styleId="a3">
    <w:name w:val="Body Text"/>
    <w:basedOn w:val="a"/>
    <w:link w:val="a4"/>
    <w:rsid w:val="008430B0"/>
    <w:pPr>
      <w:spacing w:after="120"/>
    </w:pPr>
  </w:style>
  <w:style w:type="paragraph" w:styleId="a5">
    <w:name w:val="header"/>
    <w:basedOn w:val="a"/>
    <w:link w:val="a6"/>
    <w:uiPriority w:val="99"/>
    <w:rsid w:val="004237EC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4237EC"/>
  </w:style>
  <w:style w:type="paragraph" w:styleId="a8">
    <w:name w:val="footer"/>
    <w:basedOn w:val="a"/>
    <w:rsid w:val="004237EC"/>
    <w:pPr>
      <w:tabs>
        <w:tab w:val="center" w:pos="4819"/>
        <w:tab w:val="right" w:pos="9639"/>
      </w:tabs>
    </w:pPr>
  </w:style>
  <w:style w:type="paragraph" w:customStyle="1" w:styleId="a9">
    <w:name w:val="Знак"/>
    <w:basedOn w:val="a"/>
    <w:rsid w:val="004648BE"/>
    <w:pPr>
      <w:tabs>
        <w:tab w:val="left" w:pos="567"/>
      </w:tabs>
    </w:pPr>
    <w:rPr>
      <w:sz w:val="24"/>
      <w:szCs w:val="24"/>
      <w:lang w:val="en-US" w:eastAsia="en-US"/>
    </w:rPr>
  </w:style>
  <w:style w:type="paragraph" w:styleId="HTML">
    <w:name w:val="HTML Preformatted"/>
    <w:basedOn w:val="a"/>
    <w:link w:val="HTML0"/>
    <w:rsid w:val="009C0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9C0F9C"/>
    <w:rPr>
      <w:rFonts w:ascii="Courier New" w:hAnsi="Courier New" w:cs="Courier New"/>
    </w:rPr>
  </w:style>
  <w:style w:type="paragraph" w:customStyle="1" w:styleId="Default">
    <w:name w:val="Default"/>
    <w:rsid w:val="00A739F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636294"/>
    <w:pPr>
      <w:ind w:left="708"/>
    </w:pPr>
  </w:style>
  <w:style w:type="character" w:customStyle="1" w:styleId="a6">
    <w:name w:val="Верхний колонтитул Знак"/>
    <w:link w:val="a5"/>
    <w:uiPriority w:val="99"/>
    <w:rsid w:val="00432F5C"/>
    <w:rPr>
      <w:lang w:val="ru-RU" w:eastAsia="ru-RU"/>
    </w:rPr>
  </w:style>
  <w:style w:type="paragraph" w:customStyle="1" w:styleId="rvps2">
    <w:name w:val="rvps2"/>
    <w:basedOn w:val="a"/>
    <w:rsid w:val="000A22C2"/>
    <w:pPr>
      <w:widowControl w:val="0"/>
      <w:suppressAutoHyphens/>
      <w:spacing w:before="280" w:after="280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customStyle="1" w:styleId="Header">
    <w:name w:val="Header"/>
    <w:basedOn w:val="a"/>
    <w:rsid w:val="000A22C2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numbering" w:customStyle="1" w:styleId="1">
    <w:name w:val="Стиль1"/>
    <w:uiPriority w:val="99"/>
    <w:rsid w:val="000A22C2"/>
    <w:pPr>
      <w:numPr>
        <w:numId w:val="3"/>
      </w:numPr>
    </w:pPr>
  </w:style>
  <w:style w:type="character" w:customStyle="1" w:styleId="a4">
    <w:name w:val="Основной текст Знак"/>
    <w:link w:val="a3"/>
    <w:rsid w:val="00A84E76"/>
    <w:rPr>
      <w:lang w:val="ru-RU" w:eastAsia="ru-RU"/>
    </w:rPr>
  </w:style>
  <w:style w:type="character" w:customStyle="1" w:styleId="30">
    <w:name w:val="Основной текст с отступом 3 Знак"/>
    <w:link w:val="3"/>
    <w:rsid w:val="00A84E76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7B5C-4684-44CB-8A23-82A7F4D3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SSMSC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loveyko</dc:creator>
  <cp:keywords/>
  <cp:lastModifiedBy>Руслан Кисляк</cp:lastModifiedBy>
  <cp:revision>2</cp:revision>
  <cp:lastPrinted>2019-01-02T10:29:00Z</cp:lastPrinted>
  <dcterms:created xsi:type="dcterms:W3CDTF">2019-01-14T10:31:00Z</dcterms:created>
  <dcterms:modified xsi:type="dcterms:W3CDTF">2019-01-14T10:31:00Z</dcterms:modified>
</cp:coreProperties>
</file>