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05" w:rsidRPr="00900190" w:rsidRDefault="00D64705" w:rsidP="00D64705">
      <w:pPr>
        <w:jc w:val="center"/>
        <w:rPr>
          <w:b/>
        </w:rPr>
      </w:pPr>
      <w:bookmarkStart w:id="0" w:name="_GoBack"/>
      <w:bookmarkEnd w:id="0"/>
      <w:r w:rsidRPr="00900190">
        <w:rPr>
          <w:b/>
        </w:rPr>
        <w:t>Порівняльна таблиця</w:t>
      </w:r>
    </w:p>
    <w:p w:rsidR="002C0B9D" w:rsidRPr="00900190" w:rsidRDefault="002F4535" w:rsidP="00D64705">
      <w:pPr>
        <w:jc w:val="center"/>
      </w:pPr>
      <w:r w:rsidRPr="00900190">
        <w:rPr>
          <w:b/>
        </w:rPr>
        <w:t xml:space="preserve">до </w:t>
      </w:r>
      <w:r w:rsidR="00D64705" w:rsidRPr="00900190">
        <w:rPr>
          <w:b/>
        </w:rPr>
        <w:t xml:space="preserve">проекту нормативно-правового </w:t>
      </w:r>
      <w:r w:rsidRPr="00900190">
        <w:rPr>
          <w:b/>
        </w:rPr>
        <w:t>акт</w:t>
      </w:r>
      <w:r w:rsidR="00D64705" w:rsidRPr="00900190">
        <w:rPr>
          <w:b/>
        </w:rPr>
        <w:t>а</w:t>
      </w:r>
      <w:r w:rsidRPr="00900190">
        <w:rPr>
          <w:b/>
        </w:rPr>
        <w:t xml:space="preserve"> </w:t>
      </w:r>
      <w:r w:rsidR="00D64705" w:rsidRPr="00900190">
        <w:rPr>
          <w:b/>
        </w:rPr>
        <w:t>- Положення про склад та структуру активів інституту спільного інвестування</w:t>
      </w:r>
    </w:p>
    <w:p w:rsidR="004509A5" w:rsidRPr="00900190" w:rsidRDefault="004509A5" w:rsidP="004509A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7734"/>
      </w:tblGrid>
      <w:tr w:rsidR="004509A5" w:rsidRPr="00900190" w:rsidTr="00E670F5">
        <w:tc>
          <w:tcPr>
            <w:tcW w:w="7732" w:type="dxa"/>
            <w:shd w:val="clear" w:color="auto" w:fill="auto"/>
          </w:tcPr>
          <w:p w:rsidR="004509A5" w:rsidRPr="00E670F5" w:rsidRDefault="004509A5" w:rsidP="00E670F5">
            <w:pPr>
              <w:ind w:right="16"/>
              <w:jc w:val="center"/>
              <w:rPr>
                <w:b/>
              </w:rPr>
            </w:pPr>
            <w:r w:rsidRPr="00E670F5">
              <w:rPr>
                <w:b/>
              </w:rPr>
              <w:t>Діюча редакція</w:t>
            </w:r>
          </w:p>
        </w:tc>
        <w:tc>
          <w:tcPr>
            <w:tcW w:w="7734" w:type="dxa"/>
            <w:shd w:val="clear" w:color="auto" w:fill="auto"/>
          </w:tcPr>
          <w:p w:rsidR="004509A5" w:rsidRPr="00E670F5" w:rsidRDefault="004509A5" w:rsidP="00E670F5">
            <w:pPr>
              <w:ind w:right="16"/>
              <w:jc w:val="center"/>
              <w:rPr>
                <w:b/>
              </w:rPr>
            </w:pPr>
            <w:r w:rsidRPr="00E670F5">
              <w:rPr>
                <w:b/>
              </w:rPr>
              <w:t>Остаточна редакція</w:t>
            </w:r>
          </w:p>
        </w:tc>
      </w:tr>
      <w:tr w:rsidR="00E6535A" w:rsidRPr="00900190" w:rsidTr="00E670F5">
        <w:tc>
          <w:tcPr>
            <w:tcW w:w="7732" w:type="dxa"/>
            <w:shd w:val="clear" w:color="auto" w:fill="auto"/>
          </w:tcPr>
          <w:p w:rsidR="00E6535A" w:rsidRPr="00E670F5" w:rsidRDefault="00E6535A" w:rsidP="00E670F5">
            <w:pPr>
              <w:jc w:val="both"/>
              <w:rPr>
                <w:b/>
              </w:rPr>
            </w:pPr>
            <w:r w:rsidRPr="00E670F5">
              <w:rPr>
                <w:b/>
              </w:rPr>
              <w:t>I. Загальні положення</w:t>
            </w:r>
          </w:p>
        </w:tc>
        <w:tc>
          <w:tcPr>
            <w:tcW w:w="7734" w:type="dxa"/>
            <w:shd w:val="clear" w:color="auto" w:fill="auto"/>
          </w:tcPr>
          <w:p w:rsidR="00E6535A" w:rsidRPr="00E670F5" w:rsidRDefault="00E6535A" w:rsidP="00E670F5">
            <w:pPr>
              <w:jc w:val="both"/>
              <w:rPr>
                <w:b/>
              </w:rPr>
            </w:pPr>
            <w:r w:rsidRPr="00E670F5">
              <w:rPr>
                <w:b/>
              </w:rPr>
              <w:t>I. Загальні положення</w:t>
            </w:r>
          </w:p>
        </w:tc>
      </w:tr>
      <w:tr w:rsidR="00D73BB3" w:rsidRPr="00900190" w:rsidTr="00E670F5">
        <w:tc>
          <w:tcPr>
            <w:tcW w:w="7732" w:type="dxa"/>
            <w:shd w:val="clear" w:color="auto" w:fill="auto"/>
          </w:tcPr>
          <w:p w:rsidR="00D73BB3" w:rsidRPr="00900190" w:rsidRDefault="00D73BB3" w:rsidP="00E670F5">
            <w:pPr>
              <w:jc w:val="both"/>
            </w:pPr>
            <w:r w:rsidRPr="00900190">
              <w:t>………………….</w:t>
            </w:r>
          </w:p>
          <w:p w:rsidR="00D73BB3" w:rsidRPr="00E670F5" w:rsidRDefault="00D73BB3" w:rsidP="00E670F5">
            <w:pPr>
              <w:jc w:val="both"/>
              <w:rPr>
                <w:b/>
                <w:strike/>
              </w:rPr>
            </w:pPr>
            <w:r w:rsidRPr="00E670F5">
              <w:rPr>
                <w:b/>
                <w:strike/>
              </w:rPr>
              <w:t>7. Документи (їх копії), які відповідно до цього Положення подаються до Комісії та мають бути засвідчені печаткою (печатками), потребують такого засвідчення у разі наявності у юридичної особи відповідної(их) печатки (печаток).</w:t>
            </w:r>
          </w:p>
        </w:tc>
        <w:tc>
          <w:tcPr>
            <w:tcW w:w="7734" w:type="dxa"/>
            <w:shd w:val="clear" w:color="auto" w:fill="auto"/>
          </w:tcPr>
          <w:p w:rsidR="00B5335E" w:rsidRPr="00900190" w:rsidRDefault="00B5335E" w:rsidP="00E670F5">
            <w:pPr>
              <w:jc w:val="both"/>
            </w:pPr>
          </w:p>
          <w:p w:rsidR="00D73BB3" w:rsidRPr="00900190" w:rsidRDefault="00B5335E" w:rsidP="00E670F5">
            <w:pPr>
              <w:jc w:val="both"/>
            </w:pPr>
            <w:r w:rsidRPr="00900190">
              <w:t>п</w:t>
            </w:r>
            <w:r w:rsidR="00D73BB3" w:rsidRPr="00900190">
              <w:t>ункт 7 виключити.</w:t>
            </w:r>
          </w:p>
        </w:tc>
      </w:tr>
      <w:tr w:rsidR="004509A5" w:rsidRPr="00900190" w:rsidTr="00E670F5">
        <w:tc>
          <w:tcPr>
            <w:tcW w:w="7732" w:type="dxa"/>
            <w:shd w:val="clear" w:color="auto" w:fill="auto"/>
          </w:tcPr>
          <w:p w:rsidR="004509A5" w:rsidRPr="00E670F5" w:rsidRDefault="004509A5" w:rsidP="00E670F5">
            <w:pPr>
              <w:jc w:val="both"/>
              <w:rPr>
                <w:b/>
                <w:bCs/>
              </w:rPr>
            </w:pPr>
            <w:r w:rsidRPr="00E670F5">
              <w:rPr>
                <w:b/>
              </w:rPr>
              <w:t>V. Вимоги щодо складу та структури активів недиверсифікованого ІСІ</w:t>
            </w:r>
          </w:p>
        </w:tc>
        <w:tc>
          <w:tcPr>
            <w:tcW w:w="7734" w:type="dxa"/>
            <w:shd w:val="clear" w:color="auto" w:fill="auto"/>
          </w:tcPr>
          <w:p w:rsidR="004509A5" w:rsidRPr="00E670F5" w:rsidRDefault="004509A5" w:rsidP="00E670F5">
            <w:pPr>
              <w:jc w:val="both"/>
              <w:rPr>
                <w:b/>
                <w:bCs/>
              </w:rPr>
            </w:pPr>
            <w:r w:rsidRPr="00E670F5">
              <w:rPr>
                <w:b/>
              </w:rPr>
              <w:t>V. Вимоги щодо складу та структури активів недиверсифікованого ІСІ</w:t>
            </w:r>
          </w:p>
        </w:tc>
      </w:tr>
      <w:tr w:rsidR="004509A5" w:rsidRPr="00900190" w:rsidTr="00E670F5">
        <w:tc>
          <w:tcPr>
            <w:tcW w:w="7732" w:type="dxa"/>
            <w:shd w:val="clear" w:color="auto" w:fill="auto"/>
          </w:tcPr>
          <w:p w:rsidR="004509A5" w:rsidRPr="00E670F5" w:rsidRDefault="004509A5" w:rsidP="00E670F5">
            <w:pPr>
              <w:jc w:val="both"/>
              <w:rPr>
                <w:bCs/>
              </w:rPr>
            </w:pPr>
            <w:r w:rsidRPr="00900190">
              <w:t>1. Активи недиверсифікованого ІСІ можуть становити всі активи, визначені в розділі II цього Положення, з урахуванням встановлених законодавством обмежень для недиверсифікованих ІСІ.</w:t>
            </w:r>
          </w:p>
        </w:tc>
        <w:tc>
          <w:tcPr>
            <w:tcW w:w="7734" w:type="dxa"/>
            <w:shd w:val="clear" w:color="auto" w:fill="auto"/>
          </w:tcPr>
          <w:p w:rsidR="004509A5" w:rsidRPr="00E670F5" w:rsidRDefault="004509A5" w:rsidP="00E670F5">
            <w:pPr>
              <w:jc w:val="both"/>
              <w:rPr>
                <w:bCs/>
              </w:rPr>
            </w:pPr>
            <w:r w:rsidRPr="00900190">
              <w:t>1. Активи недиверсифікованого ІСІ можуть становити всі активи, визначені в розділі II цього Положення, з урахуванням встановлених законодавством обмежень для недиверсифікованих ІСІ.</w:t>
            </w:r>
          </w:p>
        </w:tc>
      </w:tr>
      <w:tr w:rsidR="004509A5" w:rsidRPr="00900190" w:rsidTr="00E670F5">
        <w:tc>
          <w:tcPr>
            <w:tcW w:w="7732" w:type="dxa"/>
            <w:shd w:val="clear" w:color="auto" w:fill="auto"/>
          </w:tcPr>
          <w:p w:rsidR="004509A5" w:rsidRPr="00900190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2. Структура активів недиверсифікованого ІСІ (крім венчурного ІСІ) повинна відповідати таким вимогам:</w:t>
            </w:r>
          </w:p>
          <w:p w:rsidR="004509A5" w:rsidRPr="00900190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1) вартість нерухомості та цінних паперів, які не допущені до торгів на фондовій біржі, не може становити більше ніж 50 відсотків загальної вартості активів ІСІ недиверсифікованого виду;</w:t>
            </w:r>
          </w:p>
          <w:p w:rsidR="004509A5" w:rsidRPr="00E670F5" w:rsidRDefault="004509A5" w:rsidP="00E670F5">
            <w:pPr>
              <w:jc w:val="both"/>
              <w:rPr>
                <w:bCs/>
              </w:rPr>
            </w:pPr>
            <w:r w:rsidRPr="00900190">
              <w:t>2) векселі та ощадні (депозитні) сертифікати не можуть становити більш як 30 відсотків вартості активів ІСІ недиверсифікованого виду.</w:t>
            </w:r>
          </w:p>
        </w:tc>
        <w:tc>
          <w:tcPr>
            <w:tcW w:w="7734" w:type="dxa"/>
            <w:shd w:val="clear" w:color="auto" w:fill="auto"/>
          </w:tcPr>
          <w:p w:rsidR="004509A5" w:rsidRPr="00900190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2. Структура активів недиверсифікованого ІСІ (крім венчурного ІСІ) повинна відповідати таким вимогам:</w:t>
            </w:r>
          </w:p>
          <w:p w:rsidR="004509A5" w:rsidRPr="00900190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1) вартість нерухомості та цінних паперів, які не допущені до торгів на фондовій біржі, не може становити більше ніж 50 відсотків загальної вартості активів ІСІ недиверсифікованого виду;</w:t>
            </w:r>
          </w:p>
          <w:p w:rsidR="004509A5" w:rsidRPr="00E670F5" w:rsidRDefault="004509A5" w:rsidP="00E670F5">
            <w:pPr>
              <w:jc w:val="both"/>
              <w:rPr>
                <w:bCs/>
              </w:rPr>
            </w:pPr>
            <w:r w:rsidRPr="00900190">
              <w:t>2) векселі та ощадні (депозитні) сертифікати не можуть становити більш як 30 відсотків вартості активів ІСІ недиверсифікованого виду.</w:t>
            </w:r>
          </w:p>
        </w:tc>
      </w:tr>
      <w:tr w:rsidR="004509A5" w:rsidRPr="00900190" w:rsidTr="00E670F5">
        <w:tc>
          <w:tcPr>
            <w:tcW w:w="7732" w:type="dxa"/>
            <w:shd w:val="clear" w:color="auto" w:fill="auto"/>
          </w:tcPr>
          <w:p w:rsidR="004509A5" w:rsidRPr="00900190" w:rsidRDefault="004509A5" w:rsidP="00E670F5">
            <w:pPr>
              <w:pStyle w:val="tjbmf"/>
              <w:shd w:val="clear" w:color="auto" w:fill="FFFFFF"/>
              <w:jc w:val="both"/>
            </w:pPr>
            <w:r w:rsidRPr="00900190">
              <w:t>3. Активи венчурного фонду можуть повністю складатися з коштів, нерухомості, корпоративних прав, прав вимоги та цінних паперів, що не допущені до торгів на фондовій біржі.</w:t>
            </w:r>
          </w:p>
          <w:p w:rsidR="004509A5" w:rsidRPr="00900190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До складу активів венчурного фонду можуть входити боргові зобов'язання. Такі зобов'язання можуть бути оформлені векселями, заставними, договорами відступлення права вимоги, позики та в інший спосіб, не заборонений законодавством.</w:t>
            </w:r>
          </w:p>
          <w:p w:rsidR="004509A5" w:rsidRPr="00900190" w:rsidRDefault="004509A5" w:rsidP="00E670F5">
            <w:pPr>
              <w:pStyle w:val="tjbmf"/>
              <w:shd w:val="clear" w:color="auto" w:fill="FFFFFF"/>
              <w:spacing w:before="120" w:beforeAutospacing="0" w:after="0" w:afterAutospacing="0"/>
              <w:jc w:val="both"/>
            </w:pPr>
            <w:r w:rsidRPr="00900190">
              <w:t>Венчурний фонд має право надавати кошти у позику. Позики за рахунок коштів венчурного фонду можуть надаватися тільки юридичним особам за умови, що не менш як 10 відсотків статутного капіталу відповідної юридичної особи належить такому венчурному фонду.</w:t>
            </w:r>
          </w:p>
          <w:p w:rsidR="00C8139D" w:rsidRPr="00900190" w:rsidRDefault="00C8139D" w:rsidP="00E670F5">
            <w:pPr>
              <w:pStyle w:val="tjbmf"/>
              <w:shd w:val="clear" w:color="auto" w:fill="FFFFFF"/>
              <w:spacing w:before="120" w:beforeAutospacing="0" w:after="0" w:afterAutospacing="0"/>
              <w:jc w:val="both"/>
            </w:pPr>
          </w:p>
          <w:p w:rsidR="004509A5" w:rsidRPr="00E670F5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  <w:rPr>
                <w:b/>
                <w:strike/>
              </w:rPr>
            </w:pPr>
            <w:r w:rsidRPr="00E670F5">
              <w:rPr>
                <w:b/>
                <w:strike/>
              </w:rPr>
              <w:t xml:space="preserve">Права вимоги можуть бути залучені виключно до складу активів </w:t>
            </w:r>
            <w:r w:rsidRPr="00E670F5">
              <w:rPr>
                <w:b/>
                <w:strike/>
              </w:rPr>
              <w:lastRenderedPageBreak/>
              <w:t>венчурного фонду та лише за кредитними договорами. Залучення компанією з управління активами до складу активів венчурного фонду прав вимоги за кредитними договорами здійснюється шляхом укладення з банківською установою договорів відступлення права вимоги. Предметом договору відступлення права вимоги може бути право вимоги за кредитним договором, оцінка вартості якого проведена банківською установою з урахуванням ризиків невиконання боржником своїх зобов'язань та була здійснена не пізніше одного місяця до укладання такого договору.</w:t>
            </w:r>
          </w:p>
          <w:p w:rsidR="004509A5" w:rsidRPr="00E670F5" w:rsidRDefault="004509A5" w:rsidP="00E670F5">
            <w:pPr>
              <w:jc w:val="both"/>
              <w:rPr>
                <w:b/>
                <w:strike/>
              </w:rPr>
            </w:pPr>
          </w:p>
          <w:p w:rsidR="004509A5" w:rsidRPr="00E670F5" w:rsidRDefault="004509A5" w:rsidP="00E670F5">
            <w:pPr>
              <w:jc w:val="both"/>
              <w:rPr>
                <w:b/>
                <w:strike/>
              </w:rPr>
            </w:pPr>
          </w:p>
          <w:p w:rsidR="004509A5" w:rsidRPr="00E670F5" w:rsidRDefault="004509A5" w:rsidP="00E670F5">
            <w:pPr>
              <w:jc w:val="both"/>
              <w:rPr>
                <w:b/>
                <w:strike/>
              </w:rPr>
            </w:pPr>
          </w:p>
          <w:p w:rsidR="004509A5" w:rsidRPr="00E670F5" w:rsidRDefault="004509A5" w:rsidP="00E670F5">
            <w:pPr>
              <w:jc w:val="both"/>
              <w:rPr>
                <w:b/>
                <w:strike/>
              </w:rPr>
            </w:pPr>
          </w:p>
          <w:p w:rsidR="004509A5" w:rsidRPr="00E670F5" w:rsidRDefault="004509A5" w:rsidP="00E670F5">
            <w:pPr>
              <w:jc w:val="both"/>
              <w:rPr>
                <w:b/>
                <w:strike/>
              </w:rPr>
            </w:pPr>
          </w:p>
          <w:p w:rsidR="004509A5" w:rsidRPr="00E670F5" w:rsidRDefault="004509A5" w:rsidP="00E670F5">
            <w:pPr>
              <w:jc w:val="both"/>
              <w:rPr>
                <w:b/>
              </w:rPr>
            </w:pPr>
            <w:r w:rsidRPr="00E670F5">
              <w:rPr>
                <w:b/>
              </w:rPr>
              <w:t>Право вимоги за кредитним договором, укладеним банківською установою з фізичною особою, може бути залучене до складу активів венчурного ІСІ, якщо сума наданого такій фізичній особі кредиту становить не менше 1500 мінімальних заробітних плат у місячному розмірі станом на дату укладення такого договору надання кредиту.</w:t>
            </w:r>
          </w:p>
          <w:p w:rsidR="00B5335E" w:rsidRPr="00E670F5" w:rsidRDefault="00B5335E" w:rsidP="00E670F5">
            <w:pPr>
              <w:jc w:val="both"/>
              <w:rPr>
                <w:b/>
                <w:bCs/>
              </w:rPr>
            </w:pPr>
          </w:p>
        </w:tc>
        <w:tc>
          <w:tcPr>
            <w:tcW w:w="7734" w:type="dxa"/>
            <w:shd w:val="clear" w:color="auto" w:fill="auto"/>
          </w:tcPr>
          <w:p w:rsidR="004509A5" w:rsidRPr="00900190" w:rsidRDefault="004509A5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lastRenderedPageBreak/>
              <w:t>3. Активи венчурного фонду можуть повністю складатися з коштів, нерухомості, корпоративних прав, прав вимоги та цінних паперів, що не допущені до торгів на фондовій біржі.</w:t>
            </w:r>
          </w:p>
          <w:p w:rsidR="004509A5" w:rsidRPr="00900190" w:rsidRDefault="004509A5" w:rsidP="00E670F5">
            <w:pPr>
              <w:pStyle w:val="tjbmf"/>
              <w:shd w:val="clear" w:color="auto" w:fill="FFFFFF"/>
              <w:spacing w:before="120" w:beforeAutospacing="0" w:after="0" w:afterAutospacing="0"/>
              <w:jc w:val="both"/>
            </w:pPr>
            <w:r w:rsidRPr="00900190">
              <w:t>До складу активів венчурного фонду можуть входити боргові зобов'язання. Такі зобов'язання можуть бути оформлені векселями, заставними, договорами відступлення права вимоги, позики та в інший спосіб, не заборонений законодавством.</w:t>
            </w:r>
          </w:p>
          <w:p w:rsidR="004509A5" w:rsidRPr="00900190" w:rsidRDefault="004509A5" w:rsidP="00E670F5">
            <w:pPr>
              <w:pStyle w:val="tjbmf"/>
              <w:shd w:val="clear" w:color="auto" w:fill="FFFFFF"/>
              <w:spacing w:before="120" w:beforeAutospacing="0" w:after="0" w:afterAutospacing="0"/>
              <w:jc w:val="both"/>
            </w:pPr>
            <w:r w:rsidRPr="00900190">
              <w:t xml:space="preserve">Венчурний фонд має право надавати кошти у позику. Позики за рахунок коштів венчурного фонду можуть надаватися тільки юридичним особам за умови, що не менш як 10 відсотків статутного капіталу відповідної юридичної особи належить такому венчурному фонду </w:t>
            </w:r>
            <w:r w:rsidRPr="00E670F5">
              <w:rPr>
                <w:b/>
              </w:rPr>
              <w:t>на момент укладання договору позики та</w:t>
            </w:r>
            <w:r w:rsidRPr="00900190">
              <w:t xml:space="preserve"> </w:t>
            </w:r>
            <w:r w:rsidRPr="00E670F5">
              <w:rPr>
                <w:b/>
              </w:rPr>
              <w:t>протягом строку його дії</w:t>
            </w:r>
            <w:r w:rsidRPr="00900190">
              <w:t>.</w:t>
            </w:r>
          </w:p>
          <w:p w:rsidR="004509A5" w:rsidRPr="00E670F5" w:rsidRDefault="004509A5" w:rsidP="00E670F5">
            <w:pPr>
              <w:pStyle w:val="tjbmf"/>
              <w:shd w:val="clear" w:color="auto" w:fill="FFFFFF"/>
              <w:spacing w:before="240" w:beforeAutospacing="0" w:after="0" w:afterAutospacing="0"/>
              <w:jc w:val="both"/>
              <w:rPr>
                <w:b/>
                <w:strike/>
              </w:rPr>
            </w:pPr>
            <w:r w:rsidRPr="00E670F5">
              <w:rPr>
                <w:b/>
              </w:rPr>
              <w:t xml:space="preserve">Права вимоги можуть придбаватися виключно до складу активів </w:t>
            </w:r>
            <w:r w:rsidRPr="00E670F5">
              <w:rPr>
                <w:b/>
              </w:rPr>
              <w:lastRenderedPageBreak/>
              <w:t>венчурного фонду та лише за кредитними договорами</w:t>
            </w:r>
            <w:r w:rsidR="003E490A" w:rsidRPr="00E670F5">
              <w:rPr>
                <w:b/>
              </w:rPr>
              <w:t xml:space="preserve"> банків</w:t>
            </w:r>
            <w:r w:rsidR="00964F9D" w:rsidRPr="00E670F5">
              <w:rPr>
                <w:b/>
              </w:rPr>
              <w:t>, укладеними з юридичними особами</w:t>
            </w:r>
            <w:r w:rsidRPr="00E670F5">
              <w:rPr>
                <w:b/>
              </w:rPr>
              <w:t xml:space="preserve">. Придбання компанією з управління активами до складу активів венчурного фонду прав вимоги за кредитними договорами здійснюється шляхом укладення договорів відступлення права вимоги (цесії) з урахуванням обмежень, встановлених Законом та цим Положенням. </w:t>
            </w:r>
          </w:p>
          <w:p w:rsidR="004509A5" w:rsidRPr="00900190" w:rsidRDefault="004509A5"/>
          <w:p w:rsidR="004509A5" w:rsidRPr="00E670F5" w:rsidRDefault="004509A5" w:rsidP="00E670F5">
            <w:pPr>
              <w:pStyle w:val="tjbmf"/>
              <w:shd w:val="clear" w:color="auto" w:fill="FFFFFF"/>
              <w:spacing w:before="120" w:beforeAutospacing="0" w:after="0" w:afterAutospacing="0"/>
              <w:jc w:val="both"/>
              <w:rPr>
                <w:b/>
              </w:rPr>
            </w:pPr>
            <w:r w:rsidRPr="00E670F5">
              <w:rPr>
                <w:b/>
              </w:rPr>
              <w:t>Придбання прав вимоги до складу активів венчурного фонду здійснюється за оціночною вартістю, що визначається з дотриманням вимог законодавства про оцінку майна, майнових прав та професійну оціночну діяльність в Україні, зокрема з урахуванням ризиків невиконання боржником своїх зобов’язань, та може становити суму з дисконтом від суми боргу боржника.</w:t>
            </w:r>
          </w:p>
          <w:p w:rsidR="004509A5" w:rsidRPr="00900190" w:rsidRDefault="004509A5"/>
          <w:p w:rsidR="004509A5" w:rsidRPr="00900190" w:rsidRDefault="004509A5" w:rsidP="00E670F5">
            <w:pPr>
              <w:jc w:val="both"/>
            </w:pPr>
          </w:p>
        </w:tc>
      </w:tr>
      <w:tr w:rsidR="000241D8" w:rsidRPr="00900190" w:rsidTr="00E670F5">
        <w:tc>
          <w:tcPr>
            <w:tcW w:w="7732" w:type="dxa"/>
            <w:shd w:val="clear" w:color="auto" w:fill="auto"/>
          </w:tcPr>
          <w:p w:rsidR="000241D8" w:rsidRPr="00E670F5" w:rsidRDefault="000241D8" w:rsidP="00E670F5">
            <w:pPr>
              <w:pStyle w:val="tjbmf"/>
              <w:jc w:val="both"/>
              <w:rPr>
                <w:b/>
              </w:rPr>
            </w:pPr>
            <w:r w:rsidRPr="00E670F5">
              <w:rPr>
                <w:b/>
              </w:rPr>
              <w:lastRenderedPageBreak/>
              <w:t>VII. Порядок дотримання вимог щодо структури активів ІСІ</w:t>
            </w:r>
          </w:p>
        </w:tc>
        <w:tc>
          <w:tcPr>
            <w:tcW w:w="7734" w:type="dxa"/>
            <w:shd w:val="clear" w:color="auto" w:fill="auto"/>
          </w:tcPr>
          <w:p w:rsidR="000241D8" w:rsidRPr="00E670F5" w:rsidRDefault="000241D8" w:rsidP="00E670F5">
            <w:pPr>
              <w:pStyle w:val="tjbmf"/>
              <w:jc w:val="both"/>
              <w:rPr>
                <w:b/>
              </w:rPr>
            </w:pPr>
            <w:r w:rsidRPr="00E670F5">
              <w:rPr>
                <w:b/>
              </w:rPr>
              <w:t>VII. Порядок дотримання вимог щодо структури активів ІСІ</w:t>
            </w:r>
          </w:p>
        </w:tc>
      </w:tr>
      <w:tr w:rsidR="000241D8" w:rsidRPr="00900190" w:rsidTr="00E670F5">
        <w:tc>
          <w:tcPr>
            <w:tcW w:w="7732" w:type="dxa"/>
            <w:shd w:val="clear" w:color="auto" w:fill="auto"/>
          </w:tcPr>
          <w:p w:rsidR="00E6535A" w:rsidRPr="00900190" w:rsidRDefault="00E6535A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…………………….</w:t>
            </w:r>
          </w:p>
          <w:p w:rsidR="000241D8" w:rsidRPr="00900190" w:rsidRDefault="000241D8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 xml:space="preserve">4. Про усунення порушення вимог щодо структури активів ІСІ компанія з управління активами зобов'язана повідомити Комісію, надати оригінали або засвідчені підписом уповноваженої особи </w:t>
            </w:r>
            <w:r w:rsidRPr="00E670F5">
              <w:rPr>
                <w:b/>
                <w:strike/>
              </w:rPr>
              <w:t>та печаткою</w:t>
            </w:r>
            <w:r w:rsidRPr="00900190">
              <w:t xml:space="preserve"> компанії з управління активами копії документів, які підтверджують його усунення, протягом десяти робочих днів з дати його усунення.</w:t>
            </w:r>
          </w:p>
        </w:tc>
        <w:tc>
          <w:tcPr>
            <w:tcW w:w="7734" w:type="dxa"/>
            <w:shd w:val="clear" w:color="auto" w:fill="auto"/>
          </w:tcPr>
          <w:p w:rsidR="00E6535A" w:rsidRPr="00900190" w:rsidRDefault="00E6535A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……………………..</w:t>
            </w:r>
          </w:p>
          <w:p w:rsidR="000241D8" w:rsidRPr="00900190" w:rsidRDefault="000241D8" w:rsidP="00E670F5">
            <w:pPr>
              <w:pStyle w:val="tjbmf"/>
              <w:shd w:val="clear" w:color="auto" w:fill="FFFFFF"/>
              <w:spacing w:before="0" w:beforeAutospacing="0" w:after="0" w:afterAutospacing="0"/>
              <w:jc w:val="both"/>
            </w:pPr>
            <w:r w:rsidRPr="00900190">
              <w:t>4. Про усунення порушення вимог щодо структури активів ІСІ компанія з управління активами зобов'язана повідомити Комісію, надати оригінали або засвідчені підписом уповноваженої особи компанії з управління активами копії документів, які підтверджують його усунення, протягом десяти робочих днів з дати його усунення.</w:t>
            </w:r>
          </w:p>
        </w:tc>
      </w:tr>
    </w:tbl>
    <w:p w:rsidR="00674EAA" w:rsidRPr="00900190" w:rsidRDefault="00674EAA"/>
    <w:p w:rsidR="00964F9D" w:rsidRPr="00900190" w:rsidRDefault="00964F9D"/>
    <w:p w:rsidR="00964F9D" w:rsidRPr="00900190" w:rsidRDefault="00964F9D"/>
    <w:sectPr w:rsidR="00964F9D" w:rsidRPr="00900190" w:rsidSect="00900190">
      <w:headerReference w:type="even" r:id="rId6"/>
      <w:headerReference w:type="default" r:id="rId7"/>
      <w:pgSz w:w="16838" w:h="11906" w:orient="landscape"/>
      <w:pgMar w:top="737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F5" w:rsidRDefault="00E670F5">
      <w:r>
        <w:separator/>
      </w:r>
    </w:p>
  </w:endnote>
  <w:endnote w:type="continuationSeparator" w:id="0">
    <w:p w:rsidR="00E670F5" w:rsidRDefault="00E6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F5" w:rsidRDefault="00E670F5">
      <w:r>
        <w:separator/>
      </w:r>
    </w:p>
  </w:footnote>
  <w:footnote w:type="continuationSeparator" w:id="0">
    <w:p w:rsidR="00E670F5" w:rsidRDefault="00E6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90" w:rsidRDefault="00900190" w:rsidP="009001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190" w:rsidRDefault="00900190" w:rsidP="00101C2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90" w:rsidRDefault="00900190" w:rsidP="00526E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5E51">
      <w:rPr>
        <w:rStyle w:val="a6"/>
        <w:noProof/>
      </w:rPr>
      <w:t>2</w:t>
    </w:r>
    <w:r>
      <w:rPr>
        <w:rStyle w:val="a6"/>
      </w:rPr>
      <w:fldChar w:fldCharType="end"/>
    </w:r>
  </w:p>
  <w:p w:rsidR="00900190" w:rsidRDefault="00900190" w:rsidP="00101C2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B9D"/>
    <w:rsid w:val="0000496E"/>
    <w:rsid w:val="000110E6"/>
    <w:rsid w:val="00015D8B"/>
    <w:rsid w:val="000241D8"/>
    <w:rsid w:val="000272AA"/>
    <w:rsid w:val="000A3A8E"/>
    <w:rsid w:val="000A472A"/>
    <w:rsid w:val="000A50F1"/>
    <w:rsid w:val="000C6087"/>
    <w:rsid w:val="000D5706"/>
    <w:rsid w:val="00101C22"/>
    <w:rsid w:val="00106DD6"/>
    <w:rsid w:val="00123E04"/>
    <w:rsid w:val="00155EDD"/>
    <w:rsid w:val="001976AC"/>
    <w:rsid w:val="001B2B41"/>
    <w:rsid w:val="001C5108"/>
    <w:rsid w:val="00205E51"/>
    <w:rsid w:val="00260B6B"/>
    <w:rsid w:val="002A1138"/>
    <w:rsid w:val="002A3A9D"/>
    <w:rsid w:val="002C0B9D"/>
    <w:rsid w:val="002E0112"/>
    <w:rsid w:val="002E4827"/>
    <w:rsid w:val="002E7072"/>
    <w:rsid w:val="002F4535"/>
    <w:rsid w:val="002F58E4"/>
    <w:rsid w:val="00306488"/>
    <w:rsid w:val="0030672B"/>
    <w:rsid w:val="0032475B"/>
    <w:rsid w:val="00332920"/>
    <w:rsid w:val="0033648D"/>
    <w:rsid w:val="00354870"/>
    <w:rsid w:val="00383ED2"/>
    <w:rsid w:val="003A5780"/>
    <w:rsid w:val="003A76EA"/>
    <w:rsid w:val="003C55DC"/>
    <w:rsid w:val="003E490A"/>
    <w:rsid w:val="004005A3"/>
    <w:rsid w:val="0042091E"/>
    <w:rsid w:val="004310B5"/>
    <w:rsid w:val="0045049E"/>
    <w:rsid w:val="004509A5"/>
    <w:rsid w:val="00497879"/>
    <w:rsid w:val="004E38D3"/>
    <w:rsid w:val="00505A95"/>
    <w:rsid w:val="005110FA"/>
    <w:rsid w:val="0051268C"/>
    <w:rsid w:val="00526EF7"/>
    <w:rsid w:val="0055490B"/>
    <w:rsid w:val="00584669"/>
    <w:rsid w:val="00596817"/>
    <w:rsid w:val="005F11EF"/>
    <w:rsid w:val="0060535A"/>
    <w:rsid w:val="00674EAA"/>
    <w:rsid w:val="006C7247"/>
    <w:rsid w:val="006E45F5"/>
    <w:rsid w:val="006F69B7"/>
    <w:rsid w:val="007206CE"/>
    <w:rsid w:val="007357DB"/>
    <w:rsid w:val="0075038D"/>
    <w:rsid w:val="00787E96"/>
    <w:rsid w:val="007B0FE0"/>
    <w:rsid w:val="007B1E64"/>
    <w:rsid w:val="007C1215"/>
    <w:rsid w:val="007D5442"/>
    <w:rsid w:val="007E0CC9"/>
    <w:rsid w:val="007E498D"/>
    <w:rsid w:val="0080600D"/>
    <w:rsid w:val="00835490"/>
    <w:rsid w:val="00843519"/>
    <w:rsid w:val="00880DAE"/>
    <w:rsid w:val="008A26C7"/>
    <w:rsid w:val="008B25ED"/>
    <w:rsid w:val="008C08C2"/>
    <w:rsid w:val="008F6164"/>
    <w:rsid w:val="00900190"/>
    <w:rsid w:val="009145BA"/>
    <w:rsid w:val="0094160E"/>
    <w:rsid w:val="009572F6"/>
    <w:rsid w:val="00964F9D"/>
    <w:rsid w:val="00966123"/>
    <w:rsid w:val="009A3796"/>
    <w:rsid w:val="00A4255B"/>
    <w:rsid w:val="00AD24D6"/>
    <w:rsid w:val="00B1625D"/>
    <w:rsid w:val="00B178B1"/>
    <w:rsid w:val="00B21A25"/>
    <w:rsid w:val="00B417A8"/>
    <w:rsid w:val="00B5335E"/>
    <w:rsid w:val="00B54567"/>
    <w:rsid w:val="00B85F70"/>
    <w:rsid w:val="00B87F49"/>
    <w:rsid w:val="00BB1C65"/>
    <w:rsid w:val="00BF50F0"/>
    <w:rsid w:val="00C03FE3"/>
    <w:rsid w:val="00C12E99"/>
    <w:rsid w:val="00C1593D"/>
    <w:rsid w:val="00C52BE7"/>
    <w:rsid w:val="00C60ECA"/>
    <w:rsid w:val="00C8139D"/>
    <w:rsid w:val="00C9075F"/>
    <w:rsid w:val="00C91F9E"/>
    <w:rsid w:val="00C9758C"/>
    <w:rsid w:val="00D268C6"/>
    <w:rsid w:val="00D3202E"/>
    <w:rsid w:val="00D47D71"/>
    <w:rsid w:val="00D57A75"/>
    <w:rsid w:val="00D64705"/>
    <w:rsid w:val="00D73BB3"/>
    <w:rsid w:val="00DB7BEB"/>
    <w:rsid w:val="00DB7E3E"/>
    <w:rsid w:val="00E3755C"/>
    <w:rsid w:val="00E6535A"/>
    <w:rsid w:val="00E670F5"/>
    <w:rsid w:val="00EC2B1A"/>
    <w:rsid w:val="00EC4567"/>
    <w:rsid w:val="00ED547C"/>
    <w:rsid w:val="00EF3BDB"/>
    <w:rsid w:val="00EF68C6"/>
    <w:rsid w:val="00F026E8"/>
    <w:rsid w:val="00F164EE"/>
    <w:rsid w:val="00F83984"/>
    <w:rsid w:val="00F87FB5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D7365-4C3D-46F9-AC6A-8E07F5BC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9D"/>
    <w:rPr>
      <w:sz w:val="24"/>
      <w:szCs w:val="24"/>
      <w:lang w:val="uk-UA" w:eastAsia="uk-UA"/>
    </w:rPr>
  </w:style>
  <w:style w:type="paragraph" w:styleId="3">
    <w:name w:val="heading 3"/>
    <w:basedOn w:val="a"/>
    <w:next w:val="a"/>
    <w:qFormat/>
    <w:rsid w:val="002C0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C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bmf">
    <w:name w:val="tj bmf"/>
    <w:basedOn w:val="a"/>
    <w:rsid w:val="0055490B"/>
    <w:pPr>
      <w:spacing w:before="100" w:beforeAutospacing="1" w:after="100" w:afterAutospacing="1"/>
    </w:pPr>
  </w:style>
  <w:style w:type="paragraph" w:customStyle="1" w:styleId="trbmf">
    <w:name w:val="tr bmf"/>
    <w:basedOn w:val="a"/>
    <w:rsid w:val="0055490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6F69B7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0A50F1"/>
  </w:style>
  <w:style w:type="paragraph" w:styleId="a5">
    <w:name w:val="header"/>
    <w:basedOn w:val="a"/>
    <w:rsid w:val="00101C22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101C22"/>
  </w:style>
  <w:style w:type="paragraph" w:styleId="a7">
    <w:name w:val="footer"/>
    <w:basedOn w:val="a"/>
    <w:rsid w:val="00900190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Порівняльна таблиця до проекту рішення Комісії «Про внесення змін до Положення про склад та структуру активів інституту спільного інвестування»</vt:lpstr>
    </vt:vector>
  </TitlesOfParts>
  <Company>SSMSC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 до проекту рішення Комісії «Про внесення змін до Положення про склад та структуру активів інституту спільного інвестування»</dc:title>
  <dc:subject/>
  <dc:creator>yuliia.shuliak</dc:creator>
  <cp:keywords/>
  <dc:description/>
  <cp:lastModifiedBy>Руслан Кисляк</cp:lastModifiedBy>
  <cp:revision>2</cp:revision>
  <cp:lastPrinted>2018-09-07T12:47:00Z</cp:lastPrinted>
  <dcterms:created xsi:type="dcterms:W3CDTF">2018-11-28T09:39:00Z</dcterms:created>
  <dcterms:modified xsi:type="dcterms:W3CDTF">2018-11-28T09:39:00Z</dcterms:modified>
</cp:coreProperties>
</file>