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453B">
      <w:pPr>
        <w:pStyle w:val="a3"/>
        <w:spacing w:before="0" w:beforeAutospacing="0" w:after="0" w:afterAutospacing="0"/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2" name="Рисунок 2" descr="C:\Users\ninel.chernomorchenk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el.chernomorchenk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A453B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000000" w:rsidRDefault="00BA453B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13.12.2018</w:t>
            </w:r>
          </w:p>
        </w:tc>
        <w:tc>
          <w:tcPr>
            <w:tcW w:w="15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N 867</w:t>
            </w:r>
          </w:p>
        </w:tc>
      </w:tr>
    </w:tbl>
    <w:p w:rsidR="00000000" w:rsidRDefault="00BA453B">
      <w:pPr>
        <w:ind w:firstLine="709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11 с</w:t>
      </w:r>
      <w:r>
        <w:rPr>
          <w:b/>
          <w:bCs/>
        </w:rPr>
        <w:t>ічня 2019 р. за N 30/33001</w:t>
      </w:r>
    </w:p>
    <w:p w:rsidR="00000000" w:rsidRDefault="00BA453B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Положення про порядок звітування депозитарними установами до Національної комісії з цінних паперів та фондового ринку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Відповідно до абзацу шостого </w:t>
      </w:r>
      <w:r>
        <w:rPr>
          <w:color w:val="0000FF"/>
        </w:rPr>
        <w:t xml:space="preserve">пункту 2 статті 28 розділу V Закону України "Про депозитарну </w:t>
      </w:r>
      <w:r>
        <w:rPr>
          <w:color w:val="0000FF"/>
        </w:rPr>
        <w:t>систему України"</w:t>
      </w:r>
      <w:r>
        <w:t xml:space="preserve">, </w:t>
      </w:r>
      <w:r>
        <w:rPr>
          <w:color w:val="0000FF"/>
        </w:rPr>
        <w:t>пункту 10 частини другої статті 7</w:t>
      </w:r>
      <w:r>
        <w:t xml:space="preserve"> та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Закону України від 15 травня 2018 року N 2418-VIII "Про внесення змін до деяких законів України щодо сприянн</w:t>
      </w:r>
      <w:r>
        <w:rPr>
          <w:color w:val="0000FF"/>
        </w:rPr>
        <w:t>я залученню іноземних інвестицій"</w:t>
      </w:r>
      <w:r>
        <w:t xml:space="preserve"> Національна комісія з цінних паперів та фондового ринку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ВИРІШИЛА: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spellStart"/>
      <w:r>
        <w:t>Унести</w:t>
      </w:r>
      <w:proofErr w:type="spellEnd"/>
      <w:r>
        <w:t xml:space="preserve"> до Положення про порядок звітування депозитарними установами до Національної комісії з цінних паперів та фондового ринку, затвердженого </w:t>
      </w:r>
      <w:r>
        <w:rPr>
          <w:color w:val="0000FF"/>
        </w:rPr>
        <w:t>рішенням Н</w:t>
      </w:r>
      <w:r>
        <w:rPr>
          <w:color w:val="0000FF"/>
        </w:rPr>
        <w:t>аціональної комісії з цінних паперів та фондового ринку від 11 червня 2013 року N 992</w:t>
      </w:r>
      <w:r>
        <w:t>, зареєстрованого в Міністерстві юстиції України 05 липня 2013 року за N 1126/23658, такі зміни: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1) у пункті 3 розділу I: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абзац третій викласти в такій редакції: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"власник </w:t>
      </w:r>
      <w:r>
        <w:t>пакета акцій - особа (крім нотаріуса, на депозит якого внесені цінні папери, та номінального утримувача), на рахунку у цінних паперах якої у депозитарній установі, у номінального утримувача / клієнта номінального утримувача обліковуються права на голосуючі</w:t>
      </w:r>
      <w:r>
        <w:t xml:space="preserve"> акції певного емітента у кількості, що становить 5 відсотків і більше статутного капіталу такого емітента;";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абзац шостий замінити трьома абзацами такого змісту: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"іноземна фінансова установа - іноземна фінансова установа, яка зареєстрована в державі, що є</w:t>
      </w:r>
      <w:r>
        <w:t xml:space="preserve"> членом Європейського Союзу та/або членом Групи з розробки фінансових заходів боротьби з відмиванням грошей (FATF) (крім іноземної фінансової установи, яка зареєстрована в державі, що здійснює збройну агресію проти України у значенні, наведеному у </w:t>
      </w:r>
      <w:r>
        <w:rPr>
          <w:color w:val="0000FF"/>
        </w:rPr>
        <w:t>статті 1</w:t>
      </w:r>
      <w:r>
        <w:rPr>
          <w:color w:val="0000FF"/>
        </w:rPr>
        <w:t xml:space="preserve"> Закону України "Про оборону України"</w:t>
      </w:r>
      <w:r>
        <w:t>, та/або прямо чи опосередковано контролюється особами, які є резидентами зазначеної держави), в якій депозитарна установа на підставі відповідного договору відкрила рахунок (рахунки) для забезпечення надання своїм кліє</w:t>
      </w:r>
      <w:r>
        <w:t>нтам послуг з обліку цінних паперів іноземних емітентів та обмежень щодо таких цінних паперів, реєстрації переходу права власності на відповідні цінні папери та інших послуг, передбачених законодавством такої держави;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нерегулярні </w:t>
      </w:r>
      <w:r>
        <w:t>Дані - Дані, що містять інформацію про власників пакетів акцій, власників іпотечних цінних паперів, про відкриття/закриття рахунку (рахунків) у цінних паперах номінальним утримувачам / в іноземній фінансовій установі, про факти порушення номінальним утриму</w:t>
      </w:r>
      <w:r>
        <w:t>вачем встановлених вимог законодавства України;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номінальний утримувач - іноземна фінансова установа, яка зареєстрована в державі, що є членом Європейського Союзу та/або членом Групи з розробки фінансових заходів боротьби </w:t>
      </w:r>
      <w:r>
        <w:lastRenderedPageBreak/>
        <w:t>з відмиванням грошей (FATF), відпов</w:t>
      </w:r>
      <w:r>
        <w:t>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</w:t>
      </w:r>
      <w:r>
        <w:t>ідставі відповідних договорів з іноземними фінансовими установами.";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в абзаці другому пункту 6 цифри "12" замінити цифрами "18";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2) у розділі II: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у пункті 2: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в абзаці першому після слів "(додаток 1)" доповнити словами ", довідки про облікові операції, пров</w:t>
      </w:r>
      <w:r>
        <w:t>едені депозитарною установою з цінними паперами, які обліковуються на її рахунку у цінних паперах в іноземній фінансовій установі (додаток 16)";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в абзаці другому після слів "погашенням випуску цінних паперів" доповнити словами ", виконаних відповідно до ви</w:t>
      </w:r>
      <w:r>
        <w:t xml:space="preserve">мог </w:t>
      </w:r>
      <w:r>
        <w:rPr>
          <w:color w:val="0000FF"/>
        </w:rPr>
        <w:t>статті 65</w:t>
      </w:r>
      <w:r>
        <w:rPr>
          <w:color w:val="0000FF"/>
          <w:vertAlign w:val="superscript"/>
        </w:rPr>
        <w:t xml:space="preserve"> 2</w:t>
      </w:r>
      <w:r>
        <w:rPr>
          <w:color w:val="0000FF"/>
        </w:rPr>
        <w:t xml:space="preserve"> Закону України "Про акціонерні товариства"</w:t>
      </w:r>
      <w:r>
        <w:t>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підпункт 2 пункту 4 після слів "власниками цінних паперів" доповнити словами ", номінальними утримувачами";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пункт 5 доповнити новими підпунктами такого змісту: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"3) довідки про відкриття/закриття р</w:t>
      </w:r>
      <w:r>
        <w:t>ахунку (рахунків) у цінних паперах номінальним утримувачам / в іноземній фінансовій установі (додаток 17);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4) довідки про факти порушення номінальним утримувачем встановлених вимог законодавства України (додаток 18).";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3) у пункті 4 розділу III: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підпункти </w:t>
      </w:r>
      <w:r>
        <w:t>2, 3 викласти в такій редакції: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"2) збільшення кількості прав на голосуючі акції на рахунку у цінних паперах власника цінних паперів - власника пакета акцій, внаслідок чого пакет акцій збільшується від 5 % до 100 % (включно) статутного капіталу емітента;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3</w:t>
      </w:r>
      <w:r>
        <w:t>) зменшення кількості прав на голосуючі акції на рахунку в цінних паперах власника цінних паперів - власника пакета акцій, внаслідок чого пакет акцій зменшується від 100 % до 5 % (включно) статутного капіталу емітента;";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підпункти 6, 7 викласти в такій ред</w:t>
      </w:r>
      <w:r>
        <w:t>акції: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"6) збільшення за наслідками операцій емітента кількості прав на голосуючі акції на рахунку у цінних паперах власника цінних паперів - власника пакета акцій, внаслідок чого пакет акцій збільшується від 5 % до 100 % (включно) статутного капіталу еміт</w:t>
      </w:r>
      <w:r>
        <w:t>ента;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7) зменшення за наслідками операцій емітента кількості прав на голосуючі акції на рахунку в цінних паперах власника цінних паперів - власника пакета акцій, внаслідок чого пакет акцій зменшується від 100 % до 5 % (включно) статутного капіталу емітента</w:t>
      </w:r>
      <w:r>
        <w:t>;";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4) додатки 1, 4 - 6, 9 викласти в новій редакції, що додаються;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5) доповнити Положення новими додатками 16 - 18, що додаються.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2. Департаменту регулювання професійних учасників ринку цінних паперів (Курочкіна І. Ю.) забезпечити: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подання цього рішення н</w:t>
      </w:r>
      <w:r>
        <w:t>а державну реєстрацію до Міністерства юстиції України;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оприлюднення цього рішення на офіційному веб-сайті Національної комісії з цінних паперів та фондового ринку.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3. Це рішення набирає чинності з 01 березня 2019 року, але не раніше дня його офіційного опу</w:t>
      </w:r>
      <w:r>
        <w:t>блікування.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 xml:space="preserve">4.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>
        <w:t>Тарабакіна</w:t>
      </w:r>
      <w:proofErr w:type="spellEnd"/>
      <w:r>
        <w:t xml:space="preserve"> Д. В.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 xml:space="preserve">Т. </w:t>
            </w:r>
            <w:proofErr w:type="spellStart"/>
            <w:r>
              <w:rPr>
                <w:b/>
                <w:bCs/>
              </w:rPr>
              <w:t>Хромаєв</w:t>
            </w:r>
            <w:proofErr w:type="spellEnd"/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Протокол засідання Комісії</w:t>
            </w:r>
            <w:r>
              <w:br/>
              <w:t>від 13 грудня 2018 р. N 75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Додаток 1</w:t>
            </w:r>
            <w:r>
              <w:br/>
            </w:r>
            <w:r>
              <w:t>до Положення про порядок звітування депозитарними установами до Національної комісії з цінних паперів та фондового ринку</w:t>
            </w:r>
            <w:r>
              <w:br/>
              <w:t>(пункт 2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Довідка про облікові операції, проведені депозитарною установою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Дата, за яку </w:t>
            </w:r>
            <w:r>
              <w:t>подаються Дані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код за ЄДРПОУ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ідентифікаційний код з торговельного, судового або банківського реєстру країни, де офіційно зареєстров</w:t>
            </w:r>
            <w:r>
              <w:t>аний емітент цінних паперів (емітент - нерезидент)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ідентифікаційний номер за міжнародним ідентифікатором юридичних осіб (код LEI)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код за ЄДРІСІ (для інститутів спільного інвестування)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</w:t>
            </w:r>
            <w:r>
              <w:t>емітента: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країна реєстрації</w:t>
            </w:r>
            <w:r>
              <w:rPr>
                <w:vertAlign w:val="superscript"/>
              </w:rPr>
              <w:t xml:space="preserve"> 1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міжнародний ідентифікаційний номер цінних паперів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класифікації фінансових інструментів (код CFI)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</w:t>
            </w:r>
            <w:r>
              <w:rPr>
                <w:vertAlign w:val="superscript"/>
              </w:rPr>
              <w:t xml:space="preserve"> 2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номінальна вартість одного цінного папера, частка консолідованого іпотечного боргу, що припадає на один іпотечний сертифікат участі, премія - для опціонних сертифікатів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валюти</w:t>
            </w:r>
            <w:r>
              <w:rPr>
                <w:vertAlign w:val="superscript"/>
              </w:rPr>
              <w:t xml:space="preserve"> 3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</w:t>
            </w:r>
            <w:r>
              <w:t>цінні папери: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цінні папери: кількість цінних паперів, </w:t>
            </w:r>
            <w:r>
              <w:t>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ідентифікаційний номер за міжнародним ідентифікатором юридичних осіб (код LEI)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країна реєстрації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21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вид</w:t>
            </w:r>
            <w:r>
              <w:rPr>
                <w:vertAlign w:val="superscript"/>
              </w:rPr>
              <w:t xml:space="preserve"> 4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країна реєстрації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запису в журналі депозитарних операцій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Обслуговування операції: "1" - за розпорядженнями депонентів / номінального утримувача, керуючих рахунками депонентів / номінальних утримувачів; "2" </w:t>
            </w:r>
            <w:r>
              <w:t>- унаслідок виконання безумовної операції з цінними паперами; "3" - на підставі отриманої інформації від депозитарію про укладення договорів на організаторі торгівлі; "4" - на підставі отриманої інформації від депозитарію про укладення правочинів щодо цінн</w:t>
            </w:r>
            <w:r>
              <w:t xml:space="preserve">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цінних паперів проти оплати", "5" - інше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Тип операції: "1" - зарахування прав на цінні папери; "2" - списання прав на цінні папери; "3" - переказ прав на цінні папери (збільшення кількос</w:t>
            </w:r>
            <w:r>
              <w:t>ті прав на цінні папери на рахунку); "4" - переказ прав на цінні папери (зменшення кількості прав на цінні папери на рахунку)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Операція за розпорядженнями депонентів / номінальних утримувачів, керуючих рахунками депонентів/номінальних утримувачів: "1" -</w:t>
            </w:r>
            <w:r>
              <w:t xml:space="preserve"> договір купівлі-продажу; "2" - договір міни; "3" - договір дарування; "4" - спадкування (правонаступництво); "5" - інше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Операція за розпорядженнями депонентів / номінальних утримувачів, керуючих рахунками депонентів / номінальних утримувачів та/або оп</w:t>
            </w:r>
            <w:r>
              <w:t xml:space="preserve">ерація на підставі отриманої інформації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цінних паперів проти оплати": дата укладання договору (дата вчинення правочину)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Операція за розп</w:t>
            </w:r>
            <w:r>
              <w:t xml:space="preserve">орядженнями депонентів / номінальних утримувачів, керуючих рахунками депонентів / номінальних утримувачів та/або операція на підставі отриманої інформації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</w:t>
            </w:r>
            <w:r>
              <w:t>ципу "поставка цінних паперів проти оплати": номер договору (реквізити правочину)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Операція за розпорядженнями депонентів / номінальних утримувачів, керуючих рахунками депонентів / номінальних утримувачів та/або операція на підставі отриманої інформації</w:t>
            </w:r>
            <w:r>
              <w:t xml:space="preserve">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цінних паперів проти оплати": код за ЄДРПОУ торговця цінними паперами, що діє в інтересах власника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Операція за розпорядженнями депонент</w:t>
            </w:r>
            <w:r>
              <w:t xml:space="preserve">ів / номінальних утримувачів, керуючих рахунками депонентів / номінальних утримувачів та/або операція на підставі отриманої інформації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</w:t>
            </w:r>
            <w:r>
              <w:t>х паперів проти оплати": найменування торговця цінними паперами, що діє в інтересах власника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Безумовна операція на підставі: "1" - виконавчих документів; "2" - свідоцтва про право на спадщину; "3" - розпорядження Уповноваженої особи Комісії; "4" - інше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32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Операції на підставі отриманої інформації від депозитарію про укладення договорів на організаторі торгівлі: код за ЄДРПОУ організатора торгівлі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Операції на підставі отриманої інформації від депозитарію про укладення договорів на </w:t>
            </w:r>
            <w:r>
              <w:t>організаторі торгівлі: дата укладання біржового контракту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Операції на підставі отриманої інформації від депозитарію про укладення договорів на організаторі торгівлі: реквізити біржового контракту (біржових контрактів)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Примітка.</w:t>
      </w:r>
      <w:r>
        <w:t xml:space="preserve"> Рядки 18</w:t>
      </w:r>
      <w:r>
        <w:t xml:space="preserve"> - 20 заповнюються у разі проведення операцій за рахунком у цінних паперах номінального утримувача.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 xml:space="preserve">1 </w:t>
      </w:r>
      <w:r>
        <w:rPr>
          <w:sz w:val="20"/>
          <w:szCs w:val="20"/>
        </w:rPr>
        <w:t xml:space="preserve">Заповнюються відповідно до </w:t>
      </w:r>
      <w:r>
        <w:rPr>
          <w:color w:val="0000FF"/>
          <w:sz w:val="20"/>
          <w:szCs w:val="20"/>
        </w:rPr>
        <w:t>Довідника 45 "Класифікація країн світу" Системи довідників та класифікаторів</w:t>
      </w:r>
      <w:r>
        <w:rPr>
          <w:sz w:val="20"/>
          <w:szCs w:val="20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 xml:space="preserve">Заповнюються відповідно до </w:t>
      </w:r>
      <w:r>
        <w:rPr>
          <w:color w:val="0000FF"/>
          <w:sz w:val="20"/>
          <w:szCs w:val="20"/>
        </w:rPr>
        <w:t>Довідника 7 "Класифікація фінансових інструментів" Системи довідників та класифікаторів</w:t>
      </w:r>
      <w:r>
        <w:rPr>
          <w:sz w:val="20"/>
          <w:szCs w:val="20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vertAlign w:val="superscript"/>
        </w:rPr>
        <w:t>3</w:t>
      </w:r>
      <w:r>
        <w:t xml:space="preserve"> </w:t>
      </w:r>
      <w:r>
        <w:rPr>
          <w:sz w:val="20"/>
          <w:szCs w:val="20"/>
        </w:rPr>
        <w:t xml:space="preserve">Заповнюються відповідно до </w:t>
      </w:r>
      <w:r>
        <w:rPr>
          <w:color w:val="0000FF"/>
          <w:sz w:val="20"/>
          <w:szCs w:val="20"/>
        </w:rPr>
        <w:t>Довідника 46 "Перелік та коди валют" Системи довідників та класифікаторів</w:t>
      </w:r>
      <w:r>
        <w:rPr>
          <w:sz w:val="20"/>
          <w:szCs w:val="20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vertAlign w:val="superscript"/>
        </w:rPr>
        <w:t>4</w:t>
      </w:r>
      <w:r>
        <w:t xml:space="preserve"> </w:t>
      </w:r>
      <w:r>
        <w:rPr>
          <w:sz w:val="20"/>
          <w:szCs w:val="20"/>
        </w:rPr>
        <w:t xml:space="preserve">Заповнюються відповідно до </w:t>
      </w:r>
      <w:r>
        <w:rPr>
          <w:color w:val="0000FF"/>
          <w:sz w:val="20"/>
          <w:szCs w:val="20"/>
        </w:rPr>
        <w:t>Довідника 37 "Види депонентів" Сис</w:t>
      </w:r>
      <w:r>
        <w:rPr>
          <w:color w:val="0000FF"/>
          <w:sz w:val="20"/>
          <w:szCs w:val="20"/>
        </w:rPr>
        <w:t>теми довідників та класифікаторів</w:t>
      </w:r>
      <w:r>
        <w:rPr>
          <w:sz w:val="20"/>
          <w:szCs w:val="20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vertAlign w:val="superscript"/>
        </w:rPr>
        <w:t>5</w:t>
      </w:r>
      <w:r>
        <w:t xml:space="preserve"> </w:t>
      </w:r>
      <w:r>
        <w:rPr>
          <w:sz w:val="20"/>
          <w:szCs w:val="20"/>
        </w:rPr>
        <w:t xml:space="preserve">Заповнюються відповідно до </w:t>
      </w:r>
      <w:r>
        <w:rPr>
          <w:color w:val="0000FF"/>
          <w:sz w:val="20"/>
          <w:szCs w:val="20"/>
        </w:rPr>
        <w:t>Довідника 45 "Класифікація країн світу" Системи довідників та класифікаторів</w:t>
      </w:r>
      <w:r>
        <w:rPr>
          <w:sz w:val="20"/>
          <w:szCs w:val="20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Додаток 4</w:t>
            </w:r>
            <w:r>
              <w:br/>
              <w:t xml:space="preserve">до Положення про порядок звітування депозитарними установами до Національної комісії з цінних паперів </w:t>
            </w:r>
            <w:r>
              <w:t>та фондового ринку</w:t>
            </w:r>
            <w:r>
              <w:br/>
              <w:t>(підпункт 2 пункту 4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</w:pPr>
      <w: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</w:rPr>
        <w:t>Довідка про перелік випусків цінних паперів за власниками цінних паперів, номінальними утримувачами, які обслуговуються депозитарною установою</w:t>
      </w:r>
      <w:r>
        <w:rPr>
          <w:rFonts w:eastAsia="Times New Roman"/>
          <w:vertAlign w:val="superscript"/>
        </w:rPr>
        <w:t xml:space="preserve"> 1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Квартал,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Рік,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депозитарій / іноземну фінансову установу: код за ЄДРПОУ/ ідентифікаційний код з торговельного, судового або банківського реєстру країни, де офіційно </w:t>
            </w:r>
            <w:r>
              <w:t>зареєстрована іноземна фінансова установа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депозитарій / іноземну фінансову установу: ідентифікаційний номер за міжнародним ідентифікатором юридичних осіб (код LEI)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депозитарій / іноземну фінансову установу: найменуван</w:t>
            </w:r>
            <w:r>
              <w:t>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код за ЄДРПОУ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код за ЄДРІСІ (для інститутів спільного інвестування)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емітента: ідентифікаційний код з торговельного, судового або банківського реєстру країни, де офіційно зареєстрований емітент цінних паперів </w:t>
            </w:r>
            <w:r>
              <w:t>(емітент - нерезидент)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ідентифікаційний номер за міжнародним ідентифікатором юридичних осіб (код LEI)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країна реєстрації</w:t>
            </w:r>
            <w:r>
              <w:rPr>
                <w:vertAlign w:val="superscript"/>
              </w:rPr>
              <w:t xml:space="preserve"> 2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</w:t>
            </w:r>
            <w:r>
              <w:t>цінні папери: міжнародний ідентифікаційний номер цінних паперів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класифікації фінансових інструментів (код CFI)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</w:t>
            </w:r>
            <w:r>
              <w:rPr>
                <w:vertAlign w:val="superscript"/>
              </w:rPr>
              <w:t xml:space="preserve"> 3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номінальна вартість одного цінного папера, частка конс</w:t>
            </w:r>
            <w:r>
              <w:t>олідованого іпотечного боргу, що припадає на один іпотечний сертифікат участі, премія - для опціонних сертифікатів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валюти</w:t>
            </w:r>
            <w:r>
              <w:rPr>
                <w:vertAlign w:val="superscript"/>
              </w:rPr>
              <w:t xml:space="preserve"> 4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Загальна кількість рахунків власників цінних паперів, відкритих в депозитарній уст</w:t>
            </w:r>
            <w:r>
              <w:t>анові, на яких обліковуються цінні папери,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Загальна кількість цінних паперів на рахунках у цінних паперах власників цінних паперів у депозитарній установі,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Загальна номінальна вартість цінних паперів, загальна частка консолідованого </w:t>
            </w:r>
            <w:r>
              <w:t>іпотечного боргу, що припадає на іпотечні сертифікати участі, загальна премія - для опціонних сертифікатів, на рахунках у цінних паперах власників,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фізичні особи - резиденти: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фізичн</w:t>
            </w:r>
            <w:r>
              <w:t>і особи - 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фізичні особи - резиденти: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</w:t>
            </w:r>
            <w:r>
              <w:t>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фізичні особи - нерезиденти: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фізичні особи - нерезиденти: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фізичні особи - нерезиденти: загальна номінальна вартість цінн</w:t>
            </w:r>
            <w:r>
              <w:t>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28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Власники - юридичні особи - резиденти: кількість рахунків у цінних паперах, шт. (за </w:t>
            </w:r>
            <w:r>
              <w:t>винятком нижченаведених категорій юридичних осіб)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юридичні особи - резиденти: усього цінних паперів, шт. (за винятком нижченаведених категорій юридичних осіб)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Власники - </w:t>
            </w:r>
            <w:r>
              <w:t>юридичні особи - резиденти: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 (за винятком нижченаведених категорій ю</w:t>
            </w:r>
            <w:r>
              <w:t>ридичних осіб)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банки - резиденти: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банки - 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банки - резиденти: загальна номінальна вартість цінних паперів, загальна частка консолідов</w:t>
            </w:r>
            <w:r>
              <w:t>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інститути спільного інвестування - резиденти: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інститути спільного і</w:t>
            </w:r>
            <w:r>
              <w:t>нвестування - 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Власники - інститути спільного інвестування - резиденти: загальна номінальна вартість цінних паперів, загальна частка консолідованого іпотечного боргу, що припадає </w:t>
            </w:r>
            <w:r>
              <w:t>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страхові компанії - резиденти: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страхові компанії - 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</w:t>
            </w:r>
            <w:r>
              <w:t xml:space="preserve"> страхові компанії - резиденти: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пенсійні фонди - рез</w:t>
            </w:r>
            <w:r>
              <w:t>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пенсійні фонди - 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пенсійні фонди - резиденти: загальна номінальна вартість цінних паперів, загальна частка консолідованого іпотечного боргу,</w:t>
            </w:r>
            <w:r>
              <w:t xml:space="preserve">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торговці цінними паперами - резиденти: кількість рахунків у цінних паперах, шт.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Власники - </w:t>
            </w:r>
            <w:r>
              <w:t>торговці цінними паперами - резиденти: усього цінних паперів, шт.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Власники - торговці цінними паперами - резиденти: загальна номінальна вартість цінних паперів, загальна частка консолідованого іпотечного боргу, що </w:t>
            </w:r>
            <w:r>
              <w:lastRenderedPageBreak/>
              <w:t>припадає на іпотечні сертифікати уча</w:t>
            </w:r>
            <w:r>
              <w:t>сті, загальна премія -- для опціонних сертифікатів, грн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46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юридичні особи - нерезиденти: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юридичні особи - нерезиденти: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юридичні особи - нерезиде</w:t>
            </w:r>
            <w:r>
              <w:t>нти: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держава Україна (суб'єкт управління корпоративни</w:t>
            </w:r>
            <w:r>
              <w:t>ми правами держави - Фонд державного майна України, інший державний орган або орган, що забезпечує діяльність Президента України, Верховної Ради України, Кабінету Міністрів України):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держава Україна (с</w:t>
            </w:r>
            <w:r>
              <w:t>уб'єкт управління корпоративними правами держави - Фонд державного майна України, інший державний орган або орган, що забезпечує діяльність Президента України, Верховної Ради України, Кабінету Міністрів України):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</w:t>
            </w:r>
            <w:r>
              <w:t>ржава Україна (суб'єкт управління корпоративними правами держави - Фонд державного майна України, інший державний орган або орган, що забезпечує діяльність Президента України, Верховної Ради України, Кабінету Міністрів України): загальна номінальна вартіст</w:t>
            </w:r>
            <w:r>
              <w:t>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 - держава Україна (суб'єкт управління корпоративними правами держави - державне </w:t>
            </w:r>
            <w:r>
              <w:t>господарське об'єднання, державна холдингова компанія, інша державна господарська організація):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держава Україна (суб'єкт управління корпоративними правами держави - державне господарське об'єднання, де</w:t>
            </w:r>
            <w:r>
              <w:t>ржавна холдингова компанія, інша державна господарська організація):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держава Україна (суб'єкт управління корпоративними правами держави - державне господарське об'єднання, державна холдингова компанія, інша державна</w:t>
            </w:r>
            <w:r>
              <w:t xml:space="preserve"> господарська організація):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 - держава Україна (суб'єкт </w:t>
            </w:r>
            <w:r>
              <w:t>управління корпоративними правами держави - інша особа або орган, яка (який) виконує функції з управління корпоративними правами держави):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держава Україна (суб'єкт управління корпоративними правами дер</w:t>
            </w:r>
            <w:r>
              <w:t>жави - інша особа або орган, яка (який) виконує функції з управління корпоративними правами держави):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 - держава Україна (суб'єкт управління корпоративними правами держави - інша особа або орган, яка (який) виконує фун</w:t>
            </w:r>
            <w:r>
              <w:t xml:space="preserve">кції з управління корпоративними правами держави): загальна номінальна вартість цінних </w:t>
            </w:r>
            <w:r>
              <w:lastRenderedPageBreak/>
              <w:t>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58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т</w:t>
            </w:r>
            <w:r>
              <w:t>ериторіальні громади: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Власники - територіальні громади: усього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Власники - територіальні громади: загальна номінальна вартість цінних паперів, загальна </w:t>
            </w:r>
            <w:r>
              <w:t>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Депонент - нотаріус (депозит): кількість рахунків у цінних паперах,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Депонент - нотаріус (депозит): усього цін</w:t>
            </w:r>
            <w:r>
              <w:t>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Депонент - нотаріус (депозит):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</w:t>
            </w:r>
            <w:r>
              <w:t xml:space="preserve"> утримувач: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 утримувач: ідентифікаційний код з торговельного, судового або банківського реєстру країни, де офіційно зареєстрована іноземна фінансова установа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 утримувач: ідентифікаційний номер за міжнародним ідент</w:t>
            </w:r>
            <w:r>
              <w:t>ифікатором юридичних осіб (код LEI)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 утримувач: розмір власних коштів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 утримувач: код валюти</w:t>
            </w:r>
            <w:r>
              <w:rPr>
                <w:vertAlign w:val="superscript"/>
              </w:rPr>
              <w:t xml:space="preserve"> 6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Номінальний утримувач: кількість рахунків за номінальним утримувачем, відкритих в </w:t>
            </w:r>
            <w:r>
              <w:t>депозитарній установі, на яких обліковуються цінні папери,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 утримувач: загальна кількість цінних паперів на рахунках у цінних паперах номінального утримувача у депозитарній установі,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Номінальний утримувач: загальна номінальна вар</w:t>
            </w:r>
            <w:r>
              <w:t>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на рахунках у цінних паперах номінального утримувача,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b/>
          <w:bCs/>
          <w:vertAlign w:val="superscript"/>
        </w:rPr>
        <w:t>Примітка.</w:t>
      </w:r>
      <w:r>
        <w:rPr>
          <w:vertAlign w:val="superscript"/>
        </w:rPr>
        <w:t xml:space="preserve"> </w:t>
      </w:r>
      <w:r>
        <w:rPr>
          <w:vertAlign w:val="superscript"/>
        </w:rPr>
        <w:t>Рядки 64 - 69 заповнюються за кожним номінальним утримувачем.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____________</w:t>
      </w:r>
      <w:r>
        <w:rPr>
          <w:vertAlign w:val="superscript"/>
        </w:rPr>
        <w:br/>
        <w:t xml:space="preserve">1 </w:t>
      </w:r>
      <w:r>
        <w:rPr>
          <w:sz w:val="20"/>
          <w:szCs w:val="20"/>
          <w:vertAlign w:val="superscript"/>
        </w:rPr>
        <w:t>З урахуванням власних випусків цінних паперів депозитарної установи та власних рахунків депозитарної установи.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45 "Класифікація країн світу"</w:t>
      </w:r>
      <w:r>
        <w:rPr>
          <w:color w:val="0000FF"/>
          <w:sz w:val="20"/>
          <w:szCs w:val="20"/>
          <w:vertAlign w:val="superscript"/>
        </w:rPr>
        <w:t xml:space="preserve">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3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7 "Класифікація фінансових інструментів"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46 "Перелік та коди валют" Системи довідників та класифікато</w:t>
      </w:r>
      <w:r>
        <w:rPr>
          <w:color w:val="0000FF"/>
          <w:sz w:val="20"/>
          <w:szCs w:val="20"/>
          <w:vertAlign w:val="superscript"/>
        </w:rPr>
        <w:t>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5 </w:t>
      </w:r>
      <w:r>
        <w:rPr>
          <w:sz w:val="20"/>
          <w:szCs w:val="20"/>
          <w:vertAlign w:val="superscript"/>
        </w:rPr>
        <w:t>У разі якщо банк має ліцензію на провадження діяльності з торгівлі цінними паперами, заповнюється як торговець цінними паперами.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6 </w:t>
      </w:r>
      <w:r>
        <w:rPr>
          <w:sz w:val="20"/>
          <w:szCs w:val="20"/>
          <w:vertAlign w:val="superscript"/>
        </w:rPr>
        <w:t xml:space="preserve">Заповнюються щодо валюти, в якій зазначений розмір власних коштів, відповідно до </w:t>
      </w:r>
      <w:r>
        <w:rPr>
          <w:color w:val="0000FF"/>
          <w:sz w:val="20"/>
          <w:szCs w:val="20"/>
          <w:vertAlign w:val="superscript"/>
        </w:rPr>
        <w:t xml:space="preserve">Довідника 46 "Перелік та коди валют" </w:t>
      </w:r>
      <w:r>
        <w:rPr>
          <w:color w:val="0000FF"/>
          <w:sz w:val="20"/>
          <w:szCs w:val="20"/>
          <w:vertAlign w:val="superscript"/>
        </w:rPr>
        <w:t>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Додаток 5</w:t>
            </w:r>
            <w:r>
              <w:br/>
              <w:t>до Положення про порядок звітування депозитарними установами до Національної комісії з цінних паперів та фондового ринку</w:t>
            </w:r>
            <w:r>
              <w:br/>
              <w:t>(підпункт 3 пункту 4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Довідка </w:t>
      </w:r>
      <w:r>
        <w:rPr>
          <w:rFonts w:eastAsia="Times New Roman"/>
          <w:vertAlign w:val="superscript"/>
        </w:rPr>
        <w:t>про перелік власників пакетів акцій та власників іпотечних цінних паперів, які обслуговуються депозитарною установою 1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Квартал,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Рік,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код за ЄДРПОУ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організаційно-правова форма</w:t>
            </w:r>
            <w:r>
              <w:rPr>
                <w:vertAlign w:val="superscript"/>
              </w:rPr>
              <w:t xml:space="preserve"> 2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8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міжнародний ідентифікаційний номер цінних паперів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9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класифікації фінансових інструментів</w:t>
            </w:r>
            <w:r>
              <w:t xml:space="preserve"> (код CFI)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10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</w:t>
            </w:r>
            <w:r>
              <w:rPr>
                <w:vertAlign w:val="superscript"/>
              </w:rPr>
              <w:t xml:space="preserve"> 3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11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номінальна вартість одного цінного папера, частка консолідованого іпотечного боргу, що припадає на один іпотечний сертифікат участі на дату реєстрації випуску, грн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12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</w:t>
            </w:r>
            <w:r>
              <w:t>цінні папери: код валюти</w:t>
            </w:r>
            <w:r>
              <w:rPr>
                <w:vertAlign w:val="superscript"/>
              </w:rPr>
              <w:t xml:space="preserve"> 4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13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загальна номінальна вартість цінних паперів, загальна частка консолідованого іпотечного боргу, що припадає на іпотечні сертифікати участі, грн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14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найменування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15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</w:t>
            </w:r>
            <w:r>
              <w:t xml:space="preserve"> про номінального утримувача: ідентифікаційний номер за міжнародним ідентифікатором юридичних осіб (код LEI)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16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країна реєстрації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17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вид</w:t>
            </w:r>
            <w:r>
              <w:rPr>
                <w:vertAlign w:val="superscript"/>
              </w:rPr>
              <w:t xml:space="preserve"> 6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18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країна реєстрації</w:t>
            </w:r>
            <w:r>
              <w:rPr>
                <w:vertAlign w:val="superscript"/>
              </w:rPr>
              <w:t xml:space="preserve"> 7, 8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19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</w:t>
            </w:r>
            <w:r>
              <w:t>ласника: організаційно-правова форма (юридичної особи - резидента)</w:t>
            </w:r>
            <w:r>
              <w:rPr>
                <w:vertAlign w:val="superscript"/>
              </w:rPr>
              <w:t xml:space="preserve"> 2, 8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20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код за ЄДРПОУ (юридичної особи - резидента)</w:t>
            </w:r>
            <w:r>
              <w:rPr>
                <w:vertAlign w:val="superscript"/>
              </w:rPr>
              <w:t xml:space="preserve"> 8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21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власника: ідентифікаційний код з торговельного, судового або банківського </w:t>
            </w:r>
            <w:r>
              <w:t>реєстру країни, де офіційно зареєстрований власник цінних паперів (юридичної особи - нерезидента)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22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реєстраційний номер облікової картки платника податків (фізичної особи - резидента)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23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код за ЄДРІСІ (для інституті</w:t>
            </w:r>
            <w:r>
              <w:t>в спільного інвестування)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24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повне найменування юридичної особи (якщо власником пакета акцій є інститут спільного інвестування, фонд операцій з нерухомістю - не юридична особа, зазначаються повне найменування фонду та повне найменування</w:t>
            </w:r>
            <w:r>
              <w:t xml:space="preserve"> компанії з управління активами такої особи, управителя) або прізвище фізичної особи</w:t>
            </w:r>
            <w:r>
              <w:rPr>
                <w:vertAlign w:val="superscript"/>
              </w:rPr>
              <w:t xml:space="preserve"> 8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25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скорочене (за наявності) найменування юридичної особи або ім'я фізичної особи</w:t>
            </w:r>
            <w:r>
              <w:rPr>
                <w:vertAlign w:val="superscript"/>
              </w:rPr>
              <w:t xml:space="preserve"> 8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26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по батькові (фізичної особи)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27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</w:t>
            </w:r>
            <w:r>
              <w:t>ласника: місцезнаходження</w:t>
            </w:r>
            <w:r>
              <w:rPr>
                <w:vertAlign w:val="superscript"/>
              </w:rPr>
              <w:t xml:space="preserve"> 8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28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код території (заповнюється для юридичних осіб - резидентів)</w:t>
            </w:r>
            <w:r>
              <w:rPr>
                <w:vertAlign w:val="superscript"/>
              </w:rPr>
              <w:t xml:space="preserve"> 8, 9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29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власника: кількість цінних паперів (певного випуску), які обліковуються на </w:t>
            </w:r>
            <w:r>
              <w:t>рахунку в цінних паперах у депозитарній установі, у номінального утримувача (крім цінних паперів, реєстрація випуску яких оформлена тимчасовим свідоцтвом про реєстрацію випуску цінних паперів), шт.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30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частка в статутному капіталі (для а</w:t>
            </w:r>
            <w:r>
              <w:t>кцій), %</w:t>
            </w:r>
          </w:p>
        </w:tc>
      </w:tr>
      <w:tr w:rsidR="00000000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31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b/>
          <w:bCs/>
          <w:vertAlign w:val="superscript"/>
        </w:rPr>
        <w:t>Примітка</w:t>
      </w:r>
      <w:r>
        <w:rPr>
          <w:vertAlign w:val="superscript"/>
        </w:rPr>
        <w:t>. Рядки 14 - 16 заповнюються у разі, якщо рахунки у цінних паперах власників пакетів акцій / іпотечних цінних паперів обслуговуються номінальним утримувачем / клієнтом номінального утримувача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____________</w:t>
      </w:r>
      <w:r>
        <w:rPr>
          <w:vertAlign w:val="superscript"/>
        </w:rPr>
        <w:br/>
        <w:t xml:space="preserve">1 </w:t>
      </w:r>
      <w:r>
        <w:rPr>
          <w:sz w:val="20"/>
          <w:szCs w:val="20"/>
          <w:vertAlign w:val="superscript"/>
        </w:rPr>
        <w:t>З урахуванням вл</w:t>
      </w:r>
      <w:r>
        <w:rPr>
          <w:sz w:val="20"/>
          <w:szCs w:val="20"/>
          <w:vertAlign w:val="superscript"/>
        </w:rPr>
        <w:t>асних випусків цінних паперів депозитарної установи та власних рахунків депозитарної установи.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41 "Класифікація організаційно-правових форм господарювання"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3 </w:t>
      </w:r>
      <w:r>
        <w:rPr>
          <w:sz w:val="20"/>
          <w:szCs w:val="20"/>
          <w:vertAlign w:val="superscript"/>
        </w:rPr>
        <w:t>Заповнюються відповід</w:t>
      </w:r>
      <w:r>
        <w:rPr>
          <w:sz w:val="20"/>
          <w:szCs w:val="20"/>
          <w:vertAlign w:val="superscript"/>
        </w:rPr>
        <w:t xml:space="preserve">но до </w:t>
      </w:r>
      <w:r>
        <w:rPr>
          <w:color w:val="0000FF"/>
          <w:sz w:val="20"/>
          <w:szCs w:val="20"/>
          <w:vertAlign w:val="superscript"/>
        </w:rPr>
        <w:t>Довідника 7 "Класифікація фінансових інструментів"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46 "Перелік та коди валют"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5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45 "Класифікація к</w:t>
      </w:r>
      <w:r>
        <w:rPr>
          <w:color w:val="0000FF"/>
          <w:sz w:val="20"/>
          <w:szCs w:val="20"/>
          <w:vertAlign w:val="superscript"/>
        </w:rPr>
        <w:t>раїн світу"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6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37 "Види депонентів"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7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45 "Класифікація країн світу"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8</w:t>
      </w:r>
      <w:r>
        <w:rPr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У разі якщо власником пакета акцій або власником іпотечних цінних паперів є держава Україна або територіальна громада, інформація заповнюється про суб'єкта управління відповідними цінними паперами.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9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44 "Перелік та код</w:t>
      </w:r>
      <w:r>
        <w:rPr>
          <w:color w:val="0000FF"/>
          <w:sz w:val="20"/>
          <w:szCs w:val="20"/>
          <w:vertAlign w:val="superscript"/>
        </w:rPr>
        <w:t>и територій (областей) України"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Додаток 6</w:t>
            </w:r>
            <w:r>
              <w:br/>
              <w:t>до Положення про порядок звітування депозитарними установами до Національної комісії з цінних паперів та фондового ринку</w:t>
            </w:r>
            <w:r>
              <w:br/>
              <w:t>(підпункт 4 пункту 4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Довідка про адмін</w:t>
      </w:r>
      <w:r>
        <w:rPr>
          <w:rFonts w:eastAsia="Times New Roman"/>
          <w:vertAlign w:val="superscript"/>
        </w:rPr>
        <w:t>істративні операції, проведені депозитарною установою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Квартал,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Рік,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</w:t>
            </w:r>
            <w:r>
              <w:t>рахунків за період за договорами з депонентами: фізичні особи - 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рахунків за період за договорами з депонентами: фізичні особи - нерезиденти,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</w:t>
            </w:r>
            <w:r>
              <w:t>рахунків за період за договорами з депонентами: юридичні особи - резиденти (за винятком нижченаведених категорій юридичних осіб),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рахунків за період за договорами з депонентами: юридичні особи - резиденти - інститути спільного інвестування,</w:t>
            </w:r>
            <w:r>
              <w:t xml:space="preserve">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рахунків за період за договорами з депонентами: юридичні особи - резиденти - страхові компанії,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рахунків за період за договорами з депонентами: юридичні особи - резиденти - пенсійні фонди,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</w:t>
            </w:r>
            <w:r>
              <w:t>рахунків за період за договорами з депонентами: юридичні особи - резиденти - банк,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рахунків за період за договорами з депонентами: юридичні особи - резиденти - торговці цінними паперами,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рахунків за період за договорами з </w:t>
            </w:r>
            <w:r>
              <w:t>депонентами: юридичні особи - нерезиденти,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рахунок за період за договором з депонентом: держава Україна (суб'єкт управління корпоративними правами держави - Фонд державного майна України, інший державний орган або орган, що забезпечує діял</w:t>
            </w:r>
            <w:r>
              <w:t>ьність Президента України, Верховної Ради України, Кабінету Міністрів України),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рахунок за період за договором з депонентом: держава Україна (суб'єкт управління корпоративними правами держави - державне господарське об'єднання, державна хо</w:t>
            </w:r>
            <w:r>
              <w:t>лдингова компанія, інша державна господарська організація),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рахунок за період за договором з депонентом: держава Україна (суб'єкт управління корпоративними правами держави - інша особа або орган, </w:t>
            </w:r>
            <w:r>
              <w:lastRenderedPageBreak/>
              <w:t>яка (який) виконує функції з управління кор</w:t>
            </w:r>
            <w:r>
              <w:t>поративними правами держави),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17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рахунок за період за договором з депонентом: територіальна громада,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рахунок за період за договором з депонентом: нотаріус (депозит),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рахунків за період за </w:t>
            </w:r>
            <w:r>
              <w:t xml:space="preserve">договорами з емітентами (щодо </w:t>
            </w:r>
            <w:proofErr w:type="spellStart"/>
            <w:r>
              <w:t>дематеріалізованих</w:t>
            </w:r>
            <w:proofErr w:type="spellEnd"/>
            <w:r>
              <w:t xml:space="preserve"> цінних паперів),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Відкрито рахунків за період за договорами з номінальними утримувачами,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депонентами: фізичні особи - 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</w:t>
            </w:r>
            <w:r>
              <w:t>нків за період за договорами з депонентами: фізичні особи - нерезиденти,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депонентами: юридичні особи - резиденти (за винятком нижченаведених категорій юридичних осіб),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</w:t>
            </w:r>
            <w:r>
              <w:t xml:space="preserve"> договорами з депонентами: юридичні особи - резиденти - інститути спільного інвестування,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депонентами: юридичні особи - резиденти - страхові компанії,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деп</w:t>
            </w:r>
            <w:r>
              <w:t>онентами: юридичні особи - резиденти - пенсійні фонди,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депонентами: юридичні особи - резиденти - банк,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Закрито рахунків за період за договорами з депонентами: юридичні особи - резиденти - </w:t>
            </w:r>
            <w:r>
              <w:t>торговці цінними паперами,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депонентами: юридичні особи - нерезиденти,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Закрито рахунок за період за договором з депонентом: держава Україна (суб'єкт управління корпоративними правами держави - Фонд </w:t>
            </w:r>
            <w:r>
              <w:t>державного майна України, інший державний орган або орган, що забезпечує діяльність Президента України, Верховної Ради України, Кабінету Міністрів України)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рахунок за період за договором з депонентом: держава Україна (суб'єкт управління корпора</w:t>
            </w:r>
            <w:r>
              <w:t>тивними правами держави - державне господарське об'єднання, державна холдингова компанія, інша державна господарська організація),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рахунок за період за договором з депонентом: держава Україна (суб'єкт управління корпоративними правами держа</w:t>
            </w:r>
            <w:r>
              <w:t>ви - інша особа або орган, яка (який) виконує функції з управління корпоративними правами держави),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33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рахунок за період за договором з депонентом: територіальна громада,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рахунок за період за договором з депонентом: нотаріус (д</w:t>
            </w:r>
            <w:r>
              <w:t>епозит),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Закрито рахунків за період за договорами з емітентами (щодо </w:t>
            </w:r>
            <w:proofErr w:type="spellStart"/>
            <w:r>
              <w:t>дематеріалізованих</w:t>
            </w:r>
            <w:proofErr w:type="spellEnd"/>
            <w:r>
              <w:t xml:space="preserve"> цінних паперів),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рахунків за період за договорами з номінальними утримувачами,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Кількість </w:t>
            </w:r>
            <w:r>
              <w:t>відкритих рахунків на кінець періоду за договорами з депонентами: фізичні особи - 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періоду за договорами з депонентами: фізичні особи - нерезиденти,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</w:t>
            </w:r>
            <w:r>
              <w:t>іоду за договорами з депонентами: юридичні особи - резиденти (за винятком нижченаведених категорій юридичних осіб),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періоду за договорами з депонентами: юридичні особи - резиденти - інститути спільного інвесту</w:t>
            </w:r>
            <w:r>
              <w:t>вання,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періоду за договорами з депонентами: юридичні особи - резиденти - страхові компанії,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періоду за договорами з депонентами: юридичні особи - резиденти - пенс</w:t>
            </w:r>
            <w:r>
              <w:t>ійні фонди,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періоду за договорами з депонентами: юридичні особи - резиденти - банк,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Кількість відкритих рахунків на кінець періоду за договорами з депонентами: юридичні </w:t>
            </w:r>
            <w:r>
              <w:t>особи - резиденти - торговці цінними паперами,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депонентам на кінець періоду за договорами з депонентами: юридичні особи - нерезиденти,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на кінець періоду за договорами з емітентами (щ</w:t>
            </w:r>
            <w:r>
              <w:t xml:space="preserve">одо </w:t>
            </w:r>
            <w:proofErr w:type="spellStart"/>
            <w:r>
              <w:t>дематеріалізованих</w:t>
            </w:r>
            <w:proofErr w:type="spellEnd"/>
            <w:r>
              <w:t xml:space="preserve"> цінних паперів),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відкритих рахунків номінальних утримувачів на кінець періоду за договорами з номінальними утримувачами,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керуючих рахунком на кінець періоду за договором з депонентом: держава Украї</w:t>
            </w:r>
            <w:r>
              <w:t>на (суб'єкт управління корпоративними правами держави - Фонд державного майна України, інший державний орган або орган, що забезпечує діяльність Президента України, Верховної Ради України, Кабінету Міністрів України),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керуючих рахунком на</w:t>
            </w:r>
            <w:r>
              <w:t xml:space="preserve"> кінець періоду за договором з депонентом: держава Україна (суб'єкт управління корпоративними правами держави - державне господарське об'єднання, державна холдингова компанія, інша державна господарська організація),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50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Кількість керуючих рахунком на </w:t>
            </w:r>
            <w:r>
              <w:t>кінець періоду за договором з депонентом: держава Україна (суб'єкт управління корпоративними правами держави - інша особа або орган, яка (який) виконує функції з управління корпоративними правами держави),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Кількість </w:t>
            </w:r>
            <w:r>
              <w:t>відкритих рахунків на кінець періоду за договором з депонентом: територіальна громада,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Кількість керуючих рахунком на кінець періоду за договором з депонентом: нотаріус (депозит), шт.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Додаток 9</w:t>
            </w:r>
            <w:r>
              <w:br/>
            </w:r>
            <w:r>
              <w:t>до Положення про порядок звітування депозитарними установами до Національної комісії з цінних паперів та фондового ринку</w:t>
            </w:r>
            <w:r>
              <w:br/>
              <w:t>(підпункт 7 пункту 4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Довідка про облікові операції, проведені депозитарною установою 1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Квартал,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Рік, за який подаються Дані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Дата операційного дня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Обслуговування операції: за розпорядженнями депонентів / номінальних утримувачів, керуючих </w:t>
            </w:r>
            <w:r>
              <w:t>рахунками депонентів / номінальних утримувачів,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цінних паперів</w:t>
            </w:r>
            <w:r>
              <w:t>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за розпорядженнями номінальних утримувачів, керуючих рахунками депонентів / номінальних утримувачів, загальна номінальна вартість цінних паперів, загальна частка консолідованого іпотечного боргу, що припадає на іпотечні се</w:t>
            </w:r>
            <w:r>
              <w:t>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унаслідок виконання безумовної операції з цінними паперами,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унаслідок виконання безумовної операці</w:t>
            </w:r>
            <w:r>
              <w:t>ї з цінними паперами,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Обслуговування операції: унаслідок виконання безумовної операції з цінними паперами, загальна номінальна вартість цінних паперів, загальна </w:t>
            </w:r>
            <w:r>
              <w:lastRenderedPageBreak/>
              <w:t>частка консолідованого іпотечного боргу, що припадає</w:t>
            </w:r>
            <w:r>
              <w:t xml:space="preserve">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12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</w:t>
            </w:r>
            <w:r>
              <w:t>ування операції: на підставі отриманої інформації від депозитарію про укладення договорів на організаторі торгівлі,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Обслуговування операції: на підставі отриманої інформації від депозитарію про укладення </w:t>
            </w:r>
            <w:r>
              <w:t>договорів на організаторі торгівлі,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на</w:t>
            </w:r>
            <w:r>
              <w:t xml:space="preserve"> підставі отриманої інформації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цінних паперів проти оплати",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на підставі отрим</w:t>
            </w:r>
            <w:r>
              <w:t xml:space="preserve">аної інформації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цінних паперів проти оплати",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операції: на підставі отриманої інфо</w:t>
            </w:r>
            <w:r>
              <w:t xml:space="preserve">рмації від депозитарію про укладення правочинів щодо цінних паперів поза фондовою </w:t>
            </w:r>
            <w:proofErr w:type="spellStart"/>
            <w:r>
              <w:t>біржею</w:t>
            </w:r>
            <w:proofErr w:type="spellEnd"/>
            <w:r>
              <w:t>, з дотриманням принципу "поставка цінних паперів проти оплати", загальна номінальна вартість цінних паперів, загальна частка консолідованого іпотечного боргу, що припа</w:t>
            </w:r>
            <w:r>
              <w:t>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Обслуговування операції: виконаних відповідно до вимог </w:t>
            </w:r>
            <w:r>
              <w:rPr>
                <w:color w:val="0000FF"/>
              </w:rPr>
              <w:t>статті 65</w:t>
            </w:r>
            <w:r>
              <w:rPr>
                <w:color w:val="0000FF"/>
                <w:vertAlign w:val="superscript"/>
              </w:rPr>
              <w:t xml:space="preserve"> 2</w:t>
            </w:r>
            <w:r>
              <w:rPr>
                <w:color w:val="0000FF"/>
              </w:rPr>
              <w:t xml:space="preserve"> Закону України "Про акціонерні товариства"</w:t>
            </w:r>
            <w:r>
              <w:t>,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Обслуговування опе</w:t>
            </w:r>
            <w:r>
              <w:t xml:space="preserve">рації: виконаних відповідно до вимог </w:t>
            </w:r>
            <w:r>
              <w:rPr>
                <w:color w:val="0000FF"/>
              </w:rPr>
              <w:t>статті 65</w:t>
            </w:r>
            <w:r>
              <w:rPr>
                <w:color w:val="0000FF"/>
                <w:vertAlign w:val="superscript"/>
              </w:rPr>
              <w:t xml:space="preserve"> 2</w:t>
            </w:r>
            <w:r>
              <w:rPr>
                <w:color w:val="0000FF"/>
              </w:rPr>
              <w:t xml:space="preserve"> Закону України "Про акціонерні товариства"</w:t>
            </w:r>
            <w:r>
              <w:t>,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Обслуговування операції: виконаних відповідно до вимог </w:t>
            </w:r>
            <w:r>
              <w:rPr>
                <w:color w:val="0000FF"/>
              </w:rPr>
              <w:t>статті 65</w:t>
            </w:r>
            <w:r>
              <w:rPr>
                <w:color w:val="0000FF"/>
                <w:vertAlign w:val="superscript"/>
              </w:rPr>
              <w:t xml:space="preserve"> 2</w:t>
            </w:r>
            <w:r>
              <w:rPr>
                <w:color w:val="0000FF"/>
              </w:rPr>
              <w:t xml:space="preserve"> Закону України "Про акціонерні товариства"</w:t>
            </w:r>
            <w:r>
              <w:t xml:space="preserve">, загальна </w:t>
            </w:r>
            <w:r>
              <w:t>номінальна вартість цінних паперів,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Зарахування цінних паперів: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Зарахування цінних паперів: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Зарахування </w:t>
            </w:r>
            <w:r>
              <w:t>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Списання цінних паперів: загальна кількість цін</w:t>
            </w:r>
            <w:r>
              <w:t>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Списання цінних паперів: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26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Списання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</w:t>
            </w:r>
            <w:r>
              <w:t>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Переказ (збільшення цінних паперів):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Переказ (збільшення цінних паперів):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Переказ (збільшення цінних паперів): загальна номінальна </w:t>
            </w:r>
            <w:r>
              <w:t>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Переказ (зменшення цінних паперів): загальна кількість цінних паперів,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Переказ (зменшення цінних паперів): загальна кількість операцій,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Переказ (зменшення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 на дату р</w:t>
            </w:r>
            <w:r>
              <w:t>еєстрації випуску одного цінного папера, загальна премія - для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____________</w:t>
      </w:r>
      <w:r>
        <w:rPr>
          <w:vertAlign w:val="superscript"/>
        </w:rPr>
        <w:br/>
        <w:t xml:space="preserve">1 </w:t>
      </w:r>
      <w:r>
        <w:rPr>
          <w:sz w:val="20"/>
          <w:szCs w:val="20"/>
          <w:vertAlign w:val="superscript"/>
        </w:rPr>
        <w:t xml:space="preserve">Облікові операції, проведені депозитарною установою, подаються щодо облікових операцій, здійснених протягом </w:t>
      </w:r>
      <w:r>
        <w:rPr>
          <w:sz w:val="20"/>
          <w:szCs w:val="20"/>
          <w:vertAlign w:val="superscript"/>
        </w:rPr>
        <w:t>одного операційного дня депозитарною установою, унаслідок яких відбувається набуття/припинення прав власності на цінні папери (крім облікових операцій, пов'язаних із скасуванням реєстрації випуску цінних паперів, погашенням випуску цінних паперів).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Додат</w:t>
            </w:r>
            <w:r>
              <w:t>ок 16</w:t>
            </w:r>
            <w:r>
              <w:br/>
              <w:t>до Положення про порядок звітування депозитарними установами до Національної комісії з цінних паперів та фондового ринку</w:t>
            </w:r>
            <w:r>
              <w:br/>
              <w:t>(пункт 2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Довідка про облікові операції, проведені депозитарною установою за цінними паперами, </w:t>
      </w:r>
      <w:r>
        <w:rPr>
          <w:rFonts w:eastAsia="Times New Roman"/>
          <w:vertAlign w:val="superscript"/>
        </w:rPr>
        <w:t>які обліковуються на рахунку у цінних паперах в іноземній фінансовій установі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Дата, за яку подаються Дані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іноземну фінансову установ</w:t>
            </w:r>
            <w:r>
              <w:t>у: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іноземну фінансову установу: ідентифікаційний номер за міжнародним ідентифікатором юридичних осіб (код LEI)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іноземну фінансову установу: країна реєстрації</w:t>
            </w:r>
            <w:r>
              <w:rPr>
                <w:vertAlign w:val="superscript"/>
              </w:rPr>
              <w:t xml:space="preserve"> 1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lastRenderedPageBreak/>
              <w:t>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</w:t>
            </w:r>
            <w:r>
              <w:t>емітента: країна реєстрації</w:t>
            </w:r>
            <w:r>
              <w:rPr>
                <w:vertAlign w:val="superscript"/>
              </w:rPr>
              <w:t xml:space="preserve"> 1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ідентифікаційний код з торговельного, судового або банківського реєстру країни, де офіційно зареєстрований емітент цінних паперів (емітент - нерезидент)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ідентифікаційний номер за міжнародн</w:t>
            </w:r>
            <w:r>
              <w:t>им ідентифікатором юридичних осіб (код LEI)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міжнародний ідентифікаційний номер цінних паперів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класифікації фінансових інструментів (код CFI)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</w:t>
            </w:r>
            <w:r>
              <w:t>цінні папери: номінальна вартість одного цінного папера, грн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код валюти</w:t>
            </w:r>
            <w:r>
              <w:rPr>
                <w:vertAlign w:val="superscript"/>
              </w:rPr>
              <w:t xml:space="preserve"> 2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загальна номінальна вартість цінних паперів, грн (за наявності)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кількість цінних папер</w:t>
            </w:r>
            <w:r>
              <w:t>ів, шт.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вид</w:t>
            </w:r>
            <w:r>
              <w:rPr>
                <w:vertAlign w:val="superscript"/>
              </w:rPr>
              <w:t xml:space="preserve"> 3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19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власника: країна реєстрації</w:t>
            </w:r>
            <w:r>
              <w:rPr>
                <w:vertAlign w:val="superscript"/>
              </w:rPr>
              <w:t xml:space="preserve"> 4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запису в журналі депозитарних операцій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Тип операції: "1" - зарахування прав на цінні папери; "2" - списання прав на цінні папери; "3" - переказ прав на цінні папе</w:t>
            </w:r>
            <w:r>
              <w:t>ри (збільшення кількості прав на цінні папери на рахунку); "4" - переказ прав на цінні папери (зменшення кількості прав на цінні папери на рахунку)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Підстава для проведення депозитарної операції: "1" - договір купівлі-продажу; "2" - договір міни; "3" </w:t>
            </w:r>
            <w:r>
              <w:t>- договір дарування; "4" - спадкування (правонаступництво); "5" - інше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місце вчинення правочину (найменування ринку): "1" - регульований ринок; "2" - організований торговельний майданчик; "3" - багатосторонній торговельний майданчик; "4" - інш</w:t>
            </w:r>
            <w:r>
              <w:t>е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місце вчинення правочину: країна</w:t>
            </w:r>
            <w:r>
              <w:rPr>
                <w:vertAlign w:val="superscript"/>
              </w:rPr>
              <w:t xml:space="preserve"> 5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місце вчинення правочину: місто</w:t>
            </w:r>
          </w:p>
        </w:tc>
      </w:tr>
      <w:tr w:rsidR="00000000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26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____________</w:t>
      </w:r>
      <w:r>
        <w:rPr>
          <w:vertAlign w:val="superscript"/>
        </w:rPr>
        <w:br/>
        <w:t xml:space="preserve">1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45 "Класифікація країн світу"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  <w:vertAlign w:val="superscript"/>
        </w:rPr>
        <w:t>Заповнюються відповідно</w:t>
      </w:r>
      <w:r>
        <w:rPr>
          <w:sz w:val="20"/>
          <w:szCs w:val="20"/>
          <w:vertAlign w:val="superscript"/>
        </w:rPr>
        <w:t xml:space="preserve"> до </w:t>
      </w:r>
      <w:r>
        <w:rPr>
          <w:color w:val="0000FF"/>
          <w:sz w:val="20"/>
          <w:szCs w:val="20"/>
          <w:vertAlign w:val="superscript"/>
        </w:rPr>
        <w:t>Довідника 46 "Перелік та коди валют"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3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37 "Види депонентів"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 xml:space="preserve">Довідника 45 "Класифікація країн світу" Системи </w:t>
      </w:r>
      <w:r>
        <w:rPr>
          <w:color w:val="0000FF"/>
          <w:sz w:val="20"/>
          <w:szCs w:val="20"/>
          <w:vertAlign w:val="superscript"/>
        </w:rPr>
        <w:t>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5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45 "Класифікація країн світу"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Додаток 17</w:t>
            </w:r>
            <w:r>
              <w:br/>
              <w:t xml:space="preserve">до Положення про порядок звітування депозитарними установами до Національної </w:t>
            </w:r>
            <w:r>
              <w:t>комісії з цінних паперів та фондового ринку</w:t>
            </w:r>
            <w:r>
              <w:br/>
              <w:t>(пункт 5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Довідка про відкриття/закриття рахунку (рахунків) у цінних паперах номінальним утримувачам / в іноземній фінансовій установі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2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Дата, за яку подаються Дані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3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</w:t>
            </w:r>
            <w:r>
              <w:t>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4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найменування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5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Вид події: "1" - відкриття депозитарною установою рахунку (рахунків) у цінних паперах номінальному утримувачу; "2" - відкриття депозитарній установі рахунку (рахунків) у ці</w:t>
            </w:r>
            <w:r>
              <w:t>нних паперах в іноземній фінансовій установі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6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 / іноземну фінансову установу: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7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 / іноземну фінансову установу: країна реєстрації</w:t>
            </w:r>
            <w:r>
              <w:rPr>
                <w:vertAlign w:val="superscript"/>
              </w:rPr>
              <w:t xml:space="preserve"> 1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8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номінального утримувача / </w:t>
            </w:r>
            <w:r>
              <w:t>іноземну фінансову установу: номер реєстрації юридичної особи в країні її місцезнаходження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9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 / іноземну фінансову установу: ідентифікаційний номер за міжнародним ідентифікатором юридичних осіб (код LEI)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10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Відкрито </w:t>
            </w:r>
            <w:r>
              <w:t>рахунків за договором з номінальним утримувачем / з іноземною фінансовою установою, шт.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11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Закрито рахунки за договором з номінальним утримувачем / з іноземною фінансовою установою, шт.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12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b/>
          <w:bCs/>
          <w:vertAlign w:val="superscript"/>
        </w:rPr>
        <w:t>____________</w:t>
      </w:r>
      <w:r>
        <w:rPr>
          <w:vertAlign w:val="superscript"/>
        </w:rPr>
        <w:br/>
        <w:t>1</w:t>
      </w:r>
      <w:r>
        <w:rPr>
          <w:b/>
          <w:bCs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</w:t>
      </w:r>
      <w:r>
        <w:rPr>
          <w:color w:val="0000FF"/>
          <w:sz w:val="20"/>
          <w:szCs w:val="20"/>
          <w:vertAlign w:val="superscript"/>
        </w:rPr>
        <w:t>5 "Класифікація країн світу"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Додаток 18</w:t>
            </w:r>
            <w:r>
              <w:br/>
              <w:t>до Положення про порядок звітування депозитарними установами до Національної комісії з цінних паперів та фондового ринку</w:t>
            </w:r>
            <w:r>
              <w:br/>
              <w:t>(пункт 5 розділу II)</w:t>
            </w:r>
          </w:p>
        </w:tc>
      </w:tr>
    </w:tbl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Довідка </w:t>
      </w:r>
      <w:r>
        <w:rPr>
          <w:rFonts w:eastAsia="Times New Roman"/>
          <w:vertAlign w:val="superscript"/>
        </w:rPr>
        <w:t>про факти порушення номінальним утримувачем встановлених вимог законодавства України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5"/>
        <w:gridCol w:w="8458"/>
      </w:tblGrid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lastRenderedPageBreak/>
              <w:t>1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Номер за порядком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2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Дата, за яку подаються Дані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3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код за ЄДРПОУ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4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депозитарної установи: найменування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5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Дані про </w:t>
            </w:r>
            <w:r>
              <w:t>номінального утримувача: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6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країна реєстрації</w:t>
            </w:r>
            <w:r>
              <w:rPr>
                <w:vertAlign w:val="superscript"/>
              </w:rPr>
              <w:t xml:space="preserve"> 1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7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номер реєстрації юридичної особи в країні її місцезнаходження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8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номінального утримувача: ідентифікаційний но</w:t>
            </w:r>
            <w:r>
              <w:t>мер за міжнародним ідентифікатором юридичних осіб (код LEI)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9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Дата виявлення порушення номінальним утримувачем встановлених вимог законодавства України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10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 xml:space="preserve">Тип порушення: "1" - ненадання інформації про власників цінних паперів; "2" - ненадання інформації </w:t>
            </w:r>
            <w:r>
              <w:t xml:space="preserve">про власників пакетів акцій; "3" - </w:t>
            </w:r>
            <w:proofErr w:type="spellStart"/>
            <w:r>
              <w:t>нерозкриття</w:t>
            </w:r>
            <w:proofErr w:type="spellEnd"/>
            <w:r>
              <w:t xml:space="preserve"> інформації на запит суб'єктів, визначених </w:t>
            </w:r>
            <w:r>
              <w:rPr>
                <w:color w:val="0000FF"/>
              </w:rPr>
              <w:t>частиною першою статті 25 Закону України "Про депозитарну систему України"</w:t>
            </w:r>
            <w:r>
              <w:t>; "4" - ненадання інформації щодо ідентифікаційних даних клієнтів номінального утримувача, кл</w:t>
            </w:r>
            <w:r>
              <w:t>ієнтів клієнта номінального утримувача у встановлених законодавством випадках; "5" - невиконання законодавства України з питань застосування персональних спеціальних економічних та інших обмежувальних заходів (санкцій); "6" - зарахування цінних паперів укр</w:t>
            </w:r>
            <w:r>
              <w:t xml:space="preserve">аїнських емітентів на рахунки у цінних паперах клієнтів номінального утримувача, клієнтів клієнта номінального утримувача, які є резидентами України в значенні, наведеному в </w:t>
            </w:r>
            <w:r>
              <w:rPr>
                <w:color w:val="0000FF"/>
              </w:rPr>
              <w:t>Податковому кодексі України</w:t>
            </w:r>
            <w:r>
              <w:t>; "7" - зменшення розміру власних коштів</w:t>
            </w:r>
            <w:r>
              <w:rPr>
                <w:vertAlign w:val="superscript"/>
              </w:rPr>
              <w:t xml:space="preserve"> 2</w:t>
            </w:r>
            <w:r>
              <w:t>; "8" - інше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11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код за ЄДРПОУ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12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емітента: повне найменування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13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Дані про цінні папери: міжнародний ідентифікаційний номер цінних паперів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14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Загальна кількість рахунків номінального утримувача, на яких обліковуються цінні папери, шт.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15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Загальна кількість цінних паперів на рахунках у цінних паперах номінального утримувача, шт.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16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</w:t>
            </w:r>
            <w:r>
              <w:t xml:space="preserve"> опціонних сертифікатів, грн</w:t>
            </w:r>
          </w:p>
        </w:tc>
      </w:tr>
      <w:tr w:rsidR="0000000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>17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</w:pPr>
            <w:r>
              <w:t>Примітки</w:t>
            </w:r>
          </w:p>
        </w:tc>
      </w:tr>
    </w:tbl>
    <w:p w:rsidR="00000000" w:rsidRDefault="00BA453B">
      <w:pPr>
        <w:ind w:firstLine="709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____________</w:t>
      </w:r>
      <w:r>
        <w:rPr>
          <w:vertAlign w:val="superscript"/>
        </w:rPr>
        <w:br/>
        <w:t xml:space="preserve">1 </w:t>
      </w:r>
      <w:r>
        <w:rPr>
          <w:sz w:val="20"/>
          <w:szCs w:val="20"/>
          <w:vertAlign w:val="superscript"/>
        </w:rPr>
        <w:t xml:space="preserve">Заповнюються відповідно до </w:t>
      </w:r>
      <w:r>
        <w:rPr>
          <w:color w:val="0000FF"/>
          <w:sz w:val="20"/>
          <w:szCs w:val="20"/>
          <w:vertAlign w:val="superscript"/>
        </w:rPr>
        <w:t>Довідника 45 "Класифікація країн світу" Системи довідників та класифікаторів</w:t>
      </w:r>
      <w:r>
        <w:rPr>
          <w:sz w:val="20"/>
          <w:szCs w:val="20"/>
          <w:vertAlign w:val="superscript"/>
        </w:rPr>
        <w:t>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  <w:vertAlign w:val="superscript"/>
        </w:rPr>
        <w:t>Заповнюються у разі зменшення розміру власних коштів нижче значення, встановленого законо</w:t>
      </w:r>
      <w:r>
        <w:rPr>
          <w:sz w:val="20"/>
          <w:szCs w:val="20"/>
          <w:vertAlign w:val="superscript"/>
        </w:rPr>
        <w:t>давством України.</w:t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lastRenderedPageBreak/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Директор департаменту методології</w:t>
            </w:r>
            <w:r>
              <w:br/>
            </w:r>
            <w:r>
              <w:rPr>
                <w:b/>
                <w:bCs/>
              </w:rPr>
              <w:t>регулювання професійних учасників</w:t>
            </w:r>
            <w:r>
              <w:br/>
            </w:r>
            <w:r>
              <w:rPr>
                <w:b/>
                <w:bCs/>
              </w:rPr>
              <w:t>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000000" w:rsidRDefault="00BA453B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І. Курочкіна</w:t>
            </w:r>
          </w:p>
        </w:tc>
      </w:tr>
    </w:tbl>
    <w:bookmarkEnd w:id="0"/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BA453B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745"/>
        <w:gridCol w:w="1894"/>
      </w:tblGrid>
      <w:tr w:rsidR="00000000">
        <w:trPr>
          <w:tblCellSpacing w:w="15" w:type="dxa"/>
        </w:trPr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A453B">
            <w:pPr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2019</w:t>
            </w:r>
            <w:r>
              <w:rPr>
                <w:rFonts w:eastAsia="Times New Roman"/>
              </w:rPr>
              <w:br/>
              <w:t>© ТОВ "ЛІГА ЗАКОН", 2019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A453B">
            <w:pPr>
              <w:ind w:firstLine="709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1" name="Рисунок 1" descr="C:\Users\ninel.chernomorchenk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el.chernomorchenk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53B" w:rsidRDefault="00BA453B">
      <w:pPr>
        <w:ind w:firstLine="709"/>
        <w:rPr>
          <w:rFonts w:eastAsia="Times New Roman"/>
          <w:vertAlign w:val="superscript"/>
        </w:rPr>
      </w:pPr>
    </w:p>
    <w:sectPr w:rsidR="00BA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57A1"/>
    <w:rsid w:val="007D57A1"/>
    <w:rsid w:val="00B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0E8D-E1FB-440A-B258-321E411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ninel.chernomorchenk\AppData\Roaming\Liga70\Client\Session\LOGOTYPE.BMP" TargetMode="External"/><Relationship Id="rId4" Type="http://schemas.openxmlformats.org/officeDocument/2006/relationships/image" Target="file:///C:\Users\ninel.chernomorchenk\AppData\Roaming\Liga70\Client\Session\TSIGN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29655</Words>
  <Characters>16904</Characters>
  <Application>Microsoft Office Word</Application>
  <DocSecurity>0</DocSecurity>
  <Lines>140</Lines>
  <Paragraphs>92</Paragraphs>
  <ScaleCrop>false</ScaleCrop>
  <Company>NSSMC</Company>
  <LinksUpToDate>false</LinksUpToDate>
  <CharactersWithSpaces>46467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2</cp:revision>
  <dcterms:created xsi:type="dcterms:W3CDTF">2019-03-01T08:46:00Z</dcterms:created>
  <dcterms:modified xsi:type="dcterms:W3CDTF">2019-03-01T08:46:00Z</dcterms:modified>
</cp:coreProperties>
</file>