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91" w:rsidRPr="00967F3B" w:rsidRDefault="00F83391" w:rsidP="00F83391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r>
        <w:rPr>
          <w:noProof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  <w:lang w:val="uk-UA"/>
        </w:rPr>
      </w:pP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8"/>
          <w:szCs w:val="28"/>
          <w:lang w:val="uk-UA"/>
        </w:rPr>
      </w:pPr>
      <w:r w:rsidRPr="00967F3B">
        <w:rPr>
          <w:sz w:val="28"/>
          <w:szCs w:val="28"/>
          <w:lang w:val="uk-UA"/>
        </w:rPr>
        <w:t>НАЦІОНАЛЬНА КОМІСІЯ З ЦІННИХ ПАПЕРІВ</w:t>
      </w: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4"/>
          <w:szCs w:val="24"/>
          <w:lang w:val="uk-UA"/>
        </w:rPr>
      </w:pPr>
      <w:r w:rsidRPr="00967F3B">
        <w:rPr>
          <w:sz w:val="28"/>
          <w:szCs w:val="28"/>
          <w:lang w:val="uk-UA"/>
        </w:rPr>
        <w:t>ТА ФОНДОВОГО РИНКУ</w:t>
      </w: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  <w:lang w:val="uk-UA"/>
        </w:rPr>
      </w:pP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4"/>
          <w:szCs w:val="4"/>
          <w:lang w:val="uk-UA"/>
        </w:rPr>
      </w:pP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4"/>
          <w:szCs w:val="4"/>
          <w:lang w:val="uk-UA"/>
        </w:rPr>
      </w:pPr>
    </w:p>
    <w:p w:rsidR="00F83391" w:rsidRPr="00967F3B" w:rsidRDefault="00F83391" w:rsidP="00F83391">
      <w:pPr>
        <w:keepNext/>
        <w:ind w:left="-180" w:right="-329"/>
        <w:jc w:val="center"/>
        <w:rPr>
          <w:sz w:val="28"/>
          <w:szCs w:val="28"/>
          <w:lang w:val="uk-UA"/>
        </w:rPr>
      </w:pPr>
      <w:r w:rsidRPr="00967F3B">
        <w:rPr>
          <w:sz w:val="28"/>
          <w:szCs w:val="28"/>
          <w:lang w:val="uk-UA"/>
        </w:rPr>
        <w:t xml:space="preserve">Р І Ш Е Н </w:t>
      </w:r>
      <w:proofErr w:type="spellStart"/>
      <w:r w:rsidRPr="00967F3B">
        <w:rPr>
          <w:sz w:val="28"/>
          <w:szCs w:val="28"/>
          <w:lang w:val="uk-UA"/>
        </w:rPr>
        <w:t>Н</w:t>
      </w:r>
      <w:proofErr w:type="spellEnd"/>
      <w:r w:rsidRPr="00967F3B">
        <w:rPr>
          <w:sz w:val="28"/>
          <w:szCs w:val="28"/>
          <w:lang w:val="uk-UA"/>
        </w:rPr>
        <w:t xml:space="preserve"> Я</w:t>
      </w:r>
    </w:p>
    <w:p w:rsidR="00F83391" w:rsidRPr="00967F3B" w:rsidRDefault="00F83391" w:rsidP="00F83391">
      <w:pPr>
        <w:keepNext/>
        <w:ind w:left="-180" w:right="-329"/>
        <w:jc w:val="center"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ind w:left="-180" w:right="-329"/>
        <w:jc w:val="center"/>
        <w:rPr>
          <w:sz w:val="24"/>
          <w:szCs w:val="24"/>
          <w:lang w:val="uk-UA"/>
        </w:rPr>
      </w:pPr>
    </w:p>
    <w:p w:rsidR="00F83391" w:rsidRPr="00967F3B" w:rsidRDefault="00F83391" w:rsidP="00F83391">
      <w:pPr>
        <w:keepNext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967F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967F3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967F3B">
        <w:rPr>
          <w:sz w:val="28"/>
          <w:szCs w:val="28"/>
          <w:lang w:val="uk-UA"/>
        </w:rPr>
        <w:tab/>
      </w:r>
      <w:r w:rsidRPr="00967F3B">
        <w:rPr>
          <w:sz w:val="28"/>
          <w:szCs w:val="28"/>
          <w:lang w:val="uk-UA"/>
        </w:rPr>
        <w:tab/>
      </w:r>
      <w:r w:rsidRPr="00967F3B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7F3B">
        <w:rPr>
          <w:sz w:val="28"/>
          <w:szCs w:val="28"/>
          <w:lang w:val="uk-UA"/>
        </w:rPr>
        <w:t xml:space="preserve"> м. Київ</w:t>
      </w:r>
      <w:r w:rsidRPr="00967F3B">
        <w:rPr>
          <w:sz w:val="28"/>
          <w:szCs w:val="28"/>
          <w:lang w:val="uk-UA"/>
        </w:rPr>
        <w:tab/>
      </w:r>
      <w:r w:rsidRPr="00967F3B">
        <w:rPr>
          <w:sz w:val="28"/>
          <w:szCs w:val="28"/>
          <w:lang w:val="uk-UA"/>
        </w:rPr>
        <w:tab/>
      </w:r>
      <w:r w:rsidRPr="00967F3B">
        <w:rPr>
          <w:sz w:val="28"/>
          <w:szCs w:val="28"/>
          <w:lang w:val="uk-UA"/>
        </w:rPr>
        <w:tab/>
      </w:r>
      <w:r w:rsidRPr="00967F3B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861</w:t>
      </w:r>
    </w:p>
    <w:p w:rsidR="00F83391" w:rsidRPr="00967F3B" w:rsidRDefault="00F83391" w:rsidP="00F83391">
      <w:pPr>
        <w:keepNext/>
        <w:ind w:left="708"/>
        <w:rPr>
          <w:sz w:val="28"/>
          <w:szCs w:val="28"/>
          <w:lang w:val="uk-UA"/>
        </w:rPr>
      </w:pPr>
    </w:p>
    <w:p w:rsidR="00F83391" w:rsidRPr="00C5130A" w:rsidRDefault="00F83391" w:rsidP="00F83391">
      <w:pPr>
        <w:keepNext/>
        <w:ind w:left="-180" w:right="-329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9"/>
        <w:gridCol w:w="4480"/>
      </w:tblGrid>
      <w:tr w:rsidR="00F83391" w:rsidRPr="00DC57ED" w:rsidTr="006C673F">
        <w:tc>
          <w:tcPr>
            <w:tcW w:w="5328" w:type="dxa"/>
            <w:shd w:val="clear" w:color="auto" w:fill="auto"/>
          </w:tcPr>
          <w:p w:rsidR="00F83391" w:rsidRPr="0076523C" w:rsidRDefault="00F83391" w:rsidP="006C673F">
            <w:pPr>
              <w:keepNext/>
              <w:ind w:right="87"/>
              <w:jc w:val="both"/>
              <w:rPr>
                <w:sz w:val="28"/>
                <w:szCs w:val="28"/>
                <w:lang w:val="uk-UA"/>
              </w:rPr>
            </w:pPr>
            <w:r w:rsidRPr="00C5130A">
              <w:rPr>
                <w:sz w:val="28"/>
                <w:szCs w:val="28"/>
                <w:lang w:val="uk-UA"/>
              </w:rPr>
              <w:t>Про схвалення проекту рішення Національної комісії з цінних паперів та фондового ринку «</w:t>
            </w:r>
            <w:r w:rsidRPr="00725690">
              <w:rPr>
                <w:sz w:val="28"/>
                <w:szCs w:val="28"/>
                <w:lang w:val="uk-UA" w:eastAsia="uk-UA"/>
              </w:rPr>
              <w:t xml:space="preserve">Про внесення змін до </w:t>
            </w:r>
            <w:r>
              <w:rPr>
                <w:sz w:val="28"/>
                <w:szCs w:val="28"/>
                <w:lang w:val="uk-UA" w:eastAsia="uk-UA"/>
              </w:rPr>
              <w:t xml:space="preserve">деяких нормативних актів </w:t>
            </w:r>
            <w:r w:rsidRPr="00725690">
              <w:rPr>
                <w:sz w:val="28"/>
                <w:szCs w:val="28"/>
                <w:lang w:val="uk-UA" w:eastAsia="uk-UA"/>
              </w:rPr>
              <w:t>Національної комісії з цінних паперів та фондового ринку щодо взаємодії з номінальним утримувачем</w:t>
            </w:r>
            <w:r w:rsidRPr="0076523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639" w:type="dxa"/>
            <w:shd w:val="clear" w:color="auto" w:fill="auto"/>
          </w:tcPr>
          <w:p w:rsidR="00F83391" w:rsidRPr="0076523C" w:rsidRDefault="00F83391" w:rsidP="006C673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83391" w:rsidRPr="00C5130A" w:rsidRDefault="00F83391" w:rsidP="00F83391">
      <w:pPr>
        <w:keepNext/>
        <w:ind w:left="-180" w:right="-329" w:firstLine="56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both"/>
        <w:rPr>
          <w:sz w:val="28"/>
          <w:szCs w:val="28"/>
          <w:lang w:val="uk-UA"/>
        </w:rPr>
      </w:pPr>
      <w:r w:rsidRPr="00CE6D54">
        <w:rPr>
          <w:sz w:val="28"/>
          <w:szCs w:val="28"/>
          <w:lang w:val="uk-UA"/>
        </w:rPr>
        <w:t xml:space="preserve">Відповідно до </w:t>
      </w:r>
      <w:r w:rsidRPr="00725690">
        <w:rPr>
          <w:sz w:val="28"/>
          <w:szCs w:val="28"/>
          <w:lang w:val="uk-UA" w:eastAsia="uk-UA"/>
        </w:rPr>
        <w:t>статті 2, пункту 18 частини другої статті 7 Закону України «Про державне регулювання ринку цінних паперів в Україні», з урахуванням Законів України «Про санкції» та «</w:t>
      </w:r>
      <w:r w:rsidRPr="00725690">
        <w:rPr>
          <w:color w:val="000000"/>
          <w:sz w:val="28"/>
          <w:szCs w:val="28"/>
          <w:lang w:val="uk-UA" w:eastAsia="en-US"/>
        </w:rPr>
        <w:t>Про внесення змін до деяких законів України щодо сприяння залученню іноземних інвестицій»,</w:t>
      </w:r>
      <w:r w:rsidRPr="00725690">
        <w:rPr>
          <w:sz w:val="28"/>
          <w:szCs w:val="28"/>
          <w:lang w:val="uk-UA" w:eastAsia="uk-UA"/>
        </w:rPr>
        <w:t xml:space="preserve"> з метою уточнення дій депозитарних установ та номінальних утримувачів щодо забезпечення виконання рішень Ради національної безпеки і оборони України про застосування персональних спеціальних економічних та інших обмежувальних заходів (санкцій), уведених в дію відповідними Указами Президента України</w:t>
      </w:r>
      <w:r>
        <w:rPr>
          <w:sz w:val="28"/>
          <w:szCs w:val="28"/>
          <w:lang w:val="uk-UA" w:eastAsia="uk-UA"/>
        </w:rPr>
        <w:t xml:space="preserve"> </w:t>
      </w:r>
    </w:p>
    <w:p w:rsidR="00F83391" w:rsidRDefault="00F83391" w:rsidP="00F83391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center"/>
        <w:rPr>
          <w:sz w:val="28"/>
          <w:szCs w:val="28"/>
          <w:lang w:val="uk-UA"/>
        </w:rPr>
      </w:pP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center"/>
        <w:rPr>
          <w:sz w:val="28"/>
          <w:szCs w:val="28"/>
          <w:lang w:val="uk-UA" w:eastAsia="uk-UA"/>
        </w:rPr>
      </w:pPr>
      <w:r w:rsidRPr="00967F3B">
        <w:rPr>
          <w:sz w:val="28"/>
          <w:szCs w:val="28"/>
          <w:lang w:val="uk-UA" w:eastAsia="uk-UA"/>
        </w:rPr>
        <w:t>Національна комісія з цінних паперів та фондового ринку</w:t>
      </w:r>
    </w:p>
    <w:p w:rsidR="00F83391" w:rsidRPr="00C5130A" w:rsidRDefault="00F83391" w:rsidP="00F83391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both"/>
        <w:rPr>
          <w:sz w:val="28"/>
          <w:szCs w:val="28"/>
          <w:lang w:val="uk-UA" w:eastAsia="uk-UA"/>
        </w:rPr>
      </w:pPr>
    </w:p>
    <w:p w:rsidR="00F83391" w:rsidRPr="00967F3B" w:rsidRDefault="00F83391" w:rsidP="00F83391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center"/>
        <w:rPr>
          <w:sz w:val="28"/>
          <w:szCs w:val="28"/>
          <w:lang w:val="uk-UA" w:eastAsia="uk-UA"/>
        </w:rPr>
      </w:pPr>
      <w:r w:rsidRPr="00967F3B">
        <w:rPr>
          <w:sz w:val="28"/>
          <w:szCs w:val="28"/>
          <w:lang w:val="uk-UA" w:eastAsia="uk-UA"/>
        </w:rPr>
        <w:t>В И Р І Ш И Л А:</w:t>
      </w:r>
    </w:p>
    <w:p w:rsidR="00F83391" w:rsidRPr="00967F3B" w:rsidRDefault="00F83391" w:rsidP="00F83391">
      <w:pPr>
        <w:ind w:firstLine="851"/>
        <w:jc w:val="both"/>
        <w:rPr>
          <w:sz w:val="28"/>
          <w:szCs w:val="28"/>
          <w:lang w:val="uk-UA" w:eastAsia="uk-UA"/>
        </w:rPr>
      </w:pPr>
    </w:p>
    <w:p w:rsidR="00F83391" w:rsidRPr="00967F3B" w:rsidRDefault="00F83391" w:rsidP="00F83391">
      <w:pPr>
        <w:ind w:firstLine="851"/>
        <w:jc w:val="both"/>
        <w:rPr>
          <w:sz w:val="28"/>
          <w:szCs w:val="28"/>
          <w:lang w:val="uk-UA" w:eastAsia="uk-UA"/>
        </w:rPr>
      </w:pPr>
      <w:r w:rsidRPr="00967F3B">
        <w:rPr>
          <w:sz w:val="28"/>
          <w:szCs w:val="28"/>
          <w:lang w:val="uk-UA" w:eastAsia="uk-UA"/>
        </w:rPr>
        <w:t xml:space="preserve">1. Схвалити проект </w:t>
      </w:r>
      <w:r w:rsidRPr="00C5130A">
        <w:rPr>
          <w:sz w:val="28"/>
          <w:szCs w:val="28"/>
          <w:lang w:val="uk-UA" w:eastAsia="uk-UA"/>
        </w:rPr>
        <w:t>рішення Національної комісії з цінних паперів та фондового ринку «</w:t>
      </w:r>
      <w:r w:rsidRPr="00725690">
        <w:rPr>
          <w:sz w:val="28"/>
          <w:szCs w:val="28"/>
          <w:lang w:val="uk-UA" w:eastAsia="uk-UA"/>
        </w:rPr>
        <w:t xml:space="preserve">Про внесення змін до </w:t>
      </w:r>
      <w:r>
        <w:rPr>
          <w:sz w:val="28"/>
          <w:szCs w:val="28"/>
          <w:lang w:val="uk-UA" w:eastAsia="uk-UA"/>
        </w:rPr>
        <w:t xml:space="preserve">деяких нормативних актів </w:t>
      </w:r>
      <w:r w:rsidRPr="00725690">
        <w:rPr>
          <w:sz w:val="28"/>
          <w:szCs w:val="28"/>
          <w:lang w:val="uk-UA" w:eastAsia="uk-UA"/>
        </w:rPr>
        <w:t>Національної комісії з цінних паперів та фондового ринку щодо взаємодії з номінальним утримувачем</w:t>
      </w:r>
      <w:r>
        <w:rPr>
          <w:sz w:val="28"/>
          <w:szCs w:val="28"/>
          <w:lang w:val="uk-UA"/>
        </w:rPr>
        <w:t>»</w:t>
      </w:r>
      <w:r w:rsidRPr="00967F3B">
        <w:rPr>
          <w:sz w:val="28"/>
          <w:szCs w:val="28"/>
          <w:lang w:val="uk-UA" w:eastAsia="uk-UA"/>
        </w:rPr>
        <w:t xml:space="preserve"> (далі – Проект), що додається.</w:t>
      </w:r>
    </w:p>
    <w:p w:rsidR="00F83391" w:rsidRDefault="00F83391" w:rsidP="00F83391">
      <w:pPr>
        <w:ind w:firstLine="851"/>
        <w:jc w:val="both"/>
        <w:rPr>
          <w:sz w:val="28"/>
          <w:szCs w:val="28"/>
          <w:lang w:val="uk-UA"/>
        </w:rPr>
      </w:pPr>
    </w:p>
    <w:p w:rsidR="00F83391" w:rsidRPr="000C3603" w:rsidRDefault="00F83391" w:rsidP="00F83391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B6C88">
        <w:rPr>
          <w:sz w:val="28"/>
          <w:szCs w:val="28"/>
          <w:lang w:val="uk-UA"/>
        </w:rPr>
        <w:t xml:space="preserve">2. </w:t>
      </w:r>
      <w:r w:rsidRPr="000C3603">
        <w:rPr>
          <w:sz w:val="28"/>
          <w:szCs w:val="28"/>
          <w:lang w:val="uk-UA"/>
        </w:rPr>
        <w:t xml:space="preserve">Департаменту регулювання професійних учасників ринку цінних паперів </w:t>
      </w:r>
      <w:r>
        <w:rPr>
          <w:sz w:val="28"/>
          <w:szCs w:val="28"/>
          <w:lang w:val="uk-UA"/>
        </w:rPr>
        <w:t>(</w:t>
      </w:r>
      <w:r w:rsidRPr="00097B18">
        <w:rPr>
          <w:sz w:val="28"/>
          <w:szCs w:val="28"/>
          <w:lang w:val="uk-UA"/>
        </w:rPr>
        <w:t>Курочкіна І.</w:t>
      </w:r>
      <w:r>
        <w:rPr>
          <w:sz w:val="28"/>
          <w:szCs w:val="28"/>
          <w:lang w:val="uk-UA"/>
        </w:rPr>
        <w:t> </w:t>
      </w:r>
      <w:r w:rsidRPr="00097B18">
        <w:rPr>
          <w:sz w:val="28"/>
          <w:szCs w:val="28"/>
          <w:lang w:val="uk-UA"/>
        </w:rPr>
        <w:t xml:space="preserve">Ю.) </w:t>
      </w:r>
      <w:r w:rsidRPr="000C3603">
        <w:rPr>
          <w:sz w:val="28"/>
          <w:szCs w:val="28"/>
          <w:lang w:val="uk-UA"/>
        </w:rPr>
        <w:t>забезпечити:</w:t>
      </w:r>
    </w:p>
    <w:p w:rsidR="00F83391" w:rsidRDefault="00F83391" w:rsidP="00F83391">
      <w:pPr>
        <w:ind w:firstLine="851"/>
        <w:jc w:val="both"/>
        <w:rPr>
          <w:sz w:val="28"/>
          <w:szCs w:val="28"/>
          <w:lang w:val="uk-UA"/>
        </w:rPr>
      </w:pPr>
      <w:r w:rsidRPr="000C3603">
        <w:rPr>
          <w:sz w:val="28"/>
          <w:szCs w:val="28"/>
          <w:lang w:val="uk-UA"/>
        </w:rPr>
        <w:lastRenderedPageBreak/>
        <w:t xml:space="preserve">оприлюднення проекту </w:t>
      </w:r>
      <w:r>
        <w:rPr>
          <w:sz w:val="28"/>
          <w:szCs w:val="28"/>
          <w:lang w:val="uk-UA"/>
        </w:rPr>
        <w:t>нормативно-правового</w:t>
      </w:r>
      <w:r w:rsidRPr="000C3603">
        <w:rPr>
          <w:sz w:val="28"/>
          <w:szCs w:val="28"/>
          <w:lang w:val="uk-UA"/>
        </w:rPr>
        <w:t xml:space="preserve"> </w:t>
      </w:r>
      <w:proofErr w:type="spellStart"/>
      <w:r w:rsidRPr="000C3603">
        <w:rPr>
          <w:sz w:val="28"/>
          <w:szCs w:val="28"/>
          <w:lang w:val="uk-UA"/>
        </w:rPr>
        <w:t>акта</w:t>
      </w:r>
      <w:proofErr w:type="spellEnd"/>
      <w:r w:rsidRPr="000C3603">
        <w:rPr>
          <w:sz w:val="28"/>
          <w:szCs w:val="28"/>
          <w:lang w:val="uk-UA"/>
        </w:rPr>
        <w:t xml:space="preserve"> на офіційному веб-сайті Національної комісії з цінних</w:t>
      </w:r>
      <w:r w:rsidRPr="001B6C88">
        <w:rPr>
          <w:sz w:val="28"/>
          <w:szCs w:val="28"/>
          <w:lang w:val="uk-UA"/>
        </w:rPr>
        <w:t xml:space="preserve"> паперів та фондового ринку</w:t>
      </w:r>
      <w:r>
        <w:rPr>
          <w:sz w:val="28"/>
          <w:szCs w:val="28"/>
          <w:lang w:val="uk-UA"/>
        </w:rPr>
        <w:t>;</w:t>
      </w:r>
    </w:p>
    <w:p w:rsidR="00F83391" w:rsidRPr="00967F3B" w:rsidRDefault="00F83391" w:rsidP="00F83391">
      <w:pPr>
        <w:ind w:firstLine="851"/>
        <w:jc w:val="both"/>
        <w:rPr>
          <w:sz w:val="28"/>
          <w:szCs w:val="28"/>
          <w:lang w:val="uk-UA"/>
        </w:rPr>
      </w:pPr>
      <w:r w:rsidRPr="00967F3B">
        <w:rPr>
          <w:sz w:val="28"/>
          <w:lang w:val="uk-UA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F83391" w:rsidRPr="00967F3B" w:rsidRDefault="00F83391" w:rsidP="00F83391">
      <w:pPr>
        <w:ind w:firstLine="851"/>
        <w:jc w:val="both"/>
        <w:rPr>
          <w:b/>
          <w:sz w:val="28"/>
          <w:szCs w:val="28"/>
          <w:lang w:val="uk-UA"/>
        </w:rPr>
      </w:pPr>
    </w:p>
    <w:p w:rsidR="00F83391" w:rsidRPr="00967F3B" w:rsidRDefault="00F83391" w:rsidP="00F83391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67F3B">
        <w:rPr>
          <w:sz w:val="28"/>
          <w:szCs w:val="28"/>
          <w:lang w:val="uk-UA"/>
        </w:rPr>
        <w:t xml:space="preserve">. </w:t>
      </w:r>
      <w:r w:rsidRPr="00967F3B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члена Комісії </w:t>
      </w:r>
      <w:proofErr w:type="spellStart"/>
      <w:r w:rsidRPr="00097B18">
        <w:rPr>
          <w:sz w:val="28"/>
          <w:szCs w:val="28"/>
          <w:lang w:val="uk-UA"/>
        </w:rPr>
        <w:t>Тарабакіна</w:t>
      </w:r>
      <w:proofErr w:type="spellEnd"/>
      <w:r w:rsidRPr="00097B18">
        <w:rPr>
          <w:sz w:val="28"/>
          <w:szCs w:val="28"/>
          <w:lang w:val="uk-UA"/>
        </w:rPr>
        <w:t xml:space="preserve"> Д.</w:t>
      </w:r>
      <w:r>
        <w:rPr>
          <w:sz w:val="28"/>
          <w:szCs w:val="28"/>
          <w:lang w:val="uk-UA"/>
        </w:rPr>
        <w:t> </w:t>
      </w:r>
      <w:r w:rsidRPr="00097B18">
        <w:rPr>
          <w:sz w:val="28"/>
          <w:szCs w:val="28"/>
          <w:lang w:val="uk-UA"/>
        </w:rPr>
        <w:t>В.</w:t>
      </w: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Pr="00967F3B" w:rsidRDefault="00F83391" w:rsidP="00F83391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F83391" w:rsidRPr="00967F3B" w:rsidRDefault="00F83391" w:rsidP="00F83391">
      <w:pPr>
        <w:ind w:firstLine="851"/>
        <w:jc w:val="both"/>
        <w:rPr>
          <w:sz w:val="28"/>
          <w:szCs w:val="28"/>
          <w:lang w:val="uk-UA"/>
        </w:rPr>
      </w:pPr>
    </w:p>
    <w:p w:rsidR="00F83391" w:rsidRPr="00967F3B" w:rsidRDefault="00F83391" w:rsidP="00F83391">
      <w:pPr>
        <w:ind w:firstLine="708"/>
        <w:jc w:val="both"/>
        <w:rPr>
          <w:sz w:val="28"/>
          <w:szCs w:val="28"/>
          <w:lang w:val="uk-UA"/>
        </w:rPr>
      </w:pPr>
      <w:r w:rsidRPr="00967F3B">
        <w:rPr>
          <w:b/>
          <w:sz w:val="28"/>
          <w:szCs w:val="28"/>
          <w:lang w:val="uk-UA"/>
        </w:rPr>
        <w:t xml:space="preserve">Голова Комісії </w:t>
      </w:r>
      <w:r w:rsidRPr="00967F3B">
        <w:rPr>
          <w:b/>
          <w:sz w:val="28"/>
          <w:szCs w:val="28"/>
          <w:lang w:val="uk-UA"/>
        </w:rPr>
        <w:tab/>
      </w:r>
      <w:r w:rsidRPr="00967F3B">
        <w:rPr>
          <w:b/>
          <w:sz w:val="28"/>
          <w:szCs w:val="28"/>
          <w:lang w:val="uk-UA"/>
        </w:rPr>
        <w:tab/>
      </w:r>
      <w:r w:rsidRPr="00967F3B">
        <w:rPr>
          <w:b/>
          <w:sz w:val="28"/>
          <w:szCs w:val="28"/>
          <w:lang w:val="uk-UA"/>
        </w:rPr>
        <w:tab/>
      </w:r>
      <w:r w:rsidRPr="00967F3B">
        <w:rPr>
          <w:b/>
          <w:sz w:val="28"/>
          <w:szCs w:val="28"/>
          <w:lang w:val="uk-UA"/>
        </w:rPr>
        <w:tab/>
      </w:r>
      <w:r w:rsidRPr="00967F3B">
        <w:rPr>
          <w:b/>
          <w:sz w:val="28"/>
          <w:szCs w:val="28"/>
          <w:lang w:val="uk-UA"/>
        </w:rPr>
        <w:tab/>
      </w:r>
      <w:r w:rsidRPr="00967F3B">
        <w:rPr>
          <w:b/>
          <w:sz w:val="28"/>
          <w:szCs w:val="28"/>
          <w:lang w:val="uk-UA"/>
        </w:rPr>
        <w:tab/>
      </w:r>
      <w:r w:rsidRPr="00967F3B">
        <w:rPr>
          <w:b/>
          <w:sz w:val="28"/>
          <w:szCs w:val="28"/>
          <w:lang w:val="uk-UA"/>
        </w:rPr>
        <w:tab/>
      </w:r>
      <w:proofErr w:type="spellStart"/>
      <w:r w:rsidRPr="00967F3B">
        <w:rPr>
          <w:b/>
          <w:sz w:val="28"/>
          <w:szCs w:val="28"/>
          <w:lang w:val="uk-UA"/>
        </w:rPr>
        <w:t>Т.Хромаєв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  <w:bookmarkStart w:id="0" w:name="_GoBack"/>
      <w:bookmarkEnd w:id="0"/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sz w:val="28"/>
          <w:szCs w:val="28"/>
          <w:lang w:val="uk-UA"/>
        </w:rPr>
      </w:pPr>
    </w:p>
    <w:p w:rsidR="00F83391" w:rsidRPr="00967F3B" w:rsidRDefault="00F83391" w:rsidP="00F83391">
      <w:pPr>
        <w:keepNext/>
        <w:rPr>
          <w:lang w:val="uk-UA"/>
        </w:rPr>
      </w:pPr>
    </w:p>
    <w:p w:rsidR="00F83391" w:rsidRPr="00967F3B" w:rsidRDefault="00F83391" w:rsidP="00F83391">
      <w:pPr>
        <w:pStyle w:val="1"/>
        <w:tabs>
          <w:tab w:val="left" w:pos="5940"/>
        </w:tabs>
        <w:ind w:firstLine="720"/>
        <w:jc w:val="righ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67F3B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Протокол засідання Комісії</w:t>
      </w:r>
    </w:p>
    <w:p w:rsidR="00035FF8" w:rsidRPr="00F83391" w:rsidRDefault="00F83391" w:rsidP="00F83391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right"/>
      </w:pPr>
      <w:r w:rsidRPr="00967F3B">
        <w:t xml:space="preserve">            від </w:t>
      </w:r>
      <w:r>
        <w:t>11</w:t>
      </w:r>
      <w:r w:rsidRPr="00967F3B">
        <w:t>.</w:t>
      </w:r>
      <w:r>
        <w:t>12</w:t>
      </w:r>
      <w:r w:rsidRPr="00967F3B">
        <w:t>.20</w:t>
      </w:r>
      <w:r>
        <w:t>18</w:t>
      </w:r>
      <w:r w:rsidRPr="00967F3B">
        <w:t xml:space="preserve"> р. №</w:t>
      </w:r>
      <w:r>
        <w:t xml:space="preserve"> 74</w:t>
      </w:r>
    </w:p>
    <w:sectPr w:rsidR="00035FF8" w:rsidRPr="00F833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47CB5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1"/>
    <w:rsid w:val="00035FF8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7D46"/>
  <w15:chartTrackingRefBased/>
  <w15:docId w15:val="{A9EC61F2-DF97-43E8-9E67-88687A8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83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3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F83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3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F83391"/>
    <w:pPr>
      <w:spacing w:after="120"/>
    </w:pPr>
  </w:style>
  <w:style w:type="character" w:customStyle="1" w:styleId="a6">
    <w:name w:val="Основной текст Знак"/>
    <w:basedOn w:val="a0"/>
    <w:link w:val="a5"/>
    <w:rsid w:val="00F833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List Number 4"/>
    <w:basedOn w:val="a"/>
    <w:rsid w:val="00F83391"/>
    <w:pPr>
      <w:numPr>
        <w:numId w:val="1"/>
      </w:numPr>
    </w:pPr>
    <w:rPr>
      <w:lang w:val="uk-UA"/>
    </w:rPr>
  </w:style>
  <w:style w:type="paragraph" w:styleId="a7">
    <w:name w:val="Normal (Web)"/>
    <w:basedOn w:val="a"/>
    <w:rsid w:val="00F83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2018-12-13T12:16:00Z</dcterms:created>
  <dcterms:modified xsi:type="dcterms:W3CDTF">2018-12-13T12:16:00Z</dcterms:modified>
</cp:coreProperties>
</file>