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01" w:rsidRPr="00B84F06" w:rsidRDefault="00F16F01" w:rsidP="006E483F">
      <w:pPr>
        <w:widowControl w:val="0"/>
        <w:spacing w:after="0" w:line="240" w:lineRule="auto"/>
        <w:rPr>
          <w:rFonts w:ascii="Times New Roman" w:hAnsi="Times New Roman"/>
          <w:sz w:val="20"/>
          <w:szCs w:val="20"/>
          <w:lang w:eastAsia="ru-RU"/>
        </w:rPr>
      </w:pPr>
      <w:bookmarkStart w:id="0" w:name="_GoBack"/>
      <w:bookmarkEnd w:id="0"/>
    </w:p>
    <w:p w:rsidR="00F16F01" w:rsidRPr="008309C0" w:rsidRDefault="00F16F01" w:rsidP="006E483F">
      <w:pPr>
        <w:widowControl w:val="0"/>
        <w:spacing w:after="0" w:line="240" w:lineRule="auto"/>
        <w:ind w:right="450"/>
        <w:jc w:val="right"/>
        <w:textAlignment w:val="baseline"/>
        <w:rPr>
          <w:rFonts w:ascii="Times New Roman" w:hAnsi="Times New Roman"/>
          <w:b/>
          <w:bCs/>
          <w:color w:val="000000"/>
          <w:sz w:val="24"/>
          <w:szCs w:val="24"/>
          <w:bdr w:val="none" w:sz="0" w:space="0" w:color="auto" w:frame="1"/>
          <w:lang w:val="ru-RU" w:eastAsia="ru-RU"/>
        </w:rPr>
      </w:pPr>
      <w:r w:rsidRPr="00B84F06">
        <w:rPr>
          <w:rFonts w:ascii="Times New Roman" w:hAnsi="Times New Roman"/>
          <w:b/>
          <w:bCs/>
          <w:color w:val="000000"/>
          <w:sz w:val="24"/>
          <w:szCs w:val="24"/>
          <w:bdr w:val="none" w:sz="0" w:space="0" w:color="auto" w:frame="1"/>
          <w:lang w:eastAsia="ru-RU"/>
        </w:rPr>
        <w:t xml:space="preserve">Додаток </w:t>
      </w:r>
      <w:r w:rsidRPr="008309C0">
        <w:rPr>
          <w:rFonts w:ascii="Times New Roman" w:hAnsi="Times New Roman"/>
          <w:b/>
          <w:bCs/>
          <w:color w:val="000000"/>
          <w:sz w:val="24"/>
          <w:szCs w:val="24"/>
          <w:bdr w:val="none" w:sz="0" w:space="0" w:color="auto" w:frame="1"/>
          <w:lang w:val="ru-RU" w:eastAsia="ru-RU"/>
        </w:rPr>
        <w:t>4</w:t>
      </w:r>
    </w:p>
    <w:p w:rsidR="00F16F01" w:rsidRPr="00073517" w:rsidRDefault="00F16F01" w:rsidP="006E483F">
      <w:pPr>
        <w:widowControl w:val="0"/>
        <w:spacing w:after="0" w:line="240" w:lineRule="auto"/>
        <w:ind w:right="450"/>
        <w:textAlignment w:val="baseline"/>
        <w:rPr>
          <w:rFonts w:ascii="Times New Roman" w:hAnsi="Times New Roman"/>
          <w:b/>
          <w:bCs/>
          <w:color w:val="000000"/>
          <w:sz w:val="24"/>
          <w:szCs w:val="24"/>
          <w:bdr w:val="none" w:sz="0" w:space="0" w:color="auto" w:frame="1"/>
          <w:lang w:eastAsia="ru-RU"/>
        </w:rPr>
      </w:pPr>
    </w:p>
    <w:p w:rsidR="00F16F01" w:rsidRPr="00073517" w:rsidRDefault="00F16F01" w:rsidP="006E483F">
      <w:pPr>
        <w:widowControl w:val="0"/>
        <w:spacing w:after="0" w:line="240" w:lineRule="auto"/>
        <w:ind w:right="450"/>
        <w:jc w:val="center"/>
        <w:textAlignment w:val="baseline"/>
        <w:rPr>
          <w:rFonts w:ascii="Times New Roman" w:hAnsi="Times New Roman"/>
          <w:b/>
          <w:bCs/>
          <w:color w:val="000000"/>
          <w:sz w:val="24"/>
          <w:szCs w:val="24"/>
          <w:bdr w:val="none" w:sz="0" w:space="0" w:color="auto" w:frame="1"/>
          <w:lang w:eastAsia="ru-RU"/>
        </w:rPr>
      </w:pPr>
      <w:r w:rsidRPr="00073517">
        <w:rPr>
          <w:rFonts w:ascii="Times New Roman" w:hAnsi="Times New Roman"/>
          <w:b/>
          <w:bCs/>
          <w:color w:val="000000"/>
          <w:sz w:val="24"/>
          <w:szCs w:val="24"/>
          <w:bdr w:val="none" w:sz="0" w:space="0" w:color="auto" w:frame="1"/>
          <w:lang w:eastAsia="ru-RU"/>
        </w:rPr>
        <w:t>ТЕСТ</w:t>
      </w:r>
    </w:p>
    <w:p w:rsidR="00F16F01" w:rsidRPr="00073517" w:rsidRDefault="00F16F01" w:rsidP="006E483F">
      <w:pPr>
        <w:widowControl w:val="0"/>
        <w:spacing w:after="0" w:line="240" w:lineRule="auto"/>
        <w:ind w:right="450"/>
        <w:jc w:val="center"/>
        <w:textAlignment w:val="baseline"/>
        <w:rPr>
          <w:rFonts w:ascii="Times New Roman" w:hAnsi="Times New Roman"/>
          <w:b/>
          <w:bCs/>
          <w:color w:val="000000"/>
          <w:sz w:val="24"/>
          <w:szCs w:val="24"/>
          <w:bdr w:val="none" w:sz="0" w:space="0" w:color="auto" w:frame="1"/>
          <w:lang w:eastAsia="ru-RU"/>
        </w:rPr>
      </w:pPr>
      <w:r w:rsidRPr="00073517">
        <w:rPr>
          <w:rFonts w:ascii="Times New Roman" w:hAnsi="Times New Roman"/>
          <w:b/>
          <w:bCs/>
          <w:color w:val="000000"/>
          <w:sz w:val="24"/>
          <w:szCs w:val="24"/>
          <w:bdr w:val="none" w:sz="0" w:space="0" w:color="auto" w:frame="1"/>
          <w:lang w:eastAsia="ru-RU"/>
        </w:rPr>
        <w:t>малого підприємництва (М-Тест)</w:t>
      </w:r>
    </w:p>
    <w:p w:rsidR="00F16F01" w:rsidRPr="00073517" w:rsidRDefault="00F16F01" w:rsidP="00907AA4">
      <w:pPr>
        <w:widowControl w:val="0"/>
        <w:tabs>
          <w:tab w:val="left" w:pos="0"/>
        </w:tabs>
        <w:spacing w:after="0" w:line="240" w:lineRule="auto"/>
        <w:jc w:val="both"/>
        <w:rPr>
          <w:rFonts w:ascii="Times New Roman" w:hAnsi="Times New Roman"/>
          <w:b/>
          <w:bCs/>
          <w:color w:val="000000"/>
          <w:sz w:val="24"/>
          <w:szCs w:val="24"/>
          <w:bdr w:val="none" w:sz="0" w:space="0" w:color="auto" w:frame="1"/>
          <w:lang w:eastAsia="ru-RU"/>
        </w:rPr>
      </w:pPr>
    </w:p>
    <w:p w:rsidR="00F16F01" w:rsidRPr="00073517" w:rsidRDefault="00F16F01" w:rsidP="00907AA4">
      <w:pPr>
        <w:pStyle w:val="a8"/>
        <w:widowControl w:val="0"/>
        <w:numPr>
          <w:ilvl w:val="0"/>
          <w:numId w:val="3"/>
        </w:numPr>
        <w:tabs>
          <w:tab w:val="left"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Консультації із суб’єктами</w:t>
      </w:r>
      <w:r w:rsidRPr="00073517">
        <w:rPr>
          <w:rFonts w:ascii="Times New Roman" w:hAnsi="Times New Roman"/>
          <w:sz w:val="24"/>
          <w:szCs w:val="24"/>
          <w:lang w:eastAsia="ru-RU"/>
        </w:rPr>
        <w:t xml:space="preserve"> господарювання</w:t>
      </w:r>
      <w:r>
        <w:rPr>
          <w:rFonts w:ascii="Times New Roman" w:hAnsi="Times New Roman"/>
          <w:sz w:val="24"/>
          <w:szCs w:val="24"/>
          <w:lang w:eastAsia="ru-RU"/>
        </w:rPr>
        <w:t xml:space="preserve"> (оцінювачами) </w:t>
      </w:r>
      <w:r w:rsidRPr="00073517">
        <w:rPr>
          <w:rFonts w:ascii="Times New Roman" w:hAnsi="Times New Roman"/>
          <w:sz w:val="24"/>
          <w:szCs w:val="24"/>
          <w:lang w:eastAsia="ru-RU"/>
        </w:rPr>
        <w:t xml:space="preserve"> </w:t>
      </w:r>
      <w:r>
        <w:rPr>
          <w:rFonts w:ascii="Times New Roman" w:hAnsi="Times New Roman"/>
          <w:sz w:val="24"/>
          <w:szCs w:val="24"/>
          <w:lang w:eastAsia="ru-RU"/>
        </w:rPr>
        <w:t xml:space="preserve">та заінтересованими особами </w:t>
      </w:r>
      <w:r w:rsidRPr="00073517">
        <w:rPr>
          <w:rFonts w:ascii="Times New Roman" w:hAnsi="Times New Roman"/>
          <w:sz w:val="24"/>
          <w:szCs w:val="24"/>
          <w:lang w:eastAsia="ru-RU"/>
        </w:rPr>
        <w:t xml:space="preserve">щодо оцінки впливу регулювання. </w:t>
      </w:r>
    </w:p>
    <w:p w:rsidR="00F16F01" w:rsidRPr="00073517" w:rsidRDefault="00F16F01" w:rsidP="00907AA4">
      <w:pPr>
        <w:widowControl w:val="0"/>
        <w:tabs>
          <w:tab w:val="left" w:pos="0"/>
        </w:tabs>
        <w:spacing w:after="0" w:line="240" w:lineRule="auto"/>
        <w:ind w:left="708"/>
        <w:jc w:val="both"/>
        <w:rPr>
          <w:rFonts w:ascii="Times New Roman" w:hAnsi="Times New Roman"/>
          <w:sz w:val="24"/>
          <w:szCs w:val="24"/>
          <w:lang w:eastAsia="ru-RU"/>
        </w:rPr>
      </w:pPr>
      <w:r w:rsidRPr="00073517">
        <w:rPr>
          <w:rFonts w:ascii="Times New Roman" w:hAnsi="Times New Roman"/>
          <w:sz w:val="24"/>
          <w:szCs w:val="24"/>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Pr="00073517">
        <w:rPr>
          <w:rFonts w:ascii="Times New Roman" w:hAnsi="Times New Roman"/>
          <w:sz w:val="24"/>
          <w:szCs w:val="24"/>
          <w:lang w:val="ru-RU" w:eastAsia="ru-RU"/>
        </w:rPr>
        <w:t>10</w:t>
      </w:r>
      <w:r w:rsidRPr="00073517">
        <w:rPr>
          <w:rFonts w:ascii="Times New Roman" w:hAnsi="Times New Roman"/>
          <w:sz w:val="24"/>
          <w:szCs w:val="24"/>
          <w:lang w:eastAsia="ru-RU"/>
        </w:rPr>
        <w:t>.</w:t>
      </w:r>
      <w:r w:rsidRPr="00073517">
        <w:rPr>
          <w:rFonts w:ascii="Times New Roman" w:hAnsi="Times New Roman"/>
          <w:sz w:val="24"/>
          <w:szCs w:val="24"/>
          <w:lang w:val="ru-RU" w:eastAsia="ru-RU"/>
        </w:rPr>
        <w:t>04</w:t>
      </w:r>
      <w:r w:rsidRPr="00073517">
        <w:rPr>
          <w:rFonts w:ascii="Times New Roman" w:hAnsi="Times New Roman"/>
          <w:sz w:val="24"/>
          <w:szCs w:val="24"/>
          <w:lang w:eastAsia="ru-RU"/>
        </w:rPr>
        <w:t xml:space="preserve">.2018 по </w:t>
      </w:r>
      <w:r>
        <w:rPr>
          <w:rFonts w:ascii="Times New Roman" w:hAnsi="Times New Roman"/>
          <w:sz w:val="24"/>
          <w:szCs w:val="24"/>
          <w:lang w:eastAsia="ru-RU"/>
        </w:rPr>
        <w:t>10</w:t>
      </w:r>
      <w:r w:rsidRPr="002F11DA">
        <w:rPr>
          <w:rFonts w:ascii="Times New Roman" w:hAnsi="Times New Roman"/>
          <w:sz w:val="24"/>
          <w:szCs w:val="24"/>
          <w:lang w:eastAsia="ru-RU"/>
        </w:rPr>
        <w:t>.</w:t>
      </w:r>
      <w:r>
        <w:rPr>
          <w:rFonts w:ascii="Times New Roman" w:hAnsi="Times New Roman"/>
          <w:sz w:val="24"/>
          <w:szCs w:val="24"/>
          <w:lang w:eastAsia="ru-RU"/>
        </w:rPr>
        <w:t>10</w:t>
      </w:r>
      <w:r w:rsidRPr="002F11DA">
        <w:rPr>
          <w:rFonts w:ascii="Times New Roman" w:hAnsi="Times New Roman"/>
          <w:sz w:val="24"/>
          <w:szCs w:val="24"/>
          <w:lang w:eastAsia="ru-RU"/>
        </w:rPr>
        <w:t>.2018.</w:t>
      </w:r>
    </w:p>
    <w:p w:rsidR="00F16F01" w:rsidRPr="00073517" w:rsidRDefault="00F16F01" w:rsidP="006E483F">
      <w:pPr>
        <w:widowControl w:val="0"/>
        <w:spacing w:after="0" w:line="240" w:lineRule="auto"/>
        <w:jc w:val="center"/>
        <w:rPr>
          <w:rFonts w:ascii="Times New Roman" w:hAnsi="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6642"/>
        <w:gridCol w:w="2156"/>
        <w:gridCol w:w="4217"/>
      </w:tblGrid>
      <w:tr w:rsidR="00F16F01" w:rsidRPr="00357994" w:rsidTr="00A52541">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b/>
                <w:sz w:val="24"/>
                <w:szCs w:val="24"/>
                <w:lang w:eastAsia="ru-RU"/>
              </w:rPr>
            </w:pPr>
            <w:r w:rsidRPr="00357994">
              <w:rPr>
                <w:rFonts w:ascii="Times New Roman" w:hAnsi="Times New Roman"/>
                <w:b/>
                <w:sz w:val="24"/>
                <w:szCs w:val="24"/>
                <w:lang w:eastAsia="ru-RU"/>
              </w:rPr>
              <w:t>Порядковий номер</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b/>
                <w:sz w:val="24"/>
                <w:szCs w:val="24"/>
                <w:lang w:eastAsia="ru-RU"/>
              </w:rPr>
            </w:pPr>
            <w:r w:rsidRPr="00357994">
              <w:rPr>
                <w:rFonts w:ascii="Times New Roman" w:hAnsi="Times New Roman"/>
                <w:b/>
                <w:sz w:val="24"/>
                <w:szCs w:val="24"/>
                <w:lang w:eastAsia="ru-RU"/>
              </w:rPr>
              <w:t>Вид консультації</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b/>
                <w:sz w:val="24"/>
                <w:szCs w:val="24"/>
                <w:lang w:eastAsia="ru-RU"/>
              </w:rPr>
            </w:pPr>
            <w:r w:rsidRPr="00357994">
              <w:rPr>
                <w:rFonts w:ascii="Times New Roman" w:hAnsi="Times New Roman"/>
                <w:b/>
                <w:sz w:val="24"/>
                <w:szCs w:val="24"/>
                <w:lang w:eastAsia="ru-RU"/>
              </w:rPr>
              <w:t>Кількість учасників консультацій, осіб</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b/>
                <w:sz w:val="24"/>
                <w:szCs w:val="24"/>
                <w:lang w:eastAsia="ru-RU"/>
              </w:rPr>
            </w:pPr>
            <w:r w:rsidRPr="00357994">
              <w:rPr>
                <w:rFonts w:ascii="Times New Roman" w:hAnsi="Times New Roman"/>
                <w:b/>
                <w:sz w:val="24"/>
                <w:szCs w:val="24"/>
                <w:lang w:eastAsia="ru-RU"/>
              </w:rPr>
              <w:t>Основні результати консультацій</w:t>
            </w:r>
          </w:p>
        </w:tc>
      </w:tr>
      <w:tr w:rsidR="00F16F01" w:rsidRPr="00357994" w:rsidTr="00A52541">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1</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 xml:space="preserve">Робоча зустріч з представниками </w:t>
            </w:r>
            <w:r>
              <w:rPr>
                <w:rFonts w:ascii="Times New Roman" w:hAnsi="Times New Roman"/>
                <w:sz w:val="24"/>
                <w:szCs w:val="24"/>
                <w:lang w:eastAsia="ru-RU"/>
              </w:rPr>
              <w:t>саморегулівними організацій</w:t>
            </w:r>
            <w:r w:rsidRPr="005E265B">
              <w:rPr>
                <w:rFonts w:ascii="Times New Roman" w:hAnsi="Times New Roman"/>
                <w:sz w:val="24"/>
                <w:szCs w:val="24"/>
                <w:lang w:eastAsia="ru-RU"/>
              </w:rPr>
              <w:t xml:space="preserve"> оцінювачів</w:t>
            </w:r>
          </w:p>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Проведено 23.04.2018</w:t>
            </w:r>
          </w:p>
        </w:tc>
        <w:tc>
          <w:tcPr>
            <w:tcW w:w="0" w:type="auto"/>
          </w:tcPr>
          <w:p w:rsidR="00F16F01" w:rsidRPr="00357994" w:rsidRDefault="00F16F01" w:rsidP="00357994">
            <w:pPr>
              <w:widowControl w:val="0"/>
              <w:spacing w:after="0" w:line="240" w:lineRule="auto"/>
              <w:jc w:val="center"/>
              <w:textAlignment w:val="baseline"/>
              <w:rPr>
                <w:rFonts w:ascii="Times New Roman" w:hAnsi="Times New Roman"/>
                <w:sz w:val="24"/>
                <w:szCs w:val="24"/>
                <w:lang w:eastAsia="ru-RU"/>
              </w:rPr>
            </w:pPr>
            <w:r w:rsidRPr="00357994">
              <w:rPr>
                <w:rFonts w:ascii="Times New Roman" w:hAnsi="Times New Roman"/>
                <w:sz w:val="24"/>
                <w:szCs w:val="24"/>
                <w:lang w:eastAsia="ru-RU"/>
              </w:rPr>
              <w:t>3</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Висловлені окремі зауваження до проекту регуляторного акту.</w:t>
            </w:r>
          </w:p>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p>
        </w:tc>
      </w:tr>
      <w:tr w:rsidR="00F16F01" w:rsidRPr="00357994" w:rsidTr="00A52541">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2</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 xml:space="preserve">Робоча </w:t>
            </w:r>
            <w:r>
              <w:rPr>
                <w:rFonts w:ascii="Times New Roman" w:hAnsi="Times New Roman"/>
                <w:sz w:val="24"/>
                <w:szCs w:val="24"/>
                <w:lang w:eastAsia="ru-RU"/>
              </w:rPr>
              <w:t xml:space="preserve">зустріч з представниками Фонду державного майна України </w:t>
            </w:r>
            <w:r w:rsidRPr="00357994">
              <w:rPr>
                <w:rFonts w:ascii="Times New Roman" w:hAnsi="Times New Roman"/>
                <w:sz w:val="24"/>
                <w:szCs w:val="24"/>
                <w:lang w:eastAsia="ru-RU"/>
              </w:rPr>
              <w:t xml:space="preserve"> та </w:t>
            </w:r>
            <w:r w:rsidRPr="005E265B">
              <w:rPr>
                <w:rFonts w:ascii="Times New Roman" w:hAnsi="Times New Roman"/>
                <w:sz w:val="24"/>
                <w:szCs w:val="24"/>
                <w:lang w:eastAsia="ru-RU"/>
              </w:rPr>
              <w:t>саморегулівними організаціями оцінювачів</w:t>
            </w:r>
          </w:p>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Проведено 27.04.2018</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val="ru-RU" w:eastAsia="ru-RU"/>
              </w:rPr>
            </w:pPr>
            <w:r w:rsidRPr="00357994">
              <w:rPr>
                <w:rFonts w:ascii="Times New Roman" w:hAnsi="Times New Roman"/>
                <w:sz w:val="24"/>
                <w:szCs w:val="24"/>
                <w:lang w:val="ru-RU" w:eastAsia="ru-RU"/>
              </w:rPr>
              <w:t>8</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Запропоноване регулювання сприймається.</w:t>
            </w:r>
          </w:p>
          <w:p w:rsidR="00F16F01" w:rsidRPr="00357994" w:rsidRDefault="00F16F01" w:rsidP="00357994">
            <w:pPr>
              <w:widowControl w:val="0"/>
              <w:tabs>
                <w:tab w:val="left" w:pos="1875"/>
              </w:tabs>
              <w:spacing w:after="0" w:line="240" w:lineRule="auto"/>
              <w:jc w:val="both"/>
              <w:rPr>
                <w:rFonts w:ascii="Times New Roman" w:hAnsi="Times New Roman"/>
                <w:sz w:val="24"/>
                <w:szCs w:val="24"/>
                <w:lang w:eastAsia="ru-RU"/>
              </w:rPr>
            </w:pPr>
          </w:p>
        </w:tc>
      </w:tr>
      <w:tr w:rsidR="00F16F01" w:rsidRPr="00357994" w:rsidTr="00A52541">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3</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 xml:space="preserve">Робоча зустріч з представниками </w:t>
            </w:r>
            <w:r>
              <w:rPr>
                <w:rFonts w:ascii="Times New Roman" w:hAnsi="Times New Roman"/>
                <w:sz w:val="24"/>
                <w:szCs w:val="24"/>
                <w:lang w:eastAsia="ru-RU"/>
              </w:rPr>
              <w:t>Фонду державного майна України</w:t>
            </w:r>
          </w:p>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29.05.2018</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8</w:t>
            </w:r>
          </w:p>
        </w:tc>
        <w:tc>
          <w:tcPr>
            <w:tcW w:w="0" w:type="auto"/>
          </w:tcPr>
          <w:p w:rsidR="00F16F01" w:rsidRPr="00357994" w:rsidRDefault="00F16F01" w:rsidP="00357994">
            <w:pPr>
              <w:widowControl w:val="0"/>
              <w:tabs>
                <w:tab w:val="left" w:pos="1875"/>
              </w:tabs>
              <w:spacing w:after="0" w:line="240" w:lineRule="auto"/>
              <w:jc w:val="both"/>
              <w:rPr>
                <w:rFonts w:ascii="Times New Roman" w:hAnsi="Times New Roman"/>
                <w:sz w:val="24"/>
                <w:szCs w:val="24"/>
                <w:lang w:eastAsia="ru-RU"/>
              </w:rPr>
            </w:pPr>
            <w:r w:rsidRPr="00357994">
              <w:rPr>
                <w:rFonts w:ascii="Times New Roman" w:hAnsi="Times New Roman"/>
                <w:sz w:val="24"/>
                <w:szCs w:val="24"/>
                <w:lang w:eastAsia="ru-RU"/>
              </w:rPr>
              <w:t>Висловлені окремі зауваження до проекту регуляторного акту.</w:t>
            </w:r>
          </w:p>
        </w:tc>
      </w:tr>
      <w:tr w:rsidR="00F16F01" w:rsidRPr="00357994" w:rsidTr="00F940D8">
        <w:trPr>
          <w:trHeight w:val="1647"/>
        </w:trPr>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4</w:t>
            </w:r>
          </w:p>
        </w:tc>
        <w:tc>
          <w:tcPr>
            <w:tcW w:w="0" w:type="auto"/>
          </w:tcPr>
          <w:p w:rsidR="00F16F01" w:rsidRPr="005E265B" w:rsidRDefault="00F16F01" w:rsidP="00357994">
            <w:pPr>
              <w:widowControl w:val="0"/>
              <w:spacing w:after="0" w:line="240" w:lineRule="auto"/>
              <w:jc w:val="both"/>
              <w:textAlignment w:val="baseline"/>
              <w:rPr>
                <w:rFonts w:ascii="Times New Roman" w:hAnsi="Times New Roman"/>
                <w:sz w:val="24"/>
                <w:szCs w:val="24"/>
                <w:lang w:eastAsia="ru-RU"/>
              </w:rPr>
            </w:pPr>
            <w:r w:rsidRPr="005E265B">
              <w:rPr>
                <w:rFonts w:ascii="Times New Roman" w:hAnsi="Times New Roman"/>
                <w:sz w:val="24"/>
                <w:szCs w:val="24"/>
                <w:lang w:eastAsia="ru-RU"/>
              </w:rPr>
              <w:t xml:space="preserve">Робочі зустрічі з саморегулівними організаціями оцінювачів, </w:t>
            </w:r>
            <w:r>
              <w:rPr>
                <w:rFonts w:ascii="Times New Roman" w:hAnsi="Times New Roman"/>
                <w:sz w:val="24"/>
                <w:szCs w:val="24"/>
                <w:lang w:eastAsia="ru-RU"/>
              </w:rPr>
              <w:t xml:space="preserve">із групою </w:t>
            </w:r>
            <w:r w:rsidRPr="002C66E3">
              <w:rPr>
                <w:rFonts w:ascii="Times New Roman" w:hAnsi="Times New Roman"/>
                <w:sz w:val="24"/>
                <w:szCs w:val="24"/>
              </w:rPr>
              <w:t>Національних Оціночних</w:t>
            </w:r>
            <w:r w:rsidRPr="002C66E3">
              <w:rPr>
                <w:sz w:val="24"/>
                <w:szCs w:val="24"/>
              </w:rPr>
              <w:t xml:space="preserve"> </w:t>
            </w:r>
            <w:r w:rsidRPr="002C66E3">
              <w:rPr>
                <w:rFonts w:ascii="Times New Roman" w:hAnsi="Times New Roman"/>
                <w:sz w:val="24"/>
                <w:szCs w:val="24"/>
              </w:rPr>
              <w:t>асоціацій TEGoVA</w:t>
            </w:r>
            <w:r>
              <w:rPr>
                <w:rFonts w:ascii="Times New Roman" w:hAnsi="Times New Roman"/>
                <w:sz w:val="24"/>
                <w:szCs w:val="24"/>
              </w:rPr>
              <w:t xml:space="preserve">, </w:t>
            </w:r>
            <w:r w:rsidRPr="002C66E3">
              <w:rPr>
                <w:rFonts w:ascii="Times New Roman" w:hAnsi="Times New Roman"/>
                <w:sz w:val="24"/>
                <w:szCs w:val="24"/>
              </w:rPr>
              <w:t xml:space="preserve"> міжнародною організацією оцінювачів</w:t>
            </w:r>
            <w:r w:rsidRPr="005E265B">
              <w:rPr>
                <w:rFonts w:ascii="Times New Roman" w:hAnsi="Times New Roman"/>
                <w:sz w:val="24"/>
                <w:szCs w:val="24"/>
              </w:rPr>
              <w:t xml:space="preserve"> RICS та міжнародною асоціацією/організацією АССА/</w:t>
            </w:r>
            <w:r w:rsidRPr="005E265B">
              <w:rPr>
                <w:rFonts w:ascii="Times New Roman" w:hAnsi="Times New Roman"/>
                <w:sz w:val="24"/>
                <w:szCs w:val="24"/>
                <w:lang w:val="en-US"/>
              </w:rPr>
              <w:t>CF</w:t>
            </w:r>
            <w:r w:rsidRPr="005E265B">
              <w:rPr>
                <w:rFonts w:ascii="Times New Roman" w:hAnsi="Times New Roman"/>
                <w:sz w:val="24"/>
                <w:szCs w:val="24"/>
              </w:rPr>
              <w:t>А</w:t>
            </w:r>
            <w:r>
              <w:rPr>
                <w:rFonts w:ascii="Times New Roman" w:hAnsi="Times New Roman"/>
                <w:sz w:val="24"/>
                <w:szCs w:val="24"/>
              </w:rPr>
              <w:t xml:space="preserve"> (період: з червня 2018 по серпень 2018 рік)</w:t>
            </w:r>
          </w:p>
        </w:tc>
        <w:tc>
          <w:tcPr>
            <w:tcW w:w="0" w:type="auto"/>
          </w:tcPr>
          <w:p w:rsidR="00F16F01" w:rsidRPr="005E265B" w:rsidRDefault="00F16F01" w:rsidP="00357994">
            <w:pPr>
              <w:widowControl w:val="0"/>
              <w:tabs>
                <w:tab w:val="left" w:pos="1875"/>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0" w:type="auto"/>
          </w:tcPr>
          <w:p w:rsidR="00F16F01"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 xml:space="preserve">Висловлені окремі зауваження </w:t>
            </w:r>
            <w:r>
              <w:rPr>
                <w:rFonts w:ascii="Times New Roman" w:hAnsi="Times New Roman"/>
                <w:sz w:val="24"/>
                <w:szCs w:val="24"/>
                <w:lang w:eastAsia="ru-RU"/>
              </w:rPr>
              <w:t>та пропозиції, які враховані під час підготовки та доопрацювання проекту</w:t>
            </w:r>
            <w:r w:rsidRPr="00357994">
              <w:rPr>
                <w:rFonts w:ascii="Times New Roman" w:hAnsi="Times New Roman"/>
                <w:sz w:val="24"/>
                <w:szCs w:val="24"/>
                <w:lang w:eastAsia="ru-RU"/>
              </w:rPr>
              <w:t xml:space="preserve"> регуляторного акту</w:t>
            </w:r>
            <w:r>
              <w:rPr>
                <w:rFonts w:ascii="Times New Roman" w:hAnsi="Times New Roman"/>
                <w:sz w:val="24"/>
                <w:szCs w:val="24"/>
                <w:lang w:eastAsia="ru-RU"/>
              </w:rPr>
              <w:t xml:space="preserve"> та досягнуто </w:t>
            </w:r>
          </w:p>
          <w:p w:rsidR="00F16F01" w:rsidRPr="005E265B" w:rsidRDefault="00F16F01" w:rsidP="00357994">
            <w:pPr>
              <w:widowControl w:val="0"/>
              <w:spacing w:after="0" w:line="240" w:lineRule="auto"/>
              <w:jc w:val="both"/>
              <w:textAlignment w:val="baseline"/>
              <w:rPr>
                <w:rFonts w:ascii="Times New Roman" w:hAnsi="Times New Roman"/>
                <w:sz w:val="24"/>
                <w:szCs w:val="24"/>
                <w:lang w:eastAsia="ru-RU"/>
              </w:rPr>
            </w:pPr>
          </w:p>
        </w:tc>
      </w:tr>
      <w:tr w:rsidR="00F16F01" w:rsidRPr="00357994" w:rsidTr="00A52541">
        <w:trPr>
          <w:trHeight w:val="115"/>
        </w:trPr>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5</w:t>
            </w:r>
          </w:p>
        </w:tc>
        <w:tc>
          <w:tcPr>
            <w:tcW w:w="0" w:type="auto"/>
          </w:tcPr>
          <w:p w:rsidR="00F16F01" w:rsidRPr="000B4432" w:rsidRDefault="00F16F01" w:rsidP="00A52541">
            <w:pPr>
              <w:widowControl w:val="0"/>
              <w:spacing w:after="0" w:line="240" w:lineRule="auto"/>
              <w:jc w:val="both"/>
              <w:textAlignment w:val="baseline"/>
              <w:rPr>
                <w:rFonts w:ascii="Times New Roman" w:hAnsi="Times New Roman"/>
                <w:sz w:val="24"/>
                <w:szCs w:val="24"/>
                <w:lang w:eastAsia="ru-RU"/>
              </w:rPr>
            </w:pPr>
            <w:r w:rsidRPr="000B4432">
              <w:rPr>
                <w:rFonts w:ascii="Times New Roman" w:hAnsi="Times New Roman"/>
                <w:sz w:val="24"/>
                <w:szCs w:val="24"/>
                <w:lang w:eastAsia="ru-RU"/>
              </w:rPr>
              <w:t>Засідання профільних Комітетів Комісії:</w:t>
            </w:r>
          </w:p>
          <w:p w:rsidR="00F16F01" w:rsidRPr="005E265B" w:rsidRDefault="00F16F01" w:rsidP="00A52541">
            <w:pPr>
              <w:widowControl w:val="0"/>
              <w:spacing w:after="0" w:line="240" w:lineRule="auto"/>
              <w:jc w:val="both"/>
              <w:textAlignment w:val="baseline"/>
              <w:rPr>
                <w:rFonts w:ascii="Times New Roman" w:hAnsi="Times New Roman"/>
                <w:sz w:val="24"/>
                <w:szCs w:val="24"/>
                <w:lang w:eastAsia="ru-RU"/>
              </w:rPr>
            </w:pPr>
            <w:r w:rsidRPr="000B4432">
              <w:rPr>
                <w:rFonts w:ascii="Times New Roman" w:hAnsi="Times New Roman"/>
                <w:sz w:val="24"/>
                <w:szCs w:val="24"/>
                <w:lang w:eastAsia="ru-RU"/>
              </w:rPr>
              <w:t xml:space="preserve">Комітету </w:t>
            </w:r>
            <w:r w:rsidRPr="000B4432">
              <w:rPr>
                <w:rFonts w:ascii="Times New Roman" w:hAnsi="Times New Roman"/>
                <w:bCs/>
                <w:sz w:val="24"/>
                <w:szCs w:val="24"/>
                <w:lang w:eastAsia="ru-RU"/>
              </w:rPr>
              <w:t xml:space="preserve">з питань методології та нагляду за функціонуванням інфраструктури фондового ринку, </w:t>
            </w:r>
            <w:r w:rsidRPr="000B4432">
              <w:rPr>
                <w:rFonts w:ascii="Times New Roman" w:hAnsi="Times New Roman"/>
                <w:sz w:val="24"/>
                <w:szCs w:val="24"/>
              </w:rPr>
              <w:t xml:space="preserve">Комітету з питань функціонування торговців фондового ринку та бірж, </w:t>
            </w:r>
            <w:r w:rsidRPr="000B4432">
              <w:rPr>
                <w:rFonts w:ascii="Times New Roman" w:hAnsi="Times New Roman"/>
                <w:sz w:val="24"/>
                <w:szCs w:val="24"/>
                <w:lang w:eastAsia="uk-UA"/>
              </w:rPr>
              <w:t>Комітету з управління змінами та ризиками</w:t>
            </w:r>
            <w:r>
              <w:rPr>
                <w:rFonts w:ascii="Times New Roman" w:hAnsi="Times New Roman"/>
                <w:sz w:val="24"/>
                <w:szCs w:val="24"/>
                <w:lang w:eastAsia="uk-UA"/>
              </w:rPr>
              <w:t xml:space="preserve"> </w:t>
            </w:r>
            <w:r>
              <w:rPr>
                <w:rFonts w:ascii="Times New Roman" w:hAnsi="Times New Roman"/>
                <w:sz w:val="24"/>
                <w:szCs w:val="24"/>
                <w:lang w:eastAsia="ru-RU"/>
              </w:rPr>
              <w:t>(дати</w:t>
            </w:r>
            <w:r w:rsidRPr="000B4432">
              <w:rPr>
                <w:rFonts w:ascii="Times New Roman" w:hAnsi="Times New Roman"/>
                <w:sz w:val="24"/>
                <w:szCs w:val="24"/>
                <w:lang w:eastAsia="ru-RU"/>
              </w:rPr>
              <w:t xml:space="preserve"> проведення:19.06.</w:t>
            </w:r>
            <w:r>
              <w:rPr>
                <w:rFonts w:ascii="Times New Roman" w:hAnsi="Times New Roman"/>
                <w:sz w:val="24"/>
                <w:szCs w:val="24"/>
                <w:lang w:eastAsia="ru-RU"/>
              </w:rPr>
              <w:t>20</w:t>
            </w:r>
            <w:r w:rsidRPr="000B4432">
              <w:rPr>
                <w:rFonts w:ascii="Times New Roman" w:hAnsi="Times New Roman"/>
                <w:sz w:val="24"/>
                <w:szCs w:val="24"/>
                <w:lang w:eastAsia="ru-RU"/>
              </w:rPr>
              <w:t>18, 13.07.</w:t>
            </w:r>
            <w:r>
              <w:rPr>
                <w:rFonts w:ascii="Times New Roman" w:hAnsi="Times New Roman"/>
                <w:sz w:val="24"/>
                <w:szCs w:val="24"/>
                <w:lang w:eastAsia="ru-RU"/>
              </w:rPr>
              <w:t>20</w:t>
            </w:r>
            <w:r w:rsidRPr="000B4432">
              <w:rPr>
                <w:rFonts w:ascii="Times New Roman" w:hAnsi="Times New Roman"/>
                <w:sz w:val="24"/>
                <w:szCs w:val="24"/>
                <w:lang w:eastAsia="ru-RU"/>
              </w:rPr>
              <w:t>18, 26.09.</w:t>
            </w:r>
            <w:r>
              <w:rPr>
                <w:rFonts w:ascii="Times New Roman" w:hAnsi="Times New Roman"/>
                <w:sz w:val="24"/>
                <w:szCs w:val="24"/>
                <w:lang w:eastAsia="ru-RU"/>
              </w:rPr>
              <w:t>20</w:t>
            </w:r>
            <w:r w:rsidRPr="000B4432">
              <w:rPr>
                <w:rFonts w:ascii="Times New Roman" w:hAnsi="Times New Roman"/>
                <w:sz w:val="24"/>
                <w:szCs w:val="24"/>
                <w:lang w:eastAsia="ru-RU"/>
              </w:rPr>
              <w:t>18, 10.10.</w:t>
            </w:r>
            <w:r>
              <w:rPr>
                <w:rFonts w:ascii="Times New Roman" w:hAnsi="Times New Roman"/>
                <w:sz w:val="24"/>
                <w:szCs w:val="24"/>
                <w:lang w:eastAsia="ru-RU"/>
              </w:rPr>
              <w:t>20</w:t>
            </w:r>
            <w:r w:rsidRPr="000B4432">
              <w:rPr>
                <w:rFonts w:ascii="Times New Roman" w:hAnsi="Times New Roman"/>
                <w:sz w:val="24"/>
                <w:szCs w:val="24"/>
                <w:lang w:eastAsia="ru-RU"/>
              </w:rPr>
              <w:t>18)</w:t>
            </w:r>
          </w:p>
        </w:tc>
        <w:tc>
          <w:tcPr>
            <w:tcW w:w="0" w:type="auto"/>
          </w:tcPr>
          <w:p w:rsidR="00F16F01" w:rsidRPr="000B4432" w:rsidRDefault="00F16F01" w:rsidP="00357994">
            <w:pPr>
              <w:widowControl w:val="0"/>
              <w:tabs>
                <w:tab w:val="left" w:pos="1875"/>
              </w:tabs>
              <w:spacing w:after="0" w:line="240" w:lineRule="auto"/>
              <w:jc w:val="center"/>
              <w:rPr>
                <w:rFonts w:ascii="Times New Roman" w:hAnsi="Times New Roman"/>
                <w:sz w:val="24"/>
                <w:szCs w:val="24"/>
                <w:lang w:eastAsia="ru-RU"/>
              </w:rPr>
            </w:pPr>
            <w:r w:rsidRPr="000B4432">
              <w:rPr>
                <w:rFonts w:ascii="Times New Roman" w:hAnsi="Times New Roman"/>
                <w:sz w:val="24"/>
                <w:szCs w:val="24"/>
                <w:lang w:eastAsia="ru-RU"/>
              </w:rPr>
              <w:t>20</w:t>
            </w:r>
          </w:p>
        </w:tc>
        <w:tc>
          <w:tcPr>
            <w:tcW w:w="0" w:type="auto"/>
          </w:tcPr>
          <w:p w:rsidR="00F16F01" w:rsidRPr="00357994" w:rsidRDefault="00F16F01" w:rsidP="00A446BF">
            <w:pPr>
              <w:widowControl w:val="0"/>
              <w:tabs>
                <w:tab w:val="left" w:pos="1875"/>
              </w:tabs>
              <w:spacing w:after="0" w:line="240" w:lineRule="auto"/>
              <w:jc w:val="both"/>
              <w:rPr>
                <w:rFonts w:ascii="Times New Roman" w:hAnsi="Times New Roman"/>
                <w:sz w:val="24"/>
                <w:szCs w:val="24"/>
                <w:lang w:eastAsia="ru-RU"/>
              </w:rPr>
            </w:pPr>
            <w:r w:rsidRPr="00357994">
              <w:rPr>
                <w:rFonts w:ascii="Times New Roman" w:hAnsi="Times New Roman"/>
                <w:sz w:val="24"/>
                <w:szCs w:val="24"/>
                <w:lang w:eastAsia="ru-RU"/>
              </w:rPr>
              <w:t xml:space="preserve">В цілому регулювання сприймається. </w:t>
            </w:r>
          </w:p>
          <w:p w:rsidR="00F16F01" w:rsidRPr="00357994" w:rsidRDefault="00F16F01" w:rsidP="00A446BF">
            <w:pPr>
              <w:widowControl w:val="0"/>
              <w:tabs>
                <w:tab w:val="left" w:pos="1875"/>
              </w:tabs>
              <w:spacing w:after="0" w:line="240" w:lineRule="auto"/>
              <w:jc w:val="both"/>
              <w:rPr>
                <w:rFonts w:ascii="Times New Roman" w:hAnsi="Times New Roman"/>
                <w:sz w:val="24"/>
                <w:szCs w:val="24"/>
                <w:lang w:eastAsia="ru-RU"/>
              </w:rPr>
            </w:pPr>
            <w:r w:rsidRPr="00357994">
              <w:rPr>
                <w:rFonts w:ascii="Times New Roman" w:hAnsi="Times New Roman"/>
                <w:sz w:val="24"/>
                <w:szCs w:val="24"/>
                <w:lang w:eastAsia="ru-RU"/>
              </w:rPr>
              <w:t xml:space="preserve">Висловлені окремі зауваження </w:t>
            </w:r>
            <w:r>
              <w:rPr>
                <w:rFonts w:ascii="Times New Roman" w:hAnsi="Times New Roman"/>
                <w:sz w:val="24"/>
                <w:szCs w:val="24"/>
                <w:lang w:eastAsia="ru-RU"/>
              </w:rPr>
              <w:t xml:space="preserve">та пропозиції </w:t>
            </w:r>
            <w:r w:rsidRPr="00357994">
              <w:rPr>
                <w:rFonts w:ascii="Times New Roman" w:hAnsi="Times New Roman"/>
                <w:sz w:val="24"/>
                <w:szCs w:val="24"/>
                <w:lang w:eastAsia="ru-RU"/>
              </w:rPr>
              <w:t>до проекту регуляторного акту</w:t>
            </w:r>
            <w:r>
              <w:rPr>
                <w:rFonts w:ascii="Times New Roman" w:hAnsi="Times New Roman"/>
                <w:sz w:val="24"/>
                <w:szCs w:val="24"/>
                <w:lang w:eastAsia="ru-RU"/>
              </w:rPr>
              <w:t>, які в цілому враховані</w:t>
            </w:r>
            <w:r w:rsidRPr="00357994">
              <w:rPr>
                <w:rFonts w:ascii="Times New Roman" w:hAnsi="Times New Roman"/>
                <w:sz w:val="24"/>
                <w:szCs w:val="24"/>
                <w:lang w:eastAsia="ru-RU"/>
              </w:rPr>
              <w:t>.</w:t>
            </w:r>
          </w:p>
          <w:p w:rsidR="00F16F01" w:rsidRPr="00D21F9B" w:rsidRDefault="00F16F01" w:rsidP="00C52ABE">
            <w:pPr>
              <w:widowControl w:val="0"/>
              <w:tabs>
                <w:tab w:val="left" w:pos="1875"/>
              </w:tabs>
              <w:spacing w:after="0" w:line="240" w:lineRule="auto"/>
              <w:jc w:val="both"/>
              <w:rPr>
                <w:rFonts w:ascii="Times New Roman" w:hAnsi="Times New Roman"/>
                <w:sz w:val="24"/>
                <w:szCs w:val="24"/>
                <w:lang w:eastAsia="ru-RU"/>
              </w:rPr>
            </w:pPr>
            <w:r w:rsidRPr="00357994">
              <w:rPr>
                <w:rFonts w:ascii="Times New Roman" w:hAnsi="Times New Roman"/>
                <w:sz w:val="24"/>
                <w:szCs w:val="24"/>
                <w:lang w:eastAsia="ru-RU"/>
              </w:rPr>
              <w:t xml:space="preserve">Регуляторний акт </w:t>
            </w:r>
            <w:r>
              <w:rPr>
                <w:rFonts w:ascii="Times New Roman" w:hAnsi="Times New Roman"/>
                <w:sz w:val="24"/>
                <w:szCs w:val="24"/>
                <w:lang w:eastAsia="ru-RU"/>
              </w:rPr>
              <w:t>р</w:t>
            </w:r>
            <w:r w:rsidRPr="00D21F9B">
              <w:rPr>
                <w:rFonts w:ascii="Times New Roman" w:hAnsi="Times New Roman"/>
                <w:sz w:val="24"/>
                <w:szCs w:val="24"/>
                <w:lang w:eastAsia="ru-RU"/>
              </w:rPr>
              <w:t>озглянуто та рекомендовано для схвалення проекту рішення на засіданні Комісії та подальшого подання на погодження до заінтересованих органів.</w:t>
            </w:r>
          </w:p>
          <w:p w:rsidR="00F16F01" w:rsidRPr="00357994" w:rsidRDefault="00F16F01" w:rsidP="00A446BF">
            <w:pPr>
              <w:widowControl w:val="0"/>
              <w:spacing w:after="0" w:line="240" w:lineRule="auto"/>
              <w:jc w:val="both"/>
              <w:textAlignment w:val="baseline"/>
              <w:rPr>
                <w:rFonts w:ascii="Times New Roman" w:hAnsi="Times New Roman"/>
                <w:sz w:val="24"/>
                <w:szCs w:val="24"/>
                <w:lang w:val="ru-RU" w:eastAsia="ru-RU"/>
              </w:rPr>
            </w:pPr>
          </w:p>
        </w:tc>
      </w:tr>
    </w:tbl>
    <w:p w:rsidR="00F16F01" w:rsidRPr="00B66648" w:rsidRDefault="00F16F01" w:rsidP="000233DB">
      <w:pPr>
        <w:widowControl w:val="0"/>
        <w:tabs>
          <w:tab w:val="left" w:pos="0"/>
        </w:tabs>
        <w:spacing w:after="0" w:line="240" w:lineRule="auto"/>
        <w:ind w:firstLine="709"/>
        <w:jc w:val="both"/>
        <w:rPr>
          <w:rFonts w:ascii="Times New Roman" w:hAnsi="Times New Roman"/>
          <w:sz w:val="24"/>
          <w:szCs w:val="24"/>
          <w:lang w:val="ru-RU" w:eastAsia="ru-RU"/>
        </w:rPr>
      </w:pPr>
    </w:p>
    <w:p w:rsidR="00F16F01" w:rsidRPr="00B66648" w:rsidRDefault="00F16F01" w:rsidP="003C5AC2">
      <w:pPr>
        <w:widowControl w:val="0"/>
        <w:tabs>
          <w:tab w:val="left" w:pos="0"/>
        </w:tabs>
        <w:spacing w:after="0" w:line="240" w:lineRule="auto"/>
        <w:jc w:val="both"/>
        <w:rPr>
          <w:rFonts w:ascii="Times New Roman" w:hAnsi="Times New Roman"/>
          <w:sz w:val="24"/>
          <w:szCs w:val="24"/>
          <w:lang w:val="ru-RU" w:eastAsia="ru-RU"/>
        </w:rPr>
      </w:pPr>
    </w:p>
    <w:p w:rsidR="00F16F01" w:rsidRPr="00B66648" w:rsidRDefault="00F16F01" w:rsidP="000233DB">
      <w:pPr>
        <w:widowControl w:val="0"/>
        <w:tabs>
          <w:tab w:val="left" w:pos="0"/>
        </w:tabs>
        <w:spacing w:after="0" w:line="240" w:lineRule="auto"/>
        <w:ind w:firstLine="709"/>
        <w:jc w:val="both"/>
        <w:rPr>
          <w:rFonts w:ascii="Times New Roman" w:hAnsi="Times New Roman"/>
          <w:sz w:val="24"/>
          <w:szCs w:val="24"/>
          <w:lang w:val="ru-RU" w:eastAsia="ru-RU"/>
        </w:rPr>
      </w:pPr>
    </w:p>
    <w:p w:rsidR="00F16F01" w:rsidRPr="00073517" w:rsidRDefault="00F16F01" w:rsidP="00E15AB4">
      <w:pPr>
        <w:pStyle w:val="a8"/>
        <w:widowControl w:val="0"/>
        <w:numPr>
          <w:ilvl w:val="0"/>
          <w:numId w:val="3"/>
        </w:numPr>
        <w:tabs>
          <w:tab w:val="left" w:pos="0"/>
        </w:tabs>
        <w:spacing w:after="0" w:line="240" w:lineRule="auto"/>
        <w:jc w:val="both"/>
        <w:rPr>
          <w:rFonts w:ascii="Times New Roman" w:hAnsi="Times New Roman"/>
          <w:sz w:val="24"/>
          <w:szCs w:val="24"/>
          <w:lang w:eastAsia="ru-RU"/>
        </w:rPr>
      </w:pPr>
      <w:r w:rsidRPr="00073517">
        <w:rPr>
          <w:rFonts w:ascii="Times New Roman" w:hAnsi="Times New Roman"/>
          <w:sz w:val="24"/>
          <w:szCs w:val="24"/>
          <w:lang w:eastAsia="ru-RU"/>
        </w:rPr>
        <w:t>Вимірювання впливу регулювання на суб’єктів малого підприємництва:</w:t>
      </w:r>
    </w:p>
    <w:p w:rsidR="00F16F01" w:rsidRPr="00073517" w:rsidRDefault="00F16F01" w:rsidP="006E483F">
      <w:pPr>
        <w:widowControl w:val="0"/>
        <w:tabs>
          <w:tab w:val="left" w:pos="1875"/>
        </w:tabs>
        <w:spacing w:after="0" w:line="240" w:lineRule="auto"/>
        <w:ind w:left="720"/>
        <w:jc w:val="both"/>
        <w:rPr>
          <w:rFonts w:ascii="Times New Roman" w:hAnsi="Times New Roman"/>
          <w:sz w:val="24"/>
          <w:szCs w:val="24"/>
          <w:lang w:eastAsia="ru-RU"/>
        </w:rPr>
      </w:pPr>
      <w:r w:rsidRPr="00073517">
        <w:rPr>
          <w:rFonts w:ascii="Times New Roman" w:hAnsi="Times New Roman"/>
          <w:sz w:val="24"/>
          <w:szCs w:val="24"/>
          <w:lang w:eastAsia="ru-RU"/>
        </w:rPr>
        <w:t>Кількість</w:t>
      </w:r>
      <w:r>
        <w:rPr>
          <w:rFonts w:ascii="Times New Roman" w:hAnsi="Times New Roman"/>
          <w:sz w:val="24"/>
          <w:szCs w:val="24"/>
          <w:lang w:eastAsia="ru-RU"/>
        </w:rPr>
        <w:t xml:space="preserve"> </w:t>
      </w:r>
      <w:r w:rsidRPr="00073517">
        <w:rPr>
          <w:rFonts w:ascii="Times New Roman" w:hAnsi="Times New Roman"/>
          <w:sz w:val="24"/>
          <w:szCs w:val="24"/>
          <w:lang w:eastAsia="ru-RU"/>
        </w:rPr>
        <w:t xml:space="preserve">суб’єктів, на яких поширюється регулювання:– </w:t>
      </w:r>
      <w:r>
        <w:rPr>
          <w:rFonts w:ascii="Times New Roman" w:hAnsi="Times New Roman"/>
          <w:sz w:val="24"/>
          <w:szCs w:val="24"/>
          <w:lang w:eastAsia="ru-RU"/>
        </w:rPr>
        <w:t>1356</w:t>
      </w:r>
    </w:p>
    <w:p w:rsidR="00F16F01" w:rsidRPr="00136C2C" w:rsidRDefault="00F16F01" w:rsidP="00136C2C">
      <w:pPr>
        <w:widowControl w:val="0"/>
        <w:tabs>
          <w:tab w:val="left" w:pos="1875"/>
        </w:tabs>
        <w:spacing w:after="0" w:line="240" w:lineRule="auto"/>
        <w:ind w:firstLine="720"/>
        <w:jc w:val="both"/>
        <w:rPr>
          <w:rFonts w:ascii="Times New Roman" w:hAnsi="Times New Roman"/>
          <w:sz w:val="24"/>
          <w:szCs w:val="24"/>
          <w:lang w:eastAsia="ru-RU"/>
        </w:rPr>
      </w:pPr>
      <w:r w:rsidRPr="00073517">
        <w:rPr>
          <w:rFonts w:ascii="Times New Roman" w:hAnsi="Times New Roman"/>
          <w:sz w:val="24"/>
          <w:szCs w:val="24"/>
          <w:lang w:eastAsia="ru-RU"/>
        </w:rPr>
        <w:t>Питома вага суб’єктів малого підприємництва у загальній кількості суб’єктів господарювання</w:t>
      </w:r>
      <w:r>
        <w:rPr>
          <w:rFonts w:ascii="Times New Roman" w:hAnsi="Times New Roman"/>
          <w:sz w:val="24"/>
          <w:szCs w:val="24"/>
          <w:lang w:eastAsia="ru-RU"/>
        </w:rPr>
        <w:t xml:space="preserve"> (оцінювачів)</w:t>
      </w:r>
      <w:r w:rsidRPr="00073517">
        <w:rPr>
          <w:rFonts w:ascii="Times New Roman" w:hAnsi="Times New Roman"/>
          <w:sz w:val="24"/>
          <w:szCs w:val="24"/>
          <w:lang w:eastAsia="ru-RU"/>
        </w:rPr>
        <w:t>, на яких проблема справляє вплив - 100 %.</w:t>
      </w:r>
    </w:p>
    <w:p w:rsidR="00F16F01" w:rsidRPr="00073517" w:rsidRDefault="00F16F01" w:rsidP="006E483F">
      <w:pPr>
        <w:widowControl w:val="0"/>
        <w:tabs>
          <w:tab w:val="left" w:pos="1875"/>
        </w:tabs>
        <w:spacing w:after="0" w:line="240" w:lineRule="auto"/>
        <w:ind w:firstLine="720"/>
        <w:jc w:val="center"/>
        <w:rPr>
          <w:rFonts w:ascii="Times New Roman" w:hAnsi="Times New Roman"/>
          <w:b/>
          <w:sz w:val="24"/>
          <w:szCs w:val="24"/>
          <w:lang w:val="ru-RU" w:eastAsia="ru-RU"/>
        </w:rPr>
      </w:pPr>
      <w:r w:rsidRPr="00073517">
        <w:rPr>
          <w:rFonts w:ascii="Times New Roman" w:hAnsi="Times New Roman"/>
          <w:b/>
          <w:sz w:val="24"/>
          <w:szCs w:val="24"/>
          <w:lang w:eastAsia="ru-RU"/>
        </w:rPr>
        <w:t>Розрахунок витрат суб’єктів малого підприємництва</w:t>
      </w:r>
      <w:r>
        <w:rPr>
          <w:rFonts w:ascii="Times New Roman" w:hAnsi="Times New Roman"/>
          <w:b/>
          <w:sz w:val="24"/>
          <w:szCs w:val="24"/>
          <w:lang w:eastAsia="ru-RU"/>
        </w:rPr>
        <w:t xml:space="preserve"> </w:t>
      </w:r>
      <w:r w:rsidRPr="00073517">
        <w:rPr>
          <w:rFonts w:ascii="Times New Roman" w:hAnsi="Times New Roman"/>
          <w:b/>
          <w:sz w:val="24"/>
          <w:szCs w:val="24"/>
          <w:lang w:eastAsia="ru-RU"/>
        </w:rPr>
        <w:t>на виконання вимог регулювання</w:t>
      </w:r>
    </w:p>
    <w:p w:rsidR="00F16F01" w:rsidRPr="00073517" w:rsidRDefault="00F16F01" w:rsidP="006E483F">
      <w:pPr>
        <w:widowControl w:val="0"/>
        <w:tabs>
          <w:tab w:val="left" w:pos="1875"/>
        </w:tabs>
        <w:spacing w:after="0" w:line="240" w:lineRule="auto"/>
        <w:ind w:firstLine="720"/>
        <w:jc w:val="both"/>
        <w:rPr>
          <w:rFonts w:ascii="Times New Roman" w:hAnsi="Times New Roman"/>
          <w:sz w:val="24"/>
          <w:szCs w:val="24"/>
          <w:lang w:val="ru-RU" w:eastAsia="ru-RU"/>
        </w:rPr>
      </w:pPr>
    </w:p>
    <w:tbl>
      <w:tblPr>
        <w:tblW w:w="144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4499"/>
        <w:gridCol w:w="3021"/>
        <w:gridCol w:w="2921"/>
        <w:gridCol w:w="3060"/>
      </w:tblGrid>
      <w:tr w:rsidR="00F16F01" w:rsidRPr="00D12FFC" w:rsidTr="00FD36AA">
        <w:tc>
          <w:tcPr>
            <w:tcW w:w="899" w:type="dxa"/>
          </w:tcPr>
          <w:p w:rsidR="00F16F01" w:rsidRPr="00D12FFC" w:rsidRDefault="00F16F01" w:rsidP="00357994">
            <w:pPr>
              <w:widowControl w:val="0"/>
              <w:tabs>
                <w:tab w:val="left" w:pos="1875"/>
              </w:tabs>
              <w:spacing w:after="0" w:line="240" w:lineRule="auto"/>
              <w:jc w:val="both"/>
              <w:rPr>
                <w:rFonts w:ascii="Times New Roman" w:hAnsi="Times New Roman"/>
                <w:b/>
                <w:sz w:val="24"/>
                <w:szCs w:val="24"/>
                <w:lang w:eastAsia="ru-RU"/>
              </w:rPr>
            </w:pPr>
            <w:r w:rsidRPr="00D12FFC">
              <w:rPr>
                <w:rFonts w:ascii="Times New Roman" w:hAnsi="Times New Roman"/>
                <w:b/>
                <w:sz w:val="24"/>
                <w:szCs w:val="24"/>
                <w:lang w:eastAsia="ru-RU"/>
              </w:rPr>
              <w:t>Порядковий номер</w:t>
            </w:r>
          </w:p>
        </w:tc>
        <w:tc>
          <w:tcPr>
            <w:tcW w:w="4499" w:type="dxa"/>
          </w:tcPr>
          <w:p w:rsidR="00F16F01" w:rsidRPr="00D12FFC" w:rsidRDefault="00F16F01" w:rsidP="00357994">
            <w:pPr>
              <w:widowControl w:val="0"/>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Найменування оцінки</w:t>
            </w:r>
          </w:p>
        </w:tc>
        <w:tc>
          <w:tcPr>
            <w:tcW w:w="3021" w:type="dxa"/>
          </w:tcPr>
          <w:p w:rsidR="00F16F01" w:rsidRPr="00D12FFC" w:rsidRDefault="00F16F01" w:rsidP="00357994">
            <w:pPr>
              <w:widowControl w:val="0"/>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У перший рік (стартовий рік впровадження регулювання)</w:t>
            </w:r>
          </w:p>
        </w:tc>
        <w:tc>
          <w:tcPr>
            <w:tcW w:w="2921" w:type="dxa"/>
          </w:tcPr>
          <w:p w:rsidR="00F16F01" w:rsidRPr="00D12FFC" w:rsidRDefault="00F16F01" w:rsidP="00357994">
            <w:pPr>
              <w:widowControl w:val="0"/>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Періодичні (за наступний рік)</w:t>
            </w:r>
          </w:p>
        </w:tc>
        <w:tc>
          <w:tcPr>
            <w:tcW w:w="3060" w:type="dxa"/>
          </w:tcPr>
          <w:p w:rsidR="00F16F01" w:rsidRPr="00D12FFC" w:rsidRDefault="00F16F01" w:rsidP="00357994">
            <w:pPr>
              <w:widowControl w:val="0"/>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Витрати за п'ять років</w:t>
            </w:r>
          </w:p>
        </w:tc>
      </w:tr>
      <w:tr w:rsidR="00F16F01" w:rsidRPr="00D12FFC" w:rsidTr="00357994">
        <w:tc>
          <w:tcPr>
            <w:tcW w:w="14400" w:type="dxa"/>
            <w:gridSpan w:val="5"/>
          </w:tcPr>
          <w:p w:rsidR="00F16F01" w:rsidRPr="00D12FFC" w:rsidRDefault="00F16F01" w:rsidP="00357994">
            <w:pPr>
              <w:widowControl w:val="0"/>
              <w:spacing w:after="0" w:line="240" w:lineRule="auto"/>
              <w:jc w:val="center"/>
              <w:rPr>
                <w:rFonts w:ascii="Times New Roman" w:hAnsi="Times New Roman"/>
                <w:b/>
                <w:sz w:val="24"/>
                <w:szCs w:val="24"/>
                <w:lang w:eastAsia="ru-RU"/>
              </w:rPr>
            </w:pPr>
            <w:r w:rsidRPr="00D12FFC">
              <w:rPr>
                <w:rFonts w:ascii="Times New Roman" w:hAnsi="Times New Roman"/>
                <w:b/>
                <w:sz w:val="24"/>
                <w:szCs w:val="24"/>
                <w:lang w:eastAsia="ru-RU"/>
              </w:rPr>
              <w:t>Оцінка "прямих" витрат суб'єктів малого підприємництва на виконання регулювання</w:t>
            </w:r>
          </w:p>
        </w:tc>
      </w:tr>
      <w:tr w:rsidR="00F16F01" w:rsidRPr="00D12FFC" w:rsidTr="00FD36AA">
        <w:tc>
          <w:tcPr>
            <w:tcW w:w="899" w:type="dxa"/>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1</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Придбання необхідного обладнання (відповідного обладнання та програмного забезпечення)</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w:t>
            </w:r>
          </w:p>
        </w:tc>
        <w:tc>
          <w:tcPr>
            <w:tcW w:w="29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tcPr>
          <w:p w:rsidR="00F16F01" w:rsidRPr="00D12FFC" w:rsidRDefault="00F16F01" w:rsidP="00357994">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w:t>
            </w:r>
          </w:p>
        </w:tc>
      </w:tr>
      <w:tr w:rsidR="00F16F01" w:rsidRPr="00D12FFC" w:rsidTr="00FD36AA">
        <w:tc>
          <w:tcPr>
            <w:tcW w:w="899" w:type="dxa"/>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2</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29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r>
      <w:tr w:rsidR="00F16F01" w:rsidRPr="00D12FFC" w:rsidTr="00FD36AA">
        <w:tc>
          <w:tcPr>
            <w:tcW w:w="899" w:type="dxa"/>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3</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експлуатації обладнання (експлуатаційні витрати - витратні матеріали)</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29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r>
      <w:tr w:rsidR="00F16F01" w:rsidRPr="00D12FFC" w:rsidTr="00FD36AA">
        <w:tc>
          <w:tcPr>
            <w:tcW w:w="899" w:type="dxa"/>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4</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обслуговування обладнання (технічне обслуговування)</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29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r>
      <w:tr w:rsidR="00F16F01" w:rsidRPr="00D12FFC" w:rsidTr="00221EDB">
        <w:trPr>
          <w:trHeight w:val="630"/>
        </w:trPr>
        <w:tc>
          <w:tcPr>
            <w:tcW w:w="899" w:type="dxa"/>
            <w:vMerge w:val="restart"/>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5</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Інші процедури (уточнити):</w:t>
            </w:r>
          </w:p>
          <w:p w:rsidR="00F16F01" w:rsidRPr="00D12FFC" w:rsidRDefault="00F16F01" w:rsidP="00357994">
            <w:pPr>
              <w:widowControl w:val="0"/>
              <w:spacing w:after="0" w:line="240" w:lineRule="auto"/>
              <w:rPr>
                <w:rFonts w:ascii="Times New Roman" w:hAnsi="Times New Roman"/>
                <w:sz w:val="24"/>
                <w:szCs w:val="24"/>
                <w:lang w:eastAsia="uk-UA"/>
              </w:rPr>
            </w:pPr>
          </w:p>
          <w:p w:rsidR="00F16F01" w:rsidRPr="00D12FFC" w:rsidRDefault="00F16F01" w:rsidP="00323B7C">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вступ до саморегулівної організації оцінювачів (далі – СРОО):</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sz w:val="24"/>
                <w:szCs w:val="24"/>
                <w:lang w:eastAsia="uk-UA"/>
              </w:rPr>
            </w:pPr>
          </w:p>
          <w:p w:rsidR="00F16F01" w:rsidRPr="00D12FFC" w:rsidRDefault="00F16F01" w:rsidP="00357994">
            <w:pPr>
              <w:widowControl w:val="0"/>
              <w:tabs>
                <w:tab w:val="left" w:pos="1875"/>
              </w:tabs>
              <w:spacing w:after="0" w:line="240" w:lineRule="auto"/>
              <w:jc w:val="center"/>
              <w:rPr>
                <w:rFonts w:ascii="Times New Roman" w:hAnsi="Times New Roman"/>
                <w:sz w:val="24"/>
                <w:szCs w:val="24"/>
                <w:lang w:eastAsia="uk-UA"/>
              </w:rPr>
            </w:pPr>
          </w:p>
          <w:p w:rsidR="00F16F01" w:rsidRPr="00D12FFC" w:rsidRDefault="00F16F01" w:rsidP="00357994">
            <w:pPr>
              <w:widowControl w:val="0"/>
              <w:tabs>
                <w:tab w:val="left" w:pos="1875"/>
              </w:tabs>
              <w:spacing w:after="0" w:line="240" w:lineRule="auto"/>
              <w:jc w:val="center"/>
              <w:rPr>
                <w:rFonts w:ascii="Times New Roman" w:hAnsi="Times New Roman"/>
                <w:sz w:val="24"/>
                <w:szCs w:val="24"/>
                <w:vertAlign w:val="superscript"/>
                <w:lang w:eastAsia="uk-UA"/>
              </w:rPr>
            </w:pPr>
            <w:r w:rsidRPr="00D12FFC">
              <w:rPr>
                <w:rFonts w:ascii="Times New Roman" w:hAnsi="Times New Roman"/>
                <w:sz w:val="24"/>
                <w:szCs w:val="24"/>
                <w:lang w:eastAsia="uk-UA"/>
              </w:rPr>
              <w:t>50,00  грн.</w:t>
            </w:r>
            <w:r w:rsidRPr="00D12FFC">
              <w:rPr>
                <w:rFonts w:ascii="Times New Roman" w:hAnsi="Times New Roman"/>
                <w:sz w:val="24"/>
                <w:szCs w:val="24"/>
                <w:vertAlign w:val="superscript"/>
                <w:lang w:eastAsia="uk-UA"/>
              </w:rPr>
              <w:t>1</w:t>
            </w:r>
          </w:p>
        </w:tc>
        <w:tc>
          <w:tcPr>
            <w:tcW w:w="2921" w:type="dxa"/>
            <w:vAlign w:val="center"/>
          </w:tcPr>
          <w:p w:rsidR="00F16F01" w:rsidRPr="00D12FFC" w:rsidRDefault="00F16F01" w:rsidP="00221EDB">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vAlign w:val="center"/>
          </w:tcPr>
          <w:p w:rsidR="00F16F01" w:rsidRPr="00D12FFC" w:rsidRDefault="00F16F01" w:rsidP="00221EDB">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r>
      <w:tr w:rsidR="00F16F01" w:rsidRPr="00D12FFC" w:rsidTr="00BE4D07">
        <w:trPr>
          <w:trHeight w:val="535"/>
        </w:trPr>
        <w:tc>
          <w:tcPr>
            <w:tcW w:w="899" w:type="dxa"/>
            <w:vMerge/>
          </w:tcPr>
          <w:p w:rsidR="00F16F01" w:rsidRPr="00D12FFC" w:rsidRDefault="00F16F01" w:rsidP="00323B7C">
            <w:pPr>
              <w:widowControl w:val="0"/>
              <w:spacing w:after="0" w:line="240" w:lineRule="auto"/>
              <w:jc w:val="center"/>
              <w:rPr>
                <w:rFonts w:ascii="Times New Roman" w:hAnsi="Times New Roman"/>
                <w:sz w:val="24"/>
                <w:szCs w:val="24"/>
                <w:lang w:eastAsia="uk-UA"/>
              </w:rPr>
            </w:pPr>
          </w:p>
        </w:tc>
        <w:tc>
          <w:tcPr>
            <w:tcW w:w="4499" w:type="dxa"/>
          </w:tcPr>
          <w:p w:rsidR="00F16F01" w:rsidRPr="00D12FFC" w:rsidRDefault="00F16F01" w:rsidP="00323B7C">
            <w:pPr>
              <w:widowControl w:val="0"/>
              <w:spacing w:after="0" w:line="240" w:lineRule="auto"/>
              <w:rPr>
                <w:rFonts w:ascii="Times New Roman" w:hAnsi="Times New Roman"/>
                <w:sz w:val="24"/>
                <w:szCs w:val="24"/>
                <w:lang w:eastAsia="uk-UA"/>
              </w:rPr>
            </w:pPr>
          </w:p>
          <w:p w:rsidR="00F16F01" w:rsidRPr="00D12FFC" w:rsidRDefault="00F16F01" w:rsidP="00323B7C">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членство в СРОО</w:t>
            </w:r>
          </w:p>
        </w:tc>
        <w:tc>
          <w:tcPr>
            <w:tcW w:w="3021" w:type="dxa"/>
          </w:tcPr>
          <w:p w:rsidR="00F16F01" w:rsidRPr="00D12FFC" w:rsidRDefault="00F16F01" w:rsidP="00323B7C">
            <w:pPr>
              <w:widowControl w:val="0"/>
              <w:tabs>
                <w:tab w:val="left" w:pos="1875"/>
              </w:tabs>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 xml:space="preserve">                </w:t>
            </w:r>
          </w:p>
          <w:p w:rsidR="00F16F01" w:rsidRPr="00D12FFC" w:rsidRDefault="00F16F01" w:rsidP="00D12FFC">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250,00 грн.</w:t>
            </w:r>
            <w:r w:rsidRPr="00D12FFC">
              <w:rPr>
                <w:rFonts w:ascii="Times New Roman" w:hAnsi="Times New Roman"/>
                <w:sz w:val="24"/>
                <w:szCs w:val="24"/>
                <w:vertAlign w:val="superscript"/>
                <w:lang w:eastAsia="uk-UA"/>
              </w:rPr>
              <w:t>1</w:t>
            </w:r>
          </w:p>
          <w:p w:rsidR="00F16F01" w:rsidRPr="00D12FFC" w:rsidRDefault="00F16F01" w:rsidP="00323B7C">
            <w:pPr>
              <w:widowControl w:val="0"/>
              <w:tabs>
                <w:tab w:val="left" w:pos="1875"/>
              </w:tabs>
              <w:spacing w:after="0" w:line="240" w:lineRule="auto"/>
              <w:jc w:val="center"/>
              <w:rPr>
                <w:rFonts w:ascii="Times New Roman" w:hAnsi="Times New Roman"/>
                <w:sz w:val="24"/>
                <w:szCs w:val="24"/>
                <w:lang w:eastAsia="uk-UA"/>
              </w:rPr>
            </w:pPr>
          </w:p>
        </w:tc>
        <w:tc>
          <w:tcPr>
            <w:tcW w:w="2921" w:type="dxa"/>
          </w:tcPr>
          <w:p w:rsidR="00F16F01" w:rsidRPr="00D12FFC" w:rsidRDefault="00F16F01" w:rsidP="00323B7C">
            <w:pPr>
              <w:widowControl w:val="0"/>
              <w:tabs>
                <w:tab w:val="left" w:pos="1875"/>
              </w:tabs>
              <w:spacing w:after="0" w:line="240" w:lineRule="auto"/>
              <w:rPr>
                <w:rFonts w:ascii="Times New Roman" w:hAnsi="Times New Roman"/>
                <w:sz w:val="24"/>
                <w:szCs w:val="24"/>
                <w:lang w:eastAsia="uk-UA"/>
              </w:rPr>
            </w:pPr>
          </w:p>
          <w:p w:rsidR="00F16F01" w:rsidRPr="00D12FFC" w:rsidRDefault="00F16F01" w:rsidP="00323B7C">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250,00 грн.</w:t>
            </w:r>
          </w:p>
        </w:tc>
        <w:tc>
          <w:tcPr>
            <w:tcW w:w="3060" w:type="dxa"/>
          </w:tcPr>
          <w:p w:rsidR="00F16F01" w:rsidRPr="00D12FFC" w:rsidRDefault="00F16F01" w:rsidP="007704DF">
            <w:pPr>
              <w:widowControl w:val="0"/>
              <w:tabs>
                <w:tab w:val="left" w:pos="1875"/>
              </w:tabs>
              <w:spacing w:after="0" w:line="240" w:lineRule="auto"/>
              <w:jc w:val="center"/>
              <w:rPr>
                <w:rFonts w:ascii="Times New Roman" w:hAnsi="Times New Roman"/>
                <w:sz w:val="24"/>
                <w:szCs w:val="24"/>
                <w:lang w:eastAsia="ru-RU"/>
              </w:rPr>
            </w:pPr>
          </w:p>
          <w:p w:rsidR="00F16F01" w:rsidRPr="00D12FFC" w:rsidRDefault="00F16F01" w:rsidP="007704DF">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5</w:t>
            </w:r>
            <w:r w:rsidR="00555006">
              <w:rPr>
                <w:rFonts w:ascii="Times New Roman" w:hAnsi="Times New Roman"/>
                <w:sz w:val="24"/>
                <w:szCs w:val="24"/>
                <w:lang w:eastAsia="uk-UA"/>
              </w:rPr>
              <w:t xml:space="preserve"> </w:t>
            </w:r>
            <w:r w:rsidRPr="00D12FFC">
              <w:rPr>
                <w:rFonts w:ascii="Times New Roman" w:hAnsi="Times New Roman"/>
                <w:sz w:val="24"/>
                <w:szCs w:val="24"/>
                <w:lang w:eastAsia="uk-UA"/>
              </w:rPr>
              <w:t>х</w:t>
            </w:r>
            <w:r w:rsidR="00555006">
              <w:rPr>
                <w:rFonts w:ascii="Times New Roman" w:hAnsi="Times New Roman"/>
                <w:sz w:val="24"/>
                <w:szCs w:val="24"/>
                <w:lang w:eastAsia="uk-UA"/>
              </w:rPr>
              <w:t xml:space="preserve"> </w:t>
            </w:r>
            <w:r w:rsidRPr="00D12FFC">
              <w:rPr>
                <w:rFonts w:ascii="Times New Roman" w:hAnsi="Times New Roman"/>
                <w:sz w:val="24"/>
                <w:szCs w:val="24"/>
                <w:lang w:eastAsia="uk-UA"/>
              </w:rPr>
              <w:t>250,00 =1250,00 грн.</w:t>
            </w:r>
          </w:p>
        </w:tc>
      </w:tr>
      <w:tr w:rsidR="00F16F01" w:rsidRPr="00D12FFC" w:rsidTr="000A7318">
        <w:trPr>
          <w:trHeight w:val="530"/>
        </w:trPr>
        <w:tc>
          <w:tcPr>
            <w:tcW w:w="899" w:type="dxa"/>
            <w:vMerge/>
          </w:tcPr>
          <w:p w:rsidR="00F16F01" w:rsidRPr="00D12FFC" w:rsidRDefault="00F16F01" w:rsidP="00323B7C">
            <w:pPr>
              <w:widowControl w:val="0"/>
              <w:spacing w:after="0" w:line="240" w:lineRule="auto"/>
              <w:jc w:val="center"/>
              <w:rPr>
                <w:rFonts w:ascii="Times New Roman" w:hAnsi="Times New Roman"/>
                <w:sz w:val="24"/>
                <w:szCs w:val="24"/>
                <w:lang w:eastAsia="uk-UA"/>
              </w:rPr>
            </w:pPr>
          </w:p>
        </w:tc>
        <w:tc>
          <w:tcPr>
            <w:tcW w:w="4499" w:type="dxa"/>
            <w:vMerge w:val="restart"/>
          </w:tcPr>
          <w:p w:rsidR="00F16F01" w:rsidRPr="00D12FFC" w:rsidRDefault="00F16F01" w:rsidP="00323B7C">
            <w:pPr>
              <w:widowControl w:val="0"/>
              <w:rPr>
                <w:rFonts w:ascii="Times New Roman" w:hAnsi="Times New Roman"/>
                <w:sz w:val="24"/>
                <w:szCs w:val="24"/>
                <w:lang w:eastAsia="uk-UA"/>
              </w:rPr>
            </w:pPr>
            <w:r w:rsidRPr="00D12FFC">
              <w:rPr>
                <w:rFonts w:ascii="Times New Roman" w:hAnsi="Times New Roman"/>
                <w:sz w:val="24"/>
                <w:szCs w:val="24"/>
                <w:lang w:eastAsia="uk-UA"/>
              </w:rPr>
              <w:t xml:space="preserve">наявність європейського/ міжнародного сертифіката (підтримання членства): </w:t>
            </w:r>
          </w:p>
          <w:p w:rsidR="00F16F01" w:rsidRPr="00D12FFC" w:rsidRDefault="00F16F01" w:rsidP="00323B7C">
            <w:pPr>
              <w:widowControl w:val="0"/>
              <w:rPr>
                <w:rFonts w:ascii="Times New Roman" w:hAnsi="Times New Roman"/>
                <w:sz w:val="24"/>
                <w:szCs w:val="24"/>
                <w:lang w:eastAsia="uk-UA"/>
              </w:rPr>
            </w:pPr>
            <w:r w:rsidRPr="00D12FFC">
              <w:rPr>
                <w:rFonts w:ascii="Times New Roman" w:hAnsi="Times New Roman"/>
                <w:sz w:val="24"/>
                <w:szCs w:val="24"/>
                <w:lang w:eastAsia="uk-UA"/>
              </w:rPr>
              <w:t>реєстраційний внесок (одноразова оплата)</w:t>
            </w:r>
          </w:p>
        </w:tc>
        <w:tc>
          <w:tcPr>
            <w:tcW w:w="9002" w:type="dxa"/>
            <w:gridSpan w:val="3"/>
          </w:tcPr>
          <w:p w:rsidR="00F16F01" w:rsidRPr="00D12FFC" w:rsidRDefault="00F16F01" w:rsidP="007704DF">
            <w:pPr>
              <w:widowControl w:val="0"/>
              <w:tabs>
                <w:tab w:val="left" w:pos="1875"/>
              </w:tabs>
              <w:jc w:val="center"/>
              <w:rPr>
                <w:rFonts w:ascii="Times New Roman" w:hAnsi="Times New Roman"/>
                <w:sz w:val="24"/>
                <w:szCs w:val="24"/>
                <w:lang w:eastAsia="uk-UA"/>
              </w:rPr>
            </w:pPr>
          </w:p>
        </w:tc>
      </w:tr>
      <w:tr w:rsidR="00F16F01" w:rsidRPr="00D12FFC" w:rsidTr="00FD36AA">
        <w:trPr>
          <w:trHeight w:val="559"/>
        </w:trPr>
        <w:tc>
          <w:tcPr>
            <w:tcW w:w="899" w:type="dxa"/>
            <w:vMerge/>
          </w:tcPr>
          <w:p w:rsidR="00F16F01" w:rsidRPr="00D12FFC" w:rsidRDefault="00F16F01" w:rsidP="00323B7C">
            <w:pPr>
              <w:widowControl w:val="0"/>
              <w:spacing w:after="0" w:line="240" w:lineRule="auto"/>
              <w:jc w:val="center"/>
              <w:rPr>
                <w:rFonts w:ascii="Times New Roman" w:hAnsi="Times New Roman"/>
                <w:sz w:val="24"/>
                <w:szCs w:val="24"/>
                <w:lang w:eastAsia="uk-UA"/>
              </w:rPr>
            </w:pPr>
          </w:p>
        </w:tc>
        <w:tc>
          <w:tcPr>
            <w:tcW w:w="4499" w:type="dxa"/>
            <w:vMerge/>
          </w:tcPr>
          <w:p w:rsidR="00F16F01" w:rsidRPr="00D12FFC" w:rsidRDefault="00F16F01" w:rsidP="00323B7C">
            <w:pPr>
              <w:widowControl w:val="0"/>
              <w:rPr>
                <w:rFonts w:ascii="Times New Roman" w:hAnsi="Times New Roman"/>
                <w:sz w:val="24"/>
                <w:szCs w:val="24"/>
                <w:lang w:eastAsia="uk-UA"/>
              </w:rPr>
            </w:pPr>
          </w:p>
        </w:tc>
        <w:tc>
          <w:tcPr>
            <w:tcW w:w="3021" w:type="dxa"/>
          </w:tcPr>
          <w:p w:rsidR="00F16F01" w:rsidRPr="00D12FFC" w:rsidRDefault="00F16F01" w:rsidP="005D2BFC">
            <w:pPr>
              <w:widowControl w:val="0"/>
              <w:tabs>
                <w:tab w:val="left" w:pos="1875"/>
              </w:tabs>
              <w:rPr>
                <w:rFonts w:ascii="Times New Roman" w:hAnsi="Times New Roman"/>
                <w:sz w:val="24"/>
                <w:szCs w:val="24"/>
                <w:lang w:eastAsia="uk-UA"/>
              </w:rPr>
            </w:pPr>
            <w:r w:rsidRPr="00D12FFC">
              <w:rPr>
                <w:rFonts w:ascii="Times New Roman" w:hAnsi="Times New Roman"/>
                <w:sz w:val="24"/>
                <w:szCs w:val="24"/>
                <w:lang w:eastAsia="uk-UA"/>
              </w:rPr>
              <w:t xml:space="preserve">950 Євро </w:t>
            </w:r>
            <w:r w:rsidRPr="00D12FFC">
              <w:rPr>
                <w:rFonts w:ascii="Times New Roman" w:hAnsi="Times New Roman"/>
                <w:sz w:val="24"/>
                <w:szCs w:val="24"/>
                <w:vertAlign w:val="superscript"/>
                <w:lang w:eastAsia="uk-UA"/>
              </w:rPr>
              <w:t>2</w:t>
            </w:r>
            <w:r w:rsidRPr="00D12FFC">
              <w:rPr>
                <w:rFonts w:ascii="Times New Roman" w:hAnsi="Times New Roman"/>
                <w:sz w:val="24"/>
                <w:szCs w:val="24"/>
                <w:lang w:eastAsia="uk-UA"/>
              </w:rPr>
              <w:t xml:space="preserve"> х 3</w:t>
            </w:r>
            <w:r w:rsidR="005D2BFC">
              <w:rPr>
                <w:rFonts w:ascii="Times New Roman" w:hAnsi="Times New Roman"/>
                <w:sz w:val="24"/>
                <w:szCs w:val="24"/>
                <w:lang w:eastAsia="uk-UA"/>
              </w:rPr>
              <w:t>1,76</w:t>
            </w:r>
            <w:r w:rsidRPr="00D12FFC">
              <w:rPr>
                <w:rFonts w:ascii="Times New Roman" w:hAnsi="Times New Roman"/>
                <w:sz w:val="24"/>
                <w:szCs w:val="24"/>
                <w:lang w:eastAsia="uk-UA"/>
              </w:rPr>
              <w:t xml:space="preserve"> </w:t>
            </w:r>
            <w:r w:rsidRPr="00D12FFC">
              <w:rPr>
                <w:rFonts w:ascii="Times New Roman" w:hAnsi="Times New Roman"/>
                <w:sz w:val="24"/>
                <w:szCs w:val="24"/>
                <w:vertAlign w:val="superscript"/>
                <w:lang w:eastAsia="uk-UA"/>
              </w:rPr>
              <w:t>3</w:t>
            </w:r>
            <w:r w:rsidRPr="00D12FFC">
              <w:rPr>
                <w:rFonts w:ascii="Times New Roman" w:hAnsi="Times New Roman"/>
                <w:sz w:val="24"/>
                <w:szCs w:val="24"/>
                <w:lang w:eastAsia="uk-UA"/>
              </w:rPr>
              <w:t xml:space="preserve"> = 30</w:t>
            </w:r>
            <w:r w:rsidR="005D2BFC">
              <w:rPr>
                <w:rFonts w:ascii="Times New Roman" w:hAnsi="Times New Roman"/>
                <w:sz w:val="24"/>
                <w:szCs w:val="24"/>
                <w:lang w:eastAsia="uk-UA"/>
              </w:rPr>
              <w:t> 172,00</w:t>
            </w:r>
            <w:r w:rsidRPr="00D12FFC">
              <w:rPr>
                <w:rFonts w:ascii="Times New Roman" w:hAnsi="Times New Roman"/>
                <w:sz w:val="24"/>
                <w:szCs w:val="24"/>
                <w:lang w:eastAsia="uk-UA"/>
              </w:rPr>
              <w:t xml:space="preserve"> грн.</w:t>
            </w:r>
          </w:p>
        </w:tc>
        <w:tc>
          <w:tcPr>
            <w:tcW w:w="2921" w:type="dxa"/>
          </w:tcPr>
          <w:p w:rsidR="00F16F01" w:rsidRPr="00D12FFC" w:rsidRDefault="00F16F01" w:rsidP="004421B7">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w:t>
            </w:r>
          </w:p>
        </w:tc>
        <w:tc>
          <w:tcPr>
            <w:tcW w:w="3060" w:type="dxa"/>
          </w:tcPr>
          <w:p w:rsidR="00F16F01" w:rsidRPr="00D12FFC" w:rsidRDefault="00F16F01" w:rsidP="007704DF">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w:t>
            </w:r>
          </w:p>
        </w:tc>
      </w:tr>
      <w:tr w:rsidR="00F16F01" w:rsidRPr="00D12FFC" w:rsidTr="00FD36AA">
        <w:trPr>
          <w:trHeight w:val="651"/>
        </w:trPr>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p>
        </w:tc>
        <w:tc>
          <w:tcPr>
            <w:tcW w:w="4499" w:type="dxa"/>
          </w:tcPr>
          <w:p w:rsidR="00F16F01" w:rsidRPr="00D12FFC" w:rsidRDefault="00F16F01" w:rsidP="00FE4CBF">
            <w:pPr>
              <w:widowControl w:val="0"/>
              <w:rPr>
                <w:rFonts w:ascii="Times New Roman" w:hAnsi="Times New Roman"/>
                <w:sz w:val="24"/>
                <w:szCs w:val="24"/>
                <w:lang w:eastAsia="uk-UA"/>
              </w:rPr>
            </w:pPr>
            <w:r w:rsidRPr="00D12FFC">
              <w:rPr>
                <w:rFonts w:ascii="Times New Roman" w:hAnsi="Times New Roman"/>
                <w:sz w:val="24"/>
                <w:szCs w:val="24"/>
                <w:lang w:eastAsia="uk-UA"/>
              </w:rPr>
              <w:t>вступний внесок (одноразова оплата)</w:t>
            </w:r>
          </w:p>
        </w:tc>
        <w:tc>
          <w:tcPr>
            <w:tcW w:w="3021" w:type="dxa"/>
          </w:tcPr>
          <w:p w:rsidR="00F16F01" w:rsidRPr="00D12FFC" w:rsidRDefault="00F16F01" w:rsidP="005D2BFC">
            <w:pPr>
              <w:widowControl w:val="0"/>
              <w:tabs>
                <w:tab w:val="left" w:pos="1875"/>
              </w:tabs>
              <w:rPr>
                <w:rFonts w:ascii="Times New Roman" w:hAnsi="Times New Roman"/>
                <w:sz w:val="24"/>
                <w:szCs w:val="24"/>
                <w:lang w:eastAsia="uk-UA"/>
              </w:rPr>
            </w:pPr>
            <w:r w:rsidRPr="00D12FFC">
              <w:rPr>
                <w:rFonts w:ascii="Times New Roman" w:hAnsi="Times New Roman"/>
                <w:sz w:val="24"/>
                <w:szCs w:val="24"/>
                <w:lang w:eastAsia="uk-UA"/>
              </w:rPr>
              <w:t xml:space="preserve">186 Євро </w:t>
            </w:r>
            <w:r w:rsidRPr="00D12FFC">
              <w:rPr>
                <w:rFonts w:ascii="Times New Roman" w:hAnsi="Times New Roman"/>
                <w:sz w:val="24"/>
                <w:szCs w:val="24"/>
                <w:vertAlign w:val="superscript"/>
                <w:lang w:eastAsia="uk-UA"/>
              </w:rPr>
              <w:t>2</w:t>
            </w:r>
            <w:r w:rsidRPr="00D12FFC">
              <w:rPr>
                <w:rFonts w:ascii="Times New Roman" w:hAnsi="Times New Roman"/>
                <w:sz w:val="24"/>
                <w:szCs w:val="24"/>
                <w:lang w:eastAsia="uk-UA"/>
              </w:rPr>
              <w:t xml:space="preserve"> х 3</w:t>
            </w:r>
            <w:r w:rsidR="005D2BFC">
              <w:rPr>
                <w:rFonts w:ascii="Times New Roman" w:hAnsi="Times New Roman"/>
                <w:sz w:val="24"/>
                <w:szCs w:val="24"/>
                <w:lang w:eastAsia="uk-UA"/>
              </w:rPr>
              <w:t>1</w:t>
            </w:r>
            <w:r w:rsidRPr="00D12FFC">
              <w:rPr>
                <w:rFonts w:ascii="Times New Roman" w:hAnsi="Times New Roman"/>
                <w:sz w:val="24"/>
                <w:szCs w:val="24"/>
                <w:lang w:eastAsia="uk-UA"/>
              </w:rPr>
              <w:t>,</w:t>
            </w:r>
            <w:r w:rsidR="005D2BFC">
              <w:rPr>
                <w:rFonts w:ascii="Times New Roman" w:hAnsi="Times New Roman"/>
                <w:sz w:val="24"/>
                <w:szCs w:val="24"/>
                <w:lang w:eastAsia="uk-UA"/>
              </w:rPr>
              <w:t>76</w:t>
            </w:r>
            <w:r w:rsidRPr="00D12FFC">
              <w:rPr>
                <w:rFonts w:ascii="Times New Roman" w:hAnsi="Times New Roman"/>
                <w:sz w:val="24"/>
                <w:szCs w:val="24"/>
                <w:lang w:eastAsia="uk-UA"/>
              </w:rPr>
              <w:t xml:space="preserve"> </w:t>
            </w:r>
            <w:r w:rsidRPr="00D12FFC">
              <w:rPr>
                <w:rFonts w:ascii="Times New Roman" w:hAnsi="Times New Roman"/>
                <w:sz w:val="24"/>
                <w:szCs w:val="24"/>
                <w:vertAlign w:val="superscript"/>
                <w:lang w:eastAsia="uk-UA"/>
              </w:rPr>
              <w:t>3</w:t>
            </w:r>
            <w:r w:rsidRPr="00D12FFC">
              <w:rPr>
                <w:rFonts w:ascii="Times New Roman" w:hAnsi="Times New Roman"/>
                <w:sz w:val="24"/>
                <w:szCs w:val="24"/>
                <w:lang w:eastAsia="uk-UA"/>
              </w:rPr>
              <w:t xml:space="preserve"> = </w:t>
            </w:r>
            <w:r w:rsidR="005D2BFC">
              <w:rPr>
                <w:rFonts w:ascii="Times New Roman" w:hAnsi="Times New Roman"/>
                <w:sz w:val="24"/>
                <w:szCs w:val="24"/>
                <w:lang w:eastAsia="uk-UA"/>
              </w:rPr>
              <w:t xml:space="preserve"> 5 907,36</w:t>
            </w:r>
            <w:r w:rsidRPr="00D12FFC">
              <w:rPr>
                <w:rFonts w:ascii="Times New Roman" w:hAnsi="Times New Roman"/>
                <w:sz w:val="24"/>
                <w:szCs w:val="24"/>
                <w:lang w:eastAsia="uk-UA"/>
              </w:rPr>
              <w:t xml:space="preserve"> грн.</w:t>
            </w:r>
          </w:p>
        </w:tc>
        <w:tc>
          <w:tcPr>
            <w:tcW w:w="2921" w:type="dxa"/>
          </w:tcPr>
          <w:p w:rsidR="00F16F01" w:rsidRPr="00D12FFC" w:rsidRDefault="00F16F01" w:rsidP="004421B7">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w:t>
            </w:r>
          </w:p>
        </w:tc>
        <w:tc>
          <w:tcPr>
            <w:tcW w:w="3060" w:type="dxa"/>
          </w:tcPr>
          <w:p w:rsidR="00F16F01" w:rsidRPr="00D12FFC" w:rsidRDefault="00F16F01" w:rsidP="007704DF">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w:t>
            </w:r>
          </w:p>
        </w:tc>
      </w:tr>
      <w:tr w:rsidR="00F16F01" w:rsidRPr="00D12FFC" w:rsidTr="00FD36AA">
        <w:trPr>
          <w:trHeight w:val="558"/>
        </w:trPr>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p>
        </w:tc>
        <w:tc>
          <w:tcPr>
            <w:tcW w:w="4499" w:type="dxa"/>
          </w:tcPr>
          <w:p w:rsidR="00F16F01" w:rsidRPr="00D12FFC" w:rsidRDefault="00F16F01" w:rsidP="00FE4CBF">
            <w:pPr>
              <w:widowControl w:val="0"/>
              <w:rPr>
                <w:rFonts w:ascii="Times New Roman" w:hAnsi="Times New Roman"/>
                <w:sz w:val="24"/>
                <w:szCs w:val="24"/>
                <w:lang w:eastAsia="uk-UA"/>
              </w:rPr>
            </w:pPr>
            <w:r w:rsidRPr="00D12FFC">
              <w:rPr>
                <w:rFonts w:ascii="Times New Roman" w:hAnsi="Times New Roman"/>
                <w:sz w:val="24"/>
                <w:szCs w:val="24"/>
                <w:lang w:eastAsia="uk-UA"/>
              </w:rPr>
              <w:t>щорічний членський внесок</w:t>
            </w:r>
          </w:p>
        </w:tc>
        <w:tc>
          <w:tcPr>
            <w:tcW w:w="3021" w:type="dxa"/>
          </w:tcPr>
          <w:p w:rsidR="00F16F01" w:rsidRPr="00D12FFC" w:rsidRDefault="00F16F01" w:rsidP="005D2BFC">
            <w:pPr>
              <w:widowControl w:val="0"/>
              <w:tabs>
                <w:tab w:val="left" w:pos="1875"/>
              </w:tabs>
              <w:rPr>
                <w:rFonts w:ascii="Times New Roman" w:hAnsi="Times New Roman"/>
                <w:sz w:val="24"/>
                <w:szCs w:val="24"/>
                <w:lang w:eastAsia="uk-UA"/>
              </w:rPr>
            </w:pPr>
            <w:r w:rsidRPr="00D12FFC">
              <w:rPr>
                <w:rFonts w:ascii="Times New Roman" w:hAnsi="Times New Roman"/>
                <w:sz w:val="24"/>
                <w:szCs w:val="24"/>
                <w:lang w:eastAsia="uk-UA"/>
              </w:rPr>
              <w:t xml:space="preserve">673 Євро </w:t>
            </w:r>
            <w:r w:rsidRPr="00D12FFC">
              <w:rPr>
                <w:rFonts w:ascii="Times New Roman" w:hAnsi="Times New Roman"/>
                <w:sz w:val="24"/>
                <w:szCs w:val="24"/>
                <w:vertAlign w:val="superscript"/>
                <w:lang w:eastAsia="uk-UA"/>
              </w:rPr>
              <w:t>2</w:t>
            </w:r>
            <w:r w:rsidRPr="00D12FFC">
              <w:rPr>
                <w:rFonts w:ascii="Times New Roman" w:hAnsi="Times New Roman"/>
                <w:sz w:val="24"/>
                <w:szCs w:val="24"/>
                <w:lang w:eastAsia="uk-UA"/>
              </w:rPr>
              <w:t xml:space="preserve"> х 3</w:t>
            </w:r>
            <w:r w:rsidR="005D2BFC">
              <w:rPr>
                <w:rFonts w:ascii="Times New Roman" w:hAnsi="Times New Roman"/>
                <w:sz w:val="24"/>
                <w:szCs w:val="24"/>
                <w:lang w:eastAsia="uk-UA"/>
              </w:rPr>
              <w:t>1</w:t>
            </w:r>
            <w:r w:rsidRPr="00D12FFC">
              <w:rPr>
                <w:rFonts w:ascii="Times New Roman" w:hAnsi="Times New Roman"/>
                <w:sz w:val="24"/>
                <w:szCs w:val="24"/>
                <w:lang w:eastAsia="uk-UA"/>
              </w:rPr>
              <w:t>,</w:t>
            </w:r>
            <w:r w:rsidR="005D2BFC">
              <w:rPr>
                <w:rFonts w:ascii="Times New Roman" w:hAnsi="Times New Roman"/>
                <w:sz w:val="24"/>
                <w:szCs w:val="24"/>
                <w:lang w:eastAsia="uk-UA"/>
              </w:rPr>
              <w:t>76</w:t>
            </w:r>
            <w:r w:rsidRPr="00D12FFC">
              <w:rPr>
                <w:rFonts w:ascii="Times New Roman" w:hAnsi="Times New Roman"/>
                <w:sz w:val="24"/>
                <w:szCs w:val="24"/>
                <w:lang w:eastAsia="uk-UA"/>
              </w:rPr>
              <w:t xml:space="preserve"> </w:t>
            </w:r>
            <w:r w:rsidRPr="00D12FFC">
              <w:rPr>
                <w:rFonts w:ascii="Times New Roman" w:hAnsi="Times New Roman"/>
                <w:sz w:val="24"/>
                <w:szCs w:val="24"/>
                <w:vertAlign w:val="superscript"/>
                <w:lang w:eastAsia="uk-UA"/>
              </w:rPr>
              <w:t>3</w:t>
            </w:r>
            <w:r w:rsidRPr="00D12FFC">
              <w:rPr>
                <w:rFonts w:ascii="Times New Roman" w:hAnsi="Times New Roman"/>
                <w:sz w:val="24"/>
                <w:szCs w:val="24"/>
                <w:lang w:eastAsia="uk-UA"/>
              </w:rPr>
              <w:t xml:space="preserve"> = 21</w:t>
            </w:r>
            <w:r w:rsidR="005D2BFC">
              <w:rPr>
                <w:rFonts w:ascii="Times New Roman" w:hAnsi="Times New Roman"/>
                <w:sz w:val="24"/>
                <w:szCs w:val="24"/>
                <w:lang w:eastAsia="uk-UA"/>
              </w:rPr>
              <w:t> 374,48</w:t>
            </w:r>
            <w:r w:rsidRPr="00D12FFC">
              <w:rPr>
                <w:rFonts w:ascii="Times New Roman" w:hAnsi="Times New Roman"/>
                <w:sz w:val="24"/>
                <w:szCs w:val="24"/>
                <w:lang w:eastAsia="uk-UA"/>
              </w:rPr>
              <w:t xml:space="preserve"> грн.</w:t>
            </w:r>
          </w:p>
        </w:tc>
        <w:tc>
          <w:tcPr>
            <w:tcW w:w="2921" w:type="dxa"/>
          </w:tcPr>
          <w:p w:rsidR="00F16F01" w:rsidRPr="008309C0" w:rsidRDefault="005D2BFC" w:rsidP="00FE4CBF">
            <w:pPr>
              <w:widowControl w:val="0"/>
              <w:tabs>
                <w:tab w:val="left" w:pos="1875"/>
              </w:tabs>
              <w:jc w:val="center"/>
              <w:rPr>
                <w:rFonts w:ascii="Times New Roman" w:hAnsi="Times New Roman"/>
                <w:sz w:val="24"/>
                <w:szCs w:val="24"/>
                <w:highlight w:val="yellow"/>
                <w:lang w:eastAsia="uk-UA"/>
              </w:rPr>
            </w:pPr>
            <w:r>
              <w:rPr>
                <w:rFonts w:ascii="Times New Roman" w:hAnsi="Times New Roman"/>
                <w:sz w:val="24"/>
                <w:szCs w:val="24"/>
                <w:lang w:eastAsia="uk-UA"/>
              </w:rPr>
              <w:t>21 374,48</w:t>
            </w:r>
            <w:r w:rsidR="00F16F01" w:rsidRPr="00D12FFC">
              <w:rPr>
                <w:rFonts w:ascii="Times New Roman" w:hAnsi="Times New Roman"/>
                <w:sz w:val="24"/>
                <w:szCs w:val="24"/>
                <w:lang w:eastAsia="uk-UA"/>
              </w:rPr>
              <w:t xml:space="preserve"> грн.</w:t>
            </w:r>
          </w:p>
        </w:tc>
        <w:tc>
          <w:tcPr>
            <w:tcW w:w="3060" w:type="dxa"/>
          </w:tcPr>
          <w:p w:rsidR="00F16F01" w:rsidRPr="00D12FFC" w:rsidRDefault="00F16F01" w:rsidP="00555006">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5</w:t>
            </w:r>
            <w:r w:rsidR="00555006">
              <w:rPr>
                <w:rFonts w:ascii="Times New Roman" w:hAnsi="Times New Roman"/>
                <w:sz w:val="24"/>
                <w:szCs w:val="24"/>
                <w:lang w:eastAsia="uk-UA"/>
              </w:rPr>
              <w:t xml:space="preserve"> </w:t>
            </w:r>
            <w:r w:rsidRPr="00D12FFC">
              <w:rPr>
                <w:rFonts w:ascii="Times New Roman" w:hAnsi="Times New Roman"/>
                <w:sz w:val="24"/>
                <w:szCs w:val="24"/>
                <w:lang w:eastAsia="uk-UA"/>
              </w:rPr>
              <w:t>х</w:t>
            </w:r>
            <w:r w:rsidR="00555006">
              <w:rPr>
                <w:rFonts w:ascii="Times New Roman" w:hAnsi="Times New Roman"/>
                <w:sz w:val="24"/>
                <w:szCs w:val="24"/>
                <w:lang w:eastAsia="uk-UA"/>
              </w:rPr>
              <w:t xml:space="preserve"> 21 374,48 </w:t>
            </w:r>
            <w:r w:rsidRPr="00D12FFC">
              <w:rPr>
                <w:rFonts w:ascii="Times New Roman" w:hAnsi="Times New Roman"/>
                <w:sz w:val="24"/>
                <w:szCs w:val="24"/>
                <w:lang w:eastAsia="uk-UA"/>
              </w:rPr>
              <w:t xml:space="preserve"> = 10</w:t>
            </w:r>
            <w:r w:rsidR="00555006">
              <w:rPr>
                <w:rFonts w:ascii="Times New Roman" w:hAnsi="Times New Roman"/>
                <w:sz w:val="24"/>
                <w:szCs w:val="24"/>
                <w:lang w:eastAsia="uk-UA"/>
              </w:rPr>
              <w:t>6 872,40</w:t>
            </w:r>
            <w:r w:rsidRPr="00D12FFC">
              <w:rPr>
                <w:rFonts w:ascii="Times New Roman" w:hAnsi="Times New Roman"/>
                <w:sz w:val="24"/>
                <w:szCs w:val="24"/>
                <w:lang w:eastAsia="uk-UA"/>
              </w:rPr>
              <w:t xml:space="preserve">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6</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Разом, гривень</w:t>
            </w:r>
            <w:r w:rsidRPr="00D12FFC">
              <w:rPr>
                <w:rFonts w:ascii="Times New Roman" w:hAnsi="Times New Roman"/>
                <w:sz w:val="24"/>
                <w:szCs w:val="24"/>
                <w:lang w:eastAsia="uk-UA"/>
              </w:rPr>
              <w:br/>
            </w:r>
          </w:p>
        </w:tc>
        <w:tc>
          <w:tcPr>
            <w:tcW w:w="3021" w:type="dxa"/>
          </w:tcPr>
          <w:p w:rsidR="00F16F01" w:rsidRPr="00D12FFC" w:rsidRDefault="005D2BFC" w:rsidP="00B553A2">
            <w:pPr>
              <w:widowControl w:val="0"/>
              <w:tabs>
                <w:tab w:val="left" w:pos="187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57 </w:t>
            </w:r>
            <w:r w:rsidR="00B553A2">
              <w:rPr>
                <w:rFonts w:ascii="Times New Roman" w:hAnsi="Times New Roman"/>
                <w:sz w:val="24"/>
                <w:szCs w:val="24"/>
                <w:lang w:eastAsia="uk-UA"/>
              </w:rPr>
              <w:t>7</w:t>
            </w:r>
            <w:r>
              <w:rPr>
                <w:rFonts w:ascii="Times New Roman" w:hAnsi="Times New Roman"/>
                <w:sz w:val="24"/>
                <w:szCs w:val="24"/>
                <w:lang w:eastAsia="uk-UA"/>
              </w:rPr>
              <w:t>53,84</w:t>
            </w:r>
            <w:r w:rsidR="00F16F01" w:rsidRPr="00D12FFC">
              <w:rPr>
                <w:rFonts w:ascii="Times New Roman" w:hAnsi="Times New Roman"/>
                <w:sz w:val="24"/>
                <w:szCs w:val="24"/>
                <w:lang w:eastAsia="uk-UA"/>
              </w:rPr>
              <w:t xml:space="preserve"> грн.</w:t>
            </w:r>
          </w:p>
        </w:tc>
        <w:tc>
          <w:tcPr>
            <w:tcW w:w="2921" w:type="dxa"/>
          </w:tcPr>
          <w:p w:rsidR="00F16F01" w:rsidRPr="00D12FFC" w:rsidRDefault="005D2BFC" w:rsidP="00FE4CBF">
            <w:pPr>
              <w:widowControl w:val="0"/>
              <w:tabs>
                <w:tab w:val="left" w:pos="1875"/>
              </w:tabs>
              <w:spacing w:after="0" w:line="240" w:lineRule="auto"/>
              <w:jc w:val="center"/>
              <w:rPr>
                <w:rFonts w:ascii="Times New Roman" w:hAnsi="Times New Roman"/>
                <w:b/>
                <w:sz w:val="24"/>
                <w:szCs w:val="24"/>
                <w:lang w:eastAsia="uk-UA"/>
              </w:rPr>
            </w:pPr>
            <w:r>
              <w:rPr>
                <w:rFonts w:ascii="Times New Roman" w:hAnsi="Times New Roman"/>
                <w:sz w:val="24"/>
                <w:szCs w:val="24"/>
                <w:lang w:eastAsia="uk-UA"/>
              </w:rPr>
              <w:t>21 624,48</w:t>
            </w:r>
            <w:r w:rsidR="00F16F01" w:rsidRPr="00D12FFC">
              <w:rPr>
                <w:rFonts w:ascii="Times New Roman" w:hAnsi="Times New Roman"/>
                <w:sz w:val="24"/>
                <w:szCs w:val="24"/>
                <w:lang w:eastAsia="uk-UA"/>
              </w:rPr>
              <w:t xml:space="preserve"> грн.</w:t>
            </w:r>
          </w:p>
        </w:tc>
        <w:tc>
          <w:tcPr>
            <w:tcW w:w="3060" w:type="dxa"/>
          </w:tcPr>
          <w:p w:rsidR="00F16F01" w:rsidRPr="00D12FFC" w:rsidRDefault="00555006" w:rsidP="007704DF">
            <w:pPr>
              <w:widowControl w:val="0"/>
              <w:tabs>
                <w:tab w:val="left" w:pos="187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108 122,40</w:t>
            </w:r>
            <w:r w:rsidR="00F16F01" w:rsidRPr="00D12FFC">
              <w:rPr>
                <w:rFonts w:ascii="Times New Roman" w:hAnsi="Times New Roman"/>
                <w:sz w:val="24"/>
                <w:szCs w:val="24"/>
                <w:lang w:eastAsia="uk-UA"/>
              </w:rPr>
              <w:t xml:space="preserve">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7</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Кількість суб’єктів господарювання (оцінювачів), що повинні виконати вимоги регулювання, одиниць</w:t>
            </w:r>
          </w:p>
        </w:tc>
        <w:tc>
          <w:tcPr>
            <w:tcW w:w="3021" w:type="dxa"/>
          </w:tcPr>
          <w:p w:rsidR="00F16F01" w:rsidRPr="00D12FFC" w:rsidRDefault="00F16F01" w:rsidP="00FE4CBF">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ru-RU"/>
              </w:rPr>
              <w:t xml:space="preserve">1356 </w:t>
            </w:r>
            <w:r w:rsidRPr="00D12FFC">
              <w:rPr>
                <w:rFonts w:ascii="Times New Roman" w:hAnsi="Times New Roman"/>
                <w:b/>
                <w:sz w:val="24"/>
                <w:szCs w:val="24"/>
                <w:vertAlign w:val="superscript"/>
                <w:lang w:eastAsia="ru-RU"/>
              </w:rPr>
              <w:t>4</w:t>
            </w:r>
          </w:p>
        </w:tc>
        <w:tc>
          <w:tcPr>
            <w:tcW w:w="2921" w:type="dxa"/>
          </w:tcPr>
          <w:p w:rsidR="00F16F01" w:rsidRPr="00D12FFC" w:rsidRDefault="00F16F01" w:rsidP="004421B7">
            <w:pPr>
              <w:widowControl w:val="0"/>
              <w:tabs>
                <w:tab w:val="left" w:pos="1875"/>
              </w:tabs>
              <w:jc w:val="center"/>
              <w:rPr>
                <w:rFonts w:ascii="Times New Roman" w:hAnsi="Times New Roman"/>
                <w:sz w:val="24"/>
                <w:szCs w:val="24"/>
                <w:lang w:eastAsia="uk-UA"/>
              </w:rPr>
            </w:pPr>
            <w:r w:rsidRPr="00D12FFC">
              <w:rPr>
                <w:rFonts w:ascii="Times New Roman" w:hAnsi="Times New Roman"/>
                <w:b/>
                <w:sz w:val="24"/>
                <w:szCs w:val="24"/>
                <w:lang w:eastAsia="ru-RU"/>
              </w:rPr>
              <w:t>1356</w:t>
            </w:r>
          </w:p>
        </w:tc>
        <w:tc>
          <w:tcPr>
            <w:tcW w:w="3060" w:type="dxa"/>
          </w:tcPr>
          <w:p w:rsidR="00F16F01" w:rsidRPr="00D12FFC" w:rsidRDefault="00F16F01" w:rsidP="004421B7">
            <w:pPr>
              <w:widowControl w:val="0"/>
              <w:tabs>
                <w:tab w:val="left" w:pos="1875"/>
              </w:tabs>
              <w:jc w:val="center"/>
              <w:rPr>
                <w:rFonts w:ascii="Times New Roman" w:hAnsi="Times New Roman"/>
                <w:sz w:val="24"/>
                <w:szCs w:val="24"/>
                <w:lang w:eastAsia="uk-UA"/>
              </w:rPr>
            </w:pPr>
            <w:r w:rsidRPr="00D12FFC">
              <w:rPr>
                <w:rFonts w:ascii="Times New Roman" w:hAnsi="Times New Roman"/>
                <w:b/>
                <w:sz w:val="24"/>
                <w:szCs w:val="24"/>
                <w:lang w:eastAsia="ru-RU"/>
              </w:rPr>
              <w:t>1356</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8</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ru-RU"/>
              </w:rPr>
            </w:pPr>
            <w:r w:rsidRPr="00D12FFC">
              <w:rPr>
                <w:rFonts w:ascii="Times New Roman" w:hAnsi="Times New Roman"/>
                <w:sz w:val="24"/>
                <w:szCs w:val="24"/>
                <w:lang w:eastAsia="ru-RU"/>
              </w:rPr>
              <w:t>Сумарно, гривень</w:t>
            </w:r>
          </w:p>
        </w:tc>
        <w:tc>
          <w:tcPr>
            <w:tcW w:w="3021" w:type="dxa"/>
          </w:tcPr>
          <w:p w:rsidR="00F16F01" w:rsidRPr="00D12FFC" w:rsidRDefault="005D2BFC" w:rsidP="00B553A2">
            <w:pPr>
              <w:widowControl w:val="0"/>
              <w:tabs>
                <w:tab w:val="left" w:pos="1875"/>
              </w:tabs>
              <w:spacing w:after="0" w:line="240" w:lineRule="auto"/>
              <w:jc w:val="center"/>
              <w:rPr>
                <w:rFonts w:ascii="Times New Roman" w:hAnsi="Times New Roman"/>
                <w:sz w:val="24"/>
                <w:szCs w:val="24"/>
                <w:lang w:eastAsia="ru-RU"/>
              </w:rPr>
            </w:pPr>
            <w:r>
              <w:rPr>
                <w:rFonts w:ascii="Times New Roman" w:hAnsi="Times New Roman"/>
                <w:sz w:val="24"/>
                <w:szCs w:val="24"/>
                <w:lang w:eastAsia="uk-UA"/>
              </w:rPr>
              <w:t>57 </w:t>
            </w:r>
            <w:r w:rsidR="00B553A2">
              <w:rPr>
                <w:rFonts w:ascii="Times New Roman" w:hAnsi="Times New Roman"/>
                <w:sz w:val="24"/>
                <w:szCs w:val="24"/>
                <w:lang w:eastAsia="uk-UA"/>
              </w:rPr>
              <w:t>7</w:t>
            </w:r>
            <w:r>
              <w:rPr>
                <w:rFonts w:ascii="Times New Roman" w:hAnsi="Times New Roman"/>
                <w:sz w:val="24"/>
                <w:szCs w:val="24"/>
                <w:lang w:eastAsia="uk-UA"/>
              </w:rPr>
              <w:t>53,84</w:t>
            </w:r>
            <w:r w:rsidR="00F16F01" w:rsidRPr="00D12FFC">
              <w:rPr>
                <w:rFonts w:ascii="Times New Roman" w:hAnsi="Times New Roman"/>
                <w:sz w:val="24"/>
                <w:szCs w:val="24"/>
                <w:lang w:eastAsia="uk-UA"/>
              </w:rPr>
              <w:t xml:space="preserve"> грн. х</w:t>
            </w:r>
            <w:r w:rsidR="00F16F01">
              <w:rPr>
                <w:rFonts w:ascii="Times New Roman" w:hAnsi="Times New Roman"/>
                <w:sz w:val="24"/>
                <w:szCs w:val="24"/>
                <w:lang w:eastAsia="uk-UA"/>
              </w:rPr>
              <w:t xml:space="preserve"> 1356 =  </w:t>
            </w:r>
            <w:r>
              <w:rPr>
                <w:rFonts w:ascii="Times New Roman" w:hAnsi="Times New Roman"/>
                <w:sz w:val="24"/>
                <w:szCs w:val="24"/>
                <w:lang w:eastAsia="ru-RU"/>
              </w:rPr>
              <w:t>7</w:t>
            </w:r>
            <w:r w:rsidR="00B553A2">
              <w:rPr>
                <w:rFonts w:ascii="Times New Roman" w:hAnsi="Times New Roman"/>
                <w:sz w:val="24"/>
                <w:szCs w:val="24"/>
                <w:lang w:eastAsia="ru-RU"/>
              </w:rPr>
              <w:t>8 314 2</w:t>
            </w:r>
            <w:r>
              <w:rPr>
                <w:rFonts w:ascii="Times New Roman" w:hAnsi="Times New Roman"/>
                <w:sz w:val="24"/>
                <w:szCs w:val="24"/>
                <w:lang w:eastAsia="ru-RU"/>
              </w:rPr>
              <w:t>07,04</w:t>
            </w:r>
            <w:r w:rsidR="00F16F01" w:rsidRPr="00D12FFC">
              <w:rPr>
                <w:rFonts w:ascii="Times New Roman" w:hAnsi="Times New Roman"/>
                <w:sz w:val="24"/>
                <w:szCs w:val="24"/>
                <w:lang w:eastAsia="ru-RU"/>
              </w:rPr>
              <w:t xml:space="preserve"> грн.</w:t>
            </w:r>
          </w:p>
        </w:tc>
        <w:tc>
          <w:tcPr>
            <w:tcW w:w="2921" w:type="dxa"/>
          </w:tcPr>
          <w:p w:rsidR="00F16F01" w:rsidRPr="00D12FFC" w:rsidRDefault="005D2BFC" w:rsidP="00555006">
            <w:pPr>
              <w:widowControl w:val="0"/>
              <w:tabs>
                <w:tab w:val="left" w:pos="1875"/>
              </w:tabs>
              <w:spacing w:after="0" w:line="240" w:lineRule="auto"/>
              <w:jc w:val="center"/>
              <w:rPr>
                <w:rFonts w:ascii="Times New Roman" w:hAnsi="Times New Roman"/>
                <w:sz w:val="24"/>
                <w:szCs w:val="24"/>
                <w:lang w:eastAsia="ru-RU"/>
              </w:rPr>
            </w:pPr>
            <w:r>
              <w:rPr>
                <w:rFonts w:ascii="Times New Roman" w:hAnsi="Times New Roman"/>
                <w:sz w:val="24"/>
                <w:szCs w:val="24"/>
                <w:lang w:eastAsia="uk-UA"/>
              </w:rPr>
              <w:t>21 624,48</w:t>
            </w:r>
            <w:r w:rsidR="00F16F01">
              <w:rPr>
                <w:rFonts w:ascii="Times New Roman" w:hAnsi="Times New Roman"/>
                <w:sz w:val="24"/>
                <w:szCs w:val="24"/>
                <w:lang w:eastAsia="uk-UA"/>
              </w:rPr>
              <w:t xml:space="preserve"> грн. </w:t>
            </w:r>
            <w:r w:rsidR="00F16F01" w:rsidRPr="00D12FFC">
              <w:rPr>
                <w:rFonts w:ascii="Times New Roman" w:hAnsi="Times New Roman"/>
                <w:sz w:val="24"/>
                <w:szCs w:val="24"/>
                <w:lang w:eastAsia="uk-UA"/>
              </w:rPr>
              <w:t>х</w:t>
            </w:r>
            <w:r w:rsidR="00F16F01">
              <w:rPr>
                <w:rFonts w:ascii="Times New Roman" w:hAnsi="Times New Roman"/>
                <w:sz w:val="24"/>
                <w:szCs w:val="24"/>
                <w:lang w:eastAsia="uk-UA"/>
              </w:rPr>
              <w:t xml:space="preserve"> 1356 = 29</w:t>
            </w:r>
            <w:r w:rsidR="00555006">
              <w:rPr>
                <w:rFonts w:ascii="Times New Roman" w:hAnsi="Times New Roman"/>
                <w:sz w:val="24"/>
                <w:szCs w:val="24"/>
                <w:lang w:eastAsia="uk-UA"/>
              </w:rPr>
              <w:t> 322 794,88</w:t>
            </w:r>
            <w:r w:rsidR="00F16F01" w:rsidRPr="00D12FFC">
              <w:rPr>
                <w:rFonts w:ascii="Times New Roman" w:hAnsi="Times New Roman"/>
                <w:sz w:val="24"/>
                <w:szCs w:val="24"/>
                <w:lang w:eastAsia="ru-RU"/>
              </w:rPr>
              <w:t xml:space="preserve"> грн.</w:t>
            </w:r>
          </w:p>
        </w:tc>
        <w:tc>
          <w:tcPr>
            <w:tcW w:w="3060" w:type="dxa"/>
          </w:tcPr>
          <w:p w:rsidR="00F16F01" w:rsidRPr="00D12FFC" w:rsidRDefault="00555006" w:rsidP="00555006">
            <w:pPr>
              <w:widowControl w:val="0"/>
              <w:tabs>
                <w:tab w:val="left" w:pos="1875"/>
              </w:tabs>
              <w:spacing w:after="0" w:line="240" w:lineRule="auto"/>
              <w:jc w:val="center"/>
              <w:rPr>
                <w:rFonts w:ascii="Times New Roman" w:hAnsi="Times New Roman"/>
                <w:sz w:val="24"/>
                <w:szCs w:val="24"/>
                <w:lang w:eastAsia="ru-RU"/>
              </w:rPr>
            </w:pPr>
            <w:r>
              <w:rPr>
                <w:rFonts w:ascii="Times New Roman" w:hAnsi="Times New Roman"/>
                <w:sz w:val="24"/>
                <w:szCs w:val="24"/>
                <w:lang w:eastAsia="uk-UA"/>
              </w:rPr>
              <w:t>108 122,40</w:t>
            </w:r>
            <w:r w:rsidR="00F16F01" w:rsidRPr="00D12FFC">
              <w:rPr>
                <w:rFonts w:ascii="Times New Roman" w:hAnsi="Times New Roman"/>
                <w:sz w:val="24"/>
                <w:szCs w:val="24"/>
                <w:lang w:eastAsia="uk-UA"/>
              </w:rPr>
              <w:t xml:space="preserve"> х</w:t>
            </w:r>
            <w:r w:rsidR="00F16F01">
              <w:rPr>
                <w:rFonts w:ascii="Times New Roman" w:hAnsi="Times New Roman"/>
                <w:sz w:val="24"/>
                <w:szCs w:val="24"/>
                <w:lang w:eastAsia="uk-UA"/>
              </w:rPr>
              <w:t xml:space="preserve"> 1356 </w:t>
            </w:r>
            <w:r w:rsidR="00F16F01" w:rsidRPr="00D12FFC">
              <w:rPr>
                <w:rFonts w:ascii="Times New Roman" w:hAnsi="Times New Roman"/>
                <w:sz w:val="24"/>
                <w:szCs w:val="24"/>
                <w:lang w:eastAsia="uk-UA"/>
              </w:rPr>
              <w:t>грн.</w:t>
            </w:r>
            <w:r w:rsidR="00F16F01">
              <w:rPr>
                <w:rFonts w:ascii="Times New Roman" w:hAnsi="Times New Roman"/>
                <w:sz w:val="24"/>
                <w:szCs w:val="24"/>
                <w:lang w:eastAsia="uk-UA"/>
              </w:rPr>
              <w:t xml:space="preserve"> = </w:t>
            </w:r>
            <w:r>
              <w:rPr>
                <w:rFonts w:ascii="Times New Roman" w:hAnsi="Times New Roman"/>
                <w:sz w:val="24"/>
                <w:szCs w:val="24"/>
                <w:lang w:eastAsia="uk-UA"/>
              </w:rPr>
              <w:t>146 613 974,40</w:t>
            </w:r>
            <w:r w:rsidR="00F16F01" w:rsidRPr="00D12FFC">
              <w:rPr>
                <w:rFonts w:ascii="Times New Roman" w:hAnsi="Times New Roman"/>
                <w:sz w:val="24"/>
                <w:szCs w:val="24"/>
                <w:lang w:eastAsia="ru-RU"/>
              </w:rPr>
              <w:t xml:space="preserve"> грн.</w:t>
            </w:r>
          </w:p>
        </w:tc>
      </w:tr>
      <w:tr w:rsidR="00F16F01" w:rsidRPr="00D12FFC" w:rsidTr="00357994">
        <w:tc>
          <w:tcPr>
            <w:tcW w:w="14400" w:type="dxa"/>
            <w:gridSpan w:val="5"/>
          </w:tcPr>
          <w:p w:rsidR="00F16F01" w:rsidRPr="00D12FFC" w:rsidRDefault="00F16F01" w:rsidP="00FE4CBF">
            <w:pPr>
              <w:widowControl w:val="0"/>
              <w:spacing w:after="0" w:line="240" w:lineRule="auto"/>
              <w:jc w:val="center"/>
              <w:rPr>
                <w:rFonts w:ascii="Times New Roman" w:hAnsi="Times New Roman"/>
                <w:b/>
                <w:sz w:val="24"/>
                <w:szCs w:val="24"/>
                <w:lang w:eastAsia="ru-RU"/>
              </w:rPr>
            </w:pPr>
          </w:p>
          <w:p w:rsidR="00F16F01" w:rsidRPr="00D12FFC" w:rsidRDefault="00F16F01" w:rsidP="00FE4CBF">
            <w:pPr>
              <w:widowControl w:val="0"/>
              <w:spacing w:after="0" w:line="240" w:lineRule="auto"/>
              <w:jc w:val="center"/>
              <w:rPr>
                <w:rFonts w:ascii="Times New Roman" w:hAnsi="Times New Roman"/>
                <w:b/>
                <w:sz w:val="24"/>
                <w:szCs w:val="24"/>
                <w:lang w:eastAsia="ru-RU"/>
              </w:rPr>
            </w:pPr>
            <w:r w:rsidRPr="00D12FFC">
              <w:rPr>
                <w:rFonts w:ascii="Times New Roman" w:hAnsi="Times New Roman"/>
                <w:b/>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r>
      <w:tr w:rsidR="00F16F01" w:rsidRPr="00D12FFC" w:rsidTr="00FD36AA">
        <w:tc>
          <w:tcPr>
            <w:tcW w:w="899" w:type="dxa"/>
          </w:tcPr>
          <w:p w:rsidR="00F16F01" w:rsidRPr="00BD2AFE" w:rsidRDefault="00F16F01" w:rsidP="00FE4CBF">
            <w:pPr>
              <w:widowControl w:val="0"/>
              <w:spacing w:after="0" w:line="240" w:lineRule="auto"/>
              <w:jc w:val="center"/>
              <w:rPr>
                <w:rFonts w:ascii="Times New Roman" w:hAnsi="Times New Roman"/>
                <w:sz w:val="24"/>
                <w:szCs w:val="24"/>
                <w:lang w:eastAsia="ru-RU"/>
              </w:rPr>
            </w:pPr>
            <w:r w:rsidRPr="00BD2AFE">
              <w:rPr>
                <w:rFonts w:ascii="Times New Roman" w:hAnsi="Times New Roman"/>
                <w:sz w:val="24"/>
                <w:szCs w:val="24"/>
                <w:lang w:eastAsia="ru-RU"/>
              </w:rPr>
              <w:t>9</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ru-RU"/>
              </w:rPr>
            </w:pPr>
          </w:p>
        </w:tc>
        <w:tc>
          <w:tcPr>
            <w:tcW w:w="3021" w:type="dxa"/>
          </w:tcPr>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vertAlign w:val="superscript"/>
                <w:lang w:val="ru-RU" w:eastAsia="ru-RU"/>
              </w:rPr>
            </w:pPr>
            <w:r w:rsidRPr="00D12FFC">
              <w:rPr>
                <w:rFonts w:ascii="Times New Roman" w:hAnsi="Times New Roman"/>
                <w:sz w:val="24"/>
                <w:szCs w:val="24"/>
                <w:highlight w:val="white"/>
                <w:lang w:eastAsia="ru-RU"/>
              </w:rPr>
              <w:t xml:space="preserve">Норма робочого часу на 2018 рік становить при                           40-годинному робочому тижні 1994 год. </w:t>
            </w:r>
            <w:r w:rsidRPr="00D12FFC">
              <w:rPr>
                <w:rFonts w:ascii="Times New Roman" w:hAnsi="Times New Roman"/>
                <w:sz w:val="24"/>
                <w:szCs w:val="24"/>
                <w:highlight w:val="white"/>
                <w:vertAlign w:val="superscript"/>
                <w:lang w:eastAsia="ru-RU"/>
              </w:rPr>
              <w:t>5</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 xml:space="preserve">Середньомісячна заробітна плата за травень 2018 рік в суб’єкта оціночної діяльності становить </w:t>
            </w:r>
            <w:r w:rsidR="003457EF">
              <w:rPr>
                <w:rFonts w:ascii="Times New Roman" w:hAnsi="Times New Roman"/>
                <w:sz w:val="24"/>
                <w:szCs w:val="24"/>
                <w:highlight w:val="white"/>
                <w:lang w:eastAsia="ru-RU"/>
              </w:rPr>
              <w:t xml:space="preserve">       </w:t>
            </w:r>
            <w:r w:rsidRPr="00D12FFC">
              <w:rPr>
                <w:rFonts w:ascii="Times New Roman" w:hAnsi="Times New Roman"/>
                <w:sz w:val="24"/>
                <w:szCs w:val="24"/>
                <w:highlight w:val="white"/>
                <w:lang w:eastAsia="ru-RU"/>
              </w:rPr>
              <w:t>16 240 грн.</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Розрахунок вартості 1 людино-години</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16</w:t>
            </w:r>
            <w:r w:rsidR="003457EF">
              <w:rPr>
                <w:rFonts w:ascii="Times New Roman" w:hAnsi="Times New Roman"/>
                <w:sz w:val="24"/>
                <w:szCs w:val="24"/>
                <w:highlight w:val="white"/>
                <w:lang w:eastAsia="ru-RU"/>
              </w:rPr>
              <w:t xml:space="preserve"> </w:t>
            </w:r>
            <w:r w:rsidRPr="00D12FFC">
              <w:rPr>
                <w:rFonts w:ascii="Times New Roman" w:hAnsi="Times New Roman"/>
                <w:sz w:val="24"/>
                <w:szCs w:val="24"/>
                <w:highlight w:val="white"/>
                <w:lang w:eastAsia="ru-RU"/>
              </w:rPr>
              <w:t xml:space="preserve">240 </w:t>
            </w:r>
            <w:r w:rsidRPr="00D12FFC">
              <w:rPr>
                <w:rFonts w:ascii="Times New Roman" w:hAnsi="Times New Roman"/>
                <w:sz w:val="24"/>
                <w:szCs w:val="24"/>
                <w:lang w:eastAsia="uk-UA"/>
              </w:rPr>
              <w:t>х</w:t>
            </w:r>
            <w:r w:rsidRPr="00D12FFC">
              <w:rPr>
                <w:rFonts w:ascii="Times New Roman" w:hAnsi="Times New Roman"/>
                <w:sz w:val="24"/>
                <w:szCs w:val="24"/>
                <w:highlight w:val="white"/>
                <w:lang w:eastAsia="ru-RU"/>
              </w:rPr>
              <w:t xml:space="preserve"> 12 : 1994 = 97,73 грн.</w:t>
            </w:r>
          </w:p>
        </w:tc>
        <w:tc>
          <w:tcPr>
            <w:tcW w:w="2921" w:type="dxa"/>
          </w:tcPr>
          <w:p w:rsidR="00F16F01" w:rsidRPr="0032360D" w:rsidRDefault="00F16F01" w:rsidP="00FE4CBF">
            <w:pPr>
              <w:widowControl w:val="0"/>
              <w:spacing w:after="0" w:line="240" w:lineRule="auto"/>
              <w:jc w:val="center"/>
              <w:rPr>
                <w:rFonts w:ascii="Times New Roman" w:hAnsi="Times New Roman"/>
                <w:sz w:val="24"/>
                <w:szCs w:val="24"/>
                <w:lang w:val="ru-RU" w:eastAsia="ru-RU"/>
              </w:rPr>
            </w:pPr>
            <w:r w:rsidRPr="0032360D">
              <w:rPr>
                <w:rFonts w:ascii="Times New Roman" w:hAnsi="Times New Roman"/>
                <w:color w:val="000000"/>
                <w:sz w:val="24"/>
                <w:szCs w:val="24"/>
                <w:lang w:eastAsia="ru-RU"/>
              </w:rPr>
              <w:t>-</w:t>
            </w:r>
          </w:p>
        </w:tc>
        <w:tc>
          <w:tcPr>
            <w:tcW w:w="3060" w:type="dxa"/>
          </w:tcPr>
          <w:p w:rsidR="00F16F01" w:rsidRPr="0032360D" w:rsidRDefault="00F16F01" w:rsidP="00FE4CBF">
            <w:pPr>
              <w:widowControl w:val="0"/>
              <w:spacing w:after="0" w:line="240" w:lineRule="auto"/>
              <w:ind w:firstLine="6"/>
              <w:jc w:val="center"/>
              <w:rPr>
                <w:rFonts w:ascii="Times New Roman" w:hAnsi="Times New Roman"/>
                <w:sz w:val="24"/>
                <w:szCs w:val="24"/>
                <w:lang w:eastAsia="ru-RU"/>
              </w:rPr>
            </w:pPr>
            <w:r w:rsidRPr="0032360D">
              <w:rPr>
                <w:rFonts w:ascii="Times New Roman" w:hAnsi="Times New Roman"/>
                <w:sz w:val="24"/>
                <w:szCs w:val="24"/>
                <w:lang w:eastAsia="ru-RU"/>
              </w:rPr>
              <w:t>-</w:t>
            </w:r>
          </w:p>
          <w:p w:rsidR="00F16F01" w:rsidRPr="0032360D" w:rsidRDefault="00F16F01" w:rsidP="00FE4CBF">
            <w:pPr>
              <w:widowControl w:val="0"/>
              <w:spacing w:after="0" w:line="240" w:lineRule="auto"/>
              <w:jc w:val="center"/>
              <w:rPr>
                <w:rFonts w:ascii="Times New Roman" w:hAnsi="Times New Roman"/>
                <w:sz w:val="24"/>
                <w:szCs w:val="24"/>
                <w:lang w:eastAsia="ru-RU"/>
              </w:rPr>
            </w:pP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ru-RU" w:eastAsia="ru-RU"/>
              </w:rPr>
            </w:pPr>
            <w:r w:rsidRPr="00D12FFC">
              <w:rPr>
                <w:rFonts w:ascii="Times New Roman" w:hAnsi="Times New Roman"/>
                <w:sz w:val="24"/>
                <w:szCs w:val="24"/>
                <w:lang w:val="ru-RU" w:eastAsia="ru-RU"/>
              </w:rPr>
              <w:t>10</w:t>
            </w:r>
          </w:p>
        </w:tc>
        <w:tc>
          <w:tcPr>
            <w:tcW w:w="4499" w:type="dxa"/>
          </w:tcPr>
          <w:p w:rsidR="00F16F01" w:rsidRPr="00D12FFC" w:rsidRDefault="00F16F01" w:rsidP="00FE4CBF">
            <w:pPr>
              <w:widowControl w:val="0"/>
              <w:spacing w:after="0" w:line="240" w:lineRule="auto"/>
              <w:rPr>
                <w:rFonts w:ascii="Times New Roman" w:hAnsi="Times New Roman"/>
                <w:sz w:val="24"/>
                <w:szCs w:val="24"/>
                <w:lang w:val="ru-RU" w:eastAsia="ru-RU"/>
              </w:rPr>
            </w:pPr>
            <w:r w:rsidRPr="00D12FFC">
              <w:rPr>
                <w:rFonts w:ascii="Times New Roman" w:hAnsi="Times New Roman"/>
                <w:sz w:val="24"/>
                <w:szCs w:val="24"/>
                <w:lang w:val="ru-RU" w:eastAsia="ru-RU"/>
              </w:rPr>
              <w:t>Процедури отримання первинної інформації про вимоги регулювання:</w:t>
            </w: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r w:rsidRPr="00D12FFC">
              <w:rPr>
                <w:rFonts w:ascii="Times New Roman" w:hAnsi="Times New Roman"/>
                <w:sz w:val="24"/>
                <w:szCs w:val="24"/>
                <w:lang w:eastAsia="ru-RU"/>
              </w:rPr>
              <w:t>знайти регуляторний акт в мережі Інтернет за допомогою ресурсу Ligа та ознайомитися з його змістом (0,5 год)</w:t>
            </w: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r w:rsidRPr="00D12FFC">
              <w:rPr>
                <w:rFonts w:ascii="Times New Roman" w:hAnsi="Times New Roman"/>
                <w:i/>
                <w:sz w:val="24"/>
                <w:szCs w:val="24"/>
                <w:highlight w:val="white"/>
                <w:lang w:eastAsia="ru-RU"/>
              </w:rPr>
              <w:t>Формула:</w:t>
            </w:r>
          </w:p>
          <w:p w:rsidR="00F16F01" w:rsidRDefault="00F16F01" w:rsidP="00FE4CBF">
            <w:pPr>
              <w:widowControl w:val="0"/>
              <w:spacing w:after="0" w:line="240" w:lineRule="auto"/>
              <w:rPr>
                <w:rFonts w:ascii="Times New Roman" w:hAnsi="Times New Roman"/>
                <w:i/>
                <w:sz w:val="24"/>
                <w:szCs w:val="24"/>
                <w:lang w:val="ru-RU" w:eastAsia="ru-RU"/>
              </w:rPr>
            </w:pPr>
            <w:r w:rsidRPr="00D12FFC">
              <w:rPr>
                <w:rFonts w:ascii="Times New Roman" w:hAnsi="Times New Roman"/>
                <w:i/>
                <w:sz w:val="24"/>
                <w:szCs w:val="24"/>
                <w:highlight w:val="white"/>
                <w:lang w:eastAsia="ru-RU"/>
              </w:rPr>
              <w:t>витрати часу на отримання інформації про регулювання Х вартість часу суб’єкта малого підприємництва (заробітна плата) Х оціночна кількість</w:t>
            </w:r>
            <w:r w:rsidRPr="00D12FFC">
              <w:rPr>
                <w:rFonts w:ascii="Times New Roman" w:hAnsi="Times New Roman"/>
                <w:i/>
                <w:sz w:val="24"/>
                <w:szCs w:val="24"/>
                <w:highlight w:val="white"/>
                <w:lang w:val="ru-RU" w:eastAsia="ru-RU"/>
              </w:rPr>
              <w:t xml:space="preserve"> </w:t>
            </w:r>
            <w:r w:rsidRPr="00D12FFC">
              <w:rPr>
                <w:rFonts w:ascii="Times New Roman" w:hAnsi="Times New Roman"/>
                <w:i/>
                <w:sz w:val="24"/>
                <w:szCs w:val="24"/>
                <w:highlight w:val="white"/>
                <w:lang w:eastAsia="ru-RU"/>
              </w:rPr>
              <w:t xml:space="preserve"> з</w:t>
            </w:r>
            <w:r w:rsidRPr="00D12FFC">
              <w:rPr>
                <w:rFonts w:ascii="Times New Roman" w:hAnsi="Times New Roman"/>
                <w:i/>
                <w:sz w:val="24"/>
                <w:szCs w:val="24"/>
                <w:lang w:val="ru-RU" w:eastAsia="ru-RU"/>
              </w:rPr>
              <w:t>аконодавчих актів</w:t>
            </w:r>
          </w:p>
          <w:p w:rsidR="00CA4A7D" w:rsidRDefault="00CA4A7D" w:rsidP="00FE4CBF">
            <w:pPr>
              <w:widowControl w:val="0"/>
              <w:spacing w:after="0" w:line="240" w:lineRule="auto"/>
              <w:rPr>
                <w:rFonts w:ascii="Times New Roman" w:hAnsi="Times New Roman"/>
                <w:i/>
                <w:sz w:val="24"/>
                <w:szCs w:val="24"/>
                <w:lang w:val="ru-RU" w:eastAsia="ru-RU"/>
              </w:rPr>
            </w:pPr>
          </w:p>
          <w:p w:rsidR="00F16F01" w:rsidRPr="00D12FFC" w:rsidRDefault="00F16F01" w:rsidP="00FE4CBF">
            <w:pPr>
              <w:widowControl w:val="0"/>
              <w:spacing w:after="0" w:line="240" w:lineRule="auto"/>
              <w:rPr>
                <w:rFonts w:ascii="Times New Roman" w:hAnsi="Times New Roman"/>
                <w:sz w:val="24"/>
                <w:szCs w:val="24"/>
                <w:lang w:val="ru-RU" w:eastAsia="ru-RU"/>
              </w:rPr>
            </w:pPr>
          </w:p>
        </w:tc>
        <w:tc>
          <w:tcPr>
            <w:tcW w:w="3021" w:type="dxa"/>
          </w:tcPr>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vertAlign w:val="superscript"/>
                <w:lang w:val="ru-RU" w:eastAsia="ru-RU"/>
              </w:rPr>
            </w:pPr>
            <w:r w:rsidRPr="00D12FFC">
              <w:rPr>
                <w:rFonts w:ascii="Times New Roman" w:hAnsi="Times New Roman"/>
                <w:sz w:val="24"/>
                <w:szCs w:val="24"/>
                <w:highlight w:val="white"/>
                <w:lang w:eastAsia="ru-RU"/>
              </w:rPr>
              <w:t>Оціночно: 0,33 год. (час, який витрачається суб’єктами на пошук нормативно-правового акту  Комісії в</w:t>
            </w:r>
            <w:r w:rsidRPr="00D12FFC">
              <w:rPr>
                <w:rFonts w:ascii="Times New Roman" w:hAnsi="Times New Roman"/>
                <w:sz w:val="24"/>
                <w:szCs w:val="24"/>
                <w:highlight w:val="white"/>
                <w:lang w:val="ru-RU" w:eastAsia="ru-RU"/>
              </w:rPr>
              <w:t xml:space="preserve"> </w:t>
            </w:r>
            <w:r w:rsidRPr="00D12FFC">
              <w:rPr>
                <w:rFonts w:ascii="Times New Roman" w:hAnsi="Times New Roman"/>
                <w:sz w:val="24"/>
                <w:szCs w:val="24"/>
                <w:highlight w:val="white"/>
                <w:lang w:eastAsia="ru-RU"/>
              </w:rPr>
              <w:t>мережі Інтернет; за результатами консультацій)</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Вартість 1 людино-години</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97,73 грн.</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Кількість, нормативно-правових актів Комісії з якими необхідно ознайомитись – 1</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 xml:space="preserve">0,33 </w:t>
            </w:r>
            <w:r w:rsidRPr="00D12FFC">
              <w:rPr>
                <w:rFonts w:ascii="Times New Roman" w:hAnsi="Times New Roman"/>
                <w:sz w:val="24"/>
                <w:szCs w:val="24"/>
                <w:lang w:eastAsia="uk-UA"/>
              </w:rPr>
              <w:t>х</w:t>
            </w:r>
            <w:r w:rsidRPr="00D12FFC">
              <w:rPr>
                <w:rFonts w:ascii="Times New Roman" w:hAnsi="Times New Roman"/>
                <w:sz w:val="24"/>
                <w:szCs w:val="24"/>
                <w:highlight w:val="white"/>
                <w:lang w:eastAsia="ru-RU"/>
              </w:rPr>
              <w:t xml:space="preserve"> 97,73 = 32,25 грн.</w:t>
            </w:r>
          </w:p>
        </w:tc>
        <w:tc>
          <w:tcPr>
            <w:tcW w:w="2921" w:type="dxa"/>
          </w:tcPr>
          <w:p w:rsidR="00F16F01" w:rsidRPr="008309C0" w:rsidRDefault="00F16F01" w:rsidP="007A1975">
            <w:pPr>
              <w:widowControl w:val="0"/>
              <w:autoSpaceDE w:val="0"/>
              <w:autoSpaceDN w:val="0"/>
              <w:adjustRightInd w:val="0"/>
              <w:spacing w:after="0" w:line="240" w:lineRule="auto"/>
              <w:jc w:val="center"/>
              <w:rPr>
                <w:rFonts w:ascii="Times New Roman" w:hAnsi="Times New Roman"/>
                <w:color w:val="000000"/>
                <w:sz w:val="24"/>
                <w:szCs w:val="24"/>
                <w:highlight w:val="yellow"/>
                <w:lang w:eastAsia="ru-RU"/>
              </w:rPr>
            </w:pPr>
            <w:r w:rsidRPr="008309C0">
              <w:rPr>
                <w:rFonts w:ascii="Times New Roman" w:hAnsi="Times New Roman"/>
                <w:color w:val="000000"/>
                <w:sz w:val="24"/>
                <w:szCs w:val="24"/>
                <w:lang w:eastAsia="ru-RU"/>
              </w:rPr>
              <w:t>-</w:t>
            </w:r>
          </w:p>
        </w:tc>
        <w:tc>
          <w:tcPr>
            <w:tcW w:w="3060" w:type="dxa"/>
          </w:tcPr>
          <w:p w:rsidR="00F16F01" w:rsidRPr="008309C0" w:rsidRDefault="00F16F01" w:rsidP="00FE4CBF">
            <w:pPr>
              <w:widowControl w:val="0"/>
              <w:spacing w:after="0" w:line="240" w:lineRule="auto"/>
              <w:jc w:val="center"/>
              <w:textAlignment w:val="baseline"/>
              <w:rPr>
                <w:rFonts w:ascii="Times New Roman" w:hAnsi="Times New Roman"/>
                <w:sz w:val="24"/>
                <w:szCs w:val="24"/>
                <w:highlight w:val="yellow"/>
                <w:lang w:eastAsia="ru-RU"/>
              </w:rPr>
            </w:pPr>
            <w:r w:rsidRPr="0032360D">
              <w:rPr>
                <w:rFonts w:ascii="Times New Roman" w:hAnsi="Times New Roman"/>
                <w:sz w:val="24"/>
                <w:szCs w:val="24"/>
                <w:lang w:eastAsia="ru-RU"/>
              </w:rPr>
              <w:t>-</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en-US" w:eastAsia="ru-RU"/>
              </w:rPr>
            </w:pPr>
            <w:r w:rsidRPr="00D12FFC">
              <w:rPr>
                <w:rFonts w:ascii="Times New Roman" w:hAnsi="Times New Roman"/>
                <w:sz w:val="24"/>
                <w:szCs w:val="24"/>
                <w:lang w:eastAsia="ru-RU"/>
              </w:rPr>
              <w:lastRenderedPageBreak/>
              <w:t>1</w:t>
            </w:r>
            <w:r w:rsidRPr="00D12FFC">
              <w:rPr>
                <w:rFonts w:ascii="Times New Roman" w:hAnsi="Times New Roman"/>
                <w:sz w:val="24"/>
                <w:szCs w:val="24"/>
                <w:lang w:val="en-US" w:eastAsia="ru-RU"/>
              </w:rPr>
              <w:t>1</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ru-RU"/>
              </w:rPr>
            </w:pPr>
            <w:r w:rsidRPr="00D12FFC">
              <w:rPr>
                <w:rFonts w:ascii="Times New Roman" w:hAnsi="Times New Roman"/>
                <w:sz w:val="24"/>
                <w:szCs w:val="24"/>
                <w:lang w:eastAsia="ru-RU"/>
              </w:rPr>
              <w:t>Процедури організації виконання вимог регулювання</w:t>
            </w:r>
          </w:p>
        </w:tc>
        <w:tc>
          <w:tcPr>
            <w:tcW w:w="3021" w:type="dxa"/>
          </w:tcPr>
          <w:p w:rsidR="00F16F01" w:rsidRPr="002871DF" w:rsidRDefault="00F16F01" w:rsidP="00FE4CBF">
            <w:pPr>
              <w:widowControl w:val="0"/>
              <w:spacing w:after="0" w:line="240" w:lineRule="auto"/>
              <w:ind w:firstLine="6"/>
              <w:jc w:val="center"/>
              <w:textAlignment w:val="baseline"/>
              <w:rPr>
                <w:rFonts w:ascii="Times New Roman" w:hAnsi="Times New Roman"/>
                <w:sz w:val="24"/>
                <w:szCs w:val="24"/>
                <w:lang w:eastAsia="ru-RU"/>
              </w:rPr>
            </w:pPr>
            <w:r w:rsidRPr="002871DF">
              <w:rPr>
                <w:rFonts w:ascii="Times New Roman" w:hAnsi="Times New Roman"/>
                <w:sz w:val="24"/>
                <w:szCs w:val="24"/>
                <w:lang w:eastAsia="ru-RU"/>
              </w:rPr>
              <w:t xml:space="preserve"> Оціночно: 4 год (час, який витрачається суб’єктами на впровадження вимог</w:t>
            </w:r>
            <w:r w:rsidRPr="002871DF">
              <w:rPr>
                <w:rFonts w:ascii="Times New Roman" w:hAnsi="Times New Roman"/>
                <w:sz w:val="24"/>
                <w:szCs w:val="24"/>
                <w:lang w:val="ru-RU" w:eastAsia="ru-RU"/>
              </w:rPr>
              <w:t>)</w:t>
            </w:r>
            <w:r w:rsidRPr="002871DF">
              <w:rPr>
                <w:rFonts w:ascii="Times New Roman" w:hAnsi="Times New Roman"/>
                <w:sz w:val="24"/>
                <w:szCs w:val="24"/>
                <w:vertAlign w:val="superscript"/>
                <w:lang w:eastAsia="uk-UA"/>
              </w:rPr>
              <w:t xml:space="preserve"> 6</w:t>
            </w:r>
            <w:r w:rsidRPr="002871DF">
              <w:rPr>
                <w:rFonts w:ascii="Times New Roman" w:hAnsi="Times New Roman"/>
                <w:sz w:val="24"/>
                <w:szCs w:val="24"/>
                <w:lang w:eastAsia="ru-RU"/>
              </w:rPr>
              <w:t xml:space="preserve"> </w:t>
            </w:r>
          </w:p>
          <w:p w:rsidR="00F16F01" w:rsidRPr="002871DF" w:rsidRDefault="00F16F01" w:rsidP="00F94F3C">
            <w:pPr>
              <w:widowControl w:val="0"/>
              <w:spacing w:after="0" w:line="240" w:lineRule="auto"/>
              <w:ind w:firstLine="6"/>
              <w:jc w:val="center"/>
              <w:textAlignment w:val="baseline"/>
              <w:rPr>
                <w:rFonts w:ascii="Times New Roman" w:hAnsi="Times New Roman"/>
                <w:sz w:val="24"/>
                <w:szCs w:val="24"/>
                <w:lang w:eastAsia="ru-RU"/>
              </w:rPr>
            </w:pPr>
            <w:r w:rsidRPr="002871DF">
              <w:rPr>
                <w:rFonts w:ascii="Times New Roman" w:hAnsi="Times New Roman"/>
                <w:sz w:val="24"/>
                <w:szCs w:val="24"/>
                <w:lang w:eastAsia="ru-RU"/>
              </w:rPr>
              <w:t xml:space="preserve">4 </w:t>
            </w:r>
            <w:r w:rsidRPr="002871DF">
              <w:rPr>
                <w:rFonts w:ascii="Times New Roman" w:hAnsi="Times New Roman"/>
                <w:sz w:val="24"/>
                <w:szCs w:val="24"/>
                <w:lang w:eastAsia="uk-UA"/>
              </w:rPr>
              <w:t>х</w:t>
            </w:r>
            <w:r w:rsidRPr="002871DF">
              <w:rPr>
                <w:rFonts w:ascii="Times New Roman" w:hAnsi="Times New Roman"/>
                <w:sz w:val="24"/>
                <w:szCs w:val="24"/>
                <w:lang w:eastAsia="ru-RU"/>
              </w:rPr>
              <w:t xml:space="preserve"> 32,25 грн. =  129,00 грн.</w:t>
            </w:r>
          </w:p>
        </w:tc>
        <w:tc>
          <w:tcPr>
            <w:tcW w:w="2921" w:type="dxa"/>
          </w:tcPr>
          <w:p w:rsidR="00F16F01" w:rsidRPr="002871DF" w:rsidRDefault="00F16F01" w:rsidP="00FE4CBF">
            <w:pPr>
              <w:widowControl w:val="0"/>
              <w:spacing w:after="0" w:line="240" w:lineRule="auto"/>
              <w:jc w:val="center"/>
              <w:rPr>
                <w:rFonts w:ascii="Times New Roman" w:hAnsi="Times New Roman"/>
                <w:sz w:val="24"/>
                <w:szCs w:val="24"/>
                <w:lang w:val="ru-RU" w:eastAsia="ru-RU"/>
              </w:rPr>
            </w:pPr>
            <w:r w:rsidRPr="002871DF">
              <w:rPr>
                <w:rFonts w:ascii="Times New Roman" w:hAnsi="Times New Roman"/>
                <w:sz w:val="24"/>
                <w:szCs w:val="24"/>
                <w:lang w:eastAsia="ru-RU"/>
              </w:rPr>
              <w:t>129,00 грн.</w:t>
            </w:r>
            <w:r w:rsidRPr="002871DF">
              <w:rPr>
                <w:rFonts w:ascii="Times New Roman" w:hAnsi="Times New Roman"/>
                <w:sz w:val="24"/>
                <w:szCs w:val="24"/>
                <w:lang w:val="ru-RU" w:eastAsia="ru-RU"/>
              </w:rPr>
              <w:t> </w:t>
            </w:r>
          </w:p>
        </w:tc>
        <w:tc>
          <w:tcPr>
            <w:tcW w:w="3060" w:type="dxa"/>
          </w:tcPr>
          <w:p w:rsidR="00F16F01" w:rsidRPr="002871DF" w:rsidRDefault="00F16F01" w:rsidP="0011547D">
            <w:pPr>
              <w:widowControl w:val="0"/>
              <w:spacing w:after="0" w:line="240" w:lineRule="auto"/>
              <w:ind w:firstLine="6"/>
              <w:jc w:val="center"/>
              <w:textAlignment w:val="baseline"/>
              <w:rPr>
                <w:rFonts w:ascii="Times New Roman" w:hAnsi="Times New Roman"/>
                <w:sz w:val="24"/>
                <w:szCs w:val="24"/>
                <w:highlight w:val="white"/>
                <w:lang w:eastAsia="ru-RU"/>
              </w:rPr>
            </w:pPr>
            <w:r w:rsidRPr="002871DF">
              <w:rPr>
                <w:rFonts w:ascii="Times New Roman" w:hAnsi="Times New Roman"/>
                <w:sz w:val="24"/>
                <w:szCs w:val="24"/>
                <w:lang w:eastAsia="ru-RU"/>
              </w:rPr>
              <w:t>5</w:t>
            </w:r>
            <w:r w:rsidRPr="002871DF">
              <w:rPr>
                <w:rFonts w:ascii="Times New Roman" w:hAnsi="Times New Roman"/>
                <w:sz w:val="24"/>
                <w:szCs w:val="24"/>
                <w:lang w:val="ru-RU" w:eastAsia="uk-UA"/>
              </w:rPr>
              <w:t xml:space="preserve"> </w:t>
            </w:r>
            <w:r w:rsidRPr="002871DF">
              <w:rPr>
                <w:rFonts w:ascii="Times New Roman" w:hAnsi="Times New Roman"/>
                <w:sz w:val="24"/>
                <w:szCs w:val="24"/>
                <w:lang w:eastAsia="uk-UA"/>
              </w:rPr>
              <w:t>х</w:t>
            </w:r>
            <w:r w:rsidRPr="002871DF">
              <w:rPr>
                <w:rFonts w:ascii="Times New Roman" w:hAnsi="Times New Roman"/>
                <w:sz w:val="24"/>
                <w:szCs w:val="24"/>
                <w:lang w:eastAsia="ru-RU"/>
              </w:rPr>
              <w:t xml:space="preserve"> 129,00</w:t>
            </w:r>
            <w:r w:rsidRPr="002871DF">
              <w:rPr>
                <w:rFonts w:ascii="Times New Roman" w:hAnsi="Times New Roman"/>
                <w:sz w:val="24"/>
                <w:szCs w:val="24"/>
                <w:lang w:val="ru-RU" w:eastAsia="uk-UA"/>
              </w:rPr>
              <w:t xml:space="preserve"> =</w:t>
            </w:r>
            <w:r w:rsidRPr="002871DF">
              <w:rPr>
                <w:rFonts w:ascii="Times New Roman" w:hAnsi="Times New Roman"/>
                <w:sz w:val="24"/>
                <w:szCs w:val="24"/>
                <w:lang w:eastAsia="ru-RU"/>
              </w:rPr>
              <w:t xml:space="preserve"> </w:t>
            </w:r>
            <w:r w:rsidRPr="002871DF">
              <w:rPr>
                <w:rFonts w:ascii="Times New Roman" w:hAnsi="Times New Roman"/>
                <w:sz w:val="24"/>
                <w:szCs w:val="24"/>
                <w:highlight w:val="white"/>
                <w:lang w:eastAsia="ru-RU"/>
              </w:rPr>
              <w:t>645,00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ru-RU" w:eastAsia="uk-UA"/>
              </w:rPr>
            </w:pPr>
            <w:r w:rsidRPr="00D12FFC">
              <w:rPr>
                <w:rFonts w:ascii="Times New Roman" w:hAnsi="Times New Roman"/>
                <w:sz w:val="24"/>
                <w:szCs w:val="24"/>
                <w:lang w:eastAsia="uk-UA"/>
              </w:rPr>
              <w:t>1</w:t>
            </w:r>
            <w:r w:rsidRPr="00D12FFC">
              <w:rPr>
                <w:rFonts w:ascii="Times New Roman" w:hAnsi="Times New Roman"/>
                <w:sz w:val="24"/>
                <w:szCs w:val="24"/>
                <w:lang w:val="ru-RU" w:eastAsia="uk-UA"/>
              </w:rPr>
              <w:t>2</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офіційного звітування</w:t>
            </w:r>
          </w:p>
        </w:tc>
        <w:tc>
          <w:tcPr>
            <w:tcW w:w="3021" w:type="dxa"/>
          </w:tcPr>
          <w:p w:rsidR="00F16F01" w:rsidRPr="002871DF" w:rsidRDefault="00F16F01" w:rsidP="00FE4CBF">
            <w:pPr>
              <w:widowControl w:val="0"/>
              <w:spacing w:after="0" w:line="240" w:lineRule="auto"/>
              <w:jc w:val="center"/>
              <w:rPr>
                <w:rFonts w:ascii="Times New Roman" w:hAnsi="Times New Roman"/>
                <w:sz w:val="24"/>
                <w:szCs w:val="24"/>
                <w:lang w:eastAsia="uk-UA"/>
              </w:rPr>
            </w:pPr>
            <w:r w:rsidRPr="002871DF">
              <w:rPr>
                <w:rFonts w:ascii="Times New Roman" w:hAnsi="Times New Roman"/>
                <w:sz w:val="24"/>
                <w:szCs w:val="24"/>
                <w:highlight w:val="white"/>
                <w:lang w:eastAsia="uk-UA"/>
              </w:rPr>
              <w:t xml:space="preserve">Оціночно: </w:t>
            </w:r>
            <w:r w:rsidRPr="002871DF">
              <w:rPr>
                <w:rFonts w:ascii="Times New Roman" w:hAnsi="Times New Roman"/>
                <w:sz w:val="24"/>
                <w:szCs w:val="24"/>
                <w:highlight w:val="white"/>
                <w:lang w:val="ru-RU" w:eastAsia="ru-RU"/>
              </w:rPr>
              <w:t>0</w:t>
            </w:r>
            <w:r w:rsidRPr="002871DF">
              <w:rPr>
                <w:rFonts w:ascii="Times New Roman" w:hAnsi="Times New Roman"/>
                <w:sz w:val="24"/>
                <w:szCs w:val="24"/>
                <w:highlight w:val="white"/>
                <w:lang w:eastAsia="ru-RU"/>
              </w:rPr>
              <w:t>,</w:t>
            </w:r>
            <w:r w:rsidR="00C01D7F" w:rsidRPr="002871DF">
              <w:rPr>
                <w:rFonts w:ascii="Times New Roman" w:hAnsi="Times New Roman"/>
                <w:sz w:val="24"/>
                <w:szCs w:val="24"/>
                <w:highlight w:val="white"/>
                <w:lang w:eastAsia="ru-RU"/>
              </w:rPr>
              <w:t>15</w:t>
            </w:r>
            <w:r w:rsidRPr="002871DF">
              <w:rPr>
                <w:rFonts w:ascii="Times New Roman" w:hAnsi="Times New Roman"/>
                <w:sz w:val="24"/>
                <w:szCs w:val="24"/>
                <w:highlight w:val="white"/>
                <w:lang w:eastAsia="ru-RU"/>
              </w:rPr>
              <w:t xml:space="preserve"> год. (час, який витрачається суб’єктами на заповнення та подачу до контролюючого органу)</w:t>
            </w:r>
            <w:r w:rsidRPr="002871DF">
              <w:rPr>
                <w:rFonts w:ascii="Times New Roman" w:hAnsi="Times New Roman"/>
                <w:sz w:val="24"/>
                <w:szCs w:val="24"/>
                <w:vertAlign w:val="superscript"/>
                <w:lang w:eastAsia="uk-UA"/>
              </w:rPr>
              <w:t>6</w:t>
            </w:r>
          </w:p>
          <w:p w:rsidR="00F16F01" w:rsidRPr="002871DF" w:rsidRDefault="00F16F01" w:rsidP="00C01D7F">
            <w:pPr>
              <w:widowControl w:val="0"/>
              <w:spacing w:after="0" w:line="240" w:lineRule="auto"/>
              <w:jc w:val="center"/>
              <w:rPr>
                <w:rFonts w:ascii="Times New Roman" w:hAnsi="Times New Roman"/>
                <w:sz w:val="24"/>
                <w:szCs w:val="24"/>
                <w:highlight w:val="white"/>
                <w:lang w:eastAsia="ru-RU"/>
              </w:rPr>
            </w:pPr>
            <w:r w:rsidRPr="002871DF">
              <w:rPr>
                <w:rFonts w:ascii="Times New Roman" w:hAnsi="Times New Roman"/>
                <w:sz w:val="24"/>
                <w:szCs w:val="24"/>
                <w:highlight w:val="white"/>
                <w:lang w:eastAsia="uk-UA"/>
              </w:rPr>
              <w:t>0,</w:t>
            </w:r>
            <w:r w:rsidR="00C01D7F" w:rsidRPr="002871DF">
              <w:rPr>
                <w:rFonts w:ascii="Times New Roman" w:hAnsi="Times New Roman"/>
                <w:sz w:val="24"/>
                <w:szCs w:val="24"/>
                <w:highlight w:val="white"/>
                <w:lang w:eastAsia="uk-UA"/>
              </w:rPr>
              <w:t>15</w:t>
            </w:r>
            <w:r w:rsidRPr="002871DF">
              <w:rPr>
                <w:rFonts w:ascii="Times New Roman" w:hAnsi="Times New Roman"/>
                <w:sz w:val="24"/>
                <w:szCs w:val="24"/>
                <w:highlight w:val="white"/>
                <w:lang w:eastAsia="uk-UA"/>
              </w:rPr>
              <w:t xml:space="preserve"> </w:t>
            </w:r>
            <w:r w:rsidRPr="002871DF">
              <w:rPr>
                <w:rFonts w:ascii="Times New Roman" w:hAnsi="Times New Roman"/>
                <w:sz w:val="24"/>
                <w:szCs w:val="24"/>
                <w:lang w:eastAsia="uk-UA"/>
              </w:rPr>
              <w:t>х</w:t>
            </w:r>
            <w:r w:rsidRPr="002871DF">
              <w:rPr>
                <w:rFonts w:ascii="Times New Roman" w:hAnsi="Times New Roman"/>
                <w:sz w:val="24"/>
                <w:szCs w:val="24"/>
                <w:highlight w:val="white"/>
                <w:lang w:eastAsia="uk-UA"/>
              </w:rPr>
              <w:t xml:space="preserve"> </w:t>
            </w:r>
            <w:r w:rsidRPr="002871DF">
              <w:rPr>
                <w:rFonts w:ascii="Times New Roman" w:hAnsi="Times New Roman"/>
                <w:sz w:val="24"/>
                <w:szCs w:val="24"/>
                <w:lang w:eastAsia="ru-RU"/>
              </w:rPr>
              <w:t>97</w:t>
            </w:r>
            <w:r w:rsidRPr="002871DF">
              <w:rPr>
                <w:rFonts w:ascii="Times New Roman" w:hAnsi="Times New Roman"/>
                <w:sz w:val="24"/>
                <w:szCs w:val="24"/>
                <w:lang w:val="ru-RU" w:eastAsia="ru-RU"/>
              </w:rPr>
              <w:t>,7</w:t>
            </w:r>
            <w:r w:rsidRPr="002871DF">
              <w:rPr>
                <w:rFonts w:ascii="Times New Roman" w:hAnsi="Times New Roman"/>
                <w:sz w:val="24"/>
                <w:szCs w:val="24"/>
                <w:lang w:eastAsia="ru-RU"/>
              </w:rPr>
              <w:t>3</w:t>
            </w:r>
            <w:r w:rsidRPr="002871DF">
              <w:rPr>
                <w:rFonts w:ascii="Times New Roman" w:hAnsi="Times New Roman"/>
                <w:sz w:val="24"/>
                <w:szCs w:val="24"/>
                <w:highlight w:val="white"/>
                <w:lang w:eastAsia="uk-UA"/>
              </w:rPr>
              <w:t xml:space="preserve"> грн. = </w:t>
            </w:r>
            <w:r w:rsidR="00C01D7F" w:rsidRPr="002871DF">
              <w:rPr>
                <w:rFonts w:ascii="Times New Roman" w:hAnsi="Times New Roman"/>
                <w:sz w:val="24"/>
                <w:szCs w:val="24"/>
                <w:lang w:eastAsia="uk-UA"/>
              </w:rPr>
              <w:t>14,66</w:t>
            </w:r>
            <w:r w:rsidRPr="002871DF">
              <w:rPr>
                <w:rFonts w:ascii="Times New Roman" w:hAnsi="Times New Roman"/>
                <w:sz w:val="24"/>
                <w:szCs w:val="24"/>
                <w:lang w:eastAsia="uk-UA"/>
              </w:rPr>
              <w:t xml:space="preserve"> </w:t>
            </w:r>
            <w:r w:rsidRPr="002871DF">
              <w:rPr>
                <w:rFonts w:ascii="Times New Roman" w:hAnsi="Times New Roman"/>
                <w:sz w:val="24"/>
                <w:szCs w:val="24"/>
                <w:highlight w:val="white"/>
                <w:lang w:eastAsia="uk-UA"/>
              </w:rPr>
              <w:t>грн.</w:t>
            </w:r>
            <w:r w:rsidRPr="002871DF">
              <w:rPr>
                <w:rFonts w:ascii="Times New Roman" w:hAnsi="Times New Roman"/>
                <w:sz w:val="24"/>
                <w:szCs w:val="24"/>
                <w:lang w:eastAsia="uk-UA"/>
              </w:rPr>
              <w:t> </w:t>
            </w:r>
          </w:p>
        </w:tc>
        <w:tc>
          <w:tcPr>
            <w:tcW w:w="2921" w:type="dxa"/>
          </w:tcPr>
          <w:p w:rsidR="00F16F01" w:rsidRPr="002871DF" w:rsidRDefault="00C01D7F" w:rsidP="00FE4CBF">
            <w:pPr>
              <w:widowControl w:val="0"/>
              <w:spacing w:after="0" w:line="240" w:lineRule="auto"/>
              <w:jc w:val="center"/>
              <w:rPr>
                <w:rFonts w:ascii="Times New Roman" w:hAnsi="Times New Roman"/>
                <w:sz w:val="24"/>
                <w:szCs w:val="24"/>
                <w:lang w:eastAsia="uk-UA"/>
              </w:rPr>
            </w:pPr>
            <w:r w:rsidRPr="002871DF">
              <w:rPr>
                <w:rFonts w:ascii="Times New Roman" w:hAnsi="Times New Roman"/>
                <w:sz w:val="24"/>
                <w:szCs w:val="24"/>
                <w:lang w:eastAsia="uk-UA"/>
              </w:rPr>
              <w:t>14,66</w:t>
            </w:r>
            <w:r w:rsidR="00F16F01" w:rsidRPr="002871DF">
              <w:rPr>
                <w:rFonts w:ascii="Times New Roman" w:hAnsi="Times New Roman"/>
                <w:sz w:val="24"/>
                <w:szCs w:val="24"/>
                <w:lang w:eastAsia="uk-UA"/>
              </w:rPr>
              <w:t xml:space="preserve"> грн.</w:t>
            </w:r>
          </w:p>
        </w:tc>
        <w:tc>
          <w:tcPr>
            <w:tcW w:w="3060" w:type="dxa"/>
          </w:tcPr>
          <w:p w:rsidR="00F16F01" w:rsidRPr="002871DF" w:rsidRDefault="00F16F01" w:rsidP="00C01D7F">
            <w:pPr>
              <w:widowControl w:val="0"/>
              <w:spacing w:after="0" w:line="240" w:lineRule="auto"/>
              <w:jc w:val="center"/>
              <w:rPr>
                <w:rFonts w:ascii="Times New Roman" w:hAnsi="Times New Roman"/>
                <w:sz w:val="24"/>
                <w:szCs w:val="24"/>
                <w:lang w:eastAsia="uk-UA"/>
              </w:rPr>
            </w:pPr>
            <w:r w:rsidRPr="002871DF">
              <w:rPr>
                <w:rFonts w:ascii="Times New Roman" w:hAnsi="Times New Roman"/>
                <w:sz w:val="24"/>
                <w:szCs w:val="24"/>
                <w:lang w:eastAsia="uk-UA"/>
              </w:rPr>
              <w:t xml:space="preserve">5 х </w:t>
            </w:r>
            <w:r w:rsidR="00C01D7F" w:rsidRPr="002871DF">
              <w:rPr>
                <w:rFonts w:ascii="Times New Roman" w:hAnsi="Times New Roman"/>
                <w:sz w:val="24"/>
                <w:szCs w:val="24"/>
                <w:lang w:eastAsia="uk-UA"/>
              </w:rPr>
              <w:t>14,66</w:t>
            </w:r>
            <w:r w:rsidRPr="002871DF">
              <w:rPr>
                <w:rFonts w:ascii="Times New Roman" w:hAnsi="Times New Roman"/>
                <w:sz w:val="24"/>
                <w:szCs w:val="24"/>
                <w:lang w:eastAsia="uk-UA"/>
              </w:rPr>
              <w:t xml:space="preserve"> грн. </w:t>
            </w:r>
            <w:r w:rsidRPr="002871DF">
              <w:rPr>
                <w:rFonts w:ascii="Times New Roman" w:hAnsi="Times New Roman"/>
                <w:sz w:val="24"/>
                <w:szCs w:val="24"/>
                <w:lang w:val="ru-RU" w:eastAsia="uk-UA"/>
              </w:rPr>
              <w:t xml:space="preserve"> = </w:t>
            </w:r>
            <w:r w:rsidR="00C01D7F" w:rsidRPr="002871DF">
              <w:rPr>
                <w:rFonts w:ascii="Times New Roman" w:hAnsi="Times New Roman"/>
                <w:sz w:val="24"/>
                <w:szCs w:val="24"/>
                <w:lang w:val="ru-RU" w:eastAsia="uk-UA"/>
              </w:rPr>
              <w:t>73,30</w:t>
            </w:r>
            <w:r w:rsidRPr="002871DF">
              <w:rPr>
                <w:rFonts w:ascii="Times New Roman" w:hAnsi="Times New Roman"/>
                <w:sz w:val="24"/>
                <w:szCs w:val="24"/>
                <w:lang w:eastAsia="uk-UA"/>
              </w:rPr>
              <w:t xml:space="preserve">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en-US" w:eastAsia="uk-UA"/>
              </w:rPr>
            </w:pPr>
            <w:r w:rsidRPr="00D12FFC">
              <w:rPr>
                <w:rFonts w:ascii="Times New Roman" w:hAnsi="Times New Roman"/>
                <w:sz w:val="24"/>
                <w:szCs w:val="24"/>
                <w:lang w:eastAsia="uk-UA"/>
              </w:rPr>
              <w:t>1</w:t>
            </w:r>
            <w:r w:rsidRPr="00D12FFC">
              <w:rPr>
                <w:rFonts w:ascii="Times New Roman" w:hAnsi="Times New Roman"/>
                <w:sz w:val="24"/>
                <w:szCs w:val="24"/>
                <w:lang w:val="en-US" w:eastAsia="uk-UA"/>
              </w:rPr>
              <w:t>3</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щодо забезпечення процесу перевірок</w:t>
            </w:r>
          </w:p>
        </w:tc>
        <w:tc>
          <w:tcPr>
            <w:tcW w:w="3021" w:type="dxa"/>
          </w:tcPr>
          <w:p w:rsidR="00F16F01" w:rsidRPr="002871DF" w:rsidRDefault="00F16F01" w:rsidP="00FE4CBF">
            <w:pPr>
              <w:widowControl w:val="0"/>
              <w:spacing w:after="0" w:line="240" w:lineRule="auto"/>
              <w:jc w:val="center"/>
              <w:rPr>
                <w:rFonts w:ascii="Times New Roman" w:hAnsi="Times New Roman"/>
                <w:sz w:val="24"/>
                <w:szCs w:val="24"/>
                <w:lang w:eastAsia="uk-UA"/>
              </w:rPr>
            </w:pPr>
            <w:r w:rsidRPr="002871DF">
              <w:rPr>
                <w:rFonts w:ascii="Times New Roman" w:hAnsi="Times New Roman"/>
                <w:sz w:val="24"/>
                <w:szCs w:val="24"/>
                <w:highlight w:val="white"/>
                <w:lang w:eastAsia="uk-UA"/>
              </w:rPr>
              <w:t>-</w:t>
            </w:r>
          </w:p>
        </w:tc>
        <w:tc>
          <w:tcPr>
            <w:tcW w:w="2921" w:type="dxa"/>
          </w:tcPr>
          <w:p w:rsidR="00F16F01" w:rsidRPr="002871DF" w:rsidRDefault="00F16F01" w:rsidP="00FE4CBF">
            <w:pPr>
              <w:widowControl w:val="0"/>
              <w:spacing w:after="0" w:line="240" w:lineRule="auto"/>
              <w:jc w:val="center"/>
              <w:rPr>
                <w:rFonts w:ascii="Times New Roman" w:hAnsi="Times New Roman"/>
                <w:sz w:val="24"/>
                <w:szCs w:val="24"/>
                <w:lang w:eastAsia="uk-UA"/>
              </w:rPr>
            </w:pPr>
            <w:r w:rsidRPr="002871DF">
              <w:rPr>
                <w:rFonts w:ascii="Times New Roman" w:hAnsi="Times New Roman"/>
                <w:sz w:val="24"/>
                <w:szCs w:val="24"/>
                <w:highlight w:val="white"/>
                <w:lang w:eastAsia="uk-UA"/>
              </w:rPr>
              <w:t>-</w:t>
            </w:r>
          </w:p>
        </w:tc>
        <w:tc>
          <w:tcPr>
            <w:tcW w:w="3060" w:type="dxa"/>
          </w:tcPr>
          <w:p w:rsidR="00F16F01" w:rsidRPr="002871DF" w:rsidRDefault="00F16F01" w:rsidP="00FE4CBF">
            <w:pPr>
              <w:widowControl w:val="0"/>
              <w:tabs>
                <w:tab w:val="left" w:pos="1875"/>
              </w:tabs>
              <w:spacing w:after="0" w:line="240" w:lineRule="auto"/>
              <w:jc w:val="center"/>
              <w:rPr>
                <w:rFonts w:ascii="Times New Roman" w:hAnsi="Times New Roman"/>
                <w:sz w:val="24"/>
                <w:szCs w:val="24"/>
                <w:lang w:eastAsia="uk-UA"/>
              </w:rPr>
            </w:pPr>
            <w:r w:rsidRPr="002871DF">
              <w:rPr>
                <w:rFonts w:ascii="Times New Roman" w:hAnsi="Times New Roman"/>
                <w:sz w:val="24"/>
                <w:szCs w:val="24"/>
                <w:highlight w:val="white"/>
                <w:lang w:eastAsia="uk-UA"/>
              </w:rPr>
              <w:t>-</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en-US" w:eastAsia="uk-UA"/>
              </w:rPr>
            </w:pPr>
            <w:r w:rsidRPr="00D12FFC">
              <w:rPr>
                <w:rFonts w:ascii="Times New Roman" w:hAnsi="Times New Roman"/>
                <w:sz w:val="24"/>
                <w:szCs w:val="24"/>
                <w:lang w:eastAsia="uk-UA"/>
              </w:rPr>
              <w:t>1</w:t>
            </w:r>
            <w:r w:rsidRPr="00D12FFC">
              <w:rPr>
                <w:rFonts w:ascii="Times New Roman" w:hAnsi="Times New Roman"/>
                <w:sz w:val="24"/>
                <w:szCs w:val="24"/>
                <w:lang w:val="en-US" w:eastAsia="uk-UA"/>
              </w:rPr>
              <w:t>4</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Інші процедури (уточнити)</w:t>
            </w:r>
          </w:p>
        </w:tc>
        <w:tc>
          <w:tcPr>
            <w:tcW w:w="3021" w:type="dxa"/>
          </w:tcPr>
          <w:p w:rsidR="00F16F01" w:rsidRPr="002871DF" w:rsidRDefault="00F16F01" w:rsidP="00FE4CBF">
            <w:pPr>
              <w:widowControl w:val="0"/>
              <w:spacing w:after="0" w:line="240" w:lineRule="auto"/>
              <w:jc w:val="center"/>
              <w:rPr>
                <w:rFonts w:ascii="Times New Roman" w:hAnsi="Times New Roman"/>
                <w:sz w:val="24"/>
                <w:szCs w:val="24"/>
                <w:lang w:eastAsia="uk-UA"/>
              </w:rPr>
            </w:pPr>
            <w:r w:rsidRPr="002871DF">
              <w:rPr>
                <w:rFonts w:ascii="Times New Roman" w:hAnsi="Times New Roman"/>
                <w:sz w:val="24"/>
                <w:szCs w:val="24"/>
                <w:lang w:eastAsia="uk-UA"/>
              </w:rPr>
              <w:t>-</w:t>
            </w:r>
          </w:p>
        </w:tc>
        <w:tc>
          <w:tcPr>
            <w:tcW w:w="2921" w:type="dxa"/>
          </w:tcPr>
          <w:p w:rsidR="00F16F01" w:rsidRPr="002871DF" w:rsidRDefault="00F16F01" w:rsidP="00FE4CBF">
            <w:pPr>
              <w:widowControl w:val="0"/>
              <w:spacing w:after="0" w:line="240" w:lineRule="auto"/>
              <w:jc w:val="center"/>
              <w:rPr>
                <w:rFonts w:ascii="Times New Roman" w:hAnsi="Times New Roman"/>
                <w:sz w:val="24"/>
                <w:szCs w:val="24"/>
                <w:lang w:eastAsia="uk-UA"/>
              </w:rPr>
            </w:pPr>
            <w:r w:rsidRPr="002871DF">
              <w:rPr>
                <w:rFonts w:ascii="Times New Roman" w:hAnsi="Times New Roman"/>
                <w:sz w:val="24"/>
                <w:szCs w:val="24"/>
                <w:lang w:eastAsia="uk-UA"/>
              </w:rPr>
              <w:t>-</w:t>
            </w:r>
          </w:p>
        </w:tc>
        <w:tc>
          <w:tcPr>
            <w:tcW w:w="3060" w:type="dxa"/>
          </w:tcPr>
          <w:p w:rsidR="00F16F01" w:rsidRPr="002871DF" w:rsidRDefault="00F16F01" w:rsidP="00FE4CBF">
            <w:pPr>
              <w:widowControl w:val="0"/>
              <w:tabs>
                <w:tab w:val="left" w:pos="1875"/>
              </w:tabs>
              <w:spacing w:after="0" w:line="240" w:lineRule="auto"/>
              <w:jc w:val="center"/>
              <w:rPr>
                <w:rFonts w:ascii="Times New Roman" w:hAnsi="Times New Roman"/>
                <w:sz w:val="24"/>
                <w:szCs w:val="24"/>
                <w:lang w:eastAsia="uk-UA"/>
              </w:rPr>
            </w:pPr>
            <w:r w:rsidRPr="002871DF">
              <w:rPr>
                <w:rFonts w:ascii="Times New Roman" w:hAnsi="Times New Roman"/>
                <w:sz w:val="24"/>
                <w:szCs w:val="24"/>
                <w:lang w:eastAsia="uk-UA"/>
              </w:rPr>
              <w:t>-</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15</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Разом, гривень</w:t>
            </w:r>
          </w:p>
        </w:tc>
        <w:tc>
          <w:tcPr>
            <w:tcW w:w="3021" w:type="dxa"/>
          </w:tcPr>
          <w:p w:rsidR="00F16F01" w:rsidRPr="002871DF" w:rsidRDefault="00F16F01" w:rsidP="00FE4CBF">
            <w:pPr>
              <w:widowControl w:val="0"/>
              <w:spacing w:after="0" w:line="240" w:lineRule="auto"/>
              <w:ind w:firstLine="6"/>
              <w:jc w:val="center"/>
              <w:textAlignment w:val="baseline"/>
              <w:rPr>
                <w:rFonts w:ascii="Times New Roman" w:hAnsi="Times New Roman"/>
                <w:sz w:val="24"/>
                <w:szCs w:val="24"/>
                <w:lang w:eastAsia="uk-UA"/>
              </w:rPr>
            </w:pPr>
            <w:r w:rsidRPr="002871DF">
              <w:rPr>
                <w:rFonts w:ascii="Times New Roman" w:hAnsi="Times New Roman"/>
                <w:sz w:val="24"/>
                <w:szCs w:val="24"/>
                <w:highlight w:val="white"/>
                <w:lang w:eastAsia="ru-RU"/>
              </w:rPr>
              <w:t xml:space="preserve">32,25 грн. (рядок 10) + </w:t>
            </w:r>
            <w:r w:rsidRPr="002871DF">
              <w:rPr>
                <w:rFonts w:ascii="Times New Roman" w:hAnsi="Times New Roman"/>
                <w:sz w:val="24"/>
                <w:szCs w:val="24"/>
                <w:lang w:eastAsia="ru-RU"/>
              </w:rPr>
              <w:t xml:space="preserve">129,00 </w:t>
            </w:r>
            <w:r w:rsidRPr="002871DF">
              <w:rPr>
                <w:rFonts w:ascii="Times New Roman" w:hAnsi="Times New Roman"/>
                <w:sz w:val="24"/>
                <w:szCs w:val="24"/>
                <w:highlight w:val="white"/>
                <w:lang w:eastAsia="ru-RU"/>
              </w:rPr>
              <w:t xml:space="preserve">грн. (рядок 11) + </w:t>
            </w:r>
            <w:r w:rsidR="00C01D7F" w:rsidRPr="002871DF">
              <w:rPr>
                <w:rFonts w:ascii="Times New Roman" w:hAnsi="Times New Roman"/>
                <w:sz w:val="24"/>
                <w:szCs w:val="24"/>
                <w:highlight w:val="white"/>
                <w:lang w:eastAsia="ru-RU"/>
              </w:rPr>
              <w:t>14,66</w:t>
            </w:r>
            <w:r w:rsidRPr="002871DF">
              <w:rPr>
                <w:rFonts w:ascii="Times New Roman" w:hAnsi="Times New Roman"/>
                <w:sz w:val="24"/>
                <w:szCs w:val="24"/>
                <w:highlight w:val="white"/>
                <w:lang w:eastAsia="ru-RU"/>
              </w:rPr>
              <w:t xml:space="preserve"> грн. (рядок 12) + 0,00 грн. (рядок 13) + 0,00 грн. (рядок 14) = </w:t>
            </w:r>
            <w:r w:rsidR="00C01D7F" w:rsidRPr="002871DF">
              <w:rPr>
                <w:rFonts w:ascii="Times New Roman" w:hAnsi="Times New Roman"/>
                <w:sz w:val="24"/>
                <w:szCs w:val="24"/>
                <w:highlight w:val="white"/>
                <w:lang w:eastAsia="ru-RU"/>
              </w:rPr>
              <w:t>175,91</w:t>
            </w:r>
            <w:r w:rsidRPr="002871DF">
              <w:rPr>
                <w:rFonts w:ascii="Times New Roman" w:hAnsi="Times New Roman"/>
                <w:sz w:val="24"/>
                <w:szCs w:val="24"/>
                <w:highlight w:val="white"/>
                <w:lang w:eastAsia="ru-RU"/>
              </w:rPr>
              <w:t xml:space="preserve"> грн.</w:t>
            </w:r>
            <w:r w:rsidRPr="002871DF">
              <w:rPr>
                <w:rFonts w:ascii="Times New Roman" w:hAnsi="Times New Roman"/>
                <w:sz w:val="24"/>
                <w:szCs w:val="24"/>
                <w:lang w:eastAsia="uk-UA"/>
              </w:rPr>
              <w:t> </w:t>
            </w:r>
          </w:p>
          <w:p w:rsidR="00F16F01" w:rsidRPr="002871DF" w:rsidRDefault="00F16F01" w:rsidP="00984551">
            <w:pPr>
              <w:widowControl w:val="0"/>
              <w:spacing w:after="0" w:line="240" w:lineRule="auto"/>
              <w:ind w:firstLine="6"/>
              <w:jc w:val="center"/>
              <w:textAlignment w:val="baseline"/>
              <w:rPr>
                <w:rFonts w:ascii="Times New Roman" w:hAnsi="Times New Roman"/>
                <w:sz w:val="24"/>
                <w:szCs w:val="24"/>
                <w:lang w:eastAsia="uk-UA"/>
              </w:rPr>
            </w:pPr>
          </w:p>
        </w:tc>
        <w:tc>
          <w:tcPr>
            <w:tcW w:w="2921" w:type="dxa"/>
          </w:tcPr>
          <w:p w:rsidR="00F16F01" w:rsidRPr="002871DF" w:rsidRDefault="00C01D7F" w:rsidP="00FE4CBF">
            <w:pPr>
              <w:widowControl w:val="0"/>
              <w:spacing w:after="0" w:line="240" w:lineRule="auto"/>
              <w:jc w:val="center"/>
              <w:rPr>
                <w:rFonts w:ascii="Times New Roman" w:hAnsi="Times New Roman"/>
                <w:sz w:val="24"/>
                <w:szCs w:val="24"/>
                <w:lang w:eastAsia="uk-UA"/>
              </w:rPr>
            </w:pPr>
            <w:r w:rsidRPr="002871DF">
              <w:rPr>
                <w:rFonts w:ascii="Times New Roman" w:hAnsi="Times New Roman"/>
                <w:sz w:val="24"/>
                <w:szCs w:val="24"/>
                <w:lang w:eastAsia="uk-UA"/>
              </w:rPr>
              <w:t>143,66</w:t>
            </w:r>
            <w:r w:rsidR="00F16F01" w:rsidRPr="002871DF">
              <w:rPr>
                <w:rFonts w:ascii="Times New Roman" w:hAnsi="Times New Roman"/>
                <w:sz w:val="24"/>
                <w:szCs w:val="24"/>
                <w:lang w:eastAsia="uk-UA"/>
              </w:rPr>
              <w:t xml:space="preserve"> грн.</w:t>
            </w:r>
          </w:p>
        </w:tc>
        <w:tc>
          <w:tcPr>
            <w:tcW w:w="3060" w:type="dxa"/>
          </w:tcPr>
          <w:p w:rsidR="00F16F01" w:rsidRPr="002871DF" w:rsidRDefault="00F16F01" w:rsidP="00C01D7F">
            <w:pPr>
              <w:widowControl w:val="0"/>
              <w:spacing w:after="0" w:line="240" w:lineRule="auto"/>
              <w:rPr>
                <w:rFonts w:ascii="Times New Roman" w:hAnsi="Times New Roman"/>
                <w:sz w:val="24"/>
                <w:szCs w:val="24"/>
                <w:lang w:eastAsia="uk-UA"/>
              </w:rPr>
            </w:pPr>
            <w:r w:rsidRPr="002871DF">
              <w:rPr>
                <w:rFonts w:ascii="Times New Roman" w:hAnsi="Times New Roman"/>
                <w:sz w:val="24"/>
                <w:szCs w:val="24"/>
                <w:lang w:eastAsia="ru-RU"/>
              </w:rPr>
              <w:t xml:space="preserve">                </w:t>
            </w:r>
            <w:r w:rsidR="00C01D7F" w:rsidRPr="002871DF">
              <w:rPr>
                <w:rFonts w:ascii="Times New Roman" w:hAnsi="Times New Roman"/>
                <w:sz w:val="24"/>
                <w:szCs w:val="24"/>
                <w:lang w:eastAsia="ru-RU"/>
              </w:rPr>
              <w:t>718,30</w:t>
            </w:r>
            <w:r w:rsidRPr="002871DF">
              <w:rPr>
                <w:rFonts w:ascii="Times New Roman" w:hAnsi="Times New Roman"/>
                <w:sz w:val="24"/>
                <w:szCs w:val="24"/>
                <w:lang w:eastAsia="ru-RU"/>
              </w:rPr>
              <w:t xml:space="preserve">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ru-RU"/>
              </w:rPr>
            </w:pPr>
            <w:r w:rsidRPr="00D12FFC">
              <w:rPr>
                <w:rFonts w:ascii="Times New Roman" w:hAnsi="Times New Roman"/>
                <w:sz w:val="24"/>
                <w:szCs w:val="24"/>
                <w:lang w:eastAsia="ru-RU"/>
              </w:rPr>
              <w:t>16</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ru-RU"/>
              </w:rPr>
            </w:pPr>
            <w:r w:rsidRPr="00D12FFC">
              <w:rPr>
                <w:rFonts w:ascii="Times New Roman" w:hAnsi="Times New Roman"/>
                <w:sz w:val="24"/>
                <w:szCs w:val="24"/>
                <w:lang w:eastAsia="ru-RU"/>
              </w:rPr>
              <w:t>Кількість суб'єктів малого підприємництва</w:t>
            </w:r>
            <w:r>
              <w:rPr>
                <w:rFonts w:ascii="Times New Roman" w:hAnsi="Times New Roman"/>
                <w:sz w:val="24"/>
                <w:szCs w:val="24"/>
                <w:lang w:eastAsia="ru-RU"/>
              </w:rPr>
              <w:t xml:space="preserve"> (оцінювачі)</w:t>
            </w:r>
            <w:r w:rsidRPr="00D12FFC">
              <w:rPr>
                <w:rFonts w:ascii="Times New Roman" w:hAnsi="Times New Roman"/>
                <w:sz w:val="24"/>
                <w:szCs w:val="24"/>
                <w:lang w:eastAsia="ru-RU"/>
              </w:rPr>
              <w:t>, що повинні виконати вимоги регулювання, одиниць</w:t>
            </w:r>
          </w:p>
        </w:tc>
        <w:tc>
          <w:tcPr>
            <w:tcW w:w="3021" w:type="dxa"/>
          </w:tcPr>
          <w:p w:rsidR="00F16F01" w:rsidRPr="002871DF" w:rsidRDefault="00F16F01" w:rsidP="00FE4CBF">
            <w:pPr>
              <w:widowControl w:val="0"/>
              <w:spacing w:after="0" w:line="240" w:lineRule="auto"/>
              <w:ind w:firstLine="6"/>
              <w:jc w:val="center"/>
              <w:textAlignment w:val="baseline"/>
              <w:rPr>
                <w:rFonts w:ascii="Times New Roman" w:hAnsi="Times New Roman"/>
                <w:sz w:val="24"/>
                <w:szCs w:val="24"/>
                <w:lang w:eastAsia="ru-RU"/>
              </w:rPr>
            </w:pPr>
          </w:p>
          <w:p w:rsidR="00F16F01" w:rsidRPr="002871DF"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2871DF">
              <w:rPr>
                <w:rFonts w:ascii="Times New Roman" w:hAnsi="Times New Roman"/>
                <w:sz w:val="24"/>
                <w:szCs w:val="24"/>
                <w:lang w:eastAsia="ru-RU"/>
              </w:rPr>
              <w:t xml:space="preserve">1356 </w:t>
            </w:r>
            <w:r w:rsidRPr="002871DF">
              <w:rPr>
                <w:rFonts w:ascii="Times New Roman" w:hAnsi="Times New Roman"/>
                <w:sz w:val="24"/>
                <w:szCs w:val="24"/>
                <w:vertAlign w:val="superscript"/>
                <w:lang w:eastAsia="ru-RU"/>
              </w:rPr>
              <w:t>4</w:t>
            </w:r>
          </w:p>
        </w:tc>
        <w:tc>
          <w:tcPr>
            <w:tcW w:w="2921" w:type="dxa"/>
          </w:tcPr>
          <w:p w:rsidR="00F16F01" w:rsidRPr="002871DF" w:rsidRDefault="00F16F01" w:rsidP="00FE4CBF">
            <w:pPr>
              <w:widowControl w:val="0"/>
              <w:spacing w:after="0" w:line="240" w:lineRule="auto"/>
              <w:ind w:firstLine="6"/>
              <w:jc w:val="center"/>
              <w:textAlignment w:val="baseline"/>
              <w:rPr>
                <w:rFonts w:ascii="Times New Roman" w:hAnsi="Times New Roman"/>
                <w:sz w:val="24"/>
                <w:szCs w:val="24"/>
                <w:lang w:eastAsia="ru-RU"/>
              </w:rPr>
            </w:pPr>
          </w:p>
          <w:p w:rsidR="00F16F01" w:rsidRPr="002871DF"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2871DF">
              <w:rPr>
                <w:rFonts w:ascii="Times New Roman" w:hAnsi="Times New Roman"/>
                <w:sz w:val="24"/>
                <w:szCs w:val="24"/>
                <w:lang w:eastAsia="ru-RU"/>
              </w:rPr>
              <w:t>1356</w:t>
            </w:r>
          </w:p>
        </w:tc>
        <w:tc>
          <w:tcPr>
            <w:tcW w:w="3060" w:type="dxa"/>
          </w:tcPr>
          <w:p w:rsidR="00F16F01" w:rsidRPr="002871DF" w:rsidRDefault="00F16F01" w:rsidP="00FE4CBF">
            <w:pPr>
              <w:widowControl w:val="0"/>
              <w:spacing w:after="0" w:line="240" w:lineRule="auto"/>
              <w:ind w:firstLine="6"/>
              <w:jc w:val="center"/>
              <w:textAlignment w:val="baseline"/>
              <w:rPr>
                <w:rFonts w:ascii="Times New Roman" w:hAnsi="Times New Roman"/>
                <w:sz w:val="24"/>
                <w:szCs w:val="24"/>
                <w:lang w:eastAsia="ru-RU"/>
              </w:rPr>
            </w:pPr>
          </w:p>
          <w:p w:rsidR="00F16F01" w:rsidRPr="002871DF"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2871DF">
              <w:rPr>
                <w:rFonts w:ascii="Times New Roman" w:hAnsi="Times New Roman"/>
                <w:sz w:val="24"/>
                <w:szCs w:val="24"/>
                <w:lang w:eastAsia="ru-RU"/>
              </w:rPr>
              <w:t xml:space="preserve">1356 </w:t>
            </w:r>
          </w:p>
        </w:tc>
      </w:tr>
      <w:tr w:rsidR="00F16F01" w:rsidRPr="00D12FFC" w:rsidTr="00FD36AA">
        <w:tc>
          <w:tcPr>
            <w:tcW w:w="899" w:type="dxa"/>
          </w:tcPr>
          <w:p w:rsidR="00F16F01" w:rsidRPr="00FA0E4B" w:rsidRDefault="00F16F01" w:rsidP="00FE4CBF">
            <w:pPr>
              <w:widowControl w:val="0"/>
              <w:spacing w:after="0" w:line="240" w:lineRule="auto"/>
              <w:jc w:val="center"/>
              <w:rPr>
                <w:rFonts w:ascii="Times New Roman" w:hAnsi="Times New Roman"/>
                <w:sz w:val="24"/>
                <w:szCs w:val="24"/>
                <w:lang w:eastAsia="ru-RU"/>
              </w:rPr>
            </w:pPr>
            <w:r w:rsidRPr="00FA0E4B">
              <w:rPr>
                <w:rFonts w:ascii="Times New Roman" w:hAnsi="Times New Roman"/>
                <w:sz w:val="24"/>
                <w:szCs w:val="24"/>
                <w:lang w:eastAsia="ru-RU"/>
              </w:rPr>
              <w:t>17</w:t>
            </w:r>
          </w:p>
        </w:tc>
        <w:tc>
          <w:tcPr>
            <w:tcW w:w="4499" w:type="dxa"/>
          </w:tcPr>
          <w:p w:rsidR="00F16F01" w:rsidRPr="00D12FFC" w:rsidRDefault="00F16F01" w:rsidP="00FE4CBF">
            <w:pPr>
              <w:widowControl w:val="0"/>
              <w:spacing w:after="0" w:line="240" w:lineRule="auto"/>
              <w:rPr>
                <w:rFonts w:ascii="Times New Roman" w:hAnsi="Times New Roman"/>
                <w:sz w:val="24"/>
                <w:szCs w:val="24"/>
                <w:lang w:val="ru-RU" w:eastAsia="ru-RU"/>
              </w:rPr>
            </w:pPr>
            <w:r w:rsidRPr="00FA0E4B">
              <w:rPr>
                <w:rFonts w:ascii="Times New Roman" w:hAnsi="Times New Roman"/>
                <w:sz w:val="24"/>
                <w:szCs w:val="24"/>
                <w:lang w:eastAsia="ru-RU"/>
              </w:rPr>
              <w:t>Су</w:t>
            </w:r>
            <w:r w:rsidRPr="00D12FFC">
              <w:rPr>
                <w:rFonts w:ascii="Times New Roman" w:hAnsi="Times New Roman"/>
                <w:sz w:val="24"/>
                <w:szCs w:val="24"/>
                <w:lang w:val="ru-RU" w:eastAsia="ru-RU"/>
              </w:rPr>
              <w:t>марно, гривень</w:t>
            </w:r>
          </w:p>
        </w:tc>
        <w:tc>
          <w:tcPr>
            <w:tcW w:w="3021" w:type="dxa"/>
          </w:tcPr>
          <w:p w:rsidR="00F16F01" w:rsidRPr="002871DF" w:rsidRDefault="00C01D7F" w:rsidP="00FE4CBF">
            <w:pPr>
              <w:widowControl w:val="0"/>
              <w:spacing w:after="0" w:line="240" w:lineRule="auto"/>
              <w:ind w:firstLine="6"/>
              <w:jc w:val="center"/>
              <w:rPr>
                <w:rFonts w:ascii="Times New Roman" w:hAnsi="Times New Roman"/>
                <w:sz w:val="24"/>
                <w:szCs w:val="24"/>
                <w:lang w:eastAsia="ru-RU"/>
              </w:rPr>
            </w:pPr>
            <w:r w:rsidRPr="002871DF">
              <w:rPr>
                <w:rFonts w:ascii="Times New Roman" w:hAnsi="Times New Roman"/>
                <w:sz w:val="24"/>
                <w:szCs w:val="24"/>
                <w:highlight w:val="white"/>
                <w:lang w:eastAsia="ru-RU"/>
              </w:rPr>
              <w:t>175,91</w:t>
            </w:r>
            <w:r w:rsidR="00F16F01" w:rsidRPr="002871DF">
              <w:rPr>
                <w:rFonts w:ascii="Times New Roman" w:hAnsi="Times New Roman"/>
                <w:sz w:val="24"/>
                <w:szCs w:val="24"/>
                <w:highlight w:val="white"/>
                <w:lang w:eastAsia="ru-RU"/>
              </w:rPr>
              <w:t xml:space="preserve"> грн. </w:t>
            </w:r>
            <w:r w:rsidR="00F16F01" w:rsidRPr="002871DF">
              <w:rPr>
                <w:rFonts w:ascii="Times New Roman" w:hAnsi="Times New Roman"/>
                <w:sz w:val="24"/>
                <w:szCs w:val="24"/>
                <w:lang w:eastAsia="ru-RU"/>
              </w:rPr>
              <w:t xml:space="preserve">(рядок 15 ) х 1356 = </w:t>
            </w:r>
            <w:r w:rsidR="00060765" w:rsidRPr="002871DF">
              <w:rPr>
                <w:rFonts w:ascii="Times New Roman" w:hAnsi="Times New Roman"/>
                <w:sz w:val="24"/>
                <w:szCs w:val="24"/>
                <w:lang w:eastAsia="ru-RU"/>
              </w:rPr>
              <w:t>2</w:t>
            </w:r>
            <w:r w:rsidRPr="002871DF">
              <w:rPr>
                <w:rFonts w:ascii="Times New Roman" w:hAnsi="Times New Roman"/>
                <w:sz w:val="24"/>
                <w:szCs w:val="24"/>
                <w:lang w:eastAsia="ru-RU"/>
              </w:rPr>
              <w:t>38</w:t>
            </w:r>
            <w:r w:rsidR="00060765" w:rsidRPr="002871DF">
              <w:rPr>
                <w:rFonts w:ascii="Times New Roman" w:hAnsi="Times New Roman"/>
                <w:sz w:val="24"/>
                <w:szCs w:val="24"/>
                <w:lang w:eastAsia="ru-RU"/>
              </w:rPr>
              <w:t> </w:t>
            </w:r>
            <w:r w:rsidRPr="002871DF">
              <w:rPr>
                <w:rFonts w:ascii="Times New Roman" w:hAnsi="Times New Roman"/>
                <w:sz w:val="24"/>
                <w:szCs w:val="24"/>
                <w:lang w:eastAsia="ru-RU"/>
              </w:rPr>
              <w:t>533,96</w:t>
            </w:r>
            <w:r w:rsidR="00F16F01" w:rsidRPr="002871DF">
              <w:rPr>
                <w:rFonts w:ascii="Times New Roman" w:hAnsi="Times New Roman"/>
                <w:sz w:val="24"/>
                <w:szCs w:val="24"/>
                <w:lang w:eastAsia="ru-RU"/>
              </w:rPr>
              <w:t xml:space="preserve"> грн.</w:t>
            </w:r>
          </w:p>
          <w:p w:rsidR="00F16F01" w:rsidRPr="002871DF" w:rsidRDefault="00F16F01" w:rsidP="00FE4CBF">
            <w:pPr>
              <w:widowControl w:val="0"/>
              <w:spacing w:after="0" w:line="240" w:lineRule="auto"/>
              <w:ind w:firstLine="6"/>
              <w:rPr>
                <w:rFonts w:ascii="Times New Roman" w:hAnsi="Times New Roman"/>
                <w:sz w:val="24"/>
                <w:szCs w:val="24"/>
                <w:lang w:eastAsia="ru-RU"/>
              </w:rPr>
            </w:pPr>
          </w:p>
        </w:tc>
        <w:tc>
          <w:tcPr>
            <w:tcW w:w="2921" w:type="dxa"/>
          </w:tcPr>
          <w:p w:rsidR="00F16F01" w:rsidRPr="002871DF" w:rsidRDefault="00060765" w:rsidP="002871DF">
            <w:pPr>
              <w:widowControl w:val="0"/>
              <w:spacing w:after="0" w:line="240" w:lineRule="auto"/>
              <w:jc w:val="center"/>
              <w:rPr>
                <w:rFonts w:ascii="Times New Roman" w:hAnsi="Times New Roman"/>
                <w:sz w:val="24"/>
                <w:szCs w:val="24"/>
                <w:lang w:val="ru-RU" w:eastAsia="ru-RU"/>
              </w:rPr>
            </w:pPr>
            <w:r w:rsidRPr="002871DF">
              <w:rPr>
                <w:rFonts w:ascii="Times New Roman" w:hAnsi="Times New Roman"/>
                <w:sz w:val="24"/>
                <w:szCs w:val="24"/>
                <w:lang w:val="ru-RU" w:eastAsia="ru-RU"/>
              </w:rPr>
              <w:t>1</w:t>
            </w:r>
            <w:r w:rsidR="002871DF" w:rsidRPr="002871DF">
              <w:rPr>
                <w:rFonts w:ascii="Times New Roman" w:hAnsi="Times New Roman"/>
                <w:sz w:val="24"/>
                <w:szCs w:val="24"/>
                <w:lang w:val="ru-RU" w:eastAsia="ru-RU"/>
              </w:rPr>
              <w:t>43,66</w:t>
            </w:r>
            <w:r w:rsidR="00F16F01" w:rsidRPr="002871DF">
              <w:rPr>
                <w:rFonts w:ascii="Times New Roman" w:hAnsi="Times New Roman"/>
                <w:sz w:val="24"/>
                <w:szCs w:val="24"/>
                <w:lang w:val="ru-RU" w:eastAsia="ru-RU"/>
              </w:rPr>
              <w:t xml:space="preserve"> грн.</w:t>
            </w:r>
            <w:r w:rsidR="00F16F01" w:rsidRPr="002871DF">
              <w:rPr>
                <w:rFonts w:ascii="Times New Roman" w:hAnsi="Times New Roman"/>
                <w:sz w:val="24"/>
                <w:szCs w:val="24"/>
                <w:lang w:eastAsia="ru-RU"/>
              </w:rPr>
              <w:t xml:space="preserve"> х</w:t>
            </w:r>
            <w:r w:rsidR="00F16F01" w:rsidRPr="002871DF">
              <w:rPr>
                <w:rFonts w:ascii="Times New Roman" w:hAnsi="Times New Roman"/>
                <w:sz w:val="24"/>
                <w:szCs w:val="24"/>
                <w:lang w:eastAsia="uk-UA"/>
              </w:rPr>
              <w:t xml:space="preserve"> </w:t>
            </w:r>
            <w:r w:rsidR="00F16F01" w:rsidRPr="002871DF">
              <w:rPr>
                <w:rFonts w:ascii="Times New Roman" w:hAnsi="Times New Roman"/>
                <w:sz w:val="24"/>
                <w:szCs w:val="24"/>
                <w:lang w:val="ru-RU" w:eastAsia="ru-RU"/>
              </w:rPr>
              <w:t xml:space="preserve">1356 грн. = </w:t>
            </w:r>
            <w:r w:rsidR="002871DF" w:rsidRPr="002871DF">
              <w:rPr>
                <w:rFonts w:ascii="Times New Roman" w:hAnsi="Times New Roman"/>
                <w:sz w:val="24"/>
                <w:szCs w:val="24"/>
                <w:lang w:val="ru-RU" w:eastAsia="ru-RU"/>
              </w:rPr>
              <w:t>194 802,96</w:t>
            </w:r>
            <w:r w:rsidR="00F16F01" w:rsidRPr="002871DF">
              <w:rPr>
                <w:rFonts w:ascii="Times New Roman" w:hAnsi="Times New Roman"/>
                <w:sz w:val="24"/>
                <w:szCs w:val="24"/>
                <w:lang w:val="ru-RU" w:eastAsia="ru-RU"/>
              </w:rPr>
              <w:t xml:space="preserve"> грн.</w:t>
            </w:r>
          </w:p>
        </w:tc>
        <w:tc>
          <w:tcPr>
            <w:tcW w:w="3060" w:type="dxa"/>
          </w:tcPr>
          <w:p w:rsidR="00F16F01" w:rsidRPr="002871DF" w:rsidRDefault="002871DF" w:rsidP="002342C8">
            <w:pPr>
              <w:widowControl w:val="0"/>
              <w:spacing w:after="0" w:line="240" w:lineRule="auto"/>
              <w:ind w:firstLine="6"/>
              <w:textAlignment w:val="baseline"/>
              <w:rPr>
                <w:rFonts w:ascii="Times New Roman" w:hAnsi="Times New Roman"/>
                <w:sz w:val="24"/>
                <w:szCs w:val="24"/>
                <w:lang w:eastAsia="uk-UA"/>
              </w:rPr>
            </w:pPr>
            <w:r w:rsidRPr="002871DF">
              <w:rPr>
                <w:rFonts w:ascii="Times New Roman" w:hAnsi="Times New Roman"/>
                <w:sz w:val="24"/>
                <w:szCs w:val="24"/>
                <w:highlight w:val="white"/>
                <w:lang w:eastAsia="ru-RU"/>
              </w:rPr>
              <w:t>718,30</w:t>
            </w:r>
            <w:r w:rsidR="00F16F01" w:rsidRPr="002871DF">
              <w:rPr>
                <w:rFonts w:ascii="Times New Roman" w:hAnsi="Times New Roman"/>
                <w:sz w:val="24"/>
                <w:szCs w:val="24"/>
                <w:highlight w:val="white"/>
                <w:lang w:eastAsia="ru-RU"/>
              </w:rPr>
              <w:t xml:space="preserve"> грн.</w:t>
            </w:r>
            <w:r w:rsidR="00F16F01" w:rsidRPr="002871DF">
              <w:rPr>
                <w:rFonts w:ascii="Times New Roman" w:hAnsi="Times New Roman"/>
                <w:sz w:val="24"/>
                <w:szCs w:val="24"/>
                <w:lang w:eastAsia="uk-UA"/>
              </w:rPr>
              <w:t> </w:t>
            </w:r>
            <w:r w:rsidR="00F16F01" w:rsidRPr="002871DF">
              <w:rPr>
                <w:rFonts w:ascii="Times New Roman" w:hAnsi="Times New Roman"/>
                <w:sz w:val="24"/>
                <w:szCs w:val="24"/>
                <w:lang w:eastAsia="ru-RU"/>
              </w:rPr>
              <w:t xml:space="preserve"> (рядок 15) </w:t>
            </w:r>
            <w:r w:rsidR="00F16F01" w:rsidRPr="002871DF">
              <w:rPr>
                <w:rFonts w:ascii="Times New Roman" w:hAnsi="Times New Roman"/>
                <w:sz w:val="24"/>
                <w:szCs w:val="24"/>
                <w:lang w:eastAsia="uk-UA"/>
              </w:rPr>
              <w:t>х</w:t>
            </w:r>
            <w:r w:rsidR="00F16F01" w:rsidRPr="002871DF">
              <w:rPr>
                <w:rFonts w:ascii="Times New Roman" w:hAnsi="Times New Roman"/>
                <w:sz w:val="24"/>
                <w:szCs w:val="24"/>
                <w:lang w:eastAsia="ru-RU"/>
              </w:rPr>
              <w:t xml:space="preserve"> 1356 (рядок 16) </w:t>
            </w:r>
          </w:p>
          <w:p w:rsidR="00F16F01" w:rsidRPr="002871DF" w:rsidRDefault="00F16F01" w:rsidP="002871DF">
            <w:pPr>
              <w:widowControl w:val="0"/>
              <w:spacing w:after="0" w:line="240" w:lineRule="auto"/>
              <w:textAlignment w:val="baseline"/>
              <w:rPr>
                <w:rFonts w:ascii="Times New Roman" w:hAnsi="Times New Roman"/>
                <w:sz w:val="24"/>
                <w:szCs w:val="24"/>
                <w:lang w:eastAsia="ru-RU"/>
              </w:rPr>
            </w:pPr>
            <w:r w:rsidRPr="002871DF">
              <w:rPr>
                <w:rFonts w:ascii="Times New Roman" w:hAnsi="Times New Roman"/>
                <w:sz w:val="24"/>
                <w:szCs w:val="24"/>
                <w:lang w:eastAsia="ru-RU"/>
              </w:rPr>
              <w:t xml:space="preserve"> = </w:t>
            </w:r>
            <w:r w:rsidR="002871DF">
              <w:rPr>
                <w:rFonts w:ascii="Times New Roman" w:hAnsi="Times New Roman"/>
                <w:sz w:val="24"/>
                <w:szCs w:val="24"/>
                <w:lang w:eastAsia="ru-RU"/>
              </w:rPr>
              <w:t>974 014,80</w:t>
            </w:r>
            <w:r w:rsidRPr="002871DF">
              <w:rPr>
                <w:rFonts w:ascii="Times New Roman" w:hAnsi="Times New Roman"/>
                <w:sz w:val="24"/>
                <w:szCs w:val="24"/>
                <w:lang w:eastAsia="ru-RU"/>
              </w:rPr>
              <w:t xml:space="preserve"> грн.</w:t>
            </w:r>
          </w:p>
        </w:tc>
      </w:tr>
    </w:tbl>
    <w:p w:rsidR="00F16F01" w:rsidRPr="00D12FFC" w:rsidRDefault="00F16F01" w:rsidP="006E483F">
      <w:pPr>
        <w:widowControl w:val="0"/>
        <w:spacing w:after="0" w:line="240" w:lineRule="auto"/>
        <w:ind w:firstLine="540"/>
        <w:jc w:val="both"/>
        <w:rPr>
          <w:rFonts w:ascii="Times New Roman" w:hAnsi="Times New Roman"/>
          <w:sz w:val="24"/>
          <w:szCs w:val="24"/>
          <w:lang w:eastAsia="ru-RU"/>
        </w:rPr>
      </w:pPr>
      <w:r w:rsidRPr="00D12FFC">
        <w:rPr>
          <w:rFonts w:ascii="Times New Roman" w:hAnsi="Times New Roman"/>
          <w:sz w:val="24"/>
          <w:szCs w:val="24"/>
          <w:lang w:eastAsia="ru-RU"/>
        </w:rPr>
        <w:t>* за умови реалізації норм запропонованого регуляторного акту всіма суб’єктами господарювання</w:t>
      </w:r>
      <w:r>
        <w:rPr>
          <w:rFonts w:ascii="Times New Roman" w:hAnsi="Times New Roman"/>
          <w:sz w:val="24"/>
          <w:szCs w:val="24"/>
          <w:lang w:eastAsia="ru-RU"/>
        </w:rPr>
        <w:t xml:space="preserve"> (оцінювачами)</w:t>
      </w:r>
      <w:r w:rsidRPr="00D12FFC">
        <w:rPr>
          <w:rFonts w:ascii="Times New Roman" w:hAnsi="Times New Roman"/>
          <w:sz w:val="24"/>
          <w:szCs w:val="24"/>
          <w:lang w:eastAsia="ru-RU"/>
        </w:rPr>
        <w:t xml:space="preserve">. </w:t>
      </w:r>
    </w:p>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b/>
          <w:sz w:val="20"/>
          <w:szCs w:val="20"/>
          <w:lang w:val="en-US" w:eastAsia="uk-UA"/>
        </w:rPr>
      </w:pPr>
      <w:r w:rsidRPr="00073517">
        <w:rPr>
          <w:rFonts w:ascii="Times New Roman" w:hAnsi="Times New Roman"/>
          <w:sz w:val="24"/>
          <w:szCs w:val="24"/>
          <w:lang w:eastAsia="ru-RU"/>
        </w:rPr>
        <w:t>Примітки:</w:t>
      </w:r>
      <w:r w:rsidRPr="00323B7C">
        <w:rPr>
          <w:rFonts w:ascii="Times New Roman" w:hAnsi="Times New Roman"/>
          <w:b/>
          <w:sz w:val="20"/>
          <w:szCs w:val="20"/>
          <w:lang w:eastAsia="uk-UA"/>
        </w:rPr>
        <w:t xml:space="preserve"> </w:t>
      </w:r>
    </w:p>
    <w:p w:rsidR="00F16F01" w:rsidRDefault="00F16F01" w:rsidP="007A65F8">
      <w:pPr>
        <w:widowControl w:val="0"/>
        <w:tabs>
          <w:tab w:val="left" w:pos="1875"/>
        </w:tabs>
        <w:spacing w:after="0" w:line="240" w:lineRule="auto"/>
        <w:rPr>
          <w:rFonts w:ascii="Times New Roman" w:hAnsi="Times New Roman"/>
          <w:b/>
          <w:sz w:val="20"/>
          <w:szCs w:val="20"/>
          <w:lang w:val="en-US" w:eastAsia="uk-UA"/>
        </w:rPr>
      </w:pPr>
    </w:p>
    <w:p w:rsidR="00F16F01" w:rsidRPr="00934B81" w:rsidRDefault="00F16F01" w:rsidP="007A65F8">
      <w:pPr>
        <w:widowControl w:val="0"/>
        <w:tabs>
          <w:tab w:val="left" w:pos="1875"/>
        </w:tabs>
        <w:spacing w:after="0" w:line="240" w:lineRule="auto"/>
        <w:rPr>
          <w:rFonts w:ascii="Times New Roman" w:hAnsi="Times New Roman"/>
          <w:b/>
          <w:sz w:val="20"/>
          <w:szCs w:val="20"/>
          <w:lang w:val="en-US" w:eastAsia="uk-UA"/>
        </w:rPr>
      </w:pPr>
    </w:p>
    <w:p w:rsidR="00F16F01" w:rsidRPr="0008193B" w:rsidRDefault="00F16F01" w:rsidP="007A65F8">
      <w:pPr>
        <w:pStyle w:val="a8"/>
        <w:widowControl w:val="0"/>
        <w:numPr>
          <w:ilvl w:val="0"/>
          <w:numId w:val="6"/>
        </w:numPr>
        <w:tabs>
          <w:tab w:val="left" w:pos="1875"/>
        </w:tabs>
        <w:spacing w:after="0" w:line="240" w:lineRule="auto"/>
        <w:rPr>
          <w:rFonts w:ascii="Times New Roman" w:hAnsi="Times New Roman"/>
          <w:b/>
          <w:sz w:val="24"/>
          <w:szCs w:val="24"/>
          <w:lang w:eastAsia="uk-UA"/>
        </w:rPr>
      </w:pPr>
      <w:r w:rsidRPr="0008193B">
        <w:rPr>
          <w:rFonts w:ascii="Times New Roman" w:hAnsi="Times New Roman"/>
          <w:sz w:val="24"/>
          <w:szCs w:val="24"/>
          <w:lang w:eastAsia="uk-UA"/>
        </w:rPr>
        <w:t>Джерело</w:t>
      </w:r>
      <w:r w:rsidRPr="0008193B">
        <w:rPr>
          <w:rFonts w:ascii="Times New Roman" w:hAnsi="Times New Roman"/>
          <w:sz w:val="24"/>
          <w:szCs w:val="24"/>
        </w:rPr>
        <w:t xml:space="preserve"> отримання інформації: </w:t>
      </w:r>
      <w:r w:rsidRPr="0008193B">
        <w:rPr>
          <w:rFonts w:ascii="Times New Roman" w:hAnsi="Times New Roman"/>
          <w:sz w:val="24"/>
          <w:szCs w:val="24"/>
          <w:lang w:eastAsia="uk-UA"/>
        </w:rPr>
        <w:t xml:space="preserve"> Для розрахунку </w:t>
      </w:r>
      <w:r>
        <w:rPr>
          <w:rFonts w:ascii="Times New Roman" w:hAnsi="Times New Roman"/>
          <w:sz w:val="24"/>
          <w:szCs w:val="24"/>
          <w:lang w:eastAsia="uk-UA"/>
        </w:rPr>
        <w:t xml:space="preserve">обрано </w:t>
      </w:r>
      <w:r w:rsidRPr="0008193B">
        <w:rPr>
          <w:rFonts w:ascii="Times New Roman" w:hAnsi="Times New Roman"/>
          <w:sz w:val="24"/>
          <w:szCs w:val="24"/>
          <w:lang w:eastAsia="uk-UA"/>
        </w:rPr>
        <w:t xml:space="preserve">цінову політику </w:t>
      </w:r>
      <w:r w:rsidRPr="0008193B">
        <w:rPr>
          <w:rFonts w:ascii="Times New Roman" w:hAnsi="Times New Roman"/>
          <w:sz w:val="24"/>
          <w:szCs w:val="24"/>
        </w:rPr>
        <w:t xml:space="preserve">Громадської організації «Всеукраїнське об’єднання «Українське товариство оцінювачів». </w:t>
      </w:r>
      <w:r w:rsidRPr="0008193B">
        <w:rPr>
          <w:rFonts w:ascii="Times New Roman" w:hAnsi="Times New Roman"/>
          <w:sz w:val="24"/>
          <w:szCs w:val="24"/>
          <w:lang w:eastAsia="uk-UA"/>
        </w:rPr>
        <w:t>Цінова політика для вступу в СРОО (в Україні загальна кількість СРОО – 7) та перебування в ній не є однаковою.</w:t>
      </w:r>
    </w:p>
    <w:p w:rsidR="00F16F01" w:rsidRPr="0008193B" w:rsidRDefault="00F16F01" w:rsidP="007A65F8">
      <w:pPr>
        <w:pStyle w:val="a8"/>
        <w:widowControl w:val="0"/>
        <w:tabs>
          <w:tab w:val="left" w:pos="1875"/>
        </w:tabs>
        <w:jc w:val="both"/>
        <w:rPr>
          <w:rFonts w:ascii="Times New Roman" w:hAnsi="Times New Roman"/>
          <w:sz w:val="24"/>
          <w:szCs w:val="24"/>
          <w:lang w:eastAsia="uk-UA"/>
        </w:rPr>
      </w:pPr>
      <w:r w:rsidRPr="0008193B">
        <w:rPr>
          <w:rFonts w:ascii="Times New Roman" w:hAnsi="Times New Roman"/>
          <w:sz w:val="24"/>
          <w:szCs w:val="24"/>
          <w:lang w:eastAsia="uk-UA"/>
        </w:rPr>
        <w:t>(50% від загальної кількості оцінювачів 1356 по напрямку оцінки майна 2 та спеціалізацій в межах такого напряму і так є членами СРОО).</w:t>
      </w:r>
    </w:p>
    <w:p w:rsidR="00F16F01" w:rsidRDefault="00F16F01" w:rsidP="00003761">
      <w:pPr>
        <w:pStyle w:val="a8"/>
        <w:widowControl w:val="0"/>
        <w:numPr>
          <w:ilvl w:val="0"/>
          <w:numId w:val="6"/>
        </w:numPr>
        <w:tabs>
          <w:tab w:val="left" w:pos="1875"/>
        </w:tabs>
        <w:jc w:val="both"/>
        <w:rPr>
          <w:rFonts w:ascii="Times New Roman" w:hAnsi="Times New Roman"/>
          <w:sz w:val="24"/>
          <w:szCs w:val="24"/>
          <w:lang w:eastAsia="uk-UA"/>
        </w:rPr>
      </w:pPr>
      <w:r w:rsidRPr="0008193B">
        <w:rPr>
          <w:rFonts w:ascii="Times New Roman" w:hAnsi="Times New Roman"/>
          <w:sz w:val="24"/>
          <w:szCs w:val="24"/>
          <w:lang w:eastAsia="uk-UA"/>
        </w:rPr>
        <w:t>Джерело</w:t>
      </w:r>
      <w:r w:rsidRPr="0008193B">
        <w:rPr>
          <w:rFonts w:ascii="Times New Roman" w:hAnsi="Times New Roman"/>
          <w:sz w:val="24"/>
          <w:szCs w:val="24"/>
        </w:rPr>
        <w:t xml:space="preserve"> отримання інформації: </w:t>
      </w:r>
      <w:r w:rsidRPr="0008193B">
        <w:rPr>
          <w:rFonts w:ascii="Times New Roman" w:hAnsi="Times New Roman"/>
          <w:sz w:val="24"/>
          <w:szCs w:val="24"/>
          <w:lang w:eastAsia="uk-UA"/>
        </w:rPr>
        <w:t xml:space="preserve"> Цінова політика для проходження в </w:t>
      </w:r>
      <w:r w:rsidRPr="0008193B">
        <w:rPr>
          <w:rFonts w:ascii="Times New Roman" w:hAnsi="Times New Roman"/>
          <w:sz w:val="24"/>
          <w:szCs w:val="24"/>
        </w:rPr>
        <w:t xml:space="preserve">міжнародній організації, що об’єднує оцінювачів (Європейська Група Національних Оціночних асоціацій TEGoVA, Міжнародна організація оцінювачів RICS), міжнародній асоціації АССА та міжнародній організації </w:t>
      </w:r>
      <w:r w:rsidRPr="0008193B">
        <w:rPr>
          <w:rFonts w:ascii="Times New Roman" w:hAnsi="Times New Roman"/>
          <w:sz w:val="24"/>
          <w:szCs w:val="24"/>
          <w:lang w:val="en-US"/>
        </w:rPr>
        <w:t>CF</w:t>
      </w:r>
      <w:r w:rsidRPr="0008193B">
        <w:rPr>
          <w:rFonts w:ascii="Times New Roman" w:hAnsi="Times New Roman"/>
          <w:sz w:val="24"/>
          <w:szCs w:val="24"/>
        </w:rPr>
        <w:t xml:space="preserve">А </w:t>
      </w:r>
      <w:r w:rsidRPr="0008193B">
        <w:rPr>
          <w:rFonts w:ascii="Times New Roman" w:hAnsi="Times New Roman"/>
          <w:sz w:val="24"/>
          <w:szCs w:val="24"/>
          <w:lang w:eastAsia="uk-UA"/>
        </w:rPr>
        <w:t xml:space="preserve">навчання, отримання європейського/міжнародного  сертифікату та сплати  щорічного членського внеску не є однаковою та здійснюється у різній іноземній валюті. Для розрахунку взято цінову політику на отримання сертифікату в міжнародній організації </w:t>
      </w:r>
      <w:r w:rsidRPr="0008193B">
        <w:rPr>
          <w:rFonts w:ascii="Times New Roman" w:hAnsi="Times New Roman"/>
          <w:sz w:val="24"/>
          <w:szCs w:val="24"/>
          <w:lang w:val="en-US" w:eastAsia="uk-UA"/>
        </w:rPr>
        <w:t>RICS</w:t>
      </w:r>
      <w:r w:rsidRPr="0008193B">
        <w:rPr>
          <w:rFonts w:ascii="Times New Roman" w:hAnsi="Times New Roman"/>
          <w:sz w:val="24"/>
          <w:szCs w:val="24"/>
          <w:lang w:eastAsia="uk-UA"/>
        </w:rPr>
        <w:t>.</w:t>
      </w:r>
    </w:p>
    <w:p w:rsidR="00F16F01" w:rsidRPr="00003761" w:rsidRDefault="00F16F01" w:rsidP="00BD2A91">
      <w:pPr>
        <w:pStyle w:val="a8"/>
        <w:widowControl w:val="0"/>
        <w:tabs>
          <w:tab w:val="left" w:pos="1875"/>
        </w:tabs>
        <w:ind w:left="284"/>
        <w:jc w:val="both"/>
        <w:rPr>
          <w:rFonts w:ascii="Times New Roman" w:hAnsi="Times New Roman"/>
          <w:sz w:val="24"/>
          <w:szCs w:val="24"/>
          <w:lang w:eastAsia="uk-UA"/>
        </w:rPr>
      </w:pPr>
      <w:r>
        <w:rPr>
          <w:rFonts w:ascii="Times New Roman" w:hAnsi="Times New Roman"/>
          <w:sz w:val="24"/>
          <w:szCs w:val="24"/>
          <w:lang w:eastAsia="uk-UA"/>
        </w:rPr>
        <w:tab/>
      </w:r>
      <w:r w:rsidRPr="0008193B">
        <w:rPr>
          <w:rFonts w:ascii="Times New Roman" w:hAnsi="Times New Roman"/>
          <w:sz w:val="24"/>
          <w:szCs w:val="24"/>
          <w:lang w:eastAsia="uk-UA"/>
        </w:rPr>
        <w:t xml:space="preserve"> В </w:t>
      </w:r>
      <w:r w:rsidRPr="0008193B">
        <w:rPr>
          <w:rFonts w:ascii="Times New Roman" w:hAnsi="Times New Roman"/>
          <w:sz w:val="24"/>
          <w:szCs w:val="24"/>
          <w:lang w:val="en-US" w:eastAsia="uk-UA"/>
        </w:rPr>
        <w:t>RICS</w:t>
      </w:r>
      <w:r w:rsidRPr="0008193B">
        <w:rPr>
          <w:rFonts w:ascii="Times New Roman" w:hAnsi="Times New Roman"/>
          <w:sz w:val="24"/>
          <w:szCs w:val="24"/>
          <w:lang w:eastAsia="uk-UA"/>
        </w:rPr>
        <w:t xml:space="preserve"> найвища цінова політика щодо сплати щорічного членського внеску.</w:t>
      </w:r>
      <w:r>
        <w:rPr>
          <w:rFonts w:ascii="Times New Roman" w:hAnsi="Times New Roman"/>
          <w:sz w:val="24"/>
          <w:szCs w:val="24"/>
          <w:lang w:eastAsia="uk-UA"/>
        </w:rPr>
        <w:t xml:space="preserve"> </w:t>
      </w:r>
      <w:r w:rsidRPr="00003761">
        <w:rPr>
          <w:rFonts w:ascii="Times New Roman" w:hAnsi="Times New Roman"/>
          <w:sz w:val="24"/>
          <w:szCs w:val="24"/>
          <w:lang w:eastAsia="uk-UA"/>
        </w:rPr>
        <w:t xml:space="preserve">Так, </w:t>
      </w:r>
      <w:r w:rsidRPr="00003761">
        <w:rPr>
          <w:rFonts w:ascii="Times New Roman" w:hAnsi="Times New Roman"/>
          <w:sz w:val="24"/>
          <w:szCs w:val="24"/>
        </w:rPr>
        <w:t xml:space="preserve">TEGoVA – 300 Євро; АССА – </w:t>
      </w:r>
      <w:smartTag w:uri="urn:schemas-microsoft-com:office:smarttags" w:element="metricconverter">
        <w:smartTagPr>
          <w:attr w:name="ProductID" w:val="200 фунтів"/>
        </w:smartTagPr>
        <w:r w:rsidRPr="00003761">
          <w:rPr>
            <w:rFonts w:ascii="Times New Roman" w:hAnsi="Times New Roman"/>
            <w:sz w:val="24"/>
            <w:szCs w:val="24"/>
          </w:rPr>
          <w:t>200 фунтів</w:t>
        </w:r>
      </w:smartTag>
      <w:r w:rsidRPr="00003761">
        <w:rPr>
          <w:rFonts w:ascii="Times New Roman" w:hAnsi="Times New Roman"/>
          <w:sz w:val="24"/>
          <w:szCs w:val="24"/>
        </w:rPr>
        <w:t xml:space="preserve"> стерлінгів; </w:t>
      </w:r>
      <w:r>
        <w:rPr>
          <w:rFonts w:ascii="Times New Roman" w:hAnsi="Times New Roman"/>
          <w:sz w:val="24"/>
          <w:szCs w:val="24"/>
        </w:rPr>
        <w:t xml:space="preserve"> </w:t>
      </w:r>
      <w:r w:rsidRPr="00003761">
        <w:rPr>
          <w:rFonts w:ascii="Times New Roman" w:hAnsi="Times New Roman"/>
          <w:sz w:val="24"/>
          <w:szCs w:val="24"/>
          <w:lang w:val="en-US"/>
        </w:rPr>
        <w:t>CF</w:t>
      </w:r>
      <w:r w:rsidRPr="00003761">
        <w:rPr>
          <w:rFonts w:ascii="Times New Roman" w:hAnsi="Times New Roman"/>
          <w:sz w:val="24"/>
          <w:szCs w:val="24"/>
        </w:rPr>
        <w:t>А – 70 дол. США.</w:t>
      </w:r>
    </w:p>
    <w:p w:rsidR="00F16F01" w:rsidRPr="0008193B" w:rsidRDefault="00F16F01" w:rsidP="00833D92">
      <w:pPr>
        <w:pStyle w:val="a8"/>
        <w:widowControl w:val="0"/>
        <w:numPr>
          <w:ilvl w:val="0"/>
          <w:numId w:val="6"/>
        </w:numPr>
        <w:tabs>
          <w:tab w:val="left" w:pos="1875"/>
        </w:tabs>
        <w:rPr>
          <w:rFonts w:ascii="Times New Roman" w:hAnsi="Times New Roman"/>
          <w:sz w:val="24"/>
          <w:szCs w:val="24"/>
          <w:lang w:eastAsia="uk-UA"/>
        </w:rPr>
      </w:pPr>
      <w:r w:rsidRPr="0032360D">
        <w:rPr>
          <w:rFonts w:ascii="Times New Roman" w:hAnsi="Times New Roman"/>
          <w:sz w:val="24"/>
          <w:szCs w:val="24"/>
          <w:lang w:eastAsia="uk-UA"/>
        </w:rPr>
        <w:t>Встановлений Національним банком України курс Євро по відношенню до гривні станом</w:t>
      </w:r>
      <w:r w:rsidR="005D2BFC">
        <w:rPr>
          <w:rFonts w:ascii="Times New Roman" w:hAnsi="Times New Roman"/>
          <w:sz w:val="24"/>
          <w:szCs w:val="24"/>
          <w:lang w:eastAsia="uk-UA"/>
        </w:rPr>
        <w:t xml:space="preserve"> на 22.01</w:t>
      </w:r>
      <w:r w:rsidRPr="0008193B">
        <w:rPr>
          <w:rFonts w:ascii="Times New Roman" w:hAnsi="Times New Roman"/>
          <w:sz w:val="24"/>
          <w:szCs w:val="24"/>
          <w:lang w:eastAsia="uk-UA"/>
        </w:rPr>
        <w:t>.201</w:t>
      </w:r>
      <w:r w:rsidR="005D2BFC">
        <w:rPr>
          <w:rFonts w:ascii="Times New Roman" w:hAnsi="Times New Roman"/>
          <w:sz w:val="24"/>
          <w:szCs w:val="24"/>
          <w:lang w:eastAsia="uk-UA"/>
        </w:rPr>
        <w:t>9</w:t>
      </w:r>
      <w:r w:rsidRPr="0008193B">
        <w:rPr>
          <w:rFonts w:ascii="Times New Roman" w:hAnsi="Times New Roman"/>
          <w:sz w:val="24"/>
          <w:szCs w:val="24"/>
          <w:lang w:eastAsia="uk-UA"/>
        </w:rPr>
        <w:t xml:space="preserve"> складає 3</w:t>
      </w:r>
      <w:r w:rsidR="005D2BFC">
        <w:rPr>
          <w:rFonts w:ascii="Times New Roman" w:hAnsi="Times New Roman"/>
          <w:sz w:val="24"/>
          <w:szCs w:val="24"/>
          <w:lang w:eastAsia="uk-UA"/>
        </w:rPr>
        <w:t>1</w:t>
      </w:r>
      <w:r w:rsidRPr="0008193B">
        <w:rPr>
          <w:rFonts w:ascii="Times New Roman" w:hAnsi="Times New Roman"/>
          <w:sz w:val="24"/>
          <w:szCs w:val="24"/>
          <w:lang w:eastAsia="uk-UA"/>
        </w:rPr>
        <w:t>,</w:t>
      </w:r>
      <w:r w:rsidR="005D2BFC">
        <w:rPr>
          <w:rFonts w:ascii="Times New Roman" w:hAnsi="Times New Roman"/>
          <w:sz w:val="24"/>
          <w:szCs w:val="24"/>
          <w:lang w:eastAsia="uk-UA"/>
        </w:rPr>
        <w:t>76</w:t>
      </w:r>
      <w:r w:rsidRPr="0008193B">
        <w:rPr>
          <w:rFonts w:ascii="Times New Roman" w:hAnsi="Times New Roman"/>
          <w:sz w:val="24"/>
          <w:szCs w:val="24"/>
          <w:lang w:eastAsia="uk-UA"/>
        </w:rPr>
        <w:t xml:space="preserve"> грн.</w:t>
      </w:r>
      <w:r>
        <w:rPr>
          <w:rFonts w:ascii="Times New Roman" w:hAnsi="Times New Roman"/>
          <w:sz w:val="24"/>
          <w:szCs w:val="24"/>
          <w:lang w:eastAsia="uk-UA"/>
        </w:rPr>
        <w:t>;</w:t>
      </w:r>
    </w:p>
    <w:p w:rsidR="00F16F01" w:rsidRPr="0008193B" w:rsidRDefault="00F16F01" w:rsidP="00CB5DBB">
      <w:pPr>
        <w:pStyle w:val="a8"/>
        <w:widowControl w:val="0"/>
        <w:numPr>
          <w:ilvl w:val="0"/>
          <w:numId w:val="6"/>
        </w:numPr>
        <w:tabs>
          <w:tab w:val="left" w:pos="1875"/>
        </w:tabs>
        <w:rPr>
          <w:rFonts w:ascii="Times New Roman" w:hAnsi="Times New Roman"/>
          <w:sz w:val="24"/>
          <w:szCs w:val="24"/>
          <w:lang w:eastAsia="uk-UA"/>
        </w:rPr>
      </w:pPr>
      <w:r w:rsidRPr="0008193B">
        <w:rPr>
          <w:rFonts w:ascii="Times New Roman" w:hAnsi="Times New Roman"/>
          <w:sz w:val="24"/>
          <w:szCs w:val="24"/>
        </w:rPr>
        <w:t>Джерело отримання інформації: інформація, що розміщена на сайті ФДМУ в розділі Державного реєстру «Суб’єкти оціночної діяльності»;</w:t>
      </w:r>
    </w:p>
    <w:p w:rsidR="00F16F01" w:rsidRPr="0008193B" w:rsidRDefault="00F16F01" w:rsidP="00CB5DBB">
      <w:pPr>
        <w:pStyle w:val="a8"/>
        <w:widowControl w:val="0"/>
        <w:numPr>
          <w:ilvl w:val="0"/>
          <w:numId w:val="6"/>
        </w:numPr>
        <w:tabs>
          <w:tab w:val="left" w:pos="1875"/>
        </w:tabs>
        <w:rPr>
          <w:rFonts w:ascii="Times New Roman" w:hAnsi="Times New Roman"/>
          <w:sz w:val="24"/>
          <w:szCs w:val="24"/>
          <w:lang w:eastAsia="uk-UA"/>
        </w:rPr>
      </w:pPr>
      <w:r w:rsidRPr="0008193B">
        <w:rPr>
          <w:rFonts w:ascii="Times New Roman" w:hAnsi="Times New Roman"/>
          <w:sz w:val="24"/>
          <w:szCs w:val="24"/>
        </w:rPr>
        <w:t xml:space="preserve">Джерело отримання інформації: </w:t>
      </w:r>
      <w:r w:rsidRPr="0008193B">
        <w:rPr>
          <w:rFonts w:ascii="Times New Roman" w:hAnsi="Times New Roman"/>
          <w:kern w:val="36"/>
          <w:sz w:val="24"/>
          <w:szCs w:val="24"/>
          <w:lang w:eastAsia="uk-UA"/>
        </w:rPr>
        <w:t xml:space="preserve">лист </w:t>
      </w:r>
      <w:r w:rsidRPr="0008193B">
        <w:rPr>
          <w:rFonts w:ascii="Times New Roman" w:hAnsi="Times New Roman"/>
          <w:bCs/>
          <w:sz w:val="24"/>
          <w:szCs w:val="24"/>
        </w:rPr>
        <w:t>Міністерства соціальної політики України</w:t>
      </w:r>
      <w:r w:rsidRPr="0008193B">
        <w:rPr>
          <w:rFonts w:ascii="Times New Roman" w:hAnsi="Times New Roman"/>
          <w:kern w:val="36"/>
          <w:sz w:val="24"/>
          <w:szCs w:val="24"/>
          <w:lang w:eastAsia="uk-UA"/>
        </w:rPr>
        <w:t xml:space="preserve"> </w:t>
      </w:r>
      <w:r w:rsidRPr="0008193B">
        <w:rPr>
          <w:rFonts w:ascii="Times New Roman" w:hAnsi="Times New Roman"/>
          <w:bCs/>
          <w:color w:val="000000"/>
          <w:sz w:val="24"/>
          <w:szCs w:val="24"/>
        </w:rPr>
        <w:t xml:space="preserve">від 19.10.2017 № 224/0/103-17/214 </w:t>
      </w:r>
      <w:r w:rsidRPr="0008193B">
        <w:rPr>
          <w:rFonts w:ascii="Times New Roman" w:hAnsi="Times New Roman"/>
          <w:kern w:val="36"/>
          <w:sz w:val="24"/>
          <w:szCs w:val="24"/>
          <w:lang w:eastAsia="uk-UA"/>
        </w:rPr>
        <w:t xml:space="preserve">«Про розрахунок норми тривалості робочого часу на 2018 рік». </w:t>
      </w:r>
    </w:p>
    <w:p w:rsidR="00F16F01" w:rsidRPr="0008193B" w:rsidRDefault="00F16F01" w:rsidP="00CB5DBB">
      <w:pPr>
        <w:pStyle w:val="a8"/>
        <w:widowControl w:val="0"/>
        <w:numPr>
          <w:ilvl w:val="0"/>
          <w:numId w:val="6"/>
        </w:numPr>
        <w:tabs>
          <w:tab w:val="left" w:pos="1875"/>
        </w:tabs>
        <w:rPr>
          <w:rFonts w:ascii="Times New Roman" w:hAnsi="Times New Roman"/>
          <w:sz w:val="24"/>
          <w:szCs w:val="24"/>
          <w:lang w:eastAsia="uk-UA"/>
        </w:rPr>
      </w:pPr>
      <w:r w:rsidRPr="0008193B">
        <w:rPr>
          <w:rFonts w:ascii="Times New Roman" w:hAnsi="Times New Roman"/>
          <w:sz w:val="24"/>
          <w:szCs w:val="24"/>
        </w:rPr>
        <w:t>Інформація є оціночною та отримана за результатами проведених консультацій (наведено у таблиці пункту 1 цього М-тесту).</w:t>
      </w:r>
    </w:p>
    <w:p w:rsidR="00F16F01" w:rsidRDefault="00F16F01" w:rsidP="006E483F">
      <w:pPr>
        <w:widowControl w:val="0"/>
        <w:spacing w:after="0" w:line="240" w:lineRule="auto"/>
        <w:rPr>
          <w:rFonts w:ascii="Times New Roman" w:hAnsi="Times New Roman"/>
          <w:b/>
          <w:sz w:val="24"/>
          <w:szCs w:val="24"/>
          <w:lang w:eastAsia="uk-UA"/>
        </w:rPr>
      </w:pPr>
      <w:r w:rsidRPr="0008193B">
        <w:rPr>
          <w:rFonts w:ascii="Times New Roman" w:hAnsi="Times New Roman"/>
          <w:b/>
          <w:sz w:val="24"/>
          <w:szCs w:val="24"/>
          <w:lang w:eastAsia="uk-UA"/>
        </w:rPr>
        <w:br w:type="page"/>
      </w:r>
    </w:p>
    <w:p w:rsidR="00525D43" w:rsidRPr="0008193B" w:rsidRDefault="00525D43" w:rsidP="006E483F">
      <w:pPr>
        <w:widowControl w:val="0"/>
        <w:spacing w:after="0" w:line="240" w:lineRule="auto"/>
        <w:rPr>
          <w:rFonts w:ascii="Times New Roman" w:hAnsi="Times New Roman"/>
          <w:b/>
          <w:sz w:val="24"/>
          <w:szCs w:val="24"/>
          <w:lang w:eastAsia="uk-UA"/>
        </w:rPr>
      </w:pPr>
    </w:p>
    <w:p w:rsidR="00F16F01" w:rsidRPr="00073517" w:rsidRDefault="00F16F01" w:rsidP="004B68C9">
      <w:pPr>
        <w:widowControl w:val="0"/>
        <w:spacing w:after="0" w:line="240" w:lineRule="auto"/>
        <w:ind w:firstLine="708"/>
        <w:rPr>
          <w:rFonts w:ascii="Times New Roman" w:hAnsi="Times New Roman"/>
          <w:b/>
          <w:sz w:val="24"/>
          <w:szCs w:val="24"/>
          <w:lang w:eastAsia="uk-UA"/>
        </w:rPr>
      </w:pPr>
      <w:r w:rsidRPr="00073517">
        <w:rPr>
          <w:rFonts w:ascii="Times New Roman" w:hAnsi="Times New Roman"/>
          <w:b/>
          <w:sz w:val="24"/>
          <w:szCs w:val="24"/>
          <w:lang w:eastAsia="uk-UA"/>
        </w:rPr>
        <w:t>Бюджетні витрати на адміністрування регулювання суб'єктів малого підприємництва</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8"/>
        <w:gridCol w:w="1980"/>
        <w:gridCol w:w="2160"/>
        <w:gridCol w:w="1980"/>
        <w:gridCol w:w="2520"/>
        <w:gridCol w:w="1980"/>
      </w:tblGrid>
      <w:tr w:rsidR="00F16F01" w:rsidRPr="00357994" w:rsidTr="00D5473B">
        <w:trPr>
          <w:cantSplit/>
          <w:trHeight w:val="3384"/>
        </w:trPr>
        <w:tc>
          <w:tcPr>
            <w:tcW w:w="4428"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98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Планові витрати часу на процедуру</w:t>
            </w:r>
          </w:p>
        </w:tc>
        <w:tc>
          <w:tcPr>
            <w:tcW w:w="216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Вартість часу співробітника органу державної влади відповідної категорії (заробітна плата)</w:t>
            </w:r>
          </w:p>
        </w:tc>
        <w:tc>
          <w:tcPr>
            <w:tcW w:w="198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Оцінка кількості процедур за рік, що припадають на одного суб’єкта</w:t>
            </w:r>
          </w:p>
        </w:tc>
        <w:tc>
          <w:tcPr>
            <w:tcW w:w="252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Оцінка кількості  суб’єктів, що підпадають під дію процедури регулювання</w:t>
            </w:r>
          </w:p>
        </w:tc>
        <w:tc>
          <w:tcPr>
            <w:tcW w:w="198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Витрати на адміністрування регулювання* (за рік), гривень</w:t>
            </w:r>
          </w:p>
        </w:tc>
      </w:tr>
      <w:tr w:rsidR="00525D43" w:rsidRPr="00357994" w:rsidTr="00D5473B">
        <w:tc>
          <w:tcPr>
            <w:tcW w:w="4428" w:type="dxa"/>
          </w:tcPr>
          <w:p w:rsidR="00525D43" w:rsidRDefault="00525D43" w:rsidP="00525D43">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1. Облік суб’єкта господарювання, що перебуває у сфері регулювання.</w:t>
            </w:r>
          </w:p>
          <w:p w:rsidR="00356B76" w:rsidRPr="00073517" w:rsidRDefault="00356B76" w:rsidP="00356B76">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Опрацювання 1 пакету документів</w:t>
            </w:r>
          </w:p>
          <w:p w:rsidR="00356B76" w:rsidRPr="00073517" w:rsidRDefault="00356B76" w:rsidP="00525D43">
            <w:pPr>
              <w:widowControl w:val="0"/>
              <w:spacing w:after="0" w:line="240" w:lineRule="auto"/>
              <w:jc w:val="both"/>
              <w:textAlignment w:val="baseline"/>
              <w:rPr>
                <w:rFonts w:ascii="Times New Roman" w:hAnsi="Times New Roman"/>
                <w:sz w:val="24"/>
                <w:szCs w:val="24"/>
                <w:lang w:eastAsia="ru-RU"/>
              </w:rPr>
            </w:pPr>
          </w:p>
        </w:tc>
        <w:tc>
          <w:tcPr>
            <w:tcW w:w="1980" w:type="dxa"/>
          </w:tcPr>
          <w:p w:rsidR="00525D43" w:rsidRPr="00073517" w:rsidRDefault="00525D43" w:rsidP="00525D43">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3 год.</w:t>
            </w:r>
          </w:p>
        </w:tc>
        <w:tc>
          <w:tcPr>
            <w:tcW w:w="2160" w:type="dxa"/>
          </w:tcPr>
          <w:p w:rsidR="00525D43" w:rsidRPr="00073517" w:rsidRDefault="00525D43" w:rsidP="00525D43">
            <w:pPr>
              <w:widowControl w:val="0"/>
              <w:spacing w:after="0" w:line="240" w:lineRule="auto"/>
              <w:ind w:firstLine="6"/>
              <w:jc w:val="center"/>
              <w:textAlignment w:val="baseline"/>
              <w:rPr>
                <w:rFonts w:ascii="Times New Roman" w:hAnsi="Times New Roman"/>
                <w:sz w:val="24"/>
                <w:szCs w:val="24"/>
                <w:highlight w:val="white"/>
                <w:lang w:eastAsia="ru-RU"/>
              </w:rPr>
            </w:pPr>
            <w:r w:rsidRPr="00073517">
              <w:rPr>
                <w:rFonts w:ascii="Times New Roman" w:hAnsi="Times New Roman"/>
                <w:sz w:val="24"/>
                <w:szCs w:val="24"/>
                <w:highlight w:val="white"/>
                <w:lang w:eastAsia="ru-RU"/>
              </w:rPr>
              <w:t xml:space="preserve">Норма робочого часу на 2018 рік становить при 40-годинному робочому тижні 1994 год. </w:t>
            </w:r>
          </w:p>
          <w:p w:rsidR="00525D43" w:rsidRPr="00073517" w:rsidRDefault="00525D43" w:rsidP="00525D43">
            <w:pPr>
              <w:widowControl w:val="0"/>
              <w:spacing w:after="0" w:line="240" w:lineRule="auto"/>
              <w:ind w:firstLine="6"/>
              <w:jc w:val="center"/>
              <w:textAlignment w:val="baseline"/>
              <w:rPr>
                <w:rFonts w:ascii="Times New Roman" w:hAnsi="Times New Roman"/>
                <w:sz w:val="24"/>
                <w:szCs w:val="24"/>
                <w:highlight w:val="white"/>
                <w:vertAlign w:val="superscript"/>
                <w:lang w:val="ru-RU" w:eastAsia="ru-RU"/>
              </w:rPr>
            </w:pPr>
            <w:r w:rsidRPr="00073517">
              <w:rPr>
                <w:rFonts w:ascii="Times New Roman" w:hAnsi="Times New Roman"/>
                <w:sz w:val="24"/>
                <w:szCs w:val="24"/>
                <w:highlight w:val="white"/>
                <w:lang w:eastAsia="ru-RU"/>
              </w:rPr>
              <w:t>Середньомісячна заробітна плата пра</w:t>
            </w:r>
            <w:r>
              <w:rPr>
                <w:rFonts w:ascii="Times New Roman" w:hAnsi="Times New Roman"/>
                <w:sz w:val="24"/>
                <w:szCs w:val="24"/>
                <w:highlight w:val="white"/>
                <w:lang w:eastAsia="ru-RU"/>
              </w:rPr>
              <w:t>цівника Комісії становить 7702,</w:t>
            </w:r>
            <w:r w:rsidRPr="00073517">
              <w:rPr>
                <w:rFonts w:ascii="Times New Roman" w:hAnsi="Times New Roman"/>
                <w:sz w:val="24"/>
                <w:szCs w:val="24"/>
                <w:highlight w:val="white"/>
                <w:lang w:eastAsia="ru-RU"/>
              </w:rPr>
              <w:t>54 грн.</w:t>
            </w:r>
            <w:r w:rsidRPr="00073517">
              <w:rPr>
                <w:rFonts w:ascii="Times New Roman" w:hAnsi="Times New Roman"/>
                <w:sz w:val="24"/>
                <w:szCs w:val="24"/>
                <w:highlight w:val="white"/>
                <w:vertAlign w:val="superscript"/>
                <w:lang w:val="ru-RU" w:eastAsia="ru-RU"/>
              </w:rPr>
              <w:t>1</w:t>
            </w:r>
          </w:p>
          <w:p w:rsidR="00525D43" w:rsidRPr="00073517" w:rsidRDefault="00525D43" w:rsidP="00525D43">
            <w:pPr>
              <w:widowControl w:val="0"/>
              <w:spacing w:after="0" w:line="240" w:lineRule="auto"/>
              <w:ind w:firstLine="6"/>
              <w:jc w:val="center"/>
              <w:textAlignment w:val="baseline"/>
              <w:rPr>
                <w:rFonts w:ascii="Times New Roman" w:hAnsi="Times New Roman"/>
                <w:sz w:val="24"/>
                <w:szCs w:val="24"/>
                <w:highlight w:val="white"/>
                <w:lang w:eastAsia="ru-RU"/>
              </w:rPr>
            </w:pPr>
            <w:r w:rsidRPr="00073517">
              <w:rPr>
                <w:rFonts w:ascii="Times New Roman" w:hAnsi="Times New Roman"/>
                <w:sz w:val="24"/>
                <w:szCs w:val="24"/>
                <w:highlight w:val="white"/>
                <w:lang w:eastAsia="ru-RU"/>
              </w:rPr>
              <w:t>Розрахунок вартості 1 людино-години</w:t>
            </w:r>
          </w:p>
          <w:p w:rsidR="00525D43" w:rsidRPr="00073517" w:rsidRDefault="00525D43" w:rsidP="00525D43">
            <w:pPr>
              <w:widowControl w:val="0"/>
              <w:spacing w:after="0" w:line="240" w:lineRule="auto"/>
              <w:jc w:val="center"/>
              <w:rPr>
                <w:rFonts w:ascii="Times New Roman" w:hAnsi="Times New Roman"/>
                <w:sz w:val="24"/>
                <w:szCs w:val="24"/>
                <w:lang w:eastAsia="ru-RU"/>
              </w:rPr>
            </w:pPr>
            <w:r w:rsidRPr="00073517">
              <w:rPr>
                <w:rFonts w:ascii="Times New Roman" w:hAnsi="Times New Roman"/>
                <w:sz w:val="24"/>
                <w:szCs w:val="24"/>
                <w:highlight w:val="white"/>
                <w:lang w:eastAsia="ru-RU"/>
              </w:rPr>
              <w:t xml:space="preserve">7702,54 </w:t>
            </w:r>
            <w:r w:rsidRPr="00D12FFC">
              <w:rPr>
                <w:rFonts w:ascii="Times New Roman" w:hAnsi="Times New Roman"/>
                <w:sz w:val="24"/>
                <w:szCs w:val="24"/>
                <w:lang w:eastAsia="uk-UA"/>
              </w:rPr>
              <w:t>х</w:t>
            </w:r>
            <w:r w:rsidRPr="00073517">
              <w:rPr>
                <w:rFonts w:ascii="Times New Roman" w:hAnsi="Times New Roman"/>
                <w:sz w:val="24"/>
                <w:szCs w:val="24"/>
                <w:highlight w:val="white"/>
                <w:lang w:eastAsia="ru-RU"/>
              </w:rPr>
              <w:t xml:space="preserve"> 12 : 1994 = 46</w:t>
            </w:r>
            <w:r>
              <w:rPr>
                <w:rFonts w:ascii="Times New Roman" w:hAnsi="Times New Roman"/>
                <w:sz w:val="24"/>
                <w:szCs w:val="24"/>
                <w:highlight w:val="white"/>
                <w:lang w:eastAsia="ru-RU"/>
              </w:rPr>
              <w:t>,</w:t>
            </w:r>
            <w:r w:rsidRPr="00073517">
              <w:rPr>
                <w:rFonts w:ascii="Times New Roman" w:hAnsi="Times New Roman"/>
                <w:sz w:val="24"/>
                <w:szCs w:val="24"/>
                <w:highlight w:val="white"/>
                <w:lang w:eastAsia="ru-RU"/>
              </w:rPr>
              <w:t>35 грн.</w:t>
            </w:r>
          </w:p>
          <w:p w:rsidR="00525D43" w:rsidRPr="00073517" w:rsidRDefault="00525D43" w:rsidP="00525D43">
            <w:pPr>
              <w:widowControl w:val="0"/>
              <w:spacing w:after="0" w:line="240" w:lineRule="auto"/>
              <w:jc w:val="center"/>
              <w:rPr>
                <w:rFonts w:ascii="Times New Roman" w:hAnsi="Times New Roman"/>
                <w:sz w:val="24"/>
                <w:szCs w:val="24"/>
                <w:lang w:eastAsia="ru-RU"/>
              </w:rPr>
            </w:pPr>
            <w:r w:rsidRPr="00073517">
              <w:rPr>
                <w:rFonts w:ascii="Times New Roman" w:hAnsi="Times New Roman"/>
                <w:sz w:val="24"/>
                <w:szCs w:val="24"/>
                <w:lang w:eastAsia="ru-RU"/>
              </w:rPr>
              <w:t>3 год.</w:t>
            </w:r>
            <w:r w:rsidRPr="00073517">
              <w:rPr>
                <w:rFonts w:ascii="Times New Roman" w:hAnsi="Times New Roman"/>
                <w:sz w:val="24"/>
                <w:szCs w:val="24"/>
                <w:lang w:val="ru-RU" w:eastAsia="ru-RU"/>
              </w:rPr>
              <w:t xml:space="preserve"> </w:t>
            </w:r>
            <w:r w:rsidRPr="00D12FFC">
              <w:rPr>
                <w:rFonts w:ascii="Times New Roman" w:hAnsi="Times New Roman"/>
                <w:sz w:val="24"/>
                <w:szCs w:val="24"/>
                <w:lang w:eastAsia="uk-UA"/>
              </w:rPr>
              <w:t>х</w:t>
            </w:r>
            <w:r w:rsidRPr="00073517">
              <w:rPr>
                <w:rFonts w:ascii="Times New Roman" w:hAnsi="Times New Roman"/>
                <w:sz w:val="24"/>
                <w:szCs w:val="24"/>
                <w:lang w:val="ru-RU" w:eastAsia="ru-RU"/>
              </w:rPr>
              <w:t xml:space="preserve"> 46</w:t>
            </w:r>
            <w:r>
              <w:rPr>
                <w:rFonts w:ascii="Times New Roman" w:hAnsi="Times New Roman"/>
                <w:sz w:val="24"/>
                <w:szCs w:val="24"/>
                <w:lang w:val="ru-RU" w:eastAsia="ru-RU"/>
              </w:rPr>
              <w:t>,</w:t>
            </w:r>
            <w:r w:rsidRPr="00073517">
              <w:rPr>
                <w:rFonts w:ascii="Times New Roman" w:hAnsi="Times New Roman"/>
                <w:sz w:val="24"/>
                <w:szCs w:val="24"/>
                <w:lang w:eastAsia="ru-RU"/>
              </w:rPr>
              <w:t>35 грн.</w:t>
            </w:r>
            <w:r w:rsidRPr="00073517">
              <w:rPr>
                <w:rFonts w:ascii="Times New Roman" w:hAnsi="Times New Roman"/>
                <w:sz w:val="24"/>
                <w:szCs w:val="24"/>
                <w:highlight w:val="white"/>
                <w:lang w:eastAsia="ru-RU"/>
              </w:rPr>
              <w:t xml:space="preserve"> =</w:t>
            </w:r>
            <w:r w:rsidRPr="00073517">
              <w:rPr>
                <w:rFonts w:ascii="Times New Roman" w:hAnsi="Times New Roman"/>
                <w:sz w:val="24"/>
                <w:szCs w:val="24"/>
                <w:lang w:eastAsia="ru-RU"/>
              </w:rPr>
              <w:t xml:space="preserve"> 139</w:t>
            </w:r>
            <w:r>
              <w:rPr>
                <w:rFonts w:ascii="Times New Roman" w:hAnsi="Times New Roman"/>
                <w:sz w:val="24"/>
                <w:szCs w:val="24"/>
                <w:lang w:eastAsia="ru-RU"/>
              </w:rPr>
              <w:t>,</w:t>
            </w:r>
            <w:r w:rsidRPr="00073517">
              <w:rPr>
                <w:rFonts w:ascii="Times New Roman" w:hAnsi="Times New Roman"/>
                <w:sz w:val="24"/>
                <w:szCs w:val="24"/>
                <w:lang w:eastAsia="ru-RU"/>
              </w:rPr>
              <w:t>0</w:t>
            </w:r>
            <w:r>
              <w:rPr>
                <w:rFonts w:ascii="Times New Roman" w:hAnsi="Times New Roman"/>
                <w:sz w:val="24"/>
                <w:szCs w:val="24"/>
                <w:lang w:eastAsia="ru-RU"/>
              </w:rPr>
              <w:t>5</w:t>
            </w:r>
            <w:r w:rsidRPr="00073517">
              <w:rPr>
                <w:rFonts w:ascii="Times New Roman" w:hAnsi="Times New Roman"/>
                <w:sz w:val="24"/>
                <w:szCs w:val="24"/>
                <w:lang w:eastAsia="ru-RU"/>
              </w:rPr>
              <w:t xml:space="preserve"> грн.</w:t>
            </w:r>
          </w:p>
        </w:tc>
        <w:tc>
          <w:tcPr>
            <w:tcW w:w="1980" w:type="dxa"/>
          </w:tcPr>
          <w:p w:rsidR="00525D43" w:rsidRPr="00073517" w:rsidRDefault="00525D43" w:rsidP="00525D43">
            <w:pPr>
              <w:widowControl w:val="0"/>
              <w:spacing w:after="0" w:line="240" w:lineRule="auto"/>
              <w:jc w:val="center"/>
              <w:rPr>
                <w:rFonts w:ascii="Times New Roman" w:hAnsi="Times New Roman"/>
                <w:sz w:val="24"/>
                <w:szCs w:val="24"/>
                <w:lang w:eastAsia="ru-RU"/>
              </w:rPr>
            </w:pPr>
            <w:r w:rsidRPr="00073517">
              <w:rPr>
                <w:rFonts w:ascii="Times New Roman" w:hAnsi="Times New Roman"/>
                <w:sz w:val="24"/>
                <w:szCs w:val="24"/>
                <w:lang w:eastAsia="ru-RU"/>
              </w:rPr>
              <w:t>1 процедура</w:t>
            </w:r>
          </w:p>
        </w:tc>
        <w:tc>
          <w:tcPr>
            <w:tcW w:w="2520" w:type="dxa"/>
          </w:tcPr>
          <w:p w:rsidR="00525D43" w:rsidRPr="00073517" w:rsidRDefault="002B7E58" w:rsidP="00525D43">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1356</w:t>
            </w:r>
          </w:p>
        </w:tc>
        <w:tc>
          <w:tcPr>
            <w:tcW w:w="1980" w:type="dxa"/>
          </w:tcPr>
          <w:p w:rsidR="00525D43" w:rsidRPr="00073517" w:rsidRDefault="002B7E58" w:rsidP="00525D43">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188 551,80</w:t>
            </w:r>
            <w:r w:rsidR="00525D43">
              <w:rPr>
                <w:rFonts w:ascii="Times New Roman" w:hAnsi="Times New Roman"/>
                <w:sz w:val="24"/>
                <w:szCs w:val="24"/>
                <w:lang w:eastAsia="ru-RU"/>
              </w:rPr>
              <w:t xml:space="preserve"> грн.</w:t>
            </w: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2. Поточний контроль за суб’єктом господарювання, що перебуває у сфері регулювання, у тому числі:</w:t>
            </w:r>
          </w:p>
        </w:tc>
        <w:tc>
          <w:tcPr>
            <w:tcW w:w="1980"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камеральні</w:t>
            </w: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виїзні</w:t>
            </w: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 xml:space="preserve">3. Підготовка, затвердження та опрацювання одного окремого акта про </w:t>
            </w:r>
            <w:r w:rsidRPr="00073517">
              <w:rPr>
                <w:rFonts w:ascii="Times New Roman" w:hAnsi="Times New Roman"/>
                <w:sz w:val="24"/>
                <w:szCs w:val="24"/>
                <w:lang w:eastAsia="ru-RU"/>
              </w:rPr>
              <w:lastRenderedPageBreak/>
              <w:t>порушення вимог регулювання</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r>
      <w:tr w:rsidR="00F16F01" w:rsidRPr="00357994" w:rsidTr="006E483F">
        <w:trPr>
          <w:trHeight w:val="160"/>
        </w:trPr>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4. Реалізація одного окремого рішення щодо порушення вимог регулювання</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5. Оскарження одного окремого рішення суб’єктами господарювання</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6. Підготовка звітності за результатами регулювання</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7. Інші адміністративні процедури (уточнити):</w:t>
            </w:r>
            <w:r w:rsidR="00356B76">
              <w:rPr>
                <w:rFonts w:ascii="Times New Roman" w:hAnsi="Times New Roman"/>
                <w:sz w:val="24"/>
                <w:szCs w:val="24"/>
                <w:lang w:eastAsia="ru-RU"/>
              </w:rPr>
              <w:t xml:space="preserve"> оприлюднення на офіційному веб-сайті Комісії</w:t>
            </w:r>
            <w:r w:rsidRPr="00073517">
              <w:rPr>
                <w:rFonts w:ascii="Times New Roman" w:hAnsi="Times New Roman"/>
                <w:sz w:val="24"/>
                <w:szCs w:val="24"/>
                <w:lang w:eastAsia="ru-RU"/>
              </w:rPr>
              <w:t> </w:t>
            </w:r>
          </w:p>
          <w:p w:rsidR="00F16F01" w:rsidRPr="00073517" w:rsidRDefault="00F16F01" w:rsidP="00356B76">
            <w:pPr>
              <w:widowControl w:val="0"/>
              <w:spacing w:after="0" w:line="240" w:lineRule="auto"/>
              <w:jc w:val="both"/>
              <w:textAlignment w:val="baseline"/>
              <w:rPr>
                <w:rFonts w:ascii="Times New Roman" w:hAnsi="Times New Roman"/>
                <w:sz w:val="24"/>
                <w:szCs w:val="24"/>
                <w:lang w:eastAsia="ru-RU"/>
              </w:rPr>
            </w:pPr>
          </w:p>
        </w:tc>
        <w:tc>
          <w:tcPr>
            <w:tcW w:w="1980" w:type="dxa"/>
          </w:tcPr>
          <w:p w:rsidR="00F16F01" w:rsidRPr="00073517" w:rsidRDefault="00356B76" w:rsidP="006E483F">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 год.</w:t>
            </w:r>
          </w:p>
        </w:tc>
        <w:tc>
          <w:tcPr>
            <w:tcW w:w="2160" w:type="dxa"/>
          </w:tcPr>
          <w:p w:rsidR="00F16F01" w:rsidRPr="00073517" w:rsidRDefault="00356B76" w:rsidP="00356B76">
            <w:pPr>
              <w:widowControl w:val="0"/>
              <w:spacing w:after="0" w:line="240" w:lineRule="auto"/>
              <w:jc w:val="center"/>
              <w:rPr>
                <w:rFonts w:ascii="Times New Roman" w:hAnsi="Times New Roman"/>
                <w:sz w:val="24"/>
                <w:szCs w:val="24"/>
                <w:vertAlign w:val="subscript"/>
                <w:lang w:eastAsia="ru-RU"/>
              </w:rPr>
            </w:pPr>
            <w:r>
              <w:rPr>
                <w:rFonts w:ascii="Times New Roman" w:hAnsi="Times New Roman"/>
                <w:sz w:val="24"/>
                <w:szCs w:val="24"/>
                <w:lang w:eastAsia="ru-RU"/>
              </w:rPr>
              <w:t>0,</w:t>
            </w:r>
            <w:r w:rsidRPr="00073517">
              <w:rPr>
                <w:rFonts w:ascii="Times New Roman" w:hAnsi="Times New Roman"/>
                <w:sz w:val="24"/>
                <w:szCs w:val="24"/>
                <w:lang w:eastAsia="ru-RU"/>
              </w:rPr>
              <w:t>3 год.</w:t>
            </w:r>
            <w:r w:rsidRPr="00073517">
              <w:rPr>
                <w:rFonts w:ascii="Times New Roman" w:hAnsi="Times New Roman"/>
                <w:sz w:val="24"/>
                <w:szCs w:val="24"/>
                <w:lang w:val="ru-RU" w:eastAsia="ru-RU"/>
              </w:rPr>
              <w:t xml:space="preserve"> </w:t>
            </w:r>
            <w:r w:rsidRPr="00D12FFC">
              <w:rPr>
                <w:rFonts w:ascii="Times New Roman" w:hAnsi="Times New Roman"/>
                <w:sz w:val="24"/>
                <w:szCs w:val="24"/>
                <w:lang w:eastAsia="uk-UA"/>
              </w:rPr>
              <w:t>х</w:t>
            </w:r>
            <w:r w:rsidRPr="00073517">
              <w:rPr>
                <w:rFonts w:ascii="Times New Roman" w:hAnsi="Times New Roman"/>
                <w:sz w:val="24"/>
                <w:szCs w:val="24"/>
                <w:lang w:val="ru-RU" w:eastAsia="ru-RU"/>
              </w:rPr>
              <w:t xml:space="preserve"> 46</w:t>
            </w:r>
            <w:r>
              <w:rPr>
                <w:rFonts w:ascii="Times New Roman" w:hAnsi="Times New Roman"/>
                <w:sz w:val="24"/>
                <w:szCs w:val="24"/>
                <w:lang w:val="ru-RU" w:eastAsia="ru-RU"/>
              </w:rPr>
              <w:t>,</w:t>
            </w:r>
            <w:r w:rsidRPr="00073517">
              <w:rPr>
                <w:rFonts w:ascii="Times New Roman" w:hAnsi="Times New Roman"/>
                <w:sz w:val="24"/>
                <w:szCs w:val="24"/>
                <w:lang w:eastAsia="ru-RU"/>
              </w:rPr>
              <w:t>35 грн.</w:t>
            </w:r>
            <w:r w:rsidRPr="00073517">
              <w:rPr>
                <w:rFonts w:ascii="Times New Roman" w:hAnsi="Times New Roman"/>
                <w:sz w:val="24"/>
                <w:szCs w:val="24"/>
                <w:highlight w:val="white"/>
                <w:lang w:eastAsia="ru-RU"/>
              </w:rPr>
              <w:t xml:space="preserve"> =</w:t>
            </w:r>
            <w:r w:rsidRPr="00073517">
              <w:rPr>
                <w:rFonts w:ascii="Times New Roman" w:hAnsi="Times New Roman"/>
                <w:sz w:val="24"/>
                <w:szCs w:val="24"/>
                <w:lang w:eastAsia="ru-RU"/>
              </w:rPr>
              <w:t xml:space="preserve"> 13</w:t>
            </w:r>
            <w:r>
              <w:rPr>
                <w:rFonts w:ascii="Times New Roman" w:hAnsi="Times New Roman"/>
                <w:sz w:val="24"/>
                <w:szCs w:val="24"/>
                <w:lang w:eastAsia="ru-RU"/>
              </w:rPr>
              <w:t>,</w:t>
            </w:r>
            <w:r w:rsidRPr="00073517">
              <w:rPr>
                <w:rFonts w:ascii="Times New Roman" w:hAnsi="Times New Roman"/>
                <w:sz w:val="24"/>
                <w:szCs w:val="24"/>
                <w:lang w:eastAsia="ru-RU"/>
              </w:rPr>
              <w:t>9</w:t>
            </w:r>
            <w:r>
              <w:rPr>
                <w:rFonts w:ascii="Times New Roman" w:hAnsi="Times New Roman"/>
                <w:sz w:val="24"/>
                <w:szCs w:val="24"/>
                <w:lang w:eastAsia="ru-RU"/>
              </w:rPr>
              <w:t>1</w:t>
            </w:r>
            <w:r w:rsidRPr="00073517">
              <w:rPr>
                <w:rFonts w:ascii="Times New Roman" w:hAnsi="Times New Roman"/>
                <w:sz w:val="24"/>
                <w:szCs w:val="24"/>
                <w:lang w:eastAsia="ru-RU"/>
              </w:rPr>
              <w:t xml:space="preserve"> грн.</w:t>
            </w:r>
          </w:p>
        </w:tc>
        <w:tc>
          <w:tcPr>
            <w:tcW w:w="1980" w:type="dxa"/>
          </w:tcPr>
          <w:p w:rsidR="00F16F01" w:rsidRPr="00073517" w:rsidRDefault="00525D43" w:rsidP="006E483F">
            <w:pPr>
              <w:widowControl w:val="0"/>
              <w:spacing w:after="0" w:line="240" w:lineRule="auto"/>
              <w:jc w:val="center"/>
              <w:rPr>
                <w:rFonts w:ascii="Times New Roman" w:hAnsi="Times New Roman"/>
                <w:sz w:val="24"/>
                <w:szCs w:val="24"/>
                <w:lang w:eastAsia="ru-RU"/>
              </w:rPr>
            </w:pPr>
            <w:r w:rsidRPr="00073517">
              <w:rPr>
                <w:rFonts w:ascii="Times New Roman" w:hAnsi="Times New Roman"/>
                <w:sz w:val="24"/>
                <w:szCs w:val="24"/>
                <w:lang w:eastAsia="ru-RU"/>
              </w:rPr>
              <w:t>1 процедура</w:t>
            </w:r>
          </w:p>
        </w:tc>
        <w:tc>
          <w:tcPr>
            <w:tcW w:w="2520" w:type="dxa"/>
          </w:tcPr>
          <w:p w:rsidR="00F16F01" w:rsidRPr="00073517" w:rsidRDefault="002B7E58" w:rsidP="006E483F">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1356</w:t>
            </w:r>
          </w:p>
        </w:tc>
        <w:tc>
          <w:tcPr>
            <w:tcW w:w="1980" w:type="dxa"/>
          </w:tcPr>
          <w:p w:rsidR="00F16F01" w:rsidRPr="00073517" w:rsidRDefault="002B7E58" w:rsidP="006E483F">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18 861,96</w:t>
            </w:r>
            <w:r w:rsidR="00356B76">
              <w:rPr>
                <w:rFonts w:ascii="Times New Roman" w:hAnsi="Times New Roman"/>
                <w:sz w:val="24"/>
                <w:szCs w:val="24"/>
                <w:lang w:eastAsia="ru-RU"/>
              </w:rPr>
              <w:t xml:space="preserve"> грн.</w:t>
            </w:r>
          </w:p>
        </w:tc>
      </w:tr>
      <w:tr w:rsidR="002B7E58" w:rsidRPr="00357994" w:rsidTr="00D5473B">
        <w:tc>
          <w:tcPr>
            <w:tcW w:w="4428" w:type="dxa"/>
          </w:tcPr>
          <w:p w:rsidR="002B7E58" w:rsidRPr="00073517" w:rsidRDefault="002B7E58" w:rsidP="002B7E58">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Разом за рік</w:t>
            </w:r>
          </w:p>
        </w:tc>
        <w:tc>
          <w:tcPr>
            <w:tcW w:w="1980" w:type="dxa"/>
          </w:tcPr>
          <w:p w:rsidR="002B7E58" w:rsidRPr="00073517" w:rsidRDefault="002B7E58" w:rsidP="00CE0569">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w:t>
            </w:r>
          </w:p>
        </w:tc>
        <w:tc>
          <w:tcPr>
            <w:tcW w:w="2160" w:type="dxa"/>
          </w:tcPr>
          <w:p w:rsidR="002B7E58" w:rsidRDefault="002B7E58" w:rsidP="00CE0569">
            <w:pPr>
              <w:jc w:val="center"/>
            </w:pPr>
            <w:r w:rsidRPr="00903162">
              <w:rPr>
                <w:rFonts w:ascii="Times New Roman" w:hAnsi="Times New Roman"/>
                <w:sz w:val="24"/>
                <w:szCs w:val="24"/>
                <w:lang w:eastAsia="ru-RU"/>
              </w:rPr>
              <w:t>-</w:t>
            </w:r>
          </w:p>
        </w:tc>
        <w:tc>
          <w:tcPr>
            <w:tcW w:w="1980" w:type="dxa"/>
          </w:tcPr>
          <w:p w:rsidR="002B7E58" w:rsidRDefault="002B7E58" w:rsidP="00CE0569">
            <w:pPr>
              <w:jc w:val="center"/>
            </w:pPr>
            <w:r w:rsidRPr="00903162">
              <w:rPr>
                <w:rFonts w:ascii="Times New Roman" w:hAnsi="Times New Roman"/>
                <w:sz w:val="24"/>
                <w:szCs w:val="24"/>
                <w:lang w:eastAsia="ru-RU"/>
              </w:rPr>
              <w:t>-</w:t>
            </w:r>
          </w:p>
        </w:tc>
        <w:tc>
          <w:tcPr>
            <w:tcW w:w="2520" w:type="dxa"/>
          </w:tcPr>
          <w:p w:rsidR="002B7E58" w:rsidRDefault="002B7E58" w:rsidP="00CE0569">
            <w:pPr>
              <w:jc w:val="center"/>
            </w:pPr>
            <w:r w:rsidRPr="00903162">
              <w:rPr>
                <w:rFonts w:ascii="Times New Roman" w:hAnsi="Times New Roman"/>
                <w:sz w:val="24"/>
                <w:szCs w:val="24"/>
                <w:lang w:eastAsia="ru-RU"/>
              </w:rPr>
              <w:t>-</w:t>
            </w:r>
          </w:p>
        </w:tc>
        <w:tc>
          <w:tcPr>
            <w:tcW w:w="1980" w:type="dxa"/>
          </w:tcPr>
          <w:p w:rsidR="002B7E58" w:rsidRPr="002C37EE" w:rsidRDefault="002B7E58" w:rsidP="002B7E58">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207 413,76</w:t>
            </w:r>
            <w:r w:rsidRPr="002C37EE">
              <w:rPr>
                <w:rFonts w:ascii="Times New Roman" w:hAnsi="Times New Roman"/>
                <w:sz w:val="24"/>
                <w:szCs w:val="24"/>
                <w:lang w:eastAsia="ru-RU"/>
              </w:rPr>
              <w:t xml:space="preserve"> грн.</w:t>
            </w:r>
          </w:p>
        </w:tc>
      </w:tr>
      <w:tr w:rsidR="002B7E58" w:rsidRPr="00357994" w:rsidTr="00D5473B">
        <w:tc>
          <w:tcPr>
            <w:tcW w:w="4428" w:type="dxa"/>
          </w:tcPr>
          <w:p w:rsidR="002B7E58" w:rsidRPr="00073517" w:rsidRDefault="002B7E58" w:rsidP="002B7E58">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Сумарно за п’ять років</w:t>
            </w:r>
          </w:p>
        </w:tc>
        <w:tc>
          <w:tcPr>
            <w:tcW w:w="1980" w:type="dxa"/>
          </w:tcPr>
          <w:p w:rsidR="002B7E58" w:rsidRPr="00073517" w:rsidRDefault="002B7E58" w:rsidP="00CE0569">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w:t>
            </w:r>
          </w:p>
        </w:tc>
        <w:tc>
          <w:tcPr>
            <w:tcW w:w="2160" w:type="dxa"/>
          </w:tcPr>
          <w:p w:rsidR="002B7E58" w:rsidRDefault="002B7E58" w:rsidP="00CE0569">
            <w:pPr>
              <w:jc w:val="center"/>
            </w:pPr>
            <w:r w:rsidRPr="00903162">
              <w:rPr>
                <w:rFonts w:ascii="Times New Roman" w:hAnsi="Times New Roman"/>
                <w:sz w:val="24"/>
                <w:szCs w:val="24"/>
                <w:lang w:eastAsia="ru-RU"/>
              </w:rPr>
              <w:t>-</w:t>
            </w:r>
          </w:p>
        </w:tc>
        <w:tc>
          <w:tcPr>
            <w:tcW w:w="1980" w:type="dxa"/>
          </w:tcPr>
          <w:p w:rsidR="002B7E58" w:rsidRDefault="002B7E58" w:rsidP="00CE0569">
            <w:pPr>
              <w:jc w:val="center"/>
            </w:pPr>
            <w:r w:rsidRPr="00903162">
              <w:rPr>
                <w:rFonts w:ascii="Times New Roman" w:hAnsi="Times New Roman"/>
                <w:sz w:val="24"/>
                <w:szCs w:val="24"/>
                <w:lang w:eastAsia="ru-RU"/>
              </w:rPr>
              <w:t>-</w:t>
            </w:r>
          </w:p>
        </w:tc>
        <w:tc>
          <w:tcPr>
            <w:tcW w:w="2520" w:type="dxa"/>
          </w:tcPr>
          <w:p w:rsidR="002B7E58" w:rsidRDefault="002B7E58" w:rsidP="00CE0569">
            <w:pPr>
              <w:jc w:val="center"/>
            </w:pPr>
            <w:r w:rsidRPr="00903162">
              <w:rPr>
                <w:rFonts w:ascii="Times New Roman" w:hAnsi="Times New Roman"/>
                <w:sz w:val="24"/>
                <w:szCs w:val="24"/>
                <w:lang w:eastAsia="ru-RU"/>
              </w:rPr>
              <w:t>-</w:t>
            </w:r>
          </w:p>
        </w:tc>
        <w:tc>
          <w:tcPr>
            <w:tcW w:w="1980" w:type="dxa"/>
          </w:tcPr>
          <w:p w:rsidR="002B7E58" w:rsidRPr="002C37EE" w:rsidRDefault="002B7E58" w:rsidP="002B7E58">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1 037 068,80</w:t>
            </w:r>
            <w:r w:rsidRPr="002C37EE">
              <w:rPr>
                <w:rFonts w:ascii="Times New Roman" w:hAnsi="Times New Roman"/>
                <w:sz w:val="24"/>
                <w:szCs w:val="24"/>
                <w:lang w:eastAsia="ru-RU"/>
              </w:rPr>
              <w:t xml:space="preserve"> грн.</w:t>
            </w:r>
          </w:p>
        </w:tc>
      </w:tr>
    </w:tbl>
    <w:p w:rsidR="00F16F01" w:rsidRPr="00073517" w:rsidRDefault="00F16F01" w:rsidP="006E483F">
      <w:pPr>
        <w:widowControl w:val="0"/>
        <w:tabs>
          <w:tab w:val="left" w:pos="142"/>
        </w:tabs>
        <w:spacing w:after="0" w:line="240" w:lineRule="auto"/>
        <w:ind w:firstLine="709"/>
        <w:jc w:val="both"/>
        <w:textAlignment w:val="baseline"/>
        <w:rPr>
          <w:rFonts w:ascii="Times New Roman" w:hAnsi="Times New Roman"/>
          <w:sz w:val="24"/>
          <w:szCs w:val="24"/>
          <w:lang w:eastAsia="ru-RU"/>
        </w:rPr>
      </w:pPr>
    </w:p>
    <w:p w:rsidR="00F16F01" w:rsidRPr="00073517" w:rsidRDefault="00F16F01" w:rsidP="006E483F">
      <w:pPr>
        <w:widowControl w:val="0"/>
        <w:tabs>
          <w:tab w:val="left" w:pos="142"/>
        </w:tabs>
        <w:spacing w:after="0" w:line="240" w:lineRule="auto"/>
        <w:ind w:firstLine="709"/>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p w:rsidR="00F16F01" w:rsidRPr="00073517" w:rsidRDefault="00F16F01" w:rsidP="006E483F">
      <w:pPr>
        <w:widowControl w:val="0"/>
        <w:spacing w:after="0" w:line="240" w:lineRule="auto"/>
        <w:ind w:firstLine="708"/>
        <w:textAlignment w:val="baseline"/>
        <w:rPr>
          <w:rFonts w:ascii="Times New Roman" w:hAnsi="Times New Roman"/>
          <w:sz w:val="24"/>
          <w:szCs w:val="24"/>
          <w:lang w:eastAsia="ru-RU"/>
        </w:rPr>
      </w:pPr>
      <w:r w:rsidRPr="00073517">
        <w:rPr>
          <w:rFonts w:ascii="Times New Roman" w:hAnsi="Times New Roman"/>
          <w:sz w:val="24"/>
          <w:szCs w:val="24"/>
          <w:lang w:eastAsia="ru-RU"/>
        </w:rPr>
        <w:t>Примітки: 1. Нак</w:t>
      </w:r>
      <w:r>
        <w:rPr>
          <w:rFonts w:ascii="Times New Roman" w:hAnsi="Times New Roman"/>
          <w:sz w:val="24"/>
          <w:szCs w:val="24"/>
          <w:lang w:eastAsia="ru-RU"/>
        </w:rPr>
        <w:t>аз НКЦПФР від 02.07.2018 № 97 «П</w:t>
      </w:r>
      <w:r w:rsidRPr="00073517">
        <w:rPr>
          <w:rFonts w:ascii="Times New Roman" w:hAnsi="Times New Roman"/>
          <w:sz w:val="24"/>
          <w:szCs w:val="24"/>
          <w:lang w:eastAsia="ru-RU"/>
        </w:rPr>
        <w:t>ро введення в дію штатного розпису НКЦПФР</w:t>
      </w:r>
      <w:r>
        <w:rPr>
          <w:rFonts w:ascii="Times New Roman" w:hAnsi="Times New Roman"/>
          <w:sz w:val="24"/>
          <w:szCs w:val="24"/>
          <w:lang w:eastAsia="ru-RU"/>
        </w:rPr>
        <w:t>»</w:t>
      </w:r>
      <w:r w:rsidRPr="00073517">
        <w:rPr>
          <w:rFonts w:ascii="Times New Roman" w:hAnsi="Times New Roman"/>
          <w:sz w:val="24"/>
          <w:szCs w:val="24"/>
          <w:lang w:eastAsia="ru-RU"/>
        </w:rPr>
        <w:t>.</w:t>
      </w:r>
    </w:p>
    <w:p w:rsidR="00F16F01" w:rsidRPr="00073517" w:rsidRDefault="00F16F01" w:rsidP="006E483F">
      <w:pPr>
        <w:widowControl w:val="0"/>
        <w:tabs>
          <w:tab w:val="left" w:pos="142"/>
        </w:tabs>
        <w:spacing w:after="0" w:line="240" w:lineRule="auto"/>
        <w:ind w:firstLine="709"/>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Державне регулювання не передбачає утворення нового державного органу (або нового структурного підрозділу діючого органу).</w:t>
      </w:r>
    </w:p>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p w:rsidR="00F16F01" w:rsidRPr="00073517" w:rsidRDefault="00F16F01" w:rsidP="006E483F">
      <w:pPr>
        <w:widowControl w:val="0"/>
        <w:tabs>
          <w:tab w:val="left" w:pos="0"/>
          <w:tab w:val="left" w:pos="1134"/>
        </w:tabs>
        <w:spacing w:after="0" w:line="240" w:lineRule="auto"/>
        <w:jc w:val="both"/>
        <w:textAlignment w:val="baseline"/>
        <w:rPr>
          <w:rFonts w:ascii="Times New Roman" w:hAnsi="Times New Roman"/>
          <w:b/>
          <w:sz w:val="24"/>
          <w:szCs w:val="24"/>
          <w:lang w:eastAsia="ru-RU"/>
        </w:rPr>
      </w:pPr>
    </w:p>
    <w:p w:rsidR="00F16F01" w:rsidRPr="00073517" w:rsidRDefault="00F16F01">
      <w:pPr>
        <w:rPr>
          <w:rFonts w:ascii="Times New Roman" w:hAnsi="Times New Roman"/>
          <w:b/>
          <w:sz w:val="24"/>
          <w:szCs w:val="24"/>
          <w:lang w:eastAsia="ru-RU"/>
        </w:rPr>
      </w:pPr>
      <w:r w:rsidRPr="00073517">
        <w:rPr>
          <w:rFonts w:ascii="Times New Roman" w:hAnsi="Times New Roman"/>
          <w:b/>
          <w:sz w:val="24"/>
          <w:szCs w:val="24"/>
          <w:lang w:eastAsia="ru-RU"/>
        </w:rPr>
        <w:br w:type="page"/>
      </w:r>
    </w:p>
    <w:p w:rsidR="00F16F01" w:rsidRPr="00073517" w:rsidRDefault="00F16F01" w:rsidP="006E483F">
      <w:pPr>
        <w:widowControl w:val="0"/>
        <w:tabs>
          <w:tab w:val="left" w:pos="0"/>
          <w:tab w:val="left" w:pos="1134"/>
        </w:tabs>
        <w:spacing w:after="0" w:line="240" w:lineRule="auto"/>
        <w:ind w:left="720"/>
        <w:jc w:val="both"/>
        <w:textAlignment w:val="baseline"/>
        <w:rPr>
          <w:rFonts w:ascii="Times New Roman" w:hAnsi="Times New Roman"/>
          <w:b/>
          <w:sz w:val="24"/>
          <w:szCs w:val="24"/>
          <w:lang w:eastAsia="ru-RU"/>
        </w:rPr>
      </w:pPr>
      <w:r w:rsidRPr="00073517">
        <w:rPr>
          <w:rFonts w:ascii="Times New Roman" w:hAnsi="Times New Roman"/>
          <w:b/>
          <w:sz w:val="24"/>
          <w:szCs w:val="24"/>
          <w:lang w:eastAsia="ru-RU"/>
        </w:rPr>
        <w:t>Розрахунок сумарних витрат суб'єктів малого підприємництва, що виникають на виконання вимог регулювання</w:t>
      </w:r>
    </w:p>
    <w:tbl>
      <w:tblPr>
        <w:tblpPr w:leftFromText="180" w:rightFromText="180" w:vertAnchor="text" w:horzAnchor="page" w:tblpX="1497" w:tblpY="3"/>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8034"/>
        <w:gridCol w:w="2700"/>
        <w:gridCol w:w="2700"/>
      </w:tblGrid>
      <w:tr w:rsidR="00F16F01" w:rsidRPr="004E0C10" w:rsidTr="00D5473B">
        <w:trPr>
          <w:trHeight w:val="915"/>
        </w:trPr>
        <w:tc>
          <w:tcPr>
            <w:tcW w:w="534" w:type="dxa"/>
          </w:tcPr>
          <w:p w:rsidR="00F16F01" w:rsidRPr="004E0C10" w:rsidRDefault="00F16F01" w:rsidP="006E483F">
            <w:pPr>
              <w:widowControl w:val="0"/>
              <w:spacing w:after="0" w:line="240" w:lineRule="auto"/>
              <w:jc w:val="center"/>
              <w:textAlignment w:val="baseline"/>
              <w:rPr>
                <w:rFonts w:ascii="Times New Roman" w:hAnsi="Times New Roman"/>
                <w:sz w:val="24"/>
                <w:szCs w:val="24"/>
                <w:lang w:eastAsia="ru-RU"/>
              </w:rPr>
            </w:pPr>
            <w:r w:rsidRPr="004E0C10">
              <w:rPr>
                <w:rFonts w:ascii="Times New Roman" w:hAnsi="Times New Roman"/>
                <w:sz w:val="24"/>
                <w:szCs w:val="24"/>
                <w:lang w:eastAsia="ru-RU"/>
              </w:rPr>
              <w:t>№ з/п</w:t>
            </w:r>
          </w:p>
        </w:tc>
        <w:tc>
          <w:tcPr>
            <w:tcW w:w="8034" w:type="dxa"/>
          </w:tcPr>
          <w:p w:rsidR="00F16F01" w:rsidRPr="004E0C10" w:rsidRDefault="00F16F01" w:rsidP="006E483F">
            <w:pPr>
              <w:widowControl w:val="0"/>
              <w:spacing w:after="0" w:line="240" w:lineRule="auto"/>
              <w:jc w:val="center"/>
              <w:textAlignment w:val="baseline"/>
              <w:rPr>
                <w:rFonts w:ascii="Times New Roman" w:hAnsi="Times New Roman"/>
                <w:sz w:val="24"/>
                <w:szCs w:val="24"/>
                <w:lang w:eastAsia="ru-RU"/>
              </w:rPr>
            </w:pPr>
            <w:r w:rsidRPr="004E0C10">
              <w:rPr>
                <w:rFonts w:ascii="Times New Roman" w:hAnsi="Times New Roman"/>
                <w:sz w:val="24"/>
                <w:szCs w:val="24"/>
                <w:lang w:eastAsia="ru-RU"/>
              </w:rPr>
              <w:t>Показник</w:t>
            </w:r>
          </w:p>
        </w:tc>
        <w:tc>
          <w:tcPr>
            <w:tcW w:w="2700" w:type="dxa"/>
          </w:tcPr>
          <w:p w:rsidR="00F16F01" w:rsidRPr="004E0C10" w:rsidRDefault="00F16F01" w:rsidP="006E483F">
            <w:pPr>
              <w:widowControl w:val="0"/>
              <w:spacing w:after="0" w:line="240" w:lineRule="auto"/>
              <w:jc w:val="center"/>
              <w:textAlignment w:val="baseline"/>
              <w:rPr>
                <w:rFonts w:ascii="Times New Roman" w:hAnsi="Times New Roman"/>
                <w:sz w:val="24"/>
                <w:szCs w:val="24"/>
                <w:lang w:eastAsia="ru-RU"/>
              </w:rPr>
            </w:pPr>
            <w:r w:rsidRPr="004E0C10">
              <w:rPr>
                <w:rFonts w:ascii="Times New Roman" w:hAnsi="Times New Roman"/>
                <w:sz w:val="24"/>
                <w:szCs w:val="24"/>
                <w:lang w:eastAsia="ru-RU"/>
              </w:rPr>
              <w:t>Перший рік регулювання (стартовий)</w:t>
            </w:r>
          </w:p>
        </w:tc>
        <w:tc>
          <w:tcPr>
            <w:tcW w:w="2700" w:type="dxa"/>
          </w:tcPr>
          <w:p w:rsidR="00F16F01" w:rsidRPr="004E0C10" w:rsidRDefault="00F16F01" w:rsidP="006E483F">
            <w:pPr>
              <w:widowControl w:val="0"/>
              <w:spacing w:after="0" w:line="240" w:lineRule="auto"/>
              <w:jc w:val="center"/>
              <w:textAlignment w:val="baseline"/>
              <w:rPr>
                <w:rFonts w:ascii="Times New Roman" w:hAnsi="Times New Roman"/>
                <w:sz w:val="24"/>
                <w:szCs w:val="24"/>
                <w:lang w:eastAsia="ru-RU"/>
              </w:rPr>
            </w:pPr>
            <w:r w:rsidRPr="004E0C10">
              <w:rPr>
                <w:rFonts w:ascii="Times New Roman" w:hAnsi="Times New Roman"/>
                <w:sz w:val="24"/>
                <w:szCs w:val="24"/>
                <w:lang w:eastAsia="ru-RU"/>
              </w:rPr>
              <w:t>За п’ять років</w:t>
            </w:r>
          </w:p>
        </w:tc>
      </w:tr>
      <w:tr w:rsidR="00F16F01" w:rsidRPr="004E0C10" w:rsidTr="00D5473B">
        <w:trPr>
          <w:trHeight w:val="600"/>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1.</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Оцінка «прямих» витрат суб’єктів малого підприємництва на виконання регулювання</w:t>
            </w:r>
          </w:p>
        </w:tc>
        <w:tc>
          <w:tcPr>
            <w:tcW w:w="2700" w:type="dxa"/>
          </w:tcPr>
          <w:p w:rsidR="00F16F01" w:rsidRPr="004E0C10" w:rsidRDefault="00B553A2" w:rsidP="00610B3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78 314 207,04</w:t>
            </w:r>
            <w:r w:rsidR="00F16F01" w:rsidRPr="004E0C10">
              <w:rPr>
                <w:rFonts w:ascii="Times New Roman" w:hAnsi="Times New Roman"/>
                <w:sz w:val="24"/>
                <w:szCs w:val="24"/>
                <w:lang w:eastAsia="ru-RU"/>
              </w:rPr>
              <w:t xml:space="preserve"> грн.</w:t>
            </w:r>
          </w:p>
        </w:tc>
        <w:tc>
          <w:tcPr>
            <w:tcW w:w="2700" w:type="dxa"/>
          </w:tcPr>
          <w:p w:rsidR="00F16F01" w:rsidRPr="004E0C10" w:rsidRDefault="005C2400" w:rsidP="00610B3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146 613 974,40</w:t>
            </w:r>
            <w:r w:rsidR="00F16F01" w:rsidRPr="004E0C10">
              <w:rPr>
                <w:rFonts w:ascii="Times New Roman" w:hAnsi="Times New Roman"/>
                <w:sz w:val="24"/>
                <w:szCs w:val="24"/>
                <w:lang w:eastAsia="ru-RU"/>
              </w:rPr>
              <w:t xml:space="preserve"> грн.</w:t>
            </w:r>
          </w:p>
        </w:tc>
      </w:tr>
      <w:tr w:rsidR="00F16F01" w:rsidRPr="004E0C10" w:rsidTr="00D5473B">
        <w:trPr>
          <w:trHeight w:val="900"/>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2.</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700" w:type="dxa"/>
          </w:tcPr>
          <w:p w:rsidR="00F16F01" w:rsidRPr="007615AD" w:rsidRDefault="00F16F01" w:rsidP="00610B35">
            <w:pPr>
              <w:widowControl w:val="0"/>
              <w:spacing w:after="0" w:line="240" w:lineRule="auto"/>
              <w:jc w:val="center"/>
              <w:rPr>
                <w:rFonts w:ascii="Times New Roman" w:hAnsi="Times New Roman"/>
                <w:sz w:val="24"/>
                <w:szCs w:val="24"/>
                <w:lang w:eastAsia="ru-RU"/>
              </w:rPr>
            </w:pPr>
            <w:r w:rsidRPr="007615AD">
              <w:rPr>
                <w:rFonts w:ascii="Times New Roman" w:hAnsi="Times New Roman"/>
                <w:sz w:val="24"/>
                <w:szCs w:val="24"/>
                <w:lang w:eastAsia="ru-RU"/>
              </w:rPr>
              <w:t>238 533,96 грн.</w:t>
            </w:r>
          </w:p>
        </w:tc>
        <w:tc>
          <w:tcPr>
            <w:tcW w:w="2700" w:type="dxa"/>
          </w:tcPr>
          <w:p w:rsidR="00F16F01" w:rsidRPr="004E0C10" w:rsidRDefault="00F16F01" w:rsidP="00610B3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974</w:t>
            </w:r>
            <w:r w:rsidR="005C2400">
              <w:rPr>
                <w:rFonts w:ascii="Times New Roman" w:hAnsi="Times New Roman"/>
                <w:sz w:val="24"/>
                <w:szCs w:val="24"/>
                <w:lang w:eastAsia="ru-RU"/>
              </w:rPr>
              <w:t xml:space="preserve"> </w:t>
            </w:r>
            <w:r>
              <w:rPr>
                <w:rFonts w:ascii="Times New Roman" w:hAnsi="Times New Roman"/>
                <w:sz w:val="24"/>
                <w:szCs w:val="24"/>
                <w:lang w:eastAsia="ru-RU"/>
              </w:rPr>
              <w:t>014,80</w:t>
            </w:r>
            <w:r w:rsidR="005C2400">
              <w:rPr>
                <w:rFonts w:ascii="Times New Roman" w:hAnsi="Times New Roman"/>
                <w:sz w:val="24"/>
                <w:szCs w:val="24"/>
                <w:lang w:eastAsia="ru-RU"/>
              </w:rPr>
              <w:t xml:space="preserve"> </w:t>
            </w:r>
            <w:r w:rsidRPr="004E0C10">
              <w:rPr>
                <w:rFonts w:ascii="Times New Roman" w:hAnsi="Times New Roman"/>
                <w:sz w:val="24"/>
                <w:szCs w:val="24"/>
                <w:lang w:eastAsia="ru-RU"/>
              </w:rPr>
              <w:t>грн.</w:t>
            </w:r>
          </w:p>
        </w:tc>
      </w:tr>
      <w:tr w:rsidR="00F16F01" w:rsidRPr="004E0C10" w:rsidTr="00D5473B">
        <w:trPr>
          <w:trHeight w:val="600"/>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3.</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Сумарні витрати малого підприємництва на виконання запланованого  регулювання</w:t>
            </w:r>
          </w:p>
        </w:tc>
        <w:tc>
          <w:tcPr>
            <w:tcW w:w="2700" w:type="dxa"/>
          </w:tcPr>
          <w:p w:rsidR="00F16F01" w:rsidRPr="004E0C10" w:rsidRDefault="005C2400" w:rsidP="003457EF">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w:t>
            </w:r>
            <w:r w:rsidR="003457EF">
              <w:rPr>
                <w:rFonts w:ascii="Times New Roman" w:hAnsi="Times New Roman"/>
                <w:sz w:val="24"/>
                <w:szCs w:val="24"/>
                <w:lang w:eastAsia="ru-RU"/>
              </w:rPr>
              <w:t> 552 741,33</w:t>
            </w:r>
            <w:r>
              <w:rPr>
                <w:rFonts w:ascii="Times New Roman" w:hAnsi="Times New Roman"/>
                <w:sz w:val="24"/>
                <w:szCs w:val="24"/>
                <w:lang w:eastAsia="ru-RU"/>
              </w:rPr>
              <w:t> </w:t>
            </w:r>
            <w:r w:rsidR="00F16F01" w:rsidRPr="004E0C10">
              <w:rPr>
                <w:rFonts w:ascii="Times New Roman" w:hAnsi="Times New Roman"/>
                <w:sz w:val="24"/>
                <w:szCs w:val="24"/>
                <w:lang w:eastAsia="ru-RU"/>
              </w:rPr>
              <w:t xml:space="preserve"> грн.</w:t>
            </w:r>
          </w:p>
        </w:tc>
        <w:tc>
          <w:tcPr>
            <w:tcW w:w="2700" w:type="dxa"/>
          </w:tcPr>
          <w:p w:rsidR="00F16F01" w:rsidRPr="004E0C10" w:rsidRDefault="005C2400" w:rsidP="00452EE6">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147 587 989,20</w:t>
            </w:r>
            <w:r w:rsidR="00F16F01" w:rsidRPr="004E0C10">
              <w:rPr>
                <w:rFonts w:ascii="Times New Roman" w:hAnsi="Times New Roman"/>
                <w:sz w:val="24"/>
                <w:szCs w:val="24"/>
                <w:lang w:eastAsia="ru-RU"/>
              </w:rPr>
              <w:t xml:space="preserve"> грн.</w:t>
            </w:r>
          </w:p>
        </w:tc>
      </w:tr>
      <w:tr w:rsidR="00F16F01" w:rsidRPr="004E0C10" w:rsidTr="00D5473B">
        <w:trPr>
          <w:trHeight w:val="900"/>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4.</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Бюджетні витрати  на адміністрування регулювання суб’єктів малого підприємництва</w:t>
            </w:r>
          </w:p>
        </w:tc>
        <w:tc>
          <w:tcPr>
            <w:tcW w:w="2700" w:type="dxa"/>
          </w:tcPr>
          <w:p w:rsidR="00F16F01" w:rsidRPr="004E0C10" w:rsidRDefault="005C2400" w:rsidP="00610B3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207 413,76</w:t>
            </w:r>
            <w:r w:rsidR="00F16F01" w:rsidRPr="002C37EE">
              <w:rPr>
                <w:rFonts w:ascii="Times New Roman" w:hAnsi="Times New Roman"/>
                <w:sz w:val="24"/>
                <w:szCs w:val="24"/>
                <w:lang w:eastAsia="ru-RU"/>
              </w:rPr>
              <w:t xml:space="preserve"> грн.</w:t>
            </w:r>
          </w:p>
        </w:tc>
        <w:tc>
          <w:tcPr>
            <w:tcW w:w="2700" w:type="dxa"/>
          </w:tcPr>
          <w:p w:rsidR="00F16F01" w:rsidRPr="004E0C10" w:rsidRDefault="005C2400" w:rsidP="00610B3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1 037 068,80</w:t>
            </w:r>
            <w:r w:rsidR="00F16F01" w:rsidRPr="002C37EE">
              <w:rPr>
                <w:rFonts w:ascii="Times New Roman" w:hAnsi="Times New Roman"/>
                <w:sz w:val="24"/>
                <w:szCs w:val="24"/>
                <w:lang w:eastAsia="ru-RU"/>
              </w:rPr>
              <w:t xml:space="preserve"> грн.</w:t>
            </w:r>
          </w:p>
        </w:tc>
      </w:tr>
      <w:tr w:rsidR="00F16F01" w:rsidRPr="004E0C10" w:rsidTr="00D5473B">
        <w:trPr>
          <w:trHeight w:val="615"/>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5.</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Сумарні витрати на виконання запланованого регулювання</w:t>
            </w:r>
          </w:p>
        </w:tc>
        <w:tc>
          <w:tcPr>
            <w:tcW w:w="2700" w:type="dxa"/>
          </w:tcPr>
          <w:p w:rsidR="00F16F01" w:rsidRPr="004E0C10" w:rsidRDefault="003457EF" w:rsidP="00B553A2">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78 760 154,76</w:t>
            </w:r>
            <w:r w:rsidR="00F16F01" w:rsidRPr="004E0C10">
              <w:rPr>
                <w:rFonts w:ascii="Times New Roman" w:hAnsi="Times New Roman"/>
                <w:sz w:val="24"/>
                <w:szCs w:val="24"/>
                <w:lang w:eastAsia="ru-RU"/>
              </w:rPr>
              <w:t xml:space="preserve"> грн.*</w:t>
            </w:r>
          </w:p>
        </w:tc>
        <w:tc>
          <w:tcPr>
            <w:tcW w:w="2700" w:type="dxa"/>
          </w:tcPr>
          <w:p w:rsidR="00F16F01" w:rsidRPr="004E0C10" w:rsidRDefault="005C2400" w:rsidP="008F6EBF">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148 625 058,00</w:t>
            </w:r>
            <w:r w:rsidR="00F16F01" w:rsidRPr="004E0C10">
              <w:rPr>
                <w:rFonts w:ascii="Times New Roman" w:hAnsi="Times New Roman"/>
                <w:sz w:val="24"/>
                <w:szCs w:val="24"/>
                <w:lang w:eastAsia="ru-RU"/>
              </w:rPr>
              <w:t xml:space="preserve"> грн.*</w:t>
            </w:r>
          </w:p>
        </w:tc>
      </w:tr>
    </w:tbl>
    <w:p w:rsidR="00F16F01" w:rsidRPr="004E0C10" w:rsidRDefault="00F16F01" w:rsidP="006E483F">
      <w:pPr>
        <w:widowControl w:val="0"/>
        <w:tabs>
          <w:tab w:val="left" w:pos="0"/>
        </w:tabs>
        <w:spacing w:after="0" w:line="240" w:lineRule="auto"/>
        <w:ind w:left="425"/>
        <w:jc w:val="both"/>
        <w:textAlignment w:val="baseline"/>
        <w:rPr>
          <w:rFonts w:ascii="Times New Roman" w:hAnsi="Times New Roman"/>
          <w:b/>
          <w:sz w:val="24"/>
          <w:szCs w:val="24"/>
          <w:lang w:eastAsia="ru-RU"/>
        </w:rPr>
      </w:pPr>
    </w:p>
    <w:p w:rsidR="00F16F01" w:rsidRPr="004E0C10" w:rsidRDefault="00F16F01" w:rsidP="00073517">
      <w:pPr>
        <w:widowControl w:val="0"/>
        <w:tabs>
          <w:tab w:val="left" w:pos="1875"/>
        </w:tabs>
        <w:spacing w:after="0" w:line="240" w:lineRule="auto"/>
        <w:jc w:val="both"/>
        <w:rPr>
          <w:rFonts w:ascii="Times New Roman" w:hAnsi="Times New Roman"/>
          <w:sz w:val="24"/>
          <w:szCs w:val="24"/>
          <w:lang w:eastAsia="ru-RU"/>
        </w:rPr>
      </w:pPr>
    </w:p>
    <w:p w:rsidR="00F16F01" w:rsidRPr="004E0C10" w:rsidRDefault="00F16F01" w:rsidP="006E483F">
      <w:pPr>
        <w:widowControl w:val="0"/>
        <w:spacing w:after="0" w:line="240" w:lineRule="auto"/>
        <w:rPr>
          <w:rFonts w:ascii="Times New Roman" w:hAnsi="Times New Roman"/>
          <w:sz w:val="24"/>
          <w:szCs w:val="24"/>
          <w:lang w:eastAsia="ru-RU"/>
        </w:rPr>
      </w:pPr>
    </w:p>
    <w:p w:rsidR="00F16F01" w:rsidRPr="004E0C10"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D45FEC">
      <w:pPr>
        <w:widowControl w:val="0"/>
        <w:spacing w:after="0" w:line="240" w:lineRule="auto"/>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r w:rsidRPr="00073517">
        <w:rPr>
          <w:rFonts w:ascii="Times New Roman" w:hAnsi="Times New Roman"/>
          <w:sz w:val="24"/>
          <w:szCs w:val="24"/>
          <w:lang w:eastAsia="ru-RU"/>
        </w:rPr>
        <w:t>* за умови реалізації норм запропонованого регуляторного акта</w:t>
      </w:r>
      <w:r>
        <w:rPr>
          <w:rFonts w:ascii="Times New Roman" w:hAnsi="Times New Roman"/>
          <w:sz w:val="24"/>
          <w:szCs w:val="24"/>
          <w:lang w:eastAsia="ru-RU"/>
        </w:rPr>
        <w:t xml:space="preserve"> всіма суб’єктами</w:t>
      </w:r>
      <w:r w:rsidRPr="00073517">
        <w:rPr>
          <w:rFonts w:ascii="Times New Roman" w:hAnsi="Times New Roman"/>
          <w:sz w:val="24"/>
          <w:szCs w:val="24"/>
          <w:lang w:eastAsia="ru-RU"/>
        </w:rPr>
        <w:t xml:space="preserve"> господарювання</w:t>
      </w:r>
      <w:r>
        <w:rPr>
          <w:rFonts w:ascii="Times New Roman" w:hAnsi="Times New Roman"/>
          <w:sz w:val="24"/>
          <w:szCs w:val="24"/>
          <w:lang w:eastAsia="ru-RU"/>
        </w:rPr>
        <w:t xml:space="preserve"> (оцінювачів)</w:t>
      </w:r>
    </w:p>
    <w:p w:rsidR="00F16F01" w:rsidRPr="00073517" w:rsidRDefault="00F16F01" w:rsidP="007C0A78">
      <w:pPr>
        <w:widowControl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p>
    <w:p w:rsidR="00F16F01" w:rsidRPr="00073517" w:rsidRDefault="00F16F01" w:rsidP="006E483F">
      <w:pPr>
        <w:widowControl w:val="0"/>
        <w:spacing w:after="0" w:line="240" w:lineRule="auto"/>
        <w:rPr>
          <w:sz w:val="24"/>
          <w:szCs w:val="24"/>
        </w:rPr>
      </w:pPr>
    </w:p>
    <w:sectPr w:rsidR="00F16F01" w:rsidRPr="00073517" w:rsidSect="00CA4A7D">
      <w:pgSz w:w="16838" w:h="11906" w:orient="landscape"/>
      <w:pgMar w:top="284" w:right="73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80" w:rsidRDefault="00045180" w:rsidP="00B84F06">
      <w:pPr>
        <w:spacing w:after="0" w:line="240" w:lineRule="auto"/>
      </w:pPr>
      <w:r>
        <w:separator/>
      </w:r>
    </w:p>
  </w:endnote>
  <w:endnote w:type="continuationSeparator" w:id="0">
    <w:p w:rsidR="00045180" w:rsidRDefault="00045180" w:rsidP="00B84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80" w:rsidRDefault="00045180" w:rsidP="00B84F06">
      <w:pPr>
        <w:spacing w:after="0" w:line="240" w:lineRule="auto"/>
      </w:pPr>
      <w:r>
        <w:separator/>
      </w:r>
    </w:p>
  </w:footnote>
  <w:footnote w:type="continuationSeparator" w:id="0">
    <w:p w:rsidR="00045180" w:rsidRDefault="00045180" w:rsidP="00B84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52D4E"/>
    <w:multiLevelType w:val="hybridMultilevel"/>
    <w:tmpl w:val="5EE4CD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66F623A"/>
    <w:multiLevelType w:val="hybridMultilevel"/>
    <w:tmpl w:val="1710139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2DA2FB0"/>
    <w:multiLevelType w:val="hybridMultilevel"/>
    <w:tmpl w:val="B83A01B0"/>
    <w:lvl w:ilvl="0" w:tplc="070EDD2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86B1F08"/>
    <w:multiLevelType w:val="hybridMultilevel"/>
    <w:tmpl w:val="BEC4D542"/>
    <w:lvl w:ilvl="0" w:tplc="D90092B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400B265D"/>
    <w:multiLevelType w:val="hybridMultilevel"/>
    <w:tmpl w:val="3080E752"/>
    <w:lvl w:ilvl="0" w:tplc="9A006D00">
      <w:start w:val="1"/>
      <w:numFmt w:val="decimal"/>
      <w:lvlText w:val="%1."/>
      <w:lvlJc w:val="left"/>
      <w:pPr>
        <w:ind w:left="720" w:hanging="360"/>
      </w:pPr>
      <w:rPr>
        <w:rFonts w:cs="Times New Roman" w:hint="default"/>
        <w:b/>
        <w:color w:val="00000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5A3457FF"/>
    <w:multiLevelType w:val="hybridMultilevel"/>
    <w:tmpl w:val="88B87396"/>
    <w:lvl w:ilvl="0" w:tplc="72189FA8">
      <w:start w:val="1"/>
      <w:numFmt w:val="decimal"/>
      <w:lvlText w:val="%1."/>
      <w:lvlJc w:val="left"/>
      <w:pPr>
        <w:tabs>
          <w:tab w:val="num" w:pos="1725"/>
        </w:tabs>
        <w:ind w:left="1725" w:hanging="1005"/>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D612E88"/>
    <w:multiLevelType w:val="hybridMultilevel"/>
    <w:tmpl w:val="12B2A7FA"/>
    <w:lvl w:ilvl="0" w:tplc="9C723ADC">
      <w:start w:val="1"/>
      <w:numFmt w:val="decimal"/>
      <w:lvlText w:val="%1."/>
      <w:lvlJc w:val="left"/>
      <w:pPr>
        <w:ind w:left="644" w:hanging="360"/>
      </w:pPr>
      <w:rPr>
        <w:rFonts w:cs="Times New Roman" w:hint="default"/>
        <w:b w:val="0"/>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F06"/>
    <w:rsid w:val="00001141"/>
    <w:rsid w:val="00003761"/>
    <w:rsid w:val="00003F7C"/>
    <w:rsid w:val="000051D4"/>
    <w:rsid w:val="000233DB"/>
    <w:rsid w:val="00024866"/>
    <w:rsid w:val="000352FA"/>
    <w:rsid w:val="000420E2"/>
    <w:rsid w:val="00044F15"/>
    <w:rsid w:val="00045180"/>
    <w:rsid w:val="00060412"/>
    <w:rsid w:val="00060765"/>
    <w:rsid w:val="00062A99"/>
    <w:rsid w:val="00066F90"/>
    <w:rsid w:val="00073517"/>
    <w:rsid w:val="0008193B"/>
    <w:rsid w:val="00081CBB"/>
    <w:rsid w:val="00086541"/>
    <w:rsid w:val="000900C2"/>
    <w:rsid w:val="000A7318"/>
    <w:rsid w:val="000B2494"/>
    <w:rsid w:val="000B4432"/>
    <w:rsid w:val="000C75A2"/>
    <w:rsid w:val="000E030C"/>
    <w:rsid w:val="001125EB"/>
    <w:rsid w:val="0011547D"/>
    <w:rsid w:val="00136C2C"/>
    <w:rsid w:val="00146BF5"/>
    <w:rsid w:val="001519AA"/>
    <w:rsid w:val="0015350E"/>
    <w:rsid w:val="0015376F"/>
    <w:rsid w:val="00171630"/>
    <w:rsid w:val="00181839"/>
    <w:rsid w:val="001848A5"/>
    <w:rsid w:val="00187158"/>
    <w:rsid w:val="001A0434"/>
    <w:rsid w:val="001C19A3"/>
    <w:rsid w:val="001D5113"/>
    <w:rsid w:val="001E6910"/>
    <w:rsid w:val="001F40FB"/>
    <w:rsid w:val="001F5209"/>
    <w:rsid w:val="00205BF1"/>
    <w:rsid w:val="00221EDB"/>
    <w:rsid w:val="002342C8"/>
    <w:rsid w:val="00237387"/>
    <w:rsid w:val="002502C1"/>
    <w:rsid w:val="00271857"/>
    <w:rsid w:val="002742C5"/>
    <w:rsid w:val="00284CAC"/>
    <w:rsid w:val="002871DF"/>
    <w:rsid w:val="00287DAD"/>
    <w:rsid w:val="002A6BA8"/>
    <w:rsid w:val="002B0C91"/>
    <w:rsid w:val="002B7E58"/>
    <w:rsid w:val="002C37EE"/>
    <w:rsid w:val="002C648B"/>
    <w:rsid w:val="002C66E3"/>
    <w:rsid w:val="002D0A64"/>
    <w:rsid w:val="002D4813"/>
    <w:rsid w:val="002F01EB"/>
    <w:rsid w:val="002F11DA"/>
    <w:rsid w:val="003033E3"/>
    <w:rsid w:val="0032360D"/>
    <w:rsid w:val="00323B7C"/>
    <w:rsid w:val="00331095"/>
    <w:rsid w:val="00336A78"/>
    <w:rsid w:val="003457EF"/>
    <w:rsid w:val="00356B76"/>
    <w:rsid w:val="00357994"/>
    <w:rsid w:val="00360BED"/>
    <w:rsid w:val="00372286"/>
    <w:rsid w:val="00380927"/>
    <w:rsid w:val="003B606B"/>
    <w:rsid w:val="003C4F40"/>
    <w:rsid w:val="003C5AC2"/>
    <w:rsid w:val="003D681F"/>
    <w:rsid w:val="003E5134"/>
    <w:rsid w:val="003E5533"/>
    <w:rsid w:val="003E732B"/>
    <w:rsid w:val="003F0611"/>
    <w:rsid w:val="00402270"/>
    <w:rsid w:val="004049BE"/>
    <w:rsid w:val="004059BE"/>
    <w:rsid w:val="0040786C"/>
    <w:rsid w:val="00421B94"/>
    <w:rsid w:val="0042393F"/>
    <w:rsid w:val="004421B7"/>
    <w:rsid w:val="00452EE6"/>
    <w:rsid w:val="00453E7F"/>
    <w:rsid w:val="00463B98"/>
    <w:rsid w:val="00474D89"/>
    <w:rsid w:val="00476E6D"/>
    <w:rsid w:val="004967FD"/>
    <w:rsid w:val="004A43CC"/>
    <w:rsid w:val="004B3D73"/>
    <w:rsid w:val="004B68C9"/>
    <w:rsid w:val="004C215C"/>
    <w:rsid w:val="004D465B"/>
    <w:rsid w:val="004E0C10"/>
    <w:rsid w:val="004E0EF4"/>
    <w:rsid w:val="004E0F2B"/>
    <w:rsid w:val="004E276A"/>
    <w:rsid w:val="004E52E7"/>
    <w:rsid w:val="005032F5"/>
    <w:rsid w:val="00504CE1"/>
    <w:rsid w:val="005158A4"/>
    <w:rsid w:val="00525D43"/>
    <w:rsid w:val="00535DE7"/>
    <w:rsid w:val="005373E4"/>
    <w:rsid w:val="005423BE"/>
    <w:rsid w:val="0054362C"/>
    <w:rsid w:val="00543F99"/>
    <w:rsid w:val="00544F6D"/>
    <w:rsid w:val="00553EFC"/>
    <w:rsid w:val="00555006"/>
    <w:rsid w:val="005666AC"/>
    <w:rsid w:val="00574F4E"/>
    <w:rsid w:val="00577C23"/>
    <w:rsid w:val="00585935"/>
    <w:rsid w:val="005A0386"/>
    <w:rsid w:val="005B3C3E"/>
    <w:rsid w:val="005B3E8E"/>
    <w:rsid w:val="005C2400"/>
    <w:rsid w:val="005D2BFC"/>
    <w:rsid w:val="005D5822"/>
    <w:rsid w:val="005E0568"/>
    <w:rsid w:val="005E265B"/>
    <w:rsid w:val="006033A5"/>
    <w:rsid w:val="006079B1"/>
    <w:rsid w:val="00610B35"/>
    <w:rsid w:val="00620837"/>
    <w:rsid w:val="00636413"/>
    <w:rsid w:val="00641BE3"/>
    <w:rsid w:val="00644A4C"/>
    <w:rsid w:val="00650DDD"/>
    <w:rsid w:val="006571A3"/>
    <w:rsid w:val="0066687E"/>
    <w:rsid w:val="00693751"/>
    <w:rsid w:val="006B1684"/>
    <w:rsid w:val="006B2792"/>
    <w:rsid w:val="006C070E"/>
    <w:rsid w:val="006C0B54"/>
    <w:rsid w:val="006C7364"/>
    <w:rsid w:val="006E483F"/>
    <w:rsid w:val="006E6168"/>
    <w:rsid w:val="006F740F"/>
    <w:rsid w:val="006F7FC4"/>
    <w:rsid w:val="0070074D"/>
    <w:rsid w:val="00705931"/>
    <w:rsid w:val="007142A5"/>
    <w:rsid w:val="00737153"/>
    <w:rsid w:val="007615AD"/>
    <w:rsid w:val="00766159"/>
    <w:rsid w:val="007662E6"/>
    <w:rsid w:val="007672D8"/>
    <w:rsid w:val="007704DF"/>
    <w:rsid w:val="00772801"/>
    <w:rsid w:val="00773BB7"/>
    <w:rsid w:val="007745E5"/>
    <w:rsid w:val="0077773D"/>
    <w:rsid w:val="00796461"/>
    <w:rsid w:val="007A1975"/>
    <w:rsid w:val="007A65F8"/>
    <w:rsid w:val="007B3F5D"/>
    <w:rsid w:val="007B7347"/>
    <w:rsid w:val="007C0A78"/>
    <w:rsid w:val="007C5303"/>
    <w:rsid w:val="007C56AF"/>
    <w:rsid w:val="007D3191"/>
    <w:rsid w:val="007D484F"/>
    <w:rsid w:val="007D6FB0"/>
    <w:rsid w:val="007E2E9C"/>
    <w:rsid w:val="00815361"/>
    <w:rsid w:val="00823345"/>
    <w:rsid w:val="00823ADC"/>
    <w:rsid w:val="008309C0"/>
    <w:rsid w:val="00833D92"/>
    <w:rsid w:val="00841220"/>
    <w:rsid w:val="00850619"/>
    <w:rsid w:val="008535CD"/>
    <w:rsid w:val="00854878"/>
    <w:rsid w:val="0086775C"/>
    <w:rsid w:val="0087091F"/>
    <w:rsid w:val="00876BC3"/>
    <w:rsid w:val="008B4143"/>
    <w:rsid w:val="008C6EDC"/>
    <w:rsid w:val="008D2ECF"/>
    <w:rsid w:val="008D7D5A"/>
    <w:rsid w:val="008E5D41"/>
    <w:rsid w:val="008E69D8"/>
    <w:rsid w:val="008F11C3"/>
    <w:rsid w:val="008F58D5"/>
    <w:rsid w:val="008F6EBF"/>
    <w:rsid w:val="008F74E2"/>
    <w:rsid w:val="00907AA4"/>
    <w:rsid w:val="00915964"/>
    <w:rsid w:val="00920E5D"/>
    <w:rsid w:val="00923BD1"/>
    <w:rsid w:val="00934B81"/>
    <w:rsid w:val="00945E08"/>
    <w:rsid w:val="00953320"/>
    <w:rsid w:val="00962978"/>
    <w:rsid w:val="0097705D"/>
    <w:rsid w:val="00984551"/>
    <w:rsid w:val="009A35E1"/>
    <w:rsid w:val="009B1467"/>
    <w:rsid w:val="009B3D9C"/>
    <w:rsid w:val="009B76BD"/>
    <w:rsid w:val="009C0175"/>
    <w:rsid w:val="009D1C68"/>
    <w:rsid w:val="009E0E72"/>
    <w:rsid w:val="009F3B7C"/>
    <w:rsid w:val="00A12D14"/>
    <w:rsid w:val="00A15FCB"/>
    <w:rsid w:val="00A40AC8"/>
    <w:rsid w:val="00A40BB4"/>
    <w:rsid w:val="00A446BF"/>
    <w:rsid w:val="00A44CFF"/>
    <w:rsid w:val="00A45CF8"/>
    <w:rsid w:val="00A52541"/>
    <w:rsid w:val="00A566F0"/>
    <w:rsid w:val="00A65583"/>
    <w:rsid w:val="00A766F6"/>
    <w:rsid w:val="00A82DD5"/>
    <w:rsid w:val="00AA3D28"/>
    <w:rsid w:val="00AB1B41"/>
    <w:rsid w:val="00AC7EDD"/>
    <w:rsid w:val="00AD1D4F"/>
    <w:rsid w:val="00AD317B"/>
    <w:rsid w:val="00AD4467"/>
    <w:rsid w:val="00AD7E56"/>
    <w:rsid w:val="00AE0DBA"/>
    <w:rsid w:val="00AF085D"/>
    <w:rsid w:val="00AF3448"/>
    <w:rsid w:val="00B04602"/>
    <w:rsid w:val="00B06C8B"/>
    <w:rsid w:val="00B11F6F"/>
    <w:rsid w:val="00B17C01"/>
    <w:rsid w:val="00B445EE"/>
    <w:rsid w:val="00B452DB"/>
    <w:rsid w:val="00B5086F"/>
    <w:rsid w:val="00B51306"/>
    <w:rsid w:val="00B553A2"/>
    <w:rsid w:val="00B55882"/>
    <w:rsid w:val="00B55D0C"/>
    <w:rsid w:val="00B6550E"/>
    <w:rsid w:val="00B660FA"/>
    <w:rsid w:val="00B66648"/>
    <w:rsid w:val="00B72824"/>
    <w:rsid w:val="00B84F06"/>
    <w:rsid w:val="00B866FF"/>
    <w:rsid w:val="00B92C93"/>
    <w:rsid w:val="00BA0972"/>
    <w:rsid w:val="00BB5E43"/>
    <w:rsid w:val="00BD1A8D"/>
    <w:rsid w:val="00BD2A91"/>
    <w:rsid w:val="00BD2AFE"/>
    <w:rsid w:val="00BD3535"/>
    <w:rsid w:val="00BE4D07"/>
    <w:rsid w:val="00C01219"/>
    <w:rsid w:val="00C01D7F"/>
    <w:rsid w:val="00C34499"/>
    <w:rsid w:val="00C52ABE"/>
    <w:rsid w:val="00C55C9B"/>
    <w:rsid w:val="00C57859"/>
    <w:rsid w:val="00C61536"/>
    <w:rsid w:val="00C705B7"/>
    <w:rsid w:val="00C764C6"/>
    <w:rsid w:val="00C867F3"/>
    <w:rsid w:val="00C946F8"/>
    <w:rsid w:val="00C94E28"/>
    <w:rsid w:val="00CA121A"/>
    <w:rsid w:val="00CA3185"/>
    <w:rsid w:val="00CA4A7D"/>
    <w:rsid w:val="00CB3344"/>
    <w:rsid w:val="00CB5DBB"/>
    <w:rsid w:val="00CD2B36"/>
    <w:rsid w:val="00CE0569"/>
    <w:rsid w:val="00CE6846"/>
    <w:rsid w:val="00D002EE"/>
    <w:rsid w:val="00D02EE3"/>
    <w:rsid w:val="00D12FFC"/>
    <w:rsid w:val="00D21685"/>
    <w:rsid w:val="00D21F9B"/>
    <w:rsid w:val="00D37A78"/>
    <w:rsid w:val="00D45FEC"/>
    <w:rsid w:val="00D50D29"/>
    <w:rsid w:val="00D5473B"/>
    <w:rsid w:val="00D657AA"/>
    <w:rsid w:val="00D76A5F"/>
    <w:rsid w:val="00D82C2C"/>
    <w:rsid w:val="00DA1433"/>
    <w:rsid w:val="00DA3FC6"/>
    <w:rsid w:val="00DA6153"/>
    <w:rsid w:val="00DA6F6B"/>
    <w:rsid w:val="00DA7886"/>
    <w:rsid w:val="00DB33DD"/>
    <w:rsid w:val="00DC4E79"/>
    <w:rsid w:val="00DE19A0"/>
    <w:rsid w:val="00DF488C"/>
    <w:rsid w:val="00E056D4"/>
    <w:rsid w:val="00E15AB4"/>
    <w:rsid w:val="00E266B9"/>
    <w:rsid w:val="00E27134"/>
    <w:rsid w:val="00E305CA"/>
    <w:rsid w:val="00E4797C"/>
    <w:rsid w:val="00E706B2"/>
    <w:rsid w:val="00E71500"/>
    <w:rsid w:val="00E732BF"/>
    <w:rsid w:val="00E7616E"/>
    <w:rsid w:val="00E85D97"/>
    <w:rsid w:val="00E90A8C"/>
    <w:rsid w:val="00E91774"/>
    <w:rsid w:val="00E9297E"/>
    <w:rsid w:val="00EB4A83"/>
    <w:rsid w:val="00EE42AB"/>
    <w:rsid w:val="00EF6ED7"/>
    <w:rsid w:val="00F16F01"/>
    <w:rsid w:val="00F26EBD"/>
    <w:rsid w:val="00F3456E"/>
    <w:rsid w:val="00F3472A"/>
    <w:rsid w:val="00F41334"/>
    <w:rsid w:val="00F4593A"/>
    <w:rsid w:val="00F47967"/>
    <w:rsid w:val="00F72440"/>
    <w:rsid w:val="00F87972"/>
    <w:rsid w:val="00F92087"/>
    <w:rsid w:val="00F940D8"/>
    <w:rsid w:val="00F94F3C"/>
    <w:rsid w:val="00FA0E4B"/>
    <w:rsid w:val="00FD1169"/>
    <w:rsid w:val="00FD36AA"/>
    <w:rsid w:val="00FE4C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BEE155B-74B2-41DB-A91C-48AE706F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387"/>
    <w:pPr>
      <w:spacing w:after="160" w:line="259"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84F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B84F06"/>
    <w:pPr>
      <w:spacing w:after="0" w:line="240" w:lineRule="auto"/>
    </w:pPr>
    <w:rPr>
      <w:rFonts w:ascii="Times New Roman" w:eastAsia="Times New Roman" w:hAnsi="Times New Roman"/>
      <w:sz w:val="20"/>
      <w:szCs w:val="20"/>
      <w:lang w:val="ru-RU" w:eastAsia="ru-RU"/>
    </w:rPr>
  </w:style>
  <w:style w:type="character" w:customStyle="1" w:styleId="a5">
    <w:name w:val="Текст сноски Знак"/>
    <w:link w:val="a4"/>
    <w:uiPriority w:val="99"/>
    <w:semiHidden/>
    <w:locked/>
    <w:rsid w:val="00B84F06"/>
    <w:rPr>
      <w:rFonts w:ascii="Times New Roman" w:hAnsi="Times New Roman" w:cs="Times New Roman"/>
      <w:sz w:val="20"/>
      <w:szCs w:val="20"/>
      <w:lang w:val="ru-RU" w:eastAsia="ru-RU"/>
    </w:rPr>
  </w:style>
  <w:style w:type="character" w:styleId="a6">
    <w:name w:val="footnote reference"/>
    <w:uiPriority w:val="99"/>
    <w:semiHidden/>
    <w:rsid w:val="00B84F06"/>
    <w:rPr>
      <w:rFonts w:cs="Times New Roman"/>
      <w:vertAlign w:val="superscript"/>
    </w:rPr>
  </w:style>
  <w:style w:type="paragraph" w:styleId="a7">
    <w:name w:val="Normal (Web)"/>
    <w:basedOn w:val="a"/>
    <w:uiPriority w:val="99"/>
    <w:rsid w:val="00C5785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8">
    <w:name w:val="List Paragraph"/>
    <w:basedOn w:val="a"/>
    <w:uiPriority w:val="99"/>
    <w:qFormat/>
    <w:rsid w:val="00060412"/>
    <w:pPr>
      <w:ind w:left="720"/>
      <w:contextualSpacing/>
    </w:pPr>
  </w:style>
  <w:style w:type="paragraph" w:styleId="a9">
    <w:name w:val="Balloon Text"/>
    <w:basedOn w:val="a"/>
    <w:link w:val="aa"/>
    <w:uiPriority w:val="99"/>
    <w:semiHidden/>
    <w:rsid w:val="008F11C3"/>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8F11C3"/>
    <w:rPr>
      <w:rFonts w:ascii="Segoe UI" w:hAnsi="Segoe UI" w:cs="Segoe UI"/>
      <w:sz w:val="18"/>
      <w:szCs w:val="18"/>
    </w:rPr>
  </w:style>
  <w:style w:type="character" w:styleId="ab">
    <w:name w:val="annotation reference"/>
    <w:uiPriority w:val="99"/>
    <w:semiHidden/>
    <w:rsid w:val="00086541"/>
    <w:rPr>
      <w:rFonts w:cs="Times New Roman"/>
      <w:sz w:val="16"/>
      <w:szCs w:val="16"/>
    </w:rPr>
  </w:style>
  <w:style w:type="paragraph" w:styleId="ac">
    <w:name w:val="annotation text"/>
    <w:basedOn w:val="a"/>
    <w:link w:val="ad"/>
    <w:uiPriority w:val="99"/>
    <w:semiHidden/>
    <w:rsid w:val="00086541"/>
    <w:pPr>
      <w:spacing w:line="240" w:lineRule="auto"/>
    </w:pPr>
    <w:rPr>
      <w:sz w:val="20"/>
      <w:szCs w:val="20"/>
    </w:rPr>
  </w:style>
  <w:style w:type="character" w:customStyle="1" w:styleId="ad">
    <w:name w:val="Текст примечания Знак"/>
    <w:link w:val="ac"/>
    <w:uiPriority w:val="99"/>
    <w:semiHidden/>
    <w:locked/>
    <w:rsid w:val="00086541"/>
    <w:rPr>
      <w:rFonts w:cs="Times New Roman"/>
      <w:sz w:val="20"/>
      <w:szCs w:val="20"/>
      <w:lang w:eastAsia="en-US"/>
    </w:rPr>
  </w:style>
  <w:style w:type="paragraph" w:styleId="ae">
    <w:name w:val="annotation subject"/>
    <w:basedOn w:val="ac"/>
    <w:next w:val="ac"/>
    <w:link w:val="af"/>
    <w:uiPriority w:val="99"/>
    <w:semiHidden/>
    <w:rsid w:val="00086541"/>
    <w:rPr>
      <w:b/>
      <w:bCs/>
    </w:rPr>
  </w:style>
  <w:style w:type="character" w:customStyle="1" w:styleId="af">
    <w:name w:val="Тема примечания Знак"/>
    <w:link w:val="ae"/>
    <w:uiPriority w:val="99"/>
    <w:semiHidden/>
    <w:locked/>
    <w:rsid w:val="00086541"/>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186344">
      <w:marLeft w:val="0"/>
      <w:marRight w:val="0"/>
      <w:marTop w:val="0"/>
      <w:marBottom w:val="0"/>
      <w:divBdr>
        <w:top w:val="none" w:sz="0" w:space="0" w:color="auto"/>
        <w:left w:val="none" w:sz="0" w:space="0" w:color="auto"/>
        <w:bottom w:val="none" w:sz="0" w:space="0" w:color="auto"/>
        <w:right w:val="none" w:sz="0" w:space="0" w:color="auto"/>
      </w:divBdr>
    </w:div>
    <w:div w:id="1695186345">
      <w:marLeft w:val="0"/>
      <w:marRight w:val="0"/>
      <w:marTop w:val="0"/>
      <w:marBottom w:val="0"/>
      <w:divBdr>
        <w:top w:val="none" w:sz="0" w:space="0" w:color="auto"/>
        <w:left w:val="none" w:sz="0" w:space="0" w:color="auto"/>
        <w:bottom w:val="none" w:sz="0" w:space="0" w:color="auto"/>
        <w:right w:val="none" w:sz="0" w:space="0" w:color="auto"/>
      </w:divBdr>
    </w:div>
    <w:div w:id="1695186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1616</Words>
  <Characters>9214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Шпотак</dc:creator>
  <cp:keywords/>
  <dc:description/>
  <cp:lastModifiedBy>Руслан Кисляк</cp:lastModifiedBy>
  <cp:revision>2</cp:revision>
  <cp:lastPrinted>2018-10-22T07:55:00Z</cp:lastPrinted>
  <dcterms:created xsi:type="dcterms:W3CDTF">2019-01-29T15:10:00Z</dcterms:created>
  <dcterms:modified xsi:type="dcterms:W3CDTF">2019-01-29T15:10:00Z</dcterms:modified>
</cp:coreProperties>
</file>