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48BE8" w14:textId="77777777" w:rsidR="009B5E37" w:rsidRPr="00A06CF8" w:rsidRDefault="009B5E37" w:rsidP="009B5E37">
      <w:pPr>
        <w:widowControl w:val="0"/>
        <w:jc w:val="center"/>
        <w:rPr>
          <w:b/>
          <w:sz w:val="28"/>
          <w:szCs w:val="28"/>
          <w:lang w:val="uk-UA"/>
        </w:rPr>
      </w:pPr>
      <w:r w:rsidRPr="00A06CF8">
        <w:rPr>
          <w:b/>
          <w:sz w:val="28"/>
          <w:szCs w:val="28"/>
          <w:lang w:val="uk-UA"/>
        </w:rPr>
        <w:t xml:space="preserve">Аналіз впливу регуляторного </w:t>
      </w:r>
      <w:proofErr w:type="spellStart"/>
      <w:r w:rsidRPr="00A06CF8">
        <w:rPr>
          <w:b/>
          <w:sz w:val="28"/>
          <w:szCs w:val="28"/>
          <w:lang w:val="uk-UA"/>
        </w:rPr>
        <w:t>акта</w:t>
      </w:r>
      <w:proofErr w:type="spellEnd"/>
    </w:p>
    <w:p w14:paraId="13E83626" w14:textId="77777777" w:rsidR="009B5E37" w:rsidRPr="00A06CF8" w:rsidRDefault="009B5E37" w:rsidP="009B5E37">
      <w:pPr>
        <w:widowControl w:val="0"/>
        <w:jc w:val="center"/>
        <w:rPr>
          <w:b/>
          <w:bCs/>
          <w:sz w:val="28"/>
          <w:szCs w:val="28"/>
          <w:lang w:val="uk-UA"/>
        </w:rPr>
      </w:pPr>
      <w:r w:rsidRPr="00A06CF8">
        <w:rPr>
          <w:b/>
          <w:sz w:val="28"/>
          <w:szCs w:val="28"/>
          <w:lang w:val="uk-UA" w:eastAsia="uk-UA"/>
        </w:rPr>
        <w:t xml:space="preserve">до </w:t>
      </w:r>
      <w:r w:rsidRPr="00A06CF8">
        <w:rPr>
          <w:b/>
          <w:bCs/>
          <w:sz w:val="28"/>
          <w:szCs w:val="28"/>
          <w:lang w:val="uk-UA"/>
        </w:rPr>
        <w:t xml:space="preserve">проекту Закону України </w:t>
      </w:r>
    </w:p>
    <w:p w14:paraId="4E7214D0" w14:textId="324657F8" w:rsidR="009B5E37" w:rsidRPr="0002658F" w:rsidRDefault="0002658F" w:rsidP="009B5E37">
      <w:pPr>
        <w:widowControl w:val="0"/>
        <w:jc w:val="center"/>
        <w:rPr>
          <w:b/>
          <w:sz w:val="28"/>
          <w:szCs w:val="28"/>
          <w:lang w:val="uk-UA"/>
        </w:rPr>
      </w:pPr>
      <w:r w:rsidRPr="0002658F">
        <w:rPr>
          <w:b/>
          <w:sz w:val="28"/>
          <w:szCs w:val="28"/>
        </w:rPr>
        <w:t xml:space="preserve">«Про </w:t>
      </w:r>
      <w:proofErr w:type="spellStart"/>
      <w:r w:rsidRPr="0002658F">
        <w:rPr>
          <w:b/>
          <w:sz w:val="28"/>
          <w:szCs w:val="28"/>
        </w:rPr>
        <w:t>внесення</w:t>
      </w:r>
      <w:proofErr w:type="spellEnd"/>
      <w:r w:rsidRPr="0002658F">
        <w:rPr>
          <w:b/>
          <w:sz w:val="28"/>
          <w:szCs w:val="28"/>
        </w:rPr>
        <w:t xml:space="preserve"> </w:t>
      </w:r>
      <w:proofErr w:type="spellStart"/>
      <w:r w:rsidRPr="0002658F">
        <w:rPr>
          <w:b/>
          <w:sz w:val="28"/>
          <w:szCs w:val="28"/>
        </w:rPr>
        <w:t>змін</w:t>
      </w:r>
      <w:proofErr w:type="spellEnd"/>
      <w:r w:rsidRPr="0002658F">
        <w:rPr>
          <w:b/>
          <w:sz w:val="28"/>
          <w:szCs w:val="28"/>
        </w:rPr>
        <w:t xml:space="preserve"> до </w:t>
      </w:r>
      <w:proofErr w:type="spellStart"/>
      <w:r w:rsidRPr="0002658F">
        <w:rPr>
          <w:b/>
          <w:sz w:val="28"/>
          <w:szCs w:val="28"/>
        </w:rPr>
        <w:t>Податкового</w:t>
      </w:r>
      <w:proofErr w:type="spellEnd"/>
      <w:r w:rsidRPr="0002658F">
        <w:rPr>
          <w:b/>
          <w:sz w:val="28"/>
          <w:szCs w:val="28"/>
        </w:rPr>
        <w:t xml:space="preserve"> кодексу </w:t>
      </w:r>
      <w:proofErr w:type="spellStart"/>
      <w:r w:rsidRPr="0002658F">
        <w:rPr>
          <w:b/>
          <w:sz w:val="28"/>
          <w:szCs w:val="28"/>
        </w:rPr>
        <w:t>України</w:t>
      </w:r>
      <w:proofErr w:type="spellEnd"/>
      <w:r w:rsidRPr="0002658F">
        <w:rPr>
          <w:b/>
          <w:sz w:val="28"/>
          <w:szCs w:val="28"/>
        </w:rPr>
        <w:t xml:space="preserve"> </w:t>
      </w:r>
      <w:proofErr w:type="spellStart"/>
      <w:r w:rsidRPr="0002658F">
        <w:rPr>
          <w:b/>
          <w:sz w:val="28"/>
          <w:szCs w:val="28"/>
        </w:rPr>
        <w:t>щодо</w:t>
      </w:r>
      <w:proofErr w:type="spellEnd"/>
      <w:r w:rsidRPr="0002658F">
        <w:rPr>
          <w:b/>
          <w:sz w:val="28"/>
          <w:szCs w:val="28"/>
        </w:rPr>
        <w:t xml:space="preserve"> </w:t>
      </w:r>
      <w:proofErr w:type="spellStart"/>
      <w:r w:rsidRPr="0002658F">
        <w:rPr>
          <w:b/>
          <w:sz w:val="28"/>
          <w:szCs w:val="28"/>
        </w:rPr>
        <w:t>загальнообов’язкового</w:t>
      </w:r>
      <w:proofErr w:type="spellEnd"/>
      <w:r w:rsidRPr="0002658F">
        <w:rPr>
          <w:b/>
          <w:sz w:val="28"/>
          <w:szCs w:val="28"/>
        </w:rPr>
        <w:t xml:space="preserve"> </w:t>
      </w:r>
      <w:proofErr w:type="spellStart"/>
      <w:r w:rsidRPr="0002658F">
        <w:rPr>
          <w:b/>
          <w:sz w:val="28"/>
          <w:szCs w:val="28"/>
        </w:rPr>
        <w:t>накопичувального</w:t>
      </w:r>
      <w:proofErr w:type="spellEnd"/>
      <w:r w:rsidRPr="0002658F">
        <w:rPr>
          <w:b/>
          <w:sz w:val="28"/>
          <w:szCs w:val="28"/>
        </w:rPr>
        <w:t xml:space="preserve"> </w:t>
      </w:r>
      <w:proofErr w:type="spellStart"/>
      <w:r w:rsidRPr="0002658F">
        <w:rPr>
          <w:b/>
          <w:sz w:val="28"/>
          <w:szCs w:val="28"/>
        </w:rPr>
        <w:t>пенсійного</w:t>
      </w:r>
      <w:proofErr w:type="spellEnd"/>
      <w:r w:rsidRPr="0002658F">
        <w:rPr>
          <w:b/>
          <w:sz w:val="28"/>
          <w:szCs w:val="28"/>
        </w:rPr>
        <w:t xml:space="preserve"> </w:t>
      </w:r>
      <w:proofErr w:type="spellStart"/>
      <w:r w:rsidRPr="0002658F">
        <w:rPr>
          <w:b/>
          <w:sz w:val="28"/>
          <w:szCs w:val="28"/>
        </w:rPr>
        <w:t>забезпечення</w:t>
      </w:r>
      <w:proofErr w:type="spellEnd"/>
      <w:r w:rsidRPr="0002658F">
        <w:rPr>
          <w:b/>
          <w:sz w:val="28"/>
          <w:szCs w:val="28"/>
        </w:rPr>
        <w:t>»</w:t>
      </w:r>
    </w:p>
    <w:p w14:paraId="09955492" w14:textId="77777777" w:rsidR="009B5E37" w:rsidRPr="00A06CF8" w:rsidRDefault="009B5E37" w:rsidP="009B5E37">
      <w:pPr>
        <w:widowControl w:val="0"/>
        <w:jc w:val="center"/>
        <w:rPr>
          <w:b/>
          <w:sz w:val="28"/>
          <w:szCs w:val="28"/>
          <w:lang w:val="uk-UA"/>
        </w:rPr>
      </w:pPr>
    </w:p>
    <w:p w14:paraId="40DA12D2" w14:textId="77777777" w:rsidR="009B5E37" w:rsidRPr="00A06CF8" w:rsidRDefault="009B5E37" w:rsidP="002769C9">
      <w:pPr>
        <w:widowControl w:val="0"/>
        <w:spacing w:after="120"/>
        <w:jc w:val="both"/>
        <w:rPr>
          <w:b/>
          <w:sz w:val="28"/>
          <w:szCs w:val="28"/>
          <w:lang w:val="uk-UA"/>
        </w:rPr>
      </w:pPr>
      <w:r w:rsidRPr="00A06CF8">
        <w:rPr>
          <w:b/>
          <w:sz w:val="28"/>
          <w:szCs w:val="28"/>
          <w:lang w:val="uk-UA"/>
        </w:rPr>
        <w:t>І. Визначення проблеми</w:t>
      </w:r>
    </w:p>
    <w:p w14:paraId="4DAE8BEF" w14:textId="77777777" w:rsidR="00B87672" w:rsidRPr="00A06CF8" w:rsidRDefault="00B87672" w:rsidP="00B87672">
      <w:pPr>
        <w:spacing w:after="120"/>
        <w:ind w:firstLine="709"/>
        <w:jc w:val="both"/>
        <w:rPr>
          <w:sz w:val="28"/>
          <w:szCs w:val="28"/>
          <w:lang w:val="uk-UA"/>
        </w:rPr>
      </w:pPr>
      <w:r w:rsidRPr="00A06CF8">
        <w:rPr>
          <w:sz w:val="28"/>
          <w:szCs w:val="28"/>
          <w:lang w:val="uk-UA"/>
        </w:rPr>
        <w:t>Існуюча пенсійна система, що складається із солідарного загальнообов'язков</w:t>
      </w:r>
      <w:bookmarkStart w:id="0" w:name="_GoBack"/>
      <w:bookmarkEnd w:id="0"/>
      <w:r w:rsidRPr="00A06CF8">
        <w:rPr>
          <w:sz w:val="28"/>
          <w:szCs w:val="28"/>
          <w:lang w:val="uk-UA"/>
        </w:rPr>
        <w:t>ого державного пенсійного страхування</w:t>
      </w:r>
      <w:r w:rsidRPr="00A06CF8">
        <w:rPr>
          <w:b/>
          <w:sz w:val="28"/>
          <w:szCs w:val="28"/>
          <w:lang w:val="uk-UA"/>
        </w:rPr>
        <w:t xml:space="preserve"> </w:t>
      </w:r>
      <w:r w:rsidRPr="00A06CF8">
        <w:rPr>
          <w:sz w:val="28"/>
          <w:szCs w:val="28"/>
          <w:lang w:val="uk-UA"/>
        </w:rPr>
        <w:t>і добровільного недержавного пенсійного забезпечення, є неефективною, що зумовлюється низкою чинників:</w:t>
      </w:r>
    </w:p>
    <w:p w14:paraId="3C3B270B" w14:textId="77777777" w:rsidR="00B87672" w:rsidRPr="00A06CF8" w:rsidRDefault="00B87672" w:rsidP="00B87672">
      <w:pPr>
        <w:pStyle w:val="a3"/>
        <w:numPr>
          <w:ilvl w:val="0"/>
          <w:numId w:val="2"/>
        </w:numPr>
        <w:tabs>
          <w:tab w:val="left" w:pos="993"/>
        </w:tabs>
        <w:spacing w:after="120" w:line="240" w:lineRule="auto"/>
        <w:ind w:left="0" w:firstLine="709"/>
        <w:jc w:val="both"/>
        <w:rPr>
          <w:rFonts w:ascii="Times New Roman" w:hAnsi="Times New Roman"/>
          <w:sz w:val="28"/>
          <w:szCs w:val="28"/>
        </w:rPr>
      </w:pPr>
      <w:r w:rsidRPr="00A06CF8">
        <w:rPr>
          <w:rFonts w:ascii="Times New Roman" w:hAnsi="Times New Roman"/>
          <w:b/>
          <w:sz w:val="28"/>
          <w:szCs w:val="28"/>
        </w:rPr>
        <w:t>Демографічні зміни</w:t>
      </w:r>
      <w:r w:rsidRPr="00A06CF8">
        <w:rPr>
          <w:rFonts w:ascii="Times New Roman" w:hAnsi="Times New Roman"/>
          <w:sz w:val="28"/>
          <w:szCs w:val="28"/>
        </w:rPr>
        <w:t>, які обумовлюють збільшення чисельності і частки літніх людей та збільшення демографічного навантаження на населення працездатного віку</w:t>
      </w:r>
      <w:r w:rsidRPr="00A06CF8">
        <w:rPr>
          <w:rFonts w:ascii="Times New Roman" w:eastAsia="Times New Roman" w:hAnsi="Times New Roman"/>
          <w:sz w:val="28"/>
          <w:szCs w:val="28"/>
          <w:lang w:eastAsia="ru-RU"/>
        </w:rPr>
        <w:t>. Цей фактор буде домінуючим у довгостроковій перспективі та</w:t>
      </w:r>
      <w:r w:rsidRPr="00A06CF8">
        <w:rPr>
          <w:rFonts w:ascii="Times New Roman" w:hAnsi="Times New Roman"/>
          <w:sz w:val="28"/>
          <w:szCs w:val="28"/>
        </w:rPr>
        <w:t xml:space="preserve"> зумовить подальше погіршення фінансової спроможності пенсійної системи, особливо її солідарно-страхових складових. Наслідком буде подальше зростання дефіциту власних коштів ПФУ, що потребуватиме дотацій з державного бюджету, та/або дуже низький рівень пенсійних виплат.</w:t>
      </w:r>
    </w:p>
    <w:p w14:paraId="445594F5" w14:textId="77777777" w:rsidR="00B87672" w:rsidRPr="00A06CF8" w:rsidRDefault="00B87672" w:rsidP="00B87672">
      <w:pPr>
        <w:pStyle w:val="a3"/>
        <w:numPr>
          <w:ilvl w:val="0"/>
          <w:numId w:val="2"/>
        </w:numPr>
        <w:tabs>
          <w:tab w:val="left" w:pos="993"/>
        </w:tabs>
        <w:spacing w:after="120" w:line="240" w:lineRule="auto"/>
        <w:ind w:left="0" w:firstLine="709"/>
        <w:jc w:val="both"/>
        <w:rPr>
          <w:rFonts w:ascii="Times New Roman" w:hAnsi="Times New Roman"/>
          <w:sz w:val="28"/>
          <w:szCs w:val="28"/>
        </w:rPr>
      </w:pPr>
      <w:r w:rsidRPr="00A06CF8">
        <w:rPr>
          <w:rFonts w:ascii="Times New Roman" w:hAnsi="Times New Roman"/>
          <w:b/>
          <w:sz w:val="28"/>
          <w:szCs w:val="28"/>
        </w:rPr>
        <w:t xml:space="preserve">Низький рівень залучення населення на етапі сплати внесків до системи додаткового пенсійного накопичувального забезпечення. </w:t>
      </w:r>
      <w:r w:rsidRPr="00A06CF8">
        <w:rPr>
          <w:rFonts w:ascii="Times New Roman" w:hAnsi="Times New Roman"/>
          <w:sz w:val="28"/>
          <w:szCs w:val="28"/>
        </w:rPr>
        <w:t>Низька економічна активність населення, високе безробіття, поширення неформальної зайнятості та нелегальних трудових міграцій призвели до того, що вже нині, за відносно сприятливих демографічних співвідношень, кількість платників внесків майже така сама, що й кількість пенсіонерів.</w:t>
      </w:r>
    </w:p>
    <w:p w14:paraId="22404B2E" w14:textId="77777777" w:rsidR="00B87672" w:rsidRPr="00A06CF8" w:rsidRDefault="00B87672" w:rsidP="00B87672">
      <w:pPr>
        <w:pStyle w:val="a3"/>
        <w:numPr>
          <w:ilvl w:val="0"/>
          <w:numId w:val="2"/>
        </w:numPr>
        <w:tabs>
          <w:tab w:val="left" w:pos="993"/>
        </w:tabs>
        <w:spacing w:after="120" w:line="240" w:lineRule="auto"/>
        <w:ind w:left="0" w:firstLine="709"/>
        <w:jc w:val="both"/>
        <w:rPr>
          <w:rFonts w:ascii="Times New Roman" w:hAnsi="Times New Roman"/>
          <w:sz w:val="28"/>
          <w:szCs w:val="28"/>
        </w:rPr>
      </w:pPr>
      <w:r w:rsidRPr="00A06CF8">
        <w:rPr>
          <w:rFonts w:ascii="Times New Roman" w:hAnsi="Times New Roman"/>
          <w:b/>
          <w:sz w:val="28"/>
          <w:szCs w:val="28"/>
        </w:rPr>
        <w:t xml:space="preserve">Нерозвинутий фінансовий сектор. </w:t>
      </w:r>
      <w:bookmarkStart w:id="1" w:name="_Hlk523759621"/>
      <w:r w:rsidRPr="00A06CF8">
        <w:rPr>
          <w:rFonts w:ascii="Times New Roman" w:hAnsi="Times New Roman"/>
          <w:sz w:val="28"/>
          <w:szCs w:val="28"/>
        </w:rPr>
        <w:t>Макроекономічна нестабільність, низький рівень доходів, висока інфляція, негативний досвід минулих років та слабка інфраструктурна підтримка обумовлюють низьку довіру до фінансових установ та відсутність мотивації населення робити довгострокові заощадження.</w:t>
      </w:r>
      <w:bookmarkEnd w:id="1"/>
    </w:p>
    <w:p w14:paraId="1790E4D4" w14:textId="77777777" w:rsidR="00B87672" w:rsidRPr="00A06CF8" w:rsidRDefault="00B87672" w:rsidP="00B87672">
      <w:pPr>
        <w:pStyle w:val="a3"/>
        <w:numPr>
          <w:ilvl w:val="0"/>
          <w:numId w:val="2"/>
        </w:numPr>
        <w:tabs>
          <w:tab w:val="left" w:pos="993"/>
        </w:tabs>
        <w:spacing w:after="120" w:line="240" w:lineRule="auto"/>
        <w:ind w:left="0" w:firstLine="709"/>
        <w:jc w:val="both"/>
        <w:rPr>
          <w:rFonts w:ascii="Times New Roman" w:hAnsi="Times New Roman"/>
          <w:sz w:val="28"/>
          <w:szCs w:val="28"/>
        </w:rPr>
      </w:pPr>
      <w:r w:rsidRPr="00A06CF8">
        <w:rPr>
          <w:rFonts w:ascii="Times New Roman" w:hAnsi="Times New Roman"/>
          <w:b/>
          <w:sz w:val="28"/>
          <w:szCs w:val="28"/>
        </w:rPr>
        <w:t xml:space="preserve">Відсутні механізми </w:t>
      </w:r>
      <w:proofErr w:type="spellStart"/>
      <w:r w:rsidRPr="00A06CF8">
        <w:rPr>
          <w:rFonts w:ascii="Times New Roman" w:hAnsi="Times New Roman"/>
          <w:b/>
          <w:sz w:val="28"/>
          <w:szCs w:val="28"/>
        </w:rPr>
        <w:t>упереджувальних</w:t>
      </w:r>
      <w:proofErr w:type="spellEnd"/>
      <w:r w:rsidRPr="00A06CF8">
        <w:rPr>
          <w:rFonts w:ascii="Times New Roman" w:hAnsi="Times New Roman"/>
          <w:b/>
          <w:sz w:val="28"/>
          <w:szCs w:val="28"/>
        </w:rPr>
        <w:t xml:space="preserve"> заходів </w:t>
      </w:r>
      <w:r w:rsidRPr="00A06CF8">
        <w:rPr>
          <w:rFonts w:ascii="Times New Roman" w:hAnsi="Times New Roman"/>
          <w:sz w:val="28"/>
          <w:szCs w:val="28"/>
        </w:rPr>
        <w:t>з метою недопущення збитків від дій або бездіяльності суб’єктів ринку недержавного пенсійного забезпечення.</w:t>
      </w:r>
    </w:p>
    <w:p w14:paraId="68598BE4" w14:textId="77777777" w:rsidR="00EC1C8B" w:rsidRPr="00A06CF8" w:rsidRDefault="00B87672" w:rsidP="00B87672">
      <w:pPr>
        <w:spacing w:after="120"/>
        <w:ind w:firstLine="720"/>
        <w:jc w:val="both"/>
        <w:rPr>
          <w:sz w:val="28"/>
          <w:szCs w:val="28"/>
          <w:lang w:val="uk-UA"/>
        </w:rPr>
      </w:pPr>
      <w:bookmarkStart w:id="2" w:name="_Hlk523759646"/>
      <w:r w:rsidRPr="00A06CF8">
        <w:rPr>
          <w:sz w:val="28"/>
          <w:szCs w:val="28"/>
          <w:lang w:val="uk-UA"/>
        </w:rPr>
        <w:t xml:space="preserve">Для відновлення належного рівня пенсійного забезпечення в Україні необхідним є впровадження </w:t>
      </w:r>
      <w:r w:rsidRPr="00A06CF8">
        <w:rPr>
          <w:b/>
          <w:sz w:val="28"/>
          <w:szCs w:val="28"/>
          <w:lang w:val="uk-UA"/>
        </w:rPr>
        <w:t>обов’язкового накопичувального пенсійного забезпечення</w:t>
      </w:r>
      <w:r w:rsidRPr="00A06CF8">
        <w:rPr>
          <w:sz w:val="28"/>
          <w:szCs w:val="28"/>
          <w:lang w:val="uk-UA"/>
        </w:rPr>
        <w:t xml:space="preserve"> як додаткового елемента пенсійної системи (так званого другого рівня), з метою формування пенсійних накопичень та збільшення сукупного коефіцієнта заміщення як головного індикатора достатності пенсійних виплат. Для цього розроблено проект Закону України «Про загальнообов’язкове накопичувальне пенсійне забезпечення», який визначатиме основні принципи та засади для функціонування системи державного обов’язкового накопичувального пенсійного забезпечення. </w:t>
      </w:r>
    </w:p>
    <w:p w14:paraId="785F66A8" w14:textId="77777777" w:rsidR="00AF26DD" w:rsidRPr="00A06CF8" w:rsidRDefault="00B87672" w:rsidP="00B87672">
      <w:pPr>
        <w:spacing w:after="120"/>
        <w:ind w:firstLine="720"/>
        <w:jc w:val="both"/>
        <w:rPr>
          <w:sz w:val="28"/>
          <w:szCs w:val="28"/>
          <w:lang w:val="uk-UA"/>
        </w:rPr>
      </w:pPr>
      <w:r w:rsidRPr="00A06CF8">
        <w:rPr>
          <w:sz w:val="28"/>
          <w:szCs w:val="28"/>
          <w:lang w:val="uk-UA"/>
        </w:rPr>
        <w:t xml:space="preserve">Одночасно з цим, необхідним є внесення змін </w:t>
      </w:r>
      <w:r w:rsidR="00585D2C" w:rsidRPr="00A06CF8">
        <w:rPr>
          <w:sz w:val="28"/>
          <w:szCs w:val="28"/>
          <w:lang w:val="uk-UA"/>
        </w:rPr>
        <w:t xml:space="preserve">до Податкового кодексу України з метою </w:t>
      </w:r>
      <w:r w:rsidR="00EC1C8B" w:rsidRPr="00A06CF8">
        <w:rPr>
          <w:sz w:val="28"/>
          <w:szCs w:val="28"/>
          <w:lang w:val="uk-UA"/>
        </w:rPr>
        <w:t>встановлення</w:t>
      </w:r>
      <w:r w:rsidR="00585D2C" w:rsidRPr="00A06CF8">
        <w:rPr>
          <w:sz w:val="28"/>
          <w:szCs w:val="28"/>
          <w:lang w:val="uk-UA"/>
        </w:rPr>
        <w:t xml:space="preserve"> </w:t>
      </w:r>
      <w:r w:rsidR="00EC1C8B" w:rsidRPr="00A06CF8">
        <w:rPr>
          <w:b/>
          <w:sz w:val="28"/>
          <w:szCs w:val="28"/>
          <w:lang w:val="uk-UA"/>
        </w:rPr>
        <w:t xml:space="preserve">сприятливого </w:t>
      </w:r>
      <w:r w:rsidR="00585D2C" w:rsidRPr="00A06CF8">
        <w:rPr>
          <w:b/>
          <w:sz w:val="28"/>
          <w:szCs w:val="28"/>
          <w:lang w:val="uk-UA"/>
        </w:rPr>
        <w:t>режиму оподаткування</w:t>
      </w:r>
      <w:r w:rsidR="00585D2C" w:rsidRPr="00A06CF8">
        <w:rPr>
          <w:sz w:val="28"/>
          <w:szCs w:val="28"/>
          <w:lang w:val="uk-UA"/>
        </w:rPr>
        <w:t xml:space="preserve"> </w:t>
      </w:r>
      <w:r w:rsidR="00EC1C8B" w:rsidRPr="00A06CF8">
        <w:rPr>
          <w:sz w:val="28"/>
          <w:szCs w:val="28"/>
          <w:lang w:val="uk-UA"/>
        </w:rPr>
        <w:t xml:space="preserve">внесків, </w:t>
      </w:r>
      <w:r w:rsidR="00EC1C8B" w:rsidRPr="00A06CF8">
        <w:rPr>
          <w:sz w:val="28"/>
          <w:szCs w:val="28"/>
          <w:lang w:val="uk-UA"/>
        </w:rPr>
        <w:lastRenderedPageBreak/>
        <w:t>пенсійних активів та пенсійних виплат</w:t>
      </w:r>
      <w:r w:rsidR="00524F9B" w:rsidRPr="00A06CF8">
        <w:rPr>
          <w:sz w:val="28"/>
          <w:szCs w:val="28"/>
          <w:lang w:val="uk-UA"/>
        </w:rPr>
        <w:t xml:space="preserve"> у системі загальнообов’язкового накопичувального пенсійного забезпечення.</w:t>
      </w:r>
      <w:r w:rsidR="003A335B" w:rsidRPr="00A06CF8">
        <w:rPr>
          <w:sz w:val="28"/>
          <w:szCs w:val="28"/>
          <w:lang w:val="uk-UA"/>
        </w:rPr>
        <w:t xml:space="preserve"> </w:t>
      </w:r>
      <w:r w:rsidR="00CA0CA7" w:rsidRPr="00A06CF8">
        <w:rPr>
          <w:sz w:val="28"/>
          <w:szCs w:val="28"/>
          <w:lang w:val="uk-UA"/>
        </w:rPr>
        <w:t>Законопроектом пропонується запровадити</w:t>
      </w:r>
      <w:r w:rsidR="003A335B" w:rsidRPr="00A06CF8">
        <w:rPr>
          <w:sz w:val="28"/>
          <w:szCs w:val="28"/>
          <w:lang w:val="uk-UA"/>
        </w:rPr>
        <w:t xml:space="preserve"> аналогі</w:t>
      </w:r>
      <w:r w:rsidR="00CA0CA7" w:rsidRPr="00A06CF8">
        <w:rPr>
          <w:sz w:val="28"/>
          <w:szCs w:val="28"/>
          <w:lang w:val="uk-UA"/>
        </w:rPr>
        <w:t xml:space="preserve">чний режим оподаткування до того, який застосовується до солідарної системи загальнообов'язкового державного пенсійного страхування (перший рівень пенсійної системи) – внески до загальнообов’язкової системи пенсійного забезпечення не включаються до оподатковуваного доходу фізичної особи, пенсійні виплати також не оподатковуються. </w:t>
      </w:r>
    </w:p>
    <w:p w14:paraId="7B23FE23" w14:textId="3395995C" w:rsidR="00BC6FB5" w:rsidRPr="00A06CF8" w:rsidRDefault="00CA0CA7" w:rsidP="00B87672">
      <w:pPr>
        <w:spacing w:after="120"/>
        <w:ind w:firstLine="720"/>
        <w:jc w:val="both"/>
        <w:rPr>
          <w:sz w:val="28"/>
          <w:szCs w:val="28"/>
          <w:lang w:val="uk-UA"/>
        </w:rPr>
      </w:pPr>
      <w:r w:rsidRPr="00A06CF8">
        <w:rPr>
          <w:sz w:val="28"/>
          <w:szCs w:val="28"/>
          <w:lang w:val="uk-UA"/>
        </w:rPr>
        <w:t xml:space="preserve">Водночас, якщо на першому рівні пенсійної системи, відсутній елемент накопичення, то другий рівень передбачає появу інституції, яка акумулюватиме пенсійні внески та здійснюватиме управління пенсійними накопичення з метою збереження їх вартості у часті. </w:t>
      </w:r>
      <w:r w:rsidR="00AF26DD" w:rsidRPr="00A06CF8">
        <w:rPr>
          <w:sz w:val="28"/>
          <w:szCs w:val="28"/>
          <w:lang w:val="uk-UA"/>
        </w:rPr>
        <w:t>За пропонованою моделлю управління пенсійними накопиченнями буде здійснювати Накопичувальний фонд або авторизований недержавний пенсійний фонд, який фізична особа мати змогу обрати на власний розсуд. Тому необхідно також чітко визначити режим оподаткування, що застосовуватиметься на рівні Накопичувального фонду</w:t>
      </w:r>
      <w:r w:rsidR="00E064D4">
        <w:rPr>
          <w:sz w:val="28"/>
          <w:szCs w:val="28"/>
          <w:lang w:val="uk-UA"/>
        </w:rPr>
        <w:t xml:space="preserve"> та авторизованого недержавного пенсійного фонду</w:t>
      </w:r>
      <w:r w:rsidR="00AF26DD" w:rsidRPr="00A06CF8">
        <w:rPr>
          <w:sz w:val="28"/>
          <w:szCs w:val="28"/>
          <w:lang w:val="uk-UA"/>
        </w:rPr>
        <w:t xml:space="preserve">. </w:t>
      </w:r>
    </w:p>
    <w:p w14:paraId="2CA74693" w14:textId="0BC76141" w:rsidR="00B87672" w:rsidRDefault="00524F9B" w:rsidP="00B87672">
      <w:pPr>
        <w:spacing w:after="120"/>
        <w:ind w:firstLine="720"/>
        <w:jc w:val="both"/>
        <w:rPr>
          <w:sz w:val="28"/>
          <w:szCs w:val="28"/>
          <w:lang w:val="uk-UA"/>
        </w:rPr>
      </w:pPr>
      <w:r w:rsidRPr="00A06CF8">
        <w:rPr>
          <w:sz w:val="28"/>
          <w:szCs w:val="28"/>
          <w:lang w:val="uk-UA"/>
        </w:rPr>
        <w:t>Крім того,</w:t>
      </w:r>
      <w:r w:rsidR="007A7509" w:rsidRPr="00A06CF8">
        <w:rPr>
          <w:sz w:val="28"/>
          <w:szCs w:val="28"/>
          <w:lang w:val="uk-UA"/>
        </w:rPr>
        <w:t xml:space="preserve"> </w:t>
      </w:r>
      <w:r w:rsidR="00BC6FB5" w:rsidRPr="00A06CF8">
        <w:rPr>
          <w:sz w:val="28"/>
          <w:szCs w:val="28"/>
          <w:lang w:val="uk-UA"/>
        </w:rPr>
        <w:t xml:space="preserve">чинна редакція </w:t>
      </w:r>
      <w:r w:rsidR="0073131C" w:rsidRPr="00A06CF8">
        <w:rPr>
          <w:sz w:val="28"/>
          <w:szCs w:val="28"/>
          <w:lang w:val="uk-UA"/>
        </w:rPr>
        <w:t>Податкового кодексу України</w:t>
      </w:r>
      <w:r w:rsidR="0073131C" w:rsidRPr="00A06CF8">
        <w:rPr>
          <w:sz w:val="28"/>
          <w:szCs w:val="28"/>
          <w:lang w:val="uk-UA"/>
        </w:rPr>
        <w:t xml:space="preserve"> </w:t>
      </w:r>
      <w:r w:rsidRPr="00A06CF8">
        <w:rPr>
          <w:sz w:val="28"/>
          <w:szCs w:val="28"/>
          <w:lang w:val="uk-UA"/>
        </w:rPr>
        <w:t xml:space="preserve">вже </w:t>
      </w:r>
      <w:r w:rsidR="00BC6FB5" w:rsidRPr="00A06CF8">
        <w:rPr>
          <w:sz w:val="28"/>
          <w:szCs w:val="28"/>
          <w:lang w:val="uk-UA"/>
        </w:rPr>
        <w:t xml:space="preserve">містить окремі норми щодо внесків та виплат, а також пенсійних активів Накопичувального фонду. Ці норми були внесені до Податкового кодексу України у зв’язку з прийняттям Закону України «Про внесення змін до деяких законодавчих актів України щодо підвищення пенсій» № 2148-VIII, яким було передбачено запровадження загальнообов’язкового державного пенсійного страхування з 1 січня 2019 року. </w:t>
      </w:r>
      <w:r w:rsidRPr="00A06CF8">
        <w:rPr>
          <w:sz w:val="28"/>
          <w:szCs w:val="28"/>
          <w:lang w:val="uk-UA"/>
        </w:rPr>
        <w:t xml:space="preserve">Проектом Закону України «Про загальнообов’язкове накопичувальне пенсійне забезпечення» запроваджується інша модель для другого рівня пенсійної системи, тому для уникнення конфлікту норм законодавства необхідно узгодити положення проекту Закону України «Про загальнообов’язкове накопичувальне пенсійне забезпечення» з нормами Податкового кодексу України. </w:t>
      </w:r>
    </w:p>
    <w:p w14:paraId="3D34E039" w14:textId="65A97BDE" w:rsidR="004971E5" w:rsidRPr="004971E5" w:rsidRDefault="004971E5" w:rsidP="004971E5">
      <w:pPr>
        <w:spacing w:after="120"/>
        <w:ind w:firstLine="720"/>
        <w:jc w:val="both"/>
        <w:rPr>
          <w:b/>
          <w:sz w:val="28"/>
          <w:szCs w:val="28"/>
          <w:u w:val="single"/>
          <w:lang w:val="uk-UA"/>
        </w:rPr>
      </w:pPr>
      <w:proofErr w:type="spellStart"/>
      <w:r w:rsidRPr="004971E5">
        <w:rPr>
          <w:i/>
          <w:sz w:val="28"/>
          <w:szCs w:val="28"/>
        </w:rPr>
        <w:t>Таблиця</w:t>
      </w:r>
      <w:proofErr w:type="spellEnd"/>
      <w:r w:rsidRPr="004971E5">
        <w:rPr>
          <w:i/>
          <w:sz w:val="28"/>
          <w:szCs w:val="28"/>
        </w:rPr>
        <w:t xml:space="preserve"> 1.</w:t>
      </w:r>
      <w:r>
        <w:rPr>
          <w:sz w:val="28"/>
          <w:szCs w:val="28"/>
        </w:rPr>
        <w:t xml:space="preserve"> </w:t>
      </w:r>
      <w:r w:rsidRPr="004971E5">
        <w:rPr>
          <w:sz w:val="28"/>
          <w:szCs w:val="28"/>
          <w:lang w:val="uk-UA"/>
        </w:rPr>
        <w:t>Основні групи (підгрупи), на які проблема справляє вплив: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251"/>
        <w:gridCol w:w="2251"/>
      </w:tblGrid>
      <w:tr w:rsidR="004971E5" w:rsidRPr="004971E5" w14:paraId="1CECC833" w14:textId="77777777" w:rsidTr="008A41D9">
        <w:tc>
          <w:tcPr>
            <w:tcW w:w="5245" w:type="dxa"/>
            <w:shd w:val="clear" w:color="auto" w:fill="auto"/>
          </w:tcPr>
          <w:p w14:paraId="308AC0CD" w14:textId="77777777" w:rsidR="004971E5" w:rsidRPr="004971E5" w:rsidRDefault="004971E5" w:rsidP="008A41D9">
            <w:pPr>
              <w:widowControl w:val="0"/>
              <w:jc w:val="both"/>
              <w:rPr>
                <w:b/>
                <w:sz w:val="24"/>
                <w:szCs w:val="24"/>
                <w:lang w:val="uk-UA"/>
              </w:rPr>
            </w:pPr>
            <w:r w:rsidRPr="004971E5">
              <w:rPr>
                <w:b/>
                <w:sz w:val="24"/>
                <w:szCs w:val="24"/>
                <w:lang w:val="uk-UA"/>
              </w:rPr>
              <w:t>Групи (підгрупи)</w:t>
            </w:r>
          </w:p>
        </w:tc>
        <w:tc>
          <w:tcPr>
            <w:tcW w:w="2251" w:type="dxa"/>
            <w:shd w:val="clear" w:color="auto" w:fill="auto"/>
          </w:tcPr>
          <w:p w14:paraId="561346FF" w14:textId="77777777" w:rsidR="004971E5" w:rsidRPr="004971E5" w:rsidRDefault="004971E5" w:rsidP="008A41D9">
            <w:pPr>
              <w:widowControl w:val="0"/>
              <w:jc w:val="center"/>
              <w:rPr>
                <w:b/>
                <w:sz w:val="24"/>
                <w:szCs w:val="24"/>
                <w:lang w:val="uk-UA"/>
              </w:rPr>
            </w:pPr>
            <w:r w:rsidRPr="004971E5">
              <w:rPr>
                <w:b/>
                <w:sz w:val="24"/>
                <w:szCs w:val="24"/>
                <w:lang w:val="uk-UA"/>
              </w:rPr>
              <w:t>Так</w:t>
            </w:r>
          </w:p>
        </w:tc>
        <w:tc>
          <w:tcPr>
            <w:tcW w:w="2251" w:type="dxa"/>
            <w:shd w:val="clear" w:color="auto" w:fill="auto"/>
          </w:tcPr>
          <w:p w14:paraId="3C978C43" w14:textId="77777777" w:rsidR="004971E5" w:rsidRPr="004971E5" w:rsidRDefault="004971E5" w:rsidP="008A41D9">
            <w:pPr>
              <w:widowControl w:val="0"/>
              <w:jc w:val="center"/>
              <w:rPr>
                <w:b/>
                <w:sz w:val="24"/>
                <w:szCs w:val="24"/>
                <w:lang w:val="uk-UA"/>
              </w:rPr>
            </w:pPr>
            <w:r w:rsidRPr="004971E5">
              <w:rPr>
                <w:b/>
                <w:sz w:val="24"/>
                <w:szCs w:val="24"/>
                <w:lang w:val="uk-UA"/>
              </w:rPr>
              <w:t>Ні</w:t>
            </w:r>
          </w:p>
        </w:tc>
      </w:tr>
      <w:tr w:rsidR="004971E5" w:rsidRPr="004971E5" w14:paraId="30E9BABC" w14:textId="77777777" w:rsidTr="008A41D9">
        <w:tc>
          <w:tcPr>
            <w:tcW w:w="5245" w:type="dxa"/>
            <w:shd w:val="clear" w:color="auto" w:fill="auto"/>
          </w:tcPr>
          <w:p w14:paraId="42C9088C" w14:textId="77777777" w:rsidR="004971E5" w:rsidRPr="004971E5" w:rsidRDefault="004971E5" w:rsidP="008A41D9">
            <w:pPr>
              <w:widowControl w:val="0"/>
              <w:jc w:val="both"/>
              <w:rPr>
                <w:sz w:val="24"/>
                <w:szCs w:val="24"/>
                <w:lang w:val="uk-UA"/>
              </w:rPr>
            </w:pPr>
            <w:r w:rsidRPr="004971E5">
              <w:rPr>
                <w:sz w:val="24"/>
                <w:szCs w:val="24"/>
                <w:lang w:val="uk-UA"/>
              </w:rPr>
              <w:t xml:space="preserve">Громадяни </w:t>
            </w:r>
          </w:p>
        </w:tc>
        <w:tc>
          <w:tcPr>
            <w:tcW w:w="2251" w:type="dxa"/>
            <w:shd w:val="clear" w:color="auto" w:fill="auto"/>
          </w:tcPr>
          <w:p w14:paraId="3559A94B" w14:textId="77777777" w:rsidR="004971E5" w:rsidRPr="004971E5" w:rsidRDefault="004971E5" w:rsidP="008A41D9">
            <w:pPr>
              <w:widowControl w:val="0"/>
              <w:jc w:val="center"/>
              <w:rPr>
                <w:sz w:val="24"/>
                <w:szCs w:val="24"/>
                <w:lang w:val="uk-UA"/>
              </w:rPr>
            </w:pPr>
            <w:r w:rsidRPr="004971E5">
              <w:rPr>
                <w:sz w:val="24"/>
                <w:szCs w:val="24"/>
                <w:lang w:val="uk-UA"/>
              </w:rPr>
              <w:t>+</w:t>
            </w:r>
          </w:p>
        </w:tc>
        <w:tc>
          <w:tcPr>
            <w:tcW w:w="2251" w:type="dxa"/>
            <w:shd w:val="clear" w:color="auto" w:fill="auto"/>
          </w:tcPr>
          <w:p w14:paraId="4BC07232" w14:textId="77777777" w:rsidR="004971E5" w:rsidRPr="004971E5" w:rsidRDefault="004971E5" w:rsidP="008A41D9">
            <w:pPr>
              <w:widowControl w:val="0"/>
              <w:jc w:val="center"/>
              <w:rPr>
                <w:sz w:val="24"/>
                <w:szCs w:val="24"/>
                <w:lang w:val="uk-UA"/>
              </w:rPr>
            </w:pPr>
          </w:p>
        </w:tc>
      </w:tr>
      <w:tr w:rsidR="004971E5" w:rsidRPr="004971E5" w14:paraId="71E87DB8" w14:textId="77777777" w:rsidTr="008A41D9">
        <w:tc>
          <w:tcPr>
            <w:tcW w:w="5245" w:type="dxa"/>
            <w:shd w:val="clear" w:color="auto" w:fill="auto"/>
          </w:tcPr>
          <w:p w14:paraId="11AD9E95" w14:textId="77777777" w:rsidR="004971E5" w:rsidRPr="004971E5" w:rsidRDefault="004971E5" w:rsidP="008A41D9">
            <w:pPr>
              <w:widowControl w:val="0"/>
              <w:jc w:val="both"/>
              <w:rPr>
                <w:sz w:val="24"/>
                <w:szCs w:val="24"/>
                <w:lang w:val="uk-UA"/>
              </w:rPr>
            </w:pPr>
            <w:r w:rsidRPr="004971E5">
              <w:rPr>
                <w:sz w:val="24"/>
                <w:szCs w:val="24"/>
                <w:lang w:val="uk-UA"/>
              </w:rPr>
              <w:t>Держава</w:t>
            </w:r>
          </w:p>
        </w:tc>
        <w:tc>
          <w:tcPr>
            <w:tcW w:w="2251" w:type="dxa"/>
            <w:shd w:val="clear" w:color="auto" w:fill="auto"/>
          </w:tcPr>
          <w:p w14:paraId="4CA97D44" w14:textId="77777777" w:rsidR="004971E5" w:rsidRPr="004971E5" w:rsidRDefault="004971E5" w:rsidP="008A41D9">
            <w:pPr>
              <w:widowControl w:val="0"/>
              <w:jc w:val="center"/>
              <w:rPr>
                <w:sz w:val="24"/>
                <w:szCs w:val="24"/>
                <w:lang w:val="uk-UA"/>
              </w:rPr>
            </w:pPr>
            <w:r w:rsidRPr="004971E5">
              <w:rPr>
                <w:sz w:val="24"/>
                <w:szCs w:val="24"/>
                <w:lang w:val="uk-UA"/>
              </w:rPr>
              <w:t>+</w:t>
            </w:r>
          </w:p>
        </w:tc>
        <w:tc>
          <w:tcPr>
            <w:tcW w:w="2251" w:type="dxa"/>
            <w:shd w:val="clear" w:color="auto" w:fill="auto"/>
          </w:tcPr>
          <w:p w14:paraId="1D3769F4" w14:textId="77777777" w:rsidR="004971E5" w:rsidRPr="004971E5" w:rsidRDefault="004971E5" w:rsidP="008A41D9">
            <w:pPr>
              <w:widowControl w:val="0"/>
              <w:jc w:val="center"/>
              <w:rPr>
                <w:sz w:val="24"/>
                <w:szCs w:val="24"/>
                <w:lang w:val="uk-UA"/>
              </w:rPr>
            </w:pPr>
          </w:p>
        </w:tc>
      </w:tr>
      <w:tr w:rsidR="004971E5" w:rsidRPr="004971E5" w14:paraId="312DD66D" w14:textId="77777777" w:rsidTr="008A41D9">
        <w:tc>
          <w:tcPr>
            <w:tcW w:w="5245" w:type="dxa"/>
            <w:shd w:val="clear" w:color="auto" w:fill="auto"/>
          </w:tcPr>
          <w:p w14:paraId="7F2BF201" w14:textId="77777777" w:rsidR="004971E5" w:rsidRPr="004971E5" w:rsidRDefault="004971E5" w:rsidP="008A41D9">
            <w:pPr>
              <w:widowControl w:val="0"/>
              <w:jc w:val="both"/>
              <w:rPr>
                <w:sz w:val="24"/>
                <w:szCs w:val="24"/>
                <w:lang w:val="uk-UA"/>
              </w:rPr>
            </w:pPr>
            <w:r w:rsidRPr="004971E5">
              <w:rPr>
                <w:sz w:val="24"/>
                <w:szCs w:val="24"/>
                <w:lang w:val="uk-UA"/>
              </w:rPr>
              <w:t>Суб’єкти господарювання</w:t>
            </w:r>
          </w:p>
        </w:tc>
        <w:tc>
          <w:tcPr>
            <w:tcW w:w="2251" w:type="dxa"/>
            <w:shd w:val="clear" w:color="auto" w:fill="auto"/>
          </w:tcPr>
          <w:p w14:paraId="53EFFB6F" w14:textId="77777777" w:rsidR="004971E5" w:rsidRPr="004971E5" w:rsidRDefault="004971E5" w:rsidP="008A41D9">
            <w:pPr>
              <w:widowControl w:val="0"/>
              <w:jc w:val="center"/>
              <w:rPr>
                <w:sz w:val="24"/>
                <w:szCs w:val="24"/>
                <w:lang w:val="uk-UA"/>
              </w:rPr>
            </w:pPr>
          </w:p>
        </w:tc>
        <w:tc>
          <w:tcPr>
            <w:tcW w:w="2251" w:type="dxa"/>
            <w:shd w:val="clear" w:color="auto" w:fill="auto"/>
          </w:tcPr>
          <w:p w14:paraId="388DC0E5" w14:textId="77777777" w:rsidR="004971E5" w:rsidRPr="004971E5" w:rsidRDefault="004971E5" w:rsidP="008A41D9">
            <w:pPr>
              <w:widowControl w:val="0"/>
              <w:jc w:val="center"/>
              <w:rPr>
                <w:sz w:val="24"/>
                <w:szCs w:val="24"/>
                <w:lang w:val="uk-UA"/>
              </w:rPr>
            </w:pPr>
            <w:r w:rsidRPr="004971E5">
              <w:rPr>
                <w:sz w:val="24"/>
                <w:szCs w:val="24"/>
                <w:lang w:val="uk-UA"/>
              </w:rPr>
              <w:t>-</w:t>
            </w:r>
          </w:p>
        </w:tc>
      </w:tr>
      <w:tr w:rsidR="004971E5" w:rsidRPr="004971E5" w14:paraId="469A0DC1" w14:textId="77777777" w:rsidTr="008A41D9">
        <w:tc>
          <w:tcPr>
            <w:tcW w:w="5245" w:type="dxa"/>
            <w:shd w:val="clear" w:color="auto" w:fill="auto"/>
          </w:tcPr>
          <w:p w14:paraId="4687E725" w14:textId="77777777" w:rsidR="004971E5" w:rsidRPr="004971E5" w:rsidRDefault="004971E5" w:rsidP="008A41D9">
            <w:pPr>
              <w:widowControl w:val="0"/>
              <w:ind w:firstLine="318"/>
              <w:rPr>
                <w:sz w:val="24"/>
                <w:szCs w:val="24"/>
                <w:lang w:val="uk-UA"/>
              </w:rPr>
            </w:pPr>
            <w:r w:rsidRPr="004971E5">
              <w:rPr>
                <w:sz w:val="24"/>
                <w:szCs w:val="24"/>
                <w:lang w:val="uk-UA"/>
              </w:rPr>
              <w:t>у тому числі суб’єкти малого підприємництва</w:t>
            </w:r>
          </w:p>
        </w:tc>
        <w:tc>
          <w:tcPr>
            <w:tcW w:w="2251" w:type="dxa"/>
            <w:shd w:val="clear" w:color="auto" w:fill="auto"/>
          </w:tcPr>
          <w:p w14:paraId="66BB3E38" w14:textId="77777777" w:rsidR="004971E5" w:rsidRPr="004971E5" w:rsidRDefault="004971E5" w:rsidP="008A41D9">
            <w:pPr>
              <w:widowControl w:val="0"/>
              <w:jc w:val="center"/>
              <w:rPr>
                <w:sz w:val="24"/>
                <w:szCs w:val="24"/>
                <w:lang w:val="uk-UA"/>
              </w:rPr>
            </w:pPr>
          </w:p>
        </w:tc>
        <w:tc>
          <w:tcPr>
            <w:tcW w:w="2251" w:type="dxa"/>
            <w:shd w:val="clear" w:color="auto" w:fill="auto"/>
          </w:tcPr>
          <w:p w14:paraId="384EEAFF" w14:textId="77777777" w:rsidR="004971E5" w:rsidRPr="004971E5" w:rsidRDefault="004971E5" w:rsidP="008A41D9">
            <w:pPr>
              <w:widowControl w:val="0"/>
              <w:jc w:val="center"/>
              <w:rPr>
                <w:sz w:val="24"/>
                <w:szCs w:val="24"/>
                <w:lang w:val="uk-UA"/>
              </w:rPr>
            </w:pPr>
            <w:r w:rsidRPr="004971E5">
              <w:rPr>
                <w:sz w:val="24"/>
                <w:szCs w:val="24"/>
                <w:lang w:val="uk-UA"/>
              </w:rPr>
              <w:t>-</w:t>
            </w:r>
          </w:p>
        </w:tc>
      </w:tr>
    </w:tbl>
    <w:p w14:paraId="0C5FCF18" w14:textId="77777777" w:rsidR="004971E5" w:rsidRPr="004971E5" w:rsidRDefault="004971E5" w:rsidP="00B87672">
      <w:pPr>
        <w:spacing w:after="120"/>
        <w:ind w:firstLine="720"/>
        <w:jc w:val="both"/>
        <w:rPr>
          <w:sz w:val="28"/>
          <w:szCs w:val="28"/>
          <w:lang w:val="uk-UA"/>
        </w:rPr>
      </w:pPr>
    </w:p>
    <w:bookmarkEnd w:id="2"/>
    <w:p w14:paraId="3F315099" w14:textId="6815F2F2" w:rsidR="009B5E37" w:rsidRPr="00A06CF8" w:rsidRDefault="009B5E37" w:rsidP="0020174D">
      <w:pPr>
        <w:widowControl w:val="0"/>
        <w:spacing w:after="120"/>
        <w:jc w:val="both"/>
        <w:rPr>
          <w:b/>
          <w:sz w:val="28"/>
          <w:szCs w:val="28"/>
          <w:lang w:val="uk-UA"/>
        </w:rPr>
      </w:pPr>
      <w:r w:rsidRPr="00A06CF8">
        <w:rPr>
          <w:b/>
          <w:sz w:val="28"/>
          <w:szCs w:val="28"/>
          <w:lang w:val="uk-UA"/>
        </w:rPr>
        <w:t>ІІ. Цілі державного регулювання</w:t>
      </w:r>
    </w:p>
    <w:p w14:paraId="61EDDAF1" w14:textId="06007D39" w:rsidR="009B5E37" w:rsidRPr="00A06CF8" w:rsidRDefault="009B5E37" w:rsidP="002769C9">
      <w:pPr>
        <w:widowControl w:val="0"/>
        <w:spacing w:after="120"/>
        <w:ind w:right="382" w:firstLine="720"/>
        <w:jc w:val="both"/>
        <w:rPr>
          <w:sz w:val="28"/>
          <w:szCs w:val="28"/>
          <w:lang w:val="uk-UA"/>
        </w:rPr>
      </w:pPr>
      <w:r w:rsidRPr="00A06CF8">
        <w:rPr>
          <w:sz w:val="28"/>
          <w:szCs w:val="28"/>
          <w:lang w:val="uk-UA"/>
        </w:rPr>
        <w:t>Цілями державного регулювання є</w:t>
      </w:r>
      <w:r w:rsidR="007C5017" w:rsidRPr="00A06CF8">
        <w:rPr>
          <w:sz w:val="28"/>
          <w:szCs w:val="28"/>
          <w:lang w:val="uk-UA"/>
        </w:rPr>
        <w:t>:</w:t>
      </w:r>
      <w:r w:rsidRPr="00A06CF8">
        <w:rPr>
          <w:sz w:val="28"/>
          <w:szCs w:val="28"/>
          <w:lang w:val="uk-UA"/>
        </w:rPr>
        <w:t xml:space="preserve"> </w:t>
      </w:r>
    </w:p>
    <w:p w14:paraId="3D117777" w14:textId="7597CF82" w:rsidR="005B5C56" w:rsidRPr="00A06CF8" w:rsidRDefault="003A335B" w:rsidP="003A335B">
      <w:pPr>
        <w:widowControl w:val="0"/>
        <w:numPr>
          <w:ilvl w:val="0"/>
          <w:numId w:val="3"/>
        </w:numPr>
        <w:tabs>
          <w:tab w:val="left" w:pos="9923"/>
        </w:tabs>
        <w:ind w:right="50"/>
        <w:jc w:val="both"/>
        <w:rPr>
          <w:spacing w:val="1"/>
          <w:sz w:val="28"/>
          <w:szCs w:val="28"/>
          <w:lang w:val="uk-UA"/>
        </w:rPr>
      </w:pPr>
      <w:bookmarkStart w:id="3" w:name="_Hlk523759585"/>
      <w:r w:rsidRPr="00A06CF8">
        <w:rPr>
          <w:sz w:val="28"/>
          <w:szCs w:val="28"/>
          <w:lang w:val="uk-UA"/>
        </w:rPr>
        <w:t>Встановлення сприятливого режиму оподаткування внесків, пенсійних активів та пенсійних виплат у системі загальнообов’язкового накопичувального пенсійного забезпечення</w:t>
      </w:r>
      <w:r w:rsidR="00824F48">
        <w:rPr>
          <w:sz w:val="28"/>
          <w:szCs w:val="28"/>
          <w:lang w:val="uk-UA"/>
        </w:rPr>
        <w:t>;</w:t>
      </w:r>
    </w:p>
    <w:p w14:paraId="6E477465" w14:textId="5845090D" w:rsidR="003A335B" w:rsidRPr="00A06CF8" w:rsidRDefault="003A335B" w:rsidP="003A335B">
      <w:pPr>
        <w:widowControl w:val="0"/>
        <w:numPr>
          <w:ilvl w:val="0"/>
          <w:numId w:val="3"/>
        </w:numPr>
        <w:tabs>
          <w:tab w:val="left" w:pos="9923"/>
        </w:tabs>
        <w:ind w:right="50"/>
        <w:jc w:val="both"/>
        <w:rPr>
          <w:spacing w:val="1"/>
          <w:sz w:val="28"/>
          <w:szCs w:val="28"/>
          <w:lang w:val="uk-UA"/>
        </w:rPr>
      </w:pPr>
      <w:r w:rsidRPr="00A06CF8">
        <w:rPr>
          <w:spacing w:val="1"/>
          <w:sz w:val="28"/>
          <w:szCs w:val="28"/>
          <w:lang w:val="uk-UA"/>
        </w:rPr>
        <w:lastRenderedPageBreak/>
        <w:t xml:space="preserve">Усунення термінологічних </w:t>
      </w:r>
      <w:proofErr w:type="spellStart"/>
      <w:r w:rsidRPr="00A06CF8">
        <w:rPr>
          <w:spacing w:val="1"/>
          <w:sz w:val="28"/>
          <w:szCs w:val="28"/>
          <w:lang w:val="uk-UA"/>
        </w:rPr>
        <w:t>неузгодженостей</w:t>
      </w:r>
      <w:proofErr w:type="spellEnd"/>
      <w:r w:rsidRPr="00A06CF8">
        <w:rPr>
          <w:spacing w:val="1"/>
          <w:sz w:val="28"/>
          <w:szCs w:val="28"/>
          <w:lang w:val="uk-UA"/>
        </w:rPr>
        <w:t xml:space="preserve"> між базовим та податковим законодавством у сфері загальнообов’язкового накопичувального пенсійного забезпечення</w:t>
      </w:r>
      <w:r w:rsidR="00824F48">
        <w:rPr>
          <w:spacing w:val="1"/>
          <w:sz w:val="28"/>
          <w:szCs w:val="28"/>
          <w:lang w:val="uk-UA"/>
        </w:rPr>
        <w:t>.</w:t>
      </w:r>
    </w:p>
    <w:p w14:paraId="4E26E7DF" w14:textId="642B2583" w:rsidR="00C66A01" w:rsidRPr="00A06CF8" w:rsidRDefault="009B5E37" w:rsidP="002769C9">
      <w:pPr>
        <w:widowControl w:val="0"/>
        <w:spacing w:after="120"/>
        <w:ind w:right="202" w:firstLine="720"/>
        <w:jc w:val="both"/>
        <w:rPr>
          <w:sz w:val="28"/>
          <w:szCs w:val="28"/>
          <w:lang w:val="uk-UA"/>
        </w:rPr>
      </w:pPr>
      <w:r w:rsidRPr="00A06CF8">
        <w:rPr>
          <w:spacing w:val="1"/>
          <w:sz w:val="28"/>
          <w:szCs w:val="28"/>
          <w:lang w:val="uk-UA"/>
        </w:rPr>
        <w:t xml:space="preserve">Прийняття запропонованого регуляторного акту встановить </w:t>
      </w:r>
      <w:r w:rsidR="0086266C" w:rsidRPr="00A06CF8">
        <w:rPr>
          <w:spacing w:val="1"/>
          <w:sz w:val="28"/>
          <w:szCs w:val="28"/>
          <w:lang w:val="uk-UA"/>
        </w:rPr>
        <w:t>однозначні правила оподаткування доходів громадян та пенсійних фондів (Накопичувального фонду та недержавного пенсійного фонду)</w:t>
      </w:r>
      <w:r w:rsidRPr="00A06CF8">
        <w:rPr>
          <w:spacing w:val="1"/>
          <w:sz w:val="28"/>
          <w:szCs w:val="28"/>
          <w:lang w:val="uk-UA"/>
        </w:rPr>
        <w:t>,</w:t>
      </w:r>
      <w:r w:rsidR="0086266C" w:rsidRPr="00A06CF8">
        <w:rPr>
          <w:spacing w:val="1"/>
          <w:sz w:val="28"/>
          <w:szCs w:val="28"/>
          <w:lang w:val="uk-UA"/>
        </w:rPr>
        <w:t xml:space="preserve"> що є обов’язковою умовою для успішного запровадження другого рівня пенсійної системи. Це </w:t>
      </w:r>
      <w:r w:rsidRPr="00A06CF8">
        <w:rPr>
          <w:spacing w:val="1"/>
          <w:sz w:val="28"/>
          <w:szCs w:val="28"/>
          <w:lang w:val="uk-UA"/>
        </w:rPr>
        <w:t xml:space="preserve">в свою чергу сприятиме збільшенню соціальної захищеності </w:t>
      </w:r>
      <w:r w:rsidR="007F02EF" w:rsidRPr="00A06CF8">
        <w:rPr>
          <w:spacing w:val="1"/>
          <w:sz w:val="28"/>
          <w:szCs w:val="28"/>
          <w:lang w:val="uk-UA"/>
        </w:rPr>
        <w:t>населення України,</w:t>
      </w:r>
      <w:r w:rsidRPr="00A06CF8">
        <w:rPr>
          <w:spacing w:val="1"/>
          <w:sz w:val="28"/>
          <w:szCs w:val="28"/>
          <w:lang w:val="uk-UA"/>
        </w:rPr>
        <w:t xml:space="preserve"> </w:t>
      </w:r>
      <w:r w:rsidR="007F02EF" w:rsidRPr="00A06CF8">
        <w:rPr>
          <w:sz w:val="28"/>
          <w:szCs w:val="28"/>
          <w:lang w:val="uk-UA"/>
        </w:rPr>
        <w:t xml:space="preserve">сприятиме солідаризації інтересів різних поколінь та </w:t>
      </w:r>
      <w:proofErr w:type="spellStart"/>
      <w:r w:rsidR="007F02EF" w:rsidRPr="00A06CF8">
        <w:rPr>
          <w:spacing w:val="1"/>
          <w:sz w:val="28"/>
          <w:szCs w:val="28"/>
          <w:lang w:val="uk-UA"/>
        </w:rPr>
        <w:t>надасть</w:t>
      </w:r>
      <w:proofErr w:type="spellEnd"/>
      <w:r w:rsidR="007F02EF" w:rsidRPr="00A06CF8">
        <w:rPr>
          <w:spacing w:val="1"/>
          <w:sz w:val="28"/>
          <w:szCs w:val="28"/>
          <w:lang w:val="uk-UA"/>
        </w:rPr>
        <w:t xml:space="preserve"> </w:t>
      </w:r>
      <w:r w:rsidRPr="00A06CF8">
        <w:rPr>
          <w:spacing w:val="1"/>
          <w:sz w:val="28"/>
          <w:szCs w:val="28"/>
          <w:lang w:val="uk-UA"/>
        </w:rPr>
        <w:t xml:space="preserve">поштовх </w:t>
      </w:r>
      <w:r w:rsidR="007F02EF" w:rsidRPr="00A06CF8">
        <w:rPr>
          <w:spacing w:val="1"/>
          <w:sz w:val="28"/>
          <w:szCs w:val="28"/>
          <w:lang w:val="uk-UA"/>
        </w:rPr>
        <w:t xml:space="preserve">для </w:t>
      </w:r>
      <w:r w:rsidRPr="00A06CF8">
        <w:rPr>
          <w:sz w:val="28"/>
          <w:szCs w:val="28"/>
          <w:lang w:val="uk-UA"/>
        </w:rPr>
        <w:t xml:space="preserve">розвитку стабільного фінансового ринку. </w:t>
      </w:r>
    </w:p>
    <w:p w14:paraId="459A3578" w14:textId="77777777" w:rsidR="00265098" w:rsidRPr="00A06CF8" w:rsidRDefault="00265098" w:rsidP="002769C9">
      <w:pPr>
        <w:widowControl w:val="0"/>
        <w:spacing w:after="120"/>
        <w:ind w:right="202" w:firstLine="720"/>
        <w:jc w:val="both"/>
        <w:rPr>
          <w:sz w:val="28"/>
          <w:szCs w:val="28"/>
          <w:lang w:val="uk-UA"/>
        </w:rPr>
      </w:pPr>
    </w:p>
    <w:p w14:paraId="7F322F9C" w14:textId="77777777" w:rsidR="005A0C09" w:rsidRPr="00A06CF8" w:rsidRDefault="00265098" w:rsidP="005A0C09">
      <w:pPr>
        <w:widowControl w:val="0"/>
        <w:jc w:val="both"/>
        <w:rPr>
          <w:b/>
          <w:sz w:val="28"/>
          <w:szCs w:val="28"/>
          <w:lang w:val="uk-UA"/>
        </w:rPr>
      </w:pPr>
      <w:r w:rsidRPr="00A06CF8">
        <w:rPr>
          <w:b/>
          <w:sz w:val="28"/>
          <w:szCs w:val="28"/>
          <w:lang w:val="uk-UA"/>
        </w:rPr>
        <w:t xml:space="preserve">ІІІ. </w:t>
      </w:r>
      <w:r w:rsidR="005A0C09" w:rsidRPr="00A06CF8">
        <w:rPr>
          <w:b/>
          <w:sz w:val="28"/>
          <w:szCs w:val="28"/>
          <w:lang w:val="uk-UA"/>
        </w:rPr>
        <w:t>Визначення альтернативних способів досягнення зазначених цілей,</w:t>
      </w:r>
    </w:p>
    <w:p w14:paraId="157F16D7" w14:textId="43597B4B" w:rsidR="00265098" w:rsidRPr="00A06CF8" w:rsidRDefault="005A0C09" w:rsidP="005A0C09">
      <w:pPr>
        <w:widowControl w:val="0"/>
        <w:jc w:val="both"/>
        <w:rPr>
          <w:sz w:val="28"/>
          <w:szCs w:val="28"/>
          <w:lang w:val="uk-UA"/>
        </w:rPr>
      </w:pPr>
      <w:r w:rsidRPr="00A06CF8">
        <w:rPr>
          <w:b/>
          <w:sz w:val="28"/>
          <w:szCs w:val="28"/>
          <w:lang w:val="uk-UA"/>
        </w:rPr>
        <w:t>аргументи щодо переваг обраного способу</w:t>
      </w:r>
    </w:p>
    <w:p w14:paraId="45D52E59" w14:textId="64B076A5" w:rsidR="00265098" w:rsidRPr="00A06CF8" w:rsidRDefault="00265098" w:rsidP="00265098">
      <w:pPr>
        <w:widowControl w:val="0"/>
        <w:jc w:val="both"/>
        <w:rPr>
          <w:sz w:val="28"/>
          <w:szCs w:val="28"/>
          <w:lang w:val="uk-UA"/>
        </w:rPr>
      </w:pPr>
    </w:p>
    <w:p w14:paraId="30A4E873" w14:textId="77777777" w:rsidR="00FD67ED" w:rsidRPr="0020174D" w:rsidRDefault="00FD67ED" w:rsidP="00FD67ED">
      <w:pPr>
        <w:widowControl w:val="0"/>
        <w:jc w:val="both"/>
        <w:rPr>
          <w:b/>
          <w:sz w:val="28"/>
          <w:szCs w:val="28"/>
          <w:lang w:val="uk-UA"/>
        </w:rPr>
      </w:pPr>
      <w:r w:rsidRPr="0020174D">
        <w:rPr>
          <w:b/>
          <w:sz w:val="28"/>
          <w:szCs w:val="28"/>
          <w:lang w:val="uk-UA"/>
        </w:rPr>
        <w:t>1.</w:t>
      </w:r>
      <w:r>
        <w:rPr>
          <w:b/>
          <w:sz w:val="28"/>
          <w:szCs w:val="28"/>
          <w:lang w:val="uk-UA"/>
        </w:rPr>
        <w:t xml:space="preserve"> </w:t>
      </w:r>
      <w:r w:rsidRPr="0020174D">
        <w:rPr>
          <w:b/>
          <w:sz w:val="28"/>
          <w:szCs w:val="28"/>
          <w:lang w:val="uk-UA"/>
        </w:rPr>
        <w:t>Визначення альтернативних способів</w:t>
      </w:r>
    </w:p>
    <w:p w14:paraId="3C511287" w14:textId="77777777" w:rsidR="00FD67ED" w:rsidRDefault="00FD67ED" w:rsidP="007F3F3B">
      <w:pPr>
        <w:widowControl w:val="0"/>
        <w:ind w:firstLine="709"/>
        <w:jc w:val="both"/>
        <w:rPr>
          <w:sz w:val="28"/>
          <w:szCs w:val="28"/>
          <w:lang w:val="uk-UA"/>
        </w:rPr>
      </w:pPr>
    </w:p>
    <w:p w14:paraId="60C479DF" w14:textId="2D76A97E" w:rsidR="005A0C09" w:rsidRPr="00A06CF8" w:rsidRDefault="005A0C09" w:rsidP="007F3F3B">
      <w:pPr>
        <w:widowControl w:val="0"/>
        <w:ind w:firstLine="709"/>
        <w:jc w:val="both"/>
        <w:rPr>
          <w:sz w:val="28"/>
          <w:szCs w:val="28"/>
          <w:lang w:val="uk-UA"/>
        </w:rPr>
      </w:pPr>
      <w:r w:rsidRPr="00A06CF8">
        <w:rPr>
          <w:sz w:val="28"/>
          <w:szCs w:val="28"/>
          <w:lang w:val="uk-UA"/>
        </w:rPr>
        <w:t xml:space="preserve">Розглядаючи можливі способи досягнення цілей регулювання можливо виділити два альтернативних підходи. Перший спосіб – це внесення пропонованих цим законопроектом змін до Податкового кодексу України (детальний опис альтернативи у таблиці 1). Оскільки чинна редакція Кодексу вже містить деякі норми щодо </w:t>
      </w:r>
      <w:r w:rsidR="00B93CB9" w:rsidRPr="00A06CF8">
        <w:rPr>
          <w:sz w:val="28"/>
          <w:szCs w:val="28"/>
          <w:lang w:val="uk-UA"/>
        </w:rPr>
        <w:t xml:space="preserve">накопичувального пенсійного забезпечення, то альтернативою 2 є залишення чинної редакції Кодексу без змін та розв’язання проблемних питань на рівні узагальнюючих податкових консультацій. </w:t>
      </w:r>
    </w:p>
    <w:p w14:paraId="6175E993" w14:textId="77777777" w:rsidR="00B93CB9" w:rsidRPr="00A06CF8" w:rsidRDefault="00B93CB9" w:rsidP="00265098">
      <w:pPr>
        <w:widowControl w:val="0"/>
        <w:jc w:val="both"/>
        <w:rPr>
          <w:sz w:val="28"/>
          <w:szCs w:val="28"/>
          <w:lang w:val="uk-UA"/>
        </w:rPr>
      </w:pPr>
    </w:p>
    <w:p w14:paraId="571EAD4A" w14:textId="3BD58F46" w:rsidR="005A0C09" w:rsidRPr="00A06CF8" w:rsidRDefault="005A0C09" w:rsidP="00265098">
      <w:pPr>
        <w:widowControl w:val="0"/>
        <w:jc w:val="both"/>
        <w:rPr>
          <w:sz w:val="28"/>
          <w:szCs w:val="28"/>
          <w:lang w:val="uk-UA"/>
        </w:rPr>
      </w:pPr>
      <w:r w:rsidRPr="00A06CF8">
        <w:rPr>
          <w:i/>
          <w:sz w:val="28"/>
          <w:szCs w:val="28"/>
          <w:lang w:val="uk-UA"/>
        </w:rPr>
        <w:t xml:space="preserve">Таблиця </w:t>
      </w:r>
      <w:r w:rsidR="004971E5" w:rsidRPr="00A74BA5">
        <w:rPr>
          <w:i/>
          <w:sz w:val="28"/>
          <w:szCs w:val="28"/>
        </w:rPr>
        <w:t>2</w:t>
      </w:r>
      <w:r w:rsidRPr="00A06CF8">
        <w:rPr>
          <w:i/>
          <w:sz w:val="28"/>
          <w:szCs w:val="28"/>
          <w:lang w:val="uk-UA"/>
        </w:rPr>
        <w:t xml:space="preserve">. </w:t>
      </w:r>
      <w:r w:rsidRPr="00A06CF8">
        <w:rPr>
          <w:sz w:val="28"/>
          <w:szCs w:val="28"/>
          <w:lang w:val="uk-UA"/>
        </w:rPr>
        <w:t>Опис можливих альтернатив</w:t>
      </w:r>
      <w:r w:rsidR="00D17EE6" w:rsidRPr="00A06CF8">
        <w:rPr>
          <w:sz w:val="28"/>
          <w:szCs w:val="28"/>
          <w:lang w:val="uk-UA"/>
        </w:rPr>
        <w:t>них способів досягнення цілей</w:t>
      </w:r>
      <w:r w:rsidRPr="00A06CF8">
        <w:rPr>
          <w:sz w:val="28"/>
          <w:szCs w:val="28"/>
          <w:lang w:val="uk-UA"/>
        </w:rPr>
        <w:t xml:space="preserve"> </w:t>
      </w:r>
    </w:p>
    <w:p w14:paraId="36940B2F" w14:textId="77777777" w:rsidR="005A0C09" w:rsidRPr="00A06CF8" w:rsidRDefault="005A0C09" w:rsidP="00265098">
      <w:pPr>
        <w:widowControl w:val="0"/>
        <w:jc w:val="both"/>
        <w:rPr>
          <w:i/>
          <w:sz w:val="28"/>
          <w:szCs w:val="28"/>
          <w:lang w:val="uk-UA"/>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8505"/>
      </w:tblGrid>
      <w:tr w:rsidR="00265098" w:rsidRPr="00E05CDE" w14:paraId="78F20985" w14:textId="77777777" w:rsidTr="00CB7593">
        <w:tc>
          <w:tcPr>
            <w:tcW w:w="1948" w:type="dxa"/>
            <w:shd w:val="clear" w:color="auto" w:fill="auto"/>
          </w:tcPr>
          <w:p w14:paraId="1E5FF3CF" w14:textId="77777777" w:rsidR="00265098" w:rsidRPr="00E05CDE" w:rsidRDefault="00265098" w:rsidP="00333CAC">
            <w:pPr>
              <w:widowControl w:val="0"/>
              <w:jc w:val="both"/>
              <w:rPr>
                <w:b/>
                <w:bCs/>
                <w:sz w:val="24"/>
                <w:szCs w:val="24"/>
                <w:lang w:val="uk-UA"/>
              </w:rPr>
            </w:pPr>
            <w:r w:rsidRPr="00E05CDE">
              <w:rPr>
                <w:b/>
                <w:sz w:val="24"/>
                <w:szCs w:val="24"/>
                <w:lang w:val="uk-UA"/>
              </w:rPr>
              <w:t>Вид альтернативи</w:t>
            </w:r>
          </w:p>
        </w:tc>
        <w:tc>
          <w:tcPr>
            <w:tcW w:w="8505" w:type="dxa"/>
            <w:shd w:val="clear" w:color="auto" w:fill="auto"/>
          </w:tcPr>
          <w:p w14:paraId="6219201E" w14:textId="77777777" w:rsidR="00265098" w:rsidRPr="00E05CDE" w:rsidRDefault="00265098" w:rsidP="00333CAC">
            <w:pPr>
              <w:widowControl w:val="0"/>
              <w:jc w:val="both"/>
              <w:rPr>
                <w:b/>
                <w:sz w:val="24"/>
                <w:szCs w:val="24"/>
                <w:lang w:val="uk-UA"/>
              </w:rPr>
            </w:pPr>
            <w:r w:rsidRPr="00E05CDE">
              <w:rPr>
                <w:b/>
                <w:sz w:val="24"/>
                <w:szCs w:val="24"/>
                <w:lang w:val="uk-UA"/>
              </w:rPr>
              <w:t>Опис альтернативи</w:t>
            </w:r>
          </w:p>
        </w:tc>
      </w:tr>
      <w:tr w:rsidR="00133BFD" w:rsidRPr="00E05CDE" w14:paraId="7915BA6E" w14:textId="77777777" w:rsidTr="00CB7593">
        <w:tc>
          <w:tcPr>
            <w:tcW w:w="1948" w:type="dxa"/>
            <w:shd w:val="clear" w:color="auto" w:fill="auto"/>
          </w:tcPr>
          <w:p w14:paraId="63A28472" w14:textId="77777777" w:rsidR="00133BFD" w:rsidRDefault="00133BFD" w:rsidP="00133BFD">
            <w:pPr>
              <w:widowControl w:val="0"/>
              <w:jc w:val="both"/>
              <w:rPr>
                <w:b/>
                <w:sz w:val="24"/>
                <w:szCs w:val="24"/>
                <w:lang w:val="uk-UA"/>
              </w:rPr>
            </w:pPr>
            <w:r w:rsidRPr="00E05CDE">
              <w:rPr>
                <w:b/>
                <w:sz w:val="24"/>
                <w:szCs w:val="24"/>
                <w:lang w:val="uk-UA"/>
              </w:rPr>
              <w:t xml:space="preserve">Альтернатива 1 </w:t>
            </w:r>
          </w:p>
          <w:p w14:paraId="78641F5C" w14:textId="7C675C86" w:rsidR="005818D6" w:rsidRPr="005818D6" w:rsidRDefault="005818D6" w:rsidP="00133BFD">
            <w:pPr>
              <w:widowControl w:val="0"/>
              <w:jc w:val="both"/>
              <w:rPr>
                <w:i/>
                <w:sz w:val="24"/>
                <w:szCs w:val="24"/>
                <w:lang w:val="uk-UA"/>
              </w:rPr>
            </w:pPr>
            <w:r w:rsidRPr="005818D6">
              <w:rPr>
                <w:i/>
                <w:sz w:val="24"/>
                <w:szCs w:val="24"/>
                <w:lang w:val="uk-UA"/>
              </w:rPr>
              <w:t>(внесення змін до ПКУ)</w:t>
            </w:r>
          </w:p>
        </w:tc>
        <w:tc>
          <w:tcPr>
            <w:tcW w:w="8505" w:type="dxa"/>
            <w:shd w:val="clear" w:color="auto" w:fill="auto"/>
          </w:tcPr>
          <w:p w14:paraId="1737A608" w14:textId="1DFA1B56" w:rsidR="00133BFD" w:rsidRPr="00E05CDE" w:rsidRDefault="005A0C09" w:rsidP="00133BFD">
            <w:pPr>
              <w:widowControl w:val="0"/>
              <w:jc w:val="both"/>
              <w:rPr>
                <w:sz w:val="24"/>
                <w:szCs w:val="24"/>
                <w:lang w:val="uk-UA"/>
              </w:rPr>
            </w:pPr>
            <w:r w:rsidRPr="00E05CDE">
              <w:rPr>
                <w:sz w:val="24"/>
                <w:szCs w:val="24"/>
                <w:lang w:val="uk-UA"/>
              </w:rPr>
              <w:t>Внесення змін до Податкового кодексу України з метою в</w:t>
            </w:r>
            <w:r w:rsidR="00E80494" w:rsidRPr="00E05CDE">
              <w:rPr>
                <w:sz w:val="24"/>
                <w:szCs w:val="24"/>
                <w:lang w:val="uk-UA"/>
              </w:rPr>
              <w:t xml:space="preserve">становлення для загальнообов’язкового накопичувального пенсійного забезпечення режиму оподаткування за типом </w:t>
            </w:r>
            <w:r w:rsidR="00E80494" w:rsidRPr="00E05CDE">
              <w:rPr>
                <w:b/>
                <w:sz w:val="24"/>
                <w:szCs w:val="24"/>
                <w:lang w:val="en-US"/>
              </w:rPr>
              <w:t>EEE</w:t>
            </w:r>
            <w:r w:rsidR="00E80494" w:rsidRPr="00E05CDE">
              <w:rPr>
                <w:sz w:val="24"/>
                <w:szCs w:val="24"/>
                <w:lang w:val="uk-UA"/>
              </w:rPr>
              <w:t xml:space="preserve"> (</w:t>
            </w:r>
            <w:r w:rsidR="00E80494" w:rsidRPr="00E05CDE">
              <w:rPr>
                <w:sz w:val="24"/>
                <w:szCs w:val="24"/>
                <w:lang w:val="en-US"/>
              </w:rPr>
              <w:t>exempt</w:t>
            </w:r>
            <w:r w:rsidR="00E80494" w:rsidRPr="00E05CDE">
              <w:rPr>
                <w:sz w:val="24"/>
                <w:szCs w:val="24"/>
                <w:lang w:val="uk-UA"/>
              </w:rPr>
              <w:t>-</w:t>
            </w:r>
            <w:r w:rsidR="00E80494" w:rsidRPr="00E05CDE">
              <w:rPr>
                <w:sz w:val="24"/>
                <w:szCs w:val="24"/>
                <w:lang w:val="en-US"/>
              </w:rPr>
              <w:t>exempt</w:t>
            </w:r>
            <w:r w:rsidR="00E80494" w:rsidRPr="00E05CDE">
              <w:rPr>
                <w:sz w:val="24"/>
                <w:szCs w:val="24"/>
                <w:lang w:val="uk-UA"/>
              </w:rPr>
              <w:t>-</w:t>
            </w:r>
            <w:r w:rsidR="00E80494" w:rsidRPr="00E05CDE">
              <w:rPr>
                <w:sz w:val="24"/>
                <w:szCs w:val="24"/>
                <w:lang w:val="en-US"/>
              </w:rPr>
              <w:t>exempt</w:t>
            </w:r>
            <w:r w:rsidR="00E80494" w:rsidRPr="00E05CDE">
              <w:rPr>
                <w:sz w:val="24"/>
                <w:szCs w:val="24"/>
                <w:lang w:val="uk-UA"/>
              </w:rPr>
              <w:t>), що передбачає:</w:t>
            </w:r>
          </w:p>
          <w:p w14:paraId="78E6D28C" w14:textId="77777777" w:rsidR="00E80494" w:rsidRPr="00E05CDE" w:rsidRDefault="00E80494" w:rsidP="00133BFD">
            <w:pPr>
              <w:widowControl w:val="0"/>
              <w:jc w:val="both"/>
              <w:rPr>
                <w:sz w:val="24"/>
                <w:szCs w:val="24"/>
                <w:lang w:val="uk-UA"/>
              </w:rPr>
            </w:pPr>
            <w:r w:rsidRPr="00E05CDE">
              <w:rPr>
                <w:sz w:val="24"/>
                <w:szCs w:val="24"/>
                <w:lang w:val="uk-UA"/>
              </w:rPr>
              <w:t>1. Виключення суми внесків до системи загальнообов’язкового накопичувального пенсійного забезпечення з місячного (річного) оподатковуваного доходу фізичної особи;</w:t>
            </w:r>
          </w:p>
          <w:p w14:paraId="46A28CBD" w14:textId="77777777" w:rsidR="00E80494" w:rsidRPr="00E05CDE" w:rsidRDefault="00E80494" w:rsidP="00E80494">
            <w:pPr>
              <w:widowControl w:val="0"/>
              <w:jc w:val="both"/>
              <w:rPr>
                <w:sz w:val="24"/>
                <w:szCs w:val="24"/>
                <w:lang w:val="uk-UA"/>
              </w:rPr>
            </w:pPr>
            <w:r w:rsidRPr="00E05CDE">
              <w:rPr>
                <w:sz w:val="24"/>
                <w:szCs w:val="24"/>
                <w:lang w:val="uk-UA"/>
              </w:rPr>
              <w:t>2. Пенсійні внески та прибуток від управління пенсійними активами не підлягають оподаткуванню на рівні Накопичувального фонду або авторизованого недержавного пенсійного фонду;</w:t>
            </w:r>
          </w:p>
          <w:p w14:paraId="5BAC390E" w14:textId="611BE575" w:rsidR="00E80494" w:rsidRPr="00E05CDE" w:rsidRDefault="00E80494" w:rsidP="00E80494">
            <w:pPr>
              <w:widowControl w:val="0"/>
              <w:jc w:val="both"/>
              <w:rPr>
                <w:sz w:val="24"/>
                <w:szCs w:val="24"/>
                <w:lang w:val="uk-UA"/>
              </w:rPr>
            </w:pPr>
            <w:r w:rsidRPr="00E05CDE">
              <w:rPr>
                <w:sz w:val="24"/>
                <w:szCs w:val="24"/>
                <w:lang w:val="uk-UA"/>
              </w:rPr>
              <w:t>3. Виплати з системи загальнообов’язкового накопичувального пенсійного забезпечення (незалежно від виду виплати) не оподатковуються</w:t>
            </w:r>
          </w:p>
        </w:tc>
      </w:tr>
      <w:tr w:rsidR="00133BFD" w:rsidRPr="00E05CDE" w14:paraId="7E4A59B5" w14:textId="77777777" w:rsidTr="00CB7593">
        <w:tc>
          <w:tcPr>
            <w:tcW w:w="1948" w:type="dxa"/>
            <w:shd w:val="clear" w:color="auto" w:fill="auto"/>
          </w:tcPr>
          <w:p w14:paraId="0B28B4AD" w14:textId="77777777" w:rsidR="00133BFD" w:rsidRDefault="00133BFD" w:rsidP="00133BFD">
            <w:pPr>
              <w:widowControl w:val="0"/>
              <w:jc w:val="both"/>
              <w:rPr>
                <w:b/>
                <w:sz w:val="24"/>
                <w:szCs w:val="24"/>
                <w:lang w:val="uk-UA"/>
              </w:rPr>
            </w:pPr>
            <w:r w:rsidRPr="00E05CDE">
              <w:rPr>
                <w:b/>
                <w:sz w:val="24"/>
                <w:szCs w:val="24"/>
                <w:lang w:val="uk-UA"/>
              </w:rPr>
              <w:t xml:space="preserve">Альтернатива 2 </w:t>
            </w:r>
          </w:p>
          <w:p w14:paraId="519E00D3" w14:textId="5C811811" w:rsidR="005818D6" w:rsidRPr="005818D6" w:rsidRDefault="005818D6" w:rsidP="005818D6">
            <w:pPr>
              <w:widowControl w:val="0"/>
              <w:jc w:val="both"/>
              <w:rPr>
                <w:i/>
                <w:sz w:val="24"/>
                <w:szCs w:val="24"/>
                <w:lang w:val="en-US"/>
              </w:rPr>
            </w:pPr>
            <w:r w:rsidRPr="005818D6">
              <w:rPr>
                <w:i/>
                <w:sz w:val="24"/>
                <w:szCs w:val="24"/>
                <w:lang w:val="uk-UA"/>
              </w:rPr>
              <w:t xml:space="preserve">(збереження </w:t>
            </w:r>
            <w:r w:rsidRPr="005818D6">
              <w:rPr>
                <w:i/>
                <w:sz w:val="24"/>
                <w:szCs w:val="24"/>
                <w:lang w:val="en-US"/>
              </w:rPr>
              <w:t>s</w:t>
            </w:r>
            <w:proofErr w:type="spellStart"/>
            <w:r w:rsidRPr="005818D6">
              <w:rPr>
                <w:i/>
                <w:sz w:val="24"/>
                <w:szCs w:val="24"/>
                <w:lang w:val="uk-UA"/>
              </w:rPr>
              <w:t>tatus</w:t>
            </w:r>
            <w:proofErr w:type="spellEnd"/>
            <w:r w:rsidRPr="005818D6">
              <w:rPr>
                <w:i/>
                <w:sz w:val="24"/>
                <w:szCs w:val="24"/>
                <w:lang w:val="uk-UA"/>
              </w:rPr>
              <w:t xml:space="preserve"> </w:t>
            </w:r>
            <w:proofErr w:type="spellStart"/>
            <w:r w:rsidRPr="005818D6">
              <w:rPr>
                <w:i/>
                <w:sz w:val="24"/>
                <w:szCs w:val="24"/>
                <w:lang w:val="uk-UA"/>
              </w:rPr>
              <w:t>quo</w:t>
            </w:r>
            <w:proofErr w:type="spellEnd"/>
            <w:r w:rsidRPr="005818D6">
              <w:rPr>
                <w:i/>
                <w:sz w:val="24"/>
                <w:szCs w:val="24"/>
                <w:lang w:val="en-US"/>
              </w:rPr>
              <w:t>)</w:t>
            </w:r>
          </w:p>
        </w:tc>
        <w:tc>
          <w:tcPr>
            <w:tcW w:w="8505" w:type="dxa"/>
            <w:shd w:val="clear" w:color="auto" w:fill="auto"/>
          </w:tcPr>
          <w:p w14:paraId="7F787037" w14:textId="364E000F" w:rsidR="00133BFD" w:rsidRPr="00E05CDE" w:rsidRDefault="00BE61EF" w:rsidP="00E80494">
            <w:pPr>
              <w:widowControl w:val="0"/>
              <w:jc w:val="both"/>
              <w:rPr>
                <w:sz w:val="24"/>
                <w:szCs w:val="24"/>
                <w:lang w:val="uk-UA"/>
              </w:rPr>
            </w:pPr>
            <w:r w:rsidRPr="00E05CDE">
              <w:rPr>
                <w:sz w:val="24"/>
                <w:szCs w:val="24"/>
                <w:lang w:val="uk-UA"/>
              </w:rPr>
              <w:t>Не вносити зміни до Податкового кодексу України, що передбачає:</w:t>
            </w:r>
          </w:p>
          <w:p w14:paraId="69652221" w14:textId="77AAB66A" w:rsidR="00BE61EF" w:rsidRPr="00E05CDE" w:rsidRDefault="00BE61EF" w:rsidP="00E80494">
            <w:pPr>
              <w:widowControl w:val="0"/>
              <w:jc w:val="both"/>
              <w:rPr>
                <w:sz w:val="24"/>
                <w:szCs w:val="24"/>
                <w:lang w:val="uk-UA"/>
              </w:rPr>
            </w:pPr>
            <w:r w:rsidRPr="00E05CDE">
              <w:rPr>
                <w:sz w:val="24"/>
                <w:szCs w:val="24"/>
                <w:lang w:val="uk-UA"/>
              </w:rPr>
              <w:t>1. Наявність конфлікту термінології, що може призвести до проблемних питань застосуванні податкового законодавства;</w:t>
            </w:r>
          </w:p>
          <w:p w14:paraId="6B250175" w14:textId="16782C04" w:rsidR="00B93CB9" w:rsidRPr="00E05CDE" w:rsidRDefault="00B93CB9" w:rsidP="00E80494">
            <w:pPr>
              <w:widowControl w:val="0"/>
              <w:jc w:val="both"/>
              <w:rPr>
                <w:sz w:val="24"/>
                <w:szCs w:val="24"/>
                <w:lang w:val="uk-UA"/>
              </w:rPr>
            </w:pPr>
            <w:r w:rsidRPr="00E05CDE">
              <w:rPr>
                <w:sz w:val="24"/>
                <w:szCs w:val="24"/>
                <w:lang w:val="uk-UA"/>
              </w:rPr>
              <w:t>2. Страхові внески до Накопичувального фонду виключаються з бази оподаткування податком на доходи фізичних осіб;</w:t>
            </w:r>
          </w:p>
          <w:p w14:paraId="20F54128" w14:textId="0EBA0C71" w:rsidR="00BE61EF" w:rsidRPr="00E05CDE" w:rsidRDefault="00B93CB9" w:rsidP="00E80494">
            <w:pPr>
              <w:widowControl w:val="0"/>
              <w:jc w:val="both"/>
              <w:rPr>
                <w:sz w:val="24"/>
                <w:szCs w:val="24"/>
                <w:lang w:val="uk-UA"/>
              </w:rPr>
            </w:pPr>
            <w:r w:rsidRPr="00E05CDE">
              <w:rPr>
                <w:sz w:val="24"/>
                <w:szCs w:val="24"/>
                <w:lang w:val="uk-UA"/>
              </w:rPr>
              <w:lastRenderedPageBreak/>
              <w:t>3</w:t>
            </w:r>
            <w:r w:rsidR="00BE61EF" w:rsidRPr="00E05CDE">
              <w:rPr>
                <w:sz w:val="24"/>
                <w:szCs w:val="24"/>
                <w:lang w:val="uk-UA"/>
              </w:rPr>
              <w:t>. Невизначений статус Накопичувального фонду та режим його оподаткування;</w:t>
            </w:r>
          </w:p>
          <w:p w14:paraId="73F44D67" w14:textId="54015395" w:rsidR="00BE61EF" w:rsidRPr="00E05CDE" w:rsidRDefault="00B93CB9" w:rsidP="00E80494">
            <w:pPr>
              <w:widowControl w:val="0"/>
              <w:jc w:val="both"/>
              <w:rPr>
                <w:sz w:val="24"/>
                <w:szCs w:val="24"/>
                <w:lang w:val="uk-UA"/>
              </w:rPr>
            </w:pPr>
            <w:r w:rsidRPr="00E05CDE">
              <w:rPr>
                <w:sz w:val="24"/>
                <w:szCs w:val="24"/>
                <w:lang w:val="uk-UA"/>
              </w:rPr>
              <w:t>4</w:t>
            </w:r>
            <w:r w:rsidR="00BE61EF" w:rsidRPr="00E05CDE">
              <w:rPr>
                <w:sz w:val="24"/>
                <w:szCs w:val="24"/>
                <w:lang w:val="uk-UA"/>
              </w:rPr>
              <w:t>. Звільнено від оподаткування лише суму одноразової пенсійної виплати учаснику недержавного пенсійного фонду або Накопичувального фонду за рахунок коштів Накопичувального фонду</w:t>
            </w:r>
            <w:r w:rsidR="0039484A" w:rsidRPr="00E05CDE">
              <w:rPr>
                <w:sz w:val="24"/>
                <w:szCs w:val="24"/>
                <w:lang w:val="uk-UA"/>
              </w:rPr>
              <w:t xml:space="preserve">. Порядок оподаткування або податкова пільга для інших видів виплат не встановлені. </w:t>
            </w:r>
          </w:p>
        </w:tc>
      </w:tr>
    </w:tbl>
    <w:p w14:paraId="0560672C" w14:textId="77777777" w:rsidR="00265098" w:rsidRPr="00A06CF8" w:rsidRDefault="00265098" w:rsidP="00265098">
      <w:pPr>
        <w:widowControl w:val="0"/>
        <w:ind w:left="720" w:hanging="720"/>
        <w:jc w:val="both"/>
        <w:rPr>
          <w:sz w:val="28"/>
          <w:szCs w:val="28"/>
          <w:lang w:val="uk-UA"/>
        </w:rPr>
      </w:pPr>
    </w:p>
    <w:p w14:paraId="410E17FF" w14:textId="02A52DF3" w:rsidR="000E2EAD" w:rsidRPr="00EE7E7D" w:rsidRDefault="000E2EAD" w:rsidP="000E2EAD">
      <w:pPr>
        <w:widowControl w:val="0"/>
        <w:ind w:left="720" w:hanging="720"/>
        <w:rPr>
          <w:b/>
          <w:sz w:val="28"/>
          <w:szCs w:val="28"/>
          <w:lang w:val="uk-UA"/>
        </w:rPr>
      </w:pPr>
      <w:r w:rsidRPr="00EE7E7D">
        <w:rPr>
          <w:b/>
          <w:sz w:val="28"/>
          <w:szCs w:val="28"/>
          <w:lang w:val="uk-UA"/>
        </w:rPr>
        <w:t>2. Оцінка вибраних альтернативних способів досягнення цілей</w:t>
      </w:r>
    </w:p>
    <w:p w14:paraId="15E07EA0" w14:textId="37051984" w:rsidR="000E2EAD" w:rsidRDefault="000E2EAD" w:rsidP="000E2EAD">
      <w:pPr>
        <w:widowControl w:val="0"/>
        <w:ind w:left="720" w:hanging="720"/>
        <w:rPr>
          <w:b/>
          <w:sz w:val="28"/>
          <w:szCs w:val="28"/>
        </w:rPr>
      </w:pPr>
    </w:p>
    <w:p w14:paraId="0D08B1F3" w14:textId="77777777" w:rsidR="000E2EAD" w:rsidRPr="00050A8B" w:rsidRDefault="000E2EAD" w:rsidP="000E2EAD">
      <w:pPr>
        <w:widowControl w:val="0"/>
        <w:rPr>
          <w:b/>
          <w:sz w:val="28"/>
          <w:szCs w:val="28"/>
          <w:u w:val="single"/>
          <w:lang w:val="uk-UA"/>
        </w:rPr>
      </w:pPr>
      <w:r w:rsidRPr="00050A8B">
        <w:rPr>
          <w:b/>
          <w:sz w:val="28"/>
          <w:szCs w:val="28"/>
          <w:u w:val="single"/>
          <w:lang w:val="uk-UA"/>
        </w:rPr>
        <w:t>2.1.Оцінка впливу на сферу інтересів держави</w:t>
      </w:r>
    </w:p>
    <w:p w14:paraId="59B0B777" w14:textId="5D5D98B1" w:rsidR="000E2EAD" w:rsidRDefault="000E2EAD" w:rsidP="000E2EAD">
      <w:pPr>
        <w:widowControl w:val="0"/>
        <w:ind w:left="720" w:hanging="720"/>
        <w:rPr>
          <w:b/>
          <w:sz w:val="28"/>
          <w:szCs w:val="28"/>
          <w:lang w:val="uk-UA"/>
        </w:rPr>
      </w:pPr>
    </w:p>
    <w:p w14:paraId="6AB7B8F5" w14:textId="258EE88F" w:rsidR="006B4A22" w:rsidRDefault="006B4A22" w:rsidP="000E2EAD">
      <w:pPr>
        <w:widowControl w:val="0"/>
        <w:ind w:left="720" w:hanging="720"/>
        <w:rPr>
          <w:b/>
          <w:sz w:val="28"/>
          <w:szCs w:val="28"/>
          <w:lang w:val="uk-UA"/>
        </w:rPr>
      </w:pPr>
      <w:r>
        <w:rPr>
          <w:b/>
          <w:sz w:val="28"/>
          <w:szCs w:val="28"/>
          <w:lang w:val="uk-UA"/>
        </w:rPr>
        <w:t>Таблиця 3</w:t>
      </w:r>
    </w:p>
    <w:p w14:paraId="767C8F1C" w14:textId="77777777" w:rsidR="006B4A22" w:rsidRPr="000E2EAD" w:rsidRDefault="006B4A22" w:rsidP="000E2EAD">
      <w:pPr>
        <w:widowControl w:val="0"/>
        <w:ind w:left="720" w:hanging="720"/>
        <w:rPr>
          <w:b/>
          <w:sz w:val="28"/>
          <w:szCs w:val="28"/>
          <w:lang w:val="uk-UA"/>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4394"/>
        <w:gridCol w:w="3827"/>
      </w:tblGrid>
      <w:tr w:rsidR="000E2EAD" w:rsidRPr="00E05CDE" w14:paraId="6C928F4E" w14:textId="77777777" w:rsidTr="008A41D9">
        <w:tc>
          <w:tcPr>
            <w:tcW w:w="2232" w:type="dxa"/>
            <w:shd w:val="clear" w:color="auto" w:fill="auto"/>
          </w:tcPr>
          <w:p w14:paraId="0FB18E31" w14:textId="77777777" w:rsidR="000E2EAD" w:rsidRPr="00E05CDE" w:rsidRDefault="000E2EAD" w:rsidP="008A41D9">
            <w:pPr>
              <w:widowControl w:val="0"/>
              <w:jc w:val="center"/>
              <w:rPr>
                <w:b/>
                <w:sz w:val="24"/>
                <w:szCs w:val="24"/>
                <w:lang w:val="uk-UA"/>
              </w:rPr>
            </w:pPr>
            <w:r w:rsidRPr="00E05CDE">
              <w:rPr>
                <w:b/>
                <w:sz w:val="24"/>
                <w:szCs w:val="24"/>
                <w:lang w:val="uk-UA"/>
              </w:rPr>
              <w:t>Вид альтернативи</w:t>
            </w:r>
          </w:p>
        </w:tc>
        <w:tc>
          <w:tcPr>
            <w:tcW w:w="4394" w:type="dxa"/>
            <w:shd w:val="clear" w:color="auto" w:fill="auto"/>
          </w:tcPr>
          <w:p w14:paraId="29A8A22D" w14:textId="77777777" w:rsidR="000E2EAD" w:rsidRPr="00E05CDE" w:rsidRDefault="000E2EAD" w:rsidP="008A41D9">
            <w:pPr>
              <w:widowControl w:val="0"/>
              <w:jc w:val="center"/>
              <w:rPr>
                <w:b/>
                <w:sz w:val="24"/>
                <w:szCs w:val="24"/>
                <w:lang w:val="uk-UA"/>
              </w:rPr>
            </w:pPr>
            <w:r w:rsidRPr="00E05CDE">
              <w:rPr>
                <w:b/>
                <w:sz w:val="24"/>
                <w:szCs w:val="24"/>
                <w:lang w:val="uk-UA"/>
              </w:rPr>
              <w:t>Вигоди</w:t>
            </w:r>
          </w:p>
        </w:tc>
        <w:tc>
          <w:tcPr>
            <w:tcW w:w="3827" w:type="dxa"/>
            <w:shd w:val="clear" w:color="auto" w:fill="auto"/>
          </w:tcPr>
          <w:p w14:paraId="456270EA" w14:textId="77777777" w:rsidR="000E2EAD" w:rsidRPr="00E05CDE" w:rsidRDefault="000E2EAD" w:rsidP="008A41D9">
            <w:pPr>
              <w:widowControl w:val="0"/>
              <w:jc w:val="center"/>
              <w:rPr>
                <w:b/>
                <w:sz w:val="24"/>
                <w:szCs w:val="24"/>
                <w:lang w:val="uk-UA"/>
              </w:rPr>
            </w:pPr>
            <w:r w:rsidRPr="00E05CDE">
              <w:rPr>
                <w:b/>
                <w:sz w:val="24"/>
                <w:szCs w:val="24"/>
                <w:lang w:val="uk-UA"/>
              </w:rPr>
              <w:t>Витрати</w:t>
            </w:r>
          </w:p>
        </w:tc>
      </w:tr>
      <w:tr w:rsidR="005818D6" w:rsidRPr="00E05CDE" w14:paraId="55C66C4E" w14:textId="77777777" w:rsidTr="008A41D9">
        <w:tc>
          <w:tcPr>
            <w:tcW w:w="2232" w:type="dxa"/>
            <w:shd w:val="clear" w:color="auto" w:fill="auto"/>
          </w:tcPr>
          <w:p w14:paraId="07E7CE90" w14:textId="77777777" w:rsidR="005818D6" w:rsidRDefault="005818D6" w:rsidP="005818D6">
            <w:pPr>
              <w:widowControl w:val="0"/>
              <w:rPr>
                <w:b/>
                <w:sz w:val="24"/>
                <w:szCs w:val="24"/>
                <w:lang w:val="uk-UA"/>
              </w:rPr>
            </w:pPr>
            <w:r w:rsidRPr="00E05CDE">
              <w:rPr>
                <w:b/>
                <w:sz w:val="24"/>
                <w:szCs w:val="24"/>
                <w:lang w:val="uk-UA"/>
              </w:rPr>
              <w:t xml:space="preserve">Альтернатива 1 </w:t>
            </w:r>
          </w:p>
          <w:p w14:paraId="4D909C6B" w14:textId="62EC1F83" w:rsidR="005818D6" w:rsidRPr="00E05CDE" w:rsidRDefault="005818D6" w:rsidP="005818D6">
            <w:pPr>
              <w:widowControl w:val="0"/>
              <w:rPr>
                <w:b/>
                <w:sz w:val="24"/>
                <w:szCs w:val="24"/>
                <w:lang w:val="uk-UA"/>
              </w:rPr>
            </w:pPr>
            <w:r w:rsidRPr="005818D6">
              <w:rPr>
                <w:i/>
                <w:sz w:val="24"/>
                <w:szCs w:val="24"/>
                <w:lang w:val="uk-UA"/>
              </w:rPr>
              <w:t>(внесення змін до ПКУ)</w:t>
            </w:r>
          </w:p>
        </w:tc>
        <w:tc>
          <w:tcPr>
            <w:tcW w:w="4394" w:type="dxa"/>
            <w:shd w:val="clear" w:color="auto" w:fill="auto"/>
          </w:tcPr>
          <w:p w14:paraId="3FCDA317" w14:textId="77777777" w:rsidR="005818D6" w:rsidRPr="00E05CDE" w:rsidRDefault="005818D6" w:rsidP="005818D6">
            <w:pPr>
              <w:widowControl w:val="0"/>
              <w:jc w:val="both"/>
              <w:rPr>
                <w:sz w:val="24"/>
                <w:szCs w:val="24"/>
                <w:lang w:val="uk-UA"/>
              </w:rPr>
            </w:pPr>
            <w:r w:rsidRPr="00E05CDE">
              <w:rPr>
                <w:sz w:val="24"/>
                <w:szCs w:val="24"/>
                <w:lang w:val="uk-UA"/>
              </w:rPr>
              <w:t xml:space="preserve">1) Потенційно сприятиме скороченню бюджетних видатків на фінансування зростаючого дефіциту солідарної пенсійної системи, враховуючи наявність додаткового джерела пенсійних виплат </w:t>
            </w:r>
          </w:p>
          <w:p w14:paraId="4EF68A9D" w14:textId="77777777" w:rsidR="005818D6" w:rsidRPr="00E05CDE" w:rsidRDefault="005818D6" w:rsidP="005818D6">
            <w:pPr>
              <w:widowControl w:val="0"/>
              <w:jc w:val="both"/>
              <w:rPr>
                <w:sz w:val="24"/>
                <w:szCs w:val="24"/>
                <w:lang w:val="uk-UA"/>
              </w:rPr>
            </w:pPr>
            <w:r w:rsidRPr="00E05CDE">
              <w:rPr>
                <w:sz w:val="24"/>
                <w:szCs w:val="24"/>
                <w:lang w:val="uk-UA"/>
              </w:rPr>
              <w:t xml:space="preserve">2) Окремим суттєвим позитивним фактором впровадження накопичувальної системи є приріст національного внутрішнього інвестиційного ресурсу протягом наступних 5 років в розмірі </w:t>
            </w:r>
            <w:r w:rsidRPr="00E05CDE">
              <w:rPr>
                <w:b/>
                <w:sz w:val="24"/>
                <w:szCs w:val="24"/>
                <w:lang w:val="uk-UA"/>
              </w:rPr>
              <w:t>161 млрд. грн</w:t>
            </w:r>
            <w:r w:rsidRPr="00E05CDE">
              <w:rPr>
                <w:sz w:val="24"/>
                <w:szCs w:val="24"/>
                <w:lang w:val="uk-UA"/>
              </w:rPr>
              <w:t xml:space="preserve">, що може бути вагомим джерелом фінансування важливих стратегічних інфраструктурних проектів, а також державного боргу </w:t>
            </w:r>
          </w:p>
        </w:tc>
        <w:tc>
          <w:tcPr>
            <w:tcW w:w="3827" w:type="dxa"/>
            <w:shd w:val="clear" w:color="auto" w:fill="auto"/>
          </w:tcPr>
          <w:p w14:paraId="63307A08" w14:textId="7F11C820" w:rsidR="005818D6" w:rsidRPr="00E05CDE" w:rsidRDefault="005818D6" w:rsidP="005818D6">
            <w:pPr>
              <w:pStyle w:val="ac"/>
              <w:widowControl w:val="0"/>
              <w:rPr>
                <w:b w:val="0"/>
                <w:sz w:val="24"/>
              </w:rPr>
            </w:pPr>
            <w:r w:rsidRPr="00E05CDE">
              <w:rPr>
                <w:b w:val="0"/>
                <w:sz w:val="24"/>
              </w:rPr>
              <w:t>Зменшення суми місячного (річного) оподатковуваного доходу фізичної особи на суму внесків до системи загальнообов’язкового накопичувального пенсійного забезпечення призведе до скорочення темпу приросту надходжень від ПФДО та військового збору (таблиця 4)</w:t>
            </w:r>
          </w:p>
        </w:tc>
      </w:tr>
      <w:tr w:rsidR="005818D6" w:rsidRPr="00E05CDE" w14:paraId="08B53DE6" w14:textId="77777777" w:rsidTr="008A41D9">
        <w:tc>
          <w:tcPr>
            <w:tcW w:w="2232" w:type="dxa"/>
            <w:shd w:val="clear" w:color="auto" w:fill="auto"/>
          </w:tcPr>
          <w:p w14:paraId="673F95F5" w14:textId="77777777" w:rsidR="005818D6" w:rsidRDefault="005818D6" w:rsidP="005818D6">
            <w:pPr>
              <w:widowControl w:val="0"/>
              <w:rPr>
                <w:b/>
                <w:sz w:val="24"/>
                <w:szCs w:val="24"/>
                <w:lang w:val="uk-UA"/>
              </w:rPr>
            </w:pPr>
            <w:r w:rsidRPr="00E05CDE">
              <w:rPr>
                <w:b/>
                <w:sz w:val="24"/>
                <w:szCs w:val="24"/>
                <w:lang w:val="uk-UA"/>
              </w:rPr>
              <w:t xml:space="preserve">Альтернатива 2 </w:t>
            </w:r>
          </w:p>
          <w:p w14:paraId="3835DFA7" w14:textId="0D68D536" w:rsidR="005818D6" w:rsidRPr="00E05CDE" w:rsidRDefault="005818D6" w:rsidP="005818D6">
            <w:pPr>
              <w:widowControl w:val="0"/>
              <w:rPr>
                <w:b/>
                <w:sz w:val="24"/>
                <w:szCs w:val="24"/>
                <w:lang w:val="uk-UA"/>
              </w:rPr>
            </w:pPr>
            <w:r w:rsidRPr="005818D6">
              <w:rPr>
                <w:i/>
                <w:sz w:val="24"/>
                <w:szCs w:val="24"/>
                <w:lang w:val="uk-UA"/>
              </w:rPr>
              <w:t xml:space="preserve">(збереження </w:t>
            </w:r>
            <w:r w:rsidRPr="005818D6">
              <w:rPr>
                <w:i/>
                <w:sz w:val="24"/>
                <w:szCs w:val="24"/>
                <w:lang w:val="en-US"/>
              </w:rPr>
              <w:t>s</w:t>
            </w:r>
            <w:proofErr w:type="spellStart"/>
            <w:r w:rsidRPr="005818D6">
              <w:rPr>
                <w:i/>
                <w:sz w:val="24"/>
                <w:szCs w:val="24"/>
                <w:lang w:val="uk-UA"/>
              </w:rPr>
              <w:t>tatus</w:t>
            </w:r>
            <w:proofErr w:type="spellEnd"/>
            <w:r w:rsidRPr="005818D6">
              <w:rPr>
                <w:i/>
                <w:sz w:val="24"/>
                <w:szCs w:val="24"/>
                <w:lang w:val="uk-UA"/>
              </w:rPr>
              <w:t xml:space="preserve"> </w:t>
            </w:r>
            <w:proofErr w:type="spellStart"/>
            <w:r w:rsidRPr="005818D6">
              <w:rPr>
                <w:i/>
                <w:sz w:val="24"/>
                <w:szCs w:val="24"/>
                <w:lang w:val="uk-UA"/>
              </w:rPr>
              <w:t>quo</w:t>
            </w:r>
            <w:proofErr w:type="spellEnd"/>
            <w:r w:rsidRPr="005818D6">
              <w:rPr>
                <w:i/>
                <w:sz w:val="24"/>
                <w:szCs w:val="24"/>
                <w:lang w:val="en-US"/>
              </w:rPr>
              <w:t>)</w:t>
            </w:r>
          </w:p>
        </w:tc>
        <w:tc>
          <w:tcPr>
            <w:tcW w:w="4394" w:type="dxa"/>
            <w:shd w:val="clear" w:color="auto" w:fill="auto"/>
          </w:tcPr>
          <w:p w14:paraId="05D1D20D" w14:textId="77777777" w:rsidR="005818D6" w:rsidRPr="00E05CDE" w:rsidRDefault="005818D6" w:rsidP="005818D6">
            <w:pPr>
              <w:pStyle w:val="ac"/>
              <w:widowControl w:val="0"/>
              <w:rPr>
                <w:b w:val="0"/>
                <w:sz w:val="24"/>
              </w:rPr>
            </w:pPr>
            <w:r w:rsidRPr="00E05CDE">
              <w:rPr>
                <w:b w:val="0"/>
                <w:sz w:val="24"/>
              </w:rPr>
              <w:t>Модель передбачає оподаткування пенсійних виплат із системи загальнообов’язкового накопичувального пенсійного забезпечення, що в довгостроковій перспективі сприятиме збільшенню надходжень до державного бюджету</w:t>
            </w:r>
          </w:p>
        </w:tc>
        <w:tc>
          <w:tcPr>
            <w:tcW w:w="3827" w:type="dxa"/>
            <w:shd w:val="clear" w:color="auto" w:fill="auto"/>
          </w:tcPr>
          <w:p w14:paraId="5D740208" w14:textId="77777777" w:rsidR="005818D6" w:rsidRPr="00E05CDE" w:rsidRDefault="005818D6" w:rsidP="005818D6">
            <w:pPr>
              <w:widowControl w:val="0"/>
              <w:rPr>
                <w:sz w:val="24"/>
                <w:szCs w:val="24"/>
              </w:rPr>
            </w:pPr>
            <w:r w:rsidRPr="00E05CDE">
              <w:rPr>
                <w:sz w:val="24"/>
                <w:szCs w:val="24"/>
                <w:lang w:val="uk-UA"/>
              </w:rPr>
              <w:t>1)</w:t>
            </w:r>
            <w:r w:rsidRPr="00E05CDE">
              <w:rPr>
                <w:sz w:val="24"/>
                <w:szCs w:val="24"/>
              </w:rPr>
              <w:t xml:space="preserve"> </w:t>
            </w:r>
            <w:r w:rsidRPr="00E05CDE">
              <w:rPr>
                <w:sz w:val="24"/>
                <w:szCs w:val="24"/>
                <w:lang w:val="uk-UA"/>
              </w:rPr>
              <w:t>Аналогічно до альтернативи 1, очкується, що зменшення суми місячного (річного) оподатковуваного доходу фізичної особи на суму внесків до системи загальнообов’язкового накопичувального пенсійного забезпечення призведе до скорочення темпу приросту надходжень від ПФДО та військового збору</w:t>
            </w:r>
            <w:r w:rsidRPr="00E05CDE">
              <w:rPr>
                <w:sz w:val="24"/>
                <w:szCs w:val="24"/>
              </w:rPr>
              <w:t xml:space="preserve"> </w:t>
            </w:r>
          </w:p>
          <w:p w14:paraId="467EC76B" w14:textId="77777777" w:rsidR="005818D6" w:rsidRPr="00E05CDE" w:rsidRDefault="005818D6" w:rsidP="005818D6">
            <w:pPr>
              <w:widowControl w:val="0"/>
              <w:rPr>
                <w:sz w:val="24"/>
                <w:szCs w:val="24"/>
                <w:lang w:val="uk-UA"/>
              </w:rPr>
            </w:pPr>
            <w:r w:rsidRPr="00E05CDE">
              <w:rPr>
                <w:sz w:val="24"/>
                <w:szCs w:val="24"/>
                <w:lang w:val="uk-UA"/>
              </w:rPr>
              <w:t>2) Зростання видатків на фінансування дефіциту солідарної системи для збереження належного рівня коефіцієнта заміщення</w:t>
            </w:r>
          </w:p>
        </w:tc>
      </w:tr>
    </w:tbl>
    <w:p w14:paraId="36F1A260" w14:textId="77777777" w:rsidR="000E2EAD" w:rsidRPr="000E2EAD" w:rsidRDefault="000E2EAD" w:rsidP="000E2EAD">
      <w:pPr>
        <w:ind w:firstLine="426"/>
        <w:jc w:val="both"/>
        <w:rPr>
          <w:sz w:val="28"/>
          <w:szCs w:val="28"/>
        </w:rPr>
      </w:pPr>
    </w:p>
    <w:p w14:paraId="188DF2DA" w14:textId="56E1227C" w:rsidR="00D17EE6" w:rsidRPr="00A06CF8" w:rsidRDefault="000E2EAD" w:rsidP="000E2EAD">
      <w:pPr>
        <w:ind w:firstLine="426"/>
        <w:jc w:val="both"/>
        <w:rPr>
          <w:iCs/>
          <w:sz w:val="28"/>
          <w:szCs w:val="28"/>
          <w:lang w:val="uk-UA"/>
        </w:rPr>
      </w:pPr>
      <w:r>
        <w:rPr>
          <w:sz w:val="28"/>
          <w:szCs w:val="28"/>
          <w:lang w:val="uk-UA"/>
        </w:rPr>
        <w:t>Я</w:t>
      </w:r>
      <w:r w:rsidR="00D17EE6" w:rsidRPr="00A06CF8">
        <w:rPr>
          <w:sz w:val="28"/>
          <w:szCs w:val="28"/>
          <w:lang w:val="uk-UA"/>
        </w:rPr>
        <w:t xml:space="preserve">кщо оцінювати вплив цього податкового заохочення </w:t>
      </w:r>
      <w:r w:rsidR="00D17EE6" w:rsidRPr="000E2EAD">
        <w:rPr>
          <w:sz w:val="28"/>
          <w:szCs w:val="28"/>
          <w:lang w:val="uk-UA"/>
        </w:rPr>
        <w:t>на інтереси держави</w:t>
      </w:r>
      <w:r w:rsidR="00D17EE6" w:rsidRPr="00A06CF8">
        <w:rPr>
          <w:sz w:val="28"/>
          <w:szCs w:val="28"/>
          <w:lang w:val="uk-UA"/>
        </w:rPr>
        <w:t xml:space="preserve">, то варто зазначити, що надання учасникам системи податкових пільг на суму внесків </w:t>
      </w:r>
      <w:r w:rsidR="00D17EE6" w:rsidRPr="00A06CF8">
        <w:rPr>
          <w:sz w:val="28"/>
          <w:szCs w:val="28"/>
          <w:lang w:val="uk-UA"/>
        </w:rPr>
        <w:lastRenderedPageBreak/>
        <w:t xml:space="preserve">до системи загальнообов’язкового накопичувального пенсійного забезпечення </w:t>
      </w:r>
      <w:r w:rsidR="00D17EE6" w:rsidRPr="00A06CF8">
        <w:rPr>
          <w:iCs/>
          <w:sz w:val="28"/>
          <w:szCs w:val="28"/>
          <w:lang w:val="uk-UA"/>
        </w:rPr>
        <w:t>не призведе до необхідності пошуку додаткових компенсуючих джерел надходжень до бюджету, адже очікувані темпи зростання заробітної плати населення є більшими за обсяги пропонованих внесків. Тому при плануванні обсягу доходів та видатків бюджету позитивна динаміка надходжень від податку на доходи фізичних осіб та військового збору збережеться, що демонструють розрахунки, наведені у таблиці 2.</w:t>
      </w:r>
    </w:p>
    <w:p w14:paraId="18AA5231" w14:textId="0887574B" w:rsidR="00D17EE6" w:rsidRPr="00D17EE6" w:rsidRDefault="00D17EE6" w:rsidP="00D17EE6">
      <w:pPr>
        <w:widowControl w:val="0"/>
        <w:spacing w:before="120" w:after="120"/>
        <w:ind w:firstLine="720"/>
        <w:jc w:val="both"/>
        <w:rPr>
          <w:iCs/>
          <w:sz w:val="28"/>
          <w:szCs w:val="28"/>
          <w:lang w:val="uk-UA"/>
        </w:rPr>
      </w:pPr>
      <w:r w:rsidRPr="00D17EE6">
        <w:rPr>
          <w:i/>
          <w:iCs/>
          <w:sz w:val="28"/>
          <w:szCs w:val="28"/>
          <w:lang w:val="uk-UA"/>
        </w:rPr>
        <w:t xml:space="preserve">Таблиця </w:t>
      </w:r>
      <w:r w:rsidR="006B4A22">
        <w:rPr>
          <w:i/>
          <w:iCs/>
          <w:sz w:val="28"/>
          <w:szCs w:val="28"/>
          <w:lang w:val="uk-UA"/>
        </w:rPr>
        <w:t>4</w:t>
      </w:r>
      <w:r w:rsidRPr="00D17EE6">
        <w:rPr>
          <w:i/>
          <w:iCs/>
          <w:sz w:val="28"/>
          <w:szCs w:val="28"/>
          <w:lang w:val="uk-UA"/>
        </w:rPr>
        <w:t>.</w:t>
      </w:r>
      <w:r w:rsidR="007F3F3B" w:rsidRPr="00A06CF8">
        <w:rPr>
          <w:iCs/>
          <w:sz w:val="28"/>
          <w:szCs w:val="28"/>
          <w:lang w:val="uk-UA"/>
        </w:rPr>
        <w:t xml:space="preserve"> </w:t>
      </w:r>
      <w:r w:rsidRPr="00D17EE6">
        <w:rPr>
          <w:iCs/>
          <w:sz w:val="28"/>
          <w:szCs w:val="28"/>
          <w:lang w:val="uk-UA"/>
        </w:rPr>
        <w:t>Вплив запровадження податкових пільг на суму внесків до системи загальнообов’язкового накопичувального пенсійного забезпечення на динаміку надходжень до державного бюджету від оподаткування доходів громадян</w:t>
      </w:r>
    </w:p>
    <w:tbl>
      <w:tblPr>
        <w:tblW w:w="9493" w:type="dxa"/>
        <w:tblInd w:w="113" w:type="dxa"/>
        <w:tblLook w:val="04A0" w:firstRow="1" w:lastRow="0" w:firstColumn="1" w:lastColumn="0" w:noHBand="0" w:noVBand="1"/>
      </w:tblPr>
      <w:tblGrid>
        <w:gridCol w:w="3681"/>
        <w:gridCol w:w="850"/>
        <w:gridCol w:w="993"/>
        <w:gridCol w:w="992"/>
        <w:gridCol w:w="992"/>
        <w:gridCol w:w="992"/>
        <w:gridCol w:w="993"/>
      </w:tblGrid>
      <w:tr w:rsidR="00D17EE6" w:rsidRPr="00D17EE6" w14:paraId="52EE3953" w14:textId="77777777" w:rsidTr="009C5BB9">
        <w:trPr>
          <w:trHeight w:val="330"/>
        </w:trPr>
        <w:tc>
          <w:tcPr>
            <w:tcW w:w="3681" w:type="dxa"/>
            <w:tcBorders>
              <w:top w:val="single" w:sz="12" w:space="0" w:color="002060"/>
              <w:left w:val="single" w:sz="4" w:space="0" w:color="FFFFFF"/>
              <w:bottom w:val="single" w:sz="12" w:space="0" w:color="002060"/>
              <w:right w:val="nil"/>
            </w:tcBorders>
            <w:shd w:val="clear" w:color="auto" w:fill="auto"/>
            <w:noWrap/>
            <w:vAlign w:val="bottom"/>
          </w:tcPr>
          <w:p w14:paraId="591FCFBB" w14:textId="77777777" w:rsidR="00D17EE6" w:rsidRPr="00D17EE6" w:rsidRDefault="00D17EE6" w:rsidP="00D17EE6">
            <w:pPr>
              <w:rPr>
                <w:b/>
                <w:bCs/>
                <w:color w:val="000080"/>
                <w:sz w:val="18"/>
                <w:szCs w:val="18"/>
                <w:lang w:val="uk-UA" w:eastAsia="uk-UA"/>
              </w:rPr>
            </w:pPr>
            <w:r w:rsidRPr="00D17EE6">
              <w:rPr>
                <w:b/>
                <w:bCs/>
                <w:color w:val="000080"/>
                <w:sz w:val="18"/>
                <w:szCs w:val="18"/>
                <w:lang w:val="uk-UA" w:eastAsia="uk-UA"/>
              </w:rPr>
              <w:t> </w:t>
            </w:r>
          </w:p>
        </w:tc>
        <w:tc>
          <w:tcPr>
            <w:tcW w:w="850" w:type="dxa"/>
            <w:tcBorders>
              <w:top w:val="single" w:sz="12" w:space="0" w:color="002060"/>
              <w:left w:val="nil"/>
              <w:bottom w:val="single" w:sz="12" w:space="0" w:color="002060"/>
              <w:right w:val="single" w:sz="4" w:space="0" w:color="FFFFFF"/>
            </w:tcBorders>
            <w:shd w:val="clear" w:color="auto" w:fill="auto"/>
            <w:noWrap/>
            <w:vAlign w:val="center"/>
          </w:tcPr>
          <w:p w14:paraId="34712009" w14:textId="77777777" w:rsidR="00D17EE6" w:rsidRPr="00D17EE6" w:rsidRDefault="00D17EE6" w:rsidP="00D17EE6">
            <w:pPr>
              <w:jc w:val="right"/>
              <w:rPr>
                <w:b/>
                <w:bCs/>
                <w:color w:val="000080"/>
                <w:sz w:val="18"/>
                <w:szCs w:val="18"/>
                <w:lang w:val="uk-UA" w:eastAsia="uk-UA"/>
              </w:rPr>
            </w:pPr>
            <w:r w:rsidRPr="00D17EE6">
              <w:rPr>
                <w:b/>
                <w:bCs/>
                <w:color w:val="000080"/>
                <w:sz w:val="18"/>
                <w:szCs w:val="18"/>
                <w:lang w:val="uk-UA" w:eastAsia="uk-UA"/>
              </w:rPr>
              <w:t>2020</w:t>
            </w:r>
          </w:p>
        </w:tc>
        <w:tc>
          <w:tcPr>
            <w:tcW w:w="993" w:type="dxa"/>
            <w:tcBorders>
              <w:top w:val="single" w:sz="12" w:space="0" w:color="002060"/>
              <w:left w:val="nil"/>
              <w:bottom w:val="single" w:sz="12" w:space="0" w:color="002060"/>
              <w:right w:val="single" w:sz="4" w:space="0" w:color="FFFFFF"/>
            </w:tcBorders>
            <w:shd w:val="clear" w:color="auto" w:fill="auto"/>
            <w:noWrap/>
            <w:vAlign w:val="center"/>
          </w:tcPr>
          <w:p w14:paraId="72E6D0B5" w14:textId="77777777" w:rsidR="00D17EE6" w:rsidRPr="00D17EE6" w:rsidRDefault="00D17EE6" w:rsidP="00D17EE6">
            <w:pPr>
              <w:jc w:val="right"/>
              <w:rPr>
                <w:b/>
                <w:bCs/>
                <w:color w:val="000080"/>
                <w:sz w:val="18"/>
                <w:szCs w:val="18"/>
                <w:lang w:val="uk-UA" w:eastAsia="uk-UA"/>
              </w:rPr>
            </w:pPr>
            <w:r w:rsidRPr="00D17EE6">
              <w:rPr>
                <w:b/>
                <w:bCs/>
                <w:color w:val="000080"/>
                <w:sz w:val="18"/>
                <w:szCs w:val="18"/>
                <w:lang w:val="uk-UA" w:eastAsia="uk-UA"/>
              </w:rPr>
              <w:t>2021</w:t>
            </w:r>
          </w:p>
        </w:tc>
        <w:tc>
          <w:tcPr>
            <w:tcW w:w="992" w:type="dxa"/>
            <w:tcBorders>
              <w:top w:val="single" w:sz="12" w:space="0" w:color="002060"/>
              <w:left w:val="nil"/>
              <w:bottom w:val="single" w:sz="12" w:space="0" w:color="002060"/>
              <w:right w:val="single" w:sz="4" w:space="0" w:color="FFFFFF"/>
            </w:tcBorders>
            <w:shd w:val="clear" w:color="auto" w:fill="auto"/>
            <w:noWrap/>
            <w:vAlign w:val="center"/>
          </w:tcPr>
          <w:p w14:paraId="1BE1AEFC" w14:textId="77777777" w:rsidR="00D17EE6" w:rsidRPr="00D17EE6" w:rsidRDefault="00D17EE6" w:rsidP="00D17EE6">
            <w:pPr>
              <w:jc w:val="right"/>
              <w:rPr>
                <w:b/>
                <w:bCs/>
                <w:color w:val="000080"/>
                <w:sz w:val="18"/>
                <w:szCs w:val="18"/>
                <w:lang w:val="uk-UA" w:eastAsia="uk-UA"/>
              </w:rPr>
            </w:pPr>
            <w:r w:rsidRPr="00D17EE6">
              <w:rPr>
                <w:b/>
                <w:bCs/>
                <w:color w:val="000080"/>
                <w:sz w:val="18"/>
                <w:szCs w:val="18"/>
                <w:lang w:val="uk-UA" w:eastAsia="uk-UA"/>
              </w:rPr>
              <w:t>2022</w:t>
            </w:r>
          </w:p>
        </w:tc>
        <w:tc>
          <w:tcPr>
            <w:tcW w:w="992" w:type="dxa"/>
            <w:tcBorders>
              <w:top w:val="single" w:sz="12" w:space="0" w:color="002060"/>
              <w:left w:val="nil"/>
              <w:bottom w:val="single" w:sz="12" w:space="0" w:color="002060"/>
              <w:right w:val="single" w:sz="4" w:space="0" w:color="FFFFFF"/>
            </w:tcBorders>
            <w:shd w:val="clear" w:color="auto" w:fill="auto"/>
            <w:noWrap/>
            <w:vAlign w:val="center"/>
          </w:tcPr>
          <w:p w14:paraId="3C02BD82" w14:textId="77777777" w:rsidR="00D17EE6" w:rsidRPr="00D17EE6" w:rsidRDefault="00D17EE6" w:rsidP="00D17EE6">
            <w:pPr>
              <w:jc w:val="right"/>
              <w:rPr>
                <w:b/>
                <w:bCs/>
                <w:color w:val="000080"/>
                <w:sz w:val="18"/>
                <w:szCs w:val="18"/>
                <w:lang w:val="uk-UA" w:eastAsia="uk-UA"/>
              </w:rPr>
            </w:pPr>
            <w:r w:rsidRPr="00D17EE6">
              <w:rPr>
                <w:b/>
                <w:bCs/>
                <w:color w:val="000080"/>
                <w:sz w:val="18"/>
                <w:szCs w:val="18"/>
                <w:lang w:val="uk-UA" w:eastAsia="uk-UA"/>
              </w:rPr>
              <w:t>2023</w:t>
            </w:r>
          </w:p>
        </w:tc>
        <w:tc>
          <w:tcPr>
            <w:tcW w:w="992" w:type="dxa"/>
            <w:tcBorders>
              <w:top w:val="single" w:sz="12" w:space="0" w:color="002060"/>
              <w:left w:val="nil"/>
              <w:bottom w:val="single" w:sz="12" w:space="0" w:color="002060"/>
              <w:right w:val="single" w:sz="4" w:space="0" w:color="FFFFFF"/>
            </w:tcBorders>
            <w:shd w:val="clear" w:color="auto" w:fill="auto"/>
            <w:noWrap/>
            <w:vAlign w:val="center"/>
          </w:tcPr>
          <w:p w14:paraId="502CF466" w14:textId="77777777" w:rsidR="00D17EE6" w:rsidRPr="00D17EE6" w:rsidRDefault="00D17EE6" w:rsidP="00D17EE6">
            <w:pPr>
              <w:jc w:val="right"/>
              <w:rPr>
                <w:b/>
                <w:bCs/>
                <w:color w:val="000080"/>
                <w:sz w:val="18"/>
                <w:szCs w:val="18"/>
                <w:lang w:val="uk-UA" w:eastAsia="uk-UA"/>
              </w:rPr>
            </w:pPr>
            <w:r w:rsidRPr="00D17EE6">
              <w:rPr>
                <w:b/>
                <w:bCs/>
                <w:color w:val="000080"/>
                <w:sz w:val="18"/>
                <w:szCs w:val="18"/>
                <w:lang w:val="uk-UA" w:eastAsia="uk-UA"/>
              </w:rPr>
              <w:t>2024</w:t>
            </w:r>
          </w:p>
        </w:tc>
        <w:tc>
          <w:tcPr>
            <w:tcW w:w="993" w:type="dxa"/>
            <w:tcBorders>
              <w:top w:val="single" w:sz="12" w:space="0" w:color="002060"/>
              <w:left w:val="nil"/>
              <w:bottom w:val="single" w:sz="12" w:space="0" w:color="002060"/>
              <w:right w:val="single" w:sz="4" w:space="0" w:color="FFFFFF"/>
            </w:tcBorders>
            <w:shd w:val="clear" w:color="auto" w:fill="auto"/>
            <w:noWrap/>
            <w:vAlign w:val="center"/>
          </w:tcPr>
          <w:p w14:paraId="67A8D487" w14:textId="77777777" w:rsidR="00D17EE6" w:rsidRPr="00D17EE6" w:rsidRDefault="00D17EE6" w:rsidP="00D17EE6">
            <w:pPr>
              <w:jc w:val="right"/>
              <w:rPr>
                <w:b/>
                <w:bCs/>
                <w:color w:val="000080"/>
                <w:sz w:val="18"/>
                <w:szCs w:val="18"/>
                <w:lang w:val="uk-UA" w:eastAsia="uk-UA"/>
              </w:rPr>
            </w:pPr>
            <w:r w:rsidRPr="00D17EE6">
              <w:rPr>
                <w:b/>
                <w:bCs/>
                <w:color w:val="000080"/>
                <w:sz w:val="18"/>
                <w:szCs w:val="18"/>
                <w:lang w:val="uk-UA" w:eastAsia="uk-UA"/>
              </w:rPr>
              <w:t>2025</w:t>
            </w:r>
          </w:p>
        </w:tc>
      </w:tr>
      <w:tr w:rsidR="00D17EE6" w:rsidRPr="00D17EE6" w14:paraId="3479C918" w14:textId="77777777" w:rsidTr="009C5BB9">
        <w:trPr>
          <w:trHeight w:val="330"/>
        </w:trPr>
        <w:tc>
          <w:tcPr>
            <w:tcW w:w="3681" w:type="dxa"/>
            <w:tcBorders>
              <w:top w:val="nil"/>
              <w:left w:val="nil"/>
              <w:bottom w:val="single" w:sz="4" w:space="0" w:color="auto"/>
              <w:right w:val="nil"/>
            </w:tcBorders>
            <w:shd w:val="clear" w:color="auto" w:fill="auto"/>
            <w:vAlign w:val="bottom"/>
          </w:tcPr>
          <w:p w14:paraId="181A0FC7" w14:textId="77777777" w:rsidR="00D17EE6" w:rsidRPr="00D17EE6" w:rsidRDefault="00D17EE6" w:rsidP="00D17EE6">
            <w:pPr>
              <w:rPr>
                <w:color w:val="000000"/>
                <w:sz w:val="18"/>
                <w:szCs w:val="18"/>
                <w:lang w:val="uk-UA" w:eastAsia="uk-UA"/>
              </w:rPr>
            </w:pPr>
            <w:r w:rsidRPr="00D17EE6">
              <w:rPr>
                <w:color w:val="000000"/>
                <w:sz w:val="18"/>
                <w:szCs w:val="18"/>
                <w:lang w:val="uk-UA" w:eastAsia="uk-UA"/>
              </w:rPr>
              <w:t>База утримання внесків (загальна по системі), млн. грн.</w:t>
            </w:r>
          </w:p>
        </w:tc>
        <w:tc>
          <w:tcPr>
            <w:tcW w:w="850" w:type="dxa"/>
            <w:tcBorders>
              <w:top w:val="nil"/>
              <w:left w:val="nil"/>
              <w:bottom w:val="single" w:sz="4" w:space="0" w:color="auto"/>
              <w:right w:val="nil"/>
            </w:tcBorders>
            <w:shd w:val="clear" w:color="auto" w:fill="auto"/>
            <w:noWrap/>
            <w:vAlign w:val="bottom"/>
          </w:tcPr>
          <w:p w14:paraId="3ADC0AFA"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822 527</w:t>
            </w:r>
          </w:p>
        </w:tc>
        <w:tc>
          <w:tcPr>
            <w:tcW w:w="993" w:type="dxa"/>
            <w:tcBorders>
              <w:top w:val="nil"/>
              <w:left w:val="nil"/>
              <w:bottom w:val="single" w:sz="4" w:space="0" w:color="auto"/>
              <w:right w:val="nil"/>
            </w:tcBorders>
            <w:shd w:val="clear" w:color="auto" w:fill="auto"/>
            <w:noWrap/>
            <w:vAlign w:val="bottom"/>
          </w:tcPr>
          <w:p w14:paraId="269DEFD0"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1 009 752</w:t>
            </w:r>
          </w:p>
        </w:tc>
        <w:tc>
          <w:tcPr>
            <w:tcW w:w="992" w:type="dxa"/>
            <w:tcBorders>
              <w:top w:val="nil"/>
              <w:left w:val="nil"/>
              <w:bottom w:val="single" w:sz="4" w:space="0" w:color="auto"/>
              <w:right w:val="nil"/>
            </w:tcBorders>
            <w:shd w:val="clear" w:color="auto" w:fill="auto"/>
            <w:noWrap/>
            <w:vAlign w:val="bottom"/>
          </w:tcPr>
          <w:p w14:paraId="1405D3FC"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1 167 430</w:t>
            </w:r>
          </w:p>
        </w:tc>
        <w:tc>
          <w:tcPr>
            <w:tcW w:w="992" w:type="dxa"/>
            <w:tcBorders>
              <w:top w:val="nil"/>
              <w:left w:val="nil"/>
              <w:bottom w:val="single" w:sz="4" w:space="0" w:color="auto"/>
              <w:right w:val="nil"/>
            </w:tcBorders>
            <w:shd w:val="clear" w:color="auto" w:fill="auto"/>
            <w:noWrap/>
            <w:vAlign w:val="bottom"/>
          </w:tcPr>
          <w:p w14:paraId="3EA220B8"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1 314 646</w:t>
            </w:r>
          </w:p>
        </w:tc>
        <w:tc>
          <w:tcPr>
            <w:tcW w:w="992" w:type="dxa"/>
            <w:tcBorders>
              <w:top w:val="nil"/>
              <w:left w:val="nil"/>
              <w:bottom w:val="single" w:sz="4" w:space="0" w:color="auto"/>
              <w:right w:val="nil"/>
            </w:tcBorders>
            <w:shd w:val="clear" w:color="auto" w:fill="auto"/>
            <w:noWrap/>
            <w:vAlign w:val="bottom"/>
          </w:tcPr>
          <w:p w14:paraId="6CCE1932"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1 456 960</w:t>
            </w:r>
          </w:p>
        </w:tc>
        <w:tc>
          <w:tcPr>
            <w:tcW w:w="993" w:type="dxa"/>
            <w:tcBorders>
              <w:top w:val="nil"/>
              <w:left w:val="nil"/>
              <w:bottom w:val="single" w:sz="4" w:space="0" w:color="auto"/>
              <w:right w:val="nil"/>
            </w:tcBorders>
            <w:shd w:val="clear" w:color="auto" w:fill="auto"/>
            <w:noWrap/>
            <w:vAlign w:val="bottom"/>
          </w:tcPr>
          <w:p w14:paraId="39A971A6"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1 597 405</w:t>
            </w:r>
          </w:p>
        </w:tc>
      </w:tr>
      <w:tr w:rsidR="00D17EE6" w:rsidRPr="00D17EE6" w14:paraId="6C39200B" w14:textId="77777777" w:rsidTr="009C5BB9">
        <w:trPr>
          <w:trHeight w:val="366"/>
        </w:trPr>
        <w:tc>
          <w:tcPr>
            <w:tcW w:w="3681" w:type="dxa"/>
            <w:tcBorders>
              <w:top w:val="nil"/>
              <w:left w:val="nil"/>
              <w:bottom w:val="single" w:sz="4" w:space="0" w:color="auto"/>
              <w:right w:val="nil"/>
            </w:tcBorders>
            <w:shd w:val="clear" w:color="auto" w:fill="auto"/>
            <w:vAlign w:val="bottom"/>
          </w:tcPr>
          <w:p w14:paraId="3F2464C0" w14:textId="77777777" w:rsidR="00D17EE6" w:rsidRPr="00D17EE6" w:rsidRDefault="00D17EE6" w:rsidP="00D17EE6">
            <w:pPr>
              <w:rPr>
                <w:color w:val="000000"/>
                <w:sz w:val="18"/>
                <w:szCs w:val="18"/>
                <w:lang w:val="uk-UA" w:eastAsia="uk-UA"/>
              </w:rPr>
            </w:pPr>
            <w:r w:rsidRPr="00D17EE6">
              <w:rPr>
                <w:color w:val="000000"/>
                <w:sz w:val="18"/>
                <w:szCs w:val="18"/>
                <w:lang w:val="uk-UA" w:eastAsia="uk-UA"/>
              </w:rPr>
              <w:t>База утримання внесків (загальна по системі зменшена на внески), млн. грн.</w:t>
            </w:r>
          </w:p>
        </w:tc>
        <w:tc>
          <w:tcPr>
            <w:tcW w:w="850" w:type="dxa"/>
            <w:tcBorders>
              <w:top w:val="nil"/>
              <w:left w:val="nil"/>
              <w:bottom w:val="single" w:sz="4" w:space="0" w:color="auto"/>
              <w:right w:val="nil"/>
            </w:tcBorders>
            <w:shd w:val="clear" w:color="auto" w:fill="auto"/>
            <w:noWrap/>
            <w:vAlign w:val="bottom"/>
          </w:tcPr>
          <w:p w14:paraId="7239FB14"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797 851</w:t>
            </w:r>
          </w:p>
        </w:tc>
        <w:tc>
          <w:tcPr>
            <w:tcW w:w="993" w:type="dxa"/>
            <w:tcBorders>
              <w:top w:val="nil"/>
              <w:left w:val="nil"/>
              <w:bottom w:val="single" w:sz="4" w:space="0" w:color="auto"/>
              <w:right w:val="nil"/>
            </w:tcBorders>
            <w:shd w:val="clear" w:color="auto" w:fill="auto"/>
            <w:noWrap/>
            <w:vAlign w:val="bottom"/>
          </w:tcPr>
          <w:p w14:paraId="35622C99"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969 362</w:t>
            </w:r>
          </w:p>
        </w:tc>
        <w:tc>
          <w:tcPr>
            <w:tcW w:w="992" w:type="dxa"/>
            <w:tcBorders>
              <w:top w:val="nil"/>
              <w:left w:val="nil"/>
              <w:bottom w:val="single" w:sz="4" w:space="0" w:color="auto"/>
              <w:right w:val="nil"/>
            </w:tcBorders>
            <w:shd w:val="clear" w:color="auto" w:fill="auto"/>
            <w:noWrap/>
            <w:vAlign w:val="bottom"/>
          </w:tcPr>
          <w:p w14:paraId="1255A6A7"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1 109 058</w:t>
            </w:r>
          </w:p>
        </w:tc>
        <w:tc>
          <w:tcPr>
            <w:tcW w:w="992" w:type="dxa"/>
            <w:tcBorders>
              <w:top w:val="nil"/>
              <w:left w:val="nil"/>
              <w:bottom w:val="single" w:sz="4" w:space="0" w:color="auto"/>
              <w:right w:val="nil"/>
            </w:tcBorders>
            <w:shd w:val="clear" w:color="auto" w:fill="auto"/>
            <w:noWrap/>
            <w:vAlign w:val="bottom"/>
          </w:tcPr>
          <w:p w14:paraId="7AE70990"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1 235 767</w:t>
            </w:r>
          </w:p>
        </w:tc>
        <w:tc>
          <w:tcPr>
            <w:tcW w:w="992" w:type="dxa"/>
            <w:tcBorders>
              <w:top w:val="nil"/>
              <w:left w:val="nil"/>
              <w:bottom w:val="single" w:sz="4" w:space="0" w:color="auto"/>
              <w:right w:val="nil"/>
            </w:tcBorders>
            <w:shd w:val="clear" w:color="auto" w:fill="auto"/>
            <w:noWrap/>
            <w:vAlign w:val="bottom"/>
          </w:tcPr>
          <w:p w14:paraId="0C66E2A9"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1 354 973</w:t>
            </w:r>
          </w:p>
        </w:tc>
        <w:tc>
          <w:tcPr>
            <w:tcW w:w="993" w:type="dxa"/>
            <w:tcBorders>
              <w:top w:val="nil"/>
              <w:left w:val="nil"/>
              <w:bottom w:val="single" w:sz="4" w:space="0" w:color="auto"/>
              <w:right w:val="nil"/>
            </w:tcBorders>
            <w:shd w:val="clear" w:color="auto" w:fill="auto"/>
            <w:noWrap/>
            <w:vAlign w:val="bottom"/>
          </w:tcPr>
          <w:p w14:paraId="62121EEC"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1 469 613</w:t>
            </w:r>
          </w:p>
        </w:tc>
      </w:tr>
      <w:tr w:rsidR="00D17EE6" w:rsidRPr="00D17EE6" w14:paraId="66863DA7" w14:textId="77777777" w:rsidTr="009C5BB9">
        <w:trPr>
          <w:trHeight w:val="471"/>
        </w:trPr>
        <w:tc>
          <w:tcPr>
            <w:tcW w:w="3681" w:type="dxa"/>
            <w:tcBorders>
              <w:top w:val="nil"/>
              <w:left w:val="nil"/>
              <w:bottom w:val="single" w:sz="4" w:space="0" w:color="auto"/>
              <w:right w:val="nil"/>
            </w:tcBorders>
            <w:shd w:val="clear" w:color="auto" w:fill="auto"/>
            <w:vAlign w:val="bottom"/>
          </w:tcPr>
          <w:p w14:paraId="668F3DCE" w14:textId="77777777" w:rsidR="00D17EE6" w:rsidRPr="00D17EE6" w:rsidRDefault="00D17EE6" w:rsidP="00D17EE6">
            <w:pPr>
              <w:rPr>
                <w:color w:val="000000"/>
                <w:sz w:val="18"/>
                <w:szCs w:val="18"/>
                <w:lang w:val="uk-UA" w:eastAsia="uk-UA"/>
              </w:rPr>
            </w:pPr>
            <w:r w:rsidRPr="00D17EE6">
              <w:rPr>
                <w:color w:val="000000"/>
                <w:sz w:val="18"/>
                <w:szCs w:val="18"/>
                <w:lang w:val="uk-UA" w:eastAsia="uk-UA"/>
              </w:rPr>
              <w:t>Очікувана сума надходжень від ПДФО + ВЗ без урахування внесків, млн. грн.</w:t>
            </w:r>
          </w:p>
        </w:tc>
        <w:tc>
          <w:tcPr>
            <w:tcW w:w="850" w:type="dxa"/>
            <w:tcBorders>
              <w:top w:val="nil"/>
              <w:left w:val="nil"/>
              <w:bottom w:val="single" w:sz="4" w:space="0" w:color="auto"/>
              <w:right w:val="nil"/>
            </w:tcBorders>
            <w:shd w:val="clear" w:color="auto" w:fill="auto"/>
            <w:noWrap/>
            <w:vAlign w:val="bottom"/>
          </w:tcPr>
          <w:p w14:paraId="2042F2C3"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160 393</w:t>
            </w:r>
          </w:p>
        </w:tc>
        <w:tc>
          <w:tcPr>
            <w:tcW w:w="993" w:type="dxa"/>
            <w:tcBorders>
              <w:top w:val="nil"/>
              <w:left w:val="nil"/>
              <w:bottom w:val="single" w:sz="4" w:space="0" w:color="auto"/>
              <w:right w:val="nil"/>
            </w:tcBorders>
            <w:shd w:val="clear" w:color="auto" w:fill="auto"/>
            <w:noWrap/>
            <w:vAlign w:val="bottom"/>
          </w:tcPr>
          <w:p w14:paraId="4367DE09"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196 902</w:t>
            </w:r>
          </w:p>
        </w:tc>
        <w:tc>
          <w:tcPr>
            <w:tcW w:w="992" w:type="dxa"/>
            <w:tcBorders>
              <w:top w:val="nil"/>
              <w:left w:val="nil"/>
              <w:bottom w:val="single" w:sz="4" w:space="0" w:color="auto"/>
              <w:right w:val="nil"/>
            </w:tcBorders>
            <w:shd w:val="clear" w:color="auto" w:fill="auto"/>
            <w:noWrap/>
            <w:vAlign w:val="bottom"/>
          </w:tcPr>
          <w:p w14:paraId="02BDC5C8"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227 649</w:t>
            </w:r>
          </w:p>
        </w:tc>
        <w:tc>
          <w:tcPr>
            <w:tcW w:w="992" w:type="dxa"/>
            <w:tcBorders>
              <w:top w:val="nil"/>
              <w:left w:val="nil"/>
              <w:bottom w:val="single" w:sz="4" w:space="0" w:color="auto"/>
              <w:right w:val="nil"/>
            </w:tcBorders>
            <w:shd w:val="clear" w:color="auto" w:fill="auto"/>
            <w:noWrap/>
            <w:vAlign w:val="bottom"/>
          </w:tcPr>
          <w:p w14:paraId="45593A36"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256 356</w:t>
            </w:r>
          </w:p>
        </w:tc>
        <w:tc>
          <w:tcPr>
            <w:tcW w:w="992" w:type="dxa"/>
            <w:tcBorders>
              <w:top w:val="nil"/>
              <w:left w:val="nil"/>
              <w:bottom w:val="single" w:sz="4" w:space="0" w:color="auto"/>
              <w:right w:val="nil"/>
            </w:tcBorders>
            <w:shd w:val="clear" w:color="auto" w:fill="auto"/>
            <w:noWrap/>
            <w:vAlign w:val="bottom"/>
          </w:tcPr>
          <w:p w14:paraId="0B1AF813"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284 107</w:t>
            </w:r>
          </w:p>
        </w:tc>
        <w:tc>
          <w:tcPr>
            <w:tcW w:w="993" w:type="dxa"/>
            <w:tcBorders>
              <w:top w:val="nil"/>
              <w:left w:val="nil"/>
              <w:bottom w:val="single" w:sz="4" w:space="0" w:color="auto"/>
              <w:right w:val="nil"/>
            </w:tcBorders>
            <w:shd w:val="clear" w:color="auto" w:fill="auto"/>
            <w:noWrap/>
            <w:vAlign w:val="bottom"/>
          </w:tcPr>
          <w:p w14:paraId="24AB9BD7"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311 494</w:t>
            </w:r>
          </w:p>
        </w:tc>
      </w:tr>
      <w:tr w:rsidR="00D17EE6" w:rsidRPr="00D17EE6" w14:paraId="3E333EE5" w14:textId="77777777" w:rsidTr="009C5BB9">
        <w:trPr>
          <w:trHeight w:val="421"/>
        </w:trPr>
        <w:tc>
          <w:tcPr>
            <w:tcW w:w="3681" w:type="dxa"/>
            <w:tcBorders>
              <w:top w:val="nil"/>
              <w:left w:val="nil"/>
              <w:bottom w:val="single" w:sz="4" w:space="0" w:color="auto"/>
              <w:right w:val="nil"/>
            </w:tcBorders>
            <w:shd w:val="clear" w:color="auto" w:fill="auto"/>
            <w:vAlign w:val="bottom"/>
          </w:tcPr>
          <w:p w14:paraId="46F81280" w14:textId="77777777" w:rsidR="00D17EE6" w:rsidRPr="00D17EE6" w:rsidRDefault="00D17EE6" w:rsidP="00D17EE6">
            <w:pPr>
              <w:rPr>
                <w:color w:val="000000"/>
                <w:sz w:val="18"/>
                <w:szCs w:val="18"/>
                <w:lang w:val="uk-UA" w:eastAsia="uk-UA"/>
              </w:rPr>
            </w:pPr>
            <w:r w:rsidRPr="00D17EE6">
              <w:rPr>
                <w:color w:val="000000"/>
                <w:sz w:val="18"/>
                <w:szCs w:val="18"/>
                <w:lang w:val="uk-UA" w:eastAsia="uk-UA"/>
              </w:rPr>
              <w:t>Очікувана сума надходжень від ПДФО + ВЗ, зменшена на внески, млн. грн.</w:t>
            </w:r>
          </w:p>
        </w:tc>
        <w:tc>
          <w:tcPr>
            <w:tcW w:w="850" w:type="dxa"/>
            <w:tcBorders>
              <w:top w:val="nil"/>
              <w:left w:val="nil"/>
              <w:bottom w:val="single" w:sz="4" w:space="0" w:color="auto"/>
              <w:right w:val="nil"/>
            </w:tcBorders>
            <w:shd w:val="clear" w:color="auto" w:fill="auto"/>
            <w:noWrap/>
            <w:vAlign w:val="bottom"/>
          </w:tcPr>
          <w:p w14:paraId="35EA8261"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155 581</w:t>
            </w:r>
          </w:p>
        </w:tc>
        <w:tc>
          <w:tcPr>
            <w:tcW w:w="993" w:type="dxa"/>
            <w:tcBorders>
              <w:top w:val="nil"/>
              <w:left w:val="nil"/>
              <w:bottom w:val="single" w:sz="4" w:space="0" w:color="auto"/>
              <w:right w:val="nil"/>
            </w:tcBorders>
            <w:shd w:val="clear" w:color="auto" w:fill="auto"/>
            <w:noWrap/>
            <w:vAlign w:val="bottom"/>
          </w:tcPr>
          <w:p w14:paraId="0098A0D4"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189 026</w:t>
            </w:r>
          </w:p>
        </w:tc>
        <w:tc>
          <w:tcPr>
            <w:tcW w:w="992" w:type="dxa"/>
            <w:tcBorders>
              <w:top w:val="nil"/>
              <w:left w:val="nil"/>
              <w:bottom w:val="single" w:sz="4" w:space="0" w:color="auto"/>
              <w:right w:val="nil"/>
            </w:tcBorders>
            <w:shd w:val="clear" w:color="auto" w:fill="auto"/>
            <w:noWrap/>
            <w:vAlign w:val="bottom"/>
          </w:tcPr>
          <w:p w14:paraId="7A5E9378"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216 266</w:t>
            </w:r>
          </w:p>
        </w:tc>
        <w:tc>
          <w:tcPr>
            <w:tcW w:w="992" w:type="dxa"/>
            <w:tcBorders>
              <w:top w:val="nil"/>
              <w:left w:val="nil"/>
              <w:bottom w:val="single" w:sz="4" w:space="0" w:color="auto"/>
              <w:right w:val="nil"/>
            </w:tcBorders>
            <w:shd w:val="clear" w:color="auto" w:fill="auto"/>
            <w:noWrap/>
            <w:vAlign w:val="bottom"/>
          </w:tcPr>
          <w:p w14:paraId="194C541D"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240 975</w:t>
            </w:r>
          </w:p>
        </w:tc>
        <w:tc>
          <w:tcPr>
            <w:tcW w:w="992" w:type="dxa"/>
            <w:tcBorders>
              <w:top w:val="nil"/>
              <w:left w:val="nil"/>
              <w:bottom w:val="single" w:sz="4" w:space="0" w:color="auto"/>
              <w:right w:val="nil"/>
            </w:tcBorders>
            <w:shd w:val="clear" w:color="auto" w:fill="auto"/>
            <w:noWrap/>
            <w:vAlign w:val="bottom"/>
          </w:tcPr>
          <w:p w14:paraId="2043A2BF"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264 220</w:t>
            </w:r>
          </w:p>
        </w:tc>
        <w:tc>
          <w:tcPr>
            <w:tcW w:w="993" w:type="dxa"/>
            <w:tcBorders>
              <w:top w:val="nil"/>
              <w:left w:val="nil"/>
              <w:bottom w:val="single" w:sz="4" w:space="0" w:color="auto"/>
              <w:right w:val="nil"/>
            </w:tcBorders>
            <w:shd w:val="clear" w:color="auto" w:fill="auto"/>
            <w:noWrap/>
            <w:vAlign w:val="bottom"/>
          </w:tcPr>
          <w:p w14:paraId="5DC7346E"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286 574</w:t>
            </w:r>
          </w:p>
        </w:tc>
      </w:tr>
      <w:tr w:rsidR="00D17EE6" w:rsidRPr="00D17EE6" w14:paraId="28F9209B" w14:textId="77777777" w:rsidTr="009C5BB9">
        <w:trPr>
          <w:trHeight w:val="315"/>
        </w:trPr>
        <w:tc>
          <w:tcPr>
            <w:tcW w:w="3681" w:type="dxa"/>
            <w:tcBorders>
              <w:top w:val="nil"/>
              <w:left w:val="nil"/>
              <w:bottom w:val="single" w:sz="4" w:space="0" w:color="auto"/>
              <w:right w:val="nil"/>
            </w:tcBorders>
            <w:shd w:val="clear" w:color="auto" w:fill="auto"/>
            <w:vAlign w:val="bottom"/>
          </w:tcPr>
          <w:p w14:paraId="4F00B65A" w14:textId="77777777" w:rsidR="00D17EE6" w:rsidRPr="00D17EE6" w:rsidRDefault="00D17EE6" w:rsidP="00D17EE6">
            <w:pPr>
              <w:rPr>
                <w:color w:val="000000"/>
                <w:sz w:val="18"/>
                <w:szCs w:val="18"/>
                <w:lang w:val="uk-UA" w:eastAsia="uk-UA"/>
              </w:rPr>
            </w:pPr>
            <w:r w:rsidRPr="00D17EE6">
              <w:rPr>
                <w:color w:val="000000"/>
                <w:sz w:val="18"/>
                <w:szCs w:val="18"/>
                <w:lang w:val="uk-UA" w:eastAsia="uk-UA"/>
              </w:rPr>
              <w:t>Темп зростання ПДФО та ВЗ без пільги на внески, %</w:t>
            </w:r>
          </w:p>
        </w:tc>
        <w:tc>
          <w:tcPr>
            <w:tcW w:w="850" w:type="dxa"/>
            <w:tcBorders>
              <w:top w:val="nil"/>
              <w:left w:val="nil"/>
              <w:bottom w:val="single" w:sz="4" w:space="0" w:color="auto"/>
              <w:right w:val="nil"/>
            </w:tcBorders>
            <w:shd w:val="clear" w:color="auto" w:fill="auto"/>
            <w:noWrap/>
            <w:vAlign w:val="bottom"/>
          </w:tcPr>
          <w:p w14:paraId="69606865" w14:textId="77777777" w:rsidR="00D17EE6" w:rsidRPr="00D17EE6" w:rsidRDefault="00D17EE6" w:rsidP="00D17EE6">
            <w:pPr>
              <w:rPr>
                <w:color w:val="000000"/>
                <w:sz w:val="18"/>
                <w:szCs w:val="18"/>
                <w:lang w:val="uk-UA" w:eastAsia="uk-UA"/>
              </w:rPr>
            </w:pPr>
            <w:r w:rsidRPr="00D17EE6">
              <w:rPr>
                <w:color w:val="000000"/>
                <w:sz w:val="18"/>
                <w:szCs w:val="18"/>
                <w:lang w:val="uk-UA" w:eastAsia="uk-UA"/>
              </w:rPr>
              <w:t> </w:t>
            </w:r>
          </w:p>
        </w:tc>
        <w:tc>
          <w:tcPr>
            <w:tcW w:w="993" w:type="dxa"/>
            <w:tcBorders>
              <w:top w:val="nil"/>
              <w:left w:val="nil"/>
              <w:bottom w:val="single" w:sz="4" w:space="0" w:color="auto"/>
              <w:right w:val="nil"/>
            </w:tcBorders>
            <w:shd w:val="clear" w:color="auto" w:fill="auto"/>
            <w:noWrap/>
            <w:vAlign w:val="bottom"/>
          </w:tcPr>
          <w:p w14:paraId="3291D265"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122,76</w:t>
            </w:r>
          </w:p>
        </w:tc>
        <w:tc>
          <w:tcPr>
            <w:tcW w:w="992" w:type="dxa"/>
            <w:tcBorders>
              <w:top w:val="nil"/>
              <w:left w:val="nil"/>
              <w:bottom w:val="single" w:sz="4" w:space="0" w:color="auto"/>
              <w:right w:val="nil"/>
            </w:tcBorders>
            <w:shd w:val="clear" w:color="auto" w:fill="auto"/>
            <w:noWrap/>
            <w:vAlign w:val="bottom"/>
          </w:tcPr>
          <w:p w14:paraId="1F412F28"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115,62</w:t>
            </w:r>
          </w:p>
        </w:tc>
        <w:tc>
          <w:tcPr>
            <w:tcW w:w="992" w:type="dxa"/>
            <w:tcBorders>
              <w:top w:val="nil"/>
              <w:left w:val="nil"/>
              <w:bottom w:val="single" w:sz="4" w:space="0" w:color="auto"/>
              <w:right w:val="nil"/>
            </w:tcBorders>
            <w:shd w:val="clear" w:color="auto" w:fill="auto"/>
            <w:noWrap/>
            <w:vAlign w:val="bottom"/>
          </w:tcPr>
          <w:p w14:paraId="22BAC96E"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112,61</w:t>
            </w:r>
          </w:p>
        </w:tc>
        <w:tc>
          <w:tcPr>
            <w:tcW w:w="992" w:type="dxa"/>
            <w:tcBorders>
              <w:top w:val="nil"/>
              <w:left w:val="nil"/>
              <w:bottom w:val="single" w:sz="4" w:space="0" w:color="auto"/>
              <w:right w:val="nil"/>
            </w:tcBorders>
            <w:shd w:val="clear" w:color="auto" w:fill="auto"/>
            <w:noWrap/>
            <w:vAlign w:val="bottom"/>
          </w:tcPr>
          <w:p w14:paraId="72CE47C4"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110,83</w:t>
            </w:r>
          </w:p>
        </w:tc>
        <w:tc>
          <w:tcPr>
            <w:tcW w:w="993" w:type="dxa"/>
            <w:tcBorders>
              <w:top w:val="nil"/>
              <w:left w:val="nil"/>
              <w:bottom w:val="single" w:sz="4" w:space="0" w:color="auto"/>
              <w:right w:val="nil"/>
            </w:tcBorders>
            <w:shd w:val="clear" w:color="auto" w:fill="auto"/>
            <w:noWrap/>
            <w:vAlign w:val="bottom"/>
          </w:tcPr>
          <w:p w14:paraId="6EA41CFE" w14:textId="77777777" w:rsidR="00D17EE6" w:rsidRPr="00D17EE6" w:rsidRDefault="00D17EE6" w:rsidP="00D17EE6">
            <w:pPr>
              <w:jc w:val="right"/>
              <w:rPr>
                <w:color w:val="000000"/>
                <w:sz w:val="18"/>
                <w:szCs w:val="18"/>
                <w:lang w:val="uk-UA" w:eastAsia="uk-UA"/>
              </w:rPr>
            </w:pPr>
            <w:r w:rsidRPr="00D17EE6">
              <w:rPr>
                <w:color w:val="000000"/>
                <w:sz w:val="18"/>
                <w:szCs w:val="18"/>
                <w:lang w:val="uk-UA" w:eastAsia="uk-UA"/>
              </w:rPr>
              <w:t>109,64</w:t>
            </w:r>
          </w:p>
        </w:tc>
      </w:tr>
      <w:tr w:rsidR="00D17EE6" w:rsidRPr="00D17EE6" w14:paraId="2D5F6CFD" w14:textId="77777777" w:rsidTr="009C5BB9">
        <w:trPr>
          <w:trHeight w:val="315"/>
        </w:trPr>
        <w:tc>
          <w:tcPr>
            <w:tcW w:w="3681" w:type="dxa"/>
            <w:tcBorders>
              <w:top w:val="nil"/>
              <w:left w:val="nil"/>
              <w:bottom w:val="single" w:sz="4" w:space="0" w:color="auto"/>
              <w:right w:val="nil"/>
            </w:tcBorders>
            <w:shd w:val="clear" w:color="auto" w:fill="auto"/>
            <w:vAlign w:val="bottom"/>
          </w:tcPr>
          <w:p w14:paraId="7864962C" w14:textId="77777777" w:rsidR="00D17EE6" w:rsidRPr="00D17EE6" w:rsidRDefault="00D17EE6" w:rsidP="00D17EE6">
            <w:pPr>
              <w:rPr>
                <w:b/>
                <w:bCs/>
                <w:color w:val="000000"/>
                <w:sz w:val="18"/>
                <w:szCs w:val="18"/>
                <w:lang w:val="uk-UA" w:eastAsia="uk-UA"/>
              </w:rPr>
            </w:pPr>
            <w:r w:rsidRPr="00D17EE6">
              <w:rPr>
                <w:b/>
                <w:bCs/>
                <w:color w:val="000000"/>
                <w:sz w:val="18"/>
                <w:szCs w:val="18"/>
                <w:lang w:val="uk-UA" w:eastAsia="uk-UA"/>
              </w:rPr>
              <w:t>Темп зростання ПДФО та ВЗ з урахуванням пільги на внески, %</w:t>
            </w:r>
          </w:p>
        </w:tc>
        <w:tc>
          <w:tcPr>
            <w:tcW w:w="850" w:type="dxa"/>
            <w:tcBorders>
              <w:top w:val="nil"/>
              <w:left w:val="nil"/>
              <w:bottom w:val="single" w:sz="4" w:space="0" w:color="auto"/>
              <w:right w:val="nil"/>
            </w:tcBorders>
            <w:shd w:val="clear" w:color="auto" w:fill="auto"/>
            <w:noWrap/>
            <w:vAlign w:val="bottom"/>
          </w:tcPr>
          <w:p w14:paraId="45E21B35" w14:textId="77777777" w:rsidR="00D17EE6" w:rsidRPr="00D17EE6" w:rsidRDefault="00D17EE6" w:rsidP="00D17EE6">
            <w:pPr>
              <w:rPr>
                <w:b/>
                <w:bCs/>
                <w:color w:val="000000"/>
                <w:sz w:val="18"/>
                <w:szCs w:val="18"/>
                <w:lang w:val="uk-UA" w:eastAsia="uk-UA"/>
              </w:rPr>
            </w:pPr>
            <w:r w:rsidRPr="00D17EE6">
              <w:rPr>
                <w:b/>
                <w:bCs/>
                <w:color w:val="000000"/>
                <w:sz w:val="18"/>
                <w:szCs w:val="18"/>
                <w:lang w:val="uk-UA" w:eastAsia="uk-UA"/>
              </w:rPr>
              <w:t> </w:t>
            </w:r>
          </w:p>
        </w:tc>
        <w:tc>
          <w:tcPr>
            <w:tcW w:w="993" w:type="dxa"/>
            <w:tcBorders>
              <w:top w:val="nil"/>
              <w:left w:val="nil"/>
              <w:bottom w:val="single" w:sz="4" w:space="0" w:color="auto"/>
              <w:right w:val="nil"/>
            </w:tcBorders>
            <w:shd w:val="clear" w:color="auto" w:fill="auto"/>
            <w:noWrap/>
            <w:vAlign w:val="bottom"/>
          </w:tcPr>
          <w:p w14:paraId="0E3A9899" w14:textId="77777777" w:rsidR="00D17EE6" w:rsidRPr="00D17EE6" w:rsidRDefault="00D17EE6" w:rsidP="00D17EE6">
            <w:pPr>
              <w:jc w:val="right"/>
              <w:rPr>
                <w:b/>
                <w:bCs/>
                <w:color w:val="000000"/>
                <w:sz w:val="18"/>
                <w:szCs w:val="18"/>
                <w:lang w:val="uk-UA" w:eastAsia="uk-UA"/>
              </w:rPr>
            </w:pPr>
            <w:r w:rsidRPr="00D17EE6">
              <w:rPr>
                <w:b/>
                <w:bCs/>
                <w:color w:val="000000"/>
                <w:sz w:val="18"/>
                <w:szCs w:val="18"/>
                <w:lang w:val="uk-UA" w:eastAsia="uk-UA"/>
              </w:rPr>
              <w:t>121,50</w:t>
            </w:r>
          </w:p>
        </w:tc>
        <w:tc>
          <w:tcPr>
            <w:tcW w:w="992" w:type="dxa"/>
            <w:tcBorders>
              <w:top w:val="nil"/>
              <w:left w:val="nil"/>
              <w:bottom w:val="single" w:sz="4" w:space="0" w:color="auto"/>
              <w:right w:val="nil"/>
            </w:tcBorders>
            <w:shd w:val="clear" w:color="auto" w:fill="auto"/>
            <w:noWrap/>
            <w:vAlign w:val="bottom"/>
          </w:tcPr>
          <w:p w14:paraId="78FCDEF9" w14:textId="77777777" w:rsidR="00D17EE6" w:rsidRPr="00D17EE6" w:rsidRDefault="00D17EE6" w:rsidP="00D17EE6">
            <w:pPr>
              <w:jc w:val="right"/>
              <w:rPr>
                <w:b/>
                <w:bCs/>
                <w:color w:val="000000"/>
                <w:sz w:val="18"/>
                <w:szCs w:val="18"/>
                <w:lang w:val="uk-UA" w:eastAsia="uk-UA"/>
              </w:rPr>
            </w:pPr>
            <w:r w:rsidRPr="00D17EE6">
              <w:rPr>
                <w:b/>
                <w:bCs/>
                <w:color w:val="000000"/>
                <w:sz w:val="18"/>
                <w:szCs w:val="18"/>
                <w:lang w:val="uk-UA" w:eastAsia="uk-UA"/>
              </w:rPr>
              <w:t>114,41</w:t>
            </w:r>
          </w:p>
        </w:tc>
        <w:tc>
          <w:tcPr>
            <w:tcW w:w="992" w:type="dxa"/>
            <w:tcBorders>
              <w:top w:val="nil"/>
              <w:left w:val="nil"/>
              <w:bottom w:val="single" w:sz="4" w:space="0" w:color="auto"/>
              <w:right w:val="nil"/>
            </w:tcBorders>
            <w:shd w:val="clear" w:color="auto" w:fill="auto"/>
            <w:noWrap/>
            <w:vAlign w:val="bottom"/>
          </w:tcPr>
          <w:p w14:paraId="1802FBE8" w14:textId="77777777" w:rsidR="00D17EE6" w:rsidRPr="00D17EE6" w:rsidRDefault="00D17EE6" w:rsidP="00D17EE6">
            <w:pPr>
              <w:jc w:val="right"/>
              <w:rPr>
                <w:b/>
                <w:bCs/>
                <w:color w:val="000000"/>
                <w:sz w:val="18"/>
                <w:szCs w:val="18"/>
                <w:lang w:val="uk-UA" w:eastAsia="uk-UA"/>
              </w:rPr>
            </w:pPr>
            <w:r w:rsidRPr="00D17EE6">
              <w:rPr>
                <w:b/>
                <w:bCs/>
                <w:color w:val="000000"/>
                <w:sz w:val="18"/>
                <w:szCs w:val="18"/>
                <w:lang w:val="uk-UA" w:eastAsia="uk-UA"/>
              </w:rPr>
              <w:t>111,42</w:t>
            </w:r>
          </w:p>
        </w:tc>
        <w:tc>
          <w:tcPr>
            <w:tcW w:w="992" w:type="dxa"/>
            <w:tcBorders>
              <w:top w:val="nil"/>
              <w:left w:val="nil"/>
              <w:bottom w:val="single" w:sz="4" w:space="0" w:color="auto"/>
              <w:right w:val="nil"/>
            </w:tcBorders>
            <w:shd w:val="clear" w:color="auto" w:fill="auto"/>
            <w:noWrap/>
            <w:vAlign w:val="bottom"/>
          </w:tcPr>
          <w:p w14:paraId="4586BA17" w14:textId="77777777" w:rsidR="00D17EE6" w:rsidRPr="00D17EE6" w:rsidRDefault="00D17EE6" w:rsidP="00D17EE6">
            <w:pPr>
              <w:jc w:val="right"/>
              <w:rPr>
                <w:b/>
                <w:bCs/>
                <w:color w:val="000000"/>
                <w:sz w:val="18"/>
                <w:szCs w:val="18"/>
                <w:lang w:val="uk-UA" w:eastAsia="uk-UA"/>
              </w:rPr>
            </w:pPr>
            <w:r w:rsidRPr="00D17EE6">
              <w:rPr>
                <w:b/>
                <w:bCs/>
                <w:color w:val="000000"/>
                <w:sz w:val="18"/>
                <w:szCs w:val="18"/>
                <w:lang w:val="uk-UA" w:eastAsia="uk-UA"/>
              </w:rPr>
              <w:t>109,65</w:t>
            </w:r>
          </w:p>
        </w:tc>
        <w:tc>
          <w:tcPr>
            <w:tcW w:w="993" w:type="dxa"/>
            <w:tcBorders>
              <w:top w:val="nil"/>
              <w:left w:val="nil"/>
              <w:bottom w:val="single" w:sz="4" w:space="0" w:color="auto"/>
              <w:right w:val="nil"/>
            </w:tcBorders>
            <w:shd w:val="clear" w:color="auto" w:fill="auto"/>
            <w:noWrap/>
            <w:vAlign w:val="bottom"/>
          </w:tcPr>
          <w:p w14:paraId="5C9DD0C8" w14:textId="77777777" w:rsidR="00D17EE6" w:rsidRPr="00D17EE6" w:rsidRDefault="00D17EE6" w:rsidP="00D17EE6">
            <w:pPr>
              <w:jc w:val="right"/>
              <w:rPr>
                <w:b/>
                <w:bCs/>
                <w:color w:val="000000"/>
                <w:sz w:val="18"/>
                <w:szCs w:val="18"/>
                <w:lang w:val="uk-UA" w:eastAsia="uk-UA"/>
              </w:rPr>
            </w:pPr>
            <w:r w:rsidRPr="00D17EE6">
              <w:rPr>
                <w:b/>
                <w:bCs/>
                <w:color w:val="000000"/>
                <w:sz w:val="18"/>
                <w:szCs w:val="18"/>
                <w:lang w:val="uk-UA" w:eastAsia="uk-UA"/>
              </w:rPr>
              <w:t>108,46</w:t>
            </w:r>
          </w:p>
        </w:tc>
      </w:tr>
    </w:tbl>
    <w:p w14:paraId="40E4E1B4" w14:textId="77777777" w:rsidR="00D17EE6" w:rsidRPr="00D17EE6" w:rsidRDefault="00D17EE6" w:rsidP="00D17EE6">
      <w:pPr>
        <w:widowControl w:val="0"/>
        <w:ind w:firstLine="720"/>
        <w:jc w:val="both"/>
        <w:rPr>
          <w:i/>
          <w:iCs/>
          <w:lang w:val="uk-UA"/>
        </w:rPr>
      </w:pPr>
    </w:p>
    <w:p w14:paraId="27B38E49" w14:textId="77777777" w:rsidR="00D17EE6" w:rsidRPr="00D17EE6" w:rsidRDefault="00D17EE6" w:rsidP="00D17EE6">
      <w:pPr>
        <w:widowControl w:val="0"/>
        <w:ind w:firstLine="720"/>
        <w:jc w:val="both"/>
        <w:rPr>
          <w:b/>
          <w:iCs/>
          <w:sz w:val="24"/>
          <w:szCs w:val="24"/>
          <w:lang w:val="uk-UA"/>
        </w:rPr>
      </w:pPr>
      <w:r w:rsidRPr="00D17EE6">
        <w:rPr>
          <w:i/>
          <w:iCs/>
          <w:lang w:val="uk-UA"/>
        </w:rPr>
        <w:t xml:space="preserve">Джерела: </w:t>
      </w:r>
      <w:proofErr w:type="spellStart"/>
      <w:r w:rsidRPr="00D17EE6">
        <w:rPr>
          <w:i/>
          <w:iCs/>
          <w:lang w:val="uk-UA"/>
        </w:rPr>
        <w:t>Держстат</w:t>
      </w:r>
      <w:proofErr w:type="spellEnd"/>
      <w:r w:rsidRPr="00D17EE6">
        <w:rPr>
          <w:i/>
          <w:iCs/>
          <w:lang w:val="uk-UA"/>
        </w:rPr>
        <w:t xml:space="preserve">, Світовий банк (Україна. Економічний огляд, 10 квітня 2018 року, прогноз на 2018-2020 рр.), IMF </w:t>
      </w:r>
      <w:proofErr w:type="spellStart"/>
      <w:r w:rsidRPr="00D17EE6">
        <w:rPr>
          <w:i/>
          <w:iCs/>
          <w:lang w:val="uk-UA"/>
        </w:rPr>
        <w:t>World</w:t>
      </w:r>
      <w:proofErr w:type="spellEnd"/>
      <w:r w:rsidRPr="00D17EE6">
        <w:rPr>
          <w:i/>
          <w:iCs/>
          <w:lang w:val="uk-UA"/>
        </w:rPr>
        <w:t xml:space="preserve"> </w:t>
      </w:r>
      <w:proofErr w:type="spellStart"/>
      <w:r w:rsidRPr="00D17EE6">
        <w:rPr>
          <w:i/>
          <w:iCs/>
          <w:lang w:val="uk-UA"/>
        </w:rPr>
        <w:t>Economic</w:t>
      </w:r>
      <w:proofErr w:type="spellEnd"/>
      <w:r w:rsidRPr="00D17EE6">
        <w:rPr>
          <w:i/>
          <w:iCs/>
          <w:lang w:val="uk-UA"/>
        </w:rPr>
        <w:t xml:space="preserve"> Outlook </w:t>
      </w:r>
      <w:proofErr w:type="spellStart"/>
      <w:r w:rsidRPr="00D17EE6">
        <w:rPr>
          <w:i/>
          <w:iCs/>
          <w:lang w:val="uk-UA"/>
        </w:rPr>
        <w:t>Database</w:t>
      </w:r>
      <w:proofErr w:type="spellEnd"/>
      <w:r w:rsidRPr="00D17EE6">
        <w:rPr>
          <w:i/>
          <w:iCs/>
          <w:lang w:val="uk-UA"/>
        </w:rPr>
        <w:t xml:space="preserve"> </w:t>
      </w:r>
      <w:proofErr w:type="spellStart"/>
      <w:r w:rsidRPr="00D17EE6">
        <w:rPr>
          <w:i/>
          <w:iCs/>
          <w:lang w:val="uk-UA"/>
        </w:rPr>
        <w:t>October</w:t>
      </w:r>
      <w:proofErr w:type="spellEnd"/>
      <w:r w:rsidRPr="00D17EE6">
        <w:rPr>
          <w:i/>
          <w:iCs/>
          <w:lang w:val="uk-UA"/>
        </w:rPr>
        <w:t xml:space="preserve"> 2017 (прогноз на 2021-2022 рр.), припущення фахівців Світового банку, Інститут демографії та соціальних досліджень імені М.В. </w:t>
      </w:r>
      <w:proofErr w:type="spellStart"/>
      <w:r w:rsidRPr="00D17EE6">
        <w:rPr>
          <w:i/>
          <w:iCs/>
          <w:lang w:val="uk-UA"/>
        </w:rPr>
        <w:t>Птухи</w:t>
      </w:r>
      <w:proofErr w:type="spellEnd"/>
      <w:r w:rsidRPr="00D17EE6">
        <w:rPr>
          <w:i/>
          <w:iCs/>
          <w:lang w:val="uk-UA"/>
        </w:rPr>
        <w:t xml:space="preserve"> НАН України, власні розрахунки</w:t>
      </w:r>
    </w:p>
    <w:p w14:paraId="3BD00C2C" w14:textId="77777777" w:rsidR="00A06CF8" w:rsidRDefault="00A06CF8" w:rsidP="00373AAF">
      <w:pPr>
        <w:spacing w:after="160" w:line="259" w:lineRule="auto"/>
        <w:ind w:firstLine="426"/>
        <w:jc w:val="both"/>
        <w:rPr>
          <w:sz w:val="24"/>
          <w:szCs w:val="24"/>
          <w:lang w:val="uk-UA"/>
        </w:rPr>
      </w:pPr>
    </w:p>
    <w:p w14:paraId="0E0CFC3C" w14:textId="60560FBF" w:rsidR="000E2EAD" w:rsidRDefault="000E2EAD" w:rsidP="00A06CF8">
      <w:pPr>
        <w:spacing w:after="160"/>
        <w:ind w:firstLine="425"/>
        <w:jc w:val="both"/>
        <w:rPr>
          <w:b/>
          <w:sz w:val="28"/>
          <w:szCs w:val="28"/>
          <w:u w:val="single"/>
          <w:lang w:val="uk-UA"/>
        </w:rPr>
      </w:pPr>
      <w:r w:rsidRPr="000A1AA6">
        <w:rPr>
          <w:b/>
          <w:sz w:val="28"/>
          <w:szCs w:val="28"/>
          <w:u w:val="single"/>
          <w:lang w:val="uk-UA"/>
        </w:rPr>
        <w:t>2.2. Оцінка впливу на сферу інтересів суб’єктів господарювання</w:t>
      </w:r>
    </w:p>
    <w:p w14:paraId="60A70ADF" w14:textId="5C0591CB" w:rsidR="000A1AA6" w:rsidRPr="000A1AA6" w:rsidRDefault="000A1AA6" w:rsidP="00A06CF8">
      <w:pPr>
        <w:spacing w:after="160"/>
        <w:ind w:firstLine="425"/>
        <w:jc w:val="both"/>
        <w:rPr>
          <w:sz w:val="28"/>
          <w:szCs w:val="28"/>
          <w:lang w:val="uk-UA"/>
        </w:rPr>
      </w:pPr>
      <w:r w:rsidRPr="000A1AA6">
        <w:rPr>
          <w:sz w:val="28"/>
          <w:szCs w:val="28"/>
          <w:lang w:val="uk-UA"/>
        </w:rPr>
        <w:t>Вплив на інтереси</w:t>
      </w:r>
      <w:r>
        <w:rPr>
          <w:sz w:val="28"/>
          <w:szCs w:val="28"/>
          <w:lang w:val="uk-UA"/>
        </w:rPr>
        <w:t xml:space="preserve"> широкого кола</w:t>
      </w:r>
      <w:r w:rsidRPr="000A1AA6">
        <w:rPr>
          <w:sz w:val="28"/>
          <w:szCs w:val="28"/>
          <w:lang w:val="uk-UA"/>
        </w:rPr>
        <w:t xml:space="preserve"> суб’єктів господарювання</w:t>
      </w:r>
      <w:r>
        <w:rPr>
          <w:sz w:val="28"/>
          <w:szCs w:val="28"/>
          <w:lang w:val="uk-UA"/>
        </w:rPr>
        <w:t xml:space="preserve">, які не є громадянами, </w:t>
      </w:r>
      <w:r w:rsidRPr="005B444D">
        <w:rPr>
          <w:b/>
          <w:sz w:val="28"/>
          <w:szCs w:val="28"/>
          <w:lang w:val="uk-UA"/>
        </w:rPr>
        <w:t>відсутній</w:t>
      </w:r>
      <w:r>
        <w:rPr>
          <w:sz w:val="28"/>
          <w:szCs w:val="28"/>
          <w:lang w:val="uk-UA"/>
        </w:rPr>
        <w:t xml:space="preserve">, адже запропоновані зміни </w:t>
      </w:r>
      <w:r w:rsidRPr="005B444D">
        <w:rPr>
          <w:b/>
          <w:sz w:val="28"/>
          <w:szCs w:val="28"/>
          <w:lang w:val="uk-UA"/>
        </w:rPr>
        <w:t>не стосуються системи оподаткування підприємств</w:t>
      </w:r>
      <w:r>
        <w:rPr>
          <w:sz w:val="28"/>
          <w:szCs w:val="28"/>
          <w:lang w:val="uk-UA"/>
        </w:rPr>
        <w:t>.</w:t>
      </w:r>
    </w:p>
    <w:p w14:paraId="480DA500" w14:textId="05A395FF" w:rsidR="000A1AA6" w:rsidRDefault="000A1AA6" w:rsidP="00A06CF8">
      <w:pPr>
        <w:spacing w:after="160"/>
        <w:ind w:firstLine="425"/>
        <w:jc w:val="both"/>
        <w:rPr>
          <w:sz w:val="28"/>
          <w:szCs w:val="28"/>
          <w:lang w:val="uk-UA"/>
        </w:rPr>
      </w:pPr>
      <w:r>
        <w:rPr>
          <w:sz w:val="28"/>
          <w:szCs w:val="28"/>
          <w:lang w:val="uk-UA"/>
        </w:rPr>
        <w:t>Варто лише зазначити, що і</w:t>
      </w:r>
      <w:r w:rsidR="00F72B3A" w:rsidRPr="000A1AA6">
        <w:rPr>
          <w:sz w:val="28"/>
          <w:szCs w:val="28"/>
          <w:lang w:val="uk-UA"/>
        </w:rPr>
        <w:t>стотним недоліком альтернативи № 2 є високий рівень правової невизначеності</w:t>
      </w:r>
      <w:r w:rsidR="00F72B3A" w:rsidRPr="00A06CF8">
        <w:rPr>
          <w:sz w:val="28"/>
          <w:szCs w:val="28"/>
          <w:lang w:val="uk-UA"/>
        </w:rPr>
        <w:t xml:space="preserve"> </w:t>
      </w:r>
      <w:r w:rsidR="007F3F3B" w:rsidRPr="00A06CF8">
        <w:rPr>
          <w:sz w:val="28"/>
          <w:szCs w:val="28"/>
          <w:lang w:val="uk-UA"/>
        </w:rPr>
        <w:t>щодо режиму оподаткування Накопичувального фонду як інституції, яка акумулюватиме внески учасників системи,</w:t>
      </w:r>
      <w:r>
        <w:rPr>
          <w:sz w:val="28"/>
          <w:szCs w:val="28"/>
          <w:lang w:val="uk-UA"/>
        </w:rPr>
        <w:t xml:space="preserve"> та </w:t>
      </w:r>
      <w:r w:rsidR="007F3F3B" w:rsidRPr="00A06CF8">
        <w:rPr>
          <w:sz w:val="28"/>
          <w:szCs w:val="28"/>
          <w:lang w:val="uk-UA"/>
        </w:rPr>
        <w:t>доходу від управління пенсійними активами. Натомість альтернативою № 1 передбачається звільнення від оподаткування пенсійних внесків та прибутку від управління пенсійними активами на рівні Накопичувального фонду</w:t>
      </w:r>
      <w:r w:rsidR="00A06CF8" w:rsidRPr="00A06CF8">
        <w:rPr>
          <w:sz w:val="28"/>
          <w:szCs w:val="28"/>
          <w:lang w:val="uk-UA"/>
        </w:rPr>
        <w:t>, що сприятиме швидшому накопиченню пенсійних активів, які будуть інвестовані у фінансові інструменти.</w:t>
      </w:r>
      <w:r w:rsidR="007F3F3B" w:rsidRPr="00A06CF8">
        <w:rPr>
          <w:sz w:val="28"/>
          <w:szCs w:val="28"/>
          <w:lang w:val="uk-UA"/>
        </w:rPr>
        <w:t xml:space="preserve"> </w:t>
      </w:r>
    </w:p>
    <w:p w14:paraId="5D49B182" w14:textId="138EE6F0" w:rsidR="000A1AA6" w:rsidRPr="00615C1E" w:rsidRDefault="000A1AA6" w:rsidP="000A1AA6">
      <w:pPr>
        <w:spacing w:after="160"/>
        <w:ind w:firstLine="425"/>
        <w:jc w:val="both"/>
        <w:rPr>
          <w:b/>
          <w:sz w:val="28"/>
          <w:szCs w:val="28"/>
          <w:u w:val="single"/>
          <w:lang w:val="uk-UA"/>
        </w:rPr>
      </w:pPr>
      <w:r w:rsidRPr="00615C1E">
        <w:rPr>
          <w:b/>
          <w:sz w:val="28"/>
          <w:szCs w:val="28"/>
          <w:u w:val="single"/>
          <w:lang w:val="uk-UA"/>
        </w:rPr>
        <w:t>2.3. Оцінка впливу на сферу інтересів суб’єктів учасників системи – громадян України</w:t>
      </w:r>
    </w:p>
    <w:p w14:paraId="6C3E45C6" w14:textId="4E3B74A5" w:rsidR="000A1AA6" w:rsidRDefault="00EF0267" w:rsidP="000A1AA6">
      <w:pPr>
        <w:spacing w:after="160"/>
        <w:ind w:firstLine="425"/>
        <w:jc w:val="both"/>
        <w:rPr>
          <w:sz w:val="28"/>
          <w:szCs w:val="28"/>
          <w:lang w:val="uk-UA"/>
        </w:rPr>
      </w:pPr>
      <w:r w:rsidRPr="00A06CF8">
        <w:rPr>
          <w:sz w:val="28"/>
          <w:szCs w:val="28"/>
          <w:lang w:val="uk-UA"/>
        </w:rPr>
        <w:t xml:space="preserve">Обидва підходи концептуально передбачають звільнення від оподаткування пенсійних внесків до системи загальнообов’язкового накопичувального пенсійного забезпечення. Водночас, термінологія, що використовується в чинній редакції Податкового кодексу України (альтернатива № 2), не відповідатиме термінології, </w:t>
      </w:r>
      <w:r w:rsidRPr="00A06CF8">
        <w:rPr>
          <w:sz w:val="28"/>
          <w:szCs w:val="28"/>
          <w:lang w:val="uk-UA"/>
        </w:rPr>
        <w:lastRenderedPageBreak/>
        <w:t xml:space="preserve">яка встановлюється Законом «Про загальнообов’язкове накопичувальне пенсійне забезпечення». Це створює високі ризики не застосування або неправильного застосування податкового законодавства до відносин, які пов’язані з функціонуванням системи загальнообов’язкового накопичувального пенсійного забезпечення, що порушуватиме </w:t>
      </w:r>
      <w:r w:rsidRPr="00A06CF8">
        <w:rPr>
          <w:b/>
          <w:sz w:val="28"/>
          <w:szCs w:val="28"/>
          <w:u w:val="single"/>
          <w:lang w:val="uk-UA"/>
        </w:rPr>
        <w:t>права громадян</w:t>
      </w:r>
      <w:r w:rsidRPr="00A06CF8">
        <w:rPr>
          <w:sz w:val="28"/>
          <w:szCs w:val="28"/>
          <w:lang w:val="uk-UA"/>
        </w:rPr>
        <w:t xml:space="preserve"> – учасників системи.</w:t>
      </w:r>
    </w:p>
    <w:p w14:paraId="59F6C531" w14:textId="68046271" w:rsidR="006B4A22" w:rsidRPr="006B4A22" w:rsidRDefault="006B4A22" w:rsidP="000A1AA6">
      <w:pPr>
        <w:spacing w:after="160"/>
        <w:ind w:firstLine="425"/>
        <w:jc w:val="both"/>
        <w:rPr>
          <w:b/>
          <w:sz w:val="28"/>
          <w:szCs w:val="28"/>
          <w:lang w:val="uk-UA"/>
        </w:rPr>
      </w:pPr>
      <w:r w:rsidRPr="006B4A22">
        <w:rPr>
          <w:b/>
          <w:sz w:val="28"/>
          <w:szCs w:val="28"/>
          <w:lang w:val="uk-UA"/>
        </w:rPr>
        <w:t>Таблиця 5</w:t>
      </w:r>
    </w:p>
    <w:tbl>
      <w:tblPr>
        <w:tblW w:w="96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3849"/>
      </w:tblGrid>
      <w:tr w:rsidR="00EF0267" w:rsidRPr="00EF0267" w14:paraId="470CDBC2" w14:textId="77777777" w:rsidTr="005818D6">
        <w:tc>
          <w:tcPr>
            <w:tcW w:w="1985" w:type="dxa"/>
            <w:shd w:val="clear" w:color="auto" w:fill="auto"/>
          </w:tcPr>
          <w:p w14:paraId="0463787A" w14:textId="36AAC6B7" w:rsidR="00EF0267" w:rsidRPr="007C29AB" w:rsidRDefault="00EF0267" w:rsidP="00951CAE">
            <w:pPr>
              <w:widowControl w:val="0"/>
              <w:jc w:val="center"/>
              <w:rPr>
                <w:b/>
                <w:sz w:val="24"/>
                <w:szCs w:val="24"/>
                <w:lang w:val="uk-UA"/>
              </w:rPr>
            </w:pPr>
            <w:r w:rsidRPr="007C29AB">
              <w:rPr>
                <w:b/>
                <w:sz w:val="24"/>
                <w:szCs w:val="24"/>
                <w:lang w:val="uk-UA"/>
              </w:rPr>
              <w:t>Вид альтернативи</w:t>
            </w:r>
          </w:p>
        </w:tc>
        <w:tc>
          <w:tcPr>
            <w:tcW w:w="3827" w:type="dxa"/>
            <w:shd w:val="clear" w:color="auto" w:fill="auto"/>
          </w:tcPr>
          <w:p w14:paraId="77119418" w14:textId="77777777" w:rsidR="00EF0267" w:rsidRPr="007C29AB" w:rsidRDefault="00EF0267" w:rsidP="008A41D9">
            <w:pPr>
              <w:widowControl w:val="0"/>
              <w:jc w:val="center"/>
              <w:rPr>
                <w:b/>
                <w:sz w:val="24"/>
                <w:szCs w:val="24"/>
                <w:lang w:val="uk-UA"/>
              </w:rPr>
            </w:pPr>
            <w:r w:rsidRPr="007C29AB">
              <w:rPr>
                <w:b/>
                <w:sz w:val="24"/>
                <w:szCs w:val="24"/>
                <w:lang w:val="uk-UA"/>
              </w:rPr>
              <w:t>Вигоди</w:t>
            </w:r>
          </w:p>
        </w:tc>
        <w:tc>
          <w:tcPr>
            <w:tcW w:w="3849" w:type="dxa"/>
            <w:shd w:val="clear" w:color="auto" w:fill="auto"/>
          </w:tcPr>
          <w:p w14:paraId="786B4A43" w14:textId="77777777" w:rsidR="00EF0267" w:rsidRPr="007C29AB" w:rsidRDefault="00EF0267" w:rsidP="008A41D9">
            <w:pPr>
              <w:widowControl w:val="0"/>
              <w:jc w:val="center"/>
              <w:rPr>
                <w:b/>
                <w:sz w:val="24"/>
                <w:szCs w:val="24"/>
                <w:lang w:val="uk-UA"/>
              </w:rPr>
            </w:pPr>
            <w:r w:rsidRPr="007C29AB">
              <w:rPr>
                <w:b/>
                <w:sz w:val="24"/>
                <w:szCs w:val="24"/>
                <w:lang w:val="uk-UA"/>
              </w:rPr>
              <w:t>Витрати</w:t>
            </w:r>
          </w:p>
        </w:tc>
      </w:tr>
      <w:tr w:rsidR="005818D6" w:rsidRPr="00EF0267" w14:paraId="60A95203" w14:textId="77777777" w:rsidTr="005818D6">
        <w:tc>
          <w:tcPr>
            <w:tcW w:w="1985" w:type="dxa"/>
            <w:shd w:val="clear" w:color="auto" w:fill="auto"/>
          </w:tcPr>
          <w:p w14:paraId="3A97562B" w14:textId="77777777" w:rsidR="005818D6" w:rsidRDefault="005818D6" w:rsidP="005818D6">
            <w:pPr>
              <w:widowControl w:val="0"/>
              <w:rPr>
                <w:b/>
                <w:sz w:val="24"/>
                <w:szCs w:val="24"/>
                <w:lang w:val="uk-UA"/>
              </w:rPr>
            </w:pPr>
            <w:r w:rsidRPr="00E05CDE">
              <w:rPr>
                <w:b/>
                <w:sz w:val="24"/>
                <w:szCs w:val="24"/>
                <w:lang w:val="uk-UA"/>
              </w:rPr>
              <w:t xml:space="preserve">Альтернатива 1 </w:t>
            </w:r>
          </w:p>
          <w:p w14:paraId="5EB81D5F" w14:textId="5AD1747B" w:rsidR="005818D6" w:rsidRPr="007C29AB" w:rsidRDefault="005818D6" w:rsidP="005818D6">
            <w:pPr>
              <w:widowControl w:val="0"/>
              <w:rPr>
                <w:sz w:val="24"/>
                <w:szCs w:val="24"/>
                <w:lang w:val="uk-UA"/>
              </w:rPr>
            </w:pPr>
            <w:r w:rsidRPr="005818D6">
              <w:rPr>
                <w:i/>
                <w:sz w:val="24"/>
                <w:szCs w:val="24"/>
                <w:lang w:val="uk-UA"/>
              </w:rPr>
              <w:t>(внесення змін до ПКУ)</w:t>
            </w:r>
          </w:p>
        </w:tc>
        <w:tc>
          <w:tcPr>
            <w:tcW w:w="3827" w:type="dxa"/>
            <w:shd w:val="clear" w:color="auto" w:fill="auto"/>
          </w:tcPr>
          <w:p w14:paraId="5619F300" w14:textId="66AAFCB1" w:rsidR="005818D6" w:rsidRPr="00CB6CF8" w:rsidRDefault="005818D6" w:rsidP="005818D6">
            <w:pPr>
              <w:widowControl w:val="0"/>
              <w:jc w:val="both"/>
              <w:rPr>
                <w:sz w:val="24"/>
                <w:szCs w:val="24"/>
                <w:lang w:val="uk-UA"/>
              </w:rPr>
            </w:pPr>
            <w:r w:rsidRPr="00CB6CF8">
              <w:rPr>
                <w:sz w:val="24"/>
                <w:szCs w:val="24"/>
                <w:lang w:val="uk-UA"/>
              </w:rPr>
              <w:t>1. Зниження навантаження на заробітну плату при відрахуванні обов’язкових внесків за рахунок податкової пільги</w:t>
            </w:r>
          </w:p>
          <w:p w14:paraId="45A503CD" w14:textId="1E2DDB67" w:rsidR="005818D6" w:rsidRPr="00CB6CF8" w:rsidRDefault="005818D6" w:rsidP="005818D6">
            <w:pPr>
              <w:widowControl w:val="0"/>
              <w:jc w:val="both"/>
              <w:rPr>
                <w:sz w:val="24"/>
                <w:szCs w:val="24"/>
                <w:lang w:val="uk-UA"/>
              </w:rPr>
            </w:pPr>
            <w:r w:rsidRPr="00CB6CF8">
              <w:rPr>
                <w:sz w:val="24"/>
                <w:szCs w:val="24"/>
                <w:lang w:val="uk-UA"/>
              </w:rPr>
              <w:t>2. Прискорення нарощення пенсійних активів та відповідно доходів від управління ними на індивідуальному пенсійному рахунку завдяки чіткому визначенню неприбуткового статусу Накопичувального фонду та звільнення діяльності з загальнообов’язкового накопичувального пенсійного забезпечення від оподаткування податком на додану вартість</w:t>
            </w:r>
          </w:p>
          <w:p w14:paraId="584BAEC9" w14:textId="4D940F88" w:rsidR="005818D6" w:rsidRPr="00CB6CF8" w:rsidRDefault="005818D6" w:rsidP="005818D6">
            <w:pPr>
              <w:widowControl w:val="0"/>
              <w:jc w:val="both"/>
              <w:rPr>
                <w:sz w:val="24"/>
                <w:szCs w:val="24"/>
                <w:lang w:val="uk-UA"/>
              </w:rPr>
            </w:pPr>
            <w:r w:rsidRPr="00CB6CF8">
              <w:rPr>
                <w:sz w:val="24"/>
                <w:szCs w:val="24"/>
                <w:lang w:val="uk-UA"/>
              </w:rPr>
              <w:t xml:space="preserve">3. Підвищення добробуту пенсіонерів – учасників системи за рахунок звільнення від оподаткування </w:t>
            </w:r>
            <w:r>
              <w:rPr>
                <w:sz w:val="24"/>
                <w:szCs w:val="24"/>
                <w:lang w:val="uk-UA"/>
              </w:rPr>
              <w:t xml:space="preserve">будь-яких </w:t>
            </w:r>
            <w:r w:rsidRPr="00CB6CF8">
              <w:rPr>
                <w:sz w:val="24"/>
                <w:szCs w:val="24"/>
                <w:lang w:val="uk-UA"/>
              </w:rPr>
              <w:t xml:space="preserve">пенсійних виплат в рамках системи загальнообов’язкового накопичувального пенсійного забезпечення </w:t>
            </w:r>
          </w:p>
        </w:tc>
        <w:tc>
          <w:tcPr>
            <w:tcW w:w="3849" w:type="dxa"/>
            <w:shd w:val="clear" w:color="auto" w:fill="auto"/>
          </w:tcPr>
          <w:p w14:paraId="6A7D36B9" w14:textId="10C3F753" w:rsidR="005818D6" w:rsidRPr="00CB6CF8" w:rsidRDefault="005818D6" w:rsidP="005818D6">
            <w:pPr>
              <w:widowControl w:val="0"/>
              <w:jc w:val="both"/>
              <w:rPr>
                <w:sz w:val="24"/>
                <w:szCs w:val="24"/>
                <w:lang w:val="uk-UA"/>
              </w:rPr>
            </w:pPr>
            <w:r w:rsidRPr="00CB6CF8">
              <w:rPr>
                <w:sz w:val="24"/>
                <w:szCs w:val="24"/>
                <w:lang w:val="uk-UA"/>
              </w:rPr>
              <w:t xml:space="preserve">Додаткових витрат, спричинених збільшенням податкового навантаження, не передбачається </w:t>
            </w:r>
          </w:p>
        </w:tc>
      </w:tr>
      <w:tr w:rsidR="005818D6" w:rsidRPr="007C29AB" w14:paraId="14F879EB" w14:textId="77777777" w:rsidTr="005818D6">
        <w:tc>
          <w:tcPr>
            <w:tcW w:w="1985" w:type="dxa"/>
            <w:shd w:val="clear" w:color="auto" w:fill="auto"/>
          </w:tcPr>
          <w:p w14:paraId="16DBC724" w14:textId="77777777" w:rsidR="005818D6" w:rsidRDefault="005818D6" w:rsidP="005818D6">
            <w:pPr>
              <w:widowControl w:val="0"/>
              <w:rPr>
                <w:b/>
                <w:sz w:val="24"/>
                <w:szCs w:val="24"/>
                <w:lang w:val="uk-UA"/>
              </w:rPr>
            </w:pPr>
            <w:r w:rsidRPr="00E05CDE">
              <w:rPr>
                <w:b/>
                <w:sz w:val="24"/>
                <w:szCs w:val="24"/>
                <w:lang w:val="uk-UA"/>
              </w:rPr>
              <w:t xml:space="preserve">Альтернатива 2 </w:t>
            </w:r>
          </w:p>
          <w:p w14:paraId="5ABC3220" w14:textId="08736222" w:rsidR="005818D6" w:rsidRPr="007C29AB" w:rsidRDefault="005818D6" w:rsidP="005818D6">
            <w:pPr>
              <w:widowControl w:val="0"/>
              <w:rPr>
                <w:sz w:val="24"/>
                <w:szCs w:val="24"/>
                <w:lang w:val="uk-UA"/>
              </w:rPr>
            </w:pPr>
            <w:r w:rsidRPr="005818D6">
              <w:rPr>
                <w:i/>
                <w:sz w:val="24"/>
                <w:szCs w:val="24"/>
                <w:lang w:val="uk-UA"/>
              </w:rPr>
              <w:t xml:space="preserve">(збереження </w:t>
            </w:r>
            <w:r w:rsidRPr="005818D6">
              <w:rPr>
                <w:i/>
                <w:sz w:val="24"/>
                <w:szCs w:val="24"/>
                <w:lang w:val="en-US"/>
              </w:rPr>
              <w:t>s</w:t>
            </w:r>
            <w:proofErr w:type="spellStart"/>
            <w:r w:rsidRPr="005818D6">
              <w:rPr>
                <w:i/>
                <w:sz w:val="24"/>
                <w:szCs w:val="24"/>
                <w:lang w:val="uk-UA"/>
              </w:rPr>
              <w:t>tatus</w:t>
            </w:r>
            <w:proofErr w:type="spellEnd"/>
            <w:r w:rsidRPr="005818D6">
              <w:rPr>
                <w:i/>
                <w:sz w:val="24"/>
                <w:szCs w:val="24"/>
                <w:lang w:val="uk-UA"/>
              </w:rPr>
              <w:t xml:space="preserve"> </w:t>
            </w:r>
            <w:proofErr w:type="spellStart"/>
            <w:r w:rsidRPr="005818D6">
              <w:rPr>
                <w:i/>
                <w:sz w:val="24"/>
                <w:szCs w:val="24"/>
                <w:lang w:val="uk-UA"/>
              </w:rPr>
              <w:t>quo</w:t>
            </w:r>
            <w:proofErr w:type="spellEnd"/>
            <w:r w:rsidRPr="005818D6">
              <w:rPr>
                <w:i/>
                <w:sz w:val="24"/>
                <w:szCs w:val="24"/>
                <w:lang w:val="en-US"/>
              </w:rPr>
              <w:t>)</w:t>
            </w:r>
          </w:p>
        </w:tc>
        <w:tc>
          <w:tcPr>
            <w:tcW w:w="3827" w:type="dxa"/>
            <w:shd w:val="clear" w:color="auto" w:fill="auto"/>
          </w:tcPr>
          <w:p w14:paraId="135E55AF" w14:textId="77777777" w:rsidR="005818D6" w:rsidRPr="00CB6CF8" w:rsidRDefault="005818D6" w:rsidP="005818D6">
            <w:pPr>
              <w:pStyle w:val="ac"/>
              <w:widowControl w:val="0"/>
              <w:ind w:left="-40"/>
              <w:rPr>
                <w:b w:val="0"/>
                <w:sz w:val="24"/>
              </w:rPr>
            </w:pPr>
            <w:r w:rsidRPr="00CB6CF8">
              <w:rPr>
                <w:b w:val="0"/>
                <w:sz w:val="24"/>
              </w:rPr>
              <w:t>1. Можливе зниження навантаження на заробітну плату при відрахуванні обов’язкових внесків за рахунок податкової пільги (при збереженні ризику незастосування пільги через конфлікт термінології)</w:t>
            </w:r>
          </w:p>
          <w:p w14:paraId="09BB5599" w14:textId="77777777" w:rsidR="005818D6" w:rsidRDefault="005818D6" w:rsidP="005818D6">
            <w:pPr>
              <w:pStyle w:val="ac"/>
              <w:widowControl w:val="0"/>
              <w:ind w:left="-40"/>
              <w:rPr>
                <w:b w:val="0"/>
                <w:sz w:val="24"/>
              </w:rPr>
            </w:pPr>
            <w:r w:rsidRPr="00CB6CF8">
              <w:rPr>
                <w:b w:val="0"/>
                <w:sz w:val="24"/>
              </w:rPr>
              <w:t xml:space="preserve">2. Можливе прискорення нарощення пенсійних активів та відповідно доходів від управління ними на індивідуальному пенсійному рахунку завдяки визначенню неприбуткового статусу Накопичувального фонду (при збереженні ризику </w:t>
            </w:r>
            <w:r w:rsidRPr="00CB6CF8">
              <w:rPr>
                <w:b w:val="0"/>
                <w:sz w:val="24"/>
              </w:rPr>
              <w:lastRenderedPageBreak/>
              <w:t>незастосування пільги через конфлікт термінології)</w:t>
            </w:r>
          </w:p>
          <w:p w14:paraId="5DCA9632" w14:textId="78757544" w:rsidR="005818D6" w:rsidRPr="00CB6CF8" w:rsidRDefault="005818D6" w:rsidP="005818D6">
            <w:pPr>
              <w:pStyle w:val="ac"/>
              <w:widowControl w:val="0"/>
              <w:ind w:left="-40"/>
              <w:rPr>
                <w:b w:val="0"/>
                <w:sz w:val="24"/>
              </w:rPr>
            </w:pPr>
            <w:r>
              <w:rPr>
                <w:b w:val="0"/>
                <w:sz w:val="24"/>
              </w:rPr>
              <w:t xml:space="preserve">3. Звільнення від оподаткування </w:t>
            </w:r>
            <w:r w:rsidRPr="00CB6CF8">
              <w:rPr>
                <w:sz w:val="24"/>
              </w:rPr>
              <w:t>одноразов</w:t>
            </w:r>
            <w:r>
              <w:rPr>
                <w:sz w:val="24"/>
              </w:rPr>
              <w:t>их</w:t>
            </w:r>
            <w:r>
              <w:rPr>
                <w:b w:val="0"/>
                <w:sz w:val="24"/>
              </w:rPr>
              <w:t xml:space="preserve"> виплат </w:t>
            </w:r>
            <w:r w:rsidRPr="00CB6CF8">
              <w:rPr>
                <w:b w:val="0"/>
                <w:sz w:val="24"/>
              </w:rPr>
              <w:t>з системи загальнообов’язкового накопичувального пенсійного забезпечення</w:t>
            </w:r>
          </w:p>
        </w:tc>
        <w:tc>
          <w:tcPr>
            <w:tcW w:w="3849" w:type="dxa"/>
            <w:shd w:val="clear" w:color="auto" w:fill="auto"/>
          </w:tcPr>
          <w:p w14:paraId="7E62E835" w14:textId="77777777" w:rsidR="005818D6" w:rsidRPr="00CB6CF8" w:rsidRDefault="005818D6" w:rsidP="005818D6">
            <w:pPr>
              <w:pStyle w:val="20"/>
              <w:spacing w:after="160" w:line="259" w:lineRule="auto"/>
              <w:ind w:left="0"/>
              <w:jc w:val="both"/>
              <w:rPr>
                <w:rFonts w:ascii="Times New Roman" w:hAnsi="Times New Roman" w:cs="Times New Roman"/>
                <w:bCs/>
                <w:sz w:val="24"/>
                <w:szCs w:val="24"/>
                <w:lang w:val="uk-UA"/>
              </w:rPr>
            </w:pPr>
            <w:r w:rsidRPr="00CB6CF8">
              <w:rPr>
                <w:rFonts w:ascii="Times New Roman" w:hAnsi="Times New Roman" w:cs="Times New Roman"/>
                <w:bCs/>
                <w:sz w:val="24"/>
                <w:szCs w:val="24"/>
                <w:lang w:val="uk-UA"/>
              </w:rPr>
              <w:lastRenderedPageBreak/>
              <w:t>1. Витрати на сплату податку на доходи фізичних осіб з пенсійних виплат в рамках системи загальнообов’язкового накопичувального пенсійного забезпечення (крім одноразових виплат)</w:t>
            </w:r>
          </w:p>
          <w:p w14:paraId="3FF0D3C1" w14:textId="1A339859" w:rsidR="005818D6" w:rsidRPr="00CB6CF8" w:rsidRDefault="005818D6" w:rsidP="005818D6">
            <w:pPr>
              <w:pStyle w:val="20"/>
              <w:spacing w:after="160" w:line="259" w:lineRule="auto"/>
              <w:ind w:left="0"/>
              <w:jc w:val="both"/>
              <w:rPr>
                <w:rFonts w:ascii="Times New Roman" w:hAnsi="Times New Roman" w:cs="Times New Roman"/>
                <w:bCs/>
                <w:sz w:val="24"/>
                <w:szCs w:val="24"/>
                <w:lang w:val="uk-UA"/>
              </w:rPr>
            </w:pPr>
            <w:r w:rsidRPr="00CB6CF8">
              <w:rPr>
                <w:rFonts w:ascii="Times New Roman" w:hAnsi="Times New Roman" w:cs="Times New Roman"/>
                <w:bCs/>
                <w:sz w:val="24"/>
                <w:szCs w:val="24"/>
                <w:lang w:val="uk-UA"/>
              </w:rPr>
              <w:t xml:space="preserve">2. За умови реалізації ризику некоректного застосування законодавства через конфлікт термінології виникне потрійне оподаткування доходів громадян (перший раз через незастосування податкової пільги на внески, </w:t>
            </w:r>
            <w:r w:rsidRPr="00CB6CF8">
              <w:rPr>
                <w:rFonts w:ascii="Times New Roman" w:hAnsi="Times New Roman" w:cs="Times New Roman"/>
                <w:bCs/>
                <w:sz w:val="24"/>
                <w:szCs w:val="24"/>
                <w:lang w:val="uk-UA"/>
              </w:rPr>
              <w:lastRenderedPageBreak/>
              <w:t>другий раз через оподаткування внесків та доходів від управління пенсійними активами на рівні фонду, третій раз при оподаткуванні виплат)</w:t>
            </w:r>
          </w:p>
        </w:tc>
      </w:tr>
    </w:tbl>
    <w:p w14:paraId="7E334B6A" w14:textId="27A80D4E" w:rsidR="00EA165C" w:rsidRDefault="00EA165C" w:rsidP="00265098">
      <w:pPr>
        <w:widowControl w:val="0"/>
        <w:jc w:val="both"/>
        <w:rPr>
          <w:b/>
          <w:sz w:val="28"/>
          <w:szCs w:val="28"/>
          <w:lang w:val="uk-UA"/>
        </w:rPr>
      </w:pPr>
    </w:p>
    <w:p w14:paraId="5C855B56" w14:textId="77777777" w:rsidR="00EA165C" w:rsidRPr="00050A8B" w:rsidRDefault="00EA165C" w:rsidP="00EA165C">
      <w:pPr>
        <w:widowControl w:val="0"/>
        <w:ind w:right="382"/>
        <w:jc w:val="both"/>
        <w:rPr>
          <w:b/>
          <w:sz w:val="28"/>
          <w:szCs w:val="28"/>
          <w:lang w:val="uk-UA"/>
        </w:rPr>
      </w:pPr>
      <w:r w:rsidRPr="00050A8B">
        <w:rPr>
          <w:b/>
          <w:sz w:val="28"/>
          <w:szCs w:val="28"/>
          <w:lang w:val="uk-UA"/>
        </w:rPr>
        <w:t>ІV. Вибір найбільш оптимального альтернативного способу досягнення цілей</w:t>
      </w:r>
    </w:p>
    <w:p w14:paraId="030DD78D" w14:textId="546C6DB5" w:rsidR="00EA165C" w:rsidRDefault="00EA165C" w:rsidP="00EA165C">
      <w:pPr>
        <w:widowControl w:val="0"/>
        <w:jc w:val="both"/>
        <w:rPr>
          <w:b/>
          <w:sz w:val="28"/>
          <w:szCs w:val="28"/>
          <w:lang w:val="uk-UA"/>
        </w:rPr>
      </w:pPr>
    </w:p>
    <w:p w14:paraId="5EB99058" w14:textId="3542657F" w:rsidR="006B4A22" w:rsidRPr="00C42F6F" w:rsidRDefault="006B4A22" w:rsidP="00EA165C">
      <w:pPr>
        <w:widowControl w:val="0"/>
        <w:jc w:val="both"/>
        <w:rPr>
          <w:sz w:val="28"/>
          <w:szCs w:val="28"/>
          <w:lang w:val="uk-UA"/>
        </w:rPr>
      </w:pPr>
      <w:r w:rsidRPr="00C42F6F">
        <w:rPr>
          <w:i/>
          <w:sz w:val="28"/>
          <w:szCs w:val="28"/>
          <w:lang w:val="uk-UA"/>
        </w:rPr>
        <w:t>Таблиця 6</w:t>
      </w:r>
      <w:r w:rsidR="00C42F6F" w:rsidRPr="00C42F6F">
        <w:rPr>
          <w:sz w:val="28"/>
          <w:szCs w:val="28"/>
          <w:lang w:val="uk-UA"/>
        </w:rPr>
        <w:t>. Оцінка рейтингу результативності альтернатив</w:t>
      </w:r>
    </w:p>
    <w:p w14:paraId="3D39321D" w14:textId="77777777" w:rsidR="006B4A22" w:rsidRPr="00050A8B" w:rsidRDefault="006B4A22" w:rsidP="00EA165C">
      <w:pPr>
        <w:widowControl w:val="0"/>
        <w:jc w:val="both"/>
        <w:rPr>
          <w:b/>
          <w:sz w:val="28"/>
          <w:szCs w:val="28"/>
          <w:lang w:val="uk-UA"/>
        </w:rPr>
      </w:pPr>
    </w:p>
    <w:tbl>
      <w:tblPr>
        <w:tblW w:w="105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8"/>
        <w:gridCol w:w="1560"/>
        <w:gridCol w:w="7004"/>
      </w:tblGrid>
      <w:tr w:rsidR="00EA165C" w:rsidRPr="00050A8B" w14:paraId="7AA894AD" w14:textId="77777777" w:rsidTr="008A41D9">
        <w:tc>
          <w:tcPr>
            <w:tcW w:w="1948" w:type="dxa"/>
            <w:shd w:val="clear" w:color="auto" w:fill="auto"/>
          </w:tcPr>
          <w:p w14:paraId="4E8CEA00" w14:textId="77777777" w:rsidR="00EA165C" w:rsidRPr="00050A8B" w:rsidRDefault="00EA165C" w:rsidP="008A41D9">
            <w:pPr>
              <w:widowControl w:val="0"/>
              <w:jc w:val="both"/>
              <w:rPr>
                <w:b/>
                <w:sz w:val="24"/>
                <w:szCs w:val="24"/>
                <w:lang w:val="uk-UA"/>
              </w:rPr>
            </w:pPr>
            <w:r w:rsidRPr="00050A8B">
              <w:rPr>
                <w:b/>
                <w:sz w:val="24"/>
                <w:szCs w:val="24"/>
                <w:lang w:val="uk-UA"/>
              </w:rPr>
              <w:t>Рейтинг результативності (досягнення цілей під час вирішення проблеми)</w:t>
            </w:r>
          </w:p>
        </w:tc>
        <w:tc>
          <w:tcPr>
            <w:tcW w:w="1560" w:type="dxa"/>
            <w:shd w:val="clear" w:color="auto" w:fill="auto"/>
          </w:tcPr>
          <w:p w14:paraId="0EF9DE04" w14:textId="77777777" w:rsidR="00EA165C" w:rsidRPr="00050A8B" w:rsidRDefault="00EA165C" w:rsidP="008A41D9">
            <w:pPr>
              <w:widowControl w:val="0"/>
              <w:jc w:val="both"/>
              <w:rPr>
                <w:b/>
                <w:sz w:val="24"/>
                <w:szCs w:val="24"/>
                <w:lang w:val="uk-UA"/>
              </w:rPr>
            </w:pPr>
            <w:r w:rsidRPr="00050A8B">
              <w:rPr>
                <w:b/>
                <w:sz w:val="24"/>
                <w:szCs w:val="24"/>
                <w:lang w:val="uk-UA"/>
              </w:rPr>
              <w:t>Бал результативності (за чотирибальною системою оцінки)</w:t>
            </w:r>
          </w:p>
          <w:p w14:paraId="22C6F507" w14:textId="77777777" w:rsidR="00EA165C" w:rsidRPr="00050A8B" w:rsidRDefault="00EA165C" w:rsidP="008A41D9">
            <w:pPr>
              <w:widowControl w:val="0"/>
              <w:jc w:val="both"/>
              <w:rPr>
                <w:b/>
                <w:sz w:val="24"/>
                <w:szCs w:val="24"/>
                <w:lang w:val="uk-UA"/>
              </w:rPr>
            </w:pPr>
          </w:p>
        </w:tc>
        <w:tc>
          <w:tcPr>
            <w:tcW w:w="7004" w:type="dxa"/>
            <w:shd w:val="clear" w:color="auto" w:fill="auto"/>
          </w:tcPr>
          <w:p w14:paraId="45B2E283" w14:textId="77777777" w:rsidR="00EA165C" w:rsidRPr="00050A8B" w:rsidRDefault="00EA165C" w:rsidP="008A41D9">
            <w:pPr>
              <w:widowControl w:val="0"/>
              <w:jc w:val="both"/>
              <w:rPr>
                <w:b/>
                <w:sz w:val="24"/>
                <w:szCs w:val="24"/>
                <w:lang w:val="uk-UA"/>
              </w:rPr>
            </w:pPr>
            <w:r w:rsidRPr="00050A8B">
              <w:rPr>
                <w:b/>
                <w:sz w:val="24"/>
                <w:szCs w:val="24"/>
                <w:lang w:val="uk-UA"/>
              </w:rPr>
              <w:t xml:space="preserve">Коментарі щодо присвоєння відповідного </w:t>
            </w:r>
            <w:proofErr w:type="spellStart"/>
            <w:r w:rsidRPr="00050A8B">
              <w:rPr>
                <w:b/>
                <w:sz w:val="24"/>
                <w:szCs w:val="24"/>
                <w:lang w:val="uk-UA"/>
              </w:rPr>
              <w:t>бала</w:t>
            </w:r>
            <w:proofErr w:type="spellEnd"/>
          </w:p>
        </w:tc>
      </w:tr>
      <w:tr w:rsidR="00710AB4" w:rsidRPr="006E4B01" w14:paraId="0A8D25F7" w14:textId="77777777" w:rsidTr="008A41D9">
        <w:tc>
          <w:tcPr>
            <w:tcW w:w="1948" w:type="dxa"/>
            <w:shd w:val="clear" w:color="auto" w:fill="auto"/>
          </w:tcPr>
          <w:p w14:paraId="04CA3E0C" w14:textId="77777777" w:rsidR="00710AB4" w:rsidRDefault="00710AB4" w:rsidP="00710AB4">
            <w:pPr>
              <w:widowControl w:val="0"/>
              <w:jc w:val="both"/>
              <w:rPr>
                <w:b/>
                <w:sz w:val="24"/>
                <w:szCs w:val="24"/>
                <w:lang w:val="uk-UA"/>
              </w:rPr>
            </w:pPr>
            <w:r w:rsidRPr="00E05CDE">
              <w:rPr>
                <w:b/>
                <w:sz w:val="24"/>
                <w:szCs w:val="24"/>
                <w:lang w:val="uk-UA"/>
              </w:rPr>
              <w:t xml:space="preserve">Альтернатива 1 </w:t>
            </w:r>
          </w:p>
          <w:p w14:paraId="305CAFED" w14:textId="5DBAFFEA" w:rsidR="00710AB4" w:rsidRPr="00050A8B" w:rsidRDefault="00710AB4" w:rsidP="00710AB4">
            <w:pPr>
              <w:widowControl w:val="0"/>
              <w:jc w:val="both"/>
              <w:rPr>
                <w:b/>
                <w:sz w:val="24"/>
                <w:szCs w:val="24"/>
                <w:lang w:val="uk-UA"/>
              </w:rPr>
            </w:pPr>
            <w:r w:rsidRPr="005818D6">
              <w:rPr>
                <w:i/>
                <w:sz w:val="24"/>
                <w:szCs w:val="24"/>
                <w:lang w:val="uk-UA"/>
              </w:rPr>
              <w:t>(внесення змін до ПКУ)</w:t>
            </w:r>
          </w:p>
        </w:tc>
        <w:tc>
          <w:tcPr>
            <w:tcW w:w="1560" w:type="dxa"/>
            <w:shd w:val="clear" w:color="auto" w:fill="auto"/>
          </w:tcPr>
          <w:p w14:paraId="6ED5F355" w14:textId="3D0B54DF" w:rsidR="00710AB4" w:rsidRPr="00050A8B" w:rsidRDefault="00710AB4" w:rsidP="00710AB4">
            <w:pPr>
              <w:widowControl w:val="0"/>
              <w:jc w:val="center"/>
              <w:rPr>
                <w:sz w:val="24"/>
                <w:szCs w:val="24"/>
                <w:lang w:val="uk-UA"/>
              </w:rPr>
            </w:pPr>
            <w:r>
              <w:rPr>
                <w:sz w:val="24"/>
                <w:szCs w:val="24"/>
                <w:lang w:val="uk-UA"/>
              </w:rPr>
              <w:t>4</w:t>
            </w:r>
          </w:p>
        </w:tc>
        <w:tc>
          <w:tcPr>
            <w:tcW w:w="7004" w:type="dxa"/>
            <w:shd w:val="clear" w:color="auto" w:fill="auto"/>
          </w:tcPr>
          <w:p w14:paraId="20E4F4B9" w14:textId="47A3DBD9" w:rsidR="00710AB4" w:rsidRPr="00CB6CF8" w:rsidRDefault="00710AB4" w:rsidP="00710AB4">
            <w:pPr>
              <w:widowControl w:val="0"/>
              <w:jc w:val="both"/>
              <w:rPr>
                <w:sz w:val="24"/>
                <w:szCs w:val="24"/>
                <w:lang w:val="uk-UA"/>
              </w:rPr>
            </w:pPr>
            <w:r w:rsidRPr="00050A8B">
              <w:rPr>
                <w:sz w:val="24"/>
                <w:szCs w:val="24"/>
                <w:lang w:val="uk-UA"/>
              </w:rPr>
              <w:t xml:space="preserve">Цілі прийняття регуляторного </w:t>
            </w:r>
            <w:proofErr w:type="spellStart"/>
            <w:r w:rsidRPr="00050A8B">
              <w:rPr>
                <w:sz w:val="24"/>
                <w:szCs w:val="24"/>
                <w:lang w:val="uk-UA"/>
              </w:rPr>
              <w:t>акта</w:t>
            </w:r>
            <w:proofErr w:type="spellEnd"/>
            <w:r w:rsidRPr="00050A8B">
              <w:rPr>
                <w:sz w:val="24"/>
                <w:szCs w:val="24"/>
                <w:lang w:val="uk-UA"/>
              </w:rPr>
              <w:t xml:space="preserve"> можуть бути досягнуті повною мірою, оскільки впровадження </w:t>
            </w:r>
            <w:r>
              <w:rPr>
                <w:sz w:val="24"/>
                <w:szCs w:val="24"/>
                <w:lang w:val="uk-UA"/>
              </w:rPr>
              <w:t xml:space="preserve">найбільш сприятливого податкового режиму </w:t>
            </w:r>
            <w:r>
              <w:rPr>
                <w:sz w:val="24"/>
                <w:szCs w:val="24"/>
                <w:lang w:val="en-US"/>
              </w:rPr>
              <w:t>EEE</w:t>
            </w:r>
            <w:r w:rsidRPr="00CB6CF8">
              <w:rPr>
                <w:sz w:val="24"/>
                <w:szCs w:val="24"/>
                <w:lang w:val="uk-UA"/>
              </w:rPr>
              <w:t xml:space="preserve"> </w:t>
            </w:r>
            <w:proofErr w:type="spellStart"/>
            <w:r w:rsidRPr="00050A8B">
              <w:rPr>
                <w:sz w:val="24"/>
                <w:szCs w:val="24"/>
                <w:lang w:val="uk-UA"/>
              </w:rPr>
              <w:t>надасть</w:t>
            </w:r>
            <w:proofErr w:type="spellEnd"/>
            <w:r w:rsidRPr="00050A8B">
              <w:rPr>
                <w:sz w:val="24"/>
                <w:szCs w:val="24"/>
                <w:lang w:val="uk-UA"/>
              </w:rPr>
              <w:t xml:space="preserve"> можливість забезпечити належний рівень додаткового пенсійного забезпечення для громадян, а для держави – стабілізацію та укріплення фінансової системи через запровадження довгострокового інвестиційного ресурсу</w:t>
            </w:r>
          </w:p>
        </w:tc>
      </w:tr>
      <w:tr w:rsidR="00710AB4" w:rsidRPr="002964E1" w14:paraId="2F04435D" w14:textId="77777777" w:rsidTr="008A41D9">
        <w:trPr>
          <w:trHeight w:val="115"/>
        </w:trPr>
        <w:tc>
          <w:tcPr>
            <w:tcW w:w="1948" w:type="dxa"/>
            <w:shd w:val="clear" w:color="auto" w:fill="auto"/>
          </w:tcPr>
          <w:p w14:paraId="01EA728A" w14:textId="77777777" w:rsidR="00710AB4" w:rsidRDefault="00710AB4" w:rsidP="00710AB4">
            <w:pPr>
              <w:widowControl w:val="0"/>
              <w:jc w:val="both"/>
              <w:rPr>
                <w:b/>
                <w:sz w:val="24"/>
                <w:szCs w:val="24"/>
                <w:lang w:val="uk-UA"/>
              </w:rPr>
            </w:pPr>
            <w:r w:rsidRPr="00E05CDE">
              <w:rPr>
                <w:b/>
                <w:sz w:val="24"/>
                <w:szCs w:val="24"/>
                <w:lang w:val="uk-UA"/>
              </w:rPr>
              <w:t xml:space="preserve">Альтернатива 2 </w:t>
            </w:r>
          </w:p>
          <w:p w14:paraId="63F63684" w14:textId="1A38C8C4" w:rsidR="00710AB4" w:rsidRPr="00050A8B" w:rsidRDefault="00710AB4" w:rsidP="00710AB4">
            <w:pPr>
              <w:widowControl w:val="0"/>
              <w:jc w:val="both"/>
              <w:rPr>
                <w:b/>
                <w:sz w:val="24"/>
                <w:szCs w:val="24"/>
                <w:lang w:val="uk-UA"/>
              </w:rPr>
            </w:pPr>
            <w:r w:rsidRPr="005818D6">
              <w:rPr>
                <w:i/>
                <w:sz w:val="24"/>
                <w:szCs w:val="24"/>
                <w:lang w:val="uk-UA"/>
              </w:rPr>
              <w:t xml:space="preserve">(збереження </w:t>
            </w:r>
            <w:r w:rsidRPr="005818D6">
              <w:rPr>
                <w:i/>
                <w:sz w:val="24"/>
                <w:szCs w:val="24"/>
                <w:lang w:val="en-US"/>
              </w:rPr>
              <w:t>s</w:t>
            </w:r>
            <w:proofErr w:type="spellStart"/>
            <w:r w:rsidRPr="005818D6">
              <w:rPr>
                <w:i/>
                <w:sz w:val="24"/>
                <w:szCs w:val="24"/>
                <w:lang w:val="uk-UA"/>
              </w:rPr>
              <w:t>tatus</w:t>
            </w:r>
            <w:proofErr w:type="spellEnd"/>
            <w:r w:rsidRPr="005818D6">
              <w:rPr>
                <w:i/>
                <w:sz w:val="24"/>
                <w:szCs w:val="24"/>
                <w:lang w:val="uk-UA"/>
              </w:rPr>
              <w:t xml:space="preserve"> </w:t>
            </w:r>
            <w:proofErr w:type="spellStart"/>
            <w:r w:rsidRPr="005818D6">
              <w:rPr>
                <w:i/>
                <w:sz w:val="24"/>
                <w:szCs w:val="24"/>
                <w:lang w:val="uk-UA"/>
              </w:rPr>
              <w:t>quo</w:t>
            </w:r>
            <w:proofErr w:type="spellEnd"/>
            <w:r w:rsidRPr="005818D6">
              <w:rPr>
                <w:i/>
                <w:sz w:val="24"/>
                <w:szCs w:val="24"/>
                <w:lang w:val="en-US"/>
              </w:rPr>
              <w:t>)</w:t>
            </w:r>
          </w:p>
        </w:tc>
        <w:tc>
          <w:tcPr>
            <w:tcW w:w="1560" w:type="dxa"/>
            <w:shd w:val="clear" w:color="auto" w:fill="auto"/>
          </w:tcPr>
          <w:p w14:paraId="77965239" w14:textId="73FB82E6" w:rsidR="00710AB4" w:rsidRPr="00050A8B" w:rsidRDefault="00710AB4" w:rsidP="00710AB4">
            <w:pPr>
              <w:widowControl w:val="0"/>
              <w:jc w:val="center"/>
              <w:rPr>
                <w:sz w:val="24"/>
                <w:szCs w:val="24"/>
                <w:lang w:val="uk-UA"/>
              </w:rPr>
            </w:pPr>
            <w:r>
              <w:rPr>
                <w:sz w:val="24"/>
                <w:szCs w:val="24"/>
                <w:lang w:val="uk-UA"/>
              </w:rPr>
              <w:t>1</w:t>
            </w:r>
          </w:p>
        </w:tc>
        <w:tc>
          <w:tcPr>
            <w:tcW w:w="7004" w:type="dxa"/>
            <w:shd w:val="clear" w:color="auto" w:fill="auto"/>
          </w:tcPr>
          <w:p w14:paraId="5CDD409A" w14:textId="46119F0A" w:rsidR="00710AB4" w:rsidRPr="00050A8B" w:rsidRDefault="00710AB4" w:rsidP="00710AB4">
            <w:pPr>
              <w:widowControl w:val="0"/>
              <w:jc w:val="both"/>
              <w:rPr>
                <w:sz w:val="24"/>
                <w:szCs w:val="24"/>
                <w:lang w:val="uk-UA"/>
              </w:rPr>
            </w:pPr>
            <w:r>
              <w:rPr>
                <w:sz w:val="24"/>
                <w:szCs w:val="24"/>
                <w:lang w:val="uk-UA"/>
              </w:rPr>
              <w:t>Низька результативність, пов’язана з недопустимими правовими ризиками</w:t>
            </w:r>
          </w:p>
        </w:tc>
      </w:tr>
    </w:tbl>
    <w:p w14:paraId="75131FBB" w14:textId="17222E17" w:rsidR="00EA165C" w:rsidRPr="00992044" w:rsidRDefault="00EA165C" w:rsidP="00265098">
      <w:pPr>
        <w:widowControl w:val="0"/>
        <w:jc w:val="both"/>
        <w:rPr>
          <w:sz w:val="28"/>
          <w:szCs w:val="28"/>
          <w:lang w:val="uk-UA"/>
        </w:rPr>
      </w:pPr>
    </w:p>
    <w:p w14:paraId="154ED611" w14:textId="5152B27C" w:rsidR="006B4A22" w:rsidRPr="00992044" w:rsidRDefault="006B4A22" w:rsidP="00265098">
      <w:pPr>
        <w:widowControl w:val="0"/>
        <w:jc w:val="both"/>
        <w:rPr>
          <w:sz w:val="28"/>
          <w:szCs w:val="28"/>
          <w:lang w:val="uk-UA"/>
        </w:rPr>
      </w:pPr>
      <w:r w:rsidRPr="00992044">
        <w:rPr>
          <w:i/>
          <w:sz w:val="28"/>
          <w:szCs w:val="28"/>
          <w:lang w:val="uk-UA"/>
        </w:rPr>
        <w:t>Таблиця 7</w:t>
      </w:r>
      <w:r w:rsidR="00992044" w:rsidRPr="00992044">
        <w:rPr>
          <w:i/>
          <w:sz w:val="28"/>
          <w:szCs w:val="28"/>
          <w:lang w:val="uk-UA"/>
        </w:rPr>
        <w:t>.</w:t>
      </w:r>
      <w:r w:rsidR="00992044" w:rsidRPr="00992044">
        <w:rPr>
          <w:sz w:val="28"/>
          <w:szCs w:val="28"/>
          <w:lang w:val="uk-UA"/>
        </w:rPr>
        <w:t xml:space="preserve"> Обґрунтування </w:t>
      </w:r>
      <w:r w:rsidR="00992044">
        <w:rPr>
          <w:sz w:val="28"/>
          <w:szCs w:val="28"/>
          <w:lang w:val="uk-UA"/>
        </w:rPr>
        <w:t>вибору найбільш оптимальної</w:t>
      </w:r>
      <w:r w:rsidR="00992044" w:rsidRPr="00992044">
        <w:rPr>
          <w:sz w:val="28"/>
          <w:szCs w:val="28"/>
          <w:lang w:val="uk-UA"/>
        </w:rPr>
        <w:t xml:space="preserve"> альтернативи</w:t>
      </w:r>
    </w:p>
    <w:p w14:paraId="2E45728E" w14:textId="77777777" w:rsidR="006B4A22" w:rsidRDefault="006B4A22" w:rsidP="00265098">
      <w:pPr>
        <w:widowControl w:val="0"/>
        <w:jc w:val="both"/>
        <w:rPr>
          <w:b/>
          <w:sz w:val="28"/>
          <w:szCs w:val="28"/>
          <w:lang w:val="uk-UA"/>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76"/>
        <w:gridCol w:w="3004"/>
      </w:tblGrid>
      <w:tr w:rsidR="006E72B0" w:rsidRPr="006E72B0" w14:paraId="44B16C7D" w14:textId="77777777" w:rsidTr="008A41D9">
        <w:trPr>
          <w:trHeight w:val="1288"/>
        </w:trPr>
        <w:tc>
          <w:tcPr>
            <w:tcW w:w="2520" w:type="dxa"/>
            <w:shd w:val="clear" w:color="auto" w:fill="auto"/>
          </w:tcPr>
          <w:p w14:paraId="2EE1DBA6" w14:textId="77777777" w:rsidR="00DA3728" w:rsidRPr="006E72B0" w:rsidRDefault="00DA3728" w:rsidP="008A41D9">
            <w:pPr>
              <w:widowControl w:val="0"/>
              <w:jc w:val="both"/>
              <w:rPr>
                <w:b/>
                <w:sz w:val="24"/>
                <w:szCs w:val="24"/>
                <w:lang w:val="uk-UA"/>
              </w:rPr>
            </w:pPr>
            <w:r w:rsidRPr="006E72B0">
              <w:rPr>
                <w:b/>
                <w:sz w:val="24"/>
                <w:szCs w:val="24"/>
                <w:lang w:val="uk-UA"/>
              </w:rPr>
              <w:t xml:space="preserve">Рейтинг </w:t>
            </w:r>
          </w:p>
        </w:tc>
        <w:tc>
          <w:tcPr>
            <w:tcW w:w="4376" w:type="dxa"/>
            <w:tcBorders>
              <w:bottom w:val="single" w:sz="4" w:space="0" w:color="auto"/>
            </w:tcBorders>
            <w:shd w:val="clear" w:color="auto" w:fill="auto"/>
          </w:tcPr>
          <w:p w14:paraId="29B44E3E" w14:textId="77777777" w:rsidR="00DA3728" w:rsidRPr="006E72B0" w:rsidRDefault="00DA3728" w:rsidP="008A41D9">
            <w:pPr>
              <w:widowControl w:val="0"/>
              <w:jc w:val="both"/>
              <w:rPr>
                <w:b/>
                <w:sz w:val="24"/>
                <w:szCs w:val="24"/>
                <w:lang w:val="uk-UA"/>
              </w:rPr>
            </w:pPr>
            <w:r w:rsidRPr="006E72B0">
              <w:rPr>
                <w:b/>
                <w:sz w:val="24"/>
                <w:szCs w:val="24"/>
                <w:lang w:val="uk-UA"/>
              </w:rPr>
              <w:t>Аргументи щодо переваги обраної альтернативи/причини відмови від альтернативи</w:t>
            </w:r>
          </w:p>
        </w:tc>
        <w:tc>
          <w:tcPr>
            <w:tcW w:w="3004" w:type="dxa"/>
            <w:shd w:val="clear" w:color="auto" w:fill="auto"/>
          </w:tcPr>
          <w:p w14:paraId="052A5953" w14:textId="77777777" w:rsidR="00DA3728" w:rsidRPr="006E72B0" w:rsidRDefault="00DA3728" w:rsidP="008A41D9">
            <w:pPr>
              <w:widowControl w:val="0"/>
              <w:jc w:val="both"/>
              <w:rPr>
                <w:b/>
                <w:sz w:val="24"/>
                <w:szCs w:val="24"/>
                <w:lang w:val="uk-UA"/>
              </w:rPr>
            </w:pPr>
            <w:r w:rsidRPr="006E72B0">
              <w:rPr>
                <w:b/>
                <w:sz w:val="24"/>
                <w:szCs w:val="24"/>
                <w:lang w:val="uk-UA"/>
              </w:rPr>
              <w:t xml:space="preserve">Оцінка ризику впливу зовнішніх чинників на дію запропонованого регуляторного </w:t>
            </w:r>
            <w:proofErr w:type="spellStart"/>
            <w:r w:rsidRPr="006E72B0">
              <w:rPr>
                <w:b/>
                <w:sz w:val="24"/>
                <w:szCs w:val="24"/>
                <w:lang w:val="uk-UA"/>
              </w:rPr>
              <w:t>акта</w:t>
            </w:r>
            <w:proofErr w:type="spellEnd"/>
          </w:p>
        </w:tc>
      </w:tr>
      <w:tr w:rsidR="006E72B0" w:rsidRPr="006E72B0" w14:paraId="27AE06F3" w14:textId="77777777" w:rsidTr="00F7691C">
        <w:trPr>
          <w:trHeight w:val="115"/>
        </w:trPr>
        <w:tc>
          <w:tcPr>
            <w:tcW w:w="2520" w:type="dxa"/>
            <w:shd w:val="clear" w:color="auto" w:fill="auto"/>
          </w:tcPr>
          <w:p w14:paraId="3F67DBEA" w14:textId="77777777" w:rsidR="00710AB4" w:rsidRPr="006E72B0" w:rsidRDefault="00710AB4" w:rsidP="00710AB4">
            <w:pPr>
              <w:widowControl w:val="0"/>
              <w:jc w:val="both"/>
              <w:rPr>
                <w:b/>
                <w:sz w:val="24"/>
                <w:szCs w:val="24"/>
                <w:lang w:val="uk-UA"/>
              </w:rPr>
            </w:pPr>
            <w:r w:rsidRPr="006E72B0">
              <w:rPr>
                <w:b/>
                <w:sz w:val="24"/>
                <w:szCs w:val="24"/>
                <w:lang w:val="uk-UA"/>
              </w:rPr>
              <w:t xml:space="preserve">Альтернатива 1 </w:t>
            </w:r>
          </w:p>
          <w:p w14:paraId="659BDF1C" w14:textId="0E6C779A" w:rsidR="00710AB4" w:rsidRPr="006E72B0" w:rsidRDefault="00710AB4" w:rsidP="00710AB4">
            <w:pPr>
              <w:widowControl w:val="0"/>
              <w:jc w:val="both"/>
              <w:rPr>
                <w:sz w:val="24"/>
                <w:szCs w:val="24"/>
                <w:lang w:val="uk-UA"/>
              </w:rPr>
            </w:pPr>
            <w:r w:rsidRPr="006E72B0">
              <w:rPr>
                <w:i/>
                <w:sz w:val="24"/>
                <w:szCs w:val="24"/>
                <w:lang w:val="uk-UA"/>
              </w:rPr>
              <w:t>(внесення змін до ПКУ)</w:t>
            </w:r>
          </w:p>
        </w:tc>
        <w:tc>
          <w:tcPr>
            <w:tcW w:w="4376" w:type="dxa"/>
            <w:tcBorders>
              <w:left w:val="single" w:sz="4" w:space="0" w:color="auto"/>
              <w:right w:val="single" w:sz="4" w:space="0" w:color="auto"/>
            </w:tcBorders>
            <w:shd w:val="clear" w:color="auto" w:fill="auto"/>
          </w:tcPr>
          <w:p w14:paraId="27CB1E00" w14:textId="6B583E59" w:rsidR="00710AB4" w:rsidRPr="006E72B0" w:rsidRDefault="00710AB4" w:rsidP="006E72B0">
            <w:pPr>
              <w:widowControl w:val="0"/>
              <w:jc w:val="both"/>
              <w:rPr>
                <w:i/>
                <w:sz w:val="24"/>
                <w:szCs w:val="24"/>
              </w:rPr>
            </w:pPr>
            <w:r w:rsidRPr="006E72B0">
              <w:rPr>
                <w:sz w:val="24"/>
                <w:szCs w:val="24"/>
                <w:lang w:val="uk-UA"/>
              </w:rPr>
              <w:t xml:space="preserve">Перевагою обраної альтернативи є створення умов для підвищення </w:t>
            </w:r>
            <w:r w:rsidR="006E72B0" w:rsidRPr="006E72B0">
              <w:rPr>
                <w:sz w:val="24"/>
                <w:szCs w:val="24"/>
                <w:lang w:val="uk-UA"/>
              </w:rPr>
              <w:t xml:space="preserve">загального </w:t>
            </w:r>
            <w:r w:rsidRPr="006E72B0">
              <w:rPr>
                <w:sz w:val="24"/>
                <w:szCs w:val="24"/>
                <w:lang w:val="uk-UA"/>
              </w:rPr>
              <w:t>коефіцієнта заміщення пенсійних виплат</w:t>
            </w:r>
            <w:r w:rsidR="006E72B0" w:rsidRPr="006E72B0">
              <w:rPr>
                <w:sz w:val="24"/>
                <w:szCs w:val="24"/>
                <w:lang w:val="uk-UA"/>
              </w:rPr>
              <w:t>, що потенційно дозволить збільшити рівень добробуту пенсіонерів</w:t>
            </w:r>
            <w:r w:rsidRPr="006E72B0">
              <w:rPr>
                <w:sz w:val="24"/>
                <w:szCs w:val="24"/>
                <w:lang w:val="uk-UA"/>
              </w:rPr>
              <w:t xml:space="preserve">. Окремим фактором на користь альтернативи є </w:t>
            </w:r>
            <w:proofErr w:type="spellStart"/>
            <w:r w:rsidRPr="006E72B0">
              <w:rPr>
                <w:sz w:val="24"/>
                <w:szCs w:val="24"/>
              </w:rPr>
              <w:t>створення</w:t>
            </w:r>
            <w:proofErr w:type="spellEnd"/>
            <w:r w:rsidRPr="006E72B0">
              <w:rPr>
                <w:sz w:val="24"/>
                <w:szCs w:val="24"/>
              </w:rPr>
              <w:t xml:space="preserve"> потужного </w:t>
            </w:r>
            <w:proofErr w:type="spellStart"/>
            <w:r w:rsidRPr="006E72B0">
              <w:rPr>
                <w:sz w:val="24"/>
                <w:szCs w:val="24"/>
              </w:rPr>
              <w:t>національного</w:t>
            </w:r>
            <w:proofErr w:type="spellEnd"/>
            <w:r w:rsidRPr="006E72B0">
              <w:rPr>
                <w:sz w:val="24"/>
                <w:szCs w:val="24"/>
              </w:rPr>
              <w:t xml:space="preserve"> </w:t>
            </w:r>
            <w:proofErr w:type="spellStart"/>
            <w:r w:rsidRPr="006E72B0">
              <w:rPr>
                <w:sz w:val="24"/>
                <w:szCs w:val="24"/>
              </w:rPr>
              <w:t>внутрішнього</w:t>
            </w:r>
            <w:proofErr w:type="spellEnd"/>
            <w:r w:rsidRPr="006E72B0">
              <w:rPr>
                <w:sz w:val="24"/>
                <w:szCs w:val="24"/>
              </w:rPr>
              <w:t xml:space="preserve"> </w:t>
            </w:r>
            <w:proofErr w:type="spellStart"/>
            <w:r w:rsidRPr="006E72B0">
              <w:rPr>
                <w:sz w:val="24"/>
                <w:szCs w:val="24"/>
              </w:rPr>
              <w:t>інвестиційного</w:t>
            </w:r>
            <w:proofErr w:type="spellEnd"/>
            <w:r w:rsidRPr="006E72B0">
              <w:rPr>
                <w:sz w:val="24"/>
                <w:szCs w:val="24"/>
              </w:rPr>
              <w:t xml:space="preserve"> ресурсу</w:t>
            </w:r>
          </w:p>
        </w:tc>
        <w:tc>
          <w:tcPr>
            <w:tcW w:w="3004" w:type="dxa"/>
            <w:tcBorders>
              <w:left w:val="single" w:sz="4" w:space="0" w:color="auto"/>
            </w:tcBorders>
            <w:shd w:val="clear" w:color="auto" w:fill="auto"/>
          </w:tcPr>
          <w:p w14:paraId="364A9DE6" w14:textId="77777777" w:rsidR="00710AB4" w:rsidRPr="006E72B0" w:rsidRDefault="00710AB4" w:rsidP="00710AB4">
            <w:pPr>
              <w:widowControl w:val="0"/>
              <w:jc w:val="both"/>
              <w:rPr>
                <w:sz w:val="24"/>
                <w:szCs w:val="24"/>
                <w:lang w:val="uk-UA"/>
              </w:rPr>
            </w:pPr>
            <w:r w:rsidRPr="006E72B0">
              <w:rPr>
                <w:sz w:val="24"/>
                <w:szCs w:val="24"/>
                <w:lang w:val="uk-UA"/>
              </w:rPr>
              <w:t xml:space="preserve">На дію регуляторного </w:t>
            </w:r>
            <w:proofErr w:type="spellStart"/>
            <w:r w:rsidRPr="006E72B0">
              <w:rPr>
                <w:sz w:val="24"/>
                <w:szCs w:val="24"/>
                <w:lang w:val="uk-UA"/>
              </w:rPr>
              <w:t>акта</w:t>
            </w:r>
            <w:proofErr w:type="spellEnd"/>
            <w:r w:rsidRPr="006E72B0">
              <w:rPr>
                <w:sz w:val="24"/>
                <w:szCs w:val="24"/>
                <w:lang w:val="uk-UA"/>
              </w:rPr>
              <w:t xml:space="preserve"> можуть вплинути зміни в чинному законодавстві. Вплив може мати як позитивний, так і </w:t>
            </w:r>
            <w:proofErr w:type="spellStart"/>
            <w:r w:rsidRPr="006E72B0">
              <w:rPr>
                <w:sz w:val="24"/>
                <w:szCs w:val="24"/>
                <w:lang w:val="uk-UA"/>
              </w:rPr>
              <w:t>невілюючий</w:t>
            </w:r>
            <w:proofErr w:type="spellEnd"/>
            <w:r w:rsidRPr="006E72B0">
              <w:rPr>
                <w:sz w:val="24"/>
                <w:szCs w:val="24"/>
                <w:lang w:val="uk-UA"/>
              </w:rPr>
              <w:t xml:space="preserve"> характер.</w:t>
            </w:r>
          </w:p>
          <w:p w14:paraId="6798475C" w14:textId="77777777" w:rsidR="00710AB4" w:rsidRPr="006E72B0" w:rsidRDefault="00710AB4" w:rsidP="00710AB4">
            <w:pPr>
              <w:widowControl w:val="0"/>
              <w:jc w:val="both"/>
              <w:rPr>
                <w:sz w:val="24"/>
                <w:szCs w:val="24"/>
                <w:lang w:val="uk-UA"/>
              </w:rPr>
            </w:pPr>
          </w:p>
          <w:p w14:paraId="57F68736" w14:textId="77777777" w:rsidR="00710AB4" w:rsidRPr="006E72B0" w:rsidRDefault="00710AB4" w:rsidP="00710AB4">
            <w:pPr>
              <w:widowControl w:val="0"/>
              <w:ind w:right="128"/>
              <w:jc w:val="both"/>
              <w:rPr>
                <w:sz w:val="24"/>
                <w:szCs w:val="24"/>
                <w:lang w:val="uk-UA"/>
              </w:rPr>
            </w:pPr>
          </w:p>
        </w:tc>
      </w:tr>
      <w:tr w:rsidR="006E72B0" w:rsidRPr="006E72B0" w14:paraId="670844E0" w14:textId="77777777" w:rsidTr="008A41D9">
        <w:trPr>
          <w:trHeight w:val="115"/>
        </w:trPr>
        <w:tc>
          <w:tcPr>
            <w:tcW w:w="2520" w:type="dxa"/>
            <w:shd w:val="clear" w:color="auto" w:fill="auto"/>
          </w:tcPr>
          <w:p w14:paraId="789C0488" w14:textId="77777777" w:rsidR="00710AB4" w:rsidRPr="006E72B0" w:rsidRDefault="00710AB4" w:rsidP="00710AB4">
            <w:pPr>
              <w:widowControl w:val="0"/>
              <w:jc w:val="both"/>
              <w:rPr>
                <w:b/>
                <w:sz w:val="24"/>
                <w:szCs w:val="24"/>
                <w:lang w:val="uk-UA"/>
              </w:rPr>
            </w:pPr>
            <w:r w:rsidRPr="006E72B0">
              <w:rPr>
                <w:b/>
                <w:sz w:val="24"/>
                <w:szCs w:val="24"/>
                <w:lang w:val="uk-UA"/>
              </w:rPr>
              <w:lastRenderedPageBreak/>
              <w:t xml:space="preserve">Альтернатива 2 </w:t>
            </w:r>
          </w:p>
          <w:p w14:paraId="5A4D5412" w14:textId="1466BED5" w:rsidR="00710AB4" w:rsidRPr="006E72B0" w:rsidRDefault="00710AB4" w:rsidP="00710AB4">
            <w:pPr>
              <w:widowControl w:val="0"/>
              <w:jc w:val="both"/>
              <w:rPr>
                <w:sz w:val="24"/>
                <w:szCs w:val="24"/>
                <w:lang w:val="uk-UA"/>
              </w:rPr>
            </w:pPr>
            <w:r w:rsidRPr="006E72B0">
              <w:rPr>
                <w:i/>
                <w:sz w:val="24"/>
                <w:szCs w:val="24"/>
                <w:lang w:val="uk-UA"/>
              </w:rPr>
              <w:t xml:space="preserve">(збереження </w:t>
            </w:r>
            <w:r w:rsidRPr="006E72B0">
              <w:rPr>
                <w:i/>
                <w:sz w:val="24"/>
                <w:szCs w:val="24"/>
                <w:lang w:val="en-US"/>
              </w:rPr>
              <w:t>s</w:t>
            </w:r>
            <w:proofErr w:type="spellStart"/>
            <w:r w:rsidRPr="006E72B0">
              <w:rPr>
                <w:i/>
                <w:sz w:val="24"/>
                <w:szCs w:val="24"/>
                <w:lang w:val="uk-UA"/>
              </w:rPr>
              <w:t>tatus</w:t>
            </w:r>
            <w:proofErr w:type="spellEnd"/>
            <w:r w:rsidRPr="006E72B0">
              <w:rPr>
                <w:i/>
                <w:sz w:val="24"/>
                <w:szCs w:val="24"/>
                <w:lang w:val="uk-UA"/>
              </w:rPr>
              <w:t xml:space="preserve"> </w:t>
            </w:r>
            <w:proofErr w:type="spellStart"/>
            <w:r w:rsidRPr="006E72B0">
              <w:rPr>
                <w:i/>
                <w:sz w:val="24"/>
                <w:szCs w:val="24"/>
                <w:lang w:val="uk-UA"/>
              </w:rPr>
              <w:t>quo</w:t>
            </w:r>
            <w:proofErr w:type="spellEnd"/>
            <w:r w:rsidRPr="006E72B0">
              <w:rPr>
                <w:i/>
                <w:sz w:val="24"/>
                <w:szCs w:val="24"/>
                <w:lang w:val="en-US"/>
              </w:rPr>
              <w:t>)</w:t>
            </w:r>
          </w:p>
        </w:tc>
        <w:tc>
          <w:tcPr>
            <w:tcW w:w="4376" w:type="dxa"/>
            <w:shd w:val="clear" w:color="auto" w:fill="auto"/>
          </w:tcPr>
          <w:p w14:paraId="639F0E6E" w14:textId="0420297D" w:rsidR="00710AB4" w:rsidRPr="006E72B0" w:rsidRDefault="00710AB4" w:rsidP="006E72B0">
            <w:pPr>
              <w:widowControl w:val="0"/>
              <w:jc w:val="both"/>
              <w:rPr>
                <w:sz w:val="24"/>
                <w:szCs w:val="24"/>
                <w:lang w:val="uk-UA"/>
              </w:rPr>
            </w:pPr>
            <w:r w:rsidRPr="006E72B0">
              <w:rPr>
                <w:sz w:val="24"/>
                <w:szCs w:val="24"/>
                <w:lang w:val="uk-UA"/>
              </w:rPr>
              <w:t xml:space="preserve">Причина відмови від зазначеної альтернативи полягає у тому, що при </w:t>
            </w:r>
            <w:r w:rsidR="006E72B0" w:rsidRPr="006E72B0">
              <w:rPr>
                <w:sz w:val="24"/>
                <w:szCs w:val="24"/>
                <w:lang w:val="uk-UA"/>
              </w:rPr>
              <w:t xml:space="preserve">збереженні високого рівня правової невизначеності та ризиків потрійного оподаткування не досягається основне завдання регулювання </w:t>
            </w:r>
            <w:r w:rsidRPr="006E72B0">
              <w:rPr>
                <w:sz w:val="24"/>
                <w:szCs w:val="24"/>
                <w:lang w:val="uk-UA"/>
              </w:rPr>
              <w:t>– захист прав та заощаджень громадян.</w:t>
            </w:r>
            <w:r w:rsidR="006E72B0" w:rsidRPr="006E72B0">
              <w:rPr>
                <w:sz w:val="24"/>
                <w:szCs w:val="24"/>
                <w:lang w:val="uk-UA"/>
              </w:rPr>
              <w:t xml:space="preserve"> </w:t>
            </w:r>
          </w:p>
        </w:tc>
        <w:tc>
          <w:tcPr>
            <w:tcW w:w="3004" w:type="dxa"/>
            <w:shd w:val="clear" w:color="auto" w:fill="auto"/>
          </w:tcPr>
          <w:p w14:paraId="67F96E45" w14:textId="77777777" w:rsidR="00710AB4" w:rsidRPr="006E72B0" w:rsidRDefault="00710AB4" w:rsidP="00710AB4">
            <w:pPr>
              <w:widowControl w:val="0"/>
              <w:jc w:val="center"/>
              <w:rPr>
                <w:sz w:val="24"/>
                <w:szCs w:val="24"/>
                <w:lang w:val="uk-UA"/>
              </w:rPr>
            </w:pPr>
            <w:r w:rsidRPr="006E72B0">
              <w:rPr>
                <w:sz w:val="24"/>
                <w:szCs w:val="24"/>
                <w:lang w:val="uk-UA"/>
              </w:rPr>
              <w:t>Х</w:t>
            </w:r>
          </w:p>
        </w:tc>
      </w:tr>
    </w:tbl>
    <w:p w14:paraId="43E14348" w14:textId="5591A764" w:rsidR="00DA3728" w:rsidRDefault="00DA3728" w:rsidP="00265098">
      <w:pPr>
        <w:widowControl w:val="0"/>
        <w:jc w:val="both"/>
        <w:rPr>
          <w:b/>
          <w:sz w:val="28"/>
          <w:szCs w:val="28"/>
          <w:lang w:val="uk-UA"/>
        </w:rPr>
      </w:pPr>
    </w:p>
    <w:p w14:paraId="616CF05E" w14:textId="77777777" w:rsidR="00642776" w:rsidRPr="00A06CF8" w:rsidRDefault="00642776" w:rsidP="00642776">
      <w:pPr>
        <w:spacing w:after="160"/>
        <w:ind w:firstLine="425"/>
        <w:jc w:val="both"/>
        <w:rPr>
          <w:sz w:val="28"/>
          <w:szCs w:val="28"/>
          <w:lang w:val="uk-UA"/>
        </w:rPr>
      </w:pPr>
      <w:r w:rsidRPr="00A06CF8">
        <w:rPr>
          <w:sz w:val="28"/>
          <w:szCs w:val="28"/>
          <w:lang w:val="uk-UA"/>
        </w:rPr>
        <w:t>Отже, оцінивши переваги та недоліки двох альтернативних способів досягнення цілей державного регулювання, вважаємо за необхідне обрати перший спосіб – внесення змін до Податкового кодексу України з метою встановлення для загальнообов’язкового накопичувального пенсійного забезпечення режиму оподаткування за типом EEE (</w:t>
      </w:r>
      <w:proofErr w:type="spellStart"/>
      <w:r w:rsidRPr="00A06CF8">
        <w:rPr>
          <w:sz w:val="28"/>
          <w:szCs w:val="28"/>
          <w:lang w:val="uk-UA"/>
        </w:rPr>
        <w:t>exempt-exempt-exempt</w:t>
      </w:r>
      <w:proofErr w:type="spellEnd"/>
      <w:r w:rsidRPr="00A06CF8">
        <w:rPr>
          <w:sz w:val="28"/>
          <w:szCs w:val="28"/>
          <w:lang w:val="uk-UA"/>
        </w:rPr>
        <w:t xml:space="preserve">). </w:t>
      </w:r>
    </w:p>
    <w:p w14:paraId="21B439CB" w14:textId="77777777" w:rsidR="00642776" w:rsidRDefault="00642776" w:rsidP="00265098">
      <w:pPr>
        <w:widowControl w:val="0"/>
        <w:jc w:val="both"/>
        <w:rPr>
          <w:b/>
          <w:sz w:val="28"/>
          <w:szCs w:val="28"/>
          <w:lang w:val="uk-UA"/>
        </w:rPr>
      </w:pPr>
    </w:p>
    <w:p w14:paraId="1C67F0D3" w14:textId="02EA8366" w:rsidR="00265098" w:rsidRPr="00A06CF8" w:rsidRDefault="00265098" w:rsidP="00265098">
      <w:pPr>
        <w:widowControl w:val="0"/>
        <w:jc w:val="both"/>
        <w:rPr>
          <w:b/>
          <w:sz w:val="28"/>
          <w:szCs w:val="28"/>
          <w:lang w:val="uk-UA"/>
        </w:rPr>
      </w:pPr>
      <w:r w:rsidRPr="00A06CF8">
        <w:rPr>
          <w:b/>
          <w:sz w:val="28"/>
          <w:szCs w:val="28"/>
          <w:lang w:val="uk-UA"/>
        </w:rPr>
        <w:t>V.  Механізми та заходи, які забезпечать розв’язання визначеної проблеми</w:t>
      </w:r>
    </w:p>
    <w:p w14:paraId="5A8E8C04" w14:textId="77777777" w:rsidR="00265098" w:rsidRPr="00050A8B" w:rsidRDefault="00265098" w:rsidP="00265098">
      <w:pPr>
        <w:widowControl w:val="0"/>
        <w:jc w:val="both"/>
        <w:rPr>
          <w:sz w:val="28"/>
          <w:szCs w:val="28"/>
          <w:lang w:val="uk-UA"/>
        </w:rPr>
      </w:pPr>
    </w:p>
    <w:p w14:paraId="7BCACAF3" w14:textId="77777777" w:rsidR="00692449" w:rsidRDefault="00265098" w:rsidP="00265098">
      <w:pPr>
        <w:widowControl w:val="0"/>
        <w:ind w:firstLine="708"/>
        <w:jc w:val="both"/>
        <w:rPr>
          <w:sz w:val="28"/>
          <w:szCs w:val="28"/>
          <w:lang w:val="uk-UA"/>
        </w:rPr>
      </w:pPr>
      <w:r w:rsidRPr="00050A8B">
        <w:rPr>
          <w:sz w:val="28"/>
          <w:szCs w:val="28"/>
          <w:lang w:val="uk-UA"/>
        </w:rPr>
        <w:t xml:space="preserve">Для </w:t>
      </w:r>
      <w:r w:rsidR="00692449">
        <w:rPr>
          <w:sz w:val="28"/>
          <w:szCs w:val="28"/>
          <w:lang w:val="uk-UA"/>
        </w:rPr>
        <w:t>вирішення визначеної проблеми</w:t>
      </w:r>
      <w:r w:rsidRPr="00050A8B">
        <w:rPr>
          <w:sz w:val="28"/>
          <w:szCs w:val="28"/>
          <w:lang w:val="uk-UA"/>
        </w:rPr>
        <w:t xml:space="preserve"> обрано спосіб розробки проекту регуляторного </w:t>
      </w:r>
      <w:proofErr w:type="spellStart"/>
      <w:r w:rsidRPr="00050A8B">
        <w:rPr>
          <w:sz w:val="28"/>
          <w:szCs w:val="28"/>
          <w:lang w:val="uk-UA"/>
        </w:rPr>
        <w:t>акта</w:t>
      </w:r>
      <w:proofErr w:type="spellEnd"/>
      <w:r w:rsidR="00692449">
        <w:rPr>
          <w:sz w:val="28"/>
          <w:szCs w:val="28"/>
          <w:lang w:val="uk-UA"/>
        </w:rPr>
        <w:t xml:space="preserve"> про внесення змін до Податкового кодексу України, який визначатиме особливості оподаткування доходів, що пов’язані з системою </w:t>
      </w:r>
      <w:r w:rsidR="00692449" w:rsidRPr="00A06CF8">
        <w:rPr>
          <w:sz w:val="28"/>
          <w:szCs w:val="28"/>
          <w:lang w:val="uk-UA"/>
        </w:rPr>
        <w:t>загальнообов’язкового накопичувального пенсійного забезпечення</w:t>
      </w:r>
      <w:r w:rsidRPr="00050A8B">
        <w:rPr>
          <w:sz w:val="28"/>
          <w:szCs w:val="28"/>
          <w:lang w:val="uk-UA"/>
        </w:rPr>
        <w:t xml:space="preserve">. </w:t>
      </w:r>
    </w:p>
    <w:p w14:paraId="299E6C97" w14:textId="50DCD409" w:rsidR="00265098" w:rsidRDefault="00265098" w:rsidP="00265098">
      <w:pPr>
        <w:widowControl w:val="0"/>
        <w:ind w:firstLine="708"/>
        <w:jc w:val="both"/>
        <w:rPr>
          <w:sz w:val="28"/>
          <w:szCs w:val="28"/>
          <w:lang w:val="uk-UA"/>
        </w:rPr>
      </w:pPr>
      <w:r w:rsidRPr="00050A8B">
        <w:rPr>
          <w:sz w:val="28"/>
          <w:szCs w:val="28"/>
          <w:lang w:val="uk-UA"/>
        </w:rPr>
        <w:t xml:space="preserve">Для впровадження даного регуляторного </w:t>
      </w:r>
      <w:proofErr w:type="spellStart"/>
      <w:r w:rsidRPr="00050A8B">
        <w:rPr>
          <w:sz w:val="28"/>
          <w:szCs w:val="28"/>
          <w:lang w:val="uk-UA"/>
        </w:rPr>
        <w:t>акта</w:t>
      </w:r>
      <w:proofErr w:type="spellEnd"/>
      <w:r w:rsidRPr="00050A8B">
        <w:rPr>
          <w:sz w:val="28"/>
          <w:szCs w:val="28"/>
          <w:lang w:val="uk-UA"/>
        </w:rPr>
        <w:t xml:space="preserve"> Комісія здійснюватиме такі організаційні заходи як, зокрема, обговорення з </w:t>
      </w:r>
      <w:r w:rsidR="00FD148E" w:rsidRPr="00050A8B">
        <w:rPr>
          <w:sz w:val="28"/>
          <w:szCs w:val="28"/>
          <w:lang w:val="uk-UA"/>
        </w:rPr>
        <w:t xml:space="preserve">профільними міністерствами та відомствами та </w:t>
      </w:r>
      <w:r w:rsidRPr="00050A8B">
        <w:rPr>
          <w:sz w:val="28"/>
          <w:szCs w:val="28"/>
          <w:lang w:val="uk-UA"/>
        </w:rPr>
        <w:t>учасниками фондового ринку розробленого регуляторного акту.</w:t>
      </w:r>
    </w:p>
    <w:p w14:paraId="42BF2CD8" w14:textId="3CC4D81A" w:rsidR="00D806F7" w:rsidRPr="00050A8B" w:rsidRDefault="00D806F7" w:rsidP="00265098">
      <w:pPr>
        <w:widowControl w:val="0"/>
        <w:ind w:firstLine="708"/>
        <w:jc w:val="both"/>
        <w:rPr>
          <w:sz w:val="28"/>
          <w:szCs w:val="28"/>
          <w:lang w:val="uk-UA"/>
        </w:rPr>
      </w:pPr>
      <w:r>
        <w:rPr>
          <w:sz w:val="28"/>
          <w:szCs w:val="28"/>
          <w:lang w:val="uk-UA"/>
        </w:rPr>
        <w:t>Прийняття законопроекту Верховною радою України</w:t>
      </w:r>
      <w:r w:rsidR="00BA629D">
        <w:rPr>
          <w:sz w:val="28"/>
          <w:szCs w:val="28"/>
          <w:lang w:val="uk-UA"/>
        </w:rPr>
        <w:t xml:space="preserve"> разом з проектом Закону </w:t>
      </w:r>
      <w:r w:rsidR="00BA629D" w:rsidRPr="00BA629D">
        <w:rPr>
          <w:sz w:val="28"/>
          <w:szCs w:val="28"/>
          <w:lang w:val="uk-UA"/>
        </w:rPr>
        <w:t>«Про загальнообов’язкове накопичувальне пенсійне забезпечення»</w:t>
      </w:r>
      <w:r>
        <w:rPr>
          <w:sz w:val="28"/>
          <w:szCs w:val="28"/>
          <w:lang w:val="uk-UA"/>
        </w:rPr>
        <w:t xml:space="preserve"> забезпечить розв’язання визначеної проблеми. </w:t>
      </w:r>
    </w:p>
    <w:p w14:paraId="02258C10" w14:textId="77777777" w:rsidR="00A90C95" w:rsidRPr="00050A8B" w:rsidRDefault="00A90C95" w:rsidP="00265098">
      <w:pPr>
        <w:widowControl w:val="0"/>
        <w:jc w:val="both"/>
        <w:rPr>
          <w:i/>
          <w:sz w:val="28"/>
          <w:szCs w:val="28"/>
          <w:lang w:val="uk-UA"/>
        </w:rPr>
      </w:pPr>
    </w:p>
    <w:p w14:paraId="03032949" w14:textId="6BC4AB4A" w:rsidR="00265098" w:rsidRPr="00D806F7" w:rsidRDefault="00265098" w:rsidP="004046E3">
      <w:pPr>
        <w:widowControl w:val="0"/>
        <w:jc w:val="both"/>
        <w:rPr>
          <w:b/>
          <w:sz w:val="28"/>
          <w:szCs w:val="28"/>
          <w:lang w:val="uk-UA"/>
        </w:rPr>
      </w:pPr>
      <w:r w:rsidRPr="00D806F7">
        <w:rPr>
          <w:b/>
          <w:sz w:val="28"/>
          <w:szCs w:val="28"/>
          <w:lang w:val="uk-UA"/>
        </w:rPr>
        <w:t xml:space="preserve">VІ.  </w:t>
      </w:r>
      <w:r w:rsidR="004046E3" w:rsidRPr="004046E3">
        <w:rPr>
          <w:b/>
          <w:sz w:val="28"/>
          <w:szCs w:val="28"/>
          <w:lang w:val="uk-UA"/>
        </w:rPr>
        <w:t>Визначення очікуваних результатів прийняття запропонованого</w:t>
      </w:r>
      <w:r w:rsidR="004046E3">
        <w:rPr>
          <w:b/>
          <w:sz w:val="28"/>
          <w:szCs w:val="28"/>
          <w:lang w:val="uk-UA"/>
        </w:rPr>
        <w:t xml:space="preserve"> </w:t>
      </w:r>
      <w:r w:rsidR="004046E3" w:rsidRPr="004046E3">
        <w:rPr>
          <w:b/>
          <w:sz w:val="28"/>
          <w:szCs w:val="28"/>
          <w:lang w:val="uk-UA"/>
        </w:rPr>
        <w:t xml:space="preserve">регуляторного </w:t>
      </w:r>
      <w:proofErr w:type="spellStart"/>
      <w:r w:rsidR="004046E3" w:rsidRPr="004046E3">
        <w:rPr>
          <w:b/>
          <w:sz w:val="28"/>
          <w:szCs w:val="28"/>
          <w:lang w:val="uk-UA"/>
        </w:rPr>
        <w:t>акта</w:t>
      </w:r>
      <w:proofErr w:type="spellEnd"/>
    </w:p>
    <w:p w14:paraId="6F2257B2" w14:textId="53F24475" w:rsidR="00DD1B70" w:rsidRPr="00050A8B" w:rsidRDefault="00332E01" w:rsidP="00265098">
      <w:pPr>
        <w:pStyle w:val="ac"/>
        <w:widowControl w:val="0"/>
        <w:ind w:firstLine="708"/>
        <w:rPr>
          <w:b w:val="0"/>
          <w:szCs w:val="28"/>
        </w:rPr>
      </w:pPr>
      <w:r w:rsidRPr="00050A8B">
        <w:rPr>
          <w:b w:val="0"/>
          <w:szCs w:val="28"/>
        </w:rPr>
        <w:t xml:space="preserve"> </w:t>
      </w:r>
    </w:p>
    <w:p w14:paraId="6459E35F" w14:textId="77777777" w:rsidR="004046E3" w:rsidRPr="004046E3" w:rsidRDefault="004046E3" w:rsidP="004046E3">
      <w:pPr>
        <w:pStyle w:val="aa"/>
        <w:widowControl w:val="0"/>
        <w:ind w:firstLine="708"/>
        <w:jc w:val="both"/>
        <w:rPr>
          <w:b w:val="0"/>
          <w:szCs w:val="28"/>
        </w:rPr>
      </w:pPr>
      <w:r>
        <w:rPr>
          <w:b w:val="0"/>
          <w:szCs w:val="28"/>
        </w:rPr>
        <w:t xml:space="preserve">Прийняття пропонованого закону </w:t>
      </w:r>
      <w:r w:rsidRPr="004046E3">
        <w:rPr>
          <w:b w:val="0"/>
          <w:szCs w:val="28"/>
        </w:rPr>
        <w:t>створить правове підґрунтя:</w:t>
      </w:r>
    </w:p>
    <w:p w14:paraId="6774A447" w14:textId="77777777" w:rsidR="004046E3" w:rsidRPr="004046E3" w:rsidRDefault="004046E3" w:rsidP="004046E3">
      <w:pPr>
        <w:pStyle w:val="aa"/>
        <w:widowControl w:val="0"/>
        <w:ind w:firstLine="708"/>
        <w:jc w:val="both"/>
        <w:rPr>
          <w:b w:val="0"/>
          <w:szCs w:val="28"/>
        </w:rPr>
      </w:pPr>
      <w:r w:rsidRPr="004046E3">
        <w:rPr>
          <w:b w:val="0"/>
          <w:szCs w:val="28"/>
        </w:rPr>
        <w:t>для запровадження другого рівня пенсійної системи – загальнообов’язкової накопичувальної складової пенсійного забезпечення, функціонування якої поступово призводитиме до підвищення рівня соціального захисту людей пенсійного віку, та залучення потужного внутрішнього довгострокового інвестиційного ресурсу, що сприятиме збільшенню інвестицій в національну економіку;</w:t>
      </w:r>
    </w:p>
    <w:p w14:paraId="6D9E4D4A" w14:textId="00CF1FCC" w:rsidR="00AD548E" w:rsidRDefault="004046E3" w:rsidP="004046E3">
      <w:pPr>
        <w:pStyle w:val="aa"/>
        <w:widowControl w:val="0"/>
        <w:ind w:firstLine="708"/>
        <w:jc w:val="both"/>
        <w:rPr>
          <w:b w:val="0"/>
          <w:szCs w:val="28"/>
        </w:rPr>
      </w:pPr>
      <w:r w:rsidRPr="004046E3">
        <w:rPr>
          <w:b w:val="0"/>
          <w:szCs w:val="28"/>
        </w:rPr>
        <w:t xml:space="preserve">для поетапного зменшення видатків за рахунок коштів Державного бюджету України на фінансове забезпечення виплати пенсій, надбавок та підвищень до пенсій, призначених за пенсійними програмами.  </w:t>
      </w:r>
    </w:p>
    <w:p w14:paraId="0E39AE8D" w14:textId="77777777" w:rsidR="004046E3" w:rsidRDefault="004046E3" w:rsidP="00EB0EDA">
      <w:pPr>
        <w:pStyle w:val="aa"/>
        <w:widowControl w:val="0"/>
        <w:ind w:firstLine="708"/>
        <w:jc w:val="both"/>
        <w:rPr>
          <w:b w:val="0"/>
          <w:szCs w:val="28"/>
        </w:rPr>
      </w:pPr>
    </w:p>
    <w:p w14:paraId="1B3CC5B0" w14:textId="77777777" w:rsidR="00265098" w:rsidRPr="00D71FCF" w:rsidRDefault="00265098" w:rsidP="00265098">
      <w:pPr>
        <w:widowControl w:val="0"/>
        <w:jc w:val="both"/>
        <w:rPr>
          <w:b/>
          <w:sz w:val="28"/>
          <w:szCs w:val="28"/>
          <w:lang w:val="uk-UA"/>
        </w:rPr>
      </w:pPr>
      <w:r w:rsidRPr="00D71FCF">
        <w:rPr>
          <w:b/>
          <w:sz w:val="28"/>
          <w:szCs w:val="28"/>
          <w:lang w:val="uk-UA"/>
        </w:rPr>
        <w:t xml:space="preserve">VІІ.  Обґрунтування запропонованого строку дії регуляторного </w:t>
      </w:r>
      <w:proofErr w:type="spellStart"/>
      <w:r w:rsidRPr="00D71FCF">
        <w:rPr>
          <w:b/>
          <w:sz w:val="28"/>
          <w:szCs w:val="28"/>
          <w:lang w:val="uk-UA"/>
        </w:rPr>
        <w:t>акта</w:t>
      </w:r>
      <w:proofErr w:type="spellEnd"/>
    </w:p>
    <w:p w14:paraId="0578B460" w14:textId="2D302F05" w:rsidR="00265098" w:rsidRPr="00050A8B" w:rsidRDefault="00265098" w:rsidP="00265098">
      <w:pPr>
        <w:widowControl w:val="0"/>
        <w:ind w:firstLine="708"/>
        <w:jc w:val="both"/>
        <w:rPr>
          <w:sz w:val="28"/>
          <w:szCs w:val="28"/>
          <w:lang w:val="uk-UA"/>
        </w:rPr>
      </w:pPr>
      <w:r w:rsidRPr="00050A8B">
        <w:rPr>
          <w:sz w:val="28"/>
          <w:szCs w:val="28"/>
          <w:lang w:val="uk-UA"/>
        </w:rPr>
        <w:t xml:space="preserve">Строк дії регуляторного </w:t>
      </w:r>
      <w:proofErr w:type="spellStart"/>
      <w:r w:rsidRPr="00050A8B">
        <w:rPr>
          <w:sz w:val="28"/>
          <w:szCs w:val="28"/>
          <w:lang w:val="uk-UA"/>
        </w:rPr>
        <w:t>акта</w:t>
      </w:r>
      <w:proofErr w:type="spellEnd"/>
      <w:r w:rsidRPr="00050A8B">
        <w:rPr>
          <w:sz w:val="28"/>
          <w:szCs w:val="28"/>
          <w:lang w:val="uk-UA"/>
        </w:rPr>
        <w:t xml:space="preserve"> необмежений у часі, оскільки дія </w:t>
      </w:r>
      <w:r w:rsidR="008323E8">
        <w:rPr>
          <w:sz w:val="28"/>
          <w:szCs w:val="28"/>
          <w:lang w:val="uk-UA"/>
        </w:rPr>
        <w:t xml:space="preserve">регуляторного </w:t>
      </w:r>
      <w:r w:rsidR="008323E8">
        <w:rPr>
          <w:sz w:val="28"/>
          <w:szCs w:val="28"/>
          <w:lang w:val="uk-UA"/>
        </w:rPr>
        <w:lastRenderedPageBreak/>
        <w:t xml:space="preserve">акту </w:t>
      </w:r>
      <w:r w:rsidR="008323E8" w:rsidRPr="00050A8B">
        <w:rPr>
          <w:sz w:val="28"/>
          <w:szCs w:val="28"/>
          <w:lang w:val="uk-UA"/>
        </w:rPr>
        <w:t xml:space="preserve"> </w:t>
      </w:r>
      <w:r w:rsidRPr="00050A8B">
        <w:rPr>
          <w:sz w:val="28"/>
          <w:szCs w:val="28"/>
          <w:lang w:val="uk-UA"/>
        </w:rPr>
        <w:t xml:space="preserve">розрахована на необмежений час. </w:t>
      </w:r>
    </w:p>
    <w:p w14:paraId="02AC8CA3" w14:textId="4F264886" w:rsidR="00265098" w:rsidRDefault="00265098" w:rsidP="00265098">
      <w:pPr>
        <w:widowControl w:val="0"/>
        <w:jc w:val="both"/>
        <w:rPr>
          <w:i/>
          <w:sz w:val="28"/>
          <w:szCs w:val="28"/>
          <w:lang w:val="uk-UA"/>
        </w:rPr>
      </w:pPr>
    </w:p>
    <w:p w14:paraId="309C00D0" w14:textId="77777777" w:rsidR="00265098" w:rsidRPr="00B05D3C" w:rsidRDefault="00265098" w:rsidP="00265098">
      <w:pPr>
        <w:widowControl w:val="0"/>
        <w:jc w:val="both"/>
        <w:rPr>
          <w:b/>
          <w:sz w:val="28"/>
          <w:szCs w:val="28"/>
          <w:lang w:val="uk-UA"/>
        </w:rPr>
      </w:pPr>
      <w:r w:rsidRPr="00B05D3C">
        <w:rPr>
          <w:b/>
          <w:sz w:val="28"/>
          <w:szCs w:val="28"/>
          <w:lang w:val="uk-UA"/>
        </w:rPr>
        <w:t xml:space="preserve">VІІІ.  Визначення показників результативності дії регуляторного </w:t>
      </w:r>
      <w:proofErr w:type="spellStart"/>
      <w:r w:rsidRPr="00B05D3C">
        <w:rPr>
          <w:b/>
          <w:sz w:val="28"/>
          <w:szCs w:val="28"/>
          <w:lang w:val="uk-UA"/>
        </w:rPr>
        <w:t>акта</w:t>
      </w:r>
      <w:proofErr w:type="spellEnd"/>
    </w:p>
    <w:p w14:paraId="6BD7FCDC" w14:textId="77777777" w:rsidR="00265098" w:rsidRPr="00B05D3C" w:rsidRDefault="00265098" w:rsidP="00265098">
      <w:pPr>
        <w:widowControl w:val="0"/>
        <w:jc w:val="both"/>
        <w:rPr>
          <w:sz w:val="28"/>
          <w:szCs w:val="28"/>
          <w:lang w:val="uk-UA"/>
        </w:rPr>
      </w:pPr>
    </w:p>
    <w:p w14:paraId="580C77D6" w14:textId="77777777" w:rsidR="00265098" w:rsidRPr="00DC4EB3" w:rsidRDefault="00265098" w:rsidP="00265098">
      <w:pPr>
        <w:widowControl w:val="0"/>
        <w:ind w:firstLine="709"/>
        <w:jc w:val="both"/>
        <w:rPr>
          <w:sz w:val="28"/>
          <w:szCs w:val="28"/>
          <w:lang w:val="uk-UA"/>
        </w:rPr>
      </w:pPr>
      <w:r w:rsidRPr="00050A8B">
        <w:rPr>
          <w:sz w:val="28"/>
          <w:szCs w:val="28"/>
          <w:lang w:val="uk-UA"/>
        </w:rPr>
        <w:t xml:space="preserve">Виходячи з цілей державного регулювання, визначених у другому розділі даного Аналізу впливу регуляторного </w:t>
      </w:r>
      <w:proofErr w:type="spellStart"/>
      <w:r w:rsidRPr="00050A8B">
        <w:rPr>
          <w:sz w:val="28"/>
          <w:szCs w:val="28"/>
          <w:lang w:val="uk-UA"/>
        </w:rPr>
        <w:t>акта</w:t>
      </w:r>
      <w:proofErr w:type="spellEnd"/>
      <w:r w:rsidRPr="00050A8B">
        <w:rPr>
          <w:sz w:val="28"/>
          <w:szCs w:val="28"/>
          <w:lang w:val="uk-UA"/>
        </w:rPr>
        <w:t xml:space="preserve">, для відстеження результативності </w:t>
      </w:r>
      <w:proofErr w:type="spellStart"/>
      <w:r w:rsidRPr="00050A8B">
        <w:rPr>
          <w:sz w:val="28"/>
          <w:szCs w:val="28"/>
          <w:lang w:val="uk-UA"/>
        </w:rPr>
        <w:t>акта</w:t>
      </w:r>
      <w:proofErr w:type="spellEnd"/>
      <w:r w:rsidRPr="00050A8B">
        <w:rPr>
          <w:sz w:val="28"/>
          <w:szCs w:val="28"/>
          <w:lang w:val="uk-UA"/>
        </w:rPr>
        <w:t xml:space="preserve"> обрано </w:t>
      </w:r>
      <w:r w:rsidRPr="00DC4EB3">
        <w:rPr>
          <w:sz w:val="28"/>
          <w:szCs w:val="28"/>
          <w:lang w:val="uk-UA"/>
        </w:rPr>
        <w:t>такі показники:</w:t>
      </w:r>
    </w:p>
    <w:p w14:paraId="54315902" w14:textId="39169304" w:rsidR="00F052F1" w:rsidRDefault="00F052F1" w:rsidP="00F052F1">
      <w:pPr>
        <w:widowControl w:val="0"/>
        <w:ind w:firstLine="708"/>
        <w:jc w:val="both"/>
        <w:rPr>
          <w:bCs/>
          <w:color w:val="000000"/>
          <w:sz w:val="28"/>
          <w:szCs w:val="28"/>
          <w:lang w:val="uk-UA"/>
        </w:rPr>
      </w:pPr>
      <w:r w:rsidRPr="00DC4EB3">
        <w:rPr>
          <w:bCs/>
          <w:i/>
          <w:color w:val="000000"/>
          <w:sz w:val="28"/>
          <w:szCs w:val="28"/>
          <w:lang w:val="uk-UA"/>
        </w:rPr>
        <w:t>кількість суб’єктів господарювання та/або фізичних осіб, на яких поширюватиметься</w:t>
      </w:r>
      <w:r w:rsidRPr="00F17E8E">
        <w:rPr>
          <w:bCs/>
          <w:i/>
          <w:color w:val="000000"/>
          <w:sz w:val="28"/>
          <w:szCs w:val="28"/>
          <w:lang w:val="uk-UA"/>
        </w:rPr>
        <w:t xml:space="preserve"> дія </w:t>
      </w:r>
      <w:proofErr w:type="spellStart"/>
      <w:r w:rsidRPr="00F17E8E">
        <w:rPr>
          <w:bCs/>
          <w:i/>
          <w:color w:val="000000"/>
          <w:sz w:val="28"/>
          <w:szCs w:val="28"/>
          <w:lang w:val="uk-UA"/>
        </w:rPr>
        <w:t>акта</w:t>
      </w:r>
      <w:proofErr w:type="spellEnd"/>
      <w:r w:rsidR="00F17E8E" w:rsidRPr="00F17E8E">
        <w:rPr>
          <w:bCs/>
          <w:i/>
          <w:color w:val="000000"/>
          <w:sz w:val="28"/>
          <w:szCs w:val="28"/>
          <w:lang w:val="uk-UA"/>
        </w:rPr>
        <w:t xml:space="preserve"> </w:t>
      </w:r>
      <w:r w:rsidR="00F17E8E" w:rsidRPr="00F17E8E">
        <w:rPr>
          <w:bCs/>
          <w:color w:val="000000"/>
          <w:sz w:val="28"/>
          <w:szCs w:val="28"/>
          <w:lang w:val="uk-UA"/>
        </w:rPr>
        <w:t>- дія акту поширюється на 11,329 тис. фізичних осіб – платників внесків</w:t>
      </w:r>
      <w:r w:rsidRPr="00F17E8E">
        <w:rPr>
          <w:bCs/>
          <w:color w:val="000000"/>
          <w:sz w:val="28"/>
          <w:szCs w:val="28"/>
          <w:lang w:val="uk-UA"/>
        </w:rPr>
        <w:t>;</w:t>
      </w:r>
    </w:p>
    <w:p w14:paraId="415154AC" w14:textId="494BA880" w:rsidR="002F66C4" w:rsidRDefault="002F66C4" w:rsidP="002F66C4">
      <w:pPr>
        <w:widowControl w:val="0"/>
        <w:ind w:firstLine="708"/>
        <w:jc w:val="both"/>
        <w:rPr>
          <w:bCs/>
          <w:color w:val="000000"/>
          <w:sz w:val="28"/>
          <w:szCs w:val="28"/>
          <w:lang w:val="uk-UA"/>
        </w:rPr>
      </w:pPr>
      <w:r w:rsidRPr="00F052F1">
        <w:rPr>
          <w:bCs/>
          <w:i/>
          <w:color w:val="000000"/>
          <w:sz w:val="28"/>
          <w:szCs w:val="28"/>
          <w:lang w:val="uk-UA"/>
        </w:rPr>
        <w:t xml:space="preserve">рівень поінформованості суб’єктів господарювання та/або фізичних осіб з основних положень </w:t>
      </w:r>
      <w:proofErr w:type="spellStart"/>
      <w:r w:rsidRPr="00F052F1">
        <w:rPr>
          <w:bCs/>
          <w:i/>
          <w:color w:val="000000"/>
          <w:sz w:val="28"/>
          <w:szCs w:val="28"/>
          <w:lang w:val="uk-UA"/>
        </w:rPr>
        <w:t>акта</w:t>
      </w:r>
      <w:proofErr w:type="spellEnd"/>
      <w:r w:rsidRPr="00F052F1">
        <w:rPr>
          <w:bCs/>
          <w:color w:val="000000"/>
          <w:sz w:val="28"/>
          <w:szCs w:val="28"/>
          <w:lang w:val="uk-UA"/>
        </w:rPr>
        <w:t xml:space="preserve"> – середній. </w:t>
      </w:r>
      <w:r>
        <w:rPr>
          <w:bCs/>
          <w:color w:val="000000"/>
          <w:sz w:val="28"/>
          <w:szCs w:val="28"/>
          <w:lang w:val="uk-UA"/>
        </w:rPr>
        <w:t xml:space="preserve">Даний проект регуляторного </w:t>
      </w:r>
      <w:proofErr w:type="spellStart"/>
      <w:r>
        <w:rPr>
          <w:bCs/>
          <w:color w:val="000000"/>
          <w:sz w:val="28"/>
          <w:szCs w:val="28"/>
          <w:lang w:val="uk-UA"/>
        </w:rPr>
        <w:t>акта</w:t>
      </w:r>
      <w:proofErr w:type="spellEnd"/>
      <w:r w:rsidRPr="00F052F1">
        <w:rPr>
          <w:bCs/>
          <w:color w:val="000000"/>
          <w:sz w:val="28"/>
          <w:szCs w:val="28"/>
          <w:lang w:val="uk-UA"/>
        </w:rPr>
        <w:t xml:space="preserve"> з</w:t>
      </w:r>
      <w:r>
        <w:rPr>
          <w:bCs/>
          <w:color w:val="000000"/>
          <w:sz w:val="28"/>
          <w:szCs w:val="28"/>
          <w:lang w:val="uk-UA"/>
        </w:rPr>
        <w:t xml:space="preserve"> метою громадського обговорення</w:t>
      </w:r>
      <w:r w:rsidRPr="00F052F1">
        <w:rPr>
          <w:bCs/>
          <w:color w:val="000000"/>
          <w:sz w:val="28"/>
          <w:szCs w:val="28"/>
          <w:lang w:val="uk-UA"/>
        </w:rPr>
        <w:t xml:space="preserve"> оприлюднено на офіційному веб-сайті Національної комісії з цінних паперів та фондового ринку.</w:t>
      </w:r>
      <w:r>
        <w:rPr>
          <w:bCs/>
          <w:color w:val="000000"/>
          <w:sz w:val="28"/>
          <w:szCs w:val="28"/>
          <w:lang w:val="uk-UA"/>
        </w:rPr>
        <w:t xml:space="preserve"> </w:t>
      </w:r>
    </w:p>
    <w:p w14:paraId="06DEF66D" w14:textId="316F712C" w:rsidR="00ED5D72" w:rsidRPr="00ED5D72" w:rsidRDefault="00ED5D72" w:rsidP="00ED5D72">
      <w:pPr>
        <w:widowControl w:val="0"/>
        <w:ind w:firstLine="708"/>
        <w:jc w:val="both"/>
        <w:rPr>
          <w:bCs/>
          <w:color w:val="000000"/>
          <w:sz w:val="28"/>
          <w:szCs w:val="28"/>
          <w:lang w:val="uk-UA"/>
        </w:rPr>
      </w:pPr>
      <w:r>
        <w:rPr>
          <w:bCs/>
          <w:color w:val="000000"/>
          <w:sz w:val="28"/>
          <w:szCs w:val="28"/>
          <w:lang w:val="uk-UA"/>
        </w:rPr>
        <w:t>П</w:t>
      </w:r>
      <w:r w:rsidRPr="00ED5D72">
        <w:rPr>
          <w:bCs/>
          <w:color w:val="000000"/>
          <w:sz w:val="28"/>
          <w:szCs w:val="28"/>
          <w:lang w:val="uk-UA"/>
        </w:rPr>
        <w:t>ісля схвалення законопроекту та подання його на розгляд Верховній Раді України в установленому порядку зі змістом законопроекту та супровідних до нього документів можна буде ознайомитися на веб-порталі Верховної Ради України у рубриці «Законотворчість»;</w:t>
      </w:r>
    </w:p>
    <w:p w14:paraId="768C0459" w14:textId="54C4A2B9" w:rsidR="00ED5D72" w:rsidRDefault="00ED5D72" w:rsidP="00ED5D72">
      <w:pPr>
        <w:widowControl w:val="0"/>
        <w:ind w:firstLine="708"/>
        <w:jc w:val="both"/>
        <w:rPr>
          <w:bCs/>
          <w:color w:val="000000"/>
          <w:sz w:val="28"/>
          <w:szCs w:val="28"/>
          <w:lang w:val="uk-UA"/>
        </w:rPr>
      </w:pPr>
      <w:r>
        <w:rPr>
          <w:bCs/>
          <w:color w:val="000000"/>
          <w:sz w:val="28"/>
          <w:szCs w:val="28"/>
          <w:lang w:val="uk-UA"/>
        </w:rPr>
        <w:t>П</w:t>
      </w:r>
      <w:r w:rsidRPr="00ED5D72">
        <w:rPr>
          <w:bCs/>
          <w:color w:val="000000"/>
          <w:sz w:val="28"/>
          <w:szCs w:val="28"/>
          <w:lang w:val="uk-UA"/>
        </w:rPr>
        <w:t>ісля прийняття законопроекту Верховною Радою України та його підписання Президентом України цей Закон буде розміщено на офіційному веб- порталі Верховної Ради України.</w:t>
      </w:r>
    </w:p>
    <w:p w14:paraId="1D3D71F5" w14:textId="039E4C72" w:rsidR="00F052F1" w:rsidRPr="00F052F1" w:rsidRDefault="00F052F1" w:rsidP="00F052F1">
      <w:pPr>
        <w:widowControl w:val="0"/>
        <w:ind w:firstLine="708"/>
        <w:jc w:val="both"/>
        <w:rPr>
          <w:bCs/>
          <w:color w:val="000000"/>
          <w:sz w:val="28"/>
          <w:szCs w:val="28"/>
          <w:lang w:val="uk-UA"/>
        </w:rPr>
      </w:pPr>
      <w:r w:rsidRPr="00F17E8E">
        <w:rPr>
          <w:bCs/>
          <w:color w:val="000000"/>
          <w:sz w:val="28"/>
          <w:szCs w:val="28"/>
          <w:lang w:val="uk-UA"/>
        </w:rPr>
        <w:t>Для впровадження</w:t>
      </w:r>
      <w:r w:rsidRPr="00F052F1">
        <w:rPr>
          <w:bCs/>
          <w:color w:val="000000"/>
          <w:sz w:val="28"/>
          <w:szCs w:val="28"/>
          <w:lang w:val="uk-UA"/>
        </w:rPr>
        <w:t xml:space="preserve"> вимог цього регуляторного </w:t>
      </w:r>
      <w:proofErr w:type="spellStart"/>
      <w:r w:rsidRPr="00F052F1">
        <w:rPr>
          <w:bCs/>
          <w:color w:val="000000"/>
          <w:sz w:val="28"/>
          <w:szCs w:val="28"/>
          <w:lang w:val="uk-UA"/>
        </w:rPr>
        <w:t>акта</w:t>
      </w:r>
      <w:proofErr w:type="spellEnd"/>
      <w:r w:rsidRPr="00F052F1">
        <w:rPr>
          <w:bCs/>
          <w:color w:val="000000"/>
          <w:sz w:val="28"/>
          <w:szCs w:val="28"/>
          <w:lang w:val="uk-UA"/>
        </w:rPr>
        <w:t xml:space="preserve"> не потрібні додаткові витрати з бюджету. Досягнення цілей не передбачає додаткових організаційних заходів. Законопроект не може спричинити неочікувані результати, які б унеможливлювали позитивний ефект від його впровадження.</w:t>
      </w:r>
    </w:p>
    <w:p w14:paraId="1F57EF0D" w14:textId="77777777" w:rsidR="00A90C95" w:rsidRPr="009F6AAF" w:rsidRDefault="00A90C95" w:rsidP="00265098">
      <w:pPr>
        <w:widowControl w:val="0"/>
        <w:ind w:firstLine="708"/>
        <w:jc w:val="both"/>
        <w:rPr>
          <w:color w:val="FF0000"/>
          <w:sz w:val="28"/>
          <w:szCs w:val="28"/>
          <w:lang w:val="uk-UA"/>
        </w:rPr>
      </w:pPr>
    </w:p>
    <w:p w14:paraId="403842FD" w14:textId="1ADCAFFB" w:rsidR="006B11CC" w:rsidRPr="00050A8B" w:rsidRDefault="006B11CC" w:rsidP="00265098">
      <w:pPr>
        <w:widowControl w:val="0"/>
        <w:ind w:firstLine="708"/>
        <w:jc w:val="both"/>
        <w:rPr>
          <w:color w:val="000000"/>
          <w:sz w:val="28"/>
          <w:szCs w:val="28"/>
          <w:lang w:val="uk-UA"/>
        </w:rPr>
      </w:pPr>
      <w:r w:rsidRPr="00050A8B">
        <w:rPr>
          <w:color w:val="000000"/>
          <w:sz w:val="28"/>
          <w:szCs w:val="28"/>
          <w:lang w:val="uk-UA"/>
        </w:rPr>
        <w:t xml:space="preserve"> </w:t>
      </w:r>
    </w:p>
    <w:p w14:paraId="12088B8A" w14:textId="77777777" w:rsidR="00265098" w:rsidRPr="00050A8B" w:rsidRDefault="00265098" w:rsidP="00265098">
      <w:pPr>
        <w:widowControl w:val="0"/>
        <w:jc w:val="both"/>
        <w:rPr>
          <w:b/>
          <w:sz w:val="28"/>
          <w:szCs w:val="28"/>
          <w:lang w:val="uk-UA"/>
        </w:rPr>
      </w:pPr>
      <w:r w:rsidRPr="00050A8B">
        <w:rPr>
          <w:b/>
          <w:sz w:val="28"/>
          <w:szCs w:val="28"/>
          <w:lang w:val="uk-UA"/>
        </w:rPr>
        <w:t xml:space="preserve">ІХ. Визначення заходів, за допомогою яких здійснюватиметься відстеження результативності дії регуляторного </w:t>
      </w:r>
      <w:proofErr w:type="spellStart"/>
      <w:r w:rsidRPr="00050A8B">
        <w:rPr>
          <w:b/>
          <w:sz w:val="28"/>
          <w:szCs w:val="28"/>
          <w:lang w:val="uk-UA"/>
        </w:rPr>
        <w:t>акта</w:t>
      </w:r>
      <w:proofErr w:type="spellEnd"/>
    </w:p>
    <w:p w14:paraId="177E7C97" w14:textId="1843DF02" w:rsidR="00265098" w:rsidRPr="00F17E8E" w:rsidRDefault="00265098" w:rsidP="00265098">
      <w:pPr>
        <w:widowControl w:val="0"/>
        <w:ind w:firstLine="708"/>
        <w:jc w:val="both"/>
        <w:rPr>
          <w:sz w:val="28"/>
          <w:szCs w:val="28"/>
          <w:lang w:val="uk-UA"/>
        </w:rPr>
      </w:pPr>
      <w:r w:rsidRPr="00F17E8E">
        <w:rPr>
          <w:sz w:val="28"/>
          <w:szCs w:val="28"/>
          <w:lang w:val="uk-UA"/>
        </w:rPr>
        <w:t xml:space="preserve">Відстеження результативності буде здійснено із застосуванням статистичного та соціологічного методів, шляхом аналізу офіційної статистичної інформації щодо </w:t>
      </w:r>
      <w:r w:rsidR="002B7168" w:rsidRPr="00F17E8E">
        <w:rPr>
          <w:sz w:val="28"/>
          <w:szCs w:val="28"/>
          <w:lang w:val="uk-UA"/>
        </w:rPr>
        <w:t>кількісних</w:t>
      </w:r>
      <w:r w:rsidR="003F2E5C" w:rsidRPr="00F17E8E">
        <w:rPr>
          <w:sz w:val="28"/>
          <w:szCs w:val="28"/>
          <w:lang w:val="uk-UA"/>
        </w:rPr>
        <w:t xml:space="preserve"> та </w:t>
      </w:r>
      <w:r w:rsidR="002B7168" w:rsidRPr="00F17E8E">
        <w:rPr>
          <w:sz w:val="28"/>
          <w:szCs w:val="28"/>
          <w:lang w:val="uk-UA"/>
        </w:rPr>
        <w:t>якісних</w:t>
      </w:r>
      <w:r w:rsidR="003F2E5C" w:rsidRPr="00F17E8E">
        <w:rPr>
          <w:sz w:val="28"/>
          <w:szCs w:val="28"/>
          <w:lang w:val="uk-UA"/>
        </w:rPr>
        <w:t xml:space="preserve"> показників системи накопичувального пенсійного забезпечення</w:t>
      </w:r>
      <w:r w:rsidRPr="00F17E8E">
        <w:rPr>
          <w:sz w:val="28"/>
          <w:szCs w:val="28"/>
          <w:lang w:val="uk-UA"/>
        </w:rPr>
        <w:t>.</w:t>
      </w:r>
    </w:p>
    <w:p w14:paraId="6A7E7B9A" w14:textId="77777777" w:rsidR="00265098" w:rsidRPr="00F17E8E" w:rsidRDefault="00265098" w:rsidP="00265098">
      <w:pPr>
        <w:widowControl w:val="0"/>
        <w:jc w:val="both"/>
        <w:rPr>
          <w:sz w:val="28"/>
          <w:szCs w:val="28"/>
          <w:lang w:val="uk-UA"/>
        </w:rPr>
      </w:pPr>
      <w:r w:rsidRPr="00F17E8E">
        <w:rPr>
          <w:sz w:val="28"/>
          <w:szCs w:val="28"/>
          <w:lang w:val="uk-UA"/>
        </w:rPr>
        <w:tab/>
        <w:t xml:space="preserve">Базове відстеження результативності вищезазначеного регуляторного </w:t>
      </w:r>
      <w:proofErr w:type="spellStart"/>
      <w:r w:rsidRPr="00F17E8E">
        <w:rPr>
          <w:sz w:val="28"/>
          <w:szCs w:val="28"/>
          <w:lang w:val="uk-UA"/>
        </w:rPr>
        <w:t>акта</w:t>
      </w:r>
      <w:proofErr w:type="spellEnd"/>
      <w:r w:rsidRPr="00F17E8E">
        <w:rPr>
          <w:sz w:val="28"/>
          <w:szCs w:val="28"/>
          <w:lang w:val="uk-UA"/>
        </w:rPr>
        <w:t xml:space="preserve"> буде </w:t>
      </w:r>
      <w:r w:rsidR="002B7168" w:rsidRPr="00F17E8E">
        <w:rPr>
          <w:sz w:val="28"/>
          <w:szCs w:val="28"/>
          <w:lang w:val="uk-UA"/>
        </w:rPr>
        <w:t>здійснюватися</w:t>
      </w:r>
      <w:r w:rsidRPr="00F17E8E">
        <w:rPr>
          <w:sz w:val="28"/>
          <w:szCs w:val="28"/>
          <w:lang w:val="uk-UA"/>
        </w:rPr>
        <w:t xml:space="preserve">  через рік після набрання чинності його положень. </w:t>
      </w:r>
    </w:p>
    <w:p w14:paraId="1158BF7B" w14:textId="77777777" w:rsidR="00265098" w:rsidRPr="00DC4EB3" w:rsidRDefault="00265098" w:rsidP="00265098">
      <w:pPr>
        <w:widowControl w:val="0"/>
        <w:ind w:firstLine="708"/>
        <w:jc w:val="both"/>
        <w:rPr>
          <w:sz w:val="28"/>
          <w:szCs w:val="28"/>
          <w:lang w:val="uk-UA"/>
        </w:rPr>
      </w:pPr>
      <w:r w:rsidRPr="00F17E8E">
        <w:rPr>
          <w:sz w:val="28"/>
          <w:szCs w:val="28"/>
          <w:lang w:val="uk-UA"/>
        </w:rPr>
        <w:t xml:space="preserve">Повторне відстеження планується здійснити  через два роки з дня набрання чинності більшістю положень регуляторного </w:t>
      </w:r>
      <w:proofErr w:type="spellStart"/>
      <w:r w:rsidRPr="00F17E8E">
        <w:rPr>
          <w:sz w:val="28"/>
          <w:szCs w:val="28"/>
          <w:lang w:val="uk-UA"/>
        </w:rPr>
        <w:t>акта</w:t>
      </w:r>
      <w:proofErr w:type="spellEnd"/>
      <w:r w:rsidRPr="00F17E8E">
        <w:rPr>
          <w:sz w:val="28"/>
          <w:szCs w:val="28"/>
          <w:lang w:val="uk-UA"/>
        </w:rPr>
        <w:t xml:space="preserve">, в результаті якого відбудеться порівняння показників базового та повторного обстеження. У разі надходження пропозицій  та зауважень, які заслуговують на увагу, або виявлення неврегульованих та проблемних питань, у разі необхідності вони будуть обговорені та </w:t>
      </w:r>
      <w:r w:rsidRPr="00DC4EB3">
        <w:rPr>
          <w:sz w:val="28"/>
          <w:szCs w:val="28"/>
          <w:lang w:val="uk-UA"/>
        </w:rPr>
        <w:t>винесені на розгляд засідання НКЦПФР, з метою ініціювання  внесення відповідних змін до цього регуляторного акту.</w:t>
      </w:r>
    </w:p>
    <w:p w14:paraId="1A896618" w14:textId="696BFA79" w:rsidR="00F17E8E" w:rsidRPr="00DC4EB3" w:rsidRDefault="00F17E8E" w:rsidP="00F17E8E">
      <w:pPr>
        <w:widowControl w:val="0"/>
        <w:ind w:firstLine="708"/>
        <w:jc w:val="both"/>
        <w:rPr>
          <w:sz w:val="28"/>
          <w:szCs w:val="28"/>
          <w:lang w:val="uk-UA"/>
        </w:rPr>
      </w:pPr>
      <w:r w:rsidRPr="00DC4EB3">
        <w:rPr>
          <w:sz w:val="28"/>
          <w:szCs w:val="28"/>
          <w:lang w:val="uk-UA"/>
        </w:rPr>
        <w:lastRenderedPageBreak/>
        <w:t xml:space="preserve">Виконавець заходів з відстеження: </w:t>
      </w:r>
      <w:r w:rsidR="001A6AAE" w:rsidRPr="00DC4EB3">
        <w:rPr>
          <w:sz w:val="28"/>
          <w:szCs w:val="28"/>
          <w:lang w:val="uk-UA"/>
        </w:rPr>
        <w:t>Національна комісія з цінних паперів та фондового ринку</w:t>
      </w:r>
      <w:r w:rsidRPr="00DC4EB3">
        <w:rPr>
          <w:sz w:val="28"/>
          <w:szCs w:val="28"/>
          <w:lang w:val="uk-UA"/>
        </w:rPr>
        <w:t xml:space="preserve">. </w:t>
      </w:r>
    </w:p>
    <w:p w14:paraId="0F3D0EB0" w14:textId="241E679C" w:rsidR="00A90C95" w:rsidRPr="00F17E8E" w:rsidRDefault="00F17E8E" w:rsidP="00F17E8E">
      <w:pPr>
        <w:widowControl w:val="0"/>
        <w:ind w:firstLine="708"/>
        <w:jc w:val="both"/>
        <w:rPr>
          <w:sz w:val="28"/>
          <w:szCs w:val="28"/>
          <w:lang w:val="uk-UA"/>
        </w:rPr>
      </w:pPr>
      <w:r w:rsidRPr="00DC4EB3">
        <w:rPr>
          <w:sz w:val="28"/>
          <w:szCs w:val="28"/>
          <w:lang w:val="uk-UA"/>
        </w:rPr>
        <w:t>У разі надходження пропозицій та зауважень щодо вирішення неврегульованих</w:t>
      </w:r>
      <w:r w:rsidRPr="00F17E8E">
        <w:rPr>
          <w:sz w:val="28"/>
          <w:szCs w:val="28"/>
          <w:lang w:val="uk-UA"/>
        </w:rPr>
        <w:t xml:space="preserve"> або проблемних питань буде розглядатись необхідність внесення відповідних змін.</w:t>
      </w:r>
    </w:p>
    <w:p w14:paraId="14B680D1" w14:textId="6CABA099" w:rsidR="00265098" w:rsidRPr="00F17E8E" w:rsidRDefault="00265098" w:rsidP="00265098">
      <w:pPr>
        <w:widowControl w:val="0"/>
        <w:ind w:firstLine="708"/>
        <w:jc w:val="both"/>
        <w:rPr>
          <w:sz w:val="28"/>
          <w:szCs w:val="28"/>
          <w:lang w:val="uk-UA"/>
        </w:rPr>
      </w:pPr>
      <w:r w:rsidRPr="00F17E8E">
        <w:rPr>
          <w:sz w:val="28"/>
          <w:szCs w:val="28"/>
          <w:lang w:val="uk-UA"/>
        </w:rPr>
        <w:t xml:space="preserve">Періодичні відстеження планується здійснювати раз на три роки з дня виконання заходів з повторного відстеження з метою подальшого удосконалення даного регуляторного </w:t>
      </w:r>
      <w:proofErr w:type="spellStart"/>
      <w:r w:rsidRPr="00F17E8E">
        <w:rPr>
          <w:sz w:val="28"/>
          <w:szCs w:val="28"/>
          <w:lang w:val="uk-UA"/>
        </w:rPr>
        <w:t>акта</w:t>
      </w:r>
      <w:proofErr w:type="spellEnd"/>
      <w:r w:rsidRPr="00F17E8E">
        <w:rPr>
          <w:sz w:val="28"/>
          <w:szCs w:val="28"/>
          <w:lang w:val="uk-UA"/>
        </w:rPr>
        <w:t>.</w:t>
      </w:r>
      <w:bookmarkStart w:id="4" w:name="34"/>
      <w:bookmarkEnd w:id="4"/>
    </w:p>
    <w:p w14:paraId="04156169" w14:textId="2D16F2E1" w:rsidR="00265098" w:rsidRPr="009F6AAF" w:rsidRDefault="00265098" w:rsidP="00265098">
      <w:pPr>
        <w:widowControl w:val="0"/>
        <w:ind w:firstLine="708"/>
        <w:jc w:val="both"/>
        <w:rPr>
          <w:color w:val="FF0000"/>
          <w:sz w:val="28"/>
          <w:szCs w:val="28"/>
          <w:lang w:val="uk-UA"/>
        </w:rPr>
      </w:pPr>
    </w:p>
    <w:p w14:paraId="64707236" w14:textId="683825C0" w:rsidR="00A90C95" w:rsidRDefault="00A90C95" w:rsidP="00265098">
      <w:pPr>
        <w:widowControl w:val="0"/>
        <w:ind w:firstLine="708"/>
        <w:jc w:val="both"/>
        <w:rPr>
          <w:sz w:val="28"/>
          <w:szCs w:val="28"/>
          <w:lang w:val="uk-UA"/>
        </w:rPr>
      </w:pPr>
    </w:p>
    <w:p w14:paraId="4D0D28DE" w14:textId="14FBC337" w:rsidR="00A90C95" w:rsidRDefault="00A90C95" w:rsidP="00265098">
      <w:pPr>
        <w:widowControl w:val="0"/>
        <w:ind w:firstLine="708"/>
        <w:jc w:val="both"/>
        <w:rPr>
          <w:sz w:val="28"/>
          <w:szCs w:val="28"/>
          <w:lang w:val="uk-UA"/>
        </w:rPr>
      </w:pPr>
    </w:p>
    <w:p w14:paraId="197CE35C" w14:textId="5F75C9A2" w:rsidR="00A90C95" w:rsidRDefault="00A90C95" w:rsidP="00265098">
      <w:pPr>
        <w:widowControl w:val="0"/>
        <w:ind w:firstLine="708"/>
        <w:jc w:val="both"/>
        <w:rPr>
          <w:sz w:val="28"/>
          <w:szCs w:val="28"/>
          <w:lang w:val="uk-UA"/>
        </w:rPr>
      </w:pPr>
    </w:p>
    <w:p w14:paraId="44C54409" w14:textId="77777777" w:rsidR="00A90C95" w:rsidRPr="00050A8B" w:rsidRDefault="00A90C95" w:rsidP="00265098">
      <w:pPr>
        <w:widowControl w:val="0"/>
        <w:ind w:firstLine="708"/>
        <w:jc w:val="both"/>
        <w:rPr>
          <w:sz w:val="28"/>
          <w:szCs w:val="28"/>
          <w:lang w:val="uk-UA"/>
        </w:rPr>
      </w:pPr>
    </w:p>
    <w:p w14:paraId="0A19B8C6" w14:textId="32049DA1" w:rsidR="00050A8B" w:rsidRPr="00050A8B" w:rsidRDefault="00265098" w:rsidP="00265098">
      <w:pPr>
        <w:widowControl w:val="0"/>
        <w:ind w:firstLine="540"/>
        <w:jc w:val="both"/>
        <w:rPr>
          <w:b/>
          <w:sz w:val="28"/>
          <w:szCs w:val="28"/>
          <w:lang w:val="uk-UA"/>
        </w:rPr>
      </w:pPr>
      <w:r w:rsidRPr="00050A8B">
        <w:rPr>
          <w:b/>
          <w:sz w:val="28"/>
          <w:szCs w:val="28"/>
          <w:lang w:val="uk-UA"/>
        </w:rPr>
        <w:t xml:space="preserve">Голова Комісії                               </w:t>
      </w:r>
      <w:r w:rsidRPr="00050A8B">
        <w:rPr>
          <w:b/>
          <w:sz w:val="28"/>
          <w:szCs w:val="28"/>
          <w:lang w:val="uk-UA"/>
        </w:rPr>
        <w:tab/>
        <w:t xml:space="preserve">            </w:t>
      </w:r>
      <w:r w:rsidRPr="00050A8B">
        <w:rPr>
          <w:b/>
          <w:sz w:val="28"/>
          <w:szCs w:val="28"/>
          <w:lang w:val="uk-UA"/>
        </w:rPr>
        <w:tab/>
      </w:r>
      <w:r w:rsidRPr="00050A8B">
        <w:rPr>
          <w:b/>
          <w:sz w:val="28"/>
          <w:szCs w:val="28"/>
          <w:lang w:val="uk-UA"/>
        </w:rPr>
        <w:tab/>
      </w:r>
      <w:r w:rsidRPr="00050A8B">
        <w:rPr>
          <w:b/>
          <w:sz w:val="28"/>
          <w:szCs w:val="28"/>
          <w:lang w:val="uk-UA"/>
        </w:rPr>
        <w:tab/>
        <w:t>Т. Хромаєв</w:t>
      </w:r>
    </w:p>
    <w:bookmarkEnd w:id="3"/>
    <w:p w14:paraId="6A842D39" w14:textId="4960E088" w:rsidR="003A3E9F" w:rsidRPr="00633326" w:rsidRDefault="00A06CF8" w:rsidP="00A06CF8">
      <w:pPr>
        <w:spacing w:after="160" w:line="259" w:lineRule="auto"/>
        <w:rPr>
          <w:sz w:val="26"/>
          <w:szCs w:val="26"/>
          <w:lang w:val="uk-UA"/>
        </w:rPr>
      </w:pPr>
      <w:r w:rsidRPr="00633326">
        <w:rPr>
          <w:sz w:val="26"/>
          <w:szCs w:val="26"/>
          <w:lang w:val="uk-UA"/>
        </w:rPr>
        <w:t xml:space="preserve"> </w:t>
      </w:r>
    </w:p>
    <w:p w14:paraId="798DBB7A" w14:textId="77777777" w:rsidR="003A3E9F" w:rsidRPr="00633326" w:rsidRDefault="003A3E9F" w:rsidP="00633326">
      <w:pPr>
        <w:widowControl w:val="0"/>
        <w:spacing w:after="120"/>
        <w:ind w:right="202" w:firstLine="720"/>
        <w:jc w:val="both"/>
        <w:rPr>
          <w:lang w:val="uk-UA"/>
        </w:rPr>
      </w:pPr>
    </w:p>
    <w:sectPr w:rsidR="003A3E9F" w:rsidRPr="00633326" w:rsidSect="00882B3F">
      <w:footerReference w:type="default" r:id="rId8"/>
      <w:pgSz w:w="12240" w:h="15840"/>
      <w:pgMar w:top="850" w:right="850" w:bottom="85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B1191" w14:textId="77777777" w:rsidR="002F3A59" w:rsidRDefault="002F3A59" w:rsidP="006C2352">
      <w:r>
        <w:separator/>
      </w:r>
    </w:p>
  </w:endnote>
  <w:endnote w:type="continuationSeparator" w:id="0">
    <w:p w14:paraId="2DC7CF67" w14:textId="77777777" w:rsidR="002F3A59" w:rsidRDefault="002F3A59" w:rsidP="006C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font419">
    <w:altName w:val="Times New Roman"/>
    <w:charset w:val="01"/>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232899"/>
      <w:docPartObj>
        <w:docPartGallery w:val="Page Numbers (Bottom of Page)"/>
        <w:docPartUnique/>
      </w:docPartObj>
    </w:sdtPr>
    <w:sdtEndPr/>
    <w:sdtContent>
      <w:p w14:paraId="6F124E14" w14:textId="7E1FF90A" w:rsidR="00E80494" w:rsidRDefault="00E80494">
        <w:pPr>
          <w:pStyle w:val="af4"/>
          <w:jc w:val="right"/>
        </w:pPr>
        <w:r>
          <w:fldChar w:fldCharType="begin"/>
        </w:r>
        <w:r>
          <w:instrText>PAGE   \* MERGEFORMAT</w:instrText>
        </w:r>
        <w:r>
          <w:fldChar w:fldCharType="separate"/>
        </w:r>
        <w:r w:rsidR="0002658F" w:rsidRPr="0002658F">
          <w:rPr>
            <w:noProof/>
            <w:lang w:val="uk-UA"/>
          </w:rPr>
          <w:t>10</w:t>
        </w:r>
        <w:r>
          <w:fldChar w:fldCharType="end"/>
        </w:r>
      </w:p>
    </w:sdtContent>
  </w:sdt>
  <w:p w14:paraId="5D964339" w14:textId="77777777" w:rsidR="00E80494" w:rsidRDefault="00E8049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CE537" w14:textId="77777777" w:rsidR="002F3A59" w:rsidRDefault="002F3A59" w:rsidP="006C2352">
      <w:r>
        <w:separator/>
      </w:r>
    </w:p>
  </w:footnote>
  <w:footnote w:type="continuationSeparator" w:id="0">
    <w:p w14:paraId="0670F47F" w14:textId="77777777" w:rsidR="002F3A59" w:rsidRDefault="002F3A59" w:rsidP="006C2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274C8"/>
    <w:multiLevelType w:val="hybridMultilevel"/>
    <w:tmpl w:val="C270CEEC"/>
    <w:lvl w:ilvl="0" w:tplc="7DA6D4B8">
      <w:numFmt w:val="bullet"/>
      <w:lvlText w:val="-"/>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2B10843"/>
    <w:multiLevelType w:val="hybridMultilevel"/>
    <w:tmpl w:val="24F65510"/>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57276"/>
    <w:multiLevelType w:val="hybridMultilevel"/>
    <w:tmpl w:val="D0F49DEC"/>
    <w:lvl w:ilvl="0" w:tplc="7DA6D4B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92717"/>
    <w:multiLevelType w:val="hybridMultilevel"/>
    <w:tmpl w:val="2CD2D848"/>
    <w:lvl w:ilvl="0" w:tplc="487E98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8BA3AED"/>
    <w:multiLevelType w:val="hybridMultilevel"/>
    <w:tmpl w:val="2E861D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E641B"/>
    <w:multiLevelType w:val="hybridMultilevel"/>
    <w:tmpl w:val="C86A1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41555"/>
    <w:multiLevelType w:val="hybridMultilevel"/>
    <w:tmpl w:val="75EEB506"/>
    <w:lvl w:ilvl="0" w:tplc="2DB0050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761E1C60"/>
    <w:multiLevelType w:val="multilevel"/>
    <w:tmpl w:val="A0905C0A"/>
    <w:lvl w:ilvl="0">
      <w:start w:val="2"/>
      <w:numFmt w:val="decimal"/>
      <w:lvlText w:val="%1."/>
      <w:lvlJc w:val="left"/>
      <w:pPr>
        <w:ind w:left="432" w:hanging="432"/>
      </w:pPr>
      <w:rPr>
        <w:rFonts w:hint="default"/>
      </w:rPr>
    </w:lvl>
    <w:lvl w:ilvl="1">
      <w:start w:val="2"/>
      <w:numFmt w:val="decimal"/>
      <w:lvlText w:val="%1.%2."/>
      <w:lvlJc w:val="left"/>
      <w:pPr>
        <w:ind w:left="1004" w:hanging="72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EEA2CAA"/>
    <w:multiLevelType w:val="hybridMultilevel"/>
    <w:tmpl w:val="C86A1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MxtTQ3NzEyNTM1MjZW0lEKTi0uzszPAykwrQUAh+pS8iwAAAA="/>
  </w:docVars>
  <w:rsids>
    <w:rsidRoot w:val="009B5E37"/>
    <w:rsid w:val="0000349C"/>
    <w:rsid w:val="0002658F"/>
    <w:rsid w:val="00042B6E"/>
    <w:rsid w:val="00050A8B"/>
    <w:rsid w:val="0005570B"/>
    <w:rsid w:val="00057204"/>
    <w:rsid w:val="00087E21"/>
    <w:rsid w:val="00092342"/>
    <w:rsid w:val="000A1AA6"/>
    <w:rsid w:val="000A3ACC"/>
    <w:rsid w:val="000B67E4"/>
    <w:rsid w:val="000C106D"/>
    <w:rsid w:val="000C4D61"/>
    <w:rsid w:val="000E2EAD"/>
    <w:rsid w:val="000E4BDE"/>
    <w:rsid w:val="000E622F"/>
    <w:rsid w:val="000F23A2"/>
    <w:rsid w:val="00104F7E"/>
    <w:rsid w:val="00106D80"/>
    <w:rsid w:val="00133BFD"/>
    <w:rsid w:val="0016480F"/>
    <w:rsid w:val="001723FB"/>
    <w:rsid w:val="001A1934"/>
    <w:rsid w:val="001A6AA5"/>
    <w:rsid w:val="001A6AAE"/>
    <w:rsid w:val="001B280E"/>
    <w:rsid w:val="001B4169"/>
    <w:rsid w:val="001F01DB"/>
    <w:rsid w:val="0020174D"/>
    <w:rsid w:val="00204B83"/>
    <w:rsid w:val="0021107F"/>
    <w:rsid w:val="002129F7"/>
    <w:rsid w:val="00221DC0"/>
    <w:rsid w:val="00233C2A"/>
    <w:rsid w:val="002625D1"/>
    <w:rsid w:val="002641A1"/>
    <w:rsid w:val="00265098"/>
    <w:rsid w:val="00276276"/>
    <w:rsid w:val="002769C9"/>
    <w:rsid w:val="00283FF0"/>
    <w:rsid w:val="002858A9"/>
    <w:rsid w:val="002963C2"/>
    <w:rsid w:val="002B52DB"/>
    <w:rsid w:val="002B7168"/>
    <w:rsid w:val="002C2F6E"/>
    <w:rsid w:val="002C4403"/>
    <w:rsid w:val="002C77BE"/>
    <w:rsid w:val="002E221E"/>
    <w:rsid w:val="002F3A59"/>
    <w:rsid w:val="002F66C4"/>
    <w:rsid w:val="003013DD"/>
    <w:rsid w:val="003115C1"/>
    <w:rsid w:val="00321DE7"/>
    <w:rsid w:val="003272AC"/>
    <w:rsid w:val="00330CDA"/>
    <w:rsid w:val="00332E01"/>
    <w:rsid w:val="00333CAC"/>
    <w:rsid w:val="00343F55"/>
    <w:rsid w:val="0035208A"/>
    <w:rsid w:val="00361386"/>
    <w:rsid w:val="00363381"/>
    <w:rsid w:val="0036632B"/>
    <w:rsid w:val="00373AAF"/>
    <w:rsid w:val="0039484A"/>
    <w:rsid w:val="00396AF0"/>
    <w:rsid w:val="003A335B"/>
    <w:rsid w:val="003A3E9F"/>
    <w:rsid w:val="003F2E5C"/>
    <w:rsid w:val="004046E3"/>
    <w:rsid w:val="004062D2"/>
    <w:rsid w:val="00412585"/>
    <w:rsid w:val="004260E5"/>
    <w:rsid w:val="00443D09"/>
    <w:rsid w:val="00447547"/>
    <w:rsid w:val="00450E68"/>
    <w:rsid w:val="00474BE3"/>
    <w:rsid w:val="0048553A"/>
    <w:rsid w:val="0048596B"/>
    <w:rsid w:val="00495820"/>
    <w:rsid w:val="004971E5"/>
    <w:rsid w:val="004979FF"/>
    <w:rsid w:val="004D09A9"/>
    <w:rsid w:val="004D1F93"/>
    <w:rsid w:val="004E4921"/>
    <w:rsid w:val="005027CB"/>
    <w:rsid w:val="00502AC2"/>
    <w:rsid w:val="00507DF1"/>
    <w:rsid w:val="00512CD9"/>
    <w:rsid w:val="0051647E"/>
    <w:rsid w:val="0052444A"/>
    <w:rsid w:val="00524F9B"/>
    <w:rsid w:val="00525E32"/>
    <w:rsid w:val="00530C56"/>
    <w:rsid w:val="00530EEE"/>
    <w:rsid w:val="00543E62"/>
    <w:rsid w:val="005664CD"/>
    <w:rsid w:val="00572A3A"/>
    <w:rsid w:val="00580470"/>
    <w:rsid w:val="005818D6"/>
    <w:rsid w:val="00583973"/>
    <w:rsid w:val="00585D2C"/>
    <w:rsid w:val="00591B1F"/>
    <w:rsid w:val="00591BB4"/>
    <w:rsid w:val="005A0C09"/>
    <w:rsid w:val="005A2C48"/>
    <w:rsid w:val="005B444D"/>
    <w:rsid w:val="005B5C56"/>
    <w:rsid w:val="005C4605"/>
    <w:rsid w:val="005C740F"/>
    <w:rsid w:val="005E18D2"/>
    <w:rsid w:val="005E5B81"/>
    <w:rsid w:val="005E797A"/>
    <w:rsid w:val="005E7CF3"/>
    <w:rsid w:val="005F1EB0"/>
    <w:rsid w:val="00605583"/>
    <w:rsid w:val="00610D69"/>
    <w:rsid w:val="00611D45"/>
    <w:rsid w:val="006154BC"/>
    <w:rsid w:val="00615C1E"/>
    <w:rsid w:val="00620C3F"/>
    <w:rsid w:val="00623700"/>
    <w:rsid w:val="00633326"/>
    <w:rsid w:val="0063365A"/>
    <w:rsid w:val="00634786"/>
    <w:rsid w:val="00642776"/>
    <w:rsid w:val="00655541"/>
    <w:rsid w:val="00661CBB"/>
    <w:rsid w:val="006742C1"/>
    <w:rsid w:val="00692449"/>
    <w:rsid w:val="006949A3"/>
    <w:rsid w:val="0069516D"/>
    <w:rsid w:val="00695B02"/>
    <w:rsid w:val="00697D26"/>
    <w:rsid w:val="006A291C"/>
    <w:rsid w:val="006A5CBB"/>
    <w:rsid w:val="006B11CC"/>
    <w:rsid w:val="006B45DF"/>
    <w:rsid w:val="006B4A22"/>
    <w:rsid w:val="006C2352"/>
    <w:rsid w:val="006E09C2"/>
    <w:rsid w:val="006E4B01"/>
    <w:rsid w:val="006E72B0"/>
    <w:rsid w:val="006F392E"/>
    <w:rsid w:val="006F6393"/>
    <w:rsid w:val="00702B13"/>
    <w:rsid w:val="00703858"/>
    <w:rsid w:val="00710AB4"/>
    <w:rsid w:val="007153C6"/>
    <w:rsid w:val="00727052"/>
    <w:rsid w:val="0073131C"/>
    <w:rsid w:val="0073423A"/>
    <w:rsid w:val="00741376"/>
    <w:rsid w:val="00743444"/>
    <w:rsid w:val="0075232A"/>
    <w:rsid w:val="0075571D"/>
    <w:rsid w:val="00776ED1"/>
    <w:rsid w:val="00780F56"/>
    <w:rsid w:val="00786335"/>
    <w:rsid w:val="00793D1C"/>
    <w:rsid w:val="00796773"/>
    <w:rsid w:val="007A7509"/>
    <w:rsid w:val="007C29AB"/>
    <w:rsid w:val="007C5017"/>
    <w:rsid w:val="007D054D"/>
    <w:rsid w:val="007E6BAD"/>
    <w:rsid w:val="007E6DFE"/>
    <w:rsid w:val="007F02EF"/>
    <w:rsid w:val="007F3F3B"/>
    <w:rsid w:val="007F608C"/>
    <w:rsid w:val="0080439C"/>
    <w:rsid w:val="00810F7D"/>
    <w:rsid w:val="00823901"/>
    <w:rsid w:val="00824F48"/>
    <w:rsid w:val="008323E8"/>
    <w:rsid w:val="00861AA6"/>
    <w:rsid w:val="00861FF0"/>
    <w:rsid w:val="0086266C"/>
    <w:rsid w:val="0087077E"/>
    <w:rsid w:val="00882B3F"/>
    <w:rsid w:val="008848B8"/>
    <w:rsid w:val="008853B9"/>
    <w:rsid w:val="008900C7"/>
    <w:rsid w:val="008B3E30"/>
    <w:rsid w:val="008B5A0C"/>
    <w:rsid w:val="008D1612"/>
    <w:rsid w:val="008D3262"/>
    <w:rsid w:val="008D5897"/>
    <w:rsid w:val="008F2A06"/>
    <w:rsid w:val="008F55E3"/>
    <w:rsid w:val="00903FA5"/>
    <w:rsid w:val="009045FD"/>
    <w:rsid w:val="00905328"/>
    <w:rsid w:val="0090565F"/>
    <w:rsid w:val="009334C9"/>
    <w:rsid w:val="00944390"/>
    <w:rsid w:val="00951CAE"/>
    <w:rsid w:val="00965348"/>
    <w:rsid w:val="009817F2"/>
    <w:rsid w:val="00985090"/>
    <w:rsid w:val="00992044"/>
    <w:rsid w:val="009A0FBA"/>
    <w:rsid w:val="009A7E19"/>
    <w:rsid w:val="009B25B6"/>
    <w:rsid w:val="009B5E37"/>
    <w:rsid w:val="009C4FBA"/>
    <w:rsid w:val="009C616E"/>
    <w:rsid w:val="009D07AF"/>
    <w:rsid w:val="009D7311"/>
    <w:rsid w:val="009F6AAF"/>
    <w:rsid w:val="00A0536A"/>
    <w:rsid w:val="00A06CF8"/>
    <w:rsid w:val="00A11743"/>
    <w:rsid w:val="00A13939"/>
    <w:rsid w:val="00A27409"/>
    <w:rsid w:val="00A37880"/>
    <w:rsid w:val="00A524D3"/>
    <w:rsid w:val="00A60702"/>
    <w:rsid w:val="00A71011"/>
    <w:rsid w:val="00A728B1"/>
    <w:rsid w:val="00A74BA5"/>
    <w:rsid w:val="00A74ECA"/>
    <w:rsid w:val="00A90C95"/>
    <w:rsid w:val="00A92983"/>
    <w:rsid w:val="00A94818"/>
    <w:rsid w:val="00AA23BF"/>
    <w:rsid w:val="00AB1552"/>
    <w:rsid w:val="00AB15DB"/>
    <w:rsid w:val="00AB4F46"/>
    <w:rsid w:val="00AB61C1"/>
    <w:rsid w:val="00AC0001"/>
    <w:rsid w:val="00AC11BF"/>
    <w:rsid w:val="00AC45F1"/>
    <w:rsid w:val="00AD548E"/>
    <w:rsid w:val="00AD764B"/>
    <w:rsid w:val="00AE3424"/>
    <w:rsid w:val="00AE4C70"/>
    <w:rsid w:val="00AE546A"/>
    <w:rsid w:val="00AF26DD"/>
    <w:rsid w:val="00B04230"/>
    <w:rsid w:val="00B05D3C"/>
    <w:rsid w:val="00B130E4"/>
    <w:rsid w:val="00B157BD"/>
    <w:rsid w:val="00B169AC"/>
    <w:rsid w:val="00B34D6F"/>
    <w:rsid w:val="00B41E99"/>
    <w:rsid w:val="00B61AA7"/>
    <w:rsid w:val="00B730D3"/>
    <w:rsid w:val="00B745A1"/>
    <w:rsid w:val="00B86CDF"/>
    <w:rsid w:val="00B87672"/>
    <w:rsid w:val="00B93980"/>
    <w:rsid w:val="00B93CB9"/>
    <w:rsid w:val="00B96607"/>
    <w:rsid w:val="00BA4A9C"/>
    <w:rsid w:val="00BA629D"/>
    <w:rsid w:val="00BB18DD"/>
    <w:rsid w:val="00BC6FB5"/>
    <w:rsid w:val="00BC7F0F"/>
    <w:rsid w:val="00BD7586"/>
    <w:rsid w:val="00BE4E6B"/>
    <w:rsid w:val="00BE61EF"/>
    <w:rsid w:val="00BF0E33"/>
    <w:rsid w:val="00C30EC7"/>
    <w:rsid w:val="00C355D5"/>
    <w:rsid w:val="00C42F6F"/>
    <w:rsid w:val="00C6362D"/>
    <w:rsid w:val="00C66A01"/>
    <w:rsid w:val="00C752EB"/>
    <w:rsid w:val="00C82ED9"/>
    <w:rsid w:val="00C84473"/>
    <w:rsid w:val="00C87F6B"/>
    <w:rsid w:val="00CA0CA7"/>
    <w:rsid w:val="00CA5641"/>
    <w:rsid w:val="00CB6722"/>
    <w:rsid w:val="00CB6CF8"/>
    <w:rsid w:val="00CB7593"/>
    <w:rsid w:val="00CE6E9C"/>
    <w:rsid w:val="00CE72E9"/>
    <w:rsid w:val="00CF5159"/>
    <w:rsid w:val="00D00B78"/>
    <w:rsid w:val="00D01D9B"/>
    <w:rsid w:val="00D12590"/>
    <w:rsid w:val="00D150C8"/>
    <w:rsid w:val="00D17EE6"/>
    <w:rsid w:val="00D221A1"/>
    <w:rsid w:val="00D4667F"/>
    <w:rsid w:val="00D71FCF"/>
    <w:rsid w:val="00D805B9"/>
    <w:rsid w:val="00D806F7"/>
    <w:rsid w:val="00D848A7"/>
    <w:rsid w:val="00D94472"/>
    <w:rsid w:val="00DA05FF"/>
    <w:rsid w:val="00DA3728"/>
    <w:rsid w:val="00DA5D7A"/>
    <w:rsid w:val="00DB4ACB"/>
    <w:rsid w:val="00DB4CE0"/>
    <w:rsid w:val="00DC4EB3"/>
    <w:rsid w:val="00DD1B70"/>
    <w:rsid w:val="00DD1E16"/>
    <w:rsid w:val="00DD5B11"/>
    <w:rsid w:val="00DD6EB8"/>
    <w:rsid w:val="00DE7D88"/>
    <w:rsid w:val="00E00F7F"/>
    <w:rsid w:val="00E01C5B"/>
    <w:rsid w:val="00E01D7B"/>
    <w:rsid w:val="00E05CDE"/>
    <w:rsid w:val="00E064D4"/>
    <w:rsid w:val="00E07144"/>
    <w:rsid w:val="00E17E94"/>
    <w:rsid w:val="00E22DCE"/>
    <w:rsid w:val="00E335BD"/>
    <w:rsid w:val="00E40682"/>
    <w:rsid w:val="00E52EE8"/>
    <w:rsid w:val="00E64E5B"/>
    <w:rsid w:val="00E80494"/>
    <w:rsid w:val="00E82AA8"/>
    <w:rsid w:val="00E8600A"/>
    <w:rsid w:val="00E866F2"/>
    <w:rsid w:val="00EA165C"/>
    <w:rsid w:val="00EA1AEC"/>
    <w:rsid w:val="00EB0EDA"/>
    <w:rsid w:val="00EB4555"/>
    <w:rsid w:val="00EC1C8B"/>
    <w:rsid w:val="00EC7D98"/>
    <w:rsid w:val="00ED18F3"/>
    <w:rsid w:val="00ED5D72"/>
    <w:rsid w:val="00EE6900"/>
    <w:rsid w:val="00EE7E7D"/>
    <w:rsid w:val="00EF0267"/>
    <w:rsid w:val="00F00B43"/>
    <w:rsid w:val="00F01874"/>
    <w:rsid w:val="00F026E5"/>
    <w:rsid w:val="00F04243"/>
    <w:rsid w:val="00F052F1"/>
    <w:rsid w:val="00F116FA"/>
    <w:rsid w:val="00F17E8E"/>
    <w:rsid w:val="00F321E9"/>
    <w:rsid w:val="00F32296"/>
    <w:rsid w:val="00F33714"/>
    <w:rsid w:val="00F36366"/>
    <w:rsid w:val="00F37B8C"/>
    <w:rsid w:val="00F451F5"/>
    <w:rsid w:val="00F4694D"/>
    <w:rsid w:val="00F47803"/>
    <w:rsid w:val="00F654B6"/>
    <w:rsid w:val="00F661DD"/>
    <w:rsid w:val="00F72B3A"/>
    <w:rsid w:val="00F97BE8"/>
    <w:rsid w:val="00FB477A"/>
    <w:rsid w:val="00FB5A66"/>
    <w:rsid w:val="00FB63CD"/>
    <w:rsid w:val="00FC1DEF"/>
    <w:rsid w:val="00FD0C91"/>
    <w:rsid w:val="00FD148E"/>
    <w:rsid w:val="00FD67ED"/>
    <w:rsid w:val="00FE4245"/>
    <w:rsid w:val="00FE526D"/>
    <w:rsid w:val="00FF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C2F6"/>
  <w15:docId w15:val="{4F6D7C2D-9FE8-4436-B9E8-5EC44BD3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E37"/>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uiPriority w:val="9"/>
    <w:qFormat/>
    <w:rsid w:val="00332E01"/>
    <w:pPr>
      <w:spacing w:before="100" w:beforeAutospacing="1" w:after="100" w:afterAutospacing="1"/>
      <w:outlineLvl w:val="0"/>
    </w:pPr>
    <w:rPr>
      <w:b/>
      <w:bCs/>
      <w:kern w:val="36"/>
      <w:sz w:val="48"/>
      <w:szCs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Îñíîâíîé òåêñò 2"/>
    <w:basedOn w:val="a"/>
    <w:rsid w:val="009B5E37"/>
    <w:pPr>
      <w:ind w:firstLine="567"/>
      <w:jc w:val="both"/>
    </w:pPr>
    <w:rPr>
      <w:sz w:val="24"/>
      <w:lang w:val="uk-UA"/>
    </w:rPr>
  </w:style>
  <w:style w:type="paragraph" w:styleId="a3">
    <w:name w:val="List Paragraph"/>
    <w:basedOn w:val="a"/>
    <w:uiPriority w:val="34"/>
    <w:qFormat/>
    <w:rsid w:val="009B5E37"/>
    <w:pPr>
      <w:spacing w:after="160" w:line="259" w:lineRule="auto"/>
      <w:ind w:left="720"/>
      <w:contextualSpacing/>
    </w:pPr>
    <w:rPr>
      <w:rFonts w:ascii="Calibri" w:eastAsia="Calibri" w:hAnsi="Calibri"/>
      <w:sz w:val="22"/>
      <w:szCs w:val="22"/>
      <w:lang w:val="uk-UA" w:eastAsia="en-US"/>
    </w:rPr>
  </w:style>
  <w:style w:type="paragraph" w:styleId="a4">
    <w:name w:val="footnote text"/>
    <w:basedOn w:val="a"/>
    <w:link w:val="a5"/>
    <w:uiPriority w:val="99"/>
    <w:semiHidden/>
    <w:unhideWhenUsed/>
    <w:rsid w:val="006C2352"/>
  </w:style>
  <w:style w:type="character" w:customStyle="1" w:styleId="a5">
    <w:name w:val="Текст виноски Знак"/>
    <w:basedOn w:val="a0"/>
    <w:link w:val="a4"/>
    <w:uiPriority w:val="99"/>
    <w:semiHidden/>
    <w:rsid w:val="006C2352"/>
    <w:rPr>
      <w:rFonts w:ascii="Times New Roman" w:eastAsia="Times New Roman" w:hAnsi="Times New Roman" w:cs="Times New Roman"/>
      <w:sz w:val="20"/>
      <w:szCs w:val="20"/>
      <w:lang w:val="ru-RU" w:eastAsia="ru-RU"/>
    </w:rPr>
  </w:style>
  <w:style w:type="character" w:styleId="a6">
    <w:name w:val="footnote reference"/>
    <w:basedOn w:val="a0"/>
    <w:uiPriority w:val="99"/>
    <w:semiHidden/>
    <w:unhideWhenUsed/>
    <w:rsid w:val="006C2352"/>
    <w:rPr>
      <w:vertAlign w:val="superscript"/>
    </w:rPr>
  </w:style>
  <w:style w:type="character" w:styleId="a7">
    <w:name w:val="Hyperlink"/>
    <w:basedOn w:val="a0"/>
    <w:uiPriority w:val="99"/>
    <w:unhideWhenUsed/>
    <w:rsid w:val="00F01874"/>
    <w:rPr>
      <w:color w:val="0563C1" w:themeColor="hyperlink"/>
      <w:u w:val="single"/>
    </w:rPr>
  </w:style>
  <w:style w:type="paragraph" w:styleId="a8">
    <w:name w:val="Balloon Text"/>
    <w:basedOn w:val="a"/>
    <w:link w:val="a9"/>
    <w:uiPriority w:val="99"/>
    <w:semiHidden/>
    <w:unhideWhenUsed/>
    <w:rsid w:val="002769C9"/>
    <w:rPr>
      <w:rFonts w:ascii="Segoe UI" w:hAnsi="Segoe UI" w:cs="Segoe UI"/>
      <w:sz w:val="18"/>
      <w:szCs w:val="18"/>
    </w:rPr>
  </w:style>
  <w:style w:type="character" w:customStyle="1" w:styleId="a9">
    <w:name w:val="Текст у виносці Знак"/>
    <w:basedOn w:val="a0"/>
    <w:link w:val="a8"/>
    <w:uiPriority w:val="99"/>
    <w:semiHidden/>
    <w:rsid w:val="002769C9"/>
    <w:rPr>
      <w:rFonts w:ascii="Segoe UI" w:eastAsia="Times New Roman" w:hAnsi="Segoe UI" w:cs="Segoe UI"/>
      <w:sz w:val="18"/>
      <w:szCs w:val="18"/>
      <w:lang w:val="ru-RU" w:eastAsia="ru-RU"/>
    </w:rPr>
  </w:style>
  <w:style w:type="paragraph" w:styleId="aa">
    <w:name w:val="Title"/>
    <w:basedOn w:val="a"/>
    <w:link w:val="ab"/>
    <w:qFormat/>
    <w:rsid w:val="00265098"/>
    <w:pPr>
      <w:jc w:val="center"/>
    </w:pPr>
    <w:rPr>
      <w:b/>
      <w:sz w:val="28"/>
      <w:lang w:val="uk-UA"/>
    </w:rPr>
  </w:style>
  <w:style w:type="character" w:customStyle="1" w:styleId="ab">
    <w:name w:val="Назва Знак"/>
    <w:basedOn w:val="a0"/>
    <w:link w:val="aa"/>
    <w:rsid w:val="00265098"/>
    <w:rPr>
      <w:rFonts w:ascii="Times New Roman" w:eastAsia="Times New Roman" w:hAnsi="Times New Roman" w:cs="Times New Roman"/>
      <w:b/>
      <w:sz w:val="28"/>
      <w:szCs w:val="20"/>
      <w:lang w:val="uk-UA" w:eastAsia="ru-RU"/>
    </w:rPr>
  </w:style>
  <w:style w:type="paragraph" w:styleId="ac">
    <w:name w:val="Body Text"/>
    <w:basedOn w:val="a"/>
    <w:link w:val="ad"/>
    <w:rsid w:val="00265098"/>
    <w:pPr>
      <w:jc w:val="both"/>
    </w:pPr>
    <w:rPr>
      <w:b/>
      <w:bCs/>
      <w:sz w:val="28"/>
      <w:szCs w:val="24"/>
      <w:lang w:val="uk-UA"/>
    </w:rPr>
  </w:style>
  <w:style w:type="character" w:customStyle="1" w:styleId="ad">
    <w:name w:val="Основний текст Знак"/>
    <w:basedOn w:val="a0"/>
    <w:link w:val="ac"/>
    <w:rsid w:val="00265098"/>
    <w:rPr>
      <w:rFonts w:ascii="Times New Roman" w:eastAsia="Times New Roman" w:hAnsi="Times New Roman" w:cs="Times New Roman"/>
      <w:b/>
      <w:bCs/>
      <w:sz w:val="28"/>
      <w:szCs w:val="24"/>
      <w:lang w:val="uk-UA" w:eastAsia="ru-RU"/>
    </w:rPr>
  </w:style>
  <w:style w:type="paragraph" w:styleId="ae">
    <w:name w:val="Body Text Indent"/>
    <w:basedOn w:val="a"/>
    <w:link w:val="af"/>
    <w:rsid w:val="00265098"/>
    <w:pPr>
      <w:ind w:firstLine="720"/>
      <w:jc w:val="center"/>
    </w:pPr>
    <w:rPr>
      <w:sz w:val="24"/>
      <w:szCs w:val="24"/>
      <w:lang w:val="uk-UA"/>
    </w:rPr>
  </w:style>
  <w:style w:type="character" w:customStyle="1" w:styleId="af">
    <w:name w:val="Основний текст з відступом Знак"/>
    <w:basedOn w:val="a0"/>
    <w:link w:val="ae"/>
    <w:rsid w:val="00265098"/>
    <w:rPr>
      <w:rFonts w:ascii="Times New Roman" w:eastAsia="Times New Roman" w:hAnsi="Times New Roman" w:cs="Times New Roman"/>
      <w:sz w:val="24"/>
      <w:szCs w:val="24"/>
      <w:lang w:val="uk-UA" w:eastAsia="ru-RU"/>
    </w:rPr>
  </w:style>
  <w:style w:type="paragraph" w:styleId="af0">
    <w:name w:val="Normal (Web)"/>
    <w:aliases w:val="Обычный (веб) Знак,Знак1 Знак,Знак1"/>
    <w:basedOn w:val="a"/>
    <w:link w:val="af1"/>
    <w:rsid w:val="00265098"/>
    <w:pPr>
      <w:spacing w:before="100" w:beforeAutospacing="1" w:after="100" w:afterAutospacing="1"/>
    </w:pPr>
    <w:rPr>
      <w:sz w:val="24"/>
      <w:szCs w:val="24"/>
      <w:lang w:val="uk-UA" w:eastAsia="uk-UA"/>
    </w:rPr>
  </w:style>
  <w:style w:type="character" w:customStyle="1" w:styleId="spelle">
    <w:name w:val="spelle"/>
    <w:basedOn w:val="a0"/>
    <w:rsid w:val="00265098"/>
  </w:style>
  <w:style w:type="paragraph" w:customStyle="1" w:styleId="11">
    <w:name w:val="Абзац списку1"/>
    <w:basedOn w:val="a"/>
    <w:rsid w:val="00333CAC"/>
    <w:pPr>
      <w:spacing w:after="160" w:line="259" w:lineRule="auto"/>
      <w:ind w:left="720"/>
      <w:contextualSpacing/>
    </w:pPr>
    <w:rPr>
      <w:rFonts w:ascii="Calibri" w:hAnsi="Calibri"/>
      <w:sz w:val="22"/>
      <w:szCs w:val="22"/>
      <w:lang w:val="uk-UA" w:eastAsia="en-US"/>
    </w:rPr>
  </w:style>
  <w:style w:type="character" w:customStyle="1" w:styleId="af1">
    <w:name w:val="Звичайний (веб) Знак"/>
    <w:aliases w:val="Обычный (веб) Знак Знак,Знак1 Знак Знак,Знак1 Знак1"/>
    <w:link w:val="af0"/>
    <w:locked/>
    <w:rsid w:val="008D3262"/>
    <w:rPr>
      <w:rFonts w:ascii="Times New Roman" w:eastAsia="Times New Roman" w:hAnsi="Times New Roman" w:cs="Times New Roman"/>
      <w:sz w:val="24"/>
      <w:szCs w:val="24"/>
      <w:lang w:val="uk-UA" w:eastAsia="uk-UA"/>
    </w:rPr>
  </w:style>
  <w:style w:type="paragraph" w:styleId="af2">
    <w:name w:val="header"/>
    <w:basedOn w:val="a"/>
    <w:link w:val="af3"/>
    <w:uiPriority w:val="99"/>
    <w:unhideWhenUsed/>
    <w:rsid w:val="00087E21"/>
    <w:pPr>
      <w:tabs>
        <w:tab w:val="center" w:pos="4986"/>
        <w:tab w:val="right" w:pos="9973"/>
      </w:tabs>
    </w:pPr>
  </w:style>
  <w:style w:type="character" w:customStyle="1" w:styleId="af3">
    <w:name w:val="Верхній колонтитул Знак"/>
    <w:basedOn w:val="a0"/>
    <w:link w:val="af2"/>
    <w:uiPriority w:val="99"/>
    <w:rsid w:val="00087E21"/>
    <w:rPr>
      <w:rFonts w:ascii="Times New Roman" w:eastAsia="Times New Roman" w:hAnsi="Times New Roman" w:cs="Times New Roman"/>
      <w:sz w:val="20"/>
      <w:szCs w:val="20"/>
      <w:lang w:val="ru-RU" w:eastAsia="ru-RU"/>
    </w:rPr>
  </w:style>
  <w:style w:type="paragraph" w:styleId="af4">
    <w:name w:val="footer"/>
    <w:basedOn w:val="a"/>
    <w:link w:val="af5"/>
    <w:uiPriority w:val="99"/>
    <w:unhideWhenUsed/>
    <w:rsid w:val="00087E21"/>
    <w:pPr>
      <w:tabs>
        <w:tab w:val="center" w:pos="4986"/>
        <w:tab w:val="right" w:pos="9973"/>
      </w:tabs>
    </w:pPr>
  </w:style>
  <w:style w:type="character" w:customStyle="1" w:styleId="af5">
    <w:name w:val="Нижній колонтитул Знак"/>
    <w:basedOn w:val="a0"/>
    <w:link w:val="af4"/>
    <w:uiPriority w:val="99"/>
    <w:rsid w:val="00087E21"/>
    <w:rPr>
      <w:rFonts w:ascii="Times New Roman" w:eastAsia="Times New Roman" w:hAnsi="Times New Roman" w:cs="Times New Roman"/>
      <w:sz w:val="20"/>
      <w:szCs w:val="20"/>
      <w:lang w:val="ru-RU" w:eastAsia="ru-RU"/>
    </w:rPr>
  </w:style>
  <w:style w:type="character" w:customStyle="1" w:styleId="UnresolvedMention">
    <w:name w:val="Unresolved Mention"/>
    <w:basedOn w:val="a0"/>
    <w:uiPriority w:val="99"/>
    <w:semiHidden/>
    <w:unhideWhenUsed/>
    <w:rsid w:val="008F2A06"/>
    <w:rPr>
      <w:color w:val="605E5C"/>
      <w:shd w:val="clear" w:color="auto" w:fill="E1DFDD"/>
    </w:rPr>
  </w:style>
  <w:style w:type="paragraph" w:customStyle="1" w:styleId="rvps12">
    <w:name w:val="rvps12"/>
    <w:basedOn w:val="a"/>
    <w:rsid w:val="00F321E9"/>
    <w:pPr>
      <w:spacing w:before="100" w:beforeAutospacing="1" w:after="100" w:afterAutospacing="1"/>
    </w:pPr>
    <w:rPr>
      <w:sz w:val="24"/>
      <w:szCs w:val="24"/>
      <w:lang w:val="uk-UA" w:eastAsia="uk-UA"/>
    </w:rPr>
  </w:style>
  <w:style w:type="character" w:customStyle="1" w:styleId="rvts15">
    <w:name w:val="rvts15"/>
    <w:basedOn w:val="a0"/>
    <w:rsid w:val="00F321E9"/>
  </w:style>
  <w:style w:type="table" w:styleId="af6">
    <w:name w:val="Table Grid"/>
    <w:basedOn w:val="a1"/>
    <w:uiPriority w:val="39"/>
    <w:rsid w:val="00F32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F321E9"/>
    <w:pPr>
      <w:spacing w:before="100" w:beforeAutospacing="1" w:after="100" w:afterAutospacing="1"/>
    </w:pPr>
    <w:rPr>
      <w:sz w:val="24"/>
      <w:szCs w:val="24"/>
      <w:lang w:val="uk-UA" w:eastAsia="uk-UA"/>
    </w:rPr>
  </w:style>
  <w:style w:type="paragraph" w:customStyle="1" w:styleId="rvps14">
    <w:name w:val="rvps14"/>
    <w:basedOn w:val="a"/>
    <w:rsid w:val="00AC45F1"/>
    <w:pPr>
      <w:spacing w:before="100" w:beforeAutospacing="1" w:after="100" w:afterAutospacing="1"/>
    </w:pPr>
    <w:rPr>
      <w:sz w:val="24"/>
      <w:szCs w:val="24"/>
      <w:lang w:val="uk-UA" w:eastAsia="uk-UA"/>
    </w:rPr>
  </w:style>
  <w:style w:type="table" w:styleId="4">
    <w:name w:val="Plain Table 4"/>
    <w:basedOn w:val="a1"/>
    <w:uiPriority w:val="44"/>
    <w:rsid w:val="003013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20">
    <w:name w:val="Абзац списку2"/>
    <w:basedOn w:val="a"/>
    <w:rsid w:val="00810F7D"/>
    <w:pPr>
      <w:widowControl w:val="0"/>
      <w:suppressAutoHyphens/>
      <w:spacing w:after="200" w:line="276" w:lineRule="auto"/>
      <w:ind w:left="720"/>
      <w:contextualSpacing/>
    </w:pPr>
    <w:rPr>
      <w:rFonts w:ascii="font419" w:hAnsi="font419" w:cs="font419"/>
      <w:kern w:val="1"/>
      <w:sz w:val="22"/>
      <w:szCs w:val="22"/>
      <w:lang w:val="en-US" w:eastAsia="en-US"/>
    </w:rPr>
  </w:style>
  <w:style w:type="character" w:customStyle="1" w:styleId="10">
    <w:name w:val="Заголовок 1 Знак"/>
    <w:basedOn w:val="a0"/>
    <w:link w:val="1"/>
    <w:uiPriority w:val="9"/>
    <w:rsid w:val="00332E0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99010">
      <w:bodyDiv w:val="1"/>
      <w:marLeft w:val="0"/>
      <w:marRight w:val="0"/>
      <w:marTop w:val="0"/>
      <w:marBottom w:val="0"/>
      <w:divBdr>
        <w:top w:val="none" w:sz="0" w:space="0" w:color="auto"/>
        <w:left w:val="none" w:sz="0" w:space="0" w:color="auto"/>
        <w:bottom w:val="none" w:sz="0" w:space="0" w:color="auto"/>
        <w:right w:val="none" w:sz="0" w:space="0" w:color="auto"/>
      </w:divBdr>
    </w:div>
    <w:div w:id="221136093">
      <w:bodyDiv w:val="1"/>
      <w:marLeft w:val="0"/>
      <w:marRight w:val="0"/>
      <w:marTop w:val="0"/>
      <w:marBottom w:val="0"/>
      <w:divBdr>
        <w:top w:val="none" w:sz="0" w:space="0" w:color="auto"/>
        <w:left w:val="none" w:sz="0" w:space="0" w:color="auto"/>
        <w:bottom w:val="none" w:sz="0" w:space="0" w:color="auto"/>
        <w:right w:val="none" w:sz="0" w:space="0" w:color="auto"/>
      </w:divBdr>
    </w:div>
    <w:div w:id="421730659">
      <w:bodyDiv w:val="1"/>
      <w:marLeft w:val="0"/>
      <w:marRight w:val="0"/>
      <w:marTop w:val="0"/>
      <w:marBottom w:val="0"/>
      <w:divBdr>
        <w:top w:val="none" w:sz="0" w:space="0" w:color="auto"/>
        <w:left w:val="none" w:sz="0" w:space="0" w:color="auto"/>
        <w:bottom w:val="none" w:sz="0" w:space="0" w:color="auto"/>
        <w:right w:val="none" w:sz="0" w:space="0" w:color="auto"/>
      </w:divBdr>
    </w:div>
    <w:div w:id="563418991">
      <w:bodyDiv w:val="1"/>
      <w:marLeft w:val="0"/>
      <w:marRight w:val="0"/>
      <w:marTop w:val="0"/>
      <w:marBottom w:val="0"/>
      <w:divBdr>
        <w:top w:val="none" w:sz="0" w:space="0" w:color="auto"/>
        <w:left w:val="none" w:sz="0" w:space="0" w:color="auto"/>
        <w:bottom w:val="none" w:sz="0" w:space="0" w:color="auto"/>
        <w:right w:val="none" w:sz="0" w:space="0" w:color="auto"/>
      </w:divBdr>
    </w:div>
    <w:div w:id="927276626">
      <w:bodyDiv w:val="1"/>
      <w:marLeft w:val="0"/>
      <w:marRight w:val="0"/>
      <w:marTop w:val="0"/>
      <w:marBottom w:val="0"/>
      <w:divBdr>
        <w:top w:val="none" w:sz="0" w:space="0" w:color="auto"/>
        <w:left w:val="none" w:sz="0" w:space="0" w:color="auto"/>
        <w:bottom w:val="none" w:sz="0" w:space="0" w:color="auto"/>
        <w:right w:val="none" w:sz="0" w:space="0" w:color="auto"/>
      </w:divBdr>
    </w:div>
    <w:div w:id="1176116268">
      <w:bodyDiv w:val="1"/>
      <w:marLeft w:val="0"/>
      <w:marRight w:val="0"/>
      <w:marTop w:val="0"/>
      <w:marBottom w:val="0"/>
      <w:divBdr>
        <w:top w:val="none" w:sz="0" w:space="0" w:color="auto"/>
        <w:left w:val="none" w:sz="0" w:space="0" w:color="auto"/>
        <w:bottom w:val="none" w:sz="0" w:space="0" w:color="auto"/>
        <w:right w:val="none" w:sz="0" w:space="0" w:color="auto"/>
      </w:divBdr>
    </w:div>
    <w:div w:id="1309824064">
      <w:bodyDiv w:val="1"/>
      <w:marLeft w:val="0"/>
      <w:marRight w:val="0"/>
      <w:marTop w:val="0"/>
      <w:marBottom w:val="0"/>
      <w:divBdr>
        <w:top w:val="none" w:sz="0" w:space="0" w:color="auto"/>
        <w:left w:val="none" w:sz="0" w:space="0" w:color="auto"/>
        <w:bottom w:val="none" w:sz="0" w:space="0" w:color="auto"/>
        <w:right w:val="none" w:sz="0" w:space="0" w:color="auto"/>
      </w:divBdr>
    </w:div>
    <w:div w:id="1516650042">
      <w:bodyDiv w:val="1"/>
      <w:marLeft w:val="0"/>
      <w:marRight w:val="0"/>
      <w:marTop w:val="0"/>
      <w:marBottom w:val="0"/>
      <w:divBdr>
        <w:top w:val="none" w:sz="0" w:space="0" w:color="auto"/>
        <w:left w:val="none" w:sz="0" w:space="0" w:color="auto"/>
        <w:bottom w:val="none" w:sz="0" w:space="0" w:color="auto"/>
        <w:right w:val="none" w:sz="0" w:space="0" w:color="auto"/>
      </w:divBdr>
    </w:div>
    <w:div w:id="1518420321">
      <w:bodyDiv w:val="1"/>
      <w:marLeft w:val="0"/>
      <w:marRight w:val="0"/>
      <w:marTop w:val="0"/>
      <w:marBottom w:val="0"/>
      <w:divBdr>
        <w:top w:val="none" w:sz="0" w:space="0" w:color="auto"/>
        <w:left w:val="none" w:sz="0" w:space="0" w:color="auto"/>
        <w:bottom w:val="none" w:sz="0" w:space="0" w:color="auto"/>
        <w:right w:val="none" w:sz="0" w:space="0" w:color="auto"/>
      </w:divBdr>
    </w:div>
    <w:div w:id="1927839501">
      <w:bodyDiv w:val="1"/>
      <w:marLeft w:val="0"/>
      <w:marRight w:val="0"/>
      <w:marTop w:val="0"/>
      <w:marBottom w:val="0"/>
      <w:divBdr>
        <w:top w:val="none" w:sz="0" w:space="0" w:color="auto"/>
        <w:left w:val="none" w:sz="0" w:space="0" w:color="auto"/>
        <w:bottom w:val="none" w:sz="0" w:space="0" w:color="auto"/>
        <w:right w:val="none" w:sz="0" w:space="0" w:color="auto"/>
      </w:divBdr>
    </w:div>
    <w:div w:id="19789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1F856-7EE4-48DA-A49C-04228812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13482</Words>
  <Characters>7686</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 Kuprin</dc:creator>
  <cp:keywords/>
  <dc:description/>
  <cp:lastModifiedBy>Юлія В. Остапенко</cp:lastModifiedBy>
  <cp:revision>6</cp:revision>
  <cp:lastPrinted>2018-12-28T14:15:00Z</cp:lastPrinted>
  <dcterms:created xsi:type="dcterms:W3CDTF">2018-12-28T14:35:00Z</dcterms:created>
  <dcterms:modified xsi:type="dcterms:W3CDTF">2018-12-29T08:06:00Z</dcterms:modified>
</cp:coreProperties>
</file>