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7" w:rsidRPr="00B22D97" w:rsidRDefault="00B22D97" w:rsidP="00B22D97">
      <w:pPr>
        <w:pStyle w:val="a5"/>
        <w:ind w:left="3402"/>
      </w:pPr>
      <w:bookmarkStart w:id="0" w:name="_GoBack"/>
      <w:bookmarkEnd w:id="0"/>
      <w:r w:rsidRPr="00B22D97">
        <w:t>ЗАТВЕРДЖЕНО</w:t>
      </w:r>
      <w:r>
        <w:br/>
      </w:r>
      <w:r w:rsidRPr="00B22D97">
        <w:t>постановою Кабінету Міністрів України</w:t>
      </w:r>
      <w:r>
        <w:br/>
      </w:r>
      <w:r w:rsidRPr="00B22D97">
        <w:t xml:space="preserve">від </w:t>
      </w:r>
      <w:r w:rsidR="00E03910">
        <w:t xml:space="preserve">23 січня </w:t>
      </w:r>
      <w:r>
        <w:t>201</w:t>
      </w:r>
      <w:r w:rsidR="00F62D7E">
        <w:t>9</w:t>
      </w:r>
      <w:r>
        <w:t xml:space="preserve"> р. №</w:t>
      </w:r>
      <w:r w:rsidR="00E03910">
        <w:t xml:space="preserve"> 39</w:t>
      </w:r>
    </w:p>
    <w:p w:rsidR="00B22D97" w:rsidRPr="00B22D97" w:rsidRDefault="00B22D97" w:rsidP="00A64692">
      <w:pPr>
        <w:pStyle w:val="ad"/>
        <w:spacing w:before="360" w:after="360"/>
        <w:rPr>
          <w:b w:val="0"/>
        </w:rPr>
      </w:pPr>
      <w:r w:rsidRPr="00B22D97">
        <w:rPr>
          <w:b w:val="0"/>
        </w:rPr>
        <w:t>КРИТЕРІЇ,</w:t>
      </w:r>
      <w:r>
        <w:rPr>
          <w:b w:val="0"/>
        </w:rPr>
        <w:br/>
      </w:r>
      <w:r w:rsidRPr="00B22D97">
        <w:rPr>
          <w:b w:val="0"/>
        </w:rPr>
        <w:t xml:space="preserve">за якими оцінюється ступінь ризику від провадження </w:t>
      </w:r>
      <w:r>
        <w:rPr>
          <w:b w:val="0"/>
        </w:rPr>
        <w:br/>
      </w:r>
      <w:r w:rsidRPr="00B22D97">
        <w:rPr>
          <w:b w:val="0"/>
        </w:rPr>
        <w:t xml:space="preserve">господарської діяльності у сфері професійної </w:t>
      </w:r>
      <w:r>
        <w:rPr>
          <w:b w:val="0"/>
        </w:rPr>
        <w:br/>
      </w:r>
      <w:r w:rsidRPr="00B22D97">
        <w:rPr>
          <w:b w:val="0"/>
        </w:rPr>
        <w:t xml:space="preserve">діяльності на ринку цінних паперів, що підлягає </w:t>
      </w:r>
      <w:r w:rsidR="004B3F2C">
        <w:rPr>
          <w:b w:val="0"/>
        </w:rPr>
        <w:br/>
      </w:r>
      <w:r w:rsidRPr="00B22D97">
        <w:rPr>
          <w:b w:val="0"/>
        </w:rPr>
        <w:t xml:space="preserve">ліцензуванню, та визначається періодичність </w:t>
      </w:r>
      <w:r>
        <w:rPr>
          <w:b w:val="0"/>
        </w:rPr>
        <w:br/>
      </w:r>
      <w:r w:rsidRPr="00B22D97">
        <w:rPr>
          <w:b w:val="0"/>
        </w:rPr>
        <w:t xml:space="preserve">проведення планових заходів державного нагляду (контролю) </w:t>
      </w:r>
      <w:r>
        <w:rPr>
          <w:b w:val="0"/>
        </w:rPr>
        <w:br/>
      </w:r>
      <w:r w:rsidRPr="00B22D97">
        <w:rPr>
          <w:b w:val="0"/>
        </w:rPr>
        <w:t>Національною комісією з цінних паперів та фондового ринку</w:t>
      </w:r>
    </w:p>
    <w:p w:rsidR="00B22D97" w:rsidRPr="00B22D97" w:rsidRDefault="00B22D97" w:rsidP="00B22D97">
      <w:pPr>
        <w:pStyle w:val="a4"/>
        <w:jc w:val="both"/>
      </w:pPr>
      <w:r w:rsidRPr="00B22D97">
        <w:t>1. Критеріями, за якими оцінюється ступінь ризику від провадження господарської діяльності у сфері професійної діяльності на ринку цінних паперів, що підлягає ліцензуванню, є:</w:t>
      </w:r>
    </w:p>
    <w:p w:rsidR="00B22D97" w:rsidRPr="00B22D97" w:rsidRDefault="00B22D97" w:rsidP="00B22D97">
      <w:pPr>
        <w:pStyle w:val="a4"/>
        <w:jc w:val="both"/>
      </w:pPr>
      <w:r w:rsidRPr="00B22D97">
        <w:t>обсяги, масштаб діяльності суб’єкта господарювання;</w:t>
      </w:r>
    </w:p>
    <w:p w:rsidR="00B22D97" w:rsidRPr="00B22D97" w:rsidRDefault="00B22D97" w:rsidP="00B22D97">
      <w:pPr>
        <w:pStyle w:val="a4"/>
        <w:jc w:val="both"/>
      </w:pPr>
      <w:r w:rsidRPr="00B22D97">
        <w:t>фінансові показники діяльності суб’єкта господарювання;</w:t>
      </w:r>
    </w:p>
    <w:p w:rsidR="00B22D97" w:rsidRPr="00B22D97" w:rsidRDefault="00B22D97" w:rsidP="00B22D97">
      <w:pPr>
        <w:pStyle w:val="a4"/>
        <w:jc w:val="both"/>
      </w:pPr>
      <w:r w:rsidRPr="00B22D97">
        <w:t xml:space="preserve">наявність порушень вимог законодавства на ринку цінних паперів </w:t>
      </w:r>
      <w:r w:rsidR="000062A8">
        <w:t>у</w:t>
      </w:r>
      <w:r w:rsidRPr="00B22D97">
        <w:t xml:space="preserve"> діяльності суб’єкта господарювання.</w:t>
      </w:r>
    </w:p>
    <w:p w:rsidR="00B22D97" w:rsidRPr="00B22D97" w:rsidRDefault="00B22D97" w:rsidP="00B22D97">
      <w:pPr>
        <w:pStyle w:val="a4"/>
        <w:jc w:val="both"/>
      </w:pPr>
      <w:r w:rsidRPr="00B22D97">
        <w:t xml:space="preserve">2. Ризики настання негативних наслідків від провадження господарської діяльності </w:t>
      </w:r>
      <w:r w:rsidR="00C77B75" w:rsidRPr="00B22D97">
        <w:t>у сфері професійної діяльності на ринку цінних паперів, що підлягає ліцензуванню</w:t>
      </w:r>
      <w:r w:rsidR="000062A8">
        <w:t>,</w:t>
      </w:r>
      <w:r w:rsidR="00C77B75" w:rsidRPr="00B22D97">
        <w:t xml:space="preserve"> </w:t>
      </w:r>
      <w:r w:rsidRPr="00B22D97">
        <w:t>визначено у додатку 1.</w:t>
      </w:r>
    </w:p>
    <w:p w:rsidR="00B22D97" w:rsidRPr="00B22D97" w:rsidRDefault="00B22D97" w:rsidP="00B22D97">
      <w:pPr>
        <w:pStyle w:val="a4"/>
        <w:jc w:val="both"/>
      </w:pPr>
      <w:r w:rsidRPr="00B22D97">
        <w:t xml:space="preserve">3. </w:t>
      </w:r>
      <w:r w:rsidR="00C77B75">
        <w:t>П</w:t>
      </w:r>
      <w:r w:rsidRPr="00B22D97">
        <w:t xml:space="preserve">ерелік критеріїв, за якими оцінюється ступінь ризику від провадження господарської діяльності у сфері професійної діяльності на </w:t>
      </w:r>
      <w:r w:rsidR="00C77B75">
        <w:t>ринку цінних паперів</w:t>
      </w:r>
      <w:r w:rsidRPr="00B22D97">
        <w:t>, що підлягає ліцензуванню, їх показник</w:t>
      </w:r>
      <w:r w:rsidR="00C77B75">
        <w:t>и</w:t>
      </w:r>
      <w:r w:rsidRPr="00B22D97">
        <w:t>, кількі</w:t>
      </w:r>
      <w:r w:rsidR="00C77B75">
        <w:t>сть</w:t>
      </w:r>
      <w:r w:rsidRPr="00B22D97">
        <w:t xml:space="preserve"> балів за кожним показником визначено </w:t>
      </w:r>
      <w:r w:rsidR="00BA4DED">
        <w:t>у</w:t>
      </w:r>
      <w:r w:rsidRPr="00B22D97">
        <w:t xml:space="preserve"> додатку 2.</w:t>
      </w:r>
    </w:p>
    <w:p w:rsidR="00B22D97" w:rsidRPr="00B22D97" w:rsidRDefault="00B22D97" w:rsidP="00B22D97">
      <w:pPr>
        <w:pStyle w:val="a4"/>
        <w:jc w:val="both"/>
      </w:pPr>
      <w:r w:rsidRPr="00B22D97">
        <w:t>4. Віднесення суб’єкта господарювання до високого, середнього або незначного ступен</w:t>
      </w:r>
      <w:r w:rsidR="00C77B75">
        <w:t>я</w:t>
      </w:r>
      <w:r w:rsidRPr="00B22D97">
        <w:t xml:space="preserve"> ризику здійснюється з урахуванням суми балів, нарахованих за всіма критеріями, визначеними у додатку 2, за такою шкалою:</w:t>
      </w:r>
    </w:p>
    <w:p w:rsidR="00B22D97" w:rsidRPr="00B22D97" w:rsidRDefault="00B22D97" w:rsidP="00B22D97">
      <w:pPr>
        <w:pStyle w:val="a4"/>
        <w:jc w:val="both"/>
      </w:pPr>
      <w:r w:rsidRPr="00B22D97">
        <w:t xml:space="preserve">від 41 до 100 балів </w:t>
      </w:r>
      <w:r>
        <w:t>—</w:t>
      </w:r>
      <w:r w:rsidRPr="00B22D97">
        <w:t xml:space="preserve"> до високого ступеня ризику;</w:t>
      </w:r>
    </w:p>
    <w:p w:rsidR="00B22D97" w:rsidRPr="00B22D97" w:rsidRDefault="00B22D97" w:rsidP="00B22D97">
      <w:pPr>
        <w:pStyle w:val="a4"/>
        <w:jc w:val="both"/>
      </w:pPr>
      <w:r w:rsidRPr="00B22D97">
        <w:t xml:space="preserve">від 21 до 40 балів </w:t>
      </w:r>
      <w:r>
        <w:t>—</w:t>
      </w:r>
      <w:r w:rsidRPr="00B22D97">
        <w:t xml:space="preserve"> до середнього ступеня ризику;</w:t>
      </w:r>
    </w:p>
    <w:p w:rsidR="00B22D97" w:rsidRPr="00B22D97" w:rsidRDefault="00B22D97" w:rsidP="00B22D97">
      <w:pPr>
        <w:pStyle w:val="a4"/>
        <w:jc w:val="both"/>
      </w:pPr>
      <w:r w:rsidRPr="00B22D97">
        <w:t xml:space="preserve">від 0 до 20 балів </w:t>
      </w:r>
      <w:r>
        <w:t>—</w:t>
      </w:r>
      <w:r w:rsidRPr="00B22D97">
        <w:t xml:space="preserve"> до незначного ступеня ризику.</w:t>
      </w:r>
    </w:p>
    <w:p w:rsidR="00C77B75" w:rsidRDefault="00B22D97" w:rsidP="00B22D97">
      <w:pPr>
        <w:pStyle w:val="a4"/>
        <w:jc w:val="both"/>
      </w:pPr>
      <w:r w:rsidRPr="00B22D97">
        <w:t>5. Планові заходи державного нагляду (контролю)</w:t>
      </w:r>
      <w:r w:rsidR="00C77B75">
        <w:t xml:space="preserve"> щодо </w:t>
      </w:r>
      <w:r w:rsidR="00C77B75" w:rsidRPr="00B22D97">
        <w:t>провадження господарської діяльності у сфері професійної діяльності на ринку цінних паперів, що підлягає ліцензуванню</w:t>
      </w:r>
      <w:r w:rsidR="000062A8">
        <w:t>,</w:t>
      </w:r>
      <w:r w:rsidRPr="00B22D97">
        <w:t xml:space="preserve"> </w:t>
      </w:r>
      <w:r w:rsidR="00C77B75">
        <w:t>здійснюються</w:t>
      </w:r>
      <w:r w:rsidRPr="00B22D97">
        <w:t xml:space="preserve"> </w:t>
      </w:r>
      <w:r w:rsidR="000062A8">
        <w:t>Національною комісією з цінних паперів та фондового ринку</w:t>
      </w:r>
      <w:r w:rsidR="00C77B75">
        <w:t xml:space="preserve"> </w:t>
      </w:r>
      <w:r w:rsidR="006E5204">
        <w:t>стосовно діяльно</w:t>
      </w:r>
      <w:r w:rsidR="00C77B75">
        <w:t>ст</w:t>
      </w:r>
      <w:r w:rsidR="006E5204">
        <w:t>і</w:t>
      </w:r>
      <w:r w:rsidR="00C77B75">
        <w:t xml:space="preserve"> суб’єктів господарювання, </w:t>
      </w:r>
      <w:r w:rsidR="006E5204">
        <w:t>що</w:t>
      </w:r>
      <w:r w:rsidR="00C77B75">
        <w:t xml:space="preserve"> віднесен</w:t>
      </w:r>
      <w:r w:rsidR="006E5204">
        <w:t>і</w:t>
      </w:r>
      <w:r w:rsidR="00C77B75">
        <w:t>:</w:t>
      </w:r>
    </w:p>
    <w:p w:rsidR="00C77B75" w:rsidRDefault="00C77B75" w:rsidP="00B22D97">
      <w:pPr>
        <w:pStyle w:val="a4"/>
        <w:jc w:val="both"/>
      </w:pPr>
      <w:r>
        <w:lastRenderedPageBreak/>
        <w:t xml:space="preserve">до високого ступеня ризику — не частіше </w:t>
      </w:r>
      <w:r w:rsidR="000062A8">
        <w:t>одного</w:t>
      </w:r>
      <w:r>
        <w:t xml:space="preserve"> раз</w:t>
      </w:r>
      <w:r w:rsidR="000062A8">
        <w:t>у</w:t>
      </w:r>
      <w:r>
        <w:t xml:space="preserve"> на два роки;</w:t>
      </w:r>
    </w:p>
    <w:p w:rsidR="00C77B75" w:rsidRDefault="00C77B75" w:rsidP="00C77B75">
      <w:pPr>
        <w:pStyle w:val="a4"/>
        <w:jc w:val="both"/>
      </w:pPr>
      <w:r>
        <w:t>до середнього ступ</w:t>
      </w:r>
      <w:r w:rsidR="000062A8">
        <w:t>еня ризику — не частіше одного</w:t>
      </w:r>
      <w:r>
        <w:t xml:space="preserve"> раз</w:t>
      </w:r>
      <w:r w:rsidR="000062A8">
        <w:t>у</w:t>
      </w:r>
      <w:r>
        <w:t xml:space="preserve"> на три роки;</w:t>
      </w:r>
    </w:p>
    <w:p w:rsidR="00C77B75" w:rsidRDefault="00C77B75" w:rsidP="00C77B75">
      <w:pPr>
        <w:pStyle w:val="a4"/>
        <w:jc w:val="both"/>
      </w:pPr>
      <w:r>
        <w:t xml:space="preserve">до низького ступеня ризику — не частіше </w:t>
      </w:r>
      <w:r w:rsidR="000062A8">
        <w:t>одного</w:t>
      </w:r>
      <w:r>
        <w:t xml:space="preserve"> раз</w:t>
      </w:r>
      <w:r w:rsidR="000062A8">
        <w:t>у</w:t>
      </w:r>
      <w:r w:rsidR="00BA4DED">
        <w:t xml:space="preserve"> на п’ять років</w:t>
      </w:r>
      <w:r>
        <w:t>.</w:t>
      </w:r>
    </w:p>
    <w:p w:rsidR="00C77B75" w:rsidRDefault="00C77B75" w:rsidP="00C77B75">
      <w:pPr>
        <w:pStyle w:val="a4"/>
        <w:jc w:val="both"/>
      </w:pPr>
      <w:r>
        <w:t xml:space="preserve">Періодичність проведення наступного планового заходу державного нагляду </w:t>
      </w:r>
      <w:r w:rsidRPr="00B22D97">
        <w:t>(контролю)</w:t>
      </w:r>
      <w:r>
        <w:t xml:space="preserve"> щодо відповідного суб’єкта господарювання відраховується від дати закінчення планового періоду, в якому здійснювався захід державного нагляду (контролю).</w:t>
      </w:r>
    </w:p>
    <w:p w:rsidR="00C77B75" w:rsidRDefault="00C77B75" w:rsidP="00C77B75">
      <w:pPr>
        <w:pStyle w:val="a4"/>
        <w:jc w:val="both"/>
      </w:pPr>
      <w:r>
        <w:t>6. У разі коли за результатами планових та позапланових заходів державного нагляду (контролю)</w:t>
      </w:r>
      <w:r w:rsidR="00391E2D">
        <w:t xml:space="preserve"> протягом останніх шести років для суб’єктів господарювання, які віднесені до середнього ступеня ризику, та протягом останніх десяти років для суб’єктів господарювання, які віднесені до незначного ступеня ризику, у суб’єкта господарювання не виявлено суттєвих порушень вимог законодавства у сфері </w:t>
      </w:r>
      <w:r w:rsidR="00BA4DED">
        <w:t>професійної діяльності на ринку цінних паперів,</w:t>
      </w:r>
      <w:r w:rsidR="00391E2D">
        <w:t xml:space="preserve"> наступний плановий захід державного нагляду (контролю) щодо такого суб’єкта господарювання проводиться не раніше ніж через період часу, встановлений для відповідн</w:t>
      </w:r>
      <w:r w:rsidR="000062A8">
        <w:t>ого ступеня ризику, збільшений у</w:t>
      </w:r>
      <w:r w:rsidR="00391E2D">
        <w:t xml:space="preserve"> 1,5 раза.    </w:t>
      </w:r>
    </w:p>
    <w:p w:rsidR="003C6594" w:rsidRDefault="00210F96" w:rsidP="00DC64C3">
      <w:pPr>
        <w:pStyle w:val="3"/>
        <w:spacing w:before="480"/>
        <w:ind w:left="0"/>
        <w:jc w:val="center"/>
        <w:rPr>
          <w:b w:val="0"/>
          <w:i w:val="0"/>
        </w:rPr>
        <w:sectPr w:rsidR="003C6594">
          <w:headerReference w:type="even" r:id="rId6"/>
          <w:headerReference w:type="default" r:id="rId7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DC64C3">
        <w:rPr>
          <w:b w:val="0"/>
          <w:i w:val="0"/>
        </w:rPr>
        <w:t>_____________________</w:t>
      </w:r>
    </w:p>
    <w:p w:rsidR="003C6594" w:rsidRPr="003B319F" w:rsidRDefault="003C6594" w:rsidP="003C6594">
      <w:pPr>
        <w:pStyle w:val="ShapkaDocumentu"/>
        <w:ind w:left="6096"/>
      </w:pPr>
      <w:r w:rsidRPr="003B319F">
        <w:lastRenderedPageBreak/>
        <w:t xml:space="preserve">Додаток 1 </w:t>
      </w:r>
      <w:r w:rsidRPr="003C6594">
        <w:br/>
      </w:r>
      <w:r w:rsidRPr="003B319F">
        <w:t xml:space="preserve">до </w:t>
      </w:r>
      <w:r>
        <w:t>критеріїв</w:t>
      </w:r>
    </w:p>
    <w:p w:rsidR="003C6594" w:rsidRDefault="003C6594" w:rsidP="003C6594">
      <w:pPr>
        <w:pStyle w:val="ad"/>
        <w:spacing w:after="0"/>
        <w:rPr>
          <w:b w:val="0"/>
        </w:rPr>
      </w:pPr>
      <w:r w:rsidRPr="003B319F">
        <w:rPr>
          <w:b w:val="0"/>
        </w:rPr>
        <w:t>Р</w:t>
      </w:r>
      <w:r>
        <w:rPr>
          <w:b w:val="0"/>
        </w:rPr>
        <w:t>ИЗИКИ</w:t>
      </w:r>
      <w:r w:rsidRPr="003B319F">
        <w:rPr>
          <w:b w:val="0"/>
        </w:rPr>
        <w:t xml:space="preserve"> </w:t>
      </w:r>
      <w:r w:rsidRPr="00B32A8D">
        <w:rPr>
          <w:b w:val="0"/>
        </w:rPr>
        <w:br/>
      </w:r>
      <w:r w:rsidRPr="003B319F">
        <w:rPr>
          <w:b w:val="0"/>
        </w:rPr>
        <w:t xml:space="preserve">настання негативних наслідків </w:t>
      </w:r>
      <w:r w:rsidRPr="00B32A8D">
        <w:rPr>
          <w:b w:val="0"/>
        </w:rPr>
        <w:br/>
      </w:r>
      <w:r w:rsidRPr="003B319F">
        <w:rPr>
          <w:b w:val="0"/>
        </w:rPr>
        <w:t>від провадження господарської діяльності</w:t>
      </w:r>
      <w:r>
        <w:rPr>
          <w:b w:val="0"/>
        </w:rPr>
        <w:t xml:space="preserve"> у сфері професійної діяльності на ринку цінних паперів, що підлягає ліцензуванню</w:t>
      </w:r>
    </w:p>
    <w:p w:rsidR="003C6594" w:rsidRPr="00B32A8D" w:rsidRDefault="003C6594" w:rsidP="003C6594">
      <w:pPr>
        <w:pStyle w:val="a4"/>
      </w:pPr>
    </w:p>
    <w:tbl>
      <w:tblPr>
        <w:tblW w:w="491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803"/>
        <w:gridCol w:w="1598"/>
        <w:gridCol w:w="2269"/>
        <w:gridCol w:w="3455"/>
      </w:tblGrid>
      <w:tr w:rsidR="003C6594" w:rsidRPr="003B319F" w:rsidTr="002314ED">
        <w:trPr>
          <w:trHeight w:val="800"/>
        </w:trPr>
        <w:tc>
          <w:tcPr>
            <w:tcW w:w="1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4" w:rsidRPr="003B319F" w:rsidRDefault="003C6594" w:rsidP="002314ED">
            <w:pPr>
              <w:pStyle w:val="a4"/>
              <w:ind w:firstLine="0"/>
              <w:jc w:val="center"/>
            </w:pPr>
            <w:bookmarkStart w:id="1" w:name="n53"/>
            <w:bookmarkStart w:id="2" w:name="n54"/>
            <w:bookmarkEnd w:id="1"/>
            <w:bookmarkEnd w:id="2"/>
          </w:p>
          <w:p w:rsidR="003C6594" w:rsidRPr="003B319F" w:rsidRDefault="003C6594" w:rsidP="002314ED">
            <w:pPr>
              <w:pStyle w:val="a4"/>
              <w:ind w:firstLine="0"/>
              <w:jc w:val="center"/>
            </w:pPr>
            <w:r w:rsidRPr="003B319F">
              <w:t>Цілі</w:t>
            </w:r>
            <w:r>
              <w:t xml:space="preserve"> </w:t>
            </w:r>
            <w:r w:rsidRPr="003B319F">
              <w:t>державного нагляду (контролю) (код)</w:t>
            </w:r>
          </w:p>
          <w:p w:rsidR="003C6594" w:rsidRPr="003B319F" w:rsidRDefault="003C6594" w:rsidP="002314ED">
            <w:pPr>
              <w:pStyle w:val="a4"/>
              <w:ind w:firstLine="0"/>
              <w:jc w:val="center"/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4" w:rsidRPr="003B319F" w:rsidRDefault="003C6594" w:rsidP="002314ED">
            <w:pPr>
              <w:pStyle w:val="a4"/>
              <w:ind w:firstLine="0"/>
              <w:jc w:val="center"/>
            </w:pPr>
            <w:r w:rsidRPr="003B319F"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594" w:rsidRPr="003B319F" w:rsidRDefault="003C6594" w:rsidP="002314ED">
            <w:pPr>
              <w:pStyle w:val="a4"/>
              <w:ind w:firstLine="0"/>
              <w:jc w:val="center"/>
            </w:pPr>
            <w:r w:rsidRPr="003B319F"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</w:tr>
      <w:tr w:rsidR="003C6594" w:rsidRPr="003B319F" w:rsidTr="002314ED">
        <w:trPr>
          <w:trHeight w:val="600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4" w:rsidRPr="003B319F" w:rsidRDefault="003C6594" w:rsidP="002314ED">
            <w:pPr>
              <w:pStyle w:val="a4"/>
              <w:ind w:firstLine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4" w:rsidRPr="003B319F" w:rsidRDefault="003C6594" w:rsidP="002314ED">
            <w:pPr>
              <w:pStyle w:val="a4"/>
              <w:ind w:firstLine="0"/>
              <w:jc w:val="center"/>
            </w:pPr>
            <w:r w:rsidRPr="003B319F">
              <w:t>подія, що</w:t>
            </w:r>
            <w:r w:rsidRPr="00552256">
              <w:rPr>
                <w:lang w:val="ru-RU"/>
              </w:rPr>
              <w:t xml:space="preserve"> </w:t>
            </w:r>
            <w:r w:rsidRPr="003B319F">
              <w:t>містить ризик настання негативних наслідків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4" w:rsidRPr="003B319F" w:rsidRDefault="003C6594" w:rsidP="002314ED">
            <w:pPr>
              <w:pStyle w:val="a4"/>
              <w:ind w:firstLine="0"/>
              <w:jc w:val="center"/>
            </w:pPr>
            <w:r w:rsidRPr="003B319F">
              <w:t>негативний наслідок</w:t>
            </w: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594" w:rsidRPr="003B319F" w:rsidRDefault="003C6594" w:rsidP="002314ED">
            <w:pPr>
              <w:pStyle w:val="a4"/>
              <w:ind w:firstLine="0"/>
              <w:jc w:val="center"/>
            </w:pPr>
          </w:p>
        </w:tc>
      </w:tr>
      <w:tr w:rsidR="003C6594" w:rsidRPr="003B319F" w:rsidTr="002314ED">
        <w:trPr>
          <w:trHeight w:val="983"/>
        </w:trPr>
        <w:tc>
          <w:tcPr>
            <w:tcW w:w="1803" w:type="dxa"/>
            <w:tcBorders>
              <w:top w:val="single" w:sz="4" w:space="0" w:color="auto"/>
            </w:tcBorders>
          </w:tcPr>
          <w:p w:rsidR="003C6594" w:rsidRPr="003B319F" w:rsidRDefault="003C6594" w:rsidP="002314ED">
            <w:pPr>
              <w:pStyle w:val="a4"/>
              <w:ind w:firstLine="0"/>
            </w:pPr>
            <w:r w:rsidRPr="003B319F">
              <w:t>Інші суспільні інтереси (О6)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C6594" w:rsidRPr="003B319F" w:rsidRDefault="003C6594" w:rsidP="002314ED">
            <w:pPr>
              <w:pStyle w:val="a4"/>
              <w:ind w:firstLine="0"/>
            </w:pPr>
            <w:r w:rsidRPr="003B319F">
              <w:t>порушення прав та інтересів учасників ринку</w:t>
            </w:r>
            <w:r>
              <w:t xml:space="preserve"> цінних паперів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C6594" w:rsidRPr="003B319F" w:rsidRDefault="003C6594" w:rsidP="002314ED">
            <w:pPr>
              <w:pStyle w:val="a4"/>
              <w:ind w:firstLine="0"/>
            </w:pPr>
            <w:r w:rsidRPr="003B319F">
              <w:t>втрата коштів та цінних паперів;</w:t>
            </w:r>
          </w:p>
          <w:p w:rsidR="003C6594" w:rsidRPr="003B319F" w:rsidRDefault="003C6594" w:rsidP="002314ED">
            <w:pPr>
              <w:pStyle w:val="a4"/>
              <w:ind w:firstLine="0"/>
            </w:pPr>
            <w:r w:rsidRPr="003B319F">
              <w:t>неможливість підтвердження права власності на цінні папери;</w:t>
            </w:r>
          </w:p>
          <w:p w:rsidR="003C6594" w:rsidRPr="003B319F" w:rsidRDefault="003C6594" w:rsidP="002314ED">
            <w:pPr>
              <w:pStyle w:val="a4"/>
              <w:ind w:firstLine="0"/>
            </w:pPr>
            <w:r w:rsidRPr="003B319F">
              <w:t>неможливість приймати участь в управлінні акціонерним товариством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3C6594" w:rsidRPr="003B319F" w:rsidRDefault="003C6594" w:rsidP="002314ED">
            <w:pPr>
              <w:pStyle w:val="a4"/>
              <w:ind w:firstLine="0"/>
            </w:pPr>
            <w:r w:rsidRPr="003B319F">
              <w:t>обсяги, масштаб діяльності суб</w:t>
            </w:r>
            <w:r>
              <w:t>’</w:t>
            </w:r>
            <w:r w:rsidRPr="003B319F">
              <w:t>єкта господарювання;</w:t>
            </w:r>
          </w:p>
          <w:p w:rsidR="003C6594" w:rsidRPr="003B319F" w:rsidRDefault="003C6594" w:rsidP="002314ED">
            <w:pPr>
              <w:pStyle w:val="a4"/>
              <w:ind w:firstLine="0"/>
            </w:pPr>
            <w:r w:rsidRPr="003B319F">
              <w:t>фінансові показники діяльності суб</w:t>
            </w:r>
            <w:r>
              <w:t>’</w:t>
            </w:r>
            <w:r w:rsidRPr="003B319F">
              <w:t>єкта господарювання;</w:t>
            </w:r>
          </w:p>
          <w:p w:rsidR="003C6594" w:rsidRPr="003B319F" w:rsidRDefault="003C6594" w:rsidP="002314ED">
            <w:pPr>
              <w:pStyle w:val="a4"/>
              <w:ind w:firstLine="0"/>
            </w:pPr>
            <w:r w:rsidRPr="003B319F">
              <w:t xml:space="preserve">наявність порушень вимог законодавства на ринку цінних паперів </w:t>
            </w:r>
            <w:r>
              <w:t>у</w:t>
            </w:r>
            <w:r w:rsidRPr="003B319F">
              <w:t xml:space="preserve"> діяльності суб</w:t>
            </w:r>
            <w:r>
              <w:t>’</w:t>
            </w:r>
            <w:r w:rsidRPr="003B319F">
              <w:t>єкта господарювання</w:t>
            </w:r>
          </w:p>
        </w:tc>
      </w:tr>
    </w:tbl>
    <w:p w:rsidR="00B55CED" w:rsidRDefault="003C6594" w:rsidP="003C6594">
      <w:pPr>
        <w:pStyle w:val="3"/>
        <w:spacing w:before="480"/>
        <w:ind w:left="0"/>
        <w:jc w:val="center"/>
        <w:rPr>
          <w:b w:val="0"/>
          <w:i w:val="0"/>
        </w:rPr>
        <w:sectPr w:rsidR="00B55CED">
          <w:headerReference w:type="even" r:id="rId8"/>
          <w:headerReference w:type="default" r:id="rId9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3B319F">
        <w:rPr>
          <w:b w:val="0"/>
          <w:i w:val="0"/>
        </w:rPr>
        <w:t>_____________________</w:t>
      </w:r>
    </w:p>
    <w:p w:rsidR="00B55CED" w:rsidRDefault="00B55CED" w:rsidP="00B55CED">
      <w:pPr>
        <w:pStyle w:val="ShapkaDocumentu"/>
        <w:ind w:left="6521"/>
      </w:pPr>
      <w:r w:rsidRPr="002B495D">
        <w:lastRenderedPageBreak/>
        <w:t>Додаток 2</w:t>
      </w:r>
      <w:r w:rsidRPr="00B55CED">
        <w:br/>
      </w:r>
      <w:r w:rsidRPr="002B495D">
        <w:t xml:space="preserve">до </w:t>
      </w:r>
      <w:r>
        <w:t>к</w:t>
      </w:r>
      <w:r w:rsidRPr="002B495D">
        <w:t>ритеріїв</w:t>
      </w:r>
    </w:p>
    <w:p w:rsidR="00B55CED" w:rsidRPr="002B495D" w:rsidRDefault="00B55CED" w:rsidP="00B55CED">
      <w:pPr>
        <w:pStyle w:val="ad"/>
        <w:spacing w:before="0"/>
        <w:rPr>
          <w:b w:val="0"/>
        </w:rPr>
      </w:pPr>
      <w:r w:rsidRPr="002B495D">
        <w:rPr>
          <w:b w:val="0"/>
        </w:rPr>
        <w:t xml:space="preserve">ПЕРЕЛІК </w:t>
      </w:r>
      <w:r w:rsidRPr="002B495D">
        <w:rPr>
          <w:b w:val="0"/>
        </w:rPr>
        <w:br/>
      </w:r>
      <w:r>
        <w:rPr>
          <w:b w:val="0"/>
        </w:rPr>
        <w:t xml:space="preserve">критеріїв, </w:t>
      </w:r>
      <w:r w:rsidRPr="002B495D">
        <w:rPr>
          <w:b w:val="0"/>
        </w:rPr>
        <w:t xml:space="preserve">за якими оцінюється ступінь ризику від провадження </w:t>
      </w:r>
      <w:r w:rsidRPr="002B495D">
        <w:rPr>
          <w:b w:val="0"/>
        </w:rPr>
        <w:br/>
        <w:t>господарської діяльності</w:t>
      </w:r>
      <w:r>
        <w:rPr>
          <w:b w:val="0"/>
        </w:rPr>
        <w:t xml:space="preserve"> </w:t>
      </w:r>
      <w:r w:rsidRPr="002B495D">
        <w:rPr>
          <w:b w:val="0"/>
        </w:rPr>
        <w:t xml:space="preserve">у сфері професійної </w:t>
      </w:r>
      <w:r w:rsidRPr="002B495D">
        <w:rPr>
          <w:b w:val="0"/>
        </w:rPr>
        <w:br/>
        <w:t xml:space="preserve">діяльності на </w:t>
      </w:r>
      <w:r>
        <w:rPr>
          <w:b w:val="0"/>
        </w:rPr>
        <w:t>ринку цінних паперів</w:t>
      </w:r>
      <w:r w:rsidRPr="002B495D">
        <w:rPr>
          <w:b w:val="0"/>
        </w:rPr>
        <w:t>, що підлягає ліцензуванню, їх показників, кількості балів за кожним показником</w:t>
      </w:r>
    </w:p>
    <w:tbl>
      <w:tblPr>
        <w:tblW w:w="9287" w:type="dxa"/>
        <w:tblLook w:val="00A0" w:firstRow="1" w:lastRow="0" w:firstColumn="1" w:lastColumn="0" w:noHBand="0" w:noVBand="0"/>
      </w:tblPr>
      <w:tblGrid>
        <w:gridCol w:w="3085"/>
        <w:gridCol w:w="4933"/>
        <w:gridCol w:w="1269"/>
      </w:tblGrid>
      <w:tr w:rsidR="00B55CED" w:rsidRPr="002B495D" w:rsidTr="002314ED">
        <w:trPr>
          <w:trHeight w:val="1577"/>
          <w:tblHeader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bookmarkStart w:id="3" w:name="n57"/>
            <w:bookmarkEnd w:id="3"/>
            <w:r w:rsidRPr="002B495D"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Показники 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Кількість</w:t>
            </w:r>
            <w:r>
              <w:rPr>
                <w:lang w:val="ru-RU"/>
              </w:rPr>
              <w:t xml:space="preserve"> </w:t>
            </w:r>
            <w:r w:rsidRPr="002B495D">
              <w:t>балів</w:t>
            </w:r>
          </w:p>
        </w:tc>
      </w:tr>
      <w:tr w:rsidR="00B55CED" w:rsidRPr="002B495D" w:rsidTr="002314ED">
        <w:tc>
          <w:tcPr>
            <w:tcW w:w="1661" w:type="pct"/>
            <w:tcBorders>
              <w:top w:val="single" w:sz="4" w:space="0" w:color="auto"/>
            </w:tcBorders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1. Обсяги, масштаб діяльності суб</w:t>
            </w:r>
            <w:r>
              <w:t>’</w:t>
            </w:r>
            <w:r w:rsidRPr="002B495D">
              <w:t>єкта господарювання</w:t>
            </w:r>
          </w:p>
        </w:tc>
        <w:tc>
          <w:tcPr>
            <w:tcW w:w="2656" w:type="pct"/>
            <w:tcBorders>
              <w:top w:val="single" w:sz="4" w:space="0" w:color="auto"/>
            </w:tcBorders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>
              <w:t xml:space="preserve">1) </w:t>
            </w:r>
            <w:r w:rsidRPr="002B495D">
              <w:t>суб</w:t>
            </w:r>
            <w:r>
              <w:t>’</w:t>
            </w:r>
            <w:r w:rsidRPr="002B495D">
              <w:t>єкти господарювання з показниками за певним видом професійної діяльності на ринку</w:t>
            </w:r>
            <w:r>
              <w:t xml:space="preserve"> цінних паперів</w:t>
            </w:r>
            <w:r w:rsidRPr="002B495D">
              <w:t xml:space="preserve">, що </w:t>
            </w:r>
            <w:r>
              <w:t>посідають у</w:t>
            </w:r>
            <w:r w:rsidRPr="002B495D">
              <w:t xml:space="preserve"> переліку, який складається на підставі наявних </w:t>
            </w:r>
            <w:r>
              <w:t>у</w:t>
            </w:r>
            <w:r w:rsidRPr="002B495D">
              <w:t xml:space="preserve"> НКЦПФР адміністративних даних/</w:t>
            </w:r>
            <w:r>
              <w:t xml:space="preserve">фінансової звітності </w:t>
            </w:r>
            <w:r w:rsidRPr="002B495D">
              <w:t>(за певним видом професійної діяльності), з першої по сьому позиції в сторону зменшення: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</w:p>
        </w:tc>
      </w:tr>
      <w:tr w:rsidR="00B55CED" w:rsidRPr="002B495D" w:rsidTr="002314ED"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cуб</w:t>
            </w:r>
            <w:r>
              <w:t>’</w:t>
            </w:r>
            <w:r w:rsidRPr="002B495D">
              <w:t>єкти господарювання, що є торговцями цінними паперами</w:t>
            </w:r>
            <w:r>
              <w:t xml:space="preserve">, — </w:t>
            </w:r>
            <w:r w:rsidRPr="002B495D">
              <w:t xml:space="preserve">за обсягами торгів на </w:t>
            </w:r>
            <w:r>
              <w:t xml:space="preserve">фондовому </w:t>
            </w:r>
            <w:r w:rsidRPr="002B495D">
              <w:t>ринк</w:t>
            </w:r>
            <w:r>
              <w:t xml:space="preserve">у, </w:t>
            </w:r>
            <w:r w:rsidRPr="002B495D">
              <w:t xml:space="preserve">обсягами торгівлі за видами фінансових інструментів </w:t>
            </w:r>
            <w:r>
              <w:t>фондового</w:t>
            </w:r>
            <w:r w:rsidRPr="002B495D">
              <w:t xml:space="preserve"> ринк</w:t>
            </w:r>
            <w:r>
              <w:t>у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41</w:t>
            </w:r>
          </w:p>
        </w:tc>
      </w:tr>
      <w:tr w:rsidR="00B55CED" w:rsidRPr="002B495D" w:rsidTr="002314ED">
        <w:trPr>
          <w:trHeight w:val="147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cуб</w:t>
            </w:r>
            <w:r>
              <w:t>’</w:t>
            </w:r>
            <w:r w:rsidRPr="002B495D">
              <w:t xml:space="preserve">єкти господарювання, що </w:t>
            </w:r>
            <w:r>
              <w:t xml:space="preserve">провадять </w:t>
            </w:r>
            <w:r w:rsidRPr="002B495D">
              <w:t>депозитарну ді</w:t>
            </w:r>
            <w:r>
              <w:t>яльність, —</w:t>
            </w:r>
            <w:r w:rsidRPr="002B495D">
              <w:t xml:space="preserve"> за кількіст</w:t>
            </w:r>
            <w:r>
              <w:t>ю</w:t>
            </w:r>
            <w:r w:rsidRPr="002B495D">
              <w:t xml:space="preserve"> рахунків депонентів, кільк</w:t>
            </w:r>
            <w:r>
              <w:t>істю</w:t>
            </w:r>
            <w:r w:rsidRPr="002B495D">
              <w:t xml:space="preserve"> цінних паперів, що облік</w:t>
            </w:r>
            <w:r w:rsidR="00595B16">
              <w:t>овуються на рахунках депонентів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41</w:t>
            </w:r>
          </w:p>
        </w:tc>
      </w:tr>
      <w:tr w:rsidR="00B55CED" w:rsidRPr="002B495D" w:rsidTr="002314ED">
        <w:trPr>
          <w:trHeight w:val="145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c</w:t>
            </w:r>
            <w:r w:rsidRPr="00E74468">
              <w:t>уб</w:t>
            </w:r>
            <w:r>
              <w:t>’</w:t>
            </w:r>
            <w:r w:rsidRPr="00E74468">
              <w:t xml:space="preserve">єкти господарювання, що провадять </w:t>
            </w:r>
            <w:r w:rsidRPr="002B495D">
              <w:t>діяльність з управління активами інституційних інвесторів (дія</w:t>
            </w:r>
            <w:r>
              <w:t>льність з управління активами), —</w:t>
            </w:r>
            <w:r w:rsidRPr="002B495D">
              <w:t xml:space="preserve"> за </w:t>
            </w:r>
            <w:r>
              <w:t>вартістю</w:t>
            </w:r>
            <w:r w:rsidRPr="002B495D">
              <w:t xml:space="preserve"> активів фондів, які </w:t>
            </w:r>
            <w:r>
              <w:t>перебувають</w:t>
            </w:r>
            <w:r w:rsidR="00595B16">
              <w:t xml:space="preserve"> в управлінні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41</w:t>
            </w:r>
          </w:p>
        </w:tc>
      </w:tr>
      <w:tr w:rsidR="00B55CED" w:rsidRPr="002B495D" w:rsidTr="002314ED">
        <w:trPr>
          <w:trHeight w:val="135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  <w:r>
              <w:t xml:space="preserve">2) </w:t>
            </w:r>
            <w:r w:rsidRPr="002B495D">
              <w:t>суб</w:t>
            </w:r>
            <w:r>
              <w:t>’</w:t>
            </w:r>
            <w:r w:rsidRPr="002B495D">
              <w:t>єкти господарювання з показниками за певним видом професійної діяльності на ринку</w:t>
            </w:r>
            <w:r>
              <w:t xml:space="preserve"> цінних паперів</w:t>
            </w:r>
            <w:r w:rsidRPr="002B495D">
              <w:t xml:space="preserve">, що </w:t>
            </w:r>
            <w:r>
              <w:t>посідають</w:t>
            </w:r>
            <w:r w:rsidRPr="002B495D">
              <w:t xml:space="preserve"> </w:t>
            </w:r>
            <w:r>
              <w:t>у</w:t>
            </w:r>
            <w:r w:rsidRPr="002B495D">
              <w:t xml:space="preserve"> переліку, який складається на підставі наявних </w:t>
            </w:r>
            <w:r>
              <w:t>у</w:t>
            </w:r>
            <w:r w:rsidRPr="002B495D">
              <w:t xml:space="preserve"> НКЦПФР адміністративних даних/</w:t>
            </w:r>
            <w:r>
              <w:t>фінансової звітності</w:t>
            </w:r>
            <w:r w:rsidRPr="002B495D">
              <w:t xml:space="preserve"> (за певним видом професійної діяльності), з восьмої по п</w:t>
            </w:r>
            <w:r>
              <w:t>’</w:t>
            </w:r>
            <w:r w:rsidRPr="002B495D">
              <w:t>ятнадцяту позиції в сторону зменшення за показниками критеріїв</w:t>
            </w:r>
            <w:r>
              <w:t>,</w:t>
            </w:r>
            <w:r w:rsidRPr="002B495D">
              <w:t xml:space="preserve"> </w:t>
            </w:r>
            <w:r>
              <w:t>що зазначені</w:t>
            </w:r>
            <w:r w:rsidRPr="002B495D">
              <w:t xml:space="preserve"> </w:t>
            </w:r>
            <w:r>
              <w:t xml:space="preserve">у показнику </w:t>
            </w:r>
            <w:r w:rsidRPr="002B495D">
              <w:t>1</w:t>
            </w:r>
            <w:r>
              <w:t xml:space="preserve"> критерію 1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  <w:jc w:val="center"/>
            </w:pPr>
            <w:r w:rsidRPr="002B495D">
              <w:t>21</w:t>
            </w:r>
          </w:p>
        </w:tc>
      </w:tr>
      <w:tr w:rsidR="00B55CED" w:rsidRPr="002B495D" w:rsidTr="002314ED">
        <w:trPr>
          <w:trHeight w:val="2145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  <w:r w:rsidRPr="002B495D">
              <w:t>2. Фінансові показники діяльності суб</w:t>
            </w:r>
            <w:r>
              <w:t>’</w:t>
            </w:r>
            <w:r w:rsidRPr="002B495D">
              <w:t>єкта господарювання</w:t>
            </w: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  <w:r>
              <w:t>1)</w:t>
            </w:r>
            <w:r w:rsidRPr="002B495D">
              <w:t xml:space="preserve"> суб</w:t>
            </w:r>
            <w:r>
              <w:t>’</w:t>
            </w:r>
            <w:r w:rsidRPr="002B495D">
              <w:t xml:space="preserve">єкти господарювання, які мали відхилення пруденційних показників від </w:t>
            </w:r>
            <w:r>
              <w:t>у</w:t>
            </w:r>
            <w:r w:rsidRPr="002B495D">
              <w:t xml:space="preserve">становлених нормативних значень та не подали НКЦПФР план заходів щодо поліпшення фінансового стану професійного учасника (далі </w:t>
            </w:r>
            <w:r>
              <w:t>—</w:t>
            </w:r>
            <w:r w:rsidRPr="002B495D">
              <w:t xml:space="preserve"> план заходів) або не привели значення пруденційних показників у відповідність </w:t>
            </w:r>
            <w:r>
              <w:t>з нормативними значеннями</w:t>
            </w:r>
            <w:r w:rsidRPr="002B495D">
              <w:t xml:space="preserve"> протягом строк</w:t>
            </w:r>
            <w:r w:rsidR="00595B16">
              <w:t>у, встановленого планом заходів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  <w:jc w:val="center"/>
            </w:pPr>
            <w:r w:rsidRPr="002B495D">
              <w:t>6</w:t>
            </w:r>
          </w:p>
        </w:tc>
      </w:tr>
      <w:tr w:rsidR="00B55CED" w:rsidRPr="002B495D" w:rsidTr="002314ED">
        <w:trPr>
          <w:trHeight w:val="20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  <w:r>
              <w:t>2)</w:t>
            </w:r>
            <w:r w:rsidRPr="002B495D">
              <w:t xml:space="preserve"> суб</w:t>
            </w:r>
            <w:r>
              <w:t>’єкти господарювання, в яких п</w:t>
            </w:r>
            <w:r w:rsidRPr="002B495D">
              <w:t>оказник доход</w:t>
            </w:r>
            <w:r>
              <w:t>у</w:t>
            </w:r>
            <w:r w:rsidRPr="002B495D">
              <w:t xml:space="preserve"> від </w:t>
            </w:r>
            <w:r>
              <w:t xml:space="preserve">провадження </w:t>
            </w:r>
            <w:r w:rsidRPr="002B495D">
              <w:t xml:space="preserve">основної діяльності </w:t>
            </w:r>
            <w:r>
              <w:t xml:space="preserve">становить менш як </w:t>
            </w:r>
            <w:r w:rsidRPr="002B495D">
              <w:t>10 відсотків загального обсягу д</w:t>
            </w:r>
            <w:r w:rsidR="00595B16">
              <w:t>оходів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  <w:jc w:val="center"/>
            </w:pPr>
            <w:r w:rsidRPr="002B495D">
              <w:t>5</w:t>
            </w:r>
          </w:p>
        </w:tc>
      </w:tr>
      <w:tr w:rsidR="00B55CED" w:rsidRPr="002B495D" w:rsidTr="002314ED">
        <w:trPr>
          <w:trHeight w:val="20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  <w:r>
              <w:t>3)</w:t>
            </w:r>
            <w:r w:rsidRPr="002B495D">
              <w:t xml:space="preserve"> суб</w:t>
            </w:r>
            <w:r>
              <w:t>’єкти господарювання,</w:t>
            </w:r>
            <w:r w:rsidRPr="002B495D">
              <w:t xml:space="preserve"> </w:t>
            </w:r>
            <w:r>
              <w:t>в яких</w:t>
            </w:r>
            <w:r w:rsidRPr="002B495D">
              <w:t xml:space="preserve"> показник нематеріальних активів </w:t>
            </w:r>
            <w:r>
              <w:t xml:space="preserve">становить </w:t>
            </w:r>
            <w:r w:rsidRPr="002B495D">
              <w:t xml:space="preserve">більш </w:t>
            </w:r>
            <w:r>
              <w:t xml:space="preserve">як 25 відсотків </w:t>
            </w:r>
            <w:r w:rsidR="00595B16">
              <w:br/>
            </w:r>
            <w:r>
              <w:t>активів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  <w:jc w:val="center"/>
            </w:pPr>
            <w:r w:rsidRPr="002B495D">
              <w:t>5</w:t>
            </w:r>
          </w:p>
        </w:tc>
      </w:tr>
      <w:tr w:rsidR="00B55CED" w:rsidRPr="002B495D" w:rsidTr="002314ED">
        <w:trPr>
          <w:trHeight w:val="20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  <w:r>
              <w:t>4)</w:t>
            </w:r>
            <w:r w:rsidRPr="002B495D">
              <w:t xml:space="preserve"> суб</w:t>
            </w:r>
            <w:r>
              <w:t>’</w:t>
            </w:r>
            <w:r w:rsidRPr="002B495D">
              <w:t>єкти господарювання</w:t>
            </w:r>
            <w:r>
              <w:t>,</w:t>
            </w:r>
            <w:r w:rsidRPr="002B495D">
              <w:t xml:space="preserve"> </w:t>
            </w:r>
            <w:r>
              <w:t>у яких</w:t>
            </w:r>
            <w:r w:rsidRPr="002B495D">
              <w:t xml:space="preserve"> зобов</w:t>
            </w:r>
            <w:r>
              <w:t>’язання перевищують активи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  <w:jc w:val="center"/>
            </w:pPr>
            <w:r w:rsidRPr="002B495D">
              <w:t>5</w:t>
            </w:r>
          </w:p>
        </w:tc>
      </w:tr>
      <w:tr w:rsidR="00B55CED" w:rsidRPr="002B495D" w:rsidTr="002314ED">
        <w:trPr>
          <w:trHeight w:val="20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right="-107" w:firstLine="0"/>
            </w:pPr>
            <w:r>
              <w:t>5)</w:t>
            </w:r>
            <w:r w:rsidRPr="002B495D">
              <w:t xml:space="preserve"> суб</w:t>
            </w:r>
            <w:r>
              <w:t>’</w:t>
            </w:r>
            <w:r w:rsidRPr="002B495D">
              <w:t>єкти господарювання, які мали три і більше випадків виникнення відхилен</w:t>
            </w:r>
            <w:r>
              <w:t>ня пруденційних показників від у</w:t>
            </w:r>
            <w:r w:rsidRPr="002B495D">
              <w:t>становлених нормативних значень та привели їх значенн</w:t>
            </w:r>
            <w:r>
              <w:t>я у відповідність з нормативними значеннями</w:t>
            </w:r>
            <w:r w:rsidRPr="002B495D">
              <w:t xml:space="preserve"> протягом строку, встановленого нормативно-правовими а</w:t>
            </w:r>
            <w:r w:rsidR="00595B16">
              <w:t>ктами НКЦПФР або планом заходів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60" w:line="223" w:lineRule="auto"/>
              <w:ind w:firstLine="0"/>
              <w:jc w:val="center"/>
            </w:pPr>
            <w:r w:rsidRPr="002B495D">
              <w:t>6</w:t>
            </w:r>
          </w:p>
        </w:tc>
      </w:tr>
      <w:tr w:rsidR="00B55CED" w:rsidRPr="00E74468" w:rsidTr="002314ED">
        <w:trPr>
          <w:trHeight w:val="20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3. Наявність порушень вимог законод</w:t>
            </w:r>
            <w:r>
              <w:t>авства на ринку цінних паперів у</w:t>
            </w:r>
            <w:r w:rsidRPr="002B495D">
              <w:t xml:space="preserve"> діяльності суб</w:t>
            </w:r>
            <w:r>
              <w:t>’</w:t>
            </w:r>
            <w:r w:rsidRPr="002B495D">
              <w:t>єкта господарювання</w:t>
            </w: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line="228" w:lineRule="auto"/>
              <w:ind w:right="-107" w:firstLine="0"/>
            </w:pPr>
            <w:r>
              <w:t xml:space="preserve">1) </w:t>
            </w:r>
            <w:r w:rsidRPr="002B495D">
              <w:t>суб</w:t>
            </w:r>
            <w:r>
              <w:t>’</w:t>
            </w:r>
            <w:r w:rsidRPr="002B495D">
              <w:t>єкти господарювання, що провадять професійну діяльність на ринку</w:t>
            </w:r>
            <w:r>
              <w:t xml:space="preserve"> цінних паперів, які протягом останніх трьох років мали одну з таких ознак:  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</w:p>
        </w:tc>
      </w:tr>
      <w:tr w:rsidR="00B55CED" w:rsidRPr="00E74468" w:rsidTr="002314ED">
        <w:trPr>
          <w:trHeight w:val="20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вчинення трьох і більше порушень</w:t>
            </w:r>
            <w:r>
              <w:t xml:space="preserve"> законодавства на ринку цінних паперів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5</w:t>
            </w:r>
          </w:p>
        </w:tc>
      </w:tr>
      <w:tr w:rsidR="00B55CED" w:rsidRPr="00E74468" w:rsidTr="002314ED">
        <w:trPr>
          <w:trHeight w:val="61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порушення вимог законодавства у сфері запобігання та протидії легалізації (відмиванню) дохо</w:t>
            </w:r>
            <w:r w:rsidR="00595B16">
              <w:t>дів, одержаних злочинним шляхом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6</w:t>
            </w:r>
          </w:p>
        </w:tc>
      </w:tr>
      <w:tr w:rsidR="00B55CED" w:rsidRPr="00E74468" w:rsidTr="002314ED">
        <w:trPr>
          <w:trHeight w:val="538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</w:pPr>
            <w:r w:rsidRPr="002B495D">
              <w:t>вчинення порушен</w:t>
            </w:r>
            <w:r>
              <w:t>ня</w:t>
            </w:r>
            <w:r w:rsidRPr="002B495D">
              <w:t xml:space="preserve"> з ознаками маніпулювання на фондовому ринку 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line="228" w:lineRule="auto"/>
              <w:ind w:firstLine="0"/>
              <w:jc w:val="center"/>
            </w:pPr>
            <w:r w:rsidRPr="002B495D">
              <w:t>6</w:t>
            </w:r>
          </w:p>
        </w:tc>
      </w:tr>
      <w:tr w:rsidR="00B55CED" w:rsidRPr="00E74468" w:rsidTr="002314ED">
        <w:trPr>
          <w:trHeight w:val="200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  <w:r w:rsidRPr="002B495D">
              <w:t xml:space="preserve">наявність двох і більше випадків невиконання розпоряджень </w:t>
            </w:r>
            <w:r w:rsidRPr="002B495D">
              <w:lastRenderedPageBreak/>
              <w:t>НКЦПФР про усунення порушень</w:t>
            </w:r>
            <w:r w:rsidR="00595B16">
              <w:t xml:space="preserve"> законодавства про цінні папери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  <w:jc w:val="center"/>
            </w:pPr>
            <w:r w:rsidRPr="002B495D">
              <w:lastRenderedPageBreak/>
              <w:t>5</w:t>
            </w:r>
          </w:p>
        </w:tc>
      </w:tr>
      <w:tr w:rsidR="00B55CED" w:rsidRPr="00E74468" w:rsidTr="002314ED">
        <w:trPr>
          <w:trHeight w:val="36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  <w:r w:rsidRPr="002B495D">
              <w:t>наявність двох і більше ви</w:t>
            </w:r>
            <w:r>
              <w:t>падків невиконання вимог НКЦПФР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  <w:jc w:val="center"/>
            </w:pPr>
            <w:r w:rsidRPr="002B495D">
              <w:t>5</w:t>
            </w:r>
          </w:p>
        </w:tc>
      </w:tr>
      <w:tr w:rsidR="00B55CED" w:rsidRPr="00E74468" w:rsidTr="002314ED">
        <w:trPr>
          <w:trHeight w:val="36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</w:p>
        </w:tc>
        <w:tc>
          <w:tcPr>
            <w:tcW w:w="2656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  <w:r w:rsidRPr="00371473">
              <w:rPr>
                <w:rFonts w:ascii="Times New Roman" w:hAnsi="Times New Roman"/>
                <w:sz w:val="28"/>
                <w:szCs w:val="28"/>
              </w:rPr>
              <w:t>2</w:t>
            </w:r>
            <w:r w:rsidRPr="003C6402">
              <w:t xml:space="preserve">) суб’єкти господарювання, що провадять професійну діяльність на ринку цінних паперів, які протягом останніх трьох років мали одну з таких ознак: 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  <w:jc w:val="center"/>
            </w:pPr>
          </w:p>
        </w:tc>
      </w:tr>
      <w:tr w:rsidR="00B55CED" w:rsidRPr="00E74468" w:rsidTr="002314ED">
        <w:trPr>
          <w:trHeight w:val="36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</w:p>
        </w:tc>
        <w:tc>
          <w:tcPr>
            <w:tcW w:w="2656" w:type="pct"/>
          </w:tcPr>
          <w:p w:rsidR="00B55CED" w:rsidRPr="00371473" w:rsidRDefault="00B55CED" w:rsidP="002314E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6402">
              <w:t>провадження професійної діяльності на ринку цінних паперів без порушень</w:t>
            </w:r>
            <w:r w:rsidR="00595B16">
              <w:t xml:space="preserve"> законодавства про цінні папери</w:t>
            </w:r>
            <w:r w:rsidRPr="003C6402">
              <w:t xml:space="preserve"> </w:t>
            </w:r>
          </w:p>
        </w:tc>
        <w:tc>
          <w:tcPr>
            <w:tcW w:w="683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  <w:jc w:val="center"/>
            </w:pPr>
            <w:r>
              <w:t>0</w:t>
            </w:r>
          </w:p>
        </w:tc>
      </w:tr>
      <w:tr w:rsidR="00B55CED" w:rsidRPr="00E74468" w:rsidTr="002314ED">
        <w:trPr>
          <w:trHeight w:val="36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</w:p>
        </w:tc>
        <w:tc>
          <w:tcPr>
            <w:tcW w:w="2656" w:type="pct"/>
          </w:tcPr>
          <w:p w:rsidR="00B55CED" w:rsidRPr="003C6402" w:rsidRDefault="00B55CED" w:rsidP="002314ED">
            <w:pPr>
              <w:pStyle w:val="a4"/>
              <w:spacing w:before="100" w:line="228" w:lineRule="auto"/>
              <w:ind w:firstLine="0"/>
            </w:pPr>
            <w:r w:rsidRPr="003C6402">
              <w:t>вчинення одного чи двох порушень законодавства на ринку цінних паперів, крім порушення вимог законодавства у сфері запобігання та протидії легалізації (відмиванню) доходів, одержаних злочинним шляхом</w:t>
            </w:r>
            <w:r>
              <w:t>,</w:t>
            </w:r>
            <w:r w:rsidRPr="003C6402">
              <w:t xml:space="preserve"> та/або порушення з ознаками м</w:t>
            </w:r>
            <w:r w:rsidR="00595B16">
              <w:t>аніпулювання на фондовому ринку</w:t>
            </w:r>
          </w:p>
        </w:tc>
        <w:tc>
          <w:tcPr>
            <w:tcW w:w="683" w:type="pct"/>
          </w:tcPr>
          <w:p w:rsidR="00B55CED" w:rsidRDefault="00B55CED" w:rsidP="002314ED">
            <w:pPr>
              <w:pStyle w:val="a4"/>
              <w:spacing w:before="100" w:line="228" w:lineRule="auto"/>
              <w:ind w:firstLine="0"/>
              <w:jc w:val="center"/>
            </w:pPr>
            <w:r>
              <w:t>0</w:t>
            </w:r>
          </w:p>
        </w:tc>
      </w:tr>
      <w:tr w:rsidR="00B55CED" w:rsidRPr="00E74468" w:rsidTr="002314ED">
        <w:trPr>
          <w:trHeight w:val="363"/>
        </w:trPr>
        <w:tc>
          <w:tcPr>
            <w:tcW w:w="1661" w:type="pct"/>
          </w:tcPr>
          <w:p w:rsidR="00B55CED" w:rsidRPr="002B495D" w:rsidRDefault="00B55CED" w:rsidP="002314ED">
            <w:pPr>
              <w:pStyle w:val="a4"/>
              <w:spacing w:before="100" w:line="228" w:lineRule="auto"/>
              <w:ind w:firstLine="0"/>
            </w:pPr>
          </w:p>
        </w:tc>
        <w:tc>
          <w:tcPr>
            <w:tcW w:w="2656" w:type="pct"/>
          </w:tcPr>
          <w:p w:rsidR="00B55CED" w:rsidRPr="003C6402" w:rsidRDefault="00B55CED" w:rsidP="002314ED">
            <w:pPr>
              <w:pStyle w:val="a4"/>
              <w:spacing w:before="100" w:line="228" w:lineRule="auto"/>
              <w:ind w:firstLine="0"/>
            </w:pPr>
            <w:r w:rsidRPr="003C6402">
              <w:t>наявність одного випадку невиконання розпорядження НКЦПФР про усунення порушень законодавства про цінні папери та/або вимоги НКЦПФР</w:t>
            </w:r>
          </w:p>
        </w:tc>
        <w:tc>
          <w:tcPr>
            <w:tcW w:w="683" w:type="pct"/>
          </w:tcPr>
          <w:p w:rsidR="00B55CED" w:rsidRDefault="00B55CED" w:rsidP="002314ED">
            <w:pPr>
              <w:pStyle w:val="a4"/>
              <w:spacing w:before="100" w:line="228" w:lineRule="auto"/>
              <w:ind w:firstLine="0"/>
              <w:jc w:val="center"/>
            </w:pPr>
            <w:r>
              <w:t>0</w:t>
            </w:r>
          </w:p>
        </w:tc>
      </w:tr>
    </w:tbl>
    <w:p w:rsidR="00B55CED" w:rsidRDefault="00B55CED" w:rsidP="00B55CED">
      <w:pPr>
        <w:pStyle w:val="a4"/>
        <w:spacing w:before="0"/>
        <w:ind w:firstLine="0"/>
        <w:jc w:val="both"/>
      </w:pPr>
      <w:r>
        <w:t>__________</w:t>
      </w:r>
    </w:p>
    <w:p w:rsidR="00B55CED" w:rsidRPr="002B495D" w:rsidRDefault="00B55CED" w:rsidP="00B55CED">
      <w:pPr>
        <w:pStyle w:val="a4"/>
        <w:spacing w:before="0"/>
        <w:ind w:firstLine="0"/>
        <w:jc w:val="both"/>
        <w:rPr>
          <w:sz w:val="22"/>
        </w:rPr>
      </w:pPr>
      <w:r w:rsidRPr="002B495D">
        <w:rPr>
          <w:sz w:val="22"/>
        </w:rPr>
        <w:t>* Для показників критеріїв 1 та 2 періодом о</w:t>
      </w:r>
      <w:r>
        <w:rPr>
          <w:sz w:val="22"/>
        </w:rPr>
        <w:t xml:space="preserve">цінки відповідності є період з </w:t>
      </w:r>
      <w:r w:rsidRPr="002B495D">
        <w:rPr>
          <w:sz w:val="22"/>
        </w:rPr>
        <w:t>1</w:t>
      </w:r>
      <w:r>
        <w:rPr>
          <w:sz w:val="22"/>
        </w:rPr>
        <w:t xml:space="preserve"> липня </w:t>
      </w:r>
      <w:r w:rsidRPr="002B495D">
        <w:rPr>
          <w:sz w:val="22"/>
        </w:rPr>
        <w:t xml:space="preserve"> року, що передує ро</w:t>
      </w:r>
      <w:r>
        <w:rPr>
          <w:sz w:val="22"/>
        </w:rPr>
        <w:t>ку складення (</w:t>
      </w:r>
      <w:r w:rsidRPr="002B495D">
        <w:rPr>
          <w:sz w:val="22"/>
        </w:rPr>
        <w:t>оновлення</w:t>
      </w:r>
      <w:r>
        <w:rPr>
          <w:sz w:val="22"/>
        </w:rPr>
        <w:t>)</w:t>
      </w:r>
      <w:r w:rsidRPr="002B495D">
        <w:rPr>
          <w:sz w:val="22"/>
        </w:rPr>
        <w:t xml:space="preserve"> переліку суб’єктів господарювання, що підлягають державному нагляду (контролю)</w:t>
      </w:r>
      <w:r>
        <w:rPr>
          <w:sz w:val="22"/>
        </w:rPr>
        <w:t>,</w:t>
      </w:r>
      <w:r w:rsidRPr="002B495D">
        <w:rPr>
          <w:sz w:val="22"/>
        </w:rPr>
        <w:t xml:space="preserve"> по 1</w:t>
      </w:r>
      <w:r>
        <w:rPr>
          <w:sz w:val="22"/>
        </w:rPr>
        <w:t xml:space="preserve"> липня</w:t>
      </w:r>
      <w:r w:rsidRPr="002B495D">
        <w:rPr>
          <w:sz w:val="22"/>
        </w:rPr>
        <w:t xml:space="preserve"> року</w:t>
      </w:r>
      <w:r>
        <w:rPr>
          <w:sz w:val="22"/>
        </w:rPr>
        <w:t>,</w:t>
      </w:r>
      <w:r w:rsidRPr="002B495D">
        <w:rPr>
          <w:sz w:val="22"/>
        </w:rPr>
        <w:t xml:space="preserve"> в якому </w:t>
      </w:r>
      <w:r>
        <w:rPr>
          <w:sz w:val="22"/>
        </w:rPr>
        <w:t>складається</w:t>
      </w:r>
      <w:r w:rsidRPr="002B495D">
        <w:rPr>
          <w:sz w:val="22"/>
        </w:rPr>
        <w:t xml:space="preserve"> </w:t>
      </w:r>
      <w:r>
        <w:rPr>
          <w:sz w:val="22"/>
        </w:rPr>
        <w:t>(</w:t>
      </w:r>
      <w:r w:rsidRPr="002B495D">
        <w:rPr>
          <w:sz w:val="22"/>
        </w:rPr>
        <w:t>оновлюється</w:t>
      </w:r>
      <w:r>
        <w:rPr>
          <w:sz w:val="22"/>
        </w:rPr>
        <w:t>)</w:t>
      </w:r>
      <w:r w:rsidRPr="002B495D">
        <w:rPr>
          <w:sz w:val="22"/>
        </w:rPr>
        <w:t xml:space="preserve"> такий перелік.</w:t>
      </w:r>
    </w:p>
    <w:p w:rsidR="00B55CED" w:rsidRPr="00DC64C3" w:rsidRDefault="00B55CED" w:rsidP="00B55CED">
      <w:pPr>
        <w:pStyle w:val="3"/>
        <w:spacing w:before="240"/>
        <w:ind w:left="0"/>
        <w:jc w:val="center"/>
        <w:rPr>
          <w:b w:val="0"/>
          <w:i w:val="0"/>
        </w:rPr>
      </w:pPr>
      <w:r w:rsidRPr="00DC64C3">
        <w:rPr>
          <w:b w:val="0"/>
          <w:i w:val="0"/>
        </w:rPr>
        <w:t>_____________________</w:t>
      </w:r>
    </w:p>
    <w:p w:rsidR="00B55CED" w:rsidRPr="005256ED" w:rsidRDefault="00B55CED" w:rsidP="00B55CED">
      <w:pPr>
        <w:pStyle w:val="ShapkaDocumentu"/>
        <w:ind w:left="6521"/>
        <w:rPr>
          <w:b/>
        </w:rPr>
      </w:pPr>
    </w:p>
    <w:sectPr w:rsidR="00B55CED" w:rsidRPr="005256ED" w:rsidSect="00B55CED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9C" w:rsidRDefault="003D5B9C">
      <w:r>
        <w:separator/>
      </w:r>
    </w:p>
  </w:endnote>
  <w:endnote w:type="continuationSeparator" w:id="0">
    <w:p w:rsidR="003D5B9C" w:rsidRDefault="003D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9C" w:rsidRDefault="003D5B9C">
      <w:r>
        <w:separator/>
      </w:r>
    </w:p>
  </w:footnote>
  <w:footnote w:type="continuationSeparator" w:id="0">
    <w:p w:rsidR="003D5B9C" w:rsidRDefault="003D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E57C8">
      <w:rPr>
        <w:noProof/>
      </w:rPr>
      <w:t>2</w:t>
    </w:r>
    <w:r>
      <w:fldChar w:fldCharType="end"/>
    </w:r>
  </w:p>
  <w:p w:rsidR="00210F96" w:rsidRDefault="00210F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55CED">
      <w:rPr>
        <w:noProof/>
      </w:rPr>
      <w:t>6</w:t>
    </w:r>
    <w:r>
      <w:fldChar w:fldCharType="end"/>
    </w:r>
  </w:p>
  <w:p w:rsidR="00210F96" w:rsidRDefault="00210F9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E57C8">
      <w:rPr>
        <w:noProof/>
      </w:rPr>
      <w:t>4</w:t>
    </w:r>
    <w:r>
      <w:fldChar w:fldCharType="end"/>
    </w:r>
  </w:p>
  <w:p w:rsidR="00210F96" w:rsidRDefault="002314ED" w:rsidP="002314ED">
    <w:pPr>
      <w:jc w:val="right"/>
    </w:pPr>
    <w: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262696"/>
  </w:docVars>
  <w:rsids>
    <w:rsidRoot w:val="001A5FC5"/>
    <w:rsid w:val="000062A8"/>
    <w:rsid w:val="000F4544"/>
    <w:rsid w:val="000F59A6"/>
    <w:rsid w:val="00177635"/>
    <w:rsid w:val="001A5FC5"/>
    <w:rsid w:val="00210F96"/>
    <w:rsid w:val="002314ED"/>
    <w:rsid w:val="002536C6"/>
    <w:rsid w:val="002E75EB"/>
    <w:rsid w:val="00332598"/>
    <w:rsid w:val="0033596D"/>
    <w:rsid w:val="00377F45"/>
    <w:rsid w:val="00391E2D"/>
    <w:rsid w:val="003C6594"/>
    <w:rsid w:val="003D5B9C"/>
    <w:rsid w:val="0042025E"/>
    <w:rsid w:val="004A3347"/>
    <w:rsid w:val="004B3F2C"/>
    <w:rsid w:val="004D1D8C"/>
    <w:rsid w:val="005256ED"/>
    <w:rsid w:val="00595B16"/>
    <w:rsid w:val="006100F6"/>
    <w:rsid w:val="00631A4E"/>
    <w:rsid w:val="006419F1"/>
    <w:rsid w:val="006E5204"/>
    <w:rsid w:val="006E57C8"/>
    <w:rsid w:val="0071269D"/>
    <w:rsid w:val="00733D61"/>
    <w:rsid w:val="007500A8"/>
    <w:rsid w:val="00760C6C"/>
    <w:rsid w:val="007A54AF"/>
    <w:rsid w:val="00831C62"/>
    <w:rsid w:val="00880011"/>
    <w:rsid w:val="008A1D97"/>
    <w:rsid w:val="008B3F51"/>
    <w:rsid w:val="008F3AA9"/>
    <w:rsid w:val="00926DAE"/>
    <w:rsid w:val="009C10C5"/>
    <w:rsid w:val="00A563E4"/>
    <w:rsid w:val="00A64692"/>
    <w:rsid w:val="00A937C0"/>
    <w:rsid w:val="00AB3BE1"/>
    <w:rsid w:val="00AC3F02"/>
    <w:rsid w:val="00B02CED"/>
    <w:rsid w:val="00B22D97"/>
    <w:rsid w:val="00B4392E"/>
    <w:rsid w:val="00B55CED"/>
    <w:rsid w:val="00B648D0"/>
    <w:rsid w:val="00BA4DED"/>
    <w:rsid w:val="00C77B75"/>
    <w:rsid w:val="00CF22A4"/>
    <w:rsid w:val="00DC64C3"/>
    <w:rsid w:val="00DE196A"/>
    <w:rsid w:val="00E03910"/>
    <w:rsid w:val="00E1036C"/>
    <w:rsid w:val="00EA5838"/>
    <w:rsid w:val="00EB6BBF"/>
    <w:rsid w:val="00F62D7E"/>
    <w:rsid w:val="00F87E45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C6D2-DF6C-43F8-8F1C-F300534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Normal (Web)"/>
    <w:basedOn w:val="a"/>
    <w:rsid w:val="00B22D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Руслан Кисляк</cp:lastModifiedBy>
  <cp:revision>2</cp:revision>
  <cp:lastPrinted>2002-04-19T12:13:00Z</cp:lastPrinted>
  <dcterms:created xsi:type="dcterms:W3CDTF">2019-02-21T15:31:00Z</dcterms:created>
  <dcterms:modified xsi:type="dcterms:W3CDTF">2019-02-21T15:31:00Z</dcterms:modified>
</cp:coreProperties>
</file>