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E4" w:rsidRPr="009D70EB" w:rsidRDefault="007214E4" w:rsidP="007214E4">
      <w:pPr>
        <w:jc w:val="center"/>
        <w:rPr>
          <w:sz w:val="27"/>
          <w:szCs w:val="27"/>
          <w:lang w:val="uk-UA"/>
        </w:rPr>
      </w:pPr>
      <w:bookmarkStart w:id="0" w:name="_GoBack"/>
      <w:bookmarkEnd w:id="0"/>
      <w:r w:rsidRPr="009D70EB">
        <w:rPr>
          <w:b/>
          <w:sz w:val="27"/>
          <w:szCs w:val="27"/>
          <w:lang w:val="uk-UA"/>
        </w:rPr>
        <w:t xml:space="preserve">Звіт про </w:t>
      </w:r>
      <w:r w:rsidR="00E545B3" w:rsidRPr="009D70EB">
        <w:rPr>
          <w:b/>
          <w:sz w:val="27"/>
          <w:szCs w:val="27"/>
          <w:lang w:val="uk-UA"/>
        </w:rPr>
        <w:t>періодичне</w:t>
      </w:r>
      <w:r w:rsidRPr="009D70EB">
        <w:rPr>
          <w:b/>
          <w:sz w:val="27"/>
          <w:szCs w:val="27"/>
          <w:lang w:val="uk-UA"/>
        </w:rPr>
        <w:t xml:space="preserve"> відстеження результативності регуляторного акта – </w:t>
      </w:r>
    </w:p>
    <w:p w:rsidR="00B75F06" w:rsidRPr="009D70EB" w:rsidRDefault="00C64632" w:rsidP="007A2DFB">
      <w:pPr>
        <w:spacing w:after="120"/>
        <w:jc w:val="center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Рішення Національної комісії з цінних паперів та фондового ринку (далі - Комісія) </w:t>
      </w:r>
      <w:r w:rsidR="00B75F06" w:rsidRPr="009D70EB">
        <w:rPr>
          <w:sz w:val="27"/>
          <w:szCs w:val="27"/>
          <w:lang w:val="uk-UA"/>
        </w:rPr>
        <w:t>від 16 грудня 2014 року № 1710 «Про внесення змін до Положення про порядок складання та подання адміністративних даних щодо діяльності управителями іпотечним покриттям», зареєстроване в Міністерстві юстиції 12 січня 2015 року за № 18/26463.</w:t>
      </w:r>
    </w:p>
    <w:p w:rsidR="007214E4" w:rsidRPr="009D70EB" w:rsidRDefault="007214E4" w:rsidP="00485169">
      <w:pPr>
        <w:spacing w:before="120"/>
        <w:ind w:firstLine="539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1. Вид та назва регуляторного акта</w:t>
      </w:r>
    </w:p>
    <w:p w:rsidR="00B75F06" w:rsidRPr="009D70EB" w:rsidRDefault="00B75F06" w:rsidP="00B75F06">
      <w:pPr>
        <w:spacing w:after="120"/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Рішення Комісії від 16 грудня 2014 року № 1710 «Про внесення змін до Положення про порядок складання та подання адміністративних даних щодо діяльності управителями іпотечним покриттям», зареєстроване в Міністерстві юстиції 12 січня 2015 року за № 18/26463.</w:t>
      </w:r>
    </w:p>
    <w:p w:rsidR="007214E4" w:rsidRPr="009D70EB" w:rsidRDefault="007214E4" w:rsidP="00485169">
      <w:pPr>
        <w:ind w:firstLine="539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2. Виконавець заходів з відстеження</w:t>
      </w:r>
    </w:p>
    <w:p w:rsidR="007214E4" w:rsidRPr="009D70EB" w:rsidRDefault="007214E4" w:rsidP="00485169">
      <w:pPr>
        <w:spacing w:after="120"/>
        <w:ind w:firstLine="539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Національна комісія з цінних паперів та фондового ринку</w:t>
      </w:r>
    </w:p>
    <w:p w:rsidR="007214E4" w:rsidRPr="009D70EB" w:rsidRDefault="007214E4" w:rsidP="007214E4">
      <w:pPr>
        <w:ind w:firstLine="540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3. Цілі прийняття акта</w:t>
      </w:r>
    </w:p>
    <w:p w:rsidR="00C64632" w:rsidRPr="009D70EB" w:rsidRDefault="00C64632" w:rsidP="00C64632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Регуляторний акт розроблено відповідно до Законів України «Про державне регулювання ринку цінних паперів в Україні» з метою дотримання вимог Закону України від 15 квітня 2014 року № 1206-VII «Про внесення змін до деяких законодавчих актів України щодо спрощення порядку відкриття бізнесу».</w:t>
      </w:r>
    </w:p>
    <w:p w:rsidR="007214E4" w:rsidRPr="009D70EB" w:rsidRDefault="007214E4" w:rsidP="007214E4">
      <w:pPr>
        <w:spacing w:before="120"/>
        <w:ind w:firstLine="539"/>
        <w:jc w:val="both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4. Строк виконання заходів з відстеження</w:t>
      </w:r>
    </w:p>
    <w:p w:rsidR="007214E4" w:rsidRPr="009D70EB" w:rsidRDefault="007214E4" w:rsidP="00485169">
      <w:pPr>
        <w:spacing w:after="120"/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З </w:t>
      </w:r>
      <w:r w:rsidR="00E545B3" w:rsidRPr="009D70EB">
        <w:rPr>
          <w:sz w:val="27"/>
          <w:szCs w:val="27"/>
          <w:lang w:val="uk-UA"/>
        </w:rPr>
        <w:t>05.02</w:t>
      </w:r>
      <w:r w:rsidRPr="009D70EB">
        <w:rPr>
          <w:sz w:val="27"/>
          <w:szCs w:val="27"/>
          <w:lang w:val="uk-UA"/>
        </w:rPr>
        <w:t>.201</w:t>
      </w:r>
      <w:r w:rsidR="00E545B3" w:rsidRPr="009D70EB">
        <w:rPr>
          <w:sz w:val="27"/>
          <w:szCs w:val="27"/>
          <w:lang w:val="uk-UA"/>
        </w:rPr>
        <w:t>9</w:t>
      </w:r>
      <w:r w:rsidRPr="009D70EB">
        <w:rPr>
          <w:sz w:val="27"/>
          <w:szCs w:val="27"/>
          <w:lang w:val="uk-UA"/>
        </w:rPr>
        <w:t xml:space="preserve"> по </w:t>
      </w:r>
      <w:r w:rsidR="00E545B3" w:rsidRPr="009D70EB">
        <w:rPr>
          <w:sz w:val="27"/>
          <w:szCs w:val="27"/>
          <w:lang w:val="uk-UA"/>
        </w:rPr>
        <w:t>05.03.</w:t>
      </w:r>
      <w:r w:rsidRPr="009D70EB">
        <w:rPr>
          <w:sz w:val="27"/>
          <w:szCs w:val="27"/>
          <w:lang w:val="uk-UA"/>
        </w:rPr>
        <w:t>201</w:t>
      </w:r>
      <w:r w:rsidR="00E545B3" w:rsidRPr="009D70EB">
        <w:rPr>
          <w:sz w:val="27"/>
          <w:szCs w:val="27"/>
          <w:lang w:val="uk-UA"/>
        </w:rPr>
        <w:t>9</w:t>
      </w:r>
      <w:r w:rsidRPr="009D70EB">
        <w:rPr>
          <w:sz w:val="27"/>
          <w:szCs w:val="27"/>
          <w:lang w:val="uk-UA"/>
        </w:rPr>
        <w:t>.</w:t>
      </w:r>
    </w:p>
    <w:p w:rsidR="007214E4" w:rsidRPr="009D70EB" w:rsidRDefault="007214E4" w:rsidP="007214E4">
      <w:pPr>
        <w:ind w:firstLine="540"/>
        <w:jc w:val="both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5. Тип відстеження</w:t>
      </w:r>
    </w:p>
    <w:p w:rsidR="007214E4" w:rsidRPr="009D70EB" w:rsidRDefault="00E545B3" w:rsidP="00485169">
      <w:pPr>
        <w:spacing w:after="120"/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Періодичне. </w:t>
      </w:r>
    </w:p>
    <w:p w:rsidR="007214E4" w:rsidRPr="009D70EB" w:rsidRDefault="007214E4" w:rsidP="007214E4">
      <w:pPr>
        <w:ind w:firstLine="540"/>
        <w:jc w:val="both"/>
        <w:rPr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6. Метод одержання результатів відстеження</w:t>
      </w:r>
    </w:p>
    <w:p w:rsidR="00E274BD" w:rsidRPr="009D70EB" w:rsidRDefault="00E274BD" w:rsidP="00E274BD">
      <w:pPr>
        <w:spacing w:after="120"/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Відстеження результативності регуляторного акта здійснювалося статистичним та соціологічним методом. </w:t>
      </w:r>
    </w:p>
    <w:p w:rsidR="007214E4" w:rsidRPr="009D70EB" w:rsidRDefault="007214E4" w:rsidP="007214E4">
      <w:pPr>
        <w:ind w:firstLine="540"/>
        <w:jc w:val="both"/>
        <w:rPr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E274BD" w:rsidRPr="009D70EB" w:rsidRDefault="00E274BD" w:rsidP="00E274BD">
      <w:pPr>
        <w:ind w:firstLine="540"/>
        <w:jc w:val="both"/>
        <w:rPr>
          <w:sz w:val="27"/>
          <w:szCs w:val="27"/>
          <w:lang w:val="uk-UA"/>
        </w:rPr>
      </w:pPr>
      <w:proofErr w:type="spellStart"/>
      <w:r w:rsidRPr="009D70EB">
        <w:rPr>
          <w:sz w:val="27"/>
          <w:szCs w:val="27"/>
          <w:lang w:val="uk-UA"/>
        </w:rPr>
        <w:t>Cпособи</w:t>
      </w:r>
      <w:proofErr w:type="spellEnd"/>
      <w:r w:rsidRPr="009D70EB">
        <w:rPr>
          <w:sz w:val="27"/>
          <w:szCs w:val="27"/>
          <w:lang w:val="uk-UA"/>
        </w:rPr>
        <w:t xml:space="preserve"> одержання даних - аналіз офіційної статистичної інформації, а також збір та аналіз пропозицій та зауважень від фізичних та юридичних осіб, їх об’єднань. </w:t>
      </w:r>
    </w:p>
    <w:p w:rsidR="007214E4" w:rsidRPr="009D70EB" w:rsidRDefault="007214E4" w:rsidP="00485169">
      <w:pPr>
        <w:spacing w:before="120"/>
        <w:ind w:firstLine="539"/>
        <w:jc w:val="both"/>
        <w:rPr>
          <w:b/>
          <w:sz w:val="27"/>
          <w:szCs w:val="27"/>
          <w:lang w:val="uk-UA"/>
        </w:rPr>
      </w:pPr>
      <w:r w:rsidRPr="009D70EB">
        <w:rPr>
          <w:b/>
          <w:sz w:val="27"/>
          <w:szCs w:val="27"/>
          <w:lang w:val="uk-UA"/>
        </w:rPr>
        <w:t>8. Кількісні та якісні значення показників результативності</w:t>
      </w:r>
    </w:p>
    <w:p w:rsidR="00261C6C" w:rsidRPr="009D70EB" w:rsidRDefault="00261C6C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Розмір надходжень до державного та місцевих бюджетів і державних цільових фондів у зв’язку з дією акта не змінився, оскільки актом не передбачено стягнення плати з суб’єктів господарювання.</w:t>
      </w:r>
    </w:p>
    <w:p w:rsidR="008223D7" w:rsidRPr="009D70EB" w:rsidRDefault="00961BB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Дія регуляторного акта поширюється на осіб, що здійснюють діяльність з управління іпотечним покриттям (одна юридична особа). </w:t>
      </w:r>
      <w:r w:rsidR="008223D7" w:rsidRPr="009D70EB">
        <w:rPr>
          <w:sz w:val="27"/>
          <w:szCs w:val="27"/>
          <w:lang w:val="uk-UA"/>
        </w:rPr>
        <w:t>Ці дані отримані з ліцензійного реєстру Комісії.</w:t>
      </w:r>
    </w:p>
    <w:p w:rsidR="008223D7" w:rsidRPr="009D70EB" w:rsidRDefault="008223D7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Розмір коштів і час, що витрачаються суб’єктами господарювання у зв’язку з дією акта, не змінився.</w:t>
      </w:r>
    </w:p>
    <w:p w:rsidR="009D70EB" w:rsidRPr="009D70EB" w:rsidRDefault="008223D7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Рівень поінформованості суб’єктів господарювання з основних положень акта є </w:t>
      </w:r>
      <w:r w:rsidR="00AD0608">
        <w:rPr>
          <w:sz w:val="27"/>
          <w:szCs w:val="27"/>
          <w:lang w:val="uk-UA"/>
        </w:rPr>
        <w:t>середнім</w:t>
      </w:r>
      <w:r w:rsidRPr="009D70EB">
        <w:rPr>
          <w:sz w:val="27"/>
          <w:szCs w:val="27"/>
          <w:lang w:val="uk-UA"/>
        </w:rPr>
        <w:t xml:space="preserve">, оскільки вказаний регуляторний акт розміщується на офіційному сайті Комісії </w:t>
      </w:r>
      <w:proofErr w:type="spellStart"/>
      <w:r w:rsidRPr="009D70EB">
        <w:rPr>
          <w:sz w:val="27"/>
          <w:szCs w:val="27"/>
          <w:lang w:val="uk-UA"/>
        </w:rPr>
        <w:t>http</w:t>
      </w:r>
      <w:proofErr w:type="spellEnd"/>
      <w:r w:rsidRPr="009D70EB">
        <w:rPr>
          <w:sz w:val="27"/>
          <w:szCs w:val="27"/>
          <w:lang w:val="uk-UA"/>
        </w:rPr>
        <w:t>//www.nssmsc.gov.ua</w:t>
      </w:r>
      <w:r w:rsidR="009D70EB" w:rsidRPr="009D70EB">
        <w:rPr>
          <w:sz w:val="27"/>
          <w:szCs w:val="27"/>
          <w:lang w:val="uk-UA"/>
        </w:rPr>
        <w:t>.</w:t>
      </w:r>
    </w:p>
    <w:p w:rsidR="00456D9D" w:rsidRPr="009D70EB" w:rsidRDefault="00456D9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 xml:space="preserve">Показником результативності дії цього регуляторного акта </w:t>
      </w:r>
      <w:r w:rsidR="00E274BD" w:rsidRPr="009D70EB">
        <w:rPr>
          <w:sz w:val="27"/>
          <w:szCs w:val="27"/>
          <w:lang w:val="uk-UA"/>
        </w:rPr>
        <w:t>є</w:t>
      </w:r>
      <w:r w:rsidRPr="009D70EB">
        <w:rPr>
          <w:sz w:val="27"/>
          <w:szCs w:val="27"/>
          <w:lang w:val="uk-UA"/>
        </w:rPr>
        <w:t xml:space="preserve"> досягнення цілей, зазначених у розділі 3 цього звіту.</w:t>
      </w:r>
    </w:p>
    <w:p w:rsidR="007214E4" w:rsidRPr="009D70EB" w:rsidRDefault="007214E4" w:rsidP="00485169">
      <w:pPr>
        <w:spacing w:before="120"/>
        <w:ind w:firstLine="539"/>
        <w:jc w:val="both"/>
        <w:rPr>
          <w:sz w:val="27"/>
          <w:szCs w:val="27"/>
          <w:lang w:val="uk-UA"/>
        </w:rPr>
      </w:pPr>
      <w:r w:rsidRPr="009D70EB">
        <w:rPr>
          <w:b/>
          <w:bCs/>
          <w:sz w:val="27"/>
          <w:szCs w:val="27"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E274BD" w:rsidRPr="009D70EB" w:rsidRDefault="00E274BD" w:rsidP="00E274BD">
      <w:pPr>
        <w:widowControl w:val="0"/>
        <w:ind w:firstLine="540"/>
        <w:jc w:val="both"/>
        <w:rPr>
          <w:sz w:val="27"/>
          <w:szCs w:val="27"/>
          <w:lang w:val="uk-UA"/>
        </w:rPr>
      </w:pPr>
      <w:r w:rsidRPr="009D70EB">
        <w:rPr>
          <w:sz w:val="28"/>
          <w:szCs w:val="28"/>
          <w:lang w:val="uk-UA"/>
        </w:rPr>
        <w:lastRenderedPageBreak/>
        <w:t>Регуляторний акт має достатній ступінь досягнення визначених цілей, результати реалізації більшості його положень мають позитивну динаміку.</w:t>
      </w:r>
    </w:p>
    <w:p w:rsidR="00261C6C" w:rsidRPr="009D70EB" w:rsidRDefault="00961BB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Прийняття регуляторного акта сприя</w:t>
      </w:r>
      <w:r w:rsidR="00E274BD" w:rsidRPr="009D70EB">
        <w:rPr>
          <w:sz w:val="27"/>
          <w:szCs w:val="27"/>
          <w:lang w:val="uk-UA"/>
        </w:rPr>
        <w:t>ло</w:t>
      </w:r>
      <w:r w:rsidRPr="009D70EB">
        <w:rPr>
          <w:sz w:val="27"/>
          <w:szCs w:val="27"/>
          <w:lang w:val="uk-UA"/>
        </w:rPr>
        <w:t>:</w:t>
      </w:r>
    </w:p>
    <w:p w:rsidR="00961BBD" w:rsidRPr="009D70EB" w:rsidRDefault="00961BB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покращенню позицій України в міжнародних рейтингах щодо інвестиційної привабливості економіки та легкості ведення бізнесу в нашій державі;</w:t>
      </w:r>
    </w:p>
    <w:p w:rsidR="006D611F" w:rsidRPr="009D70EB" w:rsidRDefault="00961BB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переходу держави до більш простої, більш швидкої та менш витратної процедури створення нових суб’єктів господарювання</w:t>
      </w:r>
      <w:r w:rsidR="00543983">
        <w:rPr>
          <w:sz w:val="27"/>
          <w:szCs w:val="27"/>
          <w:lang w:val="uk-UA"/>
        </w:rPr>
        <w:t>;</w:t>
      </w:r>
    </w:p>
    <w:p w:rsidR="00261C6C" w:rsidRPr="009D70EB" w:rsidRDefault="00961BBD" w:rsidP="00156960">
      <w:pPr>
        <w:ind w:firstLine="539"/>
        <w:jc w:val="both"/>
        <w:rPr>
          <w:sz w:val="27"/>
          <w:szCs w:val="27"/>
          <w:lang w:val="uk-UA"/>
        </w:rPr>
      </w:pPr>
      <w:r w:rsidRPr="009D70EB">
        <w:rPr>
          <w:sz w:val="27"/>
          <w:szCs w:val="27"/>
          <w:lang w:val="uk-UA"/>
        </w:rPr>
        <w:t>зменшенню витрат суб’єктів господарювання на виготовлення печаток.</w:t>
      </w:r>
    </w:p>
    <w:p w:rsidR="00961BBD" w:rsidRPr="009D70EB" w:rsidRDefault="00961BBD" w:rsidP="007214E4">
      <w:pPr>
        <w:ind w:firstLine="540"/>
        <w:rPr>
          <w:sz w:val="27"/>
          <w:szCs w:val="27"/>
          <w:lang w:val="uk-UA"/>
        </w:rPr>
      </w:pPr>
    </w:p>
    <w:p w:rsidR="00961BBD" w:rsidRPr="009D70EB" w:rsidRDefault="00961BBD" w:rsidP="007214E4">
      <w:pPr>
        <w:ind w:firstLine="540"/>
        <w:rPr>
          <w:sz w:val="27"/>
          <w:szCs w:val="27"/>
          <w:lang w:val="uk-UA"/>
        </w:rPr>
      </w:pPr>
    </w:p>
    <w:p w:rsidR="00F872DB" w:rsidRPr="009D70EB" w:rsidRDefault="00F872DB" w:rsidP="007214E4">
      <w:pPr>
        <w:ind w:firstLine="540"/>
        <w:rPr>
          <w:sz w:val="27"/>
          <w:szCs w:val="27"/>
          <w:lang w:val="uk-UA"/>
        </w:rPr>
      </w:pPr>
    </w:p>
    <w:p w:rsidR="00961BBD" w:rsidRPr="009D70EB" w:rsidRDefault="00961BBD" w:rsidP="007214E4">
      <w:pPr>
        <w:ind w:firstLine="540"/>
        <w:rPr>
          <w:sz w:val="27"/>
          <w:szCs w:val="27"/>
          <w:lang w:val="uk-UA"/>
        </w:rPr>
      </w:pPr>
    </w:p>
    <w:p w:rsidR="009954F2" w:rsidRPr="009D70EB" w:rsidRDefault="009954F2" w:rsidP="009954F2">
      <w:pPr>
        <w:ind w:firstLine="540"/>
        <w:rPr>
          <w:sz w:val="27"/>
          <w:szCs w:val="27"/>
          <w:lang w:val="uk-UA"/>
        </w:rPr>
      </w:pPr>
      <w:r w:rsidRPr="009D70EB">
        <w:rPr>
          <w:b/>
          <w:bCs/>
          <w:sz w:val="27"/>
          <w:szCs w:val="27"/>
          <w:lang w:val="uk-UA"/>
        </w:rPr>
        <w:t>Голов</w:t>
      </w:r>
      <w:r w:rsidR="009D70EB">
        <w:rPr>
          <w:b/>
          <w:bCs/>
          <w:sz w:val="27"/>
          <w:szCs w:val="27"/>
          <w:lang w:val="uk-UA"/>
        </w:rPr>
        <w:t>а</w:t>
      </w:r>
      <w:r w:rsidRPr="009D70EB">
        <w:rPr>
          <w:b/>
          <w:bCs/>
          <w:sz w:val="27"/>
          <w:szCs w:val="27"/>
          <w:lang w:val="uk-UA"/>
        </w:rPr>
        <w:t xml:space="preserve"> Комісії         </w:t>
      </w:r>
      <w:r w:rsidRPr="009D70EB">
        <w:rPr>
          <w:b/>
          <w:bCs/>
          <w:sz w:val="27"/>
          <w:szCs w:val="27"/>
          <w:lang w:val="uk-UA"/>
        </w:rPr>
        <w:tab/>
      </w:r>
      <w:r w:rsidRPr="009D70EB">
        <w:rPr>
          <w:b/>
          <w:bCs/>
          <w:sz w:val="27"/>
          <w:szCs w:val="27"/>
          <w:lang w:val="uk-UA"/>
        </w:rPr>
        <w:tab/>
      </w:r>
      <w:r w:rsidRPr="009D70EB">
        <w:rPr>
          <w:b/>
          <w:bCs/>
          <w:sz w:val="27"/>
          <w:szCs w:val="27"/>
          <w:lang w:val="uk-UA"/>
        </w:rPr>
        <w:tab/>
      </w:r>
      <w:r w:rsidRPr="009D70EB">
        <w:rPr>
          <w:b/>
          <w:bCs/>
          <w:sz w:val="27"/>
          <w:szCs w:val="27"/>
          <w:lang w:val="uk-UA"/>
        </w:rPr>
        <w:tab/>
      </w:r>
      <w:r w:rsidRPr="009D70EB">
        <w:rPr>
          <w:b/>
          <w:bCs/>
          <w:sz w:val="27"/>
          <w:szCs w:val="27"/>
          <w:lang w:val="uk-UA"/>
        </w:rPr>
        <w:tab/>
      </w:r>
      <w:r w:rsidRPr="009D70EB">
        <w:rPr>
          <w:b/>
          <w:bCs/>
          <w:sz w:val="27"/>
          <w:szCs w:val="27"/>
          <w:lang w:val="uk-UA"/>
        </w:rPr>
        <w:tab/>
      </w:r>
      <w:r w:rsidR="009D70EB">
        <w:rPr>
          <w:b/>
          <w:bCs/>
          <w:sz w:val="27"/>
          <w:szCs w:val="27"/>
          <w:lang w:val="uk-UA"/>
        </w:rPr>
        <w:t xml:space="preserve">Т. </w:t>
      </w:r>
      <w:proofErr w:type="spellStart"/>
      <w:r w:rsidR="009D70EB">
        <w:rPr>
          <w:b/>
          <w:bCs/>
          <w:sz w:val="27"/>
          <w:szCs w:val="27"/>
          <w:lang w:val="uk-UA"/>
        </w:rPr>
        <w:t>Хромаєв</w:t>
      </w:r>
      <w:proofErr w:type="spellEnd"/>
    </w:p>
    <w:p w:rsidR="007214E4" w:rsidRPr="009D70EB" w:rsidRDefault="007214E4" w:rsidP="009954F2">
      <w:pPr>
        <w:ind w:firstLine="540"/>
        <w:rPr>
          <w:lang w:val="uk-UA"/>
        </w:rPr>
      </w:pPr>
    </w:p>
    <w:sectPr w:rsidR="007214E4" w:rsidRPr="009D70EB" w:rsidSect="0048516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9E6"/>
    <w:multiLevelType w:val="singleLevel"/>
    <w:tmpl w:val="8488D4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0357E5"/>
    <w:multiLevelType w:val="hybridMultilevel"/>
    <w:tmpl w:val="8FD2181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1192F"/>
    <w:multiLevelType w:val="hybridMultilevel"/>
    <w:tmpl w:val="862258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4E4"/>
    <w:rsid w:val="000476ED"/>
    <w:rsid w:val="000E54D8"/>
    <w:rsid w:val="00156960"/>
    <w:rsid w:val="00185BBB"/>
    <w:rsid w:val="001A7A1F"/>
    <w:rsid w:val="001B20D6"/>
    <w:rsid w:val="001C0930"/>
    <w:rsid w:val="00261C6C"/>
    <w:rsid w:val="00280B8A"/>
    <w:rsid w:val="00290C40"/>
    <w:rsid w:val="003763ED"/>
    <w:rsid w:val="003F1186"/>
    <w:rsid w:val="00411B50"/>
    <w:rsid w:val="004302EE"/>
    <w:rsid w:val="004472E3"/>
    <w:rsid w:val="00456D9D"/>
    <w:rsid w:val="00485169"/>
    <w:rsid w:val="004F24BD"/>
    <w:rsid w:val="00510535"/>
    <w:rsid w:val="00543983"/>
    <w:rsid w:val="005B3C96"/>
    <w:rsid w:val="006D611F"/>
    <w:rsid w:val="007214E4"/>
    <w:rsid w:val="007317E2"/>
    <w:rsid w:val="007420D4"/>
    <w:rsid w:val="00775DBB"/>
    <w:rsid w:val="007A2DFB"/>
    <w:rsid w:val="007D2469"/>
    <w:rsid w:val="00800AE5"/>
    <w:rsid w:val="008223D7"/>
    <w:rsid w:val="0088582A"/>
    <w:rsid w:val="008F7D27"/>
    <w:rsid w:val="00943DED"/>
    <w:rsid w:val="00961BBD"/>
    <w:rsid w:val="009954F2"/>
    <w:rsid w:val="009B0F16"/>
    <w:rsid w:val="009D70EB"/>
    <w:rsid w:val="009E6C0A"/>
    <w:rsid w:val="00A0375D"/>
    <w:rsid w:val="00A80240"/>
    <w:rsid w:val="00A93699"/>
    <w:rsid w:val="00AD0608"/>
    <w:rsid w:val="00AD1EE8"/>
    <w:rsid w:val="00B4192B"/>
    <w:rsid w:val="00B75F06"/>
    <w:rsid w:val="00BC1248"/>
    <w:rsid w:val="00C517DA"/>
    <w:rsid w:val="00C51B3E"/>
    <w:rsid w:val="00C64632"/>
    <w:rsid w:val="00CF01C6"/>
    <w:rsid w:val="00D30FB9"/>
    <w:rsid w:val="00D52782"/>
    <w:rsid w:val="00D90769"/>
    <w:rsid w:val="00DC7A6F"/>
    <w:rsid w:val="00E274BD"/>
    <w:rsid w:val="00E545B3"/>
    <w:rsid w:val="00E83F1D"/>
    <w:rsid w:val="00EE5376"/>
    <w:rsid w:val="00F35EA3"/>
    <w:rsid w:val="00F872DB"/>
    <w:rsid w:val="00F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E94-2C5F-484C-AE52-FCB6BCAC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E4"/>
    <w:rPr>
      <w:lang w:val="ru-RU" w:eastAsia="ru-RU"/>
    </w:rPr>
  </w:style>
  <w:style w:type="paragraph" w:styleId="2">
    <w:name w:val="heading 2"/>
    <w:basedOn w:val="a"/>
    <w:next w:val="a"/>
    <w:qFormat/>
    <w:rsid w:val="00A80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214E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14E4"/>
    <w:pPr>
      <w:jc w:val="both"/>
    </w:pPr>
    <w:rPr>
      <w:b/>
      <w:sz w:val="28"/>
      <w:lang w:val="uk-UA"/>
    </w:rPr>
  </w:style>
  <w:style w:type="paragraph" w:styleId="a4">
    <w:name w:val="Normal (Web)"/>
    <w:basedOn w:val="a"/>
    <w:rsid w:val="007214E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rsid w:val="007214E4"/>
    <w:pPr>
      <w:spacing w:after="120"/>
      <w:ind w:left="283"/>
    </w:pPr>
  </w:style>
  <w:style w:type="paragraph" w:customStyle="1" w:styleId="a6">
    <w:name w:val="Стиль Знак Знак"/>
    <w:basedOn w:val="a"/>
    <w:rsid w:val="007214E4"/>
    <w:rPr>
      <w:rFonts w:ascii="Verdana" w:hAnsi="Verdana" w:cs="Verdana"/>
      <w:lang w:val="en-US" w:eastAsia="en-US"/>
    </w:rPr>
  </w:style>
  <w:style w:type="paragraph" w:customStyle="1" w:styleId="a7">
    <w:name w:val=" Знак"/>
    <w:basedOn w:val="a"/>
    <w:rsid w:val="007214E4"/>
    <w:rPr>
      <w:rFonts w:ascii="Verdana" w:hAnsi="Verdana" w:cs="Verdana"/>
      <w:lang w:val="en-US" w:eastAsia="en-US"/>
    </w:rPr>
  </w:style>
  <w:style w:type="paragraph" w:styleId="a8">
    <w:name w:val="Plain Text"/>
    <w:basedOn w:val="a"/>
    <w:rsid w:val="007214E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uk-UA"/>
    </w:rPr>
  </w:style>
  <w:style w:type="character" w:customStyle="1" w:styleId="HTMLTypewriter">
    <w:name w:val="HTML Typewriter"/>
    <w:rsid w:val="008F7D27"/>
    <w:rPr>
      <w:sz w:val="20"/>
    </w:rPr>
  </w:style>
  <w:style w:type="character" w:customStyle="1" w:styleId="rvts96">
    <w:name w:val="rvts96"/>
    <w:basedOn w:val="a0"/>
    <w:rsid w:val="008F7D27"/>
  </w:style>
  <w:style w:type="paragraph" w:styleId="a9">
    <w:name w:val="Title"/>
    <w:basedOn w:val="a"/>
    <w:qFormat/>
    <w:rsid w:val="00943DED"/>
    <w:pPr>
      <w:jc w:val="center"/>
    </w:pPr>
    <w:rPr>
      <w:b/>
      <w:sz w:val="28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943DE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rsid w:val="00D3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 результативності регуляторного акта – </vt:lpstr>
    </vt:vector>
  </TitlesOfParts>
  <Company>SSMSC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 результативності регуляторного акта –</dc:title>
  <dc:subject/>
  <dc:creator>kazimirskyi</dc:creator>
  <cp:keywords/>
  <dc:description/>
  <cp:lastModifiedBy>Руслан Кисляк</cp:lastModifiedBy>
  <cp:revision>2</cp:revision>
  <dcterms:created xsi:type="dcterms:W3CDTF">2019-03-12T13:23:00Z</dcterms:created>
  <dcterms:modified xsi:type="dcterms:W3CDTF">2019-03-12T13:23:00Z</dcterms:modified>
</cp:coreProperties>
</file>