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C0" w:rsidRDefault="000322C0" w:rsidP="00CC2003">
      <w:pPr>
        <w:tabs>
          <w:tab w:val="center" w:pos="4988"/>
          <w:tab w:val="left" w:pos="8460"/>
        </w:tabs>
        <w:jc w:val="center"/>
        <w:rPr>
          <w:b/>
          <w:spacing w:val="60"/>
        </w:rPr>
      </w:pPr>
      <w:r w:rsidRPr="0051636B">
        <w:rPr>
          <w:noProof/>
          <w:spacing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05pt;margin-top:.3pt;width:67.5pt;height:78.75pt;z-index:2" fillcolor="window">
            <v:imagedata r:id="rId7" o:title=""/>
          </v:shape>
        </w:pict>
      </w:r>
    </w:p>
    <w:p w:rsidR="0051636B" w:rsidRPr="0051636B" w:rsidRDefault="0051636B" w:rsidP="006C2B4D">
      <w:pPr>
        <w:tabs>
          <w:tab w:val="center" w:pos="4988"/>
          <w:tab w:val="left" w:pos="8460"/>
        </w:tabs>
        <w:rPr>
          <w:b/>
          <w:spacing w:val="60"/>
        </w:rPr>
      </w:pPr>
    </w:p>
    <w:p w:rsidR="000322C0" w:rsidRPr="0051636B" w:rsidRDefault="000322C0" w:rsidP="000322C0">
      <w:pPr>
        <w:jc w:val="center"/>
        <w:rPr>
          <w:b/>
        </w:rPr>
      </w:pPr>
    </w:p>
    <w:p w:rsidR="000322C0" w:rsidRPr="0051636B" w:rsidRDefault="000322C0" w:rsidP="000322C0">
      <w:pPr>
        <w:pStyle w:val="4"/>
        <w:ind w:left="360" w:right="540"/>
        <w:rPr>
          <w:sz w:val="28"/>
        </w:rPr>
      </w:pPr>
    </w:p>
    <w:p w:rsidR="000322C0" w:rsidRDefault="000322C0" w:rsidP="0028748C">
      <w:pPr>
        <w:pStyle w:val="4"/>
        <w:ind w:right="540"/>
        <w:jc w:val="left"/>
        <w:rPr>
          <w:sz w:val="28"/>
        </w:rPr>
      </w:pPr>
    </w:p>
    <w:p w:rsidR="000322C0" w:rsidRPr="0051636B" w:rsidRDefault="000322C0" w:rsidP="0028748C">
      <w:pPr>
        <w:pStyle w:val="4"/>
        <w:ind w:right="540"/>
        <w:jc w:val="left"/>
        <w:rPr>
          <w:sz w:val="16"/>
          <w:szCs w:val="16"/>
        </w:rPr>
      </w:pPr>
    </w:p>
    <w:p w:rsidR="000322C0" w:rsidRPr="0051636B" w:rsidRDefault="000322C0" w:rsidP="000322C0">
      <w:pPr>
        <w:pStyle w:val="4"/>
        <w:ind w:left="360" w:right="540"/>
        <w:rPr>
          <w:sz w:val="28"/>
        </w:rPr>
      </w:pPr>
      <w:r w:rsidRPr="0051636B">
        <w:rPr>
          <w:sz w:val="28"/>
        </w:rPr>
        <w:t>НАЦІОНАЛЬНА КОМІСІЯ З ЦІННИХ ПАПЕРІВ</w:t>
      </w:r>
    </w:p>
    <w:p w:rsidR="000322C0" w:rsidRPr="0051636B" w:rsidRDefault="000322C0" w:rsidP="000322C0">
      <w:pPr>
        <w:pStyle w:val="1"/>
        <w:ind w:left="360" w:right="540"/>
      </w:pPr>
      <w:r w:rsidRPr="0051636B">
        <w:t>ТА ФОНДОВОГО РИНКУ</w:t>
      </w:r>
    </w:p>
    <w:p w:rsidR="000322C0" w:rsidRPr="00ED7626" w:rsidRDefault="000322C0" w:rsidP="000322C0">
      <w:pPr>
        <w:jc w:val="both"/>
        <w:rPr>
          <w:b/>
          <w:sz w:val="28"/>
        </w:rPr>
      </w:pPr>
      <w:r w:rsidRPr="00ED7626">
        <w:pict>
          <v:shape id="_x0000_s1026" style="position:absolute;left:0;text-align:left;margin-left:20.2pt;margin-top:5.85pt;width:424.8pt;height:7.2pt;z-index:1;mso-position-horizontal:absolute;mso-position-horizontal-relative:text;mso-position-vertical:absolute;mso-position-vertical-relative:text" coordsize="20000,20000" o:allowincell="f" path="m,l,20000r20000,l20000,,,e">
            <v:fill type="pattern"/>
            <v:path arrowok="t"/>
          </v:shape>
        </w:pict>
      </w:r>
    </w:p>
    <w:p w:rsidR="000322C0" w:rsidRPr="0028748C" w:rsidRDefault="000322C0" w:rsidP="000322C0">
      <w:pPr>
        <w:jc w:val="both"/>
      </w:pPr>
    </w:p>
    <w:p w:rsidR="000322C0" w:rsidRPr="00ED7626" w:rsidRDefault="000322C0" w:rsidP="000322C0">
      <w:pPr>
        <w:pStyle w:val="caaieiaie4"/>
        <w:widowControl/>
        <w:rPr>
          <w:rFonts w:ascii="Times New Roman" w:hAnsi="Times New Roman"/>
          <w:spacing w:val="60"/>
          <w:sz w:val="28"/>
        </w:rPr>
      </w:pPr>
      <w:r w:rsidRPr="00ED7626">
        <w:rPr>
          <w:rFonts w:ascii="Times New Roman" w:hAnsi="Times New Roman"/>
          <w:spacing w:val="60"/>
          <w:sz w:val="28"/>
        </w:rPr>
        <w:t>РІШЕННЯ</w:t>
      </w:r>
    </w:p>
    <w:p w:rsidR="000322C0" w:rsidRPr="0028748C" w:rsidRDefault="000322C0" w:rsidP="000322C0">
      <w:pPr>
        <w:jc w:val="both"/>
        <w:rPr>
          <w:sz w:val="28"/>
          <w:szCs w:val="28"/>
        </w:rPr>
      </w:pPr>
    </w:p>
    <w:p w:rsidR="000322C0" w:rsidRPr="003F7391" w:rsidRDefault="00443C76" w:rsidP="00133847">
      <w:pPr>
        <w:jc w:val="both"/>
        <w:rPr>
          <w:sz w:val="28"/>
          <w:lang w:val="ru-RU"/>
        </w:rPr>
      </w:pPr>
      <w:r>
        <w:rPr>
          <w:sz w:val="28"/>
        </w:rPr>
        <w:t>12</w:t>
      </w:r>
      <w:r w:rsidR="00133847">
        <w:rPr>
          <w:sz w:val="28"/>
        </w:rPr>
        <w:t>.</w:t>
      </w:r>
      <w:r>
        <w:rPr>
          <w:sz w:val="28"/>
        </w:rPr>
        <w:t>03</w:t>
      </w:r>
      <w:r w:rsidR="000322C0" w:rsidRPr="00ED7626">
        <w:rPr>
          <w:sz w:val="28"/>
        </w:rPr>
        <w:t>.201</w:t>
      </w:r>
      <w:r w:rsidR="00133847">
        <w:rPr>
          <w:sz w:val="28"/>
          <w:lang w:val="ru-RU"/>
        </w:rPr>
        <w:t>9</w:t>
      </w:r>
      <w:r w:rsidR="0056498F">
        <w:rPr>
          <w:sz w:val="28"/>
        </w:rPr>
        <w:t xml:space="preserve"> р.</w:t>
      </w:r>
      <w:r w:rsidR="000322C0" w:rsidRPr="00ED7626">
        <w:rPr>
          <w:sz w:val="28"/>
        </w:rPr>
        <w:t xml:space="preserve">     </w:t>
      </w:r>
      <w:r w:rsidR="00607618">
        <w:rPr>
          <w:sz w:val="28"/>
        </w:rPr>
        <w:t xml:space="preserve">                      </w:t>
      </w:r>
      <w:r w:rsidR="00133847">
        <w:rPr>
          <w:sz w:val="28"/>
        </w:rPr>
        <w:t xml:space="preserve"> </w:t>
      </w:r>
      <w:r w:rsidR="00607618">
        <w:rPr>
          <w:sz w:val="28"/>
        </w:rPr>
        <w:t xml:space="preserve">        </w:t>
      </w:r>
      <w:r w:rsidR="003F7391" w:rsidRPr="00A21ACA">
        <w:rPr>
          <w:sz w:val="28"/>
          <w:lang w:val="ru-RU"/>
        </w:rPr>
        <w:t xml:space="preserve">     </w:t>
      </w:r>
      <w:r w:rsidR="000322C0" w:rsidRPr="00ED7626">
        <w:rPr>
          <w:sz w:val="28"/>
        </w:rPr>
        <w:t xml:space="preserve">  </w:t>
      </w:r>
      <w:r w:rsidR="00607618" w:rsidRPr="00753639">
        <w:rPr>
          <w:sz w:val="28"/>
          <w:szCs w:val="28"/>
          <w:lang w:val="x-none"/>
        </w:rPr>
        <w:t>м.</w:t>
      </w:r>
      <w:r w:rsidR="00607618" w:rsidRPr="00753639">
        <w:rPr>
          <w:sz w:val="28"/>
          <w:szCs w:val="28"/>
        </w:rPr>
        <w:t xml:space="preserve"> </w:t>
      </w:r>
      <w:r w:rsidR="00607618">
        <w:rPr>
          <w:sz w:val="28"/>
          <w:szCs w:val="28"/>
          <w:lang w:val="x-none"/>
        </w:rPr>
        <w:t>Київ</w:t>
      </w:r>
      <w:r w:rsidR="000322C0" w:rsidRPr="00ED7626">
        <w:rPr>
          <w:sz w:val="28"/>
        </w:rPr>
        <w:t xml:space="preserve">                         </w:t>
      </w:r>
      <w:r w:rsidR="00133847">
        <w:rPr>
          <w:sz w:val="28"/>
        </w:rPr>
        <w:t xml:space="preserve">    </w:t>
      </w:r>
      <w:r w:rsidR="000322C0" w:rsidRPr="00ED7626">
        <w:rPr>
          <w:sz w:val="28"/>
        </w:rPr>
        <w:t xml:space="preserve">     </w:t>
      </w:r>
      <w:r w:rsidR="00607618">
        <w:rPr>
          <w:sz w:val="28"/>
        </w:rPr>
        <w:t xml:space="preserve">           </w:t>
      </w:r>
      <w:r w:rsidR="003E0A82">
        <w:rPr>
          <w:sz w:val="28"/>
        </w:rPr>
        <w:t xml:space="preserve">     </w:t>
      </w:r>
      <w:r w:rsidR="00A21ACA" w:rsidRPr="00A21ACA">
        <w:rPr>
          <w:sz w:val="28"/>
          <w:lang w:val="ru-RU"/>
        </w:rPr>
        <w:t xml:space="preserve">  </w:t>
      </w:r>
      <w:r w:rsidR="000322C0" w:rsidRPr="00ED7626">
        <w:rPr>
          <w:sz w:val="28"/>
        </w:rPr>
        <w:t>№</w:t>
      </w:r>
      <w:r w:rsidR="00133847">
        <w:rPr>
          <w:sz w:val="28"/>
        </w:rPr>
        <w:t xml:space="preserve"> </w:t>
      </w:r>
      <w:r>
        <w:rPr>
          <w:sz w:val="28"/>
        </w:rPr>
        <w:t>152</w:t>
      </w:r>
    </w:p>
    <w:p w:rsidR="000322C0" w:rsidRPr="0028748C" w:rsidRDefault="000322C0" w:rsidP="000322C0">
      <w:pPr>
        <w:jc w:val="both"/>
        <w:rPr>
          <w:sz w:val="28"/>
          <w:szCs w:val="28"/>
        </w:rPr>
      </w:pPr>
      <w:bookmarkStart w:id="0" w:name="_GoBack"/>
      <w:bookmarkEnd w:id="0"/>
    </w:p>
    <w:p w:rsidR="00133847" w:rsidRPr="00133847" w:rsidRDefault="00F90A9D" w:rsidP="0028748C">
      <w:pPr>
        <w:ind w:right="4939"/>
        <w:jc w:val="both"/>
        <w:rPr>
          <w:sz w:val="28"/>
          <w:szCs w:val="28"/>
        </w:rPr>
      </w:pPr>
      <w:r w:rsidRPr="00590AC7">
        <w:rPr>
          <w:bCs/>
          <w:sz w:val="28"/>
          <w:szCs w:val="28"/>
        </w:rPr>
        <w:t xml:space="preserve">Про </w:t>
      </w:r>
      <w:r w:rsidR="00B90172">
        <w:rPr>
          <w:bCs/>
          <w:sz w:val="28"/>
          <w:szCs w:val="28"/>
        </w:rPr>
        <w:t>схвалення</w:t>
      </w:r>
      <w:r w:rsidR="00A21ACA" w:rsidRPr="00A21ACA">
        <w:rPr>
          <w:bCs/>
          <w:sz w:val="28"/>
          <w:szCs w:val="28"/>
        </w:rPr>
        <w:t xml:space="preserve"> </w:t>
      </w:r>
      <w:r w:rsidR="00A21ACA" w:rsidRPr="00590AC7">
        <w:rPr>
          <w:bCs/>
          <w:sz w:val="28"/>
          <w:szCs w:val="28"/>
        </w:rPr>
        <w:t>проекту</w:t>
      </w:r>
      <w:r w:rsidR="00133847">
        <w:rPr>
          <w:bCs/>
          <w:sz w:val="28"/>
          <w:szCs w:val="28"/>
        </w:rPr>
        <w:t xml:space="preserve"> </w:t>
      </w:r>
      <w:r w:rsidR="00590AC7" w:rsidRPr="00590AC7">
        <w:rPr>
          <w:sz w:val="28"/>
          <w:szCs w:val="28"/>
        </w:rPr>
        <w:t>постанови Кабінету Міністрів України</w:t>
      </w:r>
      <w:r w:rsidR="00133847">
        <w:rPr>
          <w:sz w:val="28"/>
          <w:szCs w:val="28"/>
        </w:rPr>
        <w:t xml:space="preserve"> «</w:t>
      </w:r>
      <w:r w:rsidR="00133847" w:rsidRPr="00133847">
        <w:rPr>
          <w:sz w:val="28"/>
          <w:szCs w:val="28"/>
        </w:rPr>
        <w:t>Про затвердження критеріїв, за якими оцінюється ступінь ризику від провадження господарської</w:t>
      </w:r>
      <w:r w:rsidR="00A606D9">
        <w:rPr>
          <w:sz w:val="28"/>
          <w:szCs w:val="28"/>
        </w:rPr>
        <w:t xml:space="preserve"> діяльності </w:t>
      </w:r>
      <w:r w:rsidR="00133847" w:rsidRPr="00133847">
        <w:rPr>
          <w:sz w:val="28"/>
          <w:szCs w:val="28"/>
        </w:rPr>
        <w:t xml:space="preserve"> емітентів цінних паперів, державний нагляд (контроль) відносно яких відповідно до законодавства здійснюється Національною комісією з цінних паперів та фондового ринку, та визначається періодичність проведення планових заходів державного нагляду (контролю) Національною комісією з цінних паперів та фондового ринку</w:t>
      </w:r>
      <w:r w:rsidR="000A4A71">
        <w:rPr>
          <w:sz w:val="28"/>
          <w:szCs w:val="28"/>
        </w:rPr>
        <w:t>»</w:t>
      </w:r>
    </w:p>
    <w:p w:rsidR="00802DCB" w:rsidRDefault="00802DCB" w:rsidP="00607618">
      <w:pPr>
        <w:ind w:right="5116"/>
        <w:jc w:val="both"/>
        <w:rPr>
          <w:bCs/>
          <w:sz w:val="28"/>
          <w:szCs w:val="28"/>
        </w:rPr>
      </w:pPr>
    </w:p>
    <w:p w:rsidR="00677427" w:rsidRDefault="0052077B" w:rsidP="0019605A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Відповідно до </w:t>
      </w:r>
      <w:r w:rsidR="00677427">
        <w:rPr>
          <w:sz w:val="28"/>
          <w:szCs w:val="28"/>
          <w:lang w:eastAsia="uk-UA"/>
        </w:rPr>
        <w:t>пунктів 9 та 9</w:t>
      </w:r>
      <w:r w:rsidRPr="00677427">
        <w:rPr>
          <w:sz w:val="28"/>
          <w:szCs w:val="28"/>
          <w:vertAlign w:val="superscript"/>
          <w:lang w:eastAsia="uk-UA"/>
        </w:rPr>
        <w:t>1</w:t>
      </w:r>
      <w:r>
        <w:rPr>
          <w:sz w:val="28"/>
          <w:szCs w:val="28"/>
          <w:lang w:eastAsia="uk-UA"/>
        </w:rPr>
        <w:t xml:space="preserve"> статті 8 Закону України «Про державне регулювання ринку цінних паперів в Україні»</w:t>
      </w:r>
      <w:r w:rsidR="00677427">
        <w:rPr>
          <w:sz w:val="28"/>
          <w:szCs w:val="28"/>
          <w:lang w:eastAsia="uk-UA"/>
        </w:rPr>
        <w:t>,</w:t>
      </w:r>
      <w:r w:rsidR="0019605A">
        <w:rPr>
          <w:sz w:val="28"/>
          <w:szCs w:val="28"/>
          <w:lang w:eastAsia="uk-UA"/>
        </w:rPr>
        <w:t xml:space="preserve"> статей 2,</w:t>
      </w:r>
      <w:r>
        <w:rPr>
          <w:sz w:val="28"/>
          <w:szCs w:val="28"/>
          <w:lang w:eastAsia="uk-UA"/>
        </w:rPr>
        <w:t xml:space="preserve"> </w:t>
      </w:r>
      <w:r w:rsidR="0094164B">
        <w:rPr>
          <w:sz w:val="28"/>
          <w:szCs w:val="28"/>
          <w:lang w:eastAsia="uk-UA"/>
        </w:rPr>
        <w:t>5</w:t>
      </w:r>
      <w:r w:rsidR="000F419D">
        <w:rPr>
          <w:sz w:val="28"/>
          <w:szCs w:val="28"/>
          <w:vertAlign w:val="superscript"/>
          <w:lang w:eastAsia="uk-UA"/>
        </w:rPr>
        <w:t xml:space="preserve"> </w:t>
      </w:r>
      <w:r w:rsidR="000F419D">
        <w:rPr>
          <w:sz w:val="28"/>
          <w:szCs w:val="28"/>
          <w:lang w:eastAsia="uk-UA"/>
        </w:rPr>
        <w:t>Закону України                    «П</w:t>
      </w:r>
      <w:r>
        <w:rPr>
          <w:sz w:val="28"/>
          <w:szCs w:val="28"/>
          <w:lang w:eastAsia="uk-UA"/>
        </w:rPr>
        <w:t>ро основні засади державного нагляду (контролю) у сфері господарської діяльності»</w:t>
      </w:r>
      <w:r w:rsidR="002930D6">
        <w:rPr>
          <w:sz w:val="28"/>
          <w:szCs w:val="28"/>
          <w:lang w:eastAsia="uk-UA"/>
        </w:rPr>
        <w:t>,</w:t>
      </w:r>
    </w:p>
    <w:p w:rsidR="00677427" w:rsidRDefault="00677427" w:rsidP="006710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Національна комісія з ці</w:t>
      </w:r>
      <w:r w:rsidR="00653692">
        <w:rPr>
          <w:sz w:val="28"/>
          <w:szCs w:val="28"/>
          <w:lang w:eastAsia="uk-UA"/>
        </w:rPr>
        <w:t>нних паперів та фондового ринку</w:t>
      </w:r>
    </w:p>
    <w:p w:rsidR="00B3418D" w:rsidRPr="00B3418D" w:rsidRDefault="00B3418D" w:rsidP="0019605A">
      <w:pPr>
        <w:jc w:val="center"/>
        <w:rPr>
          <w:sz w:val="16"/>
          <w:szCs w:val="16"/>
        </w:rPr>
      </w:pPr>
    </w:p>
    <w:p w:rsidR="000322C0" w:rsidRPr="000A4A71" w:rsidRDefault="000322C0" w:rsidP="00B3418D">
      <w:pPr>
        <w:spacing w:line="360" w:lineRule="auto"/>
        <w:jc w:val="center"/>
        <w:rPr>
          <w:b/>
          <w:sz w:val="28"/>
          <w:szCs w:val="28"/>
        </w:rPr>
      </w:pPr>
      <w:r w:rsidRPr="000A4A71">
        <w:rPr>
          <w:b/>
          <w:sz w:val="28"/>
          <w:szCs w:val="28"/>
        </w:rPr>
        <w:t>В И Р І Ш И Л А:</w:t>
      </w:r>
    </w:p>
    <w:p w:rsidR="00B3418D" w:rsidRPr="0019605A" w:rsidRDefault="00B3418D" w:rsidP="0019605A">
      <w:pPr>
        <w:jc w:val="center"/>
        <w:rPr>
          <w:sz w:val="12"/>
          <w:szCs w:val="12"/>
        </w:rPr>
      </w:pPr>
    </w:p>
    <w:p w:rsidR="00CE36AC" w:rsidRPr="003933B3" w:rsidRDefault="00CE36AC" w:rsidP="00CE36AC">
      <w:pPr>
        <w:spacing w:line="360" w:lineRule="auto"/>
        <w:ind w:firstLine="720"/>
        <w:jc w:val="both"/>
        <w:rPr>
          <w:sz w:val="28"/>
          <w:szCs w:val="28"/>
        </w:rPr>
      </w:pPr>
      <w:r w:rsidRPr="003933B3">
        <w:rPr>
          <w:sz w:val="28"/>
          <w:szCs w:val="28"/>
        </w:rPr>
        <w:t>1. Схвалити проект постанови Кабінету Міністрів України «Про затвердження критеріїв, за якими оцінюється ступінь ризику від провадження господарської</w:t>
      </w:r>
      <w:r w:rsidR="00446329">
        <w:rPr>
          <w:sz w:val="28"/>
          <w:szCs w:val="28"/>
        </w:rPr>
        <w:t xml:space="preserve"> діяльності</w:t>
      </w:r>
      <w:r w:rsidRPr="003933B3">
        <w:rPr>
          <w:sz w:val="28"/>
          <w:szCs w:val="28"/>
        </w:rPr>
        <w:t xml:space="preserve"> емітентів цінни</w:t>
      </w:r>
      <w:r w:rsidR="00296BF4">
        <w:rPr>
          <w:sz w:val="28"/>
          <w:szCs w:val="28"/>
        </w:rPr>
        <w:t>х</w:t>
      </w:r>
      <w:r w:rsidRPr="003933B3">
        <w:rPr>
          <w:sz w:val="28"/>
          <w:szCs w:val="28"/>
        </w:rPr>
        <w:t xml:space="preserve"> папер</w:t>
      </w:r>
      <w:r w:rsidR="00296BF4">
        <w:rPr>
          <w:sz w:val="28"/>
          <w:szCs w:val="28"/>
        </w:rPr>
        <w:t>ів</w:t>
      </w:r>
      <w:r w:rsidRPr="003933B3">
        <w:rPr>
          <w:sz w:val="28"/>
          <w:szCs w:val="28"/>
        </w:rPr>
        <w:t>, державний нагляд (контроль) відносно яких відповідно до законодавства здійснюється Національною комісією з цінних паперів та фондового ринку, та визначається періодичність проведення планових заходів державного нагляду (контролю) Національною комісією з цінних паперів та фондового ринку» (далі – проект постанови), що додається.</w:t>
      </w:r>
    </w:p>
    <w:p w:rsidR="00886126" w:rsidRPr="003933B3" w:rsidRDefault="003907C1" w:rsidP="00DC1C21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720"/>
        <w:jc w:val="both"/>
        <w:rPr>
          <w:bCs/>
          <w:sz w:val="28"/>
          <w:szCs w:val="28"/>
          <w:lang w:val="uk-UA"/>
        </w:rPr>
      </w:pPr>
      <w:r w:rsidRPr="003933B3">
        <w:rPr>
          <w:bCs/>
          <w:sz w:val="28"/>
          <w:szCs w:val="28"/>
          <w:lang w:val="uk-UA"/>
        </w:rPr>
        <w:lastRenderedPageBreak/>
        <w:t>2</w:t>
      </w:r>
      <w:r w:rsidR="00B3418D" w:rsidRPr="003933B3">
        <w:rPr>
          <w:bCs/>
          <w:sz w:val="28"/>
          <w:szCs w:val="28"/>
          <w:lang w:val="uk-UA"/>
        </w:rPr>
        <w:t xml:space="preserve">. </w:t>
      </w:r>
      <w:r w:rsidR="00B3418D" w:rsidRPr="003933B3">
        <w:rPr>
          <w:sz w:val="28"/>
          <w:szCs w:val="28"/>
          <w:lang w:val="uk-UA"/>
        </w:rPr>
        <w:t xml:space="preserve">Департаменту </w:t>
      </w:r>
      <w:r w:rsidR="0045063C" w:rsidRPr="003933B3">
        <w:rPr>
          <w:sz w:val="28"/>
          <w:szCs w:val="28"/>
          <w:lang w:val="uk-UA"/>
        </w:rPr>
        <w:t>нагляду за станом корпоративного управлін</w:t>
      </w:r>
      <w:r w:rsidRPr="003933B3">
        <w:rPr>
          <w:sz w:val="28"/>
          <w:szCs w:val="28"/>
          <w:lang w:val="uk-UA"/>
        </w:rPr>
        <w:t>ня та корпоративними фінансами</w:t>
      </w:r>
      <w:r w:rsidR="00AF55FF" w:rsidRPr="003933B3">
        <w:rPr>
          <w:sz w:val="28"/>
          <w:szCs w:val="28"/>
          <w:lang w:val="uk-UA"/>
        </w:rPr>
        <w:t xml:space="preserve"> </w:t>
      </w:r>
      <w:r w:rsidR="00B3418D" w:rsidRPr="003933B3">
        <w:rPr>
          <w:sz w:val="28"/>
          <w:szCs w:val="28"/>
          <w:lang w:val="uk-UA"/>
        </w:rPr>
        <w:t>(</w:t>
      </w:r>
      <w:r w:rsidR="0045063C" w:rsidRPr="003933B3">
        <w:rPr>
          <w:sz w:val="28"/>
          <w:szCs w:val="28"/>
          <w:lang w:val="uk-UA"/>
        </w:rPr>
        <w:t>В.</w:t>
      </w:r>
      <w:r w:rsidR="003933B3">
        <w:rPr>
          <w:sz w:val="28"/>
          <w:szCs w:val="28"/>
          <w:lang w:val="uk-UA"/>
        </w:rPr>
        <w:t xml:space="preserve"> </w:t>
      </w:r>
      <w:r w:rsidR="0045063C" w:rsidRPr="003933B3">
        <w:rPr>
          <w:sz w:val="28"/>
          <w:szCs w:val="28"/>
          <w:lang w:val="uk-UA"/>
        </w:rPr>
        <w:t>Жупаненко</w:t>
      </w:r>
      <w:r w:rsidR="00B3418D" w:rsidRPr="003933B3">
        <w:rPr>
          <w:sz w:val="28"/>
          <w:szCs w:val="28"/>
          <w:lang w:val="uk-UA"/>
        </w:rPr>
        <w:t xml:space="preserve">) </w:t>
      </w:r>
      <w:r w:rsidR="00B3418D" w:rsidRPr="003933B3">
        <w:rPr>
          <w:bCs/>
          <w:sz w:val="28"/>
          <w:szCs w:val="28"/>
          <w:lang w:val="uk-UA"/>
        </w:rPr>
        <w:t>забезпечити</w:t>
      </w:r>
      <w:r w:rsidR="00886126" w:rsidRPr="003933B3">
        <w:rPr>
          <w:bCs/>
          <w:sz w:val="28"/>
          <w:szCs w:val="28"/>
          <w:lang w:val="uk-UA"/>
        </w:rPr>
        <w:t>:</w:t>
      </w:r>
    </w:p>
    <w:p w:rsidR="00886126" w:rsidRPr="003933B3" w:rsidRDefault="00B3418D" w:rsidP="00886126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both"/>
        <w:rPr>
          <w:bCs/>
          <w:sz w:val="28"/>
          <w:szCs w:val="28"/>
          <w:lang w:val="uk-UA"/>
        </w:rPr>
      </w:pPr>
      <w:r w:rsidRPr="003933B3">
        <w:rPr>
          <w:bCs/>
          <w:sz w:val="28"/>
          <w:szCs w:val="28"/>
          <w:lang w:val="uk-UA"/>
        </w:rPr>
        <w:t>оприлюднення рішення на офіційному веб-сайті Національної комісії з цінних папер</w:t>
      </w:r>
      <w:r w:rsidR="00886126" w:rsidRPr="003933B3">
        <w:rPr>
          <w:bCs/>
          <w:sz w:val="28"/>
          <w:szCs w:val="28"/>
          <w:lang w:val="uk-UA"/>
        </w:rPr>
        <w:t>ів та фондового ринку;</w:t>
      </w:r>
    </w:p>
    <w:p w:rsidR="00DC1C21" w:rsidRPr="007A1063" w:rsidRDefault="00476F4F" w:rsidP="007A1063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both"/>
        <w:rPr>
          <w:bCs/>
          <w:sz w:val="28"/>
          <w:szCs w:val="28"/>
          <w:lang w:val="uk-UA"/>
        </w:rPr>
      </w:pPr>
      <w:r w:rsidRPr="007A1063">
        <w:rPr>
          <w:bCs/>
          <w:sz w:val="28"/>
          <w:szCs w:val="28"/>
          <w:lang w:val="uk-UA"/>
        </w:rPr>
        <w:t xml:space="preserve">направлення </w:t>
      </w:r>
      <w:r w:rsidR="00DC1C21" w:rsidRPr="007A1063">
        <w:rPr>
          <w:bCs/>
          <w:sz w:val="28"/>
          <w:szCs w:val="28"/>
          <w:lang w:val="uk-UA"/>
        </w:rPr>
        <w:t xml:space="preserve">проекту постанови </w:t>
      </w:r>
      <w:r w:rsidRPr="007A1063">
        <w:rPr>
          <w:bCs/>
          <w:sz w:val="28"/>
          <w:szCs w:val="28"/>
          <w:lang w:val="uk-UA"/>
        </w:rPr>
        <w:t>для</w:t>
      </w:r>
      <w:r w:rsidR="00886126" w:rsidRPr="007A1063">
        <w:rPr>
          <w:bCs/>
          <w:sz w:val="28"/>
          <w:szCs w:val="28"/>
          <w:lang w:val="uk-UA"/>
        </w:rPr>
        <w:t xml:space="preserve"> погодження </w:t>
      </w:r>
      <w:r w:rsidRPr="007A1063">
        <w:rPr>
          <w:bCs/>
          <w:sz w:val="28"/>
          <w:szCs w:val="28"/>
          <w:lang w:val="uk-UA"/>
        </w:rPr>
        <w:t>із заінтересованими органами</w:t>
      </w:r>
      <w:r w:rsidR="00886126" w:rsidRPr="007A1063">
        <w:rPr>
          <w:bCs/>
          <w:sz w:val="28"/>
          <w:szCs w:val="28"/>
          <w:lang w:val="uk-UA"/>
        </w:rPr>
        <w:t>.</w:t>
      </w:r>
    </w:p>
    <w:p w:rsidR="00B3418D" w:rsidRPr="003933B3" w:rsidRDefault="003907C1" w:rsidP="00B3418D">
      <w:pPr>
        <w:keepNext/>
        <w:spacing w:line="360" w:lineRule="auto"/>
        <w:ind w:right="-1" w:firstLine="851"/>
        <w:jc w:val="both"/>
        <w:rPr>
          <w:sz w:val="28"/>
          <w:szCs w:val="28"/>
        </w:rPr>
      </w:pPr>
      <w:r w:rsidRPr="003933B3">
        <w:rPr>
          <w:sz w:val="28"/>
          <w:szCs w:val="28"/>
        </w:rPr>
        <w:t>3</w:t>
      </w:r>
      <w:r w:rsidR="00B3418D" w:rsidRPr="003933B3">
        <w:rPr>
          <w:sz w:val="28"/>
          <w:szCs w:val="28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r w:rsidR="0045063C" w:rsidRPr="003933B3">
        <w:rPr>
          <w:sz w:val="28"/>
          <w:szCs w:val="28"/>
        </w:rPr>
        <w:t>М. Лібанова</w:t>
      </w:r>
      <w:r w:rsidR="00B3418D" w:rsidRPr="003933B3">
        <w:rPr>
          <w:sz w:val="28"/>
          <w:szCs w:val="28"/>
        </w:rPr>
        <w:t>.</w:t>
      </w:r>
    </w:p>
    <w:p w:rsidR="00B3418D" w:rsidRPr="00AA0826" w:rsidRDefault="00B3418D" w:rsidP="003933B3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F531C2" w:rsidRDefault="00F531C2" w:rsidP="003933B3">
      <w:pPr>
        <w:tabs>
          <w:tab w:val="left" w:pos="90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0F419D" w:rsidRDefault="000F419D" w:rsidP="003933B3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0322C0" w:rsidRPr="00ED7626" w:rsidRDefault="003C4031" w:rsidP="003C40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="003933B3">
        <w:rPr>
          <w:b/>
          <w:sz w:val="28"/>
          <w:szCs w:val="28"/>
        </w:rPr>
        <w:t xml:space="preserve"> Комісії</w:t>
      </w:r>
      <w:r w:rsidR="003933B3">
        <w:rPr>
          <w:b/>
          <w:sz w:val="28"/>
          <w:szCs w:val="28"/>
        </w:rPr>
        <w:tab/>
      </w:r>
      <w:r w:rsidR="003933B3">
        <w:rPr>
          <w:b/>
          <w:sz w:val="28"/>
          <w:szCs w:val="28"/>
        </w:rPr>
        <w:tab/>
      </w:r>
      <w:r w:rsidR="003933B3">
        <w:rPr>
          <w:b/>
          <w:sz w:val="28"/>
          <w:szCs w:val="28"/>
        </w:rPr>
        <w:tab/>
      </w:r>
      <w:r w:rsidR="003933B3">
        <w:rPr>
          <w:b/>
          <w:sz w:val="28"/>
          <w:szCs w:val="28"/>
        </w:rPr>
        <w:tab/>
      </w:r>
      <w:r w:rsidR="003933B3">
        <w:rPr>
          <w:b/>
          <w:sz w:val="28"/>
          <w:szCs w:val="28"/>
        </w:rPr>
        <w:tab/>
      </w:r>
      <w:r w:rsidR="003933B3">
        <w:rPr>
          <w:b/>
          <w:sz w:val="28"/>
          <w:szCs w:val="28"/>
        </w:rPr>
        <w:tab/>
      </w:r>
      <w:r w:rsidR="003933B3">
        <w:rPr>
          <w:b/>
          <w:sz w:val="28"/>
          <w:szCs w:val="28"/>
        </w:rPr>
        <w:tab/>
      </w:r>
      <w:r w:rsidR="003933B3">
        <w:rPr>
          <w:b/>
          <w:sz w:val="28"/>
          <w:szCs w:val="28"/>
        </w:rPr>
        <w:tab/>
      </w:r>
      <w:r w:rsidR="00607618">
        <w:rPr>
          <w:b/>
          <w:sz w:val="28"/>
          <w:szCs w:val="28"/>
        </w:rPr>
        <w:t>Т. Хромаєв</w:t>
      </w:r>
    </w:p>
    <w:p w:rsidR="00F531C2" w:rsidRDefault="00F531C2" w:rsidP="00A82271"/>
    <w:p w:rsidR="000F419D" w:rsidRDefault="000F419D" w:rsidP="00A82271"/>
    <w:p w:rsidR="000F419D" w:rsidRDefault="000F419D" w:rsidP="00A82271"/>
    <w:p w:rsidR="000F419D" w:rsidRDefault="000F419D" w:rsidP="00A82271"/>
    <w:p w:rsidR="000F419D" w:rsidRDefault="000F419D" w:rsidP="00A82271"/>
    <w:p w:rsidR="000F419D" w:rsidRDefault="000F419D" w:rsidP="00A82271"/>
    <w:p w:rsidR="000F419D" w:rsidRDefault="000F419D" w:rsidP="00A82271"/>
    <w:p w:rsidR="000F419D" w:rsidRDefault="000F419D" w:rsidP="00A82271"/>
    <w:p w:rsidR="000F419D" w:rsidRDefault="000F419D" w:rsidP="00A82271"/>
    <w:p w:rsidR="000F419D" w:rsidRDefault="000F419D" w:rsidP="00A82271"/>
    <w:p w:rsidR="0019605A" w:rsidRDefault="0019605A" w:rsidP="00A82271"/>
    <w:p w:rsidR="0019605A" w:rsidRDefault="0019605A" w:rsidP="00A82271"/>
    <w:p w:rsidR="0019605A" w:rsidRDefault="0019605A" w:rsidP="00A82271"/>
    <w:p w:rsidR="000F419D" w:rsidRDefault="000F419D" w:rsidP="00A82271"/>
    <w:p w:rsidR="000807AC" w:rsidRDefault="000807AC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3907C1" w:rsidRDefault="003907C1" w:rsidP="00A82271"/>
    <w:p w:rsidR="000807AC" w:rsidRDefault="000807AC" w:rsidP="00A82271"/>
    <w:p w:rsidR="000322C0" w:rsidRPr="00ED7626" w:rsidRDefault="000322C0" w:rsidP="007A1063">
      <w:pPr>
        <w:ind w:left="4248"/>
        <w:jc w:val="center"/>
      </w:pPr>
      <w:r w:rsidRPr="00ED7626">
        <w:t>Протокол засідання Комісії</w:t>
      </w:r>
    </w:p>
    <w:p w:rsidR="005479F3" w:rsidRDefault="000322C0" w:rsidP="007A1063">
      <w:pPr>
        <w:ind w:left="5664"/>
        <w:jc w:val="center"/>
      </w:pPr>
      <w:r w:rsidRPr="00ED7626">
        <w:t>від «</w:t>
      </w:r>
      <w:r w:rsidR="00443C76">
        <w:t>12</w:t>
      </w:r>
      <w:r w:rsidRPr="00ED7626">
        <w:t>»</w:t>
      </w:r>
      <w:r w:rsidR="003F7391" w:rsidRPr="003907C1">
        <w:rPr>
          <w:lang w:val="ru-RU"/>
        </w:rPr>
        <w:t xml:space="preserve"> </w:t>
      </w:r>
      <w:r w:rsidR="00443C76">
        <w:t>березня</w:t>
      </w:r>
      <w:r w:rsidR="00A82271">
        <w:t xml:space="preserve"> 201</w:t>
      </w:r>
      <w:r w:rsidR="0045063C">
        <w:t>9</w:t>
      </w:r>
      <w:r w:rsidRPr="00ED7626">
        <w:t xml:space="preserve"> року №</w:t>
      </w:r>
      <w:r w:rsidR="008B064E">
        <w:t xml:space="preserve"> </w:t>
      </w:r>
      <w:r w:rsidR="00443C76">
        <w:t>16</w:t>
      </w:r>
    </w:p>
    <w:p w:rsidR="00443C76" w:rsidRDefault="00443C76" w:rsidP="007A1063">
      <w:pPr>
        <w:ind w:left="5664"/>
        <w:jc w:val="center"/>
      </w:pPr>
    </w:p>
    <w:p w:rsidR="00443C76" w:rsidRDefault="00443C76" w:rsidP="007A1063">
      <w:pPr>
        <w:ind w:left="5664"/>
        <w:jc w:val="center"/>
      </w:pP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  <w:r w:rsidRPr="00C410D9">
        <w:rPr>
          <w:noProof/>
          <w:sz w:val="28"/>
          <w:szCs w:val="28"/>
          <w:lang w:eastAsia="uk-UA"/>
        </w:rPr>
        <w:pict>
          <v:shape id="_x0000_s1028" type="#_x0000_t75" style="position:absolute;left:0;text-align:left;margin-left:205pt;margin-top:3pt;width:67.5pt;height:78.75pt;z-index:3" fillcolor="window">
            <v:imagedata r:id="rId7" o:title=""/>
          </v:shape>
        </w:pict>
      </w: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Pr="00C410D9" w:rsidRDefault="00443C76" w:rsidP="00443C76">
      <w:pPr>
        <w:spacing w:line="360" w:lineRule="auto"/>
        <w:jc w:val="center"/>
        <w:rPr>
          <w:b/>
          <w:sz w:val="28"/>
          <w:szCs w:val="28"/>
        </w:rPr>
      </w:pPr>
      <w:r w:rsidRPr="00C410D9">
        <w:rPr>
          <w:b/>
          <w:sz w:val="28"/>
          <w:szCs w:val="28"/>
        </w:rPr>
        <w:t>КАБІНЕТ МІНІСТРІВ УКРАЇНИ</w:t>
      </w:r>
    </w:p>
    <w:p w:rsidR="00443C76" w:rsidRPr="00C410D9" w:rsidRDefault="00443C76" w:rsidP="00443C76">
      <w:pPr>
        <w:spacing w:line="360" w:lineRule="auto"/>
        <w:jc w:val="center"/>
        <w:rPr>
          <w:b/>
          <w:sz w:val="28"/>
          <w:szCs w:val="28"/>
        </w:rPr>
      </w:pPr>
      <w:r w:rsidRPr="00C410D9">
        <w:rPr>
          <w:b/>
          <w:sz w:val="28"/>
          <w:szCs w:val="28"/>
        </w:rPr>
        <w:t>ПОСТАНОВА</w:t>
      </w:r>
    </w:p>
    <w:p w:rsidR="00443C76" w:rsidRDefault="00443C76" w:rsidP="0044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         ____                2019 р.  №</w:t>
      </w:r>
    </w:p>
    <w:p w:rsidR="00443C76" w:rsidRPr="00093D44" w:rsidRDefault="00443C76" w:rsidP="0044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</w:t>
      </w:r>
    </w:p>
    <w:p w:rsidR="00443C76" w:rsidRDefault="00443C76" w:rsidP="00443C76">
      <w:pPr>
        <w:ind w:firstLine="539"/>
        <w:jc w:val="center"/>
        <w:rPr>
          <w:sz w:val="28"/>
          <w:szCs w:val="28"/>
        </w:rPr>
      </w:pPr>
    </w:p>
    <w:p w:rsidR="00443C76" w:rsidRDefault="00443C76" w:rsidP="00443C76">
      <w:pPr>
        <w:ind w:firstLine="539"/>
        <w:jc w:val="center"/>
        <w:rPr>
          <w:b/>
          <w:sz w:val="28"/>
          <w:szCs w:val="28"/>
        </w:rPr>
      </w:pPr>
      <w:r w:rsidRPr="004B049A">
        <w:rPr>
          <w:b/>
          <w:sz w:val="28"/>
          <w:szCs w:val="28"/>
        </w:rPr>
        <w:t>Про затвердження критеріїв, за якими оцінюється ступінь ризику від провадження господарської</w:t>
      </w:r>
      <w:r>
        <w:rPr>
          <w:b/>
          <w:sz w:val="28"/>
          <w:szCs w:val="28"/>
        </w:rPr>
        <w:t xml:space="preserve"> діяльності </w:t>
      </w:r>
      <w:r w:rsidRPr="004B0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емітентів цінних паперів та визначається періодичність проведення планових заходів державного нагляду (контролю)</w:t>
      </w:r>
      <w:r w:rsidRPr="004B049A">
        <w:rPr>
          <w:b/>
          <w:sz w:val="28"/>
          <w:szCs w:val="28"/>
        </w:rPr>
        <w:t xml:space="preserve"> Національною комісією з цінних паперів та фондового ринку</w:t>
      </w:r>
    </w:p>
    <w:p w:rsidR="00443C76" w:rsidRDefault="00443C76" w:rsidP="00443C76">
      <w:pPr>
        <w:ind w:firstLine="539"/>
        <w:jc w:val="center"/>
        <w:rPr>
          <w:sz w:val="28"/>
          <w:szCs w:val="28"/>
        </w:rPr>
      </w:pPr>
    </w:p>
    <w:p w:rsidR="00443C76" w:rsidRDefault="00443C76" w:rsidP="00443C76">
      <w:pPr>
        <w:ind w:firstLine="539"/>
        <w:jc w:val="center"/>
        <w:rPr>
          <w:sz w:val="28"/>
          <w:szCs w:val="28"/>
        </w:rPr>
      </w:pPr>
    </w:p>
    <w:p w:rsidR="00443C76" w:rsidRDefault="00443C76" w:rsidP="00443C7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  <w:lang w:eastAsia="uk-UA"/>
        </w:rPr>
      </w:pPr>
      <w:r w:rsidRPr="00442958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частини другої </w:t>
      </w:r>
      <w:r w:rsidRPr="00442958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5</w:t>
      </w:r>
      <w:r w:rsidRPr="00442958"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Закону України «Про основні засади державного нагляду (контролю) у сфері господарської діяльності»</w:t>
      </w:r>
      <w:r w:rsidRPr="0067742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Кабінет Міністрів України </w:t>
      </w:r>
      <w:r w:rsidRPr="000D5E4F">
        <w:rPr>
          <w:b/>
          <w:sz w:val="28"/>
          <w:szCs w:val="28"/>
          <w:lang w:eastAsia="uk-UA"/>
        </w:rPr>
        <w:t>постановляє:</w:t>
      </w:r>
    </w:p>
    <w:p w:rsidR="00443C76" w:rsidRPr="00B75A5F" w:rsidRDefault="00443C76" w:rsidP="00443C7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lang w:eastAsia="uk-UA"/>
        </w:rPr>
      </w:pPr>
    </w:p>
    <w:p w:rsidR="00443C76" w:rsidRDefault="00443C76" w:rsidP="00443C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критерії, </w:t>
      </w:r>
      <w:r w:rsidRPr="00590AC7">
        <w:rPr>
          <w:sz w:val="28"/>
          <w:szCs w:val="28"/>
        </w:rPr>
        <w:t xml:space="preserve">за якими оцінюється ступінь ризику від провадження господарської діяльності </w:t>
      </w:r>
      <w:r>
        <w:rPr>
          <w:sz w:val="28"/>
          <w:szCs w:val="28"/>
        </w:rPr>
        <w:t>емітентів</w:t>
      </w:r>
      <w:r w:rsidRPr="00CE3F7F">
        <w:rPr>
          <w:sz w:val="28"/>
          <w:szCs w:val="28"/>
        </w:rPr>
        <w:t xml:space="preserve"> цінних паперів </w:t>
      </w:r>
      <w:r w:rsidRPr="00590AC7">
        <w:rPr>
          <w:sz w:val="28"/>
          <w:szCs w:val="28"/>
        </w:rPr>
        <w:t xml:space="preserve">та визначається періодичність проведення планових заходів державного </w:t>
      </w:r>
      <w:r>
        <w:rPr>
          <w:sz w:val="28"/>
          <w:szCs w:val="28"/>
        </w:rPr>
        <w:t>нагляду (контролю)</w:t>
      </w:r>
      <w:r w:rsidRPr="00590AC7">
        <w:rPr>
          <w:sz w:val="28"/>
          <w:szCs w:val="28"/>
        </w:rPr>
        <w:t xml:space="preserve"> </w:t>
      </w:r>
      <w:r>
        <w:rPr>
          <w:sz w:val="28"/>
          <w:szCs w:val="28"/>
        </w:rPr>
        <w:t>Національною комісією з цінних паперів та фондового ринку, що додаються.</w:t>
      </w:r>
    </w:p>
    <w:p w:rsidR="00443C76" w:rsidRDefault="00443C76" w:rsidP="00443C76">
      <w:pPr>
        <w:spacing w:line="360" w:lineRule="auto"/>
        <w:ind w:firstLine="540"/>
        <w:jc w:val="both"/>
        <w:rPr>
          <w:sz w:val="28"/>
          <w:szCs w:val="28"/>
        </w:rPr>
      </w:pPr>
    </w:p>
    <w:p w:rsidR="00443C76" w:rsidRPr="006351FF" w:rsidRDefault="00443C76" w:rsidP="00443C76">
      <w:pPr>
        <w:spacing w:line="360" w:lineRule="auto"/>
        <w:jc w:val="both"/>
        <w:rPr>
          <w:b/>
          <w:sz w:val="28"/>
          <w:szCs w:val="28"/>
        </w:rPr>
      </w:pPr>
      <w:r w:rsidRPr="000D5E4F">
        <w:rPr>
          <w:b/>
          <w:sz w:val="28"/>
          <w:szCs w:val="28"/>
        </w:rPr>
        <w:t xml:space="preserve">Прем’єр-міністр України </w:t>
      </w:r>
      <w:r>
        <w:rPr>
          <w:b/>
          <w:sz w:val="28"/>
          <w:szCs w:val="28"/>
        </w:rPr>
        <w:t xml:space="preserve">                                                           В. ГРОЙСМАН</w:t>
      </w: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Pr="00671795" w:rsidRDefault="00443C76" w:rsidP="00443C76">
      <w:pPr>
        <w:ind w:left="4247"/>
        <w:jc w:val="center"/>
        <w:rPr>
          <w:b/>
          <w:sz w:val="28"/>
          <w:szCs w:val="28"/>
        </w:rPr>
      </w:pPr>
      <w:r w:rsidRPr="00671795">
        <w:rPr>
          <w:b/>
          <w:sz w:val="28"/>
          <w:szCs w:val="28"/>
        </w:rPr>
        <w:lastRenderedPageBreak/>
        <w:t>ЗАТВЕРДЖЕНО</w:t>
      </w:r>
    </w:p>
    <w:p w:rsidR="00443C76" w:rsidRPr="00671795" w:rsidRDefault="00443C76" w:rsidP="00443C76">
      <w:pPr>
        <w:ind w:left="4247"/>
        <w:jc w:val="center"/>
        <w:rPr>
          <w:b/>
          <w:sz w:val="28"/>
          <w:szCs w:val="28"/>
        </w:rPr>
      </w:pPr>
      <w:r w:rsidRPr="00671795">
        <w:rPr>
          <w:b/>
          <w:sz w:val="28"/>
          <w:szCs w:val="28"/>
        </w:rPr>
        <w:t>постановою Кабінету Міністрів України</w:t>
      </w:r>
    </w:p>
    <w:p w:rsidR="00443C76" w:rsidRPr="00671795" w:rsidRDefault="00443C76" w:rsidP="00443C76">
      <w:pPr>
        <w:ind w:left="4247"/>
        <w:jc w:val="center"/>
        <w:rPr>
          <w:b/>
          <w:sz w:val="28"/>
          <w:szCs w:val="28"/>
        </w:rPr>
      </w:pPr>
      <w:r w:rsidRPr="00671795">
        <w:rPr>
          <w:b/>
          <w:sz w:val="28"/>
          <w:szCs w:val="28"/>
        </w:rPr>
        <w:t>від ___</w:t>
      </w:r>
      <w:r>
        <w:rPr>
          <w:b/>
          <w:sz w:val="28"/>
          <w:szCs w:val="28"/>
        </w:rPr>
        <w:t xml:space="preserve"> _____________2019 р.</w:t>
      </w:r>
      <w:r w:rsidRPr="00671795">
        <w:rPr>
          <w:b/>
          <w:sz w:val="28"/>
          <w:szCs w:val="28"/>
        </w:rPr>
        <w:t xml:space="preserve"> № ____</w:t>
      </w:r>
    </w:p>
    <w:p w:rsidR="00443C76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Default="00443C76" w:rsidP="00443C76">
      <w:pPr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</w:t>
      </w:r>
      <w:r w:rsidRPr="004B049A">
        <w:rPr>
          <w:b/>
          <w:sz w:val="28"/>
          <w:szCs w:val="28"/>
        </w:rPr>
        <w:t>,</w:t>
      </w:r>
    </w:p>
    <w:p w:rsidR="00443C76" w:rsidRDefault="00443C76" w:rsidP="00443C76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4B049A">
        <w:rPr>
          <w:b/>
          <w:sz w:val="28"/>
          <w:szCs w:val="28"/>
        </w:rPr>
        <w:t xml:space="preserve">за якими оцінюється ступінь ризику від провадження господарської </w:t>
      </w:r>
      <w:r>
        <w:rPr>
          <w:b/>
          <w:sz w:val="28"/>
          <w:szCs w:val="28"/>
        </w:rPr>
        <w:t>діяльності емітентів цінних паперів та визначається періодичність проведення планових заходів державного нагляду (контролю)</w:t>
      </w:r>
      <w:r w:rsidRPr="004B049A">
        <w:rPr>
          <w:b/>
          <w:sz w:val="28"/>
          <w:szCs w:val="28"/>
        </w:rPr>
        <w:t xml:space="preserve"> Національною комісією з цінних паперів та фондового ринку</w:t>
      </w:r>
    </w:p>
    <w:p w:rsidR="00443C76" w:rsidRDefault="00443C76" w:rsidP="00443C76">
      <w:pPr>
        <w:spacing w:line="360" w:lineRule="auto"/>
        <w:ind w:firstLine="539"/>
        <w:jc w:val="center"/>
        <w:rPr>
          <w:sz w:val="28"/>
          <w:szCs w:val="28"/>
        </w:rPr>
      </w:pPr>
    </w:p>
    <w:p w:rsidR="00443C76" w:rsidRPr="00443C76" w:rsidRDefault="00443C76" w:rsidP="00443C7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65CE">
        <w:rPr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>. К</w:t>
      </w:r>
      <w:r>
        <w:rPr>
          <w:sz w:val="28"/>
          <w:szCs w:val="28"/>
        </w:rPr>
        <w:t xml:space="preserve">ритеріями, </w:t>
      </w:r>
      <w:r w:rsidRPr="00590AC7">
        <w:rPr>
          <w:sz w:val="28"/>
          <w:szCs w:val="28"/>
        </w:rPr>
        <w:t xml:space="preserve">за якими оцінюється ступінь ризику від провадження господарської діяльності </w:t>
      </w:r>
      <w:r>
        <w:rPr>
          <w:sz w:val="28"/>
          <w:szCs w:val="28"/>
        </w:rPr>
        <w:t>емітентами цінних паперів, є:</w:t>
      </w:r>
    </w:p>
    <w:p w:rsidR="00443C76" w:rsidRPr="00155139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55139">
        <w:rPr>
          <w:sz w:val="28"/>
          <w:szCs w:val="28"/>
        </w:rPr>
        <w:t>стан корпоративного управління суб’єкта господарювання;</w:t>
      </w:r>
    </w:p>
    <w:p w:rsidR="00443C76" w:rsidRPr="00155139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55139">
        <w:rPr>
          <w:sz w:val="28"/>
          <w:szCs w:val="28"/>
        </w:rPr>
        <w:t>наявність порушень вимог законодавства на ринку цінних паперів в діяльності суб’єкта господарювання;</w:t>
      </w:r>
    </w:p>
    <w:p w:rsidR="00443C76" w:rsidRPr="00155139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55139">
        <w:rPr>
          <w:sz w:val="28"/>
          <w:szCs w:val="28"/>
        </w:rPr>
        <w:t>фінансові показники діяльності суб’єкта господарювання;</w:t>
      </w:r>
    </w:p>
    <w:p w:rsidR="00443C76" w:rsidRPr="00155139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55139">
        <w:rPr>
          <w:sz w:val="28"/>
          <w:szCs w:val="28"/>
        </w:rPr>
        <w:t>наявність скарг щодо діяльності товариства.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585C7F">
        <w:rPr>
          <w:color w:val="000000"/>
          <w:sz w:val="28"/>
          <w:szCs w:val="28"/>
          <w:shd w:val="clear" w:color="auto" w:fill="FFFFFF"/>
        </w:rPr>
        <w:t>2. Ризики настання негативних наслідків від провадж</w:t>
      </w:r>
      <w:r>
        <w:rPr>
          <w:color w:val="000000"/>
          <w:sz w:val="28"/>
          <w:szCs w:val="28"/>
          <w:shd w:val="clear" w:color="auto" w:fill="FFFFFF"/>
        </w:rPr>
        <w:t xml:space="preserve">ення господарської діяльності емітентами цінних паперів </w:t>
      </w:r>
      <w:r w:rsidRPr="00585C7F">
        <w:rPr>
          <w:color w:val="000000"/>
          <w:sz w:val="28"/>
          <w:szCs w:val="28"/>
          <w:shd w:val="clear" w:color="auto" w:fill="FFFFFF"/>
        </w:rPr>
        <w:t>визначено у додатку 1.</w:t>
      </w:r>
    </w:p>
    <w:p w:rsidR="00443C76" w:rsidRDefault="00443C76" w:rsidP="00443C76">
      <w:pPr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 w:rsidRPr="008931A1"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shd w:val="clear" w:color="auto" w:fill="FFFFFF"/>
        </w:rPr>
        <w:t>П</w:t>
      </w:r>
      <w:r w:rsidRPr="008931A1">
        <w:rPr>
          <w:sz w:val="28"/>
          <w:szCs w:val="28"/>
          <w:shd w:val="clear" w:color="auto" w:fill="FFFFFF"/>
        </w:rPr>
        <w:t xml:space="preserve">ерелік критеріїв, </w:t>
      </w:r>
      <w:r w:rsidRPr="008931A1">
        <w:rPr>
          <w:sz w:val="28"/>
          <w:szCs w:val="28"/>
          <w:bdr w:val="none" w:sz="0" w:space="0" w:color="auto" w:frame="1"/>
        </w:rPr>
        <w:t xml:space="preserve">за якими оцінюється ступінь ризику від провадження господарської діяльності </w:t>
      </w:r>
      <w:r>
        <w:rPr>
          <w:sz w:val="28"/>
          <w:szCs w:val="28"/>
          <w:bdr w:val="none" w:sz="0" w:space="0" w:color="auto" w:frame="1"/>
        </w:rPr>
        <w:t>емітентами цінних паперів</w:t>
      </w:r>
      <w:r w:rsidRPr="008931A1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</w:rPr>
        <w:t xml:space="preserve"> їх показники, </w:t>
      </w:r>
      <w:r w:rsidRPr="008931A1">
        <w:rPr>
          <w:sz w:val="28"/>
          <w:szCs w:val="28"/>
        </w:rPr>
        <w:t>кільк</w:t>
      </w:r>
      <w:r>
        <w:rPr>
          <w:sz w:val="28"/>
          <w:szCs w:val="28"/>
        </w:rPr>
        <w:t>і</w:t>
      </w:r>
      <w:r w:rsidRPr="008931A1">
        <w:rPr>
          <w:sz w:val="28"/>
          <w:szCs w:val="28"/>
        </w:rPr>
        <w:t>ст</w:t>
      </w:r>
      <w:r>
        <w:rPr>
          <w:sz w:val="28"/>
          <w:szCs w:val="28"/>
        </w:rPr>
        <w:t>ь</w:t>
      </w:r>
      <w:r w:rsidRPr="008931A1">
        <w:rPr>
          <w:sz w:val="28"/>
          <w:szCs w:val="28"/>
        </w:rPr>
        <w:t xml:space="preserve"> балів за кожним показником</w:t>
      </w:r>
      <w:r>
        <w:rPr>
          <w:sz w:val="28"/>
          <w:szCs w:val="28"/>
        </w:rPr>
        <w:t xml:space="preserve"> </w:t>
      </w:r>
      <w:r w:rsidRPr="008931A1">
        <w:rPr>
          <w:sz w:val="28"/>
          <w:szCs w:val="28"/>
          <w:shd w:val="clear" w:color="auto" w:fill="FFFFFF"/>
        </w:rPr>
        <w:t>визначено у додатку 2.</w:t>
      </w:r>
    </w:p>
    <w:p w:rsidR="00443C76" w:rsidRPr="00585C7F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85C7F">
        <w:rPr>
          <w:color w:val="000000"/>
          <w:sz w:val="28"/>
          <w:szCs w:val="28"/>
          <w:shd w:val="clear" w:color="auto" w:fill="FFFFFF"/>
        </w:rPr>
        <w:t>4. Віднесення суб'єкта господарювання до високого, середнього або незначного ступеню ризику здійснюється з урахуванням суми балів, нарахованих за всіма критеріями, визначеними у додатку 2, за такою шкалою:</w:t>
      </w:r>
    </w:p>
    <w:p w:rsidR="00443C76" w:rsidRPr="00585C7F" w:rsidRDefault="00443C76" w:rsidP="00443C7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85C7F">
        <w:rPr>
          <w:color w:val="000000"/>
          <w:sz w:val="28"/>
          <w:szCs w:val="28"/>
          <w:shd w:val="clear" w:color="auto" w:fill="FFFFFF"/>
        </w:rPr>
        <w:t>від 41 до 100 балів – до високого ступеня ризику;</w:t>
      </w:r>
    </w:p>
    <w:p w:rsidR="00443C76" w:rsidRPr="00585C7F" w:rsidRDefault="00443C76" w:rsidP="00443C76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C7F">
        <w:rPr>
          <w:sz w:val="28"/>
          <w:szCs w:val="28"/>
        </w:rPr>
        <w:t>від 21 до 40 балів – до середнього ступеня ризику;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C7F">
        <w:rPr>
          <w:sz w:val="28"/>
          <w:szCs w:val="28"/>
        </w:rPr>
        <w:t>від 0 до 20 балів – до незначного ступеня ризику.</w:t>
      </w:r>
    </w:p>
    <w:p w:rsidR="00443C76" w:rsidRPr="00585C7F" w:rsidRDefault="00443C76" w:rsidP="00443C76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5. Планові заходи державного нагляду (контролю) щодо провадження   господарської діяльності емітентами цінних паперів, що здійснюються  Національною комісією з цінних паперів та фондового ринку стосовно  діяльності суб</w:t>
      </w:r>
      <w:r w:rsidRPr="000504CD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єктів господарювання, що віднесені:</w:t>
      </w:r>
      <w:r w:rsidRPr="000504C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585C7F">
        <w:rPr>
          <w:color w:val="000000"/>
          <w:sz w:val="28"/>
          <w:szCs w:val="28"/>
          <w:shd w:val="clear" w:color="auto" w:fill="FFFFFF"/>
        </w:rPr>
        <w:lastRenderedPageBreak/>
        <w:t>до високого ступеня ризику</w:t>
      </w:r>
      <w:r>
        <w:rPr>
          <w:color w:val="000000"/>
          <w:sz w:val="28"/>
          <w:szCs w:val="28"/>
          <w:shd w:val="clear" w:color="auto" w:fill="FFFFFF"/>
        </w:rPr>
        <w:t xml:space="preserve"> – не частіше одного разу на два роки;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585C7F">
        <w:rPr>
          <w:sz w:val="28"/>
          <w:szCs w:val="28"/>
        </w:rPr>
        <w:t>до середнього ступеня ризику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не частіше одного разу на три роки;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 низького </w:t>
      </w:r>
      <w:r w:rsidRPr="00C31096">
        <w:rPr>
          <w:color w:val="000000"/>
          <w:sz w:val="28"/>
          <w:szCs w:val="28"/>
          <w:shd w:val="clear" w:color="auto" w:fill="FFFFFF"/>
        </w:rPr>
        <w:t xml:space="preserve">ступеня ризику - </w:t>
      </w:r>
      <w:r>
        <w:rPr>
          <w:color w:val="000000"/>
          <w:sz w:val="28"/>
          <w:szCs w:val="28"/>
          <w:shd w:val="clear" w:color="auto" w:fill="FFFFFF"/>
        </w:rPr>
        <w:t>не частіше одного разу на п</w:t>
      </w:r>
      <w:r w:rsidRPr="00C31096">
        <w:rPr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color w:val="000000"/>
          <w:sz w:val="28"/>
          <w:szCs w:val="28"/>
          <w:shd w:val="clear" w:color="auto" w:fill="FFFFFF"/>
          <w:lang w:val="ru-RU"/>
        </w:rPr>
        <w:t>я</w:t>
      </w:r>
      <w:r>
        <w:rPr>
          <w:color w:val="000000"/>
          <w:sz w:val="28"/>
          <w:szCs w:val="28"/>
          <w:shd w:val="clear" w:color="auto" w:fill="FFFFFF"/>
        </w:rPr>
        <w:t>ть  років;</w:t>
      </w:r>
    </w:p>
    <w:p w:rsidR="00443C76" w:rsidRPr="00C3109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C31096">
        <w:rPr>
          <w:color w:val="000000"/>
          <w:sz w:val="28"/>
          <w:szCs w:val="28"/>
          <w:shd w:val="clear" w:color="auto" w:fill="FFFFFF"/>
        </w:rPr>
        <w:t xml:space="preserve">Періодичність проведення наступного планового заходу державного нагляду (контролю) щодо відповідного суб’єкта господарювання відраховується  від дати закінчення планового періоду, в якому здійснювався захід державного нагляду (контролю). </w:t>
      </w:r>
    </w:p>
    <w:p w:rsidR="00443C76" w:rsidRPr="00C3109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C31096">
        <w:rPr>
          <w:color w:val="000000"/>
          <w:sz w:val="28"/>
          <w:szCs w:val="28"/>
          <w:shd w:val="clear" w:color="auto" w:fill="FFFFFF"/>
        </w:rPr>
        <w:t>У разі коли за результатами планових та позапланових заходів державного нагляду (контролю) протягом останніх шести років для суб’єктів</w:t>
      </w:r>
      <w:r w:rsidRPr="00C31096">
        <w:rPr>
          <w:color w:val="000000"/>
          <w:sz w:val="28"/>
          <w:szCs w:val="28"/>
        </w:rPr>
        <w:t xml:space="preserve"> господарювання, які віднесені до середнього ступеня ризику, та протягом останніх десяти років для суб’єктів господарювання, які віднесені до незначного ступеня ризику, у суб’єкта господарювання не виявлено порушень вимог законодавства про цін</w:t>
      </w:r>
      <w:r>
        <w:rPr>
          <w:color w:val="000000"/>
          <w:sz w:val="28"/>
          <w:szCs w:val="28"/>
        </w:rPr>
        <w:t xml:space="preserve">ні папери, </w:t>
      </w:r>
      <w:r w:rsidRPr="00C31096">
        <w:rPr>
          <w:color w:val="000000"/>
          <w:sz w:val="28"/>
          <w:szCs w:val="28"/>
        </w:rPr>
        <w:t xml:space="preserve">наступний плановий захід державного нагляду (контролю) щодо такого суб’єкта господарювання </w:t>
      </w:r>
      <w:r>
        <w:rPr>
          <w:color w:val="000000"/>
          <w:sz w:val="28"/>
          <w:szCs w:val="28"/>
        </w:rPr>
        <w:t xml:space="preserve">проводиться </w:t>
      </w:r>
      <w:r w:rsidRPr="00C31096">
        <w:rPr>
          <w:color w:val="000000"/>
          <w:sz w:val="28"/>
          <w:szCs w:val="28"/>
        </w:rPr>
        <w:t>не раніше ніж через період часу, встановлений для відповідного ступеня ризику, збільшений в 1,5 раз</w:t>
      </w:r>
      <w:r>
        <w:rPr>
          <w:color w:val="000000"/>
          <w:sz w:val="28"/>
          <w:szCs w:val="28"/>
        </w:rPr>
        <w:t>и</w:t>
      </w:r>
      <w:r w:rsidRPr="00C31096">
        <w:rPr>
          <w:color w:val="000000"/>
          <w:sz w:val="28"/>
          <w:szCs w:val="28"/>
        </w:rPr>
        <w:t>.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__________________________________</w:t>
      </w: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Pr="00287513" w:rsidRDefault="00443C76" w:rsidP="00443C76">
      <w:pPr>
        <w:ind w:left="5400" w:right="97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287513">
        <w:rPr>
          <w:bCs/>
          <w:color w:val="000000"/>
          <w:bdr w:val="none" w:sz="0" w:space="0" w:color="auto" w:frame="1"/>
        </w:rPr>
        <w:t>Додаток 1 до критеріїв</w:t>
      </w:r>
    </w:p>
    <w:p w:rsidR="00443C76" w:rsidRDefault="00443C76" w:rsidP="00443C76">
      <w:pPr>
        <w:ind w:right="45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43C76" w:rsidRDefault="00443C76" w:rsidP="00443C76">
      <w:pPr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РИЗИКИ</w:t>
      </w:r>
    </w:p>
    <w:p w:rsidR="00443C76" w:rsidRPr="00701E86" w:rsidRDefault="00443C76" w:rsidP="00443C76">
      <w:pPr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01E86">
        <w:rPr>
          <w:b/>
          <w:bCs/>
          <w:color w:val="000000"/>
          <w:sz w:val="28"/>
          <w:szCs w:val="28"/>
          <w:bdr w:val="none" w:sz="0" w:space="0" w:color="auto" w:frame="1"/>
        </w:rPr>
        <w:t>настання негативних наслідків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01E86">
        <w:rPr>
          <w:b/>
          <w:bCs/>
          <w:color w:val="000000"/>
          <w:sz w:val="28"/>
          <w:szCs w:val="28"/>
          <w:bdr w:val="none" w:sz="0" w:space="0" w:color="auto" w:frame="1"/>
        </w:rPr>
        <w:t>від провадження господарської діяльності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емітентами цінних паперів</w:t>
      </w:r>
    </w:p>
    <w:p w:rsidR="00443C76" w:rsidRPr="00701E86" w:rsidRDefault="00443C76" w:rsidP="00443C76">
      <w:pPr>
        <w:ind w:left="450" w:right="450"/>
        <w:jc w:val="center"/>
        <w:textAlignment w:val="baseline"/>
        <w:rPr>
          <w:sz w:val="28"/>
          <w:szCs w:val="28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964"/>
        <w:gridCol w:w="1863"/>
        <w:gridCol w:w="4428"/>
      </w:tblGrid>
      <w:tr w:rsidR="00443C76" w:rsidRPr="00E74468" w:rsidTr="00473607">
        <w:trPr>
          <w:trHeight w:val="800"/>
        </w:trPr>
        <w:tc>
          <w:tcPr>
            <w:tcW w:w="1701" w:type="dxa"/>
            <w:vMerge w:val="restart"/>
          </w:tcPr>
          <w:p w:rsidR="00443C76" w:rsidRPr="00701E86" w:rsidRDefault="00443C76" w:rsidP="00473607">
            <w:pPr>
              <w:jc w:val="center"/>
              <w:textAlignment w:val="baseline"/>
            </w:pPr>
            <w:bookmarkStart w:id="1" w:name="n53"/>
            <w:bookmarkStart w:id="2" w:name="n54"/>
            <w:bookmarkEnd w:id="1"/>
            <w:bookmarkEnd w:id="2"/>
            <w:r w:rsidRPr="00701E86">
              <w:t xml:space="preserve">Цілі </w:t>
            </w:r>
          </w:p>
          <w:p w:rsidR="00443C76" w:rsidRPr="00701E86" w:rsidRDefault="00443C76" w:rsidP="00473607">
            <w:pPr>
              <w:jc w:val="center"/>
              <w:textAlignment w:val="baseline"/>
            </w:pPr>
            <w:r w:rsidRPr="00701E86">
              <w:t>державного нагляду (контролю) (код)</w:t>
            </w:r>
          </w:p>
        </w:tc>
        <w:tc>
          <w:tcPr>
            <w:tcW w:w="3700" w:type="dxa"/>
            <w:gridSpan w:val="2"/>
          </w:tcPr>
          <w:p w:rsidR="00443C76" w:rsidRPr="00701E86" w:rsidRDefault="00443C76" w:rsidP="00473607">
            <w:pPr>
              <w:spacing w:before="150" w:after="150"/>
              <w:jc w:val="center"/>
              <w:textAlignment w:val="baseline"/>
            </w:pPr>
            <w:r w:rsidRPr="00701E86"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4281" w:type="dxa"/>
            <w:vMerge w:val="restart"/>
          </w:tcPr>
          <w:p w:rsidR="00443C76" w:rsidRPr="00701E86" w:rsidRDefault="00443C76" w:rsidP="00473607">
            <w:pPr>
              <w:spacing w:before="150" w:after="150"/>
              <w:jc w:val="center"/>
              <w:textAlignment w:val="baseline"/>
            </w:pPr>
            <w:r w:rsidRPr="00701E86">
      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      </w:r>
          </w:p>
        </w:tc>
      </w:tr>
      <w:tr w:rsidR="00443C76" w:rsidRPr="00E74468" w:rsidTr="00473607">
        <w:trPr>
          <w:trHeight w:val="600"/>
        </w:trPr>
        <w:tc>
          <w:tcPr>
            <w:tcW w:w="1701" w:type="dxa"/>
            <w:vMerge/>
          </w:tcPr>
          <w:p w:rsidR="00443C76" w:rsidRPr="00701E86" w:rsidRDefault="00443C76" w:rsidP="00473607"/>
        </w:tc>
        <w:tc>
          <w:tcPr>
            <w:tcW w:w="1899" w:type="dxa"/>
          </w:tcPr>
          <w:p w:rsidR="00443C76" w:rsidRPr="00701E86" w:rsidRDefault="00443C76" w:rsidP="00473607">
            <w:pPr>
              <w:jc w:val="center"/>
              <w:textAlignment w:val="baseline"/>
            </w:pPr>
            <w:r w:rsidRPr="00701E86">
              <w:t xml:space="preserve">подія, що </w:t>
            </w:r>
          </w:p>
          <w:p w:rsidR="00443C76" w:rsidRPr="00701E86" w:rsidRDefault="00443C76" w:rsidP="00473607">
            <w:pPr>
              <w:jc w:val="center"/>
              <w:textAlignment w:val="baseline"/>
            </w:pPr>
            <w:r w:rsidRPr="00701E86">
              <w:t>містить ризик настання негативних наслідків</w:t>
            </w:r>
          </w:p>
        </w:tc>
        <w:tc>
          <w:tcPr>
            <w:tcW w:w="1801" w:type="dxa"/>
          </w:tcPr>
          <w:p w:rsidR="00443C76" w:rsidRPr="00701E86" w:rsidRDefault="00443C76" w:rsidP="00473607">
            <w:pPr>
              <w:spacing w:before="150" w:after="150"/>
              <w:jc w:val="center"/>
              <w:textAlignment w:val="baseline"/>
            </w:pPr>
            <w:r w:rsidRPr="00701E86">
              <w:t>негативний наслідок</w:t>
            </w:r>
          </w:p>
        </w:tc>
        <w:tc>
          <w:tcPr>
            <w:tcW w:w="4281" w:type="dxa"/>
            <w:vMerge/>
          </w:tcPr>
          <w:p w:rsidR="00443C76" w:rsidRPr="00701E86" w:rsidRDefault="00443C76" w:rsidP="00473607"/>
        </w:tc>
      </w:tr>
      <w:tr w:rsidR="00443C76" w:rsidRPr="00E74468" w:rsidTr="00473607">
        <w:trPr>
          <w:trHeight w:val="1263"/>
        </w:trPr>
        <w:tc>
          <w:tcPr>
            <w:tcW w:w="1701" w:type="dxa"/>
          </w:tcPr>
          <w:p w:rsidR="00443C76" w:rsidRDefault="00443C76" w:rsidP="00473607">
            <w:pPr>
              <w:pStyle w:val="HTML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Захист прав інвесторів у цінні папери </w:t>
            </w:r>
            <w:r w:rsidRPr="00A53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(О6)</w:t>
            </w:r>
          </w:p>
        </w:tc>
        <w:tc>
          <w:tcPr>
            <w:tcW w:w="1899" w:type="dxa"/>
          </w:tcPr>
          <w:p w:rsidR="00443C76" w:rsidRPr="00DB5797" w:rsidRDefault="00443C76" w:rsidP="00473607">
            <w:pPr>
              <w:spacing w:before="150" w:after="150"/>
              <w:jc w:val="both"/>
              <w:textAlignment w:val="baseline"/>
              <w:rPr>
                <w:highlight w:val="yellow"/>
              </w:rPr>
            </w:pPr>
            <w:r w:rsidRPr="00701E86">
              <w:t xml:space="preserve">Порушення прав </w:t>
            </w:r>
            <w:r>
              <w:t>та інтересів інвесторів або акціонерів на участь в управлінні товариством та отриманні прибутку</w:t>
            </w:r>
          </w:p>
        </w:tc>
        <w:tc>
          <w:tcPr>
            <w:tcW w:w="1801" w:type="dxa"/>
          </w:tcPr>
          <w:p w:rsidR="00443C76" w:rsidRDefault="00443C76" w:rsidP="00473607">
            <w:pPr>
              <w:spacing w:before="150" w:after="150"/>
              <w:jc w:val="both"/>
              <w:textAlignment w:val="baseline"/>
            </w:pPr>
            <w:r>
              <w:t>не отримання дивідендів</w:t>
            </w:r>
          </w:p>
          <w:p w:rsidR="00443C76" w:rsidRDefault="00443C76" w:rsidP="00473607">
            <w:pPr>
              <w:spacing w:before="150" w:after="150"/>
              <w:jc w:val="both"/>
              <w:textAlignment w:val="baseline"/>
            </w:pPr>
            <w:r>
              <w:t>не отримання інформації про діяльність товариства</w:t>
            </w:r>
          </w:p>
          <w:p w:rsidR="00443C76" w:rsidRPr="00DB5797" w:rsidRDefault="00443C76" w:rsidP="00473607">
            <w:pPr>
              <w:spacing w:before="150" w:after="150"/>
              <w:jc w:val="both"/>
              <w:textAlignment w:val="baseline"/>
              <w:rPr>
                <w:highlight w:val="yellow"/>
              </w:rPr>
            </w:pPr>
            <w:r>
              <w:t>неможливість приймати участь в управлінні акціонерним товариством</w:t>
            </w:r>
          </w:p>
        </w:tc>
        <w:tc>
          <w:tcPr>
            <w:tcW w:w="4281" w:type="dxa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стан корпоративного управління</w:t>
            </w:r>
            <w:r>
              <w:rPr>
                <w:color w:val="000000"/>
              </w:rPr>
              <w:t xml:space="preserve"> </w:t>
            </w:r>
            <w:r w:rsidRPr="00514568">
              <w:rPr>
                <w:color w:val="000000"/>
              </w:rPr>
              <w:t>суб’єкта господарювання</w:t>
            </w:r>
          </w:p>
          <w:p w:rsidR="00443C76" w:rsidRPr="005145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Default="00443C76" w:rsidP="00473607">
            <w:pPr>
              <w:jc w:val="both"/>
              <w:textAlignment w:val="baseline"/>
            </w:pPr>
            <w:r w:rsidRPr="00514568">
              <w:t>наявність порушень вимог законодавства на ринку цінних паперів в діяльності суб’єкта господарювання</w:t>
            </w:r>
          </w:p>
          <w:p w:rsidR="00443C76" w:rsidRDefault="00443C76" w:rsidP="00473607">
            <w:pPr>
              <w:jc w:val="both"/>
              <w:textAlignment w:val="baseline"/>
            </w:pPr>
          </w:p>
          <w:p w:rsidR="00443C76" w:rsidRPr="00514568" w:rsidRDefault="00443C76" w:rsidP="00473607">
            <w:pPr>
              <w:jc w:val="both"/>
              <w:textAlignment w:val="baseline"/>
              <w:rPr>
                <w:color w:val="000000"/>
              </w:rPr>
            </w:pPr>
            <w:r>
              <w:t>наявність скарг щодо діяльності товариства</w:t>
            </w:r>
          </w:p>
        </w:tc>
      </w:tr>
      <w:tr w:rsidR="00443C76" w:rsidRPr="00E74468" w:rsidTr="00473607">
        <w:trPr>
          <w:trHeight w:val="1266"/>
        </w:trPr>
        <w:tc>
          <w:tcPr>
            <w:tcW w:w="1701" w:type="dxa"/>
          </w:tcPr>
          <w:p w:rsidR="00443C76" w:rsidRPr="0082341C" w:rsidRDefault="00443C76" w:rsidP="00473607">
            <w:pPr>
              <w:spacing w:before="150" w:after="150"/>
              <w:jc w:val="center"/>
              <w:textAlignment w:val="baseline"/>
            </w:pPr>
            <w:r>
              <w:t xml:space="preserve">Забезпечення </w:t>
            </w:r>
            <w:r w:rsidRPr="0082341C">
              <w:t>прозор</w:t>
            </w:r>
            <w:r>
              <w:t>о</w:t>
            </w:r>
            <w:r w:rsidRPr="0082341C">
              <w:t>ст</w:t>
            </w:r>
            <w:r>
              <w:t>і</w:t>
            </w:r>
            <w:r w:rsidRPr="0082341C">
              <w:t xml:space="preserve"> та відкрит</w:t>
            </w:r>
            <w:r>
              <w:t>ості діяльності емітентів цінних паперів</w:t>
            </w:r>
            <w:r w:rsidRPr="0036206D">
              <w:t xml:space="preserve"> </w:t>
            </w:r>
            <w:r>
              <w:t>(О6)</w:t>
            </w:r>
          </w:p>
        </w:tc>
        <w:tc>
          <w:tcPr>
            <w:tcW w:w="1899" w:type="dxa"/>
          </w:tcPr>
          <w:p w:rsidR="00443C76" w:rsidRPr="00701E86" w:rsidRDefault="00443C76" w:rsidP="00473607">
            <w:pPr>
              <w:spacing w:before="150" w:after="150"/>
              <w:jc w:val="center"/>
              <w:textAlignment w:val="baseline"/>
            </w:pPr>
            <w:r>
              <w:t>Порушення прав акціонерів та інвесторів на отримання інформації</w:t>
            </w:r>
          </w:p>
        </w:tc>
        <w:tc>
          <w:tcPr>
            <w:tcW w:w="1801" w:type="dxa"/>
          </w:tcPr>
          <w:p w:rsidR="00443C76" w:rsidRPr="00701E86" w:rsidRDefault="00443C76" w:rsidP="00473607">
            <w:pPr>
              <w:spacing w:before="150" w:after="150"/>
              <w:jc w:val="both"/>
              <w:textAlignment w:val="baseline"/>
            </w:pPr>
            <w:r>
              <w:t>прийняття хибного рішення щодо управлінський рішень або інвестування в цінні папери</w:t>
            </w:r>
          </w:p>
        </w:tc>
        <w:tc>
          <w:tcPr>
            <w:tcW w:w="4281" w:type="dxa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стан корпоративного управління</w:t>
            </w:r>
            <w:r>
              <w:rPr>
                <w:color w:val="000000"/>
              </w:rPr>
              <w:t>, структура власності суб’єкта</w:t>
            </w:r>
          </w:p>
          <w:p w:rsidR="00443C76" w:rsidRPr="005145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наявність порушень вимог законодавства на ринку цінних паперів в діяльності суб’єкта господарювання</w:t>
            </w: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Pr="005145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наявність скарг щодо діяльності товариства</w:t>
            </w:r>
          </w:p>
        </w:tc>
      </w:tr>
      <w:tr w:rsidR="00443C76" w:rsidRPr="004B5663" w:rsidTr="00473607">
        <w:trPr>
          <w:trHeight w:val="1266"/>
        </w:trPr>
        <w:tc>
          <w:tcPr>
            <w:tcW w:w="1701" w:type="dxa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Дотримання емітентами цінних паперів вимог законодавства</w:t>
            </w:r>
          </w:p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(06)</w:t>
            </w:r>
          </w:p>
        </w:tc>
        <w:tc>
          <w:tcPr>
            <w:tcW w:w="1899" w:type="dxa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Невідповідність емітента вимогам законодавства</w:t>
            </w:r>
          </w:p>
        </w:tc>
        <w:tc>
          <w:tcPr>
            <w:tcW w:w="1801" w:type="dxa"/>
          </w:tcPr>
          <w:p w:rsidR="00443C76" w:rsidRDefault="00443C76" w:rsidP="00473607">
            <w:pPr>
              <w:spacing w:before="150" w:after="150"/>
              <w:jc w:val="both"/>
              <w:textAlignment w:val="baseline"/>
            </w:pPr>
            <w:r>
              <w:t>збільшення кількості вчинених  порушень</w:t>
            </w:r>
          </w:p>
          <w:p w:rsidR="00443C76" w:rsidRDefault="00443C76" w:rsidP="00473607">
            <w:pPr>
              <w:spacing w:before="150" w:after="150"/>
              <w:jc w:val="both"/>
              <w:textAlignment w:val="baseline"/>
            </w:pPr>
            <w:r>
              <w:t>порушення прав акціонерів або інвесторів у цінні папери</w:t>
            </w:r>
          </w:p>
        </w:tc>
        <w:tc>
          <w:tcPr>
            <w:tcW w:w="4281" w:type="dxa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стан корпоративного управління</w:t>
            </w:r>
            <w:r>
              <w:rPr>
                <w:color w:val="000000"/>
              </w:rPr>
              <w:t>, структура власності суб’єкта</w:t>
            </w:r>
          </w:p>
          <w:p w:rsidR="00443C76" w:rsidRPr="005145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фінансові показники дія</w:t>
            </w:r>
            <w:r>
              <w:rPr>
                <w:color w:val="000000"/>
              </w:rPr>
              <w:t>льності суб’єкта господарювання</w:t>
            </w: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наявність порушень вимог законодавства на ринку цінних паперів в діяльності суб’єкта господарювання</w:t>
            </w: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Pr="005145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наявність скарг щодо діяльності товариства</w:t>
            </w:r>
          </w:p>
        </w:tc>
      </w:tr>
    </w:tbl>
    <w:p w:rsidR="00443C76" w:rsidRDefault="00443C76" w:rsidP="00443C76">
      <w:pPr>
        <w:ind w:right="97"/>
        <w:jc w:val="both"/>
        <w:textAlignment w:val="baseline"/>
        <w:rPr>
          <w:b/>
          <w:sz w:val="28"/>
          <w:lang w:val="ru-RU"/>
        </w:rPr>
      </w:pPr>
    </w:p>
    <w:p w:rsidR="00443C76" w:rsidRDefault="00443C76" w:rsidP="00443C76">
      <w:pPr>
        <w:ind w:right="97"/>
        <w:jc w:val="both"/>
        <w:textAlignment w:val="baseline"/>
        <w:rPr>
          <w:b/>
          <w:sz w:val="28"/>
          <w:lang w:val="ru-RU"/>
        </w:rPr>
      </w:pPr>
    </w:p>
    <w:p w:rsidR="00443C76" w:rsidRDefault="00443C76" w:rsidP="00443C76">
      <w:pPr>
        <w:ind w:right="97"/>
        <w:jc w:val="both"/>
        <w:textAlignment w:val="baseline"/>
        <w:rPr>
          <w:b/>
          <w:sz w:val="28"/>
          <w:lang w:val="ru-RU"/>
        </w:rPr>
      </w:pPr>
    </w:p>
    <w:p w:rsidR="00443C76" w:rsidRDefault="00443C76" w:rsidP="00443C76">
      <w:pPr>
        <w:ind w:right="97"/>
        <w:jc w:val="both"/>
        <w:textAlignment w:val="baseline"/>
        <w:rPr>
          <w:b/>
          <w:sz w:val="28"/>
          <w:lang w:val="ru-RU"/>
        </w:rPr>
      </w:pPr>
    </w:p>
    <w:p w:rsidR="00443C76" w:rsidRDefault="00443C76" w:rsidP="00443C76">
      <w:pPr>
        <w:ind w:right="97"/>
        <w:jc w:val="both"/>
        <w:textAlignment w:val="baseline"/>
        <w:rPr>
          <w:b/>
          <w:sz w:val="28"/>
          <w:lang w:val="ru-RU"/>
        </w:rPr>
      </w:pPr>
    </w:p>
    <w:p w:rsidR="00443C76" w:rsidRPr="003D3854" w:rsidRDefault="00443C76" w:rsidP="00443C76">
      <w:pPr>
        <w:ind w:left="5400" w:right="97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3D3854">
        <w:rPr>
          <w:bCs/>
          <w:color w:val="000000"/>
          <w:bdr w:val="none" w:sz="0" w:space="0" w:color="auto" w:frame="1"/>
        </w:rPr>
        <w:lastRenderedPageBreak/>
        <w:t>Додаток 2 до критеріїв</w:t>
      </w:r>
    </w:p>
    <w:p w:rsidR="00443C76" w:rsidRDefault="00443C76" w:rsidP="00443C76">
      <w:pPr>
        <w:jc w:val="center"/>
        <w:rPr>
          <w:b/>
          <w:sz w:val="28"/>
        </w:rPr>
      </w:pPr>
    </w:p>
    <w:p w:rsidR="00443C76" w:rsidRDefault="00443C76" w:rsidP="00443C76">
      <w:pPr>
        <w:jc w:val="center"/>
        <w:rPr>
          <w:b/>
          <w:sz w:val="28"/>
        </w:rPr>
      </w:pPr>
      <w:r>
        <w:rPr>
          <w:b/>
          <w:sz w:val="28"/>
        </w:rPr>
        <w:t>ПЕРЕЛІК</w:t>
      </w:r>
    </w:p>
    <w:p w:rsidR="00443C76" w:rsidRDefault="00443C76" w:rsidP="00443C76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74468">
        <w:rPr>
          <w:b/>
          <w:sz w:val="28"/>
        </w:rPr>
        <w:t xml:space="preserve">критеріїв, </w:t>
      </w:r>
      <w:r w:rsidRPr="002F066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 якими оцінюється </w:t>
      </w:r>
    </w:p>
    <w:p w:rsidR="00443C76" w:rsidRDefault="00443C76" w:rsidP="00443C76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F066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ступінь ризику від провадження господарської діяльності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емітентами цінних паперів</w:t>
      </w:r>
    </w:p>
    <w:p w:rsidR="00443C76" w:rsidRDefault="00443C76" w:rsidP="00443C76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8"/>
        <w:gridCol w:w="5552"/>
        <w:gridCol w:w="1114"/>
      </w:tblGrid>
      <w:tr w:rsidR="00443C76" w:rsidRPr="00E74468" w:rsidTr="00473607">
        <w:trPr>
          <w:trHeight w:val="1577"/>
        </w:trPr>
        <w:tc>
          <w:tcPr>
            <w:tcW w:w="1668" w:type="pct"/>
          </w:tcPr>
          <w:p w:rsidR="00443C76" w:rsidRPr="00E74468" w:rsidRDefault="00443C76" w:rsidP="00473607">
            <w:pPr>
              <w:jc w:val="center"/>
              <w:textAlignment w:val="baseline"/>
            </w:pPr>
            <w:bookmarkStart w:id="3" w:name="n57"/>
            <w:bookmarkEnd w:id="3"/>
            <w:r w:rsidRPr="00E74468">
      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      </w:r>
          </w:p>
        </w:tc>
        <w:tc>
          <w:tcPr>
            <w:tcW w:w="2775" w:type="pct"/>
          </w:tcPr>
          <w:p w:rsidR="00443C76" w:rsidRPr="00E74468" w:rsidRDefault="00443C76" w:rsidP="00473607">
            <w:pPr>
              <w:spacing w:before="150" w:after="150"/>
              <w:jc w:val="center"/>
              <w:textAlignment w:val="baseline"/>
            </w:pPr>
            <w:r w:rsidRPr="00E74468">
              <w:t>Показники критеріїв</w:t>
            </w:r>
            <w:r>
              <w:t>*</w:t>
            </w:r>
          </w:p>
        </w:tc>
        <w:tc>
          <w:tcPr>
            <w:tcW w:w="557" w:type="pct"/>
          </w:tcPr>
          <w:p w:rsidR="00443C76" w:rsidRDefault="00443C76" w:rsidP="00473607">
            <w:pPr>
              <w:ind w:left="-108" w:right="-108"/>
              <w:jc w:val="center"/>
              <w:textAlignment w:val="baseline"/>
            </w:pPr>
            <w:r w:rsidRPr="00E74468">
              <w:t xml:space="preserve">Кількість </w:t>
            </w:r>
          </w:p>
          <w:p w:rsidR="00443C76" w:rsidRPr="00E74468" w:rsidRDefault="00443C76" w:rsidP="00473607">
            <w:pPr>
              <w:ind w:left="-108" w:right="-108"/>
              <w:jc w:val="center"/>
              <w:textAlignment w:val="baseline"/>
            </w:pPr>
            <w:r w:rsidRPr="00E74468">
              <w:t>балів</w:t>
            </w:r>
          </w:p>
        </w:tc>
      </w:tr>
      <w:tr w:rsidR="00443C76" w:rsidRPr="00FE298B" w:rsidTr="00473607">
        <w:trPr>
          <w:trHeight w:val="1037"/>
        </w:trPr>
        <w:tc>
          <w:tcPr>
            <w:tcW w:w="1668" w:type="pct"/>
            <w:vMerge w:val="restart"/>
          </w:tcPr>
          <w:p w:rsidR="00443C76" w:rsidRPr="00FE298B" w:rsidRDefault="00443C76" w:rsidP="00473607">
            <w:pPr>
              <w:rPr>
                <w:color w:val="000000"/>
              </w:rPr>
            </w:pPr>
            <w:r w:rsidRPr="00FE298B">
              <w:t>1. Стан корпоративного управління, структура власності суб’єкта</w:t>
            </w:r>
          </w:p>
        </w:tc>
        <w:tc>
          <w:tcPr>
            <w:tcW w:w="3332" w:type="pct"/>
            <w:gridSpan w:val="2"/>
          </w:tcPr>
          <w:p w:rsidR="00443C76" w:rsidRPr="00E55446" w:rsidRDefault="00443C76" w:rsidP="00473607">
            <w:pPr>
              <w:spacing w:before="150" w:after="150"/>
              <w:textAlignment w:val="baseline"/>
              <w:rPr>
                <w:lang w:val="ru-RU"/>
              </w:rPr>
            </w:pPr>
            <w:r>
              <w:rPr>
                <w:color w:val="000000"/>
                <w:lang w:val="ru-RU"/>
              </w:rPr>
              <w:t>1) с</w:t>
            </w:r>
            <w:r w:rsidRPr="00E55446">
              <w:rPr>
                <w:color w:val="000000"/>
                <w:lang w:val="ru-RU"/>
              </w:rPr>
              <w:t>уб’єкти господарювання</w:t>
            </w:r>
            <w:r w:rsidRPr="00E55446">
              <w:rPr>
                <w:lang w:val="ru-RU"/>
              </w:rPr>
              <w:t>, які є емітентами цінних паперів та мають одну з наступних ознак</w:t>
            </w:r>
            <w:r>
              <w:rPr>
                <w:lang w:val="ru-RU"/>
              </w:rPr>
              <w:t>:</w:t>
            </w:r>
          </w:p>
        </w:tc>
      </w:tr>
      <w:tr w:rsidR="00443C76" w:rsidRPr="00FE298B" w:rsidTr="00473607">
        <w:trPr>
          <w:trHeight w:val="1440"/>
        </w:trPr>
        <w:tc>
          <w:tcPr>
            <w:tcW w:w="1668" w:type="pct"/>
            <w:vMerge/>
          </w:tcPr>
          <w:p w:rsidR="00443C76" w:rsidRPr="00FE298B" w:rsidRDefault="00443C76" w:rsidP="00473607"/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spacing w:before="0" w:after="0"/>
              <w:jc w:val="both"/>
              <w:rPr>
                <w:color w:val="000000"/>
              </w:rPr>
            </w:pPr>
            <w:r w:rsidRPr="00FE298B">
              <w:rPr>
                <w:color w:val="000000"/>
              </w:rPr>
              <w:t>непроведення річних загальних зборів акціонерів</w:t>
            </w:r>
            <w:r>
              <w:rPr>
                <w:color w:val="000000"/>
              </w:rPr>
              <w:t xml:space="preserve"> та/або </w:t>
            </w:r>
            <w:r w:rsidRPr="00FE298B">
              <w:rPr>
                <w:color w:val="000000"/>
              </w:rPr>
              <w:t>непроведення річних загальних зборів акціонерів у передбачений законодавством термін</w:t>
            </w:r>
            <w:r>
              <w:rPr>
                <w:color w:val="000000"/>
              </w:rPr>
              <w:t>.</w:t>
            </w:r>
          </w:p>
        </w:tc>
        <w:tc>
          <w:tcPr>
            <w:tcW w:w="557" w:type="pct"/>
          </w:tcPr>
          <w:p w:rsidR="00443C76" w:rsidRPr="00FE298B" w:rsidRDefault="00443C76" w:rsidP="00473607">
            <w:pPr>
              <w:spacing w:before="150" w:after="150"/>
              <w:jc w:val="center"/>
              <w:textAlignment w:val="baseline"/>
            </w:pPr>
            <w:r>
              <w:t>41</w:t>
            </w:r>
          </w:p>
        </w:tc>
      </w:tr>
      <w:tr w:rsidR="00443C76" w:rsidRPr="00A91C54" w:rsidTr="00473607">
        <w:trPr>
          <w:trHeight w:val="852"/>
        </w:trPr>
        <w:tc>
          <w:tcPr>
            <w:tcW w:w="1668" w:type="pct"/>
            <w:vMerge/>
          </w:tcPr>
          <w:p w:rsidR="00443C76" w:rsidRPr="00FE298B" w:rsidRDefault="00443C76" w:rsidP="00473607"/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jc w:val="both"/>
              <w:rPr>
                <w:color w:val="000000"/>
              </w:rPr>
            </w:pPr>
            <w:r w:rsidRPr="00FE298B">
              <w:rPr>
                <w:color w:val="000000"/>
              </w:rPr>
              <w:t>відсутність</w:t>
            </w:r>
            <w:r>
              <w:rPr>
                <w:color w:val="000000"/>
              </w:rPr>
              <w:t>/невідповідність</w:t>
            </w:r>
            <w:r w:rsidRPr="00FE298B">
              <w:rPr>
                <w:color w:val="000000"/>
              </w:rPr>
              <w:t xml:space="preserve"> наглядової ради</w:t>
            </w:r>
            <w:r>
              <w:rPr>
                <w:color w:val="000000"/>
              </w:rPr>
              <w:t xml:space="preserve"> вимогам законодавства.</w:t>
            </w:r>
          </w:p>
        </w:tc>
        <w:tc>
          <w:tcPr>
            <w:tcW w:w="557" w:type="pct"/>
          </w:tcPr>
          <w:p w:rsidR="00443C76" w:rsidRPr="00A91C54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FE298B" w:rsidTr="00473607">
        <w:trPr>
          <w:trHeight w:val="426"/>
        </w:trPr>
        <w:tc>
          <w:tcPr>
            <w:tcW w:w="1668" w:type="pct"/>
            <w:vMerge/>
          </w:tcPr>
          <w:p w:rsidR="00443C76" w:rsidRPr="00FE298B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загальних зборів акціонерів без Переліку акціонерів  які мають  право на участь  у загальних зборах акціонерів, складеного у порядку, встановленого законодавством.</w:t>
            </w:r>
          </w:p>
        </w:tc>
        <w:tc>
          <w:tcPr>
            <w:tcW w:w="557" w:type="pct"/>
          </w:tcPr>
          <w:p w:rsidR="00443C76" w:rsidRPr="00FE298B" w:rsidRDefault="00443C76" w:rsidP="00473607">
            <w:pPr>
              <w:spacing w:before="150" w:after="150"/>
              <w:jc w:val="center"/>
              <w:textAlignment w:val="baseline"/>
            </w:pPr>
            <w:r>
              <w:t>41</w:t>
            </w:r>
          </w:p>
        </w:tc>
      </w:tr>
      <w:tr w:rsidR="00443C76" w:rsidRPr="00FE298B" w:rsidTr="00473607">
        <w:trPr>
          <w:trHeight w:val="426"/>
        </w:trPr>
        <w:tc>
          <w:tcPr>
            <w:tcW w:w="1668" w:type="pct"/>
            <w:vMerge/>
          </w:tcPr>
          <w:p w:rsidR="00443C76" w:rsidRPr="00FE298B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E298B">
              <w:rPr>
                <w:color w:val="000000"/>
              </w:rPr>
              <w:t>не створення передбачених законодавством комітетів наглядової ради</w:t>
            </w:r>
          </w:p>
        </w:tc>
        <w:tc>
          <w:tcPr>
            <w:tcW w:w="557" w:type="pct"/>
          </w:tcPr>
          <w:p w:rsidR="00443C76" w:rsidRPr="00FE298B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FE298B" w:rsidTr="00473607">
        <w:trPr>
          <w:trHeight w:val="841"/>
        </w:trPr>
        <w:tc>
          <w:tcPr>
            <w:tcW w:w="1668" w:type="pct"/>
            <w:vMerge/>
          </w:tcPr>
          <w:p w:rsidR="00443C76" w:rsidRPr="00FE298B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jc w:val="both"/>
              <w:rPr>
                <w:color w:val="000000"/>
              </w:rPr>
            </w:pPr>
            <w:r w:rsidRPr="00FE298B">
              <w:rPr>
                <w:color w:val="000000"/>
              </w:rPr>
              <w:t xml:space="preserve">відсутність внутрішніх положень, </w:t>
            </w:r>
            <w:r>
              <w:rPr>
                <w:color w:val="000000"/>
              </w:rPr>
              <w:t>наявність</w:t>
            </w:r>
            <w:r w:rsidRPr="00FE298B">
              <w:rPr>
                <w:color w:val="000000"/>
              </w:rPr>
              <w:t xml:space="preserve"> яких є обов’язковим</w:t>
            </w:r>
            <w:r>
              <w:rPr>
                <w:color w:val="000000"/>
              </w:rPr>
              <w:t>и</w:t>
            </w:r>
            <w:r w:rsidRPr="00FE298B">
              <w:rPr>
                <w:color w:val="000000"/>
              </w:rPr>
              <w:t xml:space="preserve"> відповідно до Закону України «Про акціонерні товариства»</w:t>
            </w:r>
          </w:p>
        </w:tc>
        <w:tc>
          <w:tcPr>
            <w:tcW w:w="557" w:type="pct"/>
          </w:tcPr>
          <w:p w:rsidR="00443C76" w:rsidRPr="00FE298B" w:rsidRDefault="00443C76" w:rsidP="00473607">
            <w:pPr>
              <w:spacing w:before="150" w:after="150"/>
              <w:jc w:val="center"/>
              <w:textAlignment w:val="baseline"/>
            </w:pPr>
            <w:r w:rsidRPr="00FE298B">
              <w:t>41</w:t>
            </w:r>
          </w:p>
        </w:tc>
      </w:tr>
      <w:tr w:rsidR="00443C76" w:rsidRPr="001465D1" w:rsidTr="00473607">
        <w:trPr>
          <w:trHeight w:val="841"/>
        </w:trPr>
        <w:tc>
          <w:tcPr>
            <w:tcW w:w="1668" w:type="pct"/>
            <w:vMerge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невідповідність статуту Закону України «Про акціонерні товариства» та інших законодавчих актів.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</w:pPr>
            <w:r>
              <w:t>2</w:t>
            </w:r>
            <w:r w:rsidRPr="001465D1">
              <w:t>1</w:t>
            </w:r>
          </w:p>
        </w:tc>
      </w:tr>
      <w:tr w:rsidR="00443C76" w:rsidRPr="006426D0" w:rsidTr="00473607">
        <w:trPr>
          <w:trHeight w:val="1453"/>
        </w:trPr>
        <w:tc>
          <w:tcPr>
            <w:tcW w:w="1668" w:type="pct"/>
            <w:vMerge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E298B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Pr="00FE298B">
              <w:rPr>
                <w:color w:val="000000"/>
              </w:rPr>
              <w:t>розкриття інформації про придбання акцій акціонерного товариства за наслідками придбання контрольного пакета акцій, або значного контрольного пакета акцій, або домінуючого контрольного пакета акцій</w:t>
            </w:r>
          </w:p>
        </w:tc>
        <w:tc>
          <w:tcPr>
            <w:tcW w:w="557" w:type="pct"/>
          </w:tcPr>
          <w:p w:rsidR="00443C76" w:rsidRPr="006426D0" w:rsidRDefault="00443C76" w:rsidP="00473607">
            <w:pPr>
              <w:spacing w:before="150" w:after="150"/>
              <w:jc w:val="center"/>
              <w:textAlignment w:val="baseline"/>
              <w:rPr>
                <w:highlight w:val="yellow"/>
              </w:rPr>
            </w:pPr>
            <w:r w:rsidRPr="006426D0">
              <w:rPr>
                <w:color w:val="000000"/>
                <w:lang w:eastAsia="uk-UA"/>
              </w:rPr>
              <w:t>2</w:t>
            </w:r>
            <w:r>
              <w:rPr>
                <w:color w:val="000000"/>
                <w:lang w:eastAsia="uk-UA"/>
              </w:rPr>
              <w:t>1</w:t>
            </w:r>
          </w:p>
        </w:tc>
      </w:tr>
      <w:tr w:rsidR="00443C76" w:rsidTr="00473607">
        <w:trPr>
          <w:trHeight w:val="1166"/>
        </w:trPr>
        <w:tc>
          <w:tcPr>
            <w:tcW w:w="1668" w:type="pct"/>
            <w:vMerge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виплата дивідендів / </w:t>
            </w:r>
            <w:r w:rsidRPr="00FE298B">
              <w:rPr>
                <w:color w:val="000000"/>
              </w:rPr>
              <w:t>порушення строку виплати дивідендів</w:t>
            </w:r>
            <w:r>
              <w:rPr>
                <w:color w:val="000000"/>
              </w:rPr>
              <w:t>,</w:t>
            </w:r>
            <w:r w:rsidRPr="00FE298B">
              <w:rPr>
                <w:color w:val="000000"/>
              </w:rPr>
              <w:t xml:space="preserve"> відповідно до рішення загальних зборів акціонерів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41</w:t>
            </w:r>
          </w:p>
        </w:tc>
      </w:tr>
      <w:tr w:rsidR="00443C76" w:rsidRPr="000B3BBA" w:rsidTr="00473607">
        <w:trPr>
          <w:trHeight w:val="691"/>
        </w:trPr>
        <w:tc>
          <w:tcPr>
            <w:tcW w:w="1668" w:type="pct"/>
            <w:vMerge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Pr="000B3BB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B3BBA">
              <w:rPr>
                <w:color w:val="000000"/>
              </w:rPr>
              <w:t xml:space="preserve">порушення вимог щодо </w:t>
            </w:r>
            <w:r>
              <w:rPr>
                <w:color w:val="000000"/>
              </w:rPr>
              <w:t xml:space="preserve">кількісного </w:t>
            </w:r>
            <w:r w:rsidRPr="000B3BBA">
              <w:rPr>
                <w:color w:val="000000"/>
                <w:shd w:val="clear" w:color="auto" w:fill="FFFFFF"/>
              </w:rPr>
              <w:t>складу наглядової ради, в тому числі щодо наявності в наглядовій раді незалежних директорів</w:t>
            </w:r>
            <w:r>
              <w:rPr>
                <w:color w:val="000000"/>
                <w:shd w:val="clear" w:color="auto" w:fill="FFFFFF"/>
              </w:rPr>
              <w:t xml:space="preserve"> та їх кількості</w:t>
            </w:r>
          </w:p>
        </w:tc>
        <w:tc>
          <w:tcPr>
            <w:tcW w:w="557" w:type="pct"/>
          </w:tcPr>
          <w:p w:rsidR="00443C76" w:rsidRPr="000B3BBA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0B3BBA" w:rsidTr="00473607">
        <w:trPr>
          <w:trHeight w:val="691"/>
        </w:trPr>
        <w:tc>
          <w:tcPr>
            <w:tcW w:w="1668" w:type="pct"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Pr="000B3BB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B3B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порушення порядку обрання членів наглядової ради</w:t>
            </w:r>
          </w:p>
        </w:tc>
        <w:tc>
          <w:tcPr>
            <w:tcW w:w="557" w:type="pct"/>
          </w:tcPr>
          <w:p w:rsidR="00443C76" w:rsidRPr="000B3BBA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0B3BBA" w:rsidTr="00473607">
        <w:trPr>
          <w:trHeight w:val="691"/>
        </w:trPr>
        <w:tc>
          <w:tcPr>
            <w:tcW w:w="1668" w:type="pct"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Pr="007F7FF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7F7FF6">
              <w:rPr>
                <w:color w:val="000000"/>
                <w:shd w:val="clear" w:color="auto" w:fill="FFFFFF"/>
              </w:rPr>
              <w:t>не</w:t>
            </w:r>
            <w:r>
              <w:rPr>
                <w:color w:val="000000"/>
              </w:rPr>
              <w:t xml:space="preserve"> обрання у передбачений термін решти членів наглядової ради</w:t>
            </w:r>
            <w:r>
              <w:rPr>
                <w:color w:val="000000"/>
                <w:shd w:val="clear" w:color="auto" w:fill="FFFFFF"/>
              </w:rPr>
              <w:t xml:space="preserve">, а в разі обрання членів наглядової </w:t>
            </w:r>
            <w:r>
              <w:rPr>
                <w:color w:val="000000"/>
                <w:shd w:val="clear" w:color="auto" w:fill="FFFFFF"/>
              </w:rPr>
              <w:lastRenderedPageBreak/>
              <w:t>ради шляхом кумулятивного голосування - для обрання всього складу наглядової ради акціонерного товариства, у разі якщо кількість членів наглядової ради, повноваження яких дійсні, становить менше половини її кількісного складу, обраного відповідно до вимог закону загальними зборами акціонерного товариства</w:t>
            </w:r>
          </w:p>
        </w:tc>
        <w:tc>
          <w:tcPr>
            <w:tcW w:w="557" w:type="pct"/>
          </w:tcPr>
          <w:p w:rsidR="00443C76" w:rsidRPr="000B3BBA" w:rsidRDefault="00443C76" w:rsidP="00473607">
            <w:pPr>
              <w:spacing w:before="150" w:after="150"/>
              <w:jc w:val="center"/>
              <w:textAlignment w:val="baseline"/>
            </w:pPr>
            <w:r>
              <w:lastRenderedPageBreak/>
              <w:t>21</w:t>
            </w:r>
          </w:p>
        </w:tc>
      </w:tr>
      <w:tr w:rsidR="00443C76" w:rsidRPr="000B3BBA" w:rsidTr="00473607">
        <w:trPr>
          <w:trHeight w:val="691"/>
        </w:trPr>
        <w:tc>
          <w:tcPr>
            <w:tcW w:w="1668" w:type="pct"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встановлення факту внесення пропозицій щодо кандидатур аудитора товариства та/або голосування з питання обрання аудитора товариства членом наглядової ради, який </w:t>
            </w:r>
            <w:r>
              <w:rPr>
                <w:color w:val="000000"/>
                <w:shd w:val="clear" w:color="auto" w:fill="FFFFFF"/>
              </w:rPr>
              <w:t>був головою або членом виконавчого органу цього товариства протягом трьох років з моменту припинення її повноважень як голови або члена виконавчого органу</w:t>
            </w:r>
          </w:p>
        </w:tc>
        <w:tc>
          <w:tcPr>
            <w:tcW w:w="557" w:type="pct"/>
          </w:tcPr>
          <w:p w:rsidR="00443C76" w:rsidRPr="000B3BBA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D35103" w:rsidTr="00473607">
        <w:trPr>
          <w:trHeight w:val="780"/>
        </w:trPr>
        <w:tc>
          <w:tcPr>
            <w:tcW w:w="1668" w:type="pct"/>
            <w:vMerge w:val="restart"/>
          </w:tcPr>
          <w:p w:rsidR="00443C76" w:rsidRPr="00EA1EBC" w:rsidRDefault="00443C76" w:rsidP="00473607">
            <w:pPr>
              <w:rPr>
                <w:lang w:val="ru-RU"/>
              </w:rPr>
            </w:pPr>
            <w:r w:rsidRPr="00EA1EBC">
              <w:t>2. Фінансові показники діяльності суб’єкта господарювання</w:t>
            </w:r>
          </w:p>
        </w:tc>
        <w:tc>
          <w:tcPr>
            <w:tcW w:w="3332" w:type="pct"/>
            <w:gridSpan w:val="2"/>
          </w:tcPr>
          <w:p w:rsidR="00443C76" w:rsidRPr="00D35103" w:rsidRDefault="00443C76" w:rsidP="00473607">
            <w:pPr>
              <w:spacing w:before="150" w:after="150"/>
              <w:textAlignment w:val="baseline"/>
              <w:rPr>
                <w:lang w:val="ru-RU"/>
              </w:rPr>
            </w:pPr>
            <w:r>
              <w:t>1)</w:t>
            </w:r>
            <w:r w:rsidRPr="00E74468">
              <w:t xml:space="preserve"> суб’єкти господарювання, </w:t>
            </w:r>
            <w:r>
              <w:t xml:space="preserve">які є емітентами цінних паперів  </w:t>
            </w:r>
            <w:r w:rsidRPr="00007210">
              <w:t>та</w:t>
            </w:r>
            <w:r>
              <w:t xml:space="preserve"> мають одну з наступних ознак:</w:t>
            </w:r>
          </w:p>
        </w:tc>
      </w:tr>
      <w:tr w:rsidR="00443C76" w:rsidRPr="001465D1" w:rsidTr="00473607">
        <w:trPr>
          <w:trHeight w:val="1350"/>
        </w:trPr>
        <w:tc>
          <w:tcPr>
            <w:tcW w:w="1668" w:type="pct"/>
            <w:vMerge/>
          </w:tcPr>
          <w:p w:rsidR="00443C76" w:rsidRPr="00EA1EBC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jc w:val="both"/>
              <w:textAlignment w:val="baseline"/>
            </w:pPr>
            <w:r>
              <w:t>н</w:t>
            </w:r>
            <w:r w:rsidRPr="00EF017A">
              <w:t>е</w:t>
            </w:r>
            <w:r w:rsidRPr="001465D1">
              <w:rPr>
                <w:lang w:val="ru-RU"/>
              </w:rPr>
              <w:t xml:space="preserve"> </w:t>
            </w:r>
            <w:r w:rsidRPr="00EF017A">
              <w:t>розкриття інформації на фондовому ринку</w:t>
            </w:r>
            <w:r>
              <w:t>/розкриття не в повному обсязі/розкриття недостовірної інформації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2</w:t>
            </w:r>
            <w:r w:rsidRPr="001465D1">
              <w:rPr>
                <w:lang w:val="ru-RU"/>
              </w:rPr>
              <w:t>1</w:t>
            </w:r>
          </w:p>
        </w:tc>
      </w:tr>
      <w:tr w:rsidR="00443C76" w:rsidRPr="001465D1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E744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порушення строків розкриття інформації на фондовому ринку 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  <w:rPr>
                <w:lang w:val="ru-RU"/>
              </w:rPr>
            </w:pPr>
            <w:r>
              <w:t>2</w:t>
            </w:r>
            <w:r w:rsidRPr="001465D1">
              <w:rPr>
                <w:lang w:val="ru-RU"/>
              </w:rPr>
              <w:t>1</w:t>
            </w:r>
          </w:p>
        </w:tc>
      </w:tr>
      <w:tr w:rsidR="00443C76" w:rsidTr="00473607">
        <w:trPr>
          <w:trHeight w:val="782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відсутність власного веб-сайту на якому </w:t>
            </w:r>
            <w:r>
              <w:rPr>
                <w:color w:val="000000"/>
                <w:shd w:val="clear" w:color="auto" w:fill="FFFFFF"/>
              </w:rPr>
              <w:t>в порядку та строки, встановлені НКЦПФР, розміщується інформація, що підлягає оприлюдненню відповідно до законодавства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 w:rsidRPr="001465D1">
              <w:t>2</w:t>
            </w:r>
            <w:r>
              <w:t>1</w:t>
            </w:r>
          </w:p>
        </w:tc>
      </w:tr>
      <w:tr w:rsidR="00443C76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 власному веб-сайті не розміщена інформація, </w:t>
            </w:r>
            <w:r>
              <w:rPr>
                <w:color w:val="000000"/>
                <w:shd w:val="clear" w:color="auto" w:fill="FFFFFF"/>
              </w:rPr>
              <w:t>що підлягає оприлюдненню відповідно до законодавства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E74468" w:rsidTr="00473607">
        <w:trPr>
          <w:trHeight w:val="1635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3332" w:type="pct"/>
            <w:gridSpan w:val="2"/>
          </w:tcPr>
          <w:p w:rsidR="00443C76" w:rsidRPr="00E74468" w:rsidRDefault="00443C76" w:rsidP="00473607">
            <w:pPr>
              <w:spacing w:before="150" w:after="150"/>
              <w:textAlignment w:val="baseline"/>
            </w:pPr>
            <w:r>
              <w:t xml:space="preserve">2) </w:t>
            </w:r>
            <w:r w:rsidRPr="00E74468">
              <w:t xml:space="preserve"> суб’єкти господарювання, </w:t>
            </w:r>
            <w:r>
              <w:t xml:space="preserve">які є емітентами цінних паперів – іпотечних цінних паперів, сертифікатів фонду операцій з нерухомістю, </w:t>
            </w:r>
            <w:r w:rsidRPr="001465D1">
              <w:t>емітентів облігацій</w:t>
            </w:r>
            <w:r>
              <w:t xml:space="preserve"> </w:t>
            </w:r>
            <w:r w:rsidRPr="00007210">
              <w:t>та</w:t>
            </w:r>
            <w:r>
              <w:t xml:space="preserve"> мають одну з наступних ознак:</w:t>
            </w:r>
          </w:p>
        </w:tc>
      </w:tr>
      <w:tr w:rsidR="00443C76" w:rsidRPr="00E74468" w:rsidTr="00473607">
        <w:trPr>
          <w:trHeight w:val="1110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jc w:val="both"/>
              <w:textAlignment w:val="baseline"/>
            </w:pPr>
            <w:r w:rsidRPr="005C3589">
              <w:t>на власному веб-сайті не розміщена інформація, що підлягає оприлюдненню відповідно до законодавства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2300E1" w:rsidRDefault="00443C76" w:rsidP="00473607">
            <w:pPr>
              <w:jc w:val="both"/>
              <w:textAlignment w:val="baseline"/>
            </w:pPr>
            <w:r w:rsidRPr="002300E1">
              <w:t>відсутність власного веб-сайту на якому в порядку та строки, встановлені НКЦПФР, розміщується інформація, що підлягає оприлюдненню відповідно до законодавства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2300E1" w:rsidRDefault="00443C76" w:rsidP="00473607">
            <w:pPr>
              <w:jc w:val="both"/>
              <w:textAlignment w:val="baseline"/>
            </w:pPr>
            <w:r w:rsidRPr="002300E1">
              <w:t xml:space="preserve"> </w:t>
            </w:r>
            <w:r>
              <w:t>н</w:t>
            </w:r>
            <w:r w:rsidRPr="00EF017A">
              <w:t>е</w:t>
            </w:r>
            <w:r>
              <w:t xml:space="preserve"> </w:t>
            </w:r>
            <w:r w:rsidRPr="00EF017A">
              <w:t>розкриття інформації на фондовому ринку</w:t>
            </w:r>
            <w:r>
              <w:t>/розкриття не в повному обсязі/розкриття недостовірної інформації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A91C54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2300E1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порушення строків розкриття інформації на фондовому ринку </w:t>
            </w:r>
          </w:p>
        </w:tc>
        <w:tc>
          <w:tcPr>
            <w:tcW w:w="557" w:type="pct"/>
          </w:tcPr>
          <w:p w:rsidR="00443C76" w:rsidRPr="00A91C54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A91C54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невідповідність розкритої інформації вимогам законодавства</w:t>
            </w:r>
          </w:p>
        </w:tc>
        <w:tc>
          <w:tcPr>
            <w:tcW w:w="557" w:type="pct"/>
          </w:tcPr>
          <w:p w:rsidR="00443C76" w:rsidRPr="00A91C54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1465D1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невідповідність розкритої інформації вимогам законодавства  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  <w:rPr>
                <w:lang w:val="ru-RU"/>
              </w:rPr>
            </w:pPr>
            <w:r w:rsidRPr="001465D1">
              <w:rPr>
                <w:lang w:val="ru-RU"/>
              </w:rPr>
              <w:t>21</w:t>
            </w:r>
          </w:p>
        </w:tc>
      </w:tr>
      <w:tr w:rsidR="00443C76" w:rsidRPr="00E74468" w:rsidTr="00473607">
        <w:trPr>
          <w:trHeight w:val="1440"/>
        </w:trPr>
        <w:tc>
          <w:tcPr>
            <w:tcW w:w="1668" w:type="pct"/>
            <w:vMerge w:val="restart"/>
          </w:tcPr>
          <w:p w:rsidR="00443C76" w:rsidRPr="00E74468" w:rsidRDefault="00443C76" w:rsidP="00473607">
            <w:r w:rsidRPr="00E74468">
              <w:t>3.</w:t>
            </w:r>
            <w:r>
              <w:t xml:space="preserve"> </w:t>
            </w:r>
            <w:r w:rsidRPr="00E74468">
              <w:t>Наявність порушень вимог законодавства на ринку цінних паперів в діяльності суб’єкта господарювання</w:t>
            </w:r>
          </w:p>
        </w:tc>
        <w:tc>
          <w:tcPr>
            <w:tcW w:w="3332" w:type="pct"/>
            <w:gridSpan w:val="2"/>
          </w:tcPr>
          <w:p w:rsidR="00443C76" w:rsidRPr="00E74468" w:rsidRDefault="00443C76" w:rsidP="00473607">
            <w:pPr>
              <w:jc w:val="both"/>
              <w:textAlignment w:val="baseline"/>
            </w:pPr>
            <w:r>
              <w:t>1)</w:t>
            </w:r>
            <w:r w:rsidRPr="00E74468">
              <w:t xml:space="preserve"> суб’єкти господарювання, </w:t>
            </w:r>
            <w:r>
              <w:t>які є емітентами цінних паперів, у відношенні яких НКЦПФР встановлені порушення законодавства протягом останніх трьох років та мають одну з наступних ознак:</w:t>
            </w:r>
          </w:p>
        </w:tc>
      </w:tr>
      <w:tr w:rsidR="00443C76" w:rsidRPr="00E74468" w:rsidTr="00473607">
        <w:trPr>
          <w:trHeight w:val="825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E74468" w:rsidRDefault="00443C76" w:rsidP="00473607">
            <w:pPr>
              <w:jc w:val="both"/>
              <w:textAlignment w:val="baseline"/>
            </w:pPr>
            <w:r>
              <w:t xml:space="preserve"> вчинення трьох і більше порушень вимог законодавства на ринку цінних паперів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1465D1" w:rsidTr="00473607">
        <w:trPr>
          <w:trHeight w:val="43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E74468" w:rsidRDefault="00443C76" w:rsidP="00473607">
            <w:pPr>
              <w:jc w:val="both"/>
              <w:textAlignment w:val="baseline"/>
            </w:pPr>
            <w:r>
              <w:t>наявність двох і більше випадків невиконання розпоряджень НКЦПФР про усунення порушень законодавства про цінні папери/рішень Комісії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</w:pPr>
            <w:r>
              <w:t>41</w:t>
            </w:r>
          </w:p>
        </w:tc>
      </w:tr>
      <w:tr w:rsidR="00443C76" w:rsidRPr="001465D1" w:rsidTr="00473607">
        <w:trPr>
          <w:trHeight w:val="43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jc w:val="both"/>
              <w:textAlignment w:val="baseline"/>
            </w:pPr>
            <w:r>
              <w:t>наявність двох і більше випадків притягнення посадових осіб до адміністративної відповідальності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1465D1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74572E" w:rsidRDefault="00443C76" w:rsidP="00473607">
            <w:pPr>
              <w:jc w:val="both"/>
              <w:textAlignment w:val="baseline"/>
            </w:pPr>
            <w:r>
              <w:t xml:space="preserve">порушення емітентом умов проспекту емісії 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1465D1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3332" w:type="pct"/>
            <w:gridSpan w:val="2"/>
          </w:tcPr>
          <w:p w:rsidR="00443C76" w:rsidRPr="001465D1" w:rsidRDefault="00443C76" w:rsidP="00473607">
            <w:pPr>
              <w:spacing w:before="150" w:after="150"/>
              <w:textAlignment w:val="baseline"/>
            </w:pPr>
            <w:r>
              <w:t xml:space="preserve">2) </w:t>
            </w:r>
            <w:r w:rsidRPr="00E74468">
              <w:t xml:space="preserve">суб’єкти господарювання, </w:t>
            </w:r>
            <w:r>
              <w:t>які є емітентами цінних паперів, у відношенні яких НКЦПФР встановлені порушення законодавства протягом останніх трьох років та мають одну з наступних ознак:</w:t>
            </w:r>
          </w:p>
        </w:tc>
      </w:tr>
      <w:tr w:rsidR="00443C76" w:rsidRPr="00A91C54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spacing w:before="150" w:after="150"/>
              <w:textAlignment w:val="baseline"/>
            </w:pPr>
            <w:r>
              <w:t xml:space="preserve">здійснення діяльності без порушень </w:t>
            </w:r>
          </w:p>
        </w:tc>
        <w:tc>
          <w:tcPr>
            <w:tcW w:w="557" w:type="pct"/>
          </w:tcPr>
          <w:p w:rsidR="00443C76" w:rsidRPr="00A146D7" w:rsidRDefault="00443C76" w:rsidP="00473607">
            <w:pPr>
              <w:spacing w:before="150" w:after="150"/>
              <w:jc w:val="center"/>
              <w:textAlignment w:val="baseline"/>
            </w:pPr>
            <w:r>
              <w:t>0</w:t>
            </w:r>
          </w:p>
        </w:tc>
      </w:tr>
      <w:tr w:rsidR="00443C76" w:rsidRPr="00A146D7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E74468" w:rsidRDefault="00443C76" w:rsidP="00473607">
            <w:pPr>
              <w:jc w:val="both"/>
              <w:textAlignment w:val="baseline"/>
            </w:pPr>
            <w:r>
              <w:t>вчинення одного чи більше порушень вимог законодавства на ринку цінних паперів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0</w:t>
            </w:r>
          </w:p>
        </w:tc>
      </w:tr>
      <w:tr w:rsidR="00443C76" w:rsidRPr="00A146D7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E74468" w:rsidRDefault="00443C76" w:rsidP="00473607">
            <w:pPr>
              <w:jc w:val="both"/>
              <w:textAlignment w:val="baseline"/>
            </w:pPr>
            <w:r>
              <w:t>наявність одного випадку невиконання розпоряджень НКЦПФР про усунення порушень законодавства про цінні папери/рішень Комісії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0</w:t>
            </w:r>
          </w:p>
        </w:tc>
      </w:tr>
      <w:tr w:rsidR="00443C76" w:rsidRPr="00A91C54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>
            <w:r>
              <w:t>4. Наявність письмових скарг щодо діяльності товариства</w:t>
            </w:r>
          </w:p>
        </w:tc>
        <w:tc>
          <w:tcPr>
            <w:tcW w:w="2775" w:type="pct"/>
          </w:tcPr>
          <w:p w:rsidR="00443C76" w:rsidRPr="0074572E" w:rsidRDefault="00443C76" w:rsidP="00473607">
            <w:pPr>
              <w:jc w:val="both"/>
              <w:textAlignment w:val="baseline"/>
              <w:rPr>
                <w:lang w:val="ru-RU"/>
              </w:rPr>
            </w:pPr>
            <w:r>
              <w:t xml:space="preserve">1) </w:t>
            </w:r>
            <w:r w:rsidRPr="001465D1">
              <w:rPr>
                <w:color w:val="000000"/>
                <w:shd w:val="clear" w:color="auto" w:fill="FFFFFF"/>
              </w:rPr>
              <w:t>зве</w:t>
            </w:r>
            <w:r w:rsidRPr="0074572E">
              <w:rPr>
                <w:color w:val="000000"/>
                <w:shd w:val="clear" w:color="auto" w:fill="FFFFFF"/>
                <w:lang w:val="ru-RU"/>
              </w:rPr>
              <w:t>рнення акціонера(ів), посадової(их) особи (осіб) органів товариства, депозитарної установи, Центрального депозитарію тощо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557" w:type="pct"/>
          </w:tcPr>
          <w:p w:rsidR="00443C76" w:rsidRPr="00A146D7" w:rsidRDefault="00443C76" w:rsidP="00473607">
            <w:pPr>
              <w:spacing w:before="150" w:after="150"/>
              <w:jc w:val="center"/>
              <w:textAlignment w:val="baseline"/>
            </w:pPr>
            <w:r>
              <w:t>10</w:t>
            </w:r>
          </w:p>
        </w:tc>
      </w:tr>
    </w:tbl>
    <w:p w:rsidR="00443C76" w:rsidRDefault="00443C76" w:rsidP="00443C76"/>
    <w:p w:rsidR="00443C76" w:rsidRDefault="00443C76" w:rsidP="00443C76">
      <w:pPr>
        <w:ind w:left="-180"/>
      </w:pPr>
      <w:r>
        <w:t>______________</w:t>
      </w:r>
    </w:p>
    <w:p w:rsidR="00443C76" w:rsidRDefault="00443C76" w:rsidP="00443C76">
      <w:pPr>
        <w:ind w:left="-180"/>
      </w:pPr>
    </w:p>
    <w:p w:rsidR="00443C76" w:rsidRPr="0080237B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C761E0">
        <w:t xml:space="preserve">* Для показників критеріїв </w:t>
      </w:r>
      <w:r>
        <w:t xml:space="preserve">1 та 2 </w:t>
      </w:r>
      <w:r w:rsidRPr="00C761E0">
        <w:t xml:space="preserve">періодом </w:t>
      </w:r>
      <w:r w:rsidRPr="00C761E0">
        <w:rPr>
          <w:color w:val="000000"/>
        </w:rPr>
        <w:t xml:space="preserve">оцінки відповідності </w:t>
      </w:r>
      <w:r>
        <w:rPr>
          <w:color w:val="000000"/>
        </w:rPr>
        <w:t xml:space="preserve">є період з 1липня року, що передує року складання (оновлення) переліку суб’єктів </w:t>
      </w:r>
      <w:r w:rsidRPr="00C761E0">
        <w:rPr>
          <w:color w:val="000000"/>
        </w:rPr>
        <w:t>господарювання</w:t>
      </w:r>
      <w:r>
        <w:rPr>
          <w:color w:val="000000"/>
        </w:rPr>
        <w:t>, що підлягають державному нагляду (контролю), по 1 липня  року, в якому складається (оновлюється) такий перелік.</w:t>
      </w:r>
    </w:p>
    <w:p w:rsidR="00443C76" w:rsidRPr="00443C76" w:rsidRDefault="00443C76" w:rsidP="007A1063">
      <w:pPr>
        <w:ind w:left="5664"/>
        <w:jc w:val="center"/>
      </w:pPr>
    </w:p>
    <w:sectPr w:rsidR="00443C76" w:rsidRPr="00443C76" w:rsidSect="00F43339">
      <w:pgSz w:w="11906" w:h="16838"/>
      <w:pgMar w:top="540" w:right="850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8F" w:rsidRDefault="0045358F" w:rsidP="009748D2">
      <w:r>
        <w:separator/>
      </w:r>
    </w:p>
  </w:endnote>
  <w:endnote w:type="continuationSeparator" w:id="0">
    <w:p w:rsidR="0045358F" w:rsidRDefault="0045358F" w:rsidP="0097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8F" w:rsidRDefault="0045358F" w:rsidP="009748D2">
      <w:r>
        <w:separator/>
      </w:r>
    </w:p>
  </w:footnote>
  <w:footnote w:type="continuationSeparator" w:id="0">
    <w:p w:rsidR="0045358F" w:rsidRDefault="0045358F" w:rsidP="0097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7856"/>
    <w:multiLevelType w:val="hybridMultilevel"/>
    <w:tmpl w:val="6AC6C4DC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4000D"/>
    <w:multiLevelType w:val="hybridMultilevel"/>
    <w:tmpl w:val="1D161A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9151B"/>
    <w:multiLevelType w:val="hybridMultilevel"/>
    <w:tmpl w:val="FD042230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2C0"/>
    <w:rsid w:val="00001A3E"/>
    <w:rsid w:val="00023045"/>
    <w:rsid w:val="00023BE6"/>
    <w:rsid w:val="000322C0"/>
    <w:rsid w:val="00054E17"/>
    <w:rsid w:val="00061930"/>
    <w:rsid w:val="00064851"/>
    <w:rsid w:val="000669E1"/>
    <w:rsid w:val="000716C0"/>
    <w:rsid w:val="000807AC"/>
    <w:rsid w:val="00082951"/>
    <w:rsid w:val="000A4A71"/>
    <w:rsid w:val="000C2B07"/>
    <w:rsid w:val="000D6DA2"/>
    <w:rsid w:val="000F404A"/>
    <w:rsid w:val="000F419D"/>
    <w:rsid w:val="00103227"/>
    <w:rsid w:val="00104EAA"/>
    <w:rsid w:val="001116EA"/>
    <w:rsid w:val="001125EB"/>
    <w:rsid w:val="0012358C"/>
    <w:rsid w:val="00133847"/>
    <w:rsid w:val="00146BA2"/>
    <w:rsid w:val="00163227"/>
    <w:rsid w:val="0019605A"/>
    <w:rsid w:val="001B4216"/>
    <w:rsid w:val="001B6384"/>
    <w:rsid w:val="001D6F3A"/>
    <w:rsid w:val="001E6B89"/>
    <w:rsid w:val="00202565"/>
    <w:rsid w:val="00205A62"/>
    <w:rsid w:val="002106F1"/>
    <w:rsid w:val="00212998"/>
    <w:rsid w:val="002172F2"/>
    <w:rsid w:val="00221ABB"/>
    <w:rsid w:val="0023145B"/>
    <w:rsid w:val="00237E2E"/>
    <w:rsid w:val="00252E93"/>
    <w:rsid w:val="002602D0"/>
    <w:rsid w:val="002871BB"/>
    <w:rsid w:val="0028748C"/>
    <w:rsid w:val="002930D6"/>
    <w:rsid w:val="00296BF4"/>
    <w:rsid w:val="002B2C74"/>
    <w:rsid w:val="002B51D7"/>
    <w:rsid w:val="002C1000"/>
    <w:rsid w:val="002C12E6"/>
    <w:rsid w:val="002C529C"/>
    <w:rsid w:val="002E2923"/>
    <w:rsid w:val="002F09D1"/>
    <w:rsid w:val="0030243F"/>
    <w:rsid w:val="00314F7C"/>
    <w:rsid w:val="00323530"/>
    <w:rsid w:val="00332C6C"/>
    <w:rsid w:val="00334AE6"/>
    <w:rsid w:val="00336793"/>
    <w:rsid w:val="003409DF"/>
    <w:rsid w:val="00342568"/>
    <w:rsid w:val="00360CE9"/>
    <w:rsid w:val="00364755"/>
    <w:rsid w:val="003907C1"/>
    <w:rsid w:val="003933B3"/>
    <w:rsid w:val="003A61DF"/>
    <w:rsid w:val="003B1338"/>
    <w:rsid w:val="003B28D4"/>
    <w:rsid w:val="003B72A8"/>
    <w:rsid w:val="003B7EC8"/>
    <w:rsid w:val="003C4031"/>
    <w:rsid w:val="003E0A82"/>
    <w:rsid w:val="003E1DD5"/>
    <w:rsid w:val="003E1E3D"/>
    <w:rsid w:val="003F46C9"/>
    <w:rsid w:val="003F7391"/>
    <w:rsid w:val="00416D59"/>
    <w:rsid w:val="0042028A"/>
    <w:rsid w:val="00422CE2"/>
    <w:rsid w:val="00426A3D"/>
    <w:rsid w:val="004301CA"/>
    <w:rsid w:val="0043399B"/>
    <w:rsid w:val="00433ADE"/>
    <w:rsid w:val="00440612"/>
    <w:rsid w:val="00441CED"/>
    <w:rsid w:val="004428B2"/>
    <w:rsid w:val="00442E75"/>
    <w:rsid w:val="00443C76"/>
    <w:rsid w:val="00446329"/>
    <w:rsid w:val="0045063C"/>
    <w:rsid w:val="00450A00"/>
    <w:rsid w:val="0045358F"/>
    <w:rsid w:val="004619D4"/>
    <w:rsid w:val="0046561A"/>
    <w:rsid w:val="00466899"/>
    <w:rsid w:val="00473607"/>
    <w:rsid w:val="004751FB"/>
    <w:rsid w:val="00476F4F"/>
    <w:rsid w:val="004A3412"/>
    <w:rsid w:val="004B223E"/>
    <w:rsid w:val="004C46FF"/>
    <w:rsid w:val="004D5E92"/>
    <w:rsid w:val="004F1910"/>
    <w:rsid w:val="00505FAC"/>
    <w:rsid w:val="00513A0A"/>
    <w:rsid w:val="0051636B"/>
    <w:rsid w:val="0052077B"/>
    <w:rsid w:val="00520996"/>
    <w:rsid w:val="005237A8"/>
    <w:rsid w:val="00531C82"/>
    <w:rsid w:val="00536F03"/>
    <w:rsid w:val="00543E2C"/>
    <w:rsid w:val="005479F3"/>
    <w:rsid w:val="0055700B"/>
    <w:rsid w:val="0055700F"/>
    <w:rsid w:val="00563A0D"/>
    <w:rsid w:val="0056498F"/>
    <w:rsid w:val="00572D5D"/>
    <w:rsid w:val="00575480"/>
    <w:rsid w:val="00581D66"/>
    <w:rsid w:val="00584CF8"/>
    <w:rsid w:val="00590AC7"/>
    <w:rsid w:val="005A1C6F"/>
    <w:rsid w:val="005A3F36"/>
    <w:rsid w:val="005A69E2"/>
    <w:rsid w:val="005B17C6"/>
    <w:rsid w:val="005B1FED"/>
    <w:rsid w:val="005C57B6"/>
    <w:rsid w:val="005D55A5"/>
    <w:rsid w:val="005E6C11"/>
    <w:rsid w:val="005E6F4C"/>
    <w:rsid w:val="005F04C7"/>
    <w:rsid w:val="00600DE2"/>
    <w:rsid w:val="0060631D"/>
    <w:rsid w:val="00607618"/>
    <w:rsid w:val="00614F04"/>
    <w:rsid w:val="00615F52"/>
    <w:rsid w:val="00617E2A"/>
    <w:rsid w:val="00644453"/>
    <w:rsid w:val="00653692"/>
    <w:rsid w:val="0067106E"/>
    <w:rsid w:val="00672E19"/>
    <w:rsid w:val="00677427"/>
    <w:rsid w:val="006778DE"/>
    <w:rsid w:val="006833BD"/>
    <w:rsid w:val="006879F3"/>
    <w:rsid w:val="00692183"/>
    <w:rsid w:val="0069588A"/>
    <w:rsid w:val="006A33E5"/>
    <w:rsid w:val="006A3986"/>
    <w:rsid w:val="006C2B4D"/>
    <w:rsid w:val="006E1C56"/>
    <w:rsid w:val="006E2ABA"/>
    <w:rsid w:val="006E371A"/>
    <w:rsid w:val="00727874"/>
    <w:rsid w:val="00735995"/>
    <w:rsid w:val="00747F71"/>
    <w:rsid w:val="0075124C"/>
    <w:rsid w:val="007658F7"/>
    <w:rsid w:val="00766F04"/>
    <w:rsid w:val="00777CD6"/>
    <w:rsid w:val="0079511B"/>
    <w:rsid w:val="00797B59"/>
    <w:rsid w:val="007A1063"/>
    <w:rsid w:val="007D2211"/>
    <w:rsid w:val="007D400F"/>
    <w:rsid w:val="007F50D3"/>
    <w:rsid w:val="00802DCB"/>
    <w:rsid w:val="00806E62"/>
    <w:rsid w:val="00807F16"/>
    <w:rsid w:val="00811217"/>
    <w:rsid w:val="008162A0"/>
    <w:rsid w:val="00821B3D"/>
    <w:rsid w:val="00825791"/>
    <w:rsid w:val="0087599B"/>
    <w:rsid w:val="00881093"/>
    <w:rsid w:val="00886126"/>
    <w:rsid w:val="00887BB5"/>
    <w:rsid w:val="008B064E"/>
    <w:rsid w:val="008B13E5"/>
    <w:rsid w:val="008B3520"/>
    <w:rsid w:val="008B36E7"/>
    <w:rsid w:val="008B6DEE"/>
    <w:rsid w:val="008D1AD5"/>
    <w:rsid w:val="008E3B06"/>
    <w:rsid w:val="00921E2A"/>
    <w:rsid w:val="0094164B"/>
    <w:rsid w:val="00941C56"/>
    <w:rsid w:val="0095064F"/>
    <w:rsid w:val="0095130B"/>
    <w:rsid w:val="009654F1"/>
    <w:rsid w:val="00970EAF"/>
    <w:rsid w:val="009748D2"/>
    <w:rsid w:val="009841A8"/>
    <w:rsid w:val="009912D5"/>
    <w:rsid w:val="00991971"/>
    <w:rsid w:val="009A3881"/>
    <w:rsid w:val="009B3A62"/>
    <w:rsid w:val="009C1384"/>
    <w:rsid w:val="009C5A74"/>
    <w:rsid w:val="009C5CA1"/>
    <w:rsid w:val="009E1303"/>
    <w:rsid w:val="009F39E7"/>
    <w:rsid w:val="00A21ACA"/>
    <w:rsid w:val="00A34437"/>
    <w:rsid w:val="00A41B0B"/>
    <w:rsid w:val="00A567A7"/>
    <w:rsid w:val="00A606D9"/>
    <w:rsid w:val="00A66E80"/>
    <w:rsid w:val="00A740D7"/>
    <w:rsid w:val="00A760F4"/>
    <w:rsid w:val="00A82271"/>
    <w:rsid w:val="00AC6354"/>
    <w:rsid w:val="00AF55FF"/>
    <w:rsid w:val="00B0680B"/>
    <w:rsid w:val="00B3418D"/>
    <w:rsid w:val="00B576AF"/>
    <w:rsid w:val="00B61DE5"/>
    <w:rsid w:val="00B8423F"/>
    <w:rsid w:val="00B90172"/>
    <w:rsid w:val="00B949A3"/>
    <w:rsid w:val="00BC102D"/>
    <w:rsid w:val="00BC5C74"/>
    <w:rsid w:val="00BD2E8D"/>
    <w:rsid w:val="00BF6006"/>
    <w:rsid w:val="00C0130E"/>
    <w:rsid w:val="00C14C49"/>
    <w:rsid w:val="00C16450"/>
    <w:rsid w:val="00C16804"/>
    <w:rsid w:val="00C21D65"/>
    <w:rsid w:val="00C266AE"/>
    <w:rsid w:val="00C373AB"/>
    <w:rsid w:val="00C45303"/>
    <w:rsid w:val="00C4612C"/>
    <w:rsid w:val="00C56D56"/>
    <w:rsid w:val="00C744E8"/>
    <w:rsid w:val="00CC2003"/>
    <w:rsid w:val="00CE36AC"/>
    <w:rsid w:val="00CF66EB"/>
    <w:rsid w:val="00CF7F89"/>
    <w:rsid w:val="00D15163"/>
    <w:rsid w:val="00D16204"/>
    <w:rsid w:val="00D20C95"/>
    <w:rsid w:val="00D3212D"/>
    <w:rsid w:val="00D370A0"/>
    <w:rsid w:val="00D57AA9"/>
    <w:rsid w:val="00D60069"/>
    <w:rsid w:val="00D8465F"/>
    <w:rsid w:val="00D87D94"/>
    <w:rsid w:val="00D96FAB"/>
    <w:rsid w:val="00DB0488"/>
    <w:rsid w:val="00DB29CE"/>
    <w:rsid w:val="00DB2D59"/>
    <w:rsid w:val="00DB5438"/>
    <w:rsid w:val="00DC1C21"/>
    <w:rsid w:val="00DC2021"/>
    <w:rsid w:val="00DD12E8"/>
    <w:rsid w:val="00DE6B51"/>
    <w:rsid w:val="00DF123E"/>
    <w:rsid w:val="00DF366D"/>
    <w:rsid w:val="00E34AB1"/>
    <w:rsid w:val="00E358AD"/>
    <w:rsid w:val="00E46D64"/>
    <w:rsid w:val="00E554CD"/>
    <w:rsid w:val="00E67AB8"/>
    <w:rsid w:val="00E71E64"/>
    <w:rsid w:val="00E81E1F"/>
    <w:rsid w:val="00E82681"/>
    <w:rsid w:val="00EA65CD"/>
    <w:rsid w:val="00EA73B7"/>
    <w:rsid w:val="00EC0692"/>
    <w:rsid w:val="00EC2ADB"/>
    <w:rsid w:val="00EC60D8"/>
    <w:rsid w:val="00EC7B57"/>
    <w:rsid w:val="00F0358B"/>
    <w:rsid w:val="00F22525"/>
    <w:rsid w:val="00F43339"/>
    <w:rsid w:val="00F531C2"/>
    <w:rsid w:val="00F64FB9"/>
    <w:rsid w:val="00F75983"/>
    <w:rsid w:val="00F82B52"/>
    <w:rsid w:val="00F83C70"/>
    <w:rsid w:val="00F90A9D"/>
    <w:rsid w:val="00FA7144"/>
    <w:rsid w:val="00FB1E21"/>
    <w:rsid w:val="00FC0209"/>
    <w:rsid w:val="00FC4B26"/>
    <w:rsid w:val="00FE3028"/>
    <w:rsid w:val="00FE4092"/>
    <w:rsid w:val="00FE543D"/>
    <w:rsid w:val="00FE6D01"/>
    <w:rsid w:val="00FF33CF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5856DF8-38D5-4CC8-9938-DE4DE142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C0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0322C0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0322C0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4">
    <w:name w:val="caaieiaie 4"/>
    <w:basedOn w:val="a"/>
    <w:next w:val="a"/>
    <w:rsid w:val="000322C0"/>
    <w:pPr>
      <w:keepNext/>
      <w:widowControl w:val="0"/>
      <w:jc w:val="center"/>
    </w:pPr>
    <w:rPr>
      <w:rFonts w:ascii="Pragmatica" w:hAnsi="Pragmatica"/>
      <w:b/>
      <w:szCs w:val="20"/>
    </w:rPr>
  </w:style>
  <w:style w:type="paragraph" w:customStyle="1" w:styleId="CharChar">
    <w:name w:val=" Char Char"/>
    <w:basedOn w:val="a"/>
    <w:rsid w:val="00811217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F90A9D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433ADE"/>
  </w:style>
  <w:style w:type="paragraph" w:customStyle="1" w:styleId="rvps6">
    <w:name w:val="rvps6"/>
    <w:basedOn w:val="a"/>
    <w:rsid w:val="00433ADE"/>
    <w:pPr>
      <w:spacing w:before="100" w:beforeAutospacing="1" w:after="100" w:afterAutospacing="1"/>
    </w:pPr>
    <w:rPr>
      <w:lang w:eastAsia="uk-UA"/>
    </w:rPr>
  </w:style>
  <w:style w:type="paragraph" w:styleId="a3">
    <w:name w:val="header"/>
    <w:basedOn w:val="a"/>
    <w:link w:val="a4"/>
    <w:rsid w:val="00B3418D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link w:val="a3"/>
    <w:semiHidden/>
    <w:rsid w:val="00B3418D"/>
    <w:rPr>
      <w:lang w:val="ru-RU" w:eastAsia="ru-RU" w:bidi="ar-SA"/>
    </w:rPr>
  </w:style>
  <w:style w:type="paragraph" w:styleId="a5">
    <w:name w:val="Body Text"/>
    <w:basedOn w:val="a"/>
    <w:rsid w:val="00B3418D"/>
    <w:pPr>
      <w:spacing w:after="120"/>
    </w:pPr>
    <w:rPr>
      <w:sz w:val="20"/>
      <w:szCs w:val="20"/>
      <w:lang w:val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rsid w:val="0088612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606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606D9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rsid w:val="009748D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9748D2"/>
    <w:rPr>
      <w:sz w:val="24"/>
      <w:szCs w:val="24"/>
      <w:lang w:eastAsia="ru-RU"/>
    </w:rPr>
  </w:style>
  <w:style w:type="paragraph" w:styleId="aa">
    <w:name w:val="Normal (Web)"/>
    <w:basedOn w:val="a"/>
    <w:rsid w:val="00443C76"/>
    <w:pPr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unhideWhenUsed/>
    <w:rsid w:val="004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SSMSC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turianytsia</dc:creator>
  <cp:keywords/>
  <dc:description/>
  <cp:lastModifiedBy>Руслан Кисляк</cp:lastModifiedBy>
  <cp:revision>2</cp:revision>
  <cp:lastPrinted>2019-02-11T09:11:00Z</cp:lastPrinted>
  <dcterms:created xsi:type="dcterms:W3CDTF">2019-03-13T12:33:00Z</dcterms:created>
  <dcterms:modified xsi:type="dcterms:W3CDTF">2019-03-13T12:33:00Z</dcterms:modified>
</cp:coreProperties>
</file>