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AD" w:rsidRPr="007A5867" w:rsidRDefault="007A5867" w:rsidP="007A5867">
      <w:pPr>
        <w:tabs>
          <w:tab w:val="left" w:pos="0"/>
        </w:tabs>
        <w:rPr>
          <w:bCs/>
          <w:sz w:val="28"/>
          <w:szCs w:val="28"/>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A5867">
        <w:rPr>
          <w:bCs/>
          <w:sz w:val="28"/>
          <w:szCs w:val="28"/>
        </w:rPr>
        <w:t>ПРОЕКТ</w:t>
      </w:r>
    </w:p>
    <w:p w:rsidR="001C6872" w:rsidRPr="00441BCE" w:rsidRDefault="005E5942" w:rsidP="005E5942">
      <w:pPr>
        <w:tabs>
          <w:tab w:val="left" w:pos="0"/>
        </w:tabs>
        <w:jc w:val="right"/>
        <w:rPr>
          <w:b/>
          <w:bCs/>
        </w:rPr>
      </w:pPr>
      <w:r w:rsidRPr="00441B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29.4pt;margin-top:0;width:58.6pt;height:69.5pt;z-index:3" fillcolor="window">
            <v:imagedata r:id="rId7" o:title=""/>
            <w10:wrap type="square" side="right"/>
          </v:shape>
        </w:pict>
      </w:r>
      <w:r w:rsidR="000D4CBF" w:rsidRPr="00441BCE">
        <w:rPr>
          <w:b/>
          <w:bCs/>
        </w:rPr>
        <w:t xml:space="preserve"> </w:t>
      </w:r>
      <w:r w:rsidRPr="00441BCE">
        <w:rPr>
          <w:b/>
          <w:bCs/>
        </w:rPr>
        <w:br w:type="textWrapping" w:clear="all"/>
      </w:r>
    </w:p>
    <w:p w:rsidR="001C6872" w:rsidRPr="00FB54F8" w:rsidRDefault="001C6872" w:rsidP="001C6872">
      <w:pPr>
        <w:jc w:val="center"/>
        <w:rPr>
          <w:sz w:val="28"/>
          <w:szCs w:val="28"/>
        </w:rPr>
      </w:pPr>
      <w:r w:rsidRPr="00FB54F8">
        <w:rPr>
          <w:sz w:val="28"/>
          <w:szCs w:val="28"/>
        </w:rPr>
        <w:t>НАЦІОНАЛЬНА КОМІСІЯ З ЦІННИХ ПАПЕРІВ</w:t>
      </w:r>
    </w:p>
    <w:p w:rsidR="001C6872" w:rsidRPr="00FB54F8" w:rsidRDefault="001C6872" w:rsidP="001C6872">
      <w:pPr>
        <w:pStyle w:val="50"/>
      </w:pPr>
      <w:r w:rsidRPr="00FB54F8">
        <w:rPr>
          <w:b w:val="0"/>
          <w:bCs w:val="0"/>
        </w:rPr>
        <w:t xml:space="preserve"> ТА ФОНДОВОГО РИНКУ</w:t>
      </w:r>
    </w:p>
    <w:p w:rsidR="001C6872" w:rsidRPr="00FB54F8" w:rsidRDefault="001C6872" w:rsidP="001C6872">
      <w:pPr>
        <w:jc w:val="center"/>
        <w:rPr>
          <w:sz w:val="28"/>
          <w:szCs w:val="28"/>
        </w:rPr>
      </w:pPr>
    </w:p>
    <w:p w:rsidR="001C6872" w:rsidRPr="00FB54F8" w:rsidRDefault="001C6872" w:rsidP="001C6872">
      <w:pPr>
        <w:pStyle w:val="10"/>
        <w:rPr>
          <w:rFonts w:ascii="Times New Roman" w:hAnsi="Times New Roman" w:cs="Times New Roman"/>
          <w:b w:val="0"/>
          <w:bCs w:val="0"/>
          <w:sz w:val="28"/>
          <w:szCs w:val="28"/>
        </w:rPr>
      </w:pPr>
      <w:r w:rsidRPr="00FB54F8">
        <w:rPr>
          <w:rFonts w:ascii="Times New Roman" w:hAnsi="Times New Roman" w:cs="Times New Roman"/>
          <w:noProof/>
          <w:sz w:val="28"/>
          <w:szCs w:val="28"/>
        </w:rPr>
        <w:pict>
          <v:shape id="_x0000_s1032" style="position:absolute;margin-left:42.65pt;margin-top:3.95pt;width:410.35pt;height:7.2pt;z-index:2;mso-position-horizontal:absolute;mso-position-horizontal-relative:text;mso-position-vertical:absolute;mso-position-vertical-relative:text" coordsize="20000,20000" o:allowincell="f" path="m,19861l,,19998,r,19861l,19861r,xe" filled="f">
            <v:path arrowok="t"/>
          </v:shape>
        </w:pict>
      </w:r>
    </w:p>
    <w:p w:rsidR="001C6872" w:rsidRPr="00FB54F8" w:rsidRDefault="001C6872" w:rsidP="000A7693">
      <w:pPr>
        <w:pStyle w:val="10"/>
        <w:jc w:val="center"/>
        <w:rPr>
          <w:rFonts w:ascii="Times New Roman" w:hAnsi="Times New Roman" w:cs="Times New Roman"/>
          <w:sz w:val="28"/>
          <w:szCs w:val="28"/>
        </w:rPr>
      </w:pPr>
      <w:r w:rsidRPr="00FB54F8">
        <w:rPr>
          <w:rFonts w:ascii="Times New Roman" w:hAnsi="Times New Roman" w:cs="Times New Roman"/>
          <w:sz w:val="28"/>
          <w:szCs w:val="28"/>
        </w:rPr>
        <w:t>Р І Ш Е Н Н Я</w:t>
      </w:r>
    </w:p>
    <w:p w:rsidR="00326072" w:rsidRPr="00FB54F8" w:rsidRDefault="00326072">
      <w:pPr>
        <w:pStyle w:val="HTMLPreformatted"/>
        <w:widowControl w:val="0"/>
        <w:rPr>
          <w:rFonts w:ascii="Times New Roman" w:hAnsi="Times New Roman"/>
          <w:sz w:val="28"/>
          <w:szCs w:val="28"/>
          <w:lang w:val="uk-UA"/>
        </w:rPr>
      </w:pPr>
    </w:p>
    <w:p w:rsidR="00560DD2" w:rsidRPr="00744543" w:rsidRDefault="00744543">
      <w:pPr>
        <w:pStyle w:val="HTMLPreformatted"/>
        <w:widowControl w:val="0"/>
        <w:rPr>
          <w:rStyle w:val="HTMLTypewriter"/>
          <w:rFonts w:ascii="Times New Roman" w:hAnsi="Times New Roman"/>
          <w:sz w:val="28"/>
          <w:szCs w:val="28"/>
          <w:lang w:val="uk-UA"/>
        </w:rPr>
      </w:pPr>
      <w:r>
        <w:rPr>
          <w:rFonts w:ascii="Times New Roman" w:hAnsi="Times New Roman"/>
          <w:sz w:val="28"/>
          <w:szCs w:val="28"/>
          <w:lang w:val="uk-UA"/>
        </w:rPr>
        <w:t xml:space="preserve">     </w:t>
      </w:r>
      <w:r w:rsidR="00225FD5">
        <w:rPr>
          <w:rFonts w:ascii="Times New Roman" w:hAnsi="Times New Roman"/>
          <w:sz w:val="28"/>
          <w:szCs w:val="28"/>
          <w:lang w:val="uk-UA"/>
        </w:rPr>
        <w:t xml:space="preserve">   .03</w:t>
      </w:r>
      <w:r w:rsidR="00381941">
        <w:rPr>
          <w:rFonts w:ascii="Times New Roman" w:hAnsi="Times New Roman"/>
          <w:sz w:val="28"/>
          <w:szCs w:val="28"/>
          <w:lang w:val="uk-UA"/>
        </w:rPr>
        <w:t>.</w:t>
      </w:r>
      <w:r w:rsidR="00770656" w:rsidRPr="00FB54F8">
        <w:rPr>
          <w:rFonts w:ascii="Times New Roman" w:hAnsi="Times New Roman"/>
          <w:sz w:val="28"/>
          <w:szCs w:val="28"/>
          <w:lang w:val="uk-UA"/>
        </w:rPr>
        <w:t>201</w:t>
      </w:r>
      <w:r w:rsidR="007A5867">
        <w:rPr>
          <w:rFonts w:ascii="Times New Roman" w:hAnsi="Times New Roman"/>
          <w:sz w:val="28"/>
          <w:szCs w:val="28"/>
          <w:lang w:val="uk-UA"/>
        </w:rPr>
        <w:t>9</w:t>
      </w:r>
      <w:r w:rsidR="00B8545B" w:rsidRPr="00FB54F8">
        <w:rPr>
          <w:rFonts w:ascii="Times New Roman" w:hAnsi="Times New Roman"/>
          <w:sz w:val="28"/>
          <w:szCs w:val="28"/>
          <w:lang w:val="uk-UA"/>
        </w:rPr>
        <w:tab/>
      </w:r>
      <w:r w:rsidR="00560DD2" w:rsidRPr="00FB54F8">
        <w:rPr>
          <w:rFonts w:ascii="Times New Roman" w:hAnsi="Times New Roman"/>
          <w:sz w:val="28"/>
          <w:szCs w:val="28"/>
          <w:lang w:val="uk-UA"/>
        </w:rPr>
        <w:tab/>
      </w:r>
      <w:r w:rsidR="000633F3">
        <w:rPr>
          <w:rFonts w:ascii="Times New Roman" w:hAnsi="Times New Roman"/>
          <w:sz w:val="28"/>
          <w:szCs w:val="28"/>
          <w:lang w:val="uk-UA"/>
        </w:rPr>
        <w:t xml:space="preserve">          </w:t>
      </w:r>
      <w:r w:rsidR="000633F3" w:rsidRPr="00635A11">
        <w:rPr>
          <w:rFonts w:ascii="Times New Roman" w:hAnsi="Times New Roman"/>
          <w:sz w:val="28"/>
          <w:szCs w:val="28"/>
          <w:lang w:val="uk-UA"/>
        </w:rPr>
        <w:t xml:space="preserve">  </w:t>
      </w:r>
      <w:r w:rsidR="00655FE6">
        <w:rPr>
          <w:rFonts w:ascii="Times New Roman" w:hAnsi="Times New Roman"/>
          <w:sz w:val="28"/>
          <w:szCs w:val="28"/>
          <w:lang w:val="uk-UA"/>
        </w:rPr>
        <w:t xml:space="preserve"> </w:t>
      </w:r>
      <w:r w:rsidR="00593F2E" w:rsidRPr="00FB54F8">
        <w:rPr>
          <w:rFonts w:ascii="Times New Roman" w:hAnsi="Times New Roman"/>
          <w:sz w:val="28"/>
          <w:szCs w:val="28"/>
          <w:lang w:val="uk-UA"/>
        </w:rPr>
        <w:t xml:space="preserve"> </w:t>
      </w:r>
      <w:r w:rsidR="00655FE6">
        <w:rPr>
          <w:rFonts w:ascii="Times New Roman" w:hAnsi="Times New Roman"/>
          <w:sz w:val="28"/>
          <w:szCs w:val="28"/>
          <w:lang w:val="uk-UA"/>
        </w:rPr>
        <w:t xml:space="preserve">        </w:t>
      </w:r>
      <w:r w:rsidR="003409D8" w:rsidRPr="00FB54F8">
        <w:rPr>
          <w:rFonts w:ascii="Times New Roman" w:hAnsi="Times New Roman"/>
          <w:sz w:val="28"/>
          <w:szCs w:val="28"/>
          <w:lang w:val="uk-UA"/>
        </w:rPr>
        <w:t xml:space="preserve"> </w:t>
      </w:r>
      <w:r w:rsidR="00560DD2" w:rsidRPr="00FB54F8">
        <w:rPr>
          <w:rFonts w:ascii="Times New Roman" w:hAnsi="Times New Roman"/>
          <w:sz w:val="28"/>
          <w:szCs w:val="28"/>
          <w:lang w:val="uk-UA"/>
        </w:rPr>
        <w:t>м. Київ</w:t>
      </w:r>
      <w:r w:rsidR="00560DD2" w:rsidRPr="00FB54F8">
        <w:rPr>
          <w:rFonts w:ascii="Times New Roman" w:hAnsi="Times New Roman"/>
          <w:sz w:val="28"/>
          <w:szCs w:val="28"/>
          <w:lang w:val="uk-UA"/>
        </w:rPr>
        <w:tab/>
      </w:r>
      <w:r w:rsidR="00560DD2" w:rsidRPr="00FB54F8">
        <w:rPr>
          <w:rFonts w:ascii="Times New Roman" w:hAnsi="Times New Roman"/>
          <w:sz w:val="28"/>
          <w:szCs w:val="28"/>
          <w:lang w:val="uk-UA"/>
        </w:rPr>
        <w:tab/>
      </w:r>
      <w:r w:rsidR="00A32CB9" w:rsidRPr="00FB54F8">
        <w:rPr>
          <w:rFonts w:ascii="Times New Roman" w:hAnsi="Times New Roman"/>
          <w:sz w:val="28"/>
          <w:szCs w:val="28"/>
          <w:lang w:val="uk-UA"/>
        </w:rPr>
        <w:t xml:space="preserve">            </w:t>
      </w:r>
      <w:r w:rsidR="00593F2E" w:rsidRPr="00FB54F8">
        <w:rPr>
          <w:rFonts w:ascii="Times New Roman" w:hAnsi="Times New Roman"/>
          <w:sz w:val="28"/>
          <w:szCs w:val="28"/>
          <w:lang w:val="uk-UA"/>
        </w:rPr>
        <w:t xml:space="preserve">  </w:t>
      </w:r>
      <w:r w:rsidR="00655FE6">
        <w:rPr>
          <w:rFonts w:ascii="Times New Roman" w:hAnsi="Times New Roman"/>
          <w:sz w:val="28"/>
          <w:szCs w:val="28"/>
          <w:lang w:val="uk-UA"/>
        </w:rPr>
        <w:t xml:space="preserve">            </w:t>
      </w:r>
      <w:r w:rsidR="00560DD2" w:rsidRPr="00FB54F8">
        <w:rPr>
          <w:rFonts w:ascii="Times New Roman" w:hAnsi="Times New Roman"/>
          <w:sz w:val="28"/>
          <w:szCs w:val="28"/>
          <w:lang w:val="uk-UA"/>
        </w:rPr>
        <w:t>№</w:t>
      </w:r>
      <w:r w:rsidR="00196131" w:rsidRPr="00FB54F8">
        <w:rPr>
          <w:rFonts w:ascii="Times New Roman" w:hAnsi="Times New Roman"/>
          <w:sz w:val="28"/>
          <w:szCs w:val="28"/>
          <w:lang w:val="uk-UA"/>
        </w:rPr>
        <w:t xml:space="preserve"> </w:t>
      </w:r>
    </w:p>
    <w:p w:rsidR="00560DD2" w:rsidRPr="00FB54F8" w:rsidRDefault="008E5E64">
      <w:pPr>
        <w:pStyle w:val="HTMLPreformatted"/>
        <w:widowControl w:val="0"/>
        <w:rPr>
          <w:rFonts w:ascii="Times New Roman" w:hAnsi="Times New Roman"/>
          <w:sz w:val="28"/>
          <w:szCs w:val="28"/>
          <w:lang w:val="uk-UA"/>
        </w:rPr>
      </w:pPr>
      <w:r w:rsidRPr="00FB54F8">
        <w:rPr>
          <w:rFonts w:ascii="Times New Roman" w:hAnsi="Times New Roman"/>
          <w:b/>
          <w:noProof/>
          <w:sz w:val="28"/>
          <w:szCs w:val="28"/>
          <w:lang w:val="uk-UA" w:eastAsia="uk-UA"/>
        </w:rPr>
        <w:pict>
          <v:shapetype id="_x0000_t202" coordsize="21600,21600" o:spt="202" path="m,l,21600r21600,l21600,xe">
            <v:stroke joinstyle="miter"/>
            <v:path gradientshapeok="t" o:connecttype="rect"/>
          </v:shapetype>
          <v:shape id="_x0000_s1031" type="#_x0000_t202" style="position:absolute;margin-left:-18.25pt;margin-top:4.45pt;width:239.4pt;height:109.95pt;z-index:1" stroked="f">
            <v:textbox style="mso-next-textbox:#_x0000_s1031">
              <w:txbxContent>
                <w:p w:rsidR="00465BA6" w:rsidRPr="003F1475" w:rsidRDefault="00465BA6" w:rsidP="000A6A93">
                  <w:pPr>
                    <w:pStyle w:val="HTMLPreformatted"/>
                    <w:widowControl w:val="0"/>
                    <w:ind w:left="142"/>
                    <w:jc w:val="both"/>
                    <w:rPr>
                      <w:rFonts w:ascii="Times New Roman" w:hAnsi="Times New Roman"/>
                      <w:b/>
                      <w:color w:val="auto"/>
                      <w:sz w:val="28"/>
                      <w:szCs w:val="28"/>
                      <w:lang w:val="uk-UA"/>
                    </w:rPr>
                  </w:pPr>
                </w:p>
                <w:p w:rsidR="00465BA6" w:rsidRPr="0088761F" w:rsidRDefault="00465BA6" w:rsidP="008E37C9">
                  <w:pPr>
                    <w:spacing w:line="360" w:lineRule="auto"/>
                    <w:jc w:val="both"/>
                    <w:rPr>
                      <w:sz w:val="28"/>
                      <w:szCs w:val="28"/>
                    </w:rPr>
                  </w:pPr>
                  <w:r w:rsidRPr="0088761F">
                    <w:rPr>
                      <w:sz w:val="28"/>
                      <w:szCs w:val="28"/>
                    </w:rPr>
                    <w:t xml:space="preserve">Про </w:t>
                  </w:r>
                  <w:r w:rsidR="00DB14A3">
                    <w:rPr>
                      <w:sz w:val="28"/>
                      <w:szCs w:val="28"/>
                    </w:rPr>
                    <w:t>затвердження</w:t>
                  </w:r>
                  <w:r w:rsidR="008E4A59">
                    <w:rPr>
                      <w:sz w:val="28"/>
                      <w:szCs w:val="28"/>
                    </w:rPr>
                    <w:t xml:space="preserve"> </w:t>
                  </w:r>
                  <w:r w:rsidR="00DB14A3">
                    <w:rPr>
                      <w:sz w:val="28"/>
                      <w:szCs w:val="28"/>
                    </w:rPr>
                    <w:t>З</w:t>
                  </w:r>
                  <w:r w:rsidRPr="0088761F">
                    <w:rPr>
                      <w:sz w:val="28"/>
                      <w:szCs w:val="28"/>
                    </w:rPr>
                    <w:t xml:space="preserve">мін до </w:t>
                  </w:r>
                  <w:r w:rsidR="00E55BBC">
                    <w:rPr>
                      <w:sz w:val="28"/>
                      <w:szCs w:val="28"/>
                    </w:rPr>
                    <w:t>Системи довідників та класифікаторів Національної комісії з цінних паперів та фондового ринку</w:t>
                  </w:r>
                </w:p>
                <w:p w:rsidR="00465BA6" w:rsidRPr="000C6076" w:rsidRDefault="00465BA6" w:rsidP="000A6A93">
                  <w:pPr>
                    <w:ind w:left="142"/>
                    <w:jc w:val="both"/>
                  </w:pPr>
                </w:p>
              </w:txbxContent>
            </v:textbox>
          </v:shape>
        </w:pict>
      </w:r>
    </w:p>
    <w:p w:rsidR="00560DD2" w:rsidRPr="00FB54F8" w:rsidRDefault="00560D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8F3DA8" w:rsidRPr="00FB54F8" w:rsidRDefault="008F3DA8" w:rsidP="00902C57">
      <w:pPr>
        <w:pStyle w:val="HTMLPreformatted"/>
        <w:widowControl w:val="0"/>
        <w:ind w:firstLine="709"/>
        <w:jc w:val="both"/>
        <w:rPr>
          <w:rStyle w:val="HTMLTypewriter"/>
          <w:rFonts w:ascii="Times New Roman" w:hAnsi="Times New Roman"/>
          <w:sz w:val="28"/>
          <w:szCs w:val="28"/>
          <w:lang w:val="uk-UA"/>
        </w:rPr>
      </w:pPr>
    </w:p>
    <w:p w:rsidR="008F3DA8" w:rsidRPr="00FB54F8" w:rsidRDefault="008F3DA8" w:rsidP="00902C57">
      <w:pPr>
        <w:pStyle w:val="HTMLPreformatted"/>
        <w:widowControl w:val="0"/>
        <w:ind w:firstLine="709"/>
        <w:jc w:val="both"/>
        <w:rPr>
          <w:rStyle w:val="HTMLTypewriter"/>
          <w:rFonts w:ascii="Times New Roman" w:hAnsi="Times New Roman"/>
          <w:sz w:val="28"/>
          <w:szCs w:val="28"/>
          <w:lang w:val="uk-UA"/>
        </w:rPr>
      </w:pPr>
    </w:p>
    <w:p w:rsidR="008F3DA8" w:rsidRPr="00FB54F8" w:rsidRDefault="008F3DA8" w:rsidP="00902C57">
      <w:pPr>
        <w:pStyle w:val="HTMLPreformatted"/>
        <w:widowControl w:val="0"/>
        <w:ind w:firstLine="709"/>
        <w:jc w:val="both"/>
        <w:rPr>
          <w:rStyle w:val="HTMLTypewriter"/>
          <w:rFonts w:ascii="Times New Roman" w:hAnsi="Times New Roman"/>
          <w:sz w:val="28"/>
          <w:szCs w:val="28"/>
          <w:lang w:val="uk-UA"/>
        </w:rPr>
      </w:pPr>
    </w:p>
    <w:p w:rsidR="00131373" w:rsidRPr="00FB54F8" w:rsidRDefault="00131373" w:rsidP="001872B5">
      <w:pPr>
        <w:ind w:firstLine="709"/>
        <w:jc w:val="both"/>
        <w:rPr>
          <w:rStyle w:val="HTMLTypewriter"/>
          <w:sz w:val="28"/>
          <w:szCs w:val="28"/>
        </w:rPr>
      </w:pPr>
    </w:p>
    <w:p w:rsidR="00131373" w:rsidRPr="00FB54F8" w:rsidRDefault="00131373" w:rsidP="001872B5">
      <w:pPr>
        <w:ind w:firstLine="709"/>
        <w:jc w:val="both"/>
        <w:rPr>
          <w:rStyle w:val="HTMLTypewriter"/>
          <w:sz w:val="28"/>
          <w:szCs w:val="28"/>
        </w:rPr>
      </w:pPr>
    </w:p>
    <w:p w:rsidR="002A7F1F" w:rsidRDefault="002A7F1F" w:rsidP="00131373">
      <w:pPr>
        <w:ind w:firstLine="709"/>
        <w:jc w:val="both"/>
        <w:rPr>
          <w:sz w:val="28"/>
          <w:szCs w:val="28"/>
        </w:rPr>
      </w:pPr>
    </w:p>
    <w:p w:rsidR="00B5679A" w:rsidRDefault="00B5679A" w:rsidP="00131373">
      <w:pPr>
        <w:ind w:firstLine="709"/>
        <w:jc w:val="both"/>
        <w:rPr>
          <w:sz w:val="28"/>
          <w:szCs w:val="28"/>
        </w:rPr>
      </w:pPr>
    </w:p>
    <w:p w:rsidR="00B5679A" w:rsidRPr="00FB54F8" w:rsidRDefault="00B5679A" w:rsidP="00131373">
      <w:pPr>
        <w:ind w:firstLine="709"/>
        <w:jc w:val="both"/>
        <w:rPr>
          <w:sz w:val="28"/>
          <w:szCs w:val="28"/>
        </w:rPr>
      </w:pPr>
    </w:p>
    <w:p w:rsidR="00E613CF" w:rsidRDefault="00E613CF" w:rsidP="00326B98">
      <w:pPr>
        <w:ind w:firstLine="709"/>
        <w:jc w:val="both"/>
        <w:rPr>
          <w:sz w:val="28"/>
          <w:szCs w:val="28"/>
        </w:rPr>
      </w:pPr>
    </w:p>
    <w:p w:rsidR="00E613CF" w:rsidRDefault="00E613CF" w:rsidP="00326B98">
      <w:pPr>
        <w:ind w:firstLine="709"/>
        <w:jc w:val="both"/>
        <w:rPr>
          <w:sz w:val="28"/>
          <w:szCs w:val="28"/>
        </w:rPr>
      </w:pPr>
    </w:p>
    <w:p w:rsidR="00E97D4E" w:rsidRDefault="00E97D4E" w:rsidP="00326B98">
      <w:pPr>
        <w:ind w:firstLine="709"/>
        <w:jc w:val="both"/>
        <w:rPr>
          <w:sz w:val="28"/>
          <w:szCs w:val="28"/>
        </w:rPr>
      </w:pPr>
    </w:p>
    <w:p w:rsidR="00C02951" w:rsidRPr="000B0A6B" w:rsidRDefault="00C02951" w:rsidP="00C02951">
      <w:pPr>
        <w:tabs>
          <w:tab w:val="left" w:pos="3969"/>
          <w:tab w:val="left" w:pos="4536"/>
        </w:tabs>
        <w:ind w:firstLine="709"/>
        <w:jc w:val="both"/>
        <w:rPr>
          <w:sz w:val="28"/>
          <w:szCs w:val="28"/>
        </w:rPr>
      </w:pPr>
    </w:p>
    <w:p w:rsidR="00E97D4E" w:rsidRPr="000B0A6B" w:rsidRDefault="00E97D4E" w:rsidP="00326B98">
      <w:pPr>
        <w:ind w:firstLine="709"/>
        <w:jc w:val="both"/>
        <w:rPr>
          <w:sz w:val="28"/>
          <w:szCs w:val="28"/>
        </w:rPr>
      </w:pPr>
    </w:p>
    <w:p w:rsidR="00E97D4E" w:rsidRPr="000B0A6B" w:rsidRDefault="00E97D4E" w:rsidP="00326B98">
      <w:pPr>
        <w:ind w:firstLine="709"/>
        <w:jc w:val="both"/>
        <w:rPr>
          <w:sz w:val="28"/>
          <w:szCs w:val="28"/>
        </w:rPr>
      </w:pPr>
    </w:p>
    <w:p w:rsidR="00E97D4E" w:rsidRPr="000B0A6B" w:rsidRDefault="00E97D4E" w:rsidP="00326B98">
      <w:pPr>
        <w:ind w:firstLine="709"/>
        <w:jc w:val="both"/>
        <w:rPr>
          <w:sz w:val="28"/>
          <w:szCs w:val="28"/>
        </w:rPr>
      </w:pPr>
    </w:p>
    <w:p w:rsidR="0088761F" w:rsidRPr="00FB54F8" w:rsidRDefault="004363E5" w:rsidP="001F0B78">
      <w:pPr>
        <w:spacing w:line="360" w:lineRule="auto"/>
        <w:ind w:right="-85" w:firstLine="567"/>
        <w:jc w:val="both"/>
        <w:rPr>
          <w:sz w:val="28"/>
          <w:szCs w:val="28"/>
        </w:rPr>
      </w:pPr>
      <w:r w:rsidRPr="00FB54F8">
        <w:rPr>
          <w:sz w:val="28"/>
          <w:szCs w:val="28"/>
        </w:rPr>
        <w:t xml:space="preserve">Відповідно до </w:t>
      </w:r>
      <w:hyperlink r:id="rId8" w:tgtFrame="_blank" w:history="1">
        <w:r w:rsidRPr="00FB54F8">
          <w:rPr>
            <w:sz w:val="28"/>
            <w:szCs w:val="28"/>
          </w:rPr>
          <w:t>пункту 13</w:t>
        </w:r>
      </w:hyperlink>
      <w:r w:rsidR="0088761F">
        <w:rPr>
          <w:sz w:val="28"/>
          <w:szCs w:val="28"/>
        </w:rPr>
        <w:t xml:space="preserve"> статті 8 Закону України «</w:t>
      </w:r>
      <w:r w:rsidRPr="00FB54F8">
        <w:rPr>
          <w:sz w:val="28"/>
          <w:szCs w:val="28"/>
        </w:rPr>
        <w:t>Про державне регулювання</w:t>
      </w:r>
      <w:r w:rsidR="0088761F">
        <w:rPr>
          <w:sz w:val="28"/>
          <w:szCs w:val="28"/>
        </w:rPr>
        <w:t xml:space="preserve"> ринку цінних паперів в Україні</w:t>
      </w:r>
      <w:r w:rsidR="0088761F" w:rsidRPr="00071668">
        <w:rPr>
          <w:sz w:val="28"/>
          <w:szCs w:val="28"/>
        </w:rPr>
        <w:t>»</w:t>
      </w:r>
      <w:r w:rsidRPr="00FB54F8">
        <w:rPr>
          <w:sz w:val="28"/>
          <w:szCs w:val="28"/>
        </w:rPr>
        <w:t xml:space="preserve">, </w:t>
      </w:r>
      <w:r w:rsidR="000B0A6B">
        <w:rPr>
          <w:sz w:val="28"/>
          <w:szCs w:val="28"/>
        </w:rPr>
        <w:t xml:space="preserve">Закону України від </w:t>
      </w:r>
      <w:r w:rsidR="00EC5473">
        <w:rPr>
          <w:sz w:val="28"/>
          <w:szCs w:val="28"/>
        </w:rPr>
        <w:t>15</w:t>
      </w:r>
      <w:r w:rsidR="000B0A6B">
        <w:rPr>
          <w:sz w:val="28"/>
          <w:szCs w:val="28"/>
        </w:rPr>
        <w:t xml:space="preserve"> </w:t>
      </w:r>
      <w:r w:rsidR="00EC5473">
        <w:rPr>
          <w:sz w:val="28"/>
          <w:szCs w:val="28"/>
        </w:rPr>
        <w:t>травня 2018</w:t>
      </w:r>
      <w:r w:rsidR="000B0A6B">
        <w:rPr>
          <w:sz w:val="28"/>
          <w:szCs w:val="28"/>
        </w:rPr>
        <w:t xml:space="preserve"> року № </w:t>
      </w:r>
      <w:r w:rsidR="00744543">
        <w:rPr>
          <w:sz w:val="28"/>
          <w:szCs w:val="28"/>
        </w:rPr>
        <w:t>2</w:t>
      </w:r>
      <w:r w:rsidR="00EC5473">
        <w:rPr>
          <w:sz w:val="28"/>
          <w:szCs w:val="28"/>
        </w:rPr>
        <w:t>418</w:t>
      </w:r>
      <w:r w:rsidR="000B0A6B">
        <w:rPr>
          <w:sz w:val="28"/>
          <w:szCs w:val="28"/>
        </w:rPr>
        <w:t>-VIII «</w:t>
      </w:r>
      <w:r w:rsidR="000B0A6B" w:rsidRPr="000B0A6B">
        <w:rPr>
          <w:sz w:val="28"/>
          <w:szCs w:val="28"/>
        </w:rPr>
        <w:t xml:space="preserve">Про внесення змін до деяких законодавчих актів України щодо </w:t>
      </w:r>
      <w:r w:rsidR="00EC5473">
        <w:rPr>
          <w:sz w:val="28"/>
          <w:szCs w:val="28"/>
        </w:rPr>
        <w:t>сприяння залученню іноземних інвестицій</w:t>
      </w:r>
      <w:r w:rsidR="000B0A6B">
        <w:rPr>
          <w:sz w:val="28"/>
          <w:szCs w:val="28"/>
        </w:rPr>
        <w:t>»</w:t>
      </w:r>
      <w:r w:rsidR="001F0B78">
        <w:rPr>
          <w:sz w:val="28"/>
          <w:szCs w:val="28"/>
        </w:rPr>
        <w:t>,</w:t>
      </w:r>
      <w:r w:rsidR="00BA1EFA" w:rsidRPr="00BA1EFA">
        <w:rPr>
          <w:sz w:val="28"/>
          <w:szCs w:val="28"/>
        </w:rPr>
        <w:t xml:space="preserve"> рішення Національної комісії з цінних паперів та фондового ринку від 0</w:t>
      </w:r>
      <w:r w:rsidR="00BA1EFA">
        <w:rPr>
          <w:sz w:val="28"/>
          <w:szCs w:val="28"/>
        </w:rPr>
        <w:t xml:space="preserve">3 серпня 2018 року «Про затвердження Змін до Положення про функціонування фондових бірж», зареєстрованого в Міністерстві юстиції України 31 серпня 2018 року за № 992/32444, </w:t>
      </w:r>
      <w:r w:rsidR="00C818AE">
        <w:rPr>
          <w:sz w:val="28"/>
          <w:szCs w:val="28"/>
        </w:rPr>
        <w:t xml:space="preserve">рішення Національної комісії з цінних паперів та фондового ринку від 08 квітня 2014 року № 431 «Про затвердження Положення про припинення депозитарною установою провадження професійної діяльності на фондовому ринку – депозитарної діяльності», зареєстрованого в Міністерстві юстиції </w:t>
      </w:r>
      <w:r w:rsidR="00C818AE">
        <w:rPr>
          <w:sz w:val="28"/>
          <w:szCs w:val="28"/>
        </w:rPr>
        <w:lastRenderedPageBreak/>
        <w:t>України</w:t>
      </w:r>
      <w:r w:rsidR="00E613CF">
        <w:rPr>
          <w:sz w:val="28"/>
          <w:szCs w:val="28"/>
        </w:rPr>
        <w:t xml:space="preserve"> 28 квітня 2014 року за № 459/25236 (з</w:t>
      </w:r>
      <w:r w:rsidR="00C13177">
        <w:rPr>
          <w:sz w:val="28"/>
          <w:szCs w:val="28"/>
        </w:rPr>
        <w:t>і</w:t>
      </w:r>
      <w:r w:rsidR="00E613CF">
        <w:rPr>
          <w:sz w:val="28"/>
          <w:szCs w:val="28"/>
        </w:rPr>
        <w:t xml:space="preserve"> змінами),</w:t>
      </w:r>
      <w:r w:rsidR="000B0A6B">
        <w:rPr>
          <w:sz w:val="28"/>
          <w:szCs w:val="28"/>
        </w:rPr>
        <w:t xml:space="preserve"> </w:t>
      </w:r>
      <w:r w:rsidR="004D32BF">
        <w:rPr>
          <w:sz w:val="28"/>
          <w:szCs w:val="28"/>
        </w:rPr>
        <w:t>рішення Національної комісії з цінних паперів та фондового ринку «Про затвердження Положення про розкриття інформації емітентами цінних паперів», зареєстрованого в Міністерстві юстиції</w:t>
      </w:r>
      <w:r w:rsidR="006359D6">
        <w:rPr>
          <w:sz w:val="28"/>
          <w:szCs w:val="28"/>
        </w:rPr>
        <w:t xml:space="preserve"> України 24 грудня 2013 року за № 2180/24712 (із змінами),</w:t>
      </w:r>
      <w:r w:rsidR="004D32BF">
        <w:rPr>
          <w:sz w:val="28"/>
          <w:szCs w:val="28"/>
        </w:rPr>
        <w:t xml:space="preserve"> </w:t>
      </w:r>
      <w:r w:rsidRPr="00FB54F8">
        <w:rPr>
          <w:sz w:val="28"/>
          <w:szCs w:val="28"/>
        </w:rPr>
        <w:t>з метою забезпечення ефективного функціонування інформаційної системи Національної комісії з цінних паперів та фондового ринку</w:t>
      </w:r>
      <w:r w:rsidR="00655FE6">
        <w:rPr>
          <w:sz w:val="28"/>
          <w:szCs w:val="28"/>
        </w:rPr>
        <w:t>,</w:t>
      </w:r>
      <w:r w:rsidRPr="00FB54F8">
        <w:rPr>
          <w:sz w:val="28"/>
          <w:szCs w:val="28"/>
        </w:rPr>
        <w:t xml:space="preserve"> </w:t>
      </w:r>
    </w:p>
    <w:p w:rsidR="001C6872" w:rsidRPr="00FB54F8" w:rsidRDefault="001C6872" w:rsidP="008E37C9">
      <w:pPr>
        <w:spacing w:line="360" w:lineRule="auto"/>
        <w:ind w:firstLine="720"/>
        <w:jc w:val="center"/>
        <w:rPr>
          <w:sz w:val="28"/>
          <w:szCs w:val="28"/>
        </w:rPr>
      </w:pPr>
      <w:r w:rsidRPr="00FB54F8">
        <w:rPr>
          <w:sz w:val="28"/>
          <w:szCs w:val="28"/>
        </w:rPr>
        <w:t>Національна комісія з цінних паперів та фондового ринку</w:t>
      </w:r>
    </w:p>
    <w:p w:rsidR="0063397D" w:rsidRPr="00FB54F8" w:rsidRDefault="0063397D" w:rsidP="008E37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142" w:firstLine="142"/>
        <w:jc w:val="center"/>
        <w:rPr>
          <w:rStyle w:val="HTMLTypewriter"/>
          <w:rFonts w:ascii="Times New Roman" w:hAnsi="Times New Roman"/>
          <w:b/>
          <w:noProof/>
          <w:color w:val="auto"/>
          <w:sz w:val="28"/>
          <w:szCs w:val="28"/>
          <w:lang w:val="uk-UA"/>
        </w:rPr>
      </w:pPr>
    </w:p>
    <w:p w:rsidR="00131373" w:rsidRPr="00FB54F8" w:rsidRDefault="00560DD2" w:rsidP="008E37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142" w:firstLine="142"/>
        <w:jc w:val="center"/>
        <w:rPr>
          <w:rStyle w:val="HTMLTypewriter"/>
          <w:rFonts w:ascii="Times New Roman" w:hAnsi="Times New Roman"/>
          <w:b/>
          <w:noProof/>
          <w:color w:val="auto"/>
          <w:sz w:val="28"/>
          <w:szCs w:val="28"/>
          <w:lang w:val="uk-UA"/>
        </w:rPr>
      </w:pPr>
      <w:r w:rsidRPr="00FB54F8">
        <w:rPr>
          <w:rStyle w:val="HTMLTypewriter"/>
          <w:rFonts w:ascii="Times New Roman" w:hAnsi="Times New Roman"/>
          <w:b/>
          <w:noProof/>
          <w:color w:val="auto"/>
          <w:sz w:val="28"/>
          <w:szCs w:val="28"/>
          <w:lang w:val="uk-UA"/>
        </w:rPr>
        <w:t>В</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И</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Р</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І</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Ш</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И</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Л</w:t>
      </w:r>
      <w:r w:rsidR="006E73E9" w:rsidRPr="00FB54F8">
        <w:rPr>
          <w:rStyle w:val="HTMLTypewriter"/>
          <w:rFonts w:ascii="Times New Roman" w:hAnsi="Times New Roman"/>
          <w:b/>
          <w:noProof/>
          <w:color w:val="auto"/>
          <w:sz w:val="28"/>
          <w:szCs w:val="28"/>
          <w:lang w:val="uk-UA"/>
        </w:rPr>
        <w:t xml:space="preserve"> </w:t>
      </w:r>
      <w:r w:rsidRPr="00FB54F8">
        <w:rPr>
          <w:rStyle w:val="HTMLTypewriter"/>
          <w:rFonts w:ascii="Times New Roman" w:hAnsi="Times New Roman"/>
          <w:b/>
          <w:noProof/>
          <w:color w:val="auto"/>
          <w:sz w:val="28"/>
          <w:szCs w:val="28"/>
          <w:lang w:val="uk-UA"/>
        </w:rPr>
        <w:t>А:</w:t>
      </w:r>
    </w:p>
    <w:p w:rsidR="000D4337" w:rsidRDefault="000D4337" w:rsidP="001313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E613CF" w:rsidRPr="00FB54F8" w:rsidRDefault="00E613CF" w:rsidP="001313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noProof/>
          <w:color w:val="auto"/>
          <w:sz w:val="28"/>
          <w:szCs w:val="28"/>
          <w:lang w:val="uk-UA"/>
        </w:rPr>
      </w:pPr>
    </w:p>
    <w:p w:rsidR="000C1C27" w:rsidRDefault="004363E5" w:rsidP="00E22F95">
      <w:pPr>
        <w:numPr>
          <w:ilvl w:val="0"/>
          <w:numId w:val="2"/>
        </w:numPr>
        <w:tabs>
          <w:tab w:val="left" w:pos="1134"/>
        </w:tabs>
        <w:spacing w:line="360" w:lineRule="auto"/>
        <w:ind w:left="0" w:firstLine="567"/>
        <w:jc w:val="both"/>
        <w:rPr>
          <w:sz w:val="28"/>
          <w:szCs w:val="28"/>
        </w:rPr>
      </w:pPr>
      <w:r w:rsidRPr="00FB54F8">
        <w:rPr>
          <w:sz w:val="28"/>
          <w:szCs w:val="28"/>
        </w:rPr>
        <w:t xml:space="preserve">Затвердити Зміни до </w:t>
      </w:r>
      <w:hyperlink r:id="rId9" w:anchor="n18" w:tgtFrame="_blank" w:history="1">
        <w:r w:rsidRPr="00FB54F8">
          <w:rPr>
            <w:sz w:val="28"/>
            <w:szCs w:val="28"/>
          </w:rPr>
          <w:t>Системи довідників та класифікаторів Національної комісії з цінних паперів та фондового ринку</w:t>
        </w:r>
      </w:hyperlink>
      <w:r w:rsidRPr="00FB54F8">
        <w:rPr>
          <w:sz w:val="28"/>
          <w:szCs w:val="28"/>
        </w:rPr>
        <w:t xml:space="preserve">, затвердженої рішенням Національної комісії з цінних паперів та фондового ринку </w:t>
      </w:r>
      <w:r w:rsidR="00FC17FE">
        <w:rPr>
          <w:sz w:val="28"/>
          <w:szCs w:val="28"/>
        </w:rPr>
        <w:t xml:space="preserve">                </w:t>
      </w:r>
      <w:r w:rsidRPr="00FB54F8">
        <w:rPr>
          <w:sz w:val="28"/>
          <w:szCs w:val="28"/>
        </w:rPr>
        <w:t>від 08</w:t>
      </w:r>
      <w:r w:rsidR="009372A8">
        <w:rPr>
          <w:sz w:val="28"/>
          <w:szCs w:val="28"/>
        </w:rPr>
        <w:t xml:space="preserve"> </w:t>
      </w:r>
      <w:r w:rsidRPr="00FB54F8">
        <w:rPr>
          <w:sz w:val="28"/>
          <w:szCs w:val="28"/>
        </w:rPr>
        <w:t>травня 2012 року № 646, зареєстрованої</w:t>
      </w:r>
      <w:r w:rsidR="0088761F">
        <w:rPr>
          <w:sz w:val="28"/>
          <w:szCs w:val="28"/>
        </w:rPr>
        <w:t xml:space="preserve"> </w:t>
      </w:r>
      <w:r w:rsidRPr="00FB54F8">
        <w:rPr>
          <w:sz w:val="28"/>
          <w:szCs w:val="28"/>
        </w:rPr>
        <w:t>у Міністерстві юстиції України 25 травня 2012 року за № 831/21143 (з</w:t>
      </w:r>
      <w:r w:rsidR="004B67B3">
        <w:rPr>
          <w:sz w:val="28"/>
          <w:szCs w:val="28"/>
        </w:rPr>
        <w:t>і</w:t>
      </w:r>
      <w:r w:rsidRPr="00FB54F8">
        <w:rPr>
          <w:sz w:val="28"/>
          <w:szCs w:val="28"/>
        </w:rPr>
        <w:t xml:space="preserve"> змінами), що дода</w:t>
      </w:r>
      <w:r w:rsidR="008707FE" w:rsidRPr="00FB54F8">
        <w:rPr>
          <w:sz w:val="28"/>
          <w:szCs w:val="28"/>
        </w:rPr>
        <w:t>ю</w:t>
      </w:r>
      <w:r w:rsidRPr="00FB54F8">
        <w:rPr>
          <w:sz w:val="28"/>
          <w:szCs w:val="28"/>
        </w:rPr>
        <w:t>ться.</w:t>
      </w:r>
    </w:p>
    <w:p w:rsidR="0088761F" w:rsidRPr="00FB54F8" w:rsidRDefault="0088761F" w:rsidP="0088761F">
      <w:pPr>
        <w:tabs>
          <w:tab w:val="left" w:pos="1134"/>
        </w:tabs>
        <w:ind w:left="1707"/>
        <w:jc w:val="both"/>
        <w:rPr>
          <w:sz w:val="28"/>
          <w:szCs w:val="28"/>
        </w:rPr>
      </w:pPr>
    </w:p>
    <w:p w:rsidR="000D4D94" w:rsidRDefault="008707FE" w:rsidP="00E22F95">
      <w:pPr>
        <w:numPr>
          <w:ilvl w:val="0"/>
          <w:numId w:val="2"/>
        </w:numPr>
        <w:tabs>
          <w:tab w:val="left" w:pos="1134"/>
        </w:tabs>
        <w:spacing w:line="360" w:lineRule="auto"/>
        <w:ind w:left="0" w:firstLine="567"/>
        <w:jc w:val="both"/>
        <w:rPr>
          <w:sz w:val="28"/>
          <w:szCs w:val="28"/>
        </w:rPr>
      </w:pPr>
      <w:r w:rsidRPr="00FB54F8">
        <w:rPr>
          <w:sz w:val="28"/>
          <w:szCs w:val="28"/>
        </w:rPr>
        <w:t>Департаме</w:t>
      </w:r>
      <w:r w:rsidR="00FC17FE">
        <w:rPr>
          <w:sz w:val="28"/>
          <w:szCs w:val="28"/>
        </w:rPr>
        <w:t>нту інформаційних технологій (</w:t>
      </w:r>
      <w:r w:rsidRPr="00FB54F8">
        <w:rPr>
          <w:sz w:val="28"/>
          <w:szCs w:val="28"/>
        </w:rPr>
        <w:t>Фоменко</w:t>
      </w:r>
      <w:r w:rsidR="00A75FCD">
        <w:rPr>
          <w:sz w:val="28"/>
          <w:szCs w:val="28"/>
        </w:rPr>
        <w:t xml:space="preserve"> Є.</w:t>
      </w:r>
      <w:r w:rsidRPr="00FB54F8">
        <w:rPr>
          <w:sz w:val="28"/>
          <w:szCs w:val="28"/>
        </w:rPr>
        <w:t>) забезпечити</w:t>
      </w:r>
      <w:r w:rsidR="000D4D94" w:rsidRPr="00FB54F8">
        <w:rPr>
          <w:sz w:val="28"/>
          <w:szCs w:val="28"/>
        </w:rPr>
        <w:t>:</w:t>
      </w:r>
    </w:p>
    <w:p w:rsidR="0088761F" w:rsidRDefault="0088761F" w:rsidP="008E37C9">
      <w:pPr>
        <w:pStyle w:val="af4"/>
        <w:spacing w:line="360" w:lineRule="auto"/>
        <w:rPr>
          <w:sz w:val="28"/>
          <w:szCs w:val="28"/>
        </w:rPr>
      </w:pPr>
    </w:p>
    <w:p w:rsidR="000D4D94" w:rsidRDefault="000D4D94" w:rsidP="008E37C9">
      <w:pPr>
        <w:tabs>
          <w:tab w:val="left" w:pos="1134"/>
        </w:tabs>
        <w:spacing w:line="360" w:lineRule="auto"/>
        <w:ind w:firstLine="567"/>
        <w:jc w:val="both"/>
        <w:rPr>
          <w:sz w:val="28"/>
          <w:szCs w:val="28"/>
        </w:rPr>
      </w:pPr>
      <w:r w:rsidRPr="00FB54F8">
        <w:rPr>
          <w:sz w:val="28"/>
          <w:szCs w:val="28"/>
        </w:rPr>
        <w:t>подання цього рішення для здійснення експертизи на відповідність Конвенції про захист прав людини та основоположних свобод до Секретаріату Урядового уповноваженого у справах Європейського</w:t>
      </w:r>
      <w:r w:rsidR="00A32155" w:rsidRPr="00FB54F8">
        <w:rPr>
          <w:sz w:val="28"/>
          <w:szCs w:val="28"/>
        </w:rPr>
        <w:t xml:space="preserve"> суду з прав людини Міністерства юстиції України;</w:t>
      </w:r>
    </w:p>
    <w:p w:rsidR="0088761F" w:rsidRPr="00FB54F8" w:rsidRDefault="0088761F" w:rsidP="008E37C9">
      <w:pPr>
        <w:tabs>
          <w:tab w:val="left" w:pos="1134"/>
        </w:tabs>
        <w:spacing w:line="360" w:lineRule="auto"/>
        <w:ind w:firstLine="567"/>
        <w:jc w:val="both"/>
        <w:rPr>
          <w:sz w:val="28"/>
          <w:szCs w:val="28"/>
        </w:rPr>
      </w:pPr>
    </w:p>
    <w:p w:rsidR="00A32155" w:rsidRDefault="00A32155" w:rsidP="008E37C9">
      <w:pPr>
        <w:tabs>
          <w:tab w:val="left" w:pos="1134"/>
        </w:tabs>
        <w:spacing w:line="360" w:lineRule="auto"/>
        <w:ind w:firstLine="567"/>
        <w:jc w:val="both"/>
        <w:rPr>
          <w:sz w:val="28"/>
          <w:szCs w:val="28"/>
        </w:rPr>
      </w:pPr>
      <w:r w:rsidRPr="00FB54F8">
        <w:rPr>
          <w:sz w:val="28"/>
          <w:szCs w:val="28"/>
        </w:rPr>
        <w:t>подання цього рішення на державну реєстрацію до Міністерства юстиції України;</w:t>
      </w:r>
    </w:p>
    <w:p w:rsidR="0088761F" w:rsidRPr="00FB54F8" w:rsidRDefault="0088761F" w:rsidP="008E37C9">
      <w:pPr>
        <w:tabs>
          <w:tab w:val="left" w:pos="1134"/>
        </w:tabs>
        <w:spacing w:line="360" w:lineRule="auto"/>
        <w:ind w:firstLine="567"/>
        <w:jc w:val="both"/>
        <w:rPr>
          <w:sz w:val="28"/>
          <w:szCs w:val="28"/>
        </w:rPr>
      </w:pPr>
    </w:p>
    <w:p w:rsidR="008707FE" w:rsidRPr="00FB54F8" w:rsidRDefault="008707FE" w:rsidP="008E37C9">
      <w:pPr>
        <w:tabs>
          <w:tab w:val="left" w:pos="1134"/>
        </w:tabs>
        <w:spacing w:line="360" w:lineRule="auto"/>
        <w:ind w:firstLine="567"/>
        <w:jc w:val="both"/>
        <w:rPr>
          <w:sz w:val="28"/>
          <w:szCs w:val="28"/>
        </w:rPr>
      </w:pPr>
      <w:r w:rsidRPr="00FB54F8">
        <w:rPr>
          <w:sz w:val="28"/>
          <w:szCs w:val="28"/>
        </w:rPr>
        <w:t xml:space="preserve">оприлюднення цього </w:t>
      </w:r>
      <w:r w:rsidR="00975496">
        <w:rPr>
          <w:sz w:val="28"/>
          <w:szCs w:val="28"/>
        </w:rPr>
        <w:t>рішення</w:t>
      </w:r>
      <w:r w:rsidRPr="00FB54F8">
        <w:rPr>
          <w:sz w:val="28"/>
          <w:szCs w:val="28"/>
        </w:rPr>
        <w:t xml:space="preserve"> на офіційному веб-сайті Національної комісії з цінних паперів та фондового ринку.</w:t>
      </w:r>
    </w:p>
    <w:p w:rsidR="008707FE" w:rsidRPr="00FB54F8" w:rsidRDefault="008707FE" w:rsidP="008E37C9">
      <w:pPr>
        <w:tabs>
          <w:tab w:val="left" w:pos="1134"/>
        </w:tabs>
        <w:spacing w:line="360" w:lineRule="auto"/>
        <w:ind w:firstLine="567"/>
        <w:jc w:val="both"/>
        <w:rPr>
          <w:sz w:val="28"/>
          <w:szCs w:val="28"/>
        </w:rPr>
      </w:pPr>
    </w:p>
    <w:p w:rsidR="00E378E7" w:rsidRDefault="00E378E7" w:rsidP="00E22F95">
      <w:pPr>
        <w:numPr>
          <w:ilvl w:val="0"/>
          <w:numId w:val="2"/>
        </w:numPr>
        <w:tabs>
          <w:tab w:val="left" w:pos="1134"/>
        </w:tabs>
        <w:spacing w:line="360" w:lineRule="auto"/>
        <w:ind w:left="0" w:firstLine="567"/>
        <w:jc w:val="both"/>
        <w:rPr>
          <w:sz w:val="28"/>
          <w:szCs w:val="28"/>
        </w:rPr>
      </w:pPr>
      <w:r w:rsidRPr="00FB54F8">
        <w:rPr>
          <w:sz w:val="28"/>
          <w:szCs w:val="28"/>
        </w:rPr>
        <w:t xml:space="preserve">Це рішення набирає чинності </w:t>
      </w:r>
      <w:r w:rsidR="00D12562">
        <w:rPr>
          <w:sz w:val="28"/>
          <w:szCs w:val="28"/>
        </w:rPr>
        <w:t xml:space="preserve">через десять робочих днів </w:t>
      </w:r>
      <w:r w:rsidRPr="00FB54F8">
        <w:rPr>
          <w:sz w:val="28"/>
          <w:szCs w:val="28"/>
        </w:rPr>
        <w:t xml:space="preserve">з </w:t>
      </w:r>
      <w:r w:rsidR="000C471B" w:rsidRPr="00FB54F8">
        <w:rPr>
          <w:sz w:val="28"/>
          <w:szCs w:val="28"/>
        </w:rPr>
        <w:t>дня</w:t>
      </w:r>
      <w:r w:rsidR="006E5C25">
        <w:rPr>
          <w:sz w:val="28"/>
          <w:szCs w:val="28"/>
        </w:rPr>
        <w:t xml:space="preserve"> його</w:t>
      </w:r>
      <w:r w:rsidR="000C471B" w:rsidRPr="00FB54F8">
        <w:rPr>
          <w:sz w:val="28"/>
          <w:szCs w:val="28"/>
        </w:rPr>
        <w:t xml:space="preserve"> офіційного опублікування.</w:t>
      </w:r>
    </w:p>
    <w:p w:rsidR="00B63BF6" w:rsidRPr="00FB54F8" w:rsidRDefault="001512A1" w:rsidP="00E22F95">
      <w:pPr>
        <w:numPr>
          <w:ilvl w:val="0"/>
          <w:numId w:val="2"/>
        </w:numPr>
        <w:tabs>
          <w:tab w:val="left" w:pos="1134"/>
        </w:tabs>
        <w:spacing w:line="360" w:lineRule="auto"/>
        <w:ind w:left="0" w:firstLine="567"/>
        <w:jc w:val="both"/>
        <w:rPr>
          <w:sz w:val="28"/>
          <w:szCs w:val="28"/>
        </w:rPr>
      </w:pPr>
      <w:r w:rsidRPr="00FB54F8">
        <w:rPr>
          <w:sz w:val="28"/>
          <w:szCs w:val="28"/>
        </w:rPr>
        <w:lastRenderedPageBreak/>
        <w:t xml:space="preserve">Контроль за виконанням цього рішення покласти на члена Національної комісії з цінних паперів </w:t>
      </w:r>
      <w:r w:rsidR="00B4207F">
        <w:rPr>
          <w:sz w:val="28"/>
          <w:szCs w:val="28"/>
        </w:rPr>
        <w:t xml:space="preserve">та фондового ринку </w:t>
      </w:r>
      <w:r w:rsidR="00B702D1" w:rsidRPr="00FB54F8">
        <w:rPr>
          <w:sz w:val="28"/>
          <w:szCs w:val="28"/>
        </w:rPr>
        <w:t>Панченка</w:t>
      </w:r>
      <w:r w:rsidR="00B4207F">
        <w:rPr>
          <w:sz w:val="28"/>
          <w:szCs w:val="28"/>
        </w:rPr>
        <w:t xml:space="preserve"> О</w:t>
      </w:r>
      <w:r w:rsidRPr="00FB54F8">
        <w:rPr>
          <w:sz w:val="28"/>
          <w:szCs w:val="28"/>
        </w:rPr>
        <w:t>.</w:t>
      </w:r>
    </w:p>
    <w:p w:rsidR="00560DD2" w:rsidRPr="00FB54F8" w:rsidRDefault="00560DD2" w:rsidP="00082AB6">
      <w:pPr>
        <w:pStyle w:val="3"/>
        <w:ind w:firstLine="567"/>
        <w:rPr>
          <w:noProof/>
          <w:szCs w:val="28"/>
          <w:lang w:val="uk-UA"/>
        </w:rPr>
      </w:pPr>
    </w:p>
    <w:p w:rsidR="00560DD2" w:rsidRPr="00FB54F8" w:rsidRDefault="00560DD2" w:rsidP="00082AB6">
      <w:pPr>
        <w:ind w:firstLine="567"/>
        <w:rPr>
          <w:noProof/>
          <w:sz w:val="28"/>
          <w:szCs w:val="28"/>
        </w:rPr>
      </w:pPr>
    </w:p>
    <w:p w:rsidR="00560DD2" w:rsidRPr="00FB54F8" w:rsidRDefault="00560DD2">
      <w:pPr>
        <w:rPr>
          <w:noProof/>
          <w:sz w:val="28"/>
          <w:szCs w:val="28"/>
        </w:rPr>
      </w:pPr>
    </w:p>
    <w:p w:rsidR="001512A1" w:rsidRPr="00FB54F8" w:rsidRDefault="001512A1" w:rsidP="001512A1">
      <w:pPr>
        <w:pStyle w:val="3"/>
        <w:keepNext w:val="0"/>
        <w:ind w:firstLine="709"/>
        <w:rPr>
          <w:szCs w:val="28"/>
          <w:lang w:val="uk-UA"/>
        </w:rPr>
      </w:pPr>
      <w:r w:rsidRPr="00FB54F8">
        <w:rPr>
          <w:noProof/>
          <w:szCs w:val="28"/>
          <w:lang w:val="uk-UA"/>
        </w:rPr>
        <w:t>Голова Комісії</w:t>
      </w:r>
      <w:r w:rsidRPr="00FB54F8">
        <w:rPr>
          <w:noProof/>
          <w:szCs w:val="28"/>
          <w:lang w:val="uk-UA"/>
        </w:rPr>
        <w:tab/>
      </w:r>
      <w:r w:rsidRPr="00FB54F8">
        <w:rPr>
          <w:noProof/>
          <w:szCs w:val="28"/>
          <w:lang w:val="uk-UA"/>
        </w:rPr>
        <w:tab/>
      </w:r>
      <w:r w:rsidRPr="00FB54F8">
        <w:rPr>
          <w:noProof/>
          <w:szCs w:val="28"/>
          <w:lang w:val="uk-UA"/>
        </w:rPr>
        <w:tab/>
        <w:t xml:space="preserve">                      </w:t>
      </w:r>
      <w:r w:rsidRPr="00FB54F8">
        <w:rPr>
          <w:noProof/>
          <w:szCs w:val="28"/>
          <w:lang w:val="uk-UA"/>
        </w:rPr>
        <w:tab/>
        <w:t xml:space="preserve">         </w:t>
      </w:r>
      <w:r w:rsidR="00E378E7" w:rsidRPr="00FB54F8">
        <w:rPr>
          <w:noProof/>
          <w:szCs w:val="28"/>
          <w:lang w:val="uk-UA"/>
        </w:rPr>
        <w:tab/>
      </w:r>
      <w:r w:rsidR="00E378E7" w:rsidRPr="00FB54F8">
        <w:rPr>
          <w:noProof/>
          <w:szCs w:val="28"/>
          <w:lang w:val="uk-UA"/>
        </w:rPr>
        <w:tab/>
      </w:r>
      <w:r w:rsidRPr="00FB54F8">
        <w:rPr>
          <w:noProof/>
          <w:szCs w:val="28"/>
          <w:lang w:val="uk-UA"/>
        </w:rPr>
        <w:t xml:space="preserve">   Т. Хромаєв</w:t>
      </w:r>
    </w:p>
    <w:p w:rsidR="00560DD2" w:rsidRPr="00FB54F8" w:rsidRDefault="00560DD2">
      <w:pPr>
        <w:rPr>
          <w:sz w:val="28"/>
          <w:szCs w:val="28"/>
        </w:rPr>
      </w:pPr>
    </w:p>
    <w:p w:rsidR="00560DD2" w:rsidRPr="00441BCE" w:rsidRDefault="00560DD2"/>
    <w:p w:rsidR="00B02F7E" w:rsidRPr="00441BCE" w:rsidRDefault="00B02F7E"/>
    <w:p w:rsidR="00B02F7E" w:rsidRPr="00441BCE" w:rsidRDefault="00B02F7E"/>
    <w:p w:rsidR="00560DD2" w:rsidRPr="00441BCE" w:rsidRDefault="00560DD2" w:rsidP="00A32CB9">
      <w:pPr>
        <w:pStyle w:val="5"/>
        <w:ind w:left="6249" w:firstLine="231"/>
        <w:rPr>
          <w:noProof/>
          <w:szCs w:val="24"/>
          <w:lang w:val="uk-UA"/>
        </w:rPr>
      </w:pPr>
      <w:r w:rsidRPr="00441BCE">
        <w:rPr>
          <w:noProof/>
          <w:szCs w:val="24"/>
          <w:lang w:val="uk-UA"/>
        </w:rPr>
        <w:t>Протокол засідання Комісії</w:t>
      </w:r>
    </w:p>
    <w:p w:rsidR="009A4336" w:rsidRDefault="0050459F" w:rsidP="00CC4BD3">
      <w:pPr>
        <w:ind w:left="6006" w:firstLine="474"/>
        <w:rPr>
          <w:noProof/>
          <w:sz w:val="24"/>
          <w:szCs w:val="24"/>
        </w:rPr>
        <w:sectPr w:rsidR="009A4336" w:rsidSect="00B86506">
          <w:headerReference w:type="default" r:id="rId10"/>
          <w:pgSz w:w="11906" w:h="16838"/>
          <w:pgMar w:top="851" w:right="851" w:bottom="851" w:left="851" w:header="284" w:footer="284" w:gutter="567"/>
          <w:pgNumType w:start="1"/>
          <w:cols w:space="708"/>
          <w:titlePg/>
          <w:docGrid w:linePitch="360"/>
        </w:sectPr>
      </w:pPr>
      <w:r w:rsidRPr="00441BCE">
        <w:rPr>
          <w:noProof/>
          <w:sz w:val="24"/>
          <w:szCs w:val="24"/>
        </w:rPr>
        <w:t>в</w:t>
      </w:r>
      <w:r w:rsidR="00F0289D" w:rsidRPr="00441BCE">
        <w:rPr>
          <w:noProof/>
          <w:sz w:val="24"/>
          <w:szCs w:val="24"/>
        </w:rPr>
        <w:t>ід</w:t>
      </w:r>
      <w:r w:rsidRPr="00441BCE">
        <w:rPr>
          <w:noProof/>
          <w:sz w:val="24"/>
          <w:szCs w:val="24"/>
        </w:rPr>
        <w:t xml:space="preserve"> </w:t>
      </w:r>
      <w:r w:rsidR="009372A8">
        <w:rPr>
          <w:noProof/>
          <w:sz w:val="24"/>
          <w:szCs w:val="24"/>
        </w:rPr>
        <w:t xml:space="preserve">      .     </w:t>
      </w:r>
      <w:r w:rsidR="00381941">
        <w:rPr>
          <w:noProof/>
          <w:sz w:val="24"/>
          <w:szCs w:val="24"/>
        </w:rPr>
        <w:t>.</w:t>
      </w:r>
      <w:r w:rsidR="004C2E4F" w:rsidRPr="00441BCE">
        <w:rPr>
          <w:noProof/>
          <w:sz w:val="24"/>
          <w:szCs w:val="24"/>
        </w:rPr>
        <w:t>201</w:t>
      </w:r>
      <w:r w:rsidR="009372A8">
        <w:rPr>
          <w:noProof/>
          <w:sz w:val="24"/>
          <w:szCs w:val="24"/>
        </w:rPr>
        <w:t>9</w:t>
      </w:r>
      <w:r w:rsidR="00560DD2" w:rsidRPr="00441BCE">
        <w:rPr>
          <w:noProof/>
          <w:sz w:val="24"/>
          <w:szCs w:val="24"/>
        </w:rPr>
        <w:t xml:space="preserve"> № </w:t>
      </w:r>
    </w:p>
    <w:p w:rsidR="00CC4BD3" w:rsidRDefault="00CC4BD3" w:rsidP="00CC4BD3">
      <w:pPr>
        <w:ind w:left="6006" w:firstLine="474"/>
        <w:rPr>
          <w:noProof/>
          <w:sz w:val="24"/>
          <w:szCs w:val="24"/>
        </w:rPr>
      </w:pPr>
    </w:p>
    <w:p w:rsidR="009A4336" w:rsidRPr="00381941" w:rsidRDefault="009A4336" w:rsidP="00CC4BD3">
      <w:pPr>
        <w:ind w:left="6006" w:firstLine="474"/>
        <w:rPr>
          <w:noProof/>
          <w:sz w:val="24"/>
          <w:szCs w:val="24"/>
        </w:rPr>
        <w:sectPr w:rsidR="009A4336" w:rsidRPr="00381941" w:rsidSect="009A4336">
          <w:type w:val="continuous"/>
          <w:pgSz w:w="11906" w:h="16838"/>
          <w:pgMar w:top="851" w:right="851" w:bottom="851" w:left="851" w:header="284" w:footer="284" w:gutter="567"/>
          <w:pgNumType w:start="1"/>
          <w:cols w:space="708"/>
          <w:titlePg/>
          <w:docGrid w:linePitch="360"/>
        </w:sectPr>
      </w:pPr>
    </w:p>
    <w:p w:rsidR="00CC4BD3" w:rsidRPr="00381941" w:rsidRDefault="00CC4BD3" w:rsidP="00CC4BD3">
      <w:pPr>
        <w:ind w:left="6006" w:firstLine="474"/>
        <w:rPr>
          <w:noProof/>
          <w:sz w:val="24"/>
          <w:szCs w:val="24"/>
        </w:rPr>
      </w:pPr>
    </w:p>
    <w:p w:rsidR="00A86F57" w:rsidRDefault="004363E5" w:rsidP="00CC4BD3">
      <w:pPr>
        <w:ind w:left="6006"/>
        <w:rPr>
          <w:sz w:val="28"/>
          <w:szCs w:val="28"/>
        </w:rPr>
      </w:pPr>
      <w:r w:rsidRPr="000537B7">
        <w:rPr>
          <w:sz w:val="28"/>
          <w:szCs w:val="28"/>
        </w:rPr>
        <w:t xml:space="preserve">ЗАТВЕРДЖЕНО </w:t>
      </w:r>
      <w:r w:rsidRPr="000537B7">
        <w:rPr>
          <w:sz w:val="28"/>
          <w:szCs w:val="28"/>
        </w:rPr>
        <w:br/>
        <w:t>Рішення Національної комісії з цінних па</w:t>
      </w:r>
      <w:r w:rsidR="001E004D">
        <w:rPr>
          <w:sz w:val="28"/>
          <w:szCs w:val="28"/>
        </w:rPr>
        <w:t xml:space="preserve">перів та фондового ринку </w:t>
      </w:r>
    </w:p>
    <w:p w:rsidR="004363E5" w:rsidRPr="000537B7" w:rsidRDefault="009372A8" w:rsidP="00381941">
      <w:pPr>
        <w:spacing w:line="360" w:lineRule="auto"/>
        <w:ind w:left="5760" w:firstLine="246"/>
        <w:rPr>
          <w:sz w:val="28"/>
          <w:szCs w:val="28"/>
        </w:rPr>
      </w:pPr>
      <w:r>
        <w:rPr>
          <w:sz w:val="28"/>
          <w:szCs w:val="28"/>
        </w:rPr>
        <w:t xml:space="preserve">                </w:t>
      </w:r>
      <w:r w:rsidR="00635A11">
        <w:rPr>
          <w:sz w:val="28"/>
          <w:szCs w:val="28"/>
        </w:rPr>
        <w:t xml:space="preserve"> </w:t>
      </w:r>
      <w:r>
        <w:rPr>
          <w:sz w:val="28"/>
          <w:szCs w:val="28"/>
        </w:rPr>
        <w:t>2019</w:t>
      </w:r>
      <w:r w:rsidR="001E004D">
        <w:rPr>
          <w:sz w:val="28"/>
          <w:szCs w:val="28"/>
        </w:rPr>
        <w:t xml:space="preserve"> року</w:t>
      </w:r>
      <w:r w:rsidR="00A86F57">
        <w:rPr>
          <w:sz w:val="28"/>
          <w:szCs w:val="28"/>
        </w:rPr>
        <w:t xml:space="preserve"> № </w:t>
      </w:r>
      <w:r>
        <w:rPr>
          <w:sz w:val="28"/>
          <w:szCs w:val="28"/>
        </w:rPr>
        <w:t xml:space="preserve">    </w:t>
      </w:r>
    </w:p>
    <w:p w:rsidR="000537B7" w:rsidRDefault="000537B7" w:rsidP="004363E5">
      <w:pPr>
        <w:ind w:firstLine="720"/>
        <w:jc w:val="center"/>
        <w:rPr>
          <w:sz w:val="28"/>
          <w:szCs w:val="28"/>
        </w:rPr>
      </w:pPr>
    </w:p>
    <w:p w:rsidR="000537B7" w:rsidRPr="003117F4" w:rsidRDefault="000537B7" w:rsidP="00FA1CD5">
      <w:pPr>
        <w:ind w:firstLine="720"/>
        <w:rPr>
          <w:sz w:val="28"/>
          <w:szCs w:val="28"/>
        </w:rPr>
      </w:pPr>
    </w:p>
    <w:p w:rsidR="00490594" w:rsidRDefault="00490594" w:rsidP="004363E5">
      <w:pPr>
        <w:ind w:firstLine="720"/>
        <w:jc w:val="center"/>
        <w:rPr>
          <w:sz w:val="28"/>
          <w:szCs w:val="28"/>
        </w:rPr>
      </w:pPr>
    </w:p>
    <w:p w:rsidR="00490594" w:rsidRDefault="00490594"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2E5363" w:rsidRDefault="002E5363" w:rsidP="004363E5">
      <w:pPr>
        <w:ind w:firstLine="720"/>
        <w:jc w:val="center"/>
        <w:rPr>
          <w:sz w:val="28"/>
          <w:szCs w:val="28"/>
        </w:rPr>
      </w:pPr>
    </w:p>
    <w:p w:rsidR="000537B7" w:rsidRDefault="000537B7" w:rsidP="004363E5">
      <w:pPr>
        <w:ind w:firstLine="720"/>
        <w:jc w:val="center"/>
        <w:rPr>
          <w:sz w:val="28"/>
          <w:szCs w:val="28"/>
        </w:rPr>
      </w:pPr>
    </w:p>
    <w:p w:rsidR="00C50283" w:rsidRPr="001E004D" w:rsidRDefault="004363E5" w:rsidP="009D7B43">
      <w:pPr>
        <w:spacing w:line="360" w:lineRule="auto"/>
        <w:ind w:firstLine="720"/>
        <w:jc w:val="center"/>
        <w:rPr>
          <w:b/>
          <w:sz w:val="28"/>
          <w:szCs w:val="28"/>
        </w:rPr>
      </w:pPr>
      <w:r w:rsidRPr="001E004D">
        <w:rPr>
          <w:b/>
          <w:sz w:val="28"/>
          <w:szCs w:val="28"/>
        </w:rPr>
        <w:t xml:space="preserve">Зміни </w:t>
      </w:r>
    </w:p>
    <w:p w:rsidR="004363E5" w:rsidRDefault="004363E5" w:rsidP="009D7B43">
      <w:pPr>
        <w:spacing w:line="360" w:lineRule="auto"/>
        <w:ind w:firstLine="720"/>
        <w:jc w:val="center"/>
        <w:rPr>
          <w:sz w:val="28"/>
          <w:szCs w:val="28"/>
        </w:rPr>
      </w:pPr>
      <w:r w:rsidRPr="001E004D">
        <w:rPr>
          <w:b/>
          <w:sz w:val="28"/>
          <w:szCs w:val="28"/>
        </w:rPr>
        <w:t xml:space="preserve">до </w:t>
      </w:r>
      <w:hyperlink r:id="rId11" w:anchor="n18" w:tgtFrame="_blank" w:history="1">
        <w:r w:rsidRPr="001E004D">
          <w:rPr>
            <w:b/>
            <w:sz w:val="28"/>
            <w:szCs w:val="28"/>
          </w:rPr>
          <w:t xml:space="preserve">Системи довідників та класифікаторів Національної комісії </w:t>
        </w:r>
        <w:r w:rsidRPr="001E004D">
          <w:rPr>
            <w:b/>
            <w:sz w:val="28"/>
            <w:szCs w:val="28"/>
          </w:rPr>
          <w:t>з цінних паперів та фондового ринку</w:t>
        </w:r>
      </w:hyperlink>
    </w:p>
    <w:p w:rsidR="004363E5" w:rsidRDefault="004363E5" w:rsidP="004363E5">
      <w:pPr>
        <w:ind w:firstLine="720"/>
        <w:jc w:val="center"/>
        <w:rPr>
          <w:sz w:val="28"/>
          <w:szCs w:val="28"/>
        </w:rPr>
      </w:pPr>
    </w:p>
    <w:p w:rsidR="00052892" w:rsidRPr="004363E5" w:rsidRDefault="00052892" w:rsidP="004363E5">
      <w:pPr>
        <w:ind w:firstLine="720"/>
        <w:jc w:val="center"/>
        <w:rPr>
          <w:sz w:val="28"/>
          <w:szCs w:val="28"/>
        </w:rPr>
      </w:pPr>
    </w:p>
    <w:p w:rsidR="004A3B18" w:rsidRDefault="00A46C73" w:rsidP="007B1B94">
      <w:pPr>
        <w:numPr>
          <w:ilvl w:val="0"/>
          <w:numId w:val="1"/>
        </w:numPr>
        <w:tabs>
          <w:tab w:val="left" w:pos="1134"/>
        </w:tabs>
        <w:spacing w:line="360" w:lineRule="auto"/>
        <w:ind w:left="0" w:firstLine="567"/>
        <w:jc w:val="both"/>
        <w:rPr>
          <w:sz w:val="28"/>
          <w:szCs w:val="28"/>
          <w:lang w:val="ru-RU"/>
        </w:rPr>
      </w:pPr>
      <w:bookmarkStart w:id="1" w:name="n18"/>
      <w:bookmarkEnd w:id="1"/>
      <w:r>
        <w:rPr>
          <w:sz w:val="28"/>
          <w:szCs w:val="28"/>
          <w:lang w:val="ru-RU"/>
        </w:rPr>
        <w:t>У</w:t>
      </w:r>
      <w:r w:rsidRPr="002D69EA">
        <w:rPr>
          <w:sz w:val="28"/>
          <w:szCs w:val="28"/>
        </w:rPr>
        <w:t xml:space="preserve"> довіднику</w:t>
      </w:r>
      <w:r>
        <w:rPr>
          <w:sz w:val="28"/>
          <w:szCs w:val="28"/>
          <w:lang w:val="ru-RU"/>
        </w:rPr>
        <w:t xml:space="preserve"> 19 «Дата вчинення дій»</w:t>
      </w:r>
      <w:r w:rsidR="004A3B18">
        <w:rPr>
          <w:sz w:val="28"/>
          <w:szCs w:val="28"/>
          <w:lang w:val="ru-RU"/>
        </w:rPr>
        <w:t>:</w:t>
      </w:r>
      <w:r>
        <w:rPr>
          <w:sz w:val="28"/>
          <w:szCs w:val="28"/>
          <w:lang w:val="ru-RU"/>
        </w:rPr>
        <w:t xml:space="preserve"> </w:t>
      </w:r>
    </w:p>
    <w:p w:rsidR="004A3B18" w:rsidRDefault="004A3B18" w:rsidP="004A3B18">
      <w:pPr>
        <w:tabs>
          <w:tab w:val="left" w:pos="1134"/>
        </w:tabs>
        <w:spacing w:line="360" w:lineRule="auto"/>
        <w:ind w:left="567"/>
        <w:jc w:val="both"/>
        <w:rPr>
          <w:sz w:val="28"/>
          <w:szCs w:val="28"/>
          <w:lang w:val="ru-RU"/>
        </w:rPr>
      </w:pPr>
    </w:p>
    <w:p w:rsidR="002A2CCC" w:rsidRDefault="00F142A6" w:rsidP="004A3B18">
      <w:pPr>
        <w:numPr>
          <w:ilvl w:val="0"/>
          <w:numId w:val="11"/>
        </w:numPr>
        <w:tabs>
          <w:tab w:val="left" w:pos="1134"/>
        </w:tabs>
        <w:spacing w:line="360" w:lineRule="auto"/>
        <w:ind w:left="0" w:firstLine="567"/>
        <w:jc w:val="both"/>
        <w:rPr>
          <w:noProof/>
          <w:sz w:val="28"/>
        </w:rPr>
      </w:pPr>
      <w:r>
        <w:rPr>
          <w:noProof/>
          <w:sz w:val="28"/>
        </w:rPr>
        <w:t xml:space="preserve">зміст показника </w:t>
      </w:r>
      <w:r w:rsidR="004A3B18" w:rsidRPr="000142F8">
        <w:rPr>
          <w:noProof/>
          <w:sz w:val="28"/>
        </w:rPr>
        <w:t xml:space="preserve">«Вчинення дії про факти лістингу/делістингу цінних паперів» </w:t>
      </w:r>
      <w:r w:rsidR="002A2CCC">
        <w:rPr>
          <w:noProof/>
          <w:sz w:val="28"/>
        </w:rPr>
        <w:t>викласти у редакції:</w:t>
      </w:r>
      <w:r w:rsidR="004A3B18" w:rsidRPr="000142F8">
        <w:rPr>
          <w:noProof/>
          <w:sz w:val="28"/>
        </w:rPr>
        <w:t xml:space="preserve"> </w:t>
      </w:r>
    </w:p>
    <w:p w:rsidR="004A3B18" w:rsidRDefault="004A3B18" w:rsidP="002A2CCC">
      <w:pPr>
        <w:tabs>
          <w:tab w:val="left" w:pos="1134"/>
        </w:tabs>
        <w:spacing w:line="360" w:lineRule="auto"/>
        <w:ind w:firstLine="567"/>
        <w:jc w:val="both"/>
        <w:rPr>
          <w:noProof/>
          <w:sz w:val="28"/>
        </w:rPr>
      </w:pPr>
      <w:r w:rsidRPr="000142F8">
        <w:rPr>
          <w:noProof/>
          <w:sz w:val="28"/>
        </w:rPr>
        <w:t>«Вчинення дії про факти включення/виключення цінних паперів до біржового реєстру фондових бірж»;</w:t>
      </w:r>
    </w:p>
    <w:p w:rsidR="00F142A6" w:rsidRPr="000142F8" w:rsidRDefault="00F142A6" w:rsidP="00F142A6">
      <w:pPr>
        <w:tabs>
          <w:tab w:val="left" w:pos="1134"/>
        </w:tabs>
        <w:spacing w:line="360" w:lineRule="auto"/>
        <w:jc w:val="both"/>
        <w:rPr>
          <w:noProof/>
          <w:sz w:val="28"/>
        </w:rPr>
      </w:pPr>
    </w:p>
    <w:p w:rsidR="004A3B18" w:rsidRDefault="00F142A6" w:rsidP="00F142A6">
      <w:pPr>
        <w:numPr>
          <w:ilvl w:val="0"/>
          <w:numId w:val="11"/>
        </w:numPr>
        <w:tabs>
          <w:tab w:val="left" w:pos="1134"/>
        </w:tabs>
        <w:spacing w:line="360" w:lineRule="auto"/>
        <w:jc w:val="both"/>
        <w:rPr>
          <w:sz w:val="28"/>
          <w:szCs w:val="28"/>
        </w:rPr>
      </w:pPr>
      <w:r>
        <w:rPr>
          <w:sz w:val="28"/>
          <w:szCs w:val="28"/>
        </w:rPr>
        <w:t>зміст показника коду показника 12 викласти у редакції:</w:t>
      </w:r>
    </w:p>
    <w:p w:rsidR="00F142A6" w:rsidRPr="000142F8" w:rsidRDefault="00F142A6" w:rsidP="00F142A6">
      <w:pPr>
        <w:tabs>
          <w:tab w:val="left" w:pos="1134"/>
        </w:tabs>
        <w:spacing w:line="360" w:lineRule="auto"/>
        <w:ind w:firstLine="567"/>
        <w:jc w:val="both"/>
        <w:rPr>
          <w:sz w:val="28"/>
          <w:szCs w:val="28"/>
        </w:rPr>
      </w:pPr>
      <w:r w:rsidRPr="000142F8">
        <w:rPr>
          <w:noProof/>
          <w:sz w:val="28"/>
        </w:rPr>
        <w:t>«Дата включення цінних паперів емітента до біржового реєстру фондової біржі»;</w:t>
      </w:r>
    </w:p>
    <w:p w:rsidR="004A3B18" w:rsidRPr="00F142A6" w:rsidRDefault="004A3B18" w:rsidP="001020E0">
      <w:pPr>
        <w:tabs>
          <w:tab w:val="left" w:pos="1134"/>
        </w:tabs>
        <w:spacing w:line="360" w:lineRule="auto"/>
        <w:ind w:left="567"/>
        <w:jc w:val="both"/>
        <w:rPr>
          <w:sz w:val="28"/>
          <w:szCs w:val="28"/>
        </w:rPr>
      </w:pPr>
    </w:p>
    <w:p w:rsidR="00A46C73" w:rsidRDefault="00421B66" w:rsidP="001020E0">
      <w:pPr>
        <w:numPr>
          <w:ilvl w:val="0"/>
          <w:numId w:val="11"/>
        </w:numPr>
        <w:tabs>
          <w:tab w:val="left" w:pos="1134"/>
        </w:tabs>
        <w:spacing w:line="360" w:lineRule="auto"/>
        <w:jc w:val="both"/>
        <w:rPr>
          <w:sz w:val="28"/>
          <w:szCs w:val="28"/>
          <w:lang w:val="ru-RU"/>
        </w:rPr>
      </w:pPr>
      <w:r>
        <w:rPr>
          <w:sz w:val="28"/>
          <w:szCs w:val="28"/>
          <w:lang w:val="ru-RU"/>
        </w:rPr>
        <w:t xml:space="preserve">зміст </w:t>
      </w:r>
      <w:r w:rsidR="001020E0">
        <w:rPr>
          <w:sz w:val="28"/>
          <w:szCs w:val="28"/>
          <w:lang w:val="ru-RU"/>
        </w:rPr>
        <w:t xml:space="preserve">показник </w:t>
      </w:r>
      <w:r>
        <w:rPr>
          <w:sz w:val="28"/>
          <w:szCs w:val="28"/>
          <w:lang w:val="ru-RU"/>
        </w:rPr>
        <w:t>коду</w:t>
      </w:r>
      <w:r w:rsidR="001020E0">
        <w:rPr>
          <w:sz w:val="28"/>
          <w:szCs w:val="28"/>
          <w:lang w:val="ru-RU"/>
        </w:rPr>
        <w:t xml:space="preserve"> показника 13 виключити;</w:t>
      </w:r>
    </w:p>
    <w:p w:rsidR="00A46C73" w:rsidRDefault="00A46C73" w:rsidP="00A46C73">
      <w:pPr>
        <w:tabs>
          <w:tab w:val="left" w:pos="1134"/>
        </w:tabs>
        <w:spacing w:line="360" w:lineRule="auto"/>
        <w:ind w:left="567"/>
        <w:jc w:val="both"/>
        <w:rPr>
          <w:sz w:val="28"/>
          <w:szCs w:val="28"/>
          <w:lang w:val="ru-RU"/>
        </w:rPr>
      </w:pPr>
    </w:p>
    <w:p w:rsidR="008A4DBF" w:rsidRDefault="008A4DBF" w:rsidP="00A46C73">
      <w:pPr>
        <w:tabs>
          <w:tab w:val="left" w:pos="1134"/>
        </w:tabs>
        <w:spacing w:line="360" w:lineRule="auto"/>
        <w:ind w:left="567"/>
        <w:jc w:val="both"/>
        <w:rPr>
          <w:sz w:val="28"/>
          <w:szCs w:val="28"/>
          <w:lang w:val="ru-RU"/>
        </w:rPr>
      </w:pPr>
    </w:p>
    <w:p w:rsidR="008A4DBF" w:rsidRDefault="008A4DBF" w:rsidP="00A46C73">
      <w:pPr>
        <w:tabs>
          <w:tab w:val="left" w:pos="1134"/>
        </w:tabs>
        <w:spacing w:line="360" w:lineRule="auto"/>
        <w:ind w:left="567"/>
        <w:jc w:val="both"/>
        <w:rPr>
          <w:sz w:val="28"/>
          <w:szCs w:val="28"/>
          <w:lang w:val="ru-RU"/>
        </w:rPr>
      </w:pPr>
    </w:p>
    <w:p w:rsidR="001020E0" w:rsidRDefault="001020E0" w:rsidP="001020E0">
      <w:pPr>
        <w:numPr>
          <w:ilvl w:val="0"/>
          <w:numId w:val="11"/>
        </w:numPr>
        <w:tabs>
          <w:tab w:val="left" w:pos="1134"/>
        </w:tabs>
        <w:spacing w:line="360" w:lineRule="auto"/>
        <w:jc w:val="both"/>
        <w:rPr>
          <w:sz w:val="28"/>
          <w:szCs w:val="28"/>
          <w:lang w:val="ru-RU"/>
        </w:rPr>
      </w:pPr>
      <w:r>
        <w:rPr>
          <w:sz w:val="28"/>
          <w:szCs w:val="28"/>
          <w:lang w:val="ru-RU"/>
        </w:rPr>
        <w:lastRenderedPageBreak/>
        <w:t xml:space="preserve">зміст показника </w:t>
      </w:r>
      <w:r w:rsidR="00421B66">
        <w:rPr>
          <w:sz w:val="28"/>
          <w:szCs w:val="28"/>
          <w:lang w:val="ru-RU"/>
        </w:rPr>
        <w:t>коду</w:t>
      </w:r>
      <w:r>
        <w:rPr>
          <w:sz w:val="28"/>
          <w:szCs w:val="28"/>
          <w:lang w:val="ru-RU"/>
        </w:rPr>
        <w:t xml:space="preserve"> показника 14 викласти у редакції:</w:t>
      </w:r>
    </w:p>
    <w:p w:rsidR="001020E0" w:rsidRDefault="001020E0" w:rsidP="001020E0">
      <w:pPr>
        <w:tabs>
          <w:tab w:val="left" w:pos="1134"/>
        </w:tabs>
        <w:spacing w:line="360" w:lineRule="auto"/>
        <w:ind w:firstLine="567"/>
        <w:jc w:val="both"/>
        <w:rPr>
          <w:noProof/>
          <w:sz w:val="28"/>
        </w:rPr>
      </w:pPr>
      <w:r w:rsidRPr="000142F8">
        <w:rPr>
          <w:noProof/>
          <w:sz w:val="28"/>
        </w:rPr>
        <w:t>«Дата, коли емітенту стало відомо чи коли він мав дізнатися про виключення його цінних паперів з біржового реєстру фондової біржі».</w:t>
      </w:r>
      <w:r w:rsidR="002A2CCC">
        <w:rPr>
          <w:noProof/>
          <w:sz w:val="28"/>
        </w:rPr>
        <w:t xml:space="preserve"> </w:t>
      </w:r>
    </w:p>
    <w:p w:rsidR="002A2CCC" w:rsidRPr="000142F8" w:rsidRDefault="002A2CCC" w:rsidP="001020E0">
      <w:pPr>
        <w:tabs>
          <w:tab w:val="left" w:pos="1134"/>
        </w:tabs>
        <w:spacing w:line="360" w:lineRule="auto"/>
        <w:ind w:firstLine="567"/>
        <w:jc w:val="both"/>
        <w:rPr>
          <w:sz w:val="28"/>
          <w:szCs w:val="28"/>
        </w:rPr>
      </w:pPr>
    </w:p>
    <w:p w:rsidR="00A46C73" w:rsidRDefault="00E14C11" w:rsidP="001020E0">
      <w:pPr>
        <w:numPr>
          <w:ilvl w:val="0"/>
          <w:numId w:val="1"/>
        </w:numPr>
        <w:tabs>
          <w:tab w:val="left" w:pos="1134"/>
        </w:tabs>
        <w:spacing w:line="360" w:lineRule="auto"/>
        <w:jc w:val="both"/>
        <w:rPr>
          <w:sz w:val="28"/>
          <w:szCs w:val="28"/>
          <w:lang w:val="ru-RU"/>
        </w:rPr>
      </w:pPr>
      <w:r>
        <w:rPr>
          <w:sz w:val="28"/>
          <w:szCs w:val="28"/>
          <w:lang w:val="ru-RU"/>
        </w:rPr>
        <w:t>Довідник</w:t>
      </w:r>
      <w:r w:rsidR="00A46C73">
        <w:rPr>
          <w:sz w:val="28"/>
          <w:szCs w:val="28"/>
          <w:lang w:val="ru-RU"/>
        </w:rPr>
        <w:t xml:space="preserve"> 26 «Біржовий сп</w:t>
      </w:r>
      <w:r w:rsidR="00CA12D9" w:rsidRPr="00CA12D9">
        <w:rPr>
          <w:sz w:val="28"/>
          <w:szCs w:val="28"/>
          <w:lang w:val="ru-RU"/>
        </w:rPr>
        <w:t>и</w:t>
      </w:r>
      <w:r w:rsidR="00A46C73">
        <w:rPr>
          <w:sz w:val="28"/>
          <w:szCs w:val="28"/>
          <w:lang w:val="ru-RU"/>
        </w:rPr>
        <w:t>сок»</w:t>
      </w:r>
      <w:r>
        <w:rPr>
          <w:sz w:val="28"/>
          <w:szCs w:val="28"/>
          <w:lang w:val="ru-RU"/>
        </w:rPr>
        <w:t xml:space="preserve"> викласти </w:t>
      </w:r>
      <w:r w:rsidR="000A410B">
        <w:rPr>
          <w:sz w:val="28"/>
          <w:szCs w:val="28"/>
          <w:lang w:val="ru-RU"/>
        </w:rPr>
        <w:t>у</w:t>
      </w:r>
      <w:r>
        <w:rPr>
          <w:sz w:val="28"/>
          <w:szCs w:val="28"/>
          <w:lang w:val="ru-RU"/>
        </w:rPr>
        <w:t xml:space="preserve"> редакції:</w:t>
      </w:r>
    </w:p>
    <w:p w:rsidR="00E14C11" w:rsidRDefault="00E14C11" w:rsidP="00E14C11">
      <w:pPr>
        <w:pStyle w:val="af4"/>
        <w:rPr>
          <w:sz w:val="28"/>
          <w:szCs w:val="28"/>
          <w:lang w:val="ru-RU"/>
        </w:rPr>
      </w:pPr>
    </w:p>
    <w:p w:rsidR="00E14C11" w:rsidRDefault="00E14C11" w:rsidP="00E14C11">
      <w:pPr>
        <w:tabs>
          <w:tab w:val="left" w:pos="567"/>
        </w:tabs>
        <w:spacing w:line="360" w:lineRule="auto"/>
        <w:ind w:left="567"/>
        <w:jc w:val="both"/>
        <w:rPr>
          <w:sz w:val="28"/>
          <w:szCs w:val="28"/>
          <w:lang w:val="ru-RU"/>
        </w:rPr>
      </w:pPr>
      <w:r>
        <w:rPr>
          <w:sz w:val="28"/>
          <w:szCs w:val="28"/>
          <w:lang w:val="ru-RU"/>
        </w:rPr>
        <w:t>«</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51"/>
        <w:gridCol w:w="8106"/>
      </w:tblGrid>
      <w:tr w:rsidR="00E14C11" w:rsidRPr="004C2BF2" w:rsidTr="00E14C11">
        <w:trPr>
          <w:trHeight w:val="1177"/>
        </w:trPr>
        <w:tc>
          <w:tcPr>
            <w:tcW w:w="1651" w:type="dxa"/>
            <w:tcBorders>
              <w:top w:val="outset" w:sz="4" w:space="0" w:color="000000"/>
              <w:left w:val="outset" w:sz="4" w:space="0" w:color="000000"/>
              <w:bottom w:val="outset" w:sz="4" w:space="0" w:color="000000"/>
              <w:right w:val="outset" w:sz="4" w:space="0" w:color="000000"/>
            </w:tcBorders>
          </w:tcPr>
          <w:p w:rsidR="00E14C11" w:rsidRDefault="00E14C11" w:rsidP="0091365F">
            <w:pPr>
              <w:spacing w:line="360" w:lineRule="auto"/>
              <w:rPr>
                <w:sz w:val="28"/>
                <w:szCs w:val="28"/>
              </w:rPr>
            </w:pPr>
            <w:r>
              <w:rPr>
                <w:sz w:val="28"/>
                <w:szCs w:val="28"/>
              </w:rPr>
              <w:t>Код показника</w:t>
            </w:r>
          </w:p>
        </w:tc>
        <w:tc>
          <w:tcPr>
            <w:tcW w:w="8106" w:type="dxa"/>
            <w:tcBorders>
              <w:top w:val="outset" w:sz="4" w:space="0" w:color="000000"/>
              <w:left w:val="outset" w:sz="4" w:space="0" w:color="000000"/>
              <w:bottom w:val="outset" w:sz="4" w:space="0" w:color="000000"/>
              <w:right w:val="outset" w:sz="4" w:space="0" w:color="000000"/>
            </w:tcBorders>
          </w:tcPr>
          <w:p w:rsidR="00E14C11" w:rsidRPr="004C2BF2" w:rsidRDefault="00E14C11" w:rsidP="0091365F">
            <w:pPr>
              <w:pStyle w:val="af1"/>
              <w:spacing w:before="0" w:beforeAutospacing="0" w:after="0" w:afterAutospacing="0" w:line="360" w:lineRule="auto"/>
              <w:jc w:val="both"/>
              <w:rPr>
                <w:sz w:val="28"/>
                <w:szCs w:val="28"/>
              </w:rPr>
            </w:pPr>
            <w:r>
              <w:rPr>
                <w:sz w:val="28"/>
                <w:szCs w:val="28"/>
              </w:rPr>
              <w:t>Зміст показника</w:t>
            </w:r>
          </w:p>
        </w:tc>
      </w:tr>
      <w:tr w:rsidR="00E14C11" w:rsidRPr="004C2BF2" w:rsidTr="0091365F">
        <w:tc>
          <w:tcPr>
            <w:tcW w:w="1651" w:type="dxa"/>
            <w:tcBorders>
              <w:top w:val="outset" w:sz="4" w:space="0" w:color="000000"/>
              <w:left w:val="outset" w:sz="4" w:space="0" w:color="000000"/>
              <w:bottom w:val="outset" w:sz="4" w:space="0" w:color="000000"/>
              <w:right w:val="outset" w:sz="4" w:space="0" w:color="000000"/>
            </w:tcBorders>
          </w:tcPr>
          <w:p w:rsidR="00E14C11" w:rsidRDefault="00E14C11" w:rsidP="0091365F">
            <w:pPr>
              <w:spacing w:line="360" w:lineRule="auto"/>
              <w:rPr>
                <w:sz w:val="28"/>
                <w:szCs w:val="28"/>
              </w:rPr>
            </w:pPr>
            <w:r>
              <w:rPr>
                <w:sz w:val="28"/>
                <w:szCs w:val="28"/>
              </w:rPr>
              <w:t>01</w:t>
            </w:r>
          </w:p>
        </w:tc>
        <w:tc>
          <w:tcPr>
            <w:tcW w:w="8106" w:type="dxa"/>
            <w:tcBorders>
              <w:top w:val="outset" w:sz="4" w:space="0" w:color="000000"/>
              <w:left w:val="outset" w:sz="4" w:space="0" w:color="000000"/>
              <w:bottom w:val="outset" w:sz="4" w:space="0" w:color="000000"/>
              <w:right w:val="outset" w:sz="4" w:space="0" w:color="000000"/>
            </w:tcBorders>
          </w:tcPr>
          <w:p w:rsidR="00E14C11" w:rsidRPr="00E14C11" w:rsidRDefault="00E14C11" w:rsidP="0091365F">
            <w:pPr>
              <w:pStyle w:val="af1"/>
              <w:spacing w:before="0" w:beforeAutospacing="0" w:after="0" w:afterAutospacing="0" w:line="360" w:lineRule="auto"/>
              <w:jc w:val="both"/>
              <w:rPr>
                <w:sz w:val="28"/>
                <w:szCs w:val="28"/>
              </w:rPr>
            </w:pPr>
            <w:r w:rsidRPr="00E14C11">
              <w:rPr>
                <w:sz w:val="28"/>
                <w:szCs w:val="28"/>
              </w:rPr>
              <w:t>Категорія лістингових цінних паперів</w:t>
            </w:r>
          </w:p>
        </w:tc>
      </w:tr>
      <w:tr w:rsidR="00E14C11" w:rsidRPr="002F63CC" w:rsidTr="0091365F">
        <w:tc>
          <w:tcPr>
            <w:tcW w:w="1651" w:type="dxa"/>
            <w:tcBorders>
              <w:top w:val="outset" w:sz="4" w:space="0" w:color="000000"/>
              <w:left w:val="outset" w:sz="4" w:space="0" w:color="000000"/>
              <w:bottom w:val="outset" w:sz="4" w:space="0" w:color="000000"/>
              <w:right w:val="outset" w:sz="4" w:space="0" w:color="000000"/>
            </w:tcBorders>
          </w:tcPr>
          <w:p w:rsidR="00E14C11" w:rsidRPr="00EE74DD" w:rsidRDefault="00E14C11" w:rsidP="00AD272B">
            <w:pPr>
              <w:spacing w:line="360" w:lineRule="auto"/>
              <w:rPr>
                <w:sz w:val="28"/>
                <w:szCs w:val="28"/>
              </w:rPr>
            </w:pPr>
            <w:r>
              <w:rPr>
                <w:sz w:val="28"/>
                <w:szCs w:val="28"/>
              </w:rPr>
              <w:t>0</w:t>
            </w:r>
            <w:r w:rsidR="00AD272B">
              <w:rPr>
                <w:sz w:val="28"/>
                <w:szCs w:val="28"/>
              </w:rPr>
              <w:t>3</w:t>
            </w:r>
          </w:p>
        </w:tc>
        <w:tc>
          <w:tcPr>
            <w:tcW w:w="8106" w:type="dxa"/>
            <w:tcBorders>
              <w:top w:val="outset" w:sz="4" w:space="0" w:color="000000"/>
              <w:left w:val="outset" w:sz="4" w:space="0" w:color="000000"/>
              <w:bottom w:val="outset" w:sz="4" w:space="0" w:color="000000"/>
              <w:right w:val="outset" w:sz="4" w:space="0" w:color="000000"/>
            </w:tcBorders>
          </w:tcPr>
          <w:p w:rsidR="00E14C11" w:rsidRPr="00E14C11" w:rsidRDefault="00E14C11" w:rsidP="0091365F">
            <w:pPr>
              <w:pStyle w:val="af1"/>
              <w:spacing w:before="0" w:beforeAutospacing="0" w:after="0" w:afterAutospacing="0" w:line="360" w:lineRule="auto"/>
              <w:jc w:val="both"/>
              <w:rPr>
                <w:sz w:val="28"/>
                <w:szCs w:val="28"/>
              </w:rPr>
            </w:pPr>
            <w:r w:rsidRPr="00E14C11">
              <w:rPr>
                <w:sz w:val="28"/>
                <w:szCs w:val="28"/>
              </w:rPr>
              <w:t>Цінні папери виключені з біржового списку. Припинення торгівлі</w:t>
            </w:r>
          </w:p>
        </w:tc>
      </w:tr>
      <w:tr w:rsidR="00E14C11" w:rsidRPr="002F63CC" w:rsidTr="0091365F">
        <w:tc>
          <w:tcPr>
            <w:tcW w:w="1651" w:type="dxa"/>
            <w:tcBorders>
              <w:top w:val="outset" w:sz="4" w:space="0" w:color="000000"/>
              <w:left w:val="outset" w:sz="4" w:space="0" w:color="000000"/>
              <w:bottom w:val="outset" w:sz="4" w:space="0" w:color="000000"/>
              <w:right w:val="outset" w:sz="4" w:space="0" w:color="000000"/>
            </w:tcBorders>
          </w:tcPr>
          <w:p w:rsidR="00E14C11" w:rsidRPr="00EE74DD" w:rsidRDefault="00E14C11" w:rsidP="0091365F">
            <w:pPr>
              <w:spacing w:line="360" w:lineRule="auto"/>
              <w:rPr>
                <w:sz w:val="28"/>
                <w:szCs w:val="28"/>
              </w:rPr>
            </w:pPr>
            <w:r>
              <w:rPr>
                <w:sz w:val="28"/>
                <w:szCs w:val="28"/>
              </w:rPr>
              <w:t>0</w:t>
            </w:r>
            <w:r w:rsidR="00AD272B">
              <w:rPr>
                <w:sz w:val="28"/>
                <w:szCs w:val="28"/>
              </w:rPr>
              <w:t>4</w:t>
            </w:r>
          </w:p>
        </w:tc>
        <w:tc>
          <w:tcPr>
            <w:tcW w:w="8106" w:type="dxa"/>
            <w:tcBorders>
              <w:top w:val="outset" w:sz="4" w:space="0" w:color="000000"/>
              <w:left w:val="outset" w:sz="4" w:space="0" w:color="000000"/>
              <w:bottom w:val="outset" w:sz="4" w:space="0" w:color="000000"/>
              <w:right w:val="outset" w:sz="4" w:space="0" w:color="000000"/>
            </w:tcBorders>
          </w:tcPr>
          <w:p w:rsidR="00E14C11" w:rsidRPr="00E14C11" w:rsidRDefault="00E14C11" w:rsidP="0091365F">
            <w:pPr>
              <w:pStyle w:val="af1"/>
              <w:spacing w:before="0" w:beforeAutospacing="0" w:after="0" w:afterAutospacing="0" w:line="360" w:lineRule="auto"/>
              <w:jc w:val="both"/>
              <w:rPr>
                <w:sz w:val="28"/>
                <w:szCs w:val="28"/>
              </w:rPr>
            </w:pPr>
            <w:r w:rsidRPr="00E14C11">
              <w:rPr>
                <w:sz w:val="28"/>
                <w:szCs w:val="28"/>
              </w:rPr>
              <w:t>Цінні папери знаходяться у біржовому списку. Призупинення торгівлі</w:t>
            </w:r>
          </w:p>
        </w:tc>
      </w:tr>
      <w:tr w:rsidR="00E14C11" w:rsidRPr="002F63CC" w:rsidTr="0091365F">
        <w:tc>
          <w:tcPr>
            <w:tcW w:w="1651" w:type="dxa"/>
            <w:tcBorders>
              <w:top w:val="outset" w:sz="4" w:space="0" w:color="000000"/>
              <w:left w:val="outset" w:sz="4" w:space="0" w:color="000000"/>
              <w:bottom w:val="outset" w:sz="4" w:space="0" w:color="000000"/>
              <w:right w:val="outset" w:sz="4" w:space="0" w:color="000000"/>
            </w:tcBorders>
          </w:tcPr>
          <w:p w:rsidR="00E14C11" w:rsidRPr="00EE74DD" w:rsidRDefault="00E14C11" w:rsidP="0091365F">
            <w:pPr>
              <w:spacing w:line="360" w:lineRule="auto"/>
              <w:rPr>
                <w:sz w:val="28"/>
                <w:szCs w:val="28"/>
              </w:rPr>
            </w:pPr>
            <w:r>
              <w:rPr>
                <w:sz w:val="28"/>
                <w:szCs w:val="28"/>
              </w:rPr>
              <w:t>0</w:t>
            </w:r>
            <w:r w:rsidR="00AD272B">
              <w:rPr>
                <w:sz w:val="28"/>
                <w:szCs w:val="28"/>
              </w:rPr>
              <w:t>5</w:t>
            </w:r>
          </w:p>
        </w:tc>
        <w:tc>
          <w:tcPr>
            <w:tcW w:w="8106" w:type="dxa"/>
            <w:tcBorders>
              <w:top w:val="outset" w:sz="4" w:space="0" w:color="000000"/>
              <w:left w:val="outset" w:sz="4" w:space="0" w:color="000000"/>
              <w:bottom w:val="outset" w:sz="4" w:space="0" w:color="000000"/>
              <w:right w:val="outset" w:sz="4" w:space="0" w:color="000000"/>
            </w:tcBorders>
          </w:tcPr>
          <w:p w:rsidR="00E14C11" w:rsidRPr="00E14C11" w:rsidRDefault="00E14C11" w:rsidP="0091365F">
            <w:pPr>
              <w:pStyle w:val="af1"/>
              <w:spacing w:before="0" w:beforeAutospacing="0" w:after="0" w:afterAutospacing="0" w:line="360" w:lineRule="auto"/>
              <w:jc w:val="both"/>
              <w:rPr>
                <w:sz w:val="28"/>
                <w:szCs w:val="28"/>
              </w:rPr>
            </w:pPr>
            <w:r w:rsidRPr="00E14C11">
              <w:rPr>
                <w:sz w:val="28"/>
                <w:szCs w:val="28"/>
              </w:rPr>
              <w:t>Категорія позалістингових цінних паперів</w:t>
            </w:r>
          </w:p>
        </w:tc>
      </w:tr>
    </w:tbl>
    <w:p w:rsidR="00E14C11" w:rsidRDefault="00E14C11" w:rsidP="00E14C11">
      <w:pPr>
        <w:tabs>
          <w:tab w:val="left" w:pos="567"/>
        </w:tabs>
        <w:spacing w:line="360" w:lineRule="auto"/>
        <w:ind w:left="567"/>
        <w:jc w:val="both"/>
        <w:rPr>
          <w:sz w:val="28"/>
          <w:szCs w:val="28"/>
          <w:lang w:val="ru-RU"/>
        </w:rPr>
      </w:pPr>
      <w:r>
        <w:rPr>
          <w:sz w:val="28"/>
          <w:szCs w:val="28"/>
          <w:lang w:val="ru-RU"/>
        </w:rPr>
        <w:t>»</w:t>
      </w:r>
      <w:r w:rsidR="000A410B">
        <w:rPr>
          <w:sz w:val="28"/>
          <w:szCs w:val="28"/>
          <w:lang w:val="ru-RU"/>
        </w:rPr>
        <w:t>.</w:t>
      </w:r>
    </w:p>
    <w:p w:rsidR="001020E0" w:rsidRDefault="001020E0" w:rsidP="00E14C11">
      <w:pPr>
        <w:tabs>
          <w:tab w:val="left" w:pos="567"/>
        </w:tabs>
        <w:spacing w:line="360" w:lineRule="auto"/>
        <w:ind w:left="567"/>
        <w:jc w:val="both"/>
        <w:rPr>
          <w:sz w:val="28"/>
          <w:szCs w:val="28"/>
          <w:lang w:val="ru-RU"/>
        </w:rPr>
      </w:pPr>
    </w:p>
    <w:p w:rsidR="00ED71C9" w:rsidRPr="000A410B" w:rsidRDefault="000A410B" w:rsidP="001020E0">
      <w:pPr>
        <w:numPr>
          <w:ilvl w:val="0"/>
          <w:numId w:val="1"/>
        </w:numPr>
        <w:tabs>
          <w:tab w:val="left" w:pos="1134"/>
        </w:tabs>
        <w:spacing w:line="360" w:lineRule="auto"/>
        <w:ind w:left="0" w:firstLine="567"/>
        <w:jc w:val="both"/>
        <w:rPr>
          <w:rStyle w:val="rvts0"/>
          <w:sz w:val="28"/>
          <w:szCs w:val="28"/>
          <w:lang w:val="ru-RU"/>
        </w:rPr>
      </w:pPr>
      <w:r w:rsidRPr="000A410B">
        <w:rPr>
          <w:sz w:val="28"/>
          <w:szCs w:val="28"/>
        </w:rPr>
        <w:t>У д</w:t>
      </w:r>
      <w:r w:rsidR="00077510" w:rsidRPr="000A410B">
        <w:rPr>
          <w:sz w:val="28"/>
          <w:szCs w:val="28"/>
        </w:rPr>
        <w:t>овідник</w:t>
      </w:r>
      <w:r w:rsidRPr="000A410B">
        <w:rPr>
          <w:sz w:val="28"/>
          <w:szCs w:val="28"/>
        </w:rPr>
        <w:t>у</w:t>
      </w:r>
      <w:r w:rsidR="00077510" w:rsidRPr="000A410B">
        <w:rPr>
          <w:sz w:val="28"/>
          <w:szCs w:val="28"/>
        </w:rPr>
        <w:t xml:space="preserve"> </w:t>
      </w:r>
      <w:r w:rsidR="009372A8" w:rsidRPr="000A410B">
        <w:rPr>
          <w:sz w:val="28"/>
          <w:szCs w:val="28"/>
        </w:rPr>
        <w:t>27</w:t>
      </w:r>
      <w:r w:rsidR="00077510" w:rsidRPr="000A410B">
        <w:rPr>
          <w:sz w:val="28"/>
          <w:szCs w:val="28"/>
        </w:rPr>
        <w:t xml:space="preserve"> </w:t>
      </w:r>
      <w:r w:rsidR="009372A8" w:rsidRPr="000A410B">
        <w:rPr>
          <w:rStyle w:val="rvts0"/>
          <w:sz w:val="28"/>
          <w:szCs w:val="28"/>
        </w:rPr>
        <w:t>«</w:t>
      </w:r>
      <w:r w:rsidR="009372A8" w:rsidRPr="000A410B">
        <w:rPr>
          <w:color w:val="000000"/>
          <w:sz w:val="28"/>
          <w:szCs w:val="28"/>
        </w:rPr>
        <w:t>Види змін на рахунку в цінних паперах депонента в депозитарній установі</w:t>
      </w:r>
      <w:r w:rsidR="00077510" w:rsidRPr="000A410B">
        <w:rPr>
          <w:rStyle w:val="rvts0"/>
          <w:sz w:val="28"/>
          <w:szCs w:val="28"/>
        </w:rPr>
        <w:t>»</w:t>
      </w:r>
      <w:r w:rsidRPr="000A410B">
        <w:rPr>
          <w:rStyle w:val="rvts0"/>
          <w:sz w:val="28"/>
          <w:szCs w:val="28"/>
        </w:rPr>
        <w:t xml:space="preserve"> </w:t>
      </w:r>
      <w:r w:rsidR="00ED71C9" w:rsidRPr="000A410B">
        <w:rPr>
          <w:rStyle w:val="rvts0"/>
          <w:sz w:val="28"/>
          <w:szCs w:val="28"/>
        </w:rPr>
        <w:t>зміст показників</w:t>
      </w:r>
      <w:r w:rsidR="005E743A" w:rsidRPr="000A410B">
        <w:rPr>
          <w:rStyle w:val="rvts0"/>
          <w:sz w:val="28"/>
          <w:szCs w:val="28"/>
          <w:lang w:val="ru-RU"/>
        </w:rPr>
        <w:t xml:space="preserve"> кодів показників 021, 022, 621, 622 </w:t>
      </w:r>
      <w:r w:rsidRPr="000A410B">
        <w:rPr>
          <w:rStyle w:val="rvts0"/>
          <w:sz w:val="28"/>
          <w:szCs w:val="28"/>
          <w:lang w:val="ru-RU"/>
        </w:rPr>
        <w:t xml:space="preserve">викласти </w:t>
      </w:r>
      <w:r>
        <w:rPr>
          <w:rStyle w:val="rvts0"/>
          <w:sz w:val="28"/>
          <w:szCs w:val="28"/>
          <w:lang w:val="ru-RU"/>
        </w:rPr>
        <w:t>у</w:t>
      </w:r>
      <w:r w:rsidRPr="000A410B">
        <w:rPr>
          <w:rStyle w:val="rvts0"/>
          <w:sz w:val="28"/>
          <w:szCs w:val="28"/>
          <w:lang w:val="ru-RU"/>
        </w:rPr>
        <w:t xml:space="preserve"> редакції:</w:t>
      </w:r>
    </w:p>
    <w:p w:rsidR="00ED71C9" w:rsidRPr="00ED71C9" w:rsidRDefault="00ED71C9" w:rsidP="00ED71C9">
      <w:pPr>
        <w:tabs>
          <w:tab w:val="left" w:pos="1134"/>
        </w:tabs>
        <w:spacing w:line="360" w:lineRule="auto"/>
        <w:ind w:firstLine="567"/>
        <w:jc w:val="both"/>
        <w:rPr>
          <w:rStyle w:val="rvts0"/>
          <w:sz w:val="28"/>
          <w:szCs w:val="28"/>
          <w:lang w:val="ru-RU"/>
        </w:rPr>
      </w:pPr>
    </w:p>
    <w:p w:rsidR="00623618" w:rsidRDefault="00623618" w:rsidP="008E37C9">
      <w:pPr>
        <w:spacing w:line="360" w:lineRule="auto"/>
        <w:jc w:val="both"/>
        <w:rPr>
          <w:sz w:val="28"/>
          <w:szCs w:val="28"/>
        </w:rPr>
      </w:pPr>
      <w:r>
        <w:rPr>
          <w:sz w:val="28"/>
          <w:szCs w:val="28"/>
        </w:rPr>
        <w:t>«</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461"/>
        <w:gridCol w:w="8296"/>
      </w:tblGrid>
      <w:tr w:rsidR="0010292F" w:rsidRPr="0028122F" w:rsidTr="00CF522A">
        <w:tc>
          <w:tcPr>
            <w:tcW w:w="1461" w:type="dxa"/>
            <w:tcBorders>
              <w:top w:val="outset" w:sz="6" w:space="0" w:color="000000"/>
              <w:left w:val="outset" w:sz="6" w:space="0" w:color="000000"/>
              <w:bottom w:val="outset" w:sz="6" w:space="0" w:color="000000"/>
              <w:right w:val="outset" w:sz="6" w:space="0" w:color="000000"/>
            </w:tcBorders>
          </w:tcPr>
          <w:p w:rsidR="0010292F" w:rsidRPr="000537B7" w:rsidRDefault="0010292F" w:rsidP="007C48AD">
            <w:pPr>
              <w:spacing w:line="360" w:lineRule="auto"/>
              <w:rPr>
                <w:sz w:val="28"/>
                <w:szCs w:val="28"/>
              </w:rPr>
            </w:pPr>
            <w:r>
              <w:rPr>
                <w:sz w:val="28"/>
                <w:szCs w:val="28"/>
              </w:rPr>
              <w:t>02</w:t>
            </w:r>
            <w:r w:rsidR="007941A7">
              <w:rPr>
                <w:sz w:val="28"/>
                <w:szCs w:val="28"/>
              </w:rPr>
              <w:t>1</w:t>
            </w:r>
          </w:p>
        </w:tc>
        <w:tc>
          <w:tcPr>
            <w:tcW w:w="8296" w:type="dxa"/>
            <w:tcBorders>
              <w:top w:val="outset" w:sz="6" w:space="0" w:color="000000"/>
              <w:left w:val="outset" w:sz="6" w:space="0" w:color="000000"/>
              <w:bottom w:val="outset" w:sz="6" w:space="0" w:color="000000"/>
              <w:right w:val="outset" w:sz="6" w:space="0" w:color="000000"/>
            </w:tcBorders>
          </w:tcPr>
          <w:p w:rsidR="00340F79" w:rsidRPr="0010292F" w:rsidRDefault="0010292F" w:rsidP="00E14C11">
            <w:pPr>
              <w:spacing w:line="360" w:lineRule="auto"/>
              <w:jc w:val="both"/>
              <w:rPr>
                <w:sz w:val="28"/>
                <w:szCs w:val="28"/>
              </w:rPr>
            </w:pPr>
            <w:r w:rsidRPr="0010292F">
              <w:rPr>
                <w:sz w:val="28"/>
                <w:szCs w:val="28"/>
              </w:rPr>
              <w:t>Збільшення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(включно) статутного капіталу емітента</w:t>
            </w:r>
            <w:r w:rsidR="00ED71C9">
              <w:rPr>
                <w:sz w:val="28"/>
                <w:szCs w:val="28"/>
              </w:rPr>
              <w:t xml:space="preserve"> </w:t>
            </w:r>
          </w:p>
        </w:tc>
      </w:tr>
      <w:tr w:rsidR="0010292F" w:rsidRPr="0028122F" w:rsidTr="00CF522A">
        <w:tc>
          <w:tcPr>
            <w:tcW w:w="1461" w:type="dxa"/>
            <w:tcBorders>
              <w:top w:val="outset" w:sz="6" w:space="0" w:color="000000"/>
              <w:left w:val="outset" w:sz="6" w:space="0" w:color="000000"/>
              <w:bottom w:val="outset" w:sz="6" w:space="0" w:color="000000"/>
              <w:right w:val="outset" w:sz="6" w:space="0" w:color="000000"/>
            </w:tcBorders>
          </w:tcPr>
          <w:p w:rsidR="0010292F" w:rsidRPr="000537B7" w:rsidRDefault="0010292F" w:rsidP="007C48AD">
            <w:pPr>
              <w:spacing w:line="360" w:lineRule="auto"/>
              <w:rPr>
                <w:sz w:val="28"/>
                <w:szCs w:val="28"/>
              </w:rPr>
            </w:pPr>
            <w:r>
              <w:rPr>
                <w:sz w:val="28"/>
                <w:szCs w:val="28"/>
              </w:rPr>
              <w:t>02</w:t>
            </w:r>
            <w:r w:rsidR="007941A7">
              <w:rPr>
                <w:sz w:val="28"/>
                <w:szCs w:val="28"/>
              </w:rPr>
              <w:t>2</w:t>
            </w:r>
          </w:p>
        </w:tc>
        <w:tc>
          <w:tcPr>
            <w:tcW w:w="8296" w:type="dxa"/>
            <w:tcBorders>
              <w:top w:val="outset" w:sz="6" w:space="0" w:color="000000"/>
              <w:left w:val="outset" w:sz="6" w:space="0" w:color="000000"/>
              <w:bottom w:val="outset" w:sz="6" w:space="0" w:color="000000"/>
              <w:right w:val="outset" w:sz="6" w:space="0" w:color="000000"/>
            </w:tcBorders>
          </w:tcPr>
          <w:p w:rsidR="008A4DBF" w:rsidRPr="0010292F" w:rsidRDefault="0010292F" w:rsidP="008A4DBF">
            <w:pPr>
              <w:spacing w:line="360" w:lineRule="auto"/>
              <w:jc w:val="both"/>
              <w:rPr>
                <w:sz w:val="28"/>
                <w:szCs w:val="28"/>
              </w:rPr>
            </w:pPr>
            <w:r w:rsidRPr="0010292F">
              <w:rPr>
                <w:sz w:val="28"/>
                <w:szCs w:val="28"/>
              </w:rPr>
              <w:t xml:space="preserve">Зменшення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w:t>
            </w:r>
            <w:r w:rsidR="006D5153">
              <w:rPr>
                <w:sz w:val="28"/>
                <w:szCs w:val="28"/>
              </w:rPr>
              <w:t xml:space="preserve">           </w:t>
            </w:r>
            <w:r w:rsidRPr="0010292F">
              <w:rPr>
                <w:sz w:val="28"/>
                <w:szCs w:val="28"/>
              </w:rPr>
              <w:t>від</w:t>
            </w:r>
            <w:r w:rsidR="006D5153">
              <w:rPr>
                <w:sz w:val="28"/>
                <w:szCs w:val="28"/>
              </w:rPr>
              <w:t xml:space="preserve"> </w:t>
            </w:r>
            <w:r w:rsidRPr="0010292F">
              <w:rPr>
                <w:sz w:val="28"/>
                <w:szCs w:val="28"/>
              </w:rPr>
              <w:t>100</w:t>
            </w:r>
            <w:r>
              <w:rPr>
                <w:sz w:val="28"/>
                <w:szCs w:val="28"/>
              </w:rPr>
              <w:t xml:space="preserve"> </w:t>
            </w:r>
            <w:r w:rsidRPr="0010292F">
              <w:rPr>
                <w:sz w:val="28"/>
                <w:szCs w:val="28"/>
              </w:rPr>
              <w:t>% до 5 % (включно) статутного капіталу емітента</w:t>
            </w:r>
            <w:r w:rsidR="008A4DBF">
              <w:rPr>
                <w:sz w:val="28"/>
                <w:szCs w:val="28"/>
              </w:rPr>
              <w:t xml:space="preserve"> </w:t>
            </w:r>
          </w:p>
        </w:tc>
      </w:tr>
      <w:tr w:rsidR="0010292F" w:rsidRPr="0028122F" w:rsidTr="00CF522A">
        <w:tc>
          <w:tcPr>
            <w:tcW w:w="1461" w:type="dxa"/>
            <w:tcBorders>
              <w:top w:val="outset" w:sz="6" w:space="0" w:color="000000"/>
              <w:left w:val="outset" w:sz="6" w:space="0" w:color="000000"/>
              <w:bottom w:val="outset" w:sz="6" w:space="0" w:color="000000"/>
              <w:right w:val="outset" w:sz="6" w:space="0" w:color="000000"/>
            </w:tcBorders>
          </w:tcPr>
          <w:p w:rsidR="0010292F" w:rsidRPr="000537B7" w:rsidRDefault="0010292F" w:rsidP="00CF522A">
            <w:pPr>
              <w:spacing w:line="360" w:lineRule="auto"/>
              <w:rPr>
                <w:sz w:val="28"/>
                <w:szCs w:val="28"/>
              </w:rPr>
            </w:pPr>
            <w:r>
              <w:rPr>
                <w:sz w:val="28"/>
                <w:szCs w:val="28"/>
              </w:rPr>
              <w:lastRenderedPageBreak/>
              <w:t>62</w:t>
            </w:r>
            <w:r w:rsidR="007941A7">
              <w:rPr>
                <w:sz w:val="28"/>
                <w:szCs w:val="28"/>
              </w:rPr>
              <w:t>1</w:t>
            </w:r>
          </w:p>
        </w:tc>
        <w:tc>
          <w:tcPr>
            <w:tcW w:w="8296" w:type="dxa"/>
            <w:tcBorders>
              <w:top w:val="outset" w:sz="6" w:space="0" w:color="000000"/>
              <w:left w:val="outset" w:sz="6" w:space="0" w:color="000000"/>
              <w:bottom w:val="outset" w:sz="6" w:space="0" w:color="000000"/>
              <w:right w:val="outset" w:sz="6" w:space="0" w:color="000000"/>
            </w:tcBorders>
          </w:tcPr>
          <w:p w:rsidR="0010292F" w:rsidRPr="0010292F" w:rsidRDefault="0010292F" w:rsidP="00CF522A">
            <w:pPr>
              <w:spacing w:line="360" w:lineRule="auto"/>
              <w:jc w:val="both"/>
              <w:rPr>
                <w:sz w:val="28"/>
                <w:szCs w:val="28"/>
              </w:rPr>
            </w:pPr>
            <w:r w:rsidRPr="0010292F">
              <w:rPr>
                <w:sz w:val="28"/>
                <w:szCs w:val="28"/>
              </w:rPr>
              <w:t>Збільшення за наслідками операцій емітента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(включно) статутного капіталу емітента</w:t>
            </w:r>
          </w:p>
        </w:tc>
      </w:tr>
      <w:tr w:rsidR="0010292F" w:rsidRPr="0028122F" w:rsidTr="00CF522A">
        <w:tc>
          <w:tcPr>
            <w:tcW w:w="1461" w:type="dxa"/>
            <w:tcBorders>
              <w:top w:val="outset" w:sz="6" w:space="0" w:color="000000"/>
              <w:left w:val="outset" w:sz="6" w:space="0" w:color="000000"/>
              <w:bottom w:val="outset" w:sz="6" w:space="0" w:color="000000"/>
              <w:right w:val="outset" w:sz="6" w:space="0" w:color="000000"/>
            </w:tcBorders>
          </w:tcPr>
          <w:p w:rsidR="0010292F" w:rsidRPr="000537B7" w:rsidRDefault="0010292F" w:rsidP="00CF522A">
            <w:pPr>
              <w:spacing w:line="360" w:lineRule="auto"/>
              <w:rPr>
                <w:sz w:val="28"/>
                <w:szCs w:val="28"/>
              </w:rPr>
            </w:pPr>
            <w:r>
              <w:rPr>
                <w:sz w:val="28"/>
                <w:szCs w:val="28"/>
              </w:rPr>
              <w:t>62</w:t>
            </w:r>
            <w:r w:rsidR="007941A7">
              <w:rPr>
                <w:sz w:val="28"/>
                <w:szCs w:val="28"/>
              </w:rPr>
              <w:t>2</w:t>
            </w:r>
          </w:p>
        </w:tc>
        <w:tc>
          <w:tcPr>
            <w:tcW w:w="8296" w:type="dxa"/>
            <w:tcBorders>
              <w:top w:val="outset" w:sz="6" w:space="0" w:color="000000"/>
              <w:left w:val="outset" w:sz="6" w:space="0" w:color="000000"/>
              <w:bottom w:val="outset" w:sz="6" w:space="0" w:color="000000"/>
              <w:right w:val="outset" w:sz="6" w:space="0" w:color="000000"/>
            </w:tcBorders>
          </w:tcPr>
          <w:p w:rsidR="0010292F" w:rsidRPr="0010292F" w:rsidRDefault="0010292F" w:rsidP="00CF522A">
            <w:pPr>
              <w:spacing w:line="360" w:lineRule="auto"/>
              <w:jc w:val="both"/>
              <w:rPr>
                <w:sz w:val="28"/>
                <w:szCs w:val="28"/>
              </w:rPr>
            </w:pPr>
            <w:r w:rsidRPr="0010292F">
              <w:rPr>
                <w:sz w:val="28"/>
                <w:szCs w:val="28"/>
              </w:rPr>
              <w:t>Зменшення за наслідками операцій емітента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від 100 % до 5 % (включно) статутного капіталу емітента</w:t>
            </w:r>
          </w:p>
        </w:tc>
      </w:tr>
    </w:tbl>
    <w:p w:rsidR="00623618" w:rsidRPr="00071668" w:rsidRDefault="00623618" w:rsidP="008E37C9">
      <w:pPr>
        <w:spacing w:line="360" w:lineRule="auto"/>
        <w:ind w:firstLine="720"/>
        <w:jc w:val="right"/>
        <w:rPr>
          <w:sz w:val="28"/>
          <w:szCs w:val="28"/>
        </w:rPr>
      </w:pPr>
      <w:r>
        <w:rPr>
          <w:sz w:val="28"/>
          <w:szCs w:val="28"/>
        </w:rPr>
        <w:t>»</w:t>
      </w:r>
      <w:r w:rsidR="00FD0F96">
        <w:rPr>
          <w:sz w:val="28"/>
          <w:szCs w:val="28"/>
        </w:rPr>
        <w:t>.</w:t>
      </w:r>
    </w:p>
    <w:p w:rsidR="00B5679A" w:rsidRPr="00B5679A" w:rsidRDefault="00B5679A" w:rsidP="008E37C9">
      <w:pPr>
        <w:spacing w:line="360" w:lineRule="auto"/>
        <w:ind w:firstLine="720"/>
        <w:jc w:val="both"/>
        <w:rPr>
          <w:sz w:val="28"/>
          <w:szCs w:val="28"/>
        </w:rPr>
      </w:pPr>
    </w:p>
    <w:p w:rsidR="00A90D4B" w:rsidRDefault="00077510" w:rsidP="001020E0">
      <w:pPr>
        <w:numPr>
          <w:ilvl w:val="0"/>
          <w:numId w:val="1"/>
        </w:numPr>
        <w:tabs>
          <w:tab w:val="left" w:pos="1134"/>
        </w:tabs>
        <w:spacing w:line="360" w:lineRule="auto"/>
        <w:ind w:left="0" w:firstLine="567"/>
        <w:jc w:val="both"/>
        <w:rPr>
          <w:rStyle w:val="rvts0"/>
          <w:sz w:val="28"/>
          <w:szCs w:val="28"/>
        </w:rPr>
      </w:pPr>
      <w:r>
        <w:rPr>
          <w:sz w:val="28"/>
          <w:szCs w:val="28"/>
        </w:rPr>
        <w:t xml:space="preserve">Довідник </w:t>
      </w:r>
      <w:r w:rsidR="009F65C2">
        <w:rPr>
          <w:sz w:val="28"/>
          <w:szCs w:val="28"/>
        </w:rPr>
        <w:t>34</w:t>
      </w:r>
      <w:r>
        <w:rPr>
          <w:sz w:val="28"/>
          <w:szCs w:val="28"/>
        </w:rPr>
        <w:t xml:space="preserve"> </w:t>
      </w:r>
      <w:r w:rsidRPr="009F65C2">
        <w:rPr>
          <w:rStyle w:val="rvts0"/>
          <w:sz w:val="28"/>
          <w:szCs w:val="28"/>
        </w:rPr>
        <w:t>«</w:t>
      </w:r>
      <w:r w:rsidR="009F65C2" w:rsidRPr="009F65C2">
        <w:rPr>
          <w:color w:val="000000"/>
          <w:sz w:val="28"/>
          <w:szCs w:val="28"/>
        </w:rPr>
        <w:t>Перелік депозитарних операцій та послуг депозитарних установ</w:t>
      </w:r>
      <w:r w:rsidRPr="009F65C2">
        <w:rPr>
          <w:rStyle w:val="rvts0"/>
          <w:sz w:val="28"/>
          <w:szCs w:val="28"/>
        </w:rPr>
        <w:t>»</w:t>
      </w:r>
      <w:r w:rsidR="00A90D4B">
        <w:rPr>
          <w:rStyle w:val="rvts0"/>
          <w:sz w:val="28"/>
          <w:szCs w:val="28"/>
        </w:rPr>
        <w:t>:</w:t>
      </w:r>
      <w:r w:rsidR="00623618">
        <w:rPr>
          <w:rStyle w:val="rvts0"/>
          <w:sz w:val="28"/>
          <w:szCs w:val="28"/>
        </w:rPr>
        <w:t xml:space="preserve"> </w:t>
      </w:r>
    </w:p>
    <w:p w:rsidR="00A90D4B" w:rsidRDefault="00A90D4B" w:rsidP="00A90D4B">
      <w:pPr>
        <w:tabs>
          <w:tab w:val="left" w:pos="1134"/>
        </w:tabs>
        <w:spacing w:line="360" w:lineRule="auto"/>
        <w:ind w:left="567"/>
        <w:jc w:val="both"/>
        <w:rPr>
          <w:rStyle w:val="rvts0"/>
          <w:sz w:val="28"/>
          <w:szCs w:val="28"/>
        </w:rPr>
      </w:pPr>
    </w:p>
    <w:p w:rsidR="00A90D4B" w:rsidRDefault="00A90D4B" w:rsidP="000877D3">
      <w:pPr>
        <w:numPr>
          <w:ilvl w:val="0"/>
          <w:numId w:val="10"/>
        </w:numPr>
        <w:tabs>
          <w:tab w:val="left" w:pos="1134"/>
        </w:tabs>
        <w:spacing w:line="360" w:lineRule="auto"/>
        <w:ind w:left="0" w:firstLine="567"/>
        <w:jc w:val="both"/>
        <w:rPr>
          <w:rStyle w:val="rvts0"/>
          <w:sz w:val="28"/>
          <w:szCs w:val="28"/>
        </w:rPr>
      </w:pPr>
      <w:r>
        <w:rPr>
          <w:rStyle w:val="rvts0"/>
          <w:sz w:val="28"/>
          <w:szCs w:val="28"/>
        </w:rPr>
        <w:t>зміст показників кодів показників 11, 12, 17, 18, 31 викласти у редакції</w:t>
      </w:r>
      <w:r w:rsidR="000877D3">
        <w:rPr>
          <w:rStyle w:val="rvts0"/>
          <w:sz w:val="28"/>
          <w:szCs w:val="28"/>
        </w:rPr>
        <w:t>:</w:t>
      </w:r>
      <w:r w:rsidR="000249CB">
        <w:rPr>
          <w:rStyle w:val="rvts0"/>
          <w:sz w:val="28"/>
          <w:szCs w:val="28"/>
        </w:rPr>
        <w:t xml:space="preserve"> </w:t>
      </w:r>
    </w:p>
    <w:p w:rsidR="000249CB" w:rsidRDefault="000249CB" w:rsidP="000249CB">
      <w:pPr>
        <w:tabs>
          <w:tab w:val="left" w:pos="1134"/>
        </w:tabs>
        <w:spacing w:line="360" w:lineRule="auto"/>
        <w:ind w:left="567"/>
        <w:jc w:val="both"/>
        <w:rPr>
          <w:rStyle w:val="rvts0"/>
          <w:sz w:val="28"/>
          <w:szCs w:val="28"/>
        </w:rPr>
      </w:pPr>
    </w:p>
    <w:p w:rsidR="00A90D4B" w:rsidRDefault="000877D3" w:rsidP="00A90D4B">
      <w:pPr>
        <w:tabs>
          <w:tab w:val="left" w:pos="1134"/>
        </w:tabs>
        <w:spacing w:line="360" w:lineRule="auto"/>
        <w:ind w:left="567"/>
        <w:jc w:val="both"/>
        <w:rPr>
          <w:rStyle w:val="rvts0"/>
          <w:sz w:val="28"/>
          <w:szCs w:val="28"/>
        </w:rPr>
      </w:pPr>
      <w:r>
        <w:rPr>
          <w:rStyle w:val="rvts0"/>
          <w:sz w:val="28"/>
          <w:szCs w:val="28"/>
        </w:rPr>
        <w:t>«</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51"/>
        <w:gridCol w:w="8106"/>
      </w:tblGrid>
      <w:tr w:rsidR="000877D3" w:rsidRPr="004C2BF2" w:rsidTr="009D678C">
        <w:tc>
          <w:tcPr>
            <w:tcW w:w="1651" w:type="dxa"/>
            <w:tcBorders>
              <w:top w:val="outset" w:sz="4" w:space="0" w:color="000000"/>
              <w:left w:val="outset" w:sz="4" w:space="0" w:color="000000"/>
              <w:bottom w:val="outset" w:sz="4" w:space="0" w:color="000000"/>
              <w:right w:val="outset" w:sz="4" w:space="0" w:color="000000"/>
            </w:tcBorders>
          </w:tcPr>
          <w:p w:rsidR="000877D3" w:rsidRDefault="000877D3" w:rsidP="009D678C">
            <w:pPr>
              <w:spacing w:line="360" w:lineRule="auto"/>
              <w:rPr>
                <w:sz w:val="28"/>
                <w:szCs w:val="28"/>
              </w:rPr>
            </w:pPr>
            <w:r>
              <w:rPr>
                <w:sz w:val="28"/>
                <w:szCs w:val="28"/>
              </w:rPr>
              <w:t>11</w:t>
            </w:r>
          </w:p>
        </w:tc>
        <w:tc>
          <w:tcPr>
            <w:tcW w:w="8106" w:type="dxa"/>
            <w:tcBorders>
              <w:top w:val="outset" w:sz="4" w:space="0" w:color="000000"/>
              <w:left w:val="outset" w:sz="4" w:space="0" w:color="000000"/>
              <w:bottom w:val="outset" w:sz="4" w:space="0" w:color="000000"/>
              <w:right w:val="outset" w:sz="4" w:space="0" w:color="000000"/>
            </w:tcBorders>
          </w:tcPr>
          <w:p w:rsidR="000877D3" w:rsidRPr="004C2BF2" w:rsidRDefault="000877D3" w:rsidP="009D678C">
            <w:pPr>
              <w:pStyle w:val="af1"/>
              <w:spacing w:before="0" w:beforeAutospacing="0" w:after="0" w:afterAutospacing="0" w:line="360" w:lineRule="auto"/>
              <w:jc w:val="both"/>
              <w:rPr>
                <w:sz w:val="28"/>
                <w:szCs w:val="28"/>
              </w:rPr>
            </w:pPr>
            <w:r w:rsidRPr="004C2BF2">
              <w:rPr>
                <w:sz w:val="28"/>
                <w:szCs w:val="28"/>
              </w:rPr>
              <w:t>Внесення змін до системи депозитарного обліку за наслідками виконання судового рішення, рішення Національної комісії з цінних паперів та фондового ринку, постанови або розпорядження її уповноваженої особи</w:t>
            </w:r>
          </w:p>
        </w:tc>
      </w:tr>
      <w:tr w:rsidR="000877D3" w:rsidRPr="002F63CC" w:rsidTr="009D678C">
        <w:tc>
          <w:tcPr>
            <w:tcW w:w="1651" w:type="dxa"/>
            <w:tcBorders>
              <w:top w:val="outset" w:sz="4" w:space="0" w:color="000000"/>
              <w:left w:val="outset" w:sz="4" w:space="0" w:color="000000"/>
              <w:bottom w:val="outset" w:sz="4" w:space="0" w:color="000000"/>
              <w:right w:val="outset" w:sz="4" w:space="0" w:color="000000"/>
            </w:tcBorders>
          </w:tcPr>
          <w:p w:rsidR="000877D3" w:rsidRPr="00EE74DD" w:rsidRDefault="000877D3" w:rsidP="009D678C">
            <w:pPr>
              <w:spacing w:line="360" w:lineRule="auto"/>
              <w:rPr>
                <w:sz w:val="28"/>
                <w:szCs w:val="28"/>
              </w:rPr>
            </w:pPr>
            <w:r>
              <w:rPr>
                <w:sz w:val="28"/>
                <w:szCs w:val="28"/>
              </w:rPr>
              <w:t>12</w:t>
            </w:r>
          </w:p>
        </w:tc>
        <w:tc>
          <w:tcPr>
            <w:tcW w:w="8106" w:type="dxa"/>
            <w:tcBorders>
              <w:top w:val="outset" w:sz="4" w:space="0" w:color="000000"/>
              <w:left w:val="outset" w:sz="4" w:space="0" w:color="000000"/>
              <w:bottom w:val="outset" w:sz="4" w:space="0" w:color="000000"/>
              <w:right w:val="outset" w:sz="4" w:space="0" w:color="000000"/>
            </w:tcBorders>
          </w:tcPr>
          <w:p w:rsidR="000877D3" w:rsidRPr="002F63CC" w:rsidRDefault="000877D3" w:rsidP="009D678C">
            <w:pPr>
              <w:pStyle w:val="af1"/>
              <w:spacing w:before="0" w:beforeAutospacing="0" w:after="0" w:afterAutospacing="0" w:line="360" w:lineRule="auto"/>
              <w:jc w:val="both"/>
              <w:rPr>
                <w:sz w:val="28"/>
                <w:szCs w:val="28"/>
              </w:rPr>
            </w:pPr>
            <w:r w:rsidRPr="002F63CC">
              <w:rPr>
                <w:sz w:val="28"/>
                <w:szCs w:val="28"/>
              </w:rPr>
              <w:t>Списання прав на цінні папери з рахунку у цінних паперах внаслідок скасування реєстрації випуску цінних паперів, виконання судового рішення</w:t>
            </w:r>
          </w:p>
        </w:tc>
      </w:tr>
      <w:tr w:rsidR="000877D3" w:rsidRPr="002F63CC" w:rsidTr="000877D3">
        <w:tc>
          <w:tcPr>
            <w:tcW w:w="1651" w:type="dxa"/>
            <w:tcBorders>
              <w:top w:val="outset" w:sz="4" w:space="0" w:color="000000"/>
              <w:left w:val="outset" w:sz="4" w:space="0" w:color="000000"/>
              <w:bottom w:val="outset" w:sz="4" w:space="0" w:color="000000"/>
              <w:right w:val="outset" w:sz="4" w:space="0" w:color="000000"/>
            </w:tcBorders>
          </w:tcPr>
          <w:p w:rsidR="000877D3" w:rsidRPr="00EE74DD" w:rsidRDefault="000877D3" w:rsidP="009D678C">
            <w:pPr>
              <w:spacing w:line="360" w:lineRule="auto"/>
              <w:rPr>
                <w:sz w:val="28"/>
                <w:szCs w:val="28"/>
              </w:rPr>
            </w:pPr>
            <w:r>
              <w:rPr>
                <w:sz w:val="28"/>
                <w:szCs w:val="28"/>
              </w:rPr>
              <w:t>17</w:t>
            </w:r>
          </w:p>
        </w:tc>
        <w:tc>
          <w:tcPr>
            <w:tcW w:w="8106" w:type="dxa"/>
            <w:tcBorders>
              <w:top w:val="outset" w:sz="4" w:space="0" w:color="000000"/>
              <w:left w:val="outset" w:sz="4" w:space="0" w:color="000000"/>
              <w:bottom w:val="outset" w:sz="4" w:space="0" w:color="000000"/>
              <w:right w:val="outset" w:sz="4" w:space="0" w:color="000000"/>
            </w:tcBorders>
          </w:tcPr>
          <w:p w:rsidR="000877D3" w:rsidRDefault="000877D3" w:rsidP="009D678C">
            <w:pPr>
              <w:pStyle w:val="af1"/>
              <w:spacing w:before="0" w:beforeAutospacing="0" w:after="0" w:afterAutospacing="0" w:line="360" w:lineRule="auto"/>
              <w:jc w:val="both"/>
              <w:rPr>
                <w:sz w:val="28"/>
                <w:szCs w:val="28"/>
              </w:rPr>
            </w:pPr>
            <w:r w:rsidRPr="002F63CC">
              <w:rPr>
                <w:sz w:val="28"/>
                <w:szCs w:val="28"/>
              </w:rPr>
              <w:t>Переказ прав на цінні папери, що призводить до зменшення кількості прав на цінні папери на рахунку в цінних паперах</w:t>
            </w:r>
          </w:p>
          <w:p w:rsidR="008A4DBF" w:rsidRPr="002F63CC" w:rsidRDefault="008A4DBF" w:rsidP="009D678C">
            <w:pPr>
              <w:pStyle w:val="af1"/>
              <w:spacing w:before="0" w:beforeAutospacing="0" w:after="0" w:afterAutospacing="0" w:line="360" w:lineRule="auto"/>
              <w:jc w:val="both"/>
              <w:rPr>
                <w:sz w:val="28"/>
                <w:szCs w:val="28"/>
              </w:rPr>
            </w:pPr>
          </w:p>
        </w:tc>
      </w:tr>
      <w:tr w:rsidR="000877D3" w:rsidRPr="002F63CC" w:rsidTr="000877D3">
        <w:tc>
          <w:tcPr>
            <w:tcW w:w="1651" w:type="dxa"/>
            <w:tcBorders>
              <w:top w:val="outset" w:sz="4" w:space="0" w:color="000000"/>
              <w:left w:val="outset" w:sz="4" w:space="0" w:color="000000"/>
              <w:bottom w:val="outset" w:sz="4" w:space="0" w:color="000000"/>
              <w:right w:val="outset" w:sz="4" w:space="0" w:color="000000"/>
            </w:tcBorders>
          </w:tcPr>
          <w:p w:rsidR="000877D3" w:rsidRPr="00EE74DD" w:rsidRDefault="000877D3" w:rsidP="009D678C">
            <w:pPr>
              <w:spacing w:line="360" w:lineRule="auto"/>
              <w:rPr>
                <w:sz w:val="28"/>
                <w:szCs w:val="28"/>
              </w:rPr>
            </w:pPr>
            <w:r>
              <w:rPr>
                <w:sz w:val="28"/>
                <w:szCs w:val="28"/>
              </w:rPr>
              <w:lastRenderedPageBreak/>
              <w:t>18</w:t>
            </w:r>
          </w:p>
        </w:tc>
        <w:tc>
          <w:tcPr>
            <w:tcW w:w="8106" w:type="dxa"/>
            <w:tcBorders>
              <w:top w:val="outset" w:sz="4" w:space="0" w:color="000000"/>
              <w:left w:val="outset" w:sz="4" w:space="0" w:color="000000"/>
              <w:bottom w:val="outset" w:sz="4" w:space="0" w:color="000000"/>
              <w:right w:val="outset" w:sz="4" w:space="0" w:color="000000"/>
            </w:tcBorders>
          </w:tcPr>
          <w:p w:rsidR="000877D3" w:rsidRPr="002F63CC" w:rsidRDefault="000877D3" w:rsidP="009D678C">
            <w:pPr>
              <w:pStyle w:val="af1"/>
              <w:spacing w:before="0" w:beforeAutospacing="0" w:after="0" w:afterAutospacing="0" w:line="360" w:lineRule="auto"/>
              <w:jc w:val="both"/>
              <w:rPr>
                <w:sz w:val="28"/>
                <w:szCs w:val="28"/>
              </w:rPr>
            </w:pPr>
            <w:r w:rsidRPr="002F63CC">
              <w:rPr>
                <w:sz w:val="28"/>
                <w:szCs w:val="28"/>
              </w:rPr>
              <w:t>Переказ прав на цінні папери, що призводить до збільшення кількості прав на цінні папери на рахунку в цінних паперах</w:t>
            </w:r>
          </w:p>
        </w:tc>
      </w:tr>
      <w:tr w:rsidR="000877D3" w:rsidRPr="002F63CC" w:rsidTr="000877D3">
        <w:tc>
          <w:tcPr>
            <w:tcW w:w="1651" w:type="dxa"/>
            <w:tcBorders>
              <w:top w:val="outset" w:sz="4" w:space="0" w:color="000000"/>
              <w:left w:val="outset" w:sz="4" w:space="0" w:color="000000"/>
              <w:bottom w:val="outset" w:sz="4" w:space="0" w:color="000000"/>
              <w:right w:val="outset" w:sz="4" w:space="0" w:color="000000"/>
            </w:tcBorders>
          </w:tcPr>
          <w:p w:rsidR="000877D3" w:rsidRPr="00EE74DD" w:rsidRDefault="000877D3" w:rsidP="009D678C">
            <w:pPr>
              <w:spacing w:line="360" w:lineRule="auto"/>
              <w:rPr>
                <w:sz w:val="28"/>
                <w:szCs w:val="28"/>
              </w:rPr>
            </w:pPr>
            <w:r>
              <w:rPr>
                <w:sz w:val="28"/>
                <w:szCs w:val="28"/>
              </w:rPr>
              <w:t>31</w:t>
            </w:r>
          </w:p>
        </w:tc>
        <w:tc>
          <w:tcPr>
            <w:tcW w:w="8106" w:type="dxa"/>
            <w:tcBorders>
              <w:top w:val="outset" w:sz="4" w:space="0" w:color="000000"/>
              <w:left w:val="outset" w:sz="4" w:space="0" w:color="000000"/>
              <w:bottom w:val="outset" w:sz="4" w:space="0" w:color="000000"/>
              <w:right w:val="outset" w:sz="4" w:space="0" w:color="000000"/>
            </w:tcBorders>
          </w:tcPr>
          <w:p w:rsidR="000877D3" w:rsidRPr="002F63CC" w:rsidRDefault="000877D3" w:rsidP="009D678C">
            <w:pPr>
              <w:pStyle w:val="af1"/>
              <w:spacing w:before="0" w:beforeAutospacing="0" w:after="0" w:afterAutospacing="0" w:line="360" w:lineRule="auto"/>
              <w:jc w:val="both"/>
              <w:rPr>
                <w:sz w:val="28"/>
                <w:szCs w:val="28"/>
              </w:rPr>
            </w:pPr>
            <w:r w:rsidRPr="002F63CC">
              <w:rPr>
                <w:sz w:val="28"/>
                <w:szCs w:val="28"/>
              </w:rPr>
              <w:t>Облік прав на цінні папери на рахунку в цінних паперах</w:t>
            </w:r>
          </w:p>
        </w:tc>
      </w:tr>
    </w:tbl>
    <w:p w:rsidR="00A90D4B" w:rsidRDefault="000877D3" w:rsidP="00A90D4B">
      <w:pPr>
        <w:tabs>
          <w:tab w:val="left" w:pos="1134"/>
        </w:tabs>
        <w:spacing w:line="360" w:lineRule="auto"/>
        <w:ind w:left="567"/>
        <w:jc w:val="both"/>
        <w:rPr>
          <w:rStyle w:val="rvts0"/>
          <w:sz w:val="28"/>
          <w:szCs w:val="28"/>
        </w:rPr>
      </w:pP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t>»;</w:t>
      </w:r>
    </w:p>
    <w:p w:rsidR="001020E0" w:rsidRDefault="001020E0" w:rsidP="00A90D4B">
      <w:pPr>
        <w:tabs>
          <w:tab w:val="left" w:pos="1134"/>
        </w:tabs>
        <w:spacing w:line="360" w:lineRule="auto"/>
        <w:ind w:left="567"/>
        <w:jc w:val="both"/>
        <w:rPr>
          <w:rStyle w:val="rvts0"/>
          <w:sz w:val="28"/>
          <w:szCs w:val="28"/>
        </w:rPr>
      </w:pPr>
    </w:p>
    <w:p w:rsidR="000877D3" w:rsidRDefault="000877D3" w:rsidP="000877D3">
      <w:pPr>
        <w:numPr>
          <w:ilvl w:val="0"/>
          <w:numId w:val="10"/>
        </w:numPr>
        <w:tabs>
          <w:tab w:val="left" w:pos="1134"/>
        </w:tabs>
        <w:spacing w:line="360" w:lineRule="auto"/>
        <w:jc w:val="both"/>
        <w:rPr>
          <w:rStyle w:val="rvts0"/>
          <w:sz w:val="28"/>
          <w:szCs w:val="28"/>
        </w:rPr>
      </w:pPr>
      <w:r>
        <w:rPr>
          <w:rStyle w:val="rvts0"/>
          <w:sz w:val="28"/>
          <w:szCs w:val="28"/>
        </w:rPr>
        <w:t>доповнити новою позицією такого змісту:</w:t>
      </w:r>
      <w:r w:rsidR="008A4DBF">
        <w:rPr>
          <w:rStyle w:val="rvts0"/>
          <w:sz w:val="28"/>
          <w:szCs w:val="28"/>
        </w:rPr>
        <w:t xml:space="preserve"> </w:t>
      </w:r>
    </w:p>
    <w:p w:rsidR="008A4DBF" w:rsidRDefault="008A4DBF" w:rsidP="008A4DBF">
      <w:pPr>
        <w:tabs>
          <w:tab w:val="left" w:pos="1134"/>
        </w:tabs>
        <w:spacing w:line="360" w:lineRule="auto"/>
        <w:ind w:left="927"/>
        <w:jc w:val="both"/>
        <w:rPr>
          <w:rStyle w:val="rvts0"/>
          <w:sz w:val="28"/>
          <w:szCs w:val="28"/>
        </w:rPr>
      </w:pPr>
    </w:p>
    <w:p w:rsidR="000877D3" w:rsidRDefault="000877D3" w:rsidP="00A90D4B">
      <w:pPr>
        <w:tabs>
          <w:tab w:val="left" w:pos="1134"/>
        </w:tabs>
        <w:spacing w:line="360" w:lineRule="auto"/>
        <w:ind w:left="567"/>
        <w:jc w:val="both"/>
        <w:rPr>
          <w:rStyle w:val="rvts0"/>
          <w:sz w:val="28"/>
          <w:szCs w:val="28"/>
        </w:rPr>
      </w:pPr>
      <w:r>
        <w:rPr>
          <w:rStyle w:val="rvts0"/>
          <w:sz w:val="28"/>
          <w:szCs w:val="28"/>
        </w:rPr>
        <w:t>«</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51"/>
        <w:gridCol w:w="8106"/>
      </w:tblGrid>
      <w:tr w:rsidR="00BA54E1" w:rsidRPr="00466D57" w:rsidTr="009D678C">
        <w:tc>
          <w:tcPr>
            <w:tcW w:w="1651" w:type="dxa"/>
            <w:tcBorders>
              <w:top w:val="outset" w:sz="4" w:space="0" w:color="000000"/>
              <w:left w:val="outset" w:sz="4" w:space="0" w:color="000000"/>
              <w:bottom w:val="outset" w:sz="4" w:space="0" w:color="000000"/>
              <w:right w:val="outset" w:sz="4" w:space="0" w:color="000000"/>
            </w:tcBorders>
          </w:tcPr>
          <w:p w:rsidR="00BA54E1" w:rsidRPr="00EE74DD" w:rsidRDefault="00BA54E1" w:rsidP="009D678C">
            <w:pPr>
              <w:spacing w:line="360" w:lineRule="auto"/>
              <w:rPr>
                <w:sz w:val="28"/>
                <w:szCs w:val="28"/>
              </w:rPr>
            </w:pPr>
            <w:r>
              <w:rPr>
                <w:sz w:val="28"/>
                <w:szCs w:val="28"/>
              </w:rPr>
              <w:t>40</w:t>
            </w:r>
          </w:p>
        </w:tc>
        <w:tc>
          <w:tcPr>
            <w:tcW w:w="8106" w:type="dxa"/>
            <w:tcBorders>
              <w:top w:val="outset" w:sz="4" w:space="0" w:color="000000"/>
              <w:left w:val="outset" w:sz="4" w:space="0" w:color="000000"/>
              <w:bottom w:val="outset" w:sz="4" w:space="0" w:color="000000"/>
              <w:right w:val="outset" w:sz="4" w:space="0" w:color="000000"/>
            </w:tcBorders>
          </w:tcPr>
          <w:p w:rsidR="00BA54E1" w:rsidRPr="00466D57" w:rsidRDefault="00BA54E1" w:rsidP="009D678C">
            <w:pPr>
              <w:pStyle w:val="af1"/>
              <w:spacing w:before="0" w:beforeAutospacing="0" w:after="0" w:afterAutospacing="0" w:line="360" w:lineRule="auto"/>
              <w:jc w:val="both"/>
              <w:rPr>
                <w:sz w:val="28"/>
                <w:szCs w:val="28"/>
              </w:rPr>
            </w:pPr>
            <w:r w:rsidRPr="00466D57">
              <w:rPr>
                <w:sz w:val="28"/>
                <w:szCs w:val="28"/>
              </w:rPr>
              <w:t>Відкриття рахунку в цінних паперах на підставі договору про надання послуг з обслуговування рахунка в цінних паперах номінального утримувача</w:t>
            </w:r>
          </w:p>
        </w:tc>
      </w:tr>
    </w:tbl>
    <w:p w:rsidR="000877D3" w:rsidRDefault="00BA54E1" w:rsidP="00A90D4B">
      <w:pPr>
        <w:tabs>
          <w:tab w:val="left" w:pos="1134"/>
        </w:tabs>
        <w:spacing w:line="360" w:lineRule="auto"/>
        <w:ind w:left="567"/>
        <w:jc w:val="both"/>
        <w:rPr>
          <w:rStyle w:val="rvts0"/>
          <w:sz w:val="28"/>
          <w:szCs w:val="28"/>
        </w:rPr>
      </w:pP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r>
      <w:r>
        <w:rPr>
          <w:rStyle w:val="rvts0"/>
          <w:sz w:val="28"/>
          <w:szCs w:val="28"/>
        </w:rPr>
        <w:tab/>
        <w:t>».</w:t>
      </w:r>
    </w:p>
    <w:p w:rsidR="00B5679A" w:rsidRDefault="00B5679A" w:rsidP="008E37C9">
      <w:pPr>
        <w:spacing w:line="360" w:lineRule="auto"/>
        <w:ind w:firstLine="720"/>
        <w:jc w:val="both"/>
        <w:rPr>
          <w:sz w:val="28"/>
          <w:szCs w:val="28"/>
        </w:rPr>
      </w:pPr>
    </w:p>
    <w:p w:rsidR="00C62E9C" w:rsidRDefault="005F2705" w:rsidP="001020E0">
      <w:pPr>
        <w:numPr>
          <w:ilvl w:val="0"/>
          <w:numId w:val="1"/>
        </w:numPr>
        <w:tabs>
          <w:tab w:val="left" w:pos="1134"/>
        </w:tabs>
        <w:spacing w:line="360" w:lineRule="auto"/>
        <w:ind w:left="0" w:firstLine="567"/>
        <w:jc w:val="both"/>
        <w:rPr>
          <w:sz w:val="28"/>
          <w:szCs w:val="28"/>
        </w:rPr>
      </w:pPr>
      <w:r w:rsidRPr="005F2705">
        <w:rPr>
          <w:sz w:val="28"/>
          <w:szCs w:val="28"/>
        </w:rPr>
        <w:t>Довідник 35 «</w:t>
      </w:r>
      <w:r w:rsidRPr="005F2705">
        <w:rPr>
          <w:color w:val="000000"/>
          <w:sz w:val="28"/>
          <w:szCs w:val="28"/>
        </w:rPr>
        <w:t>Вид інформації, що передається від депозитарної установи до уповноваженого на зберігання (Центрального депозитарію цінних паперів та/або Національного банку України) при припиненні нею здійснення депозитарної діяльності депозитарної установи</w:t>
      </w:r>
      <w:r w:rsidRPr="005F2705">
        <w:rPr>
          <w:sz w:val="28"/>
          <w:szCs w:val="28"/>
        </w:rPr>
        <w:t>»</w:t>
      </w:r>
      <w:r w:rsidR="00C62E9C">
        <w:rPr>
          <w:sz w:val="28"/>
          <w:szCs w:val="28"/>
        </w:rPr>
        <w:t>:</w:t>
      </w:r>
      <w:r>
        <w:rPr>
          <w:sz w:val="28"/>
          <w:szCs w:val="28"/>
        </w:rPr>
        <w:t xml:space="preserve"> </w:t>
      </w:r>
    </w:p>
    <w:p w:rsidR="00340F79" w:rsidRDefault="00340F79" w:rsidP="00340F79">
      <w:pPr>
        <w:tabs>
          <w:tab w:val="left" w:pos="1134"/>
        </w:tabs>
        <w:spacing w:line="360" w:lineRule="auto"/>
        <w:ind w:left="567"/>
        <w:jc w:val="both"/>
        <w:rPr>
          <w:sz w:val="28"/>
          <w:szCs w:val="28"/>
        </w:rPr>
      </w:pPr>
    </w:p>
    <w:p w:rsidR="00B75738" w:rsidRDefault="00B75738" w:rsidP="00B70504">
      <w:pPr>
        <w:numPr>
          <w:ilvl w:val="0"/>
          <w:numId w:val="9"/>
        </w:numPr>
        <w:tabs>
          <w:tab w:val="left" w:pos="1134"/>
        </w:tabs>
        <w:spacing w:line="360" w:lineRule="auto"/>
        <w:ind w:left="0" w:firstLine="567"/>
        <w:jc w:val="both"/>
        <w:rPr>
          <w:sz w:val="28"/>
          <w:szCs w:val="28"/>
        </w:rPr>
      </w:pPr>
      <w:r w:rsidRPr="005E743A">
        <w:rPr>
          <w:sz w:val="28"/>
          <w:szCs w:val="28"/>
        </w:rPr>
        <w:t>зміст показника</w:t>
      </w:r>
      <w:r w:rsidR="005E743A" w:rsidRPr="005E743A">
        <w:rPr>
          <w:sz w:val="28"/>
          <w:szCs w:val="28"/>
        </w:rPr>
        <w:t xml:space="preserve"> коду показника 07 доповнити слов</w:t>
      </w:r>
      <w:r w:rsidR="00A963E7">
        <w:rPr>
          <w:sz w:val="28"/>
          <w:szCs w:val="28"/>
        </w:rPr>
        <w:t>ами</w:t>
      </w:r>
      <w:r w:rsidR="005E743A" w:rsidRPr="005E743A">
        <w:rPr>
          <w:sz w:val="28"/>
          <w:szCs w:val="28"/>
        </w:rPr>
        <w:t xml:space="preserve"> «(не використовується)»;</w:t>
      </w:r>
    </w:p>
    <w:p w:rsidR="00B75738" w:rsidRDefault="00B75738" w:rsidP="00ED71C9">
      <w:pPr>
        <w:tabs>
          <w:tab w:val="left" w:pos="1134"/>
        </w:tabs>
        <w:spacing w:line="360" w:lineRule="auto"/>
        <w:ind w:left="567"/>
        <w:jc w:val="both"/>
        <w:rPr>
          <w:sz w:val="28"/>
          <w:szCs w:val="28"/>
        </w:rPr>
      </w:pPr>
    </w:p>
    <w:p w:rsidR="005F2705" w:rsidRDefault="005F2705" w:rsidP="00B75738">
      <w:pPr>
        <w:numPr>
          <w:ilvl w:val="0"/>
          <w:numId w:val="8"/>
        </w:numPr>
        <w:tabs>
          <w:tab w:val="left" w:pos="1134"/>
        </w:tabs>
        <w:spacing w:line="360" w:lineRule="auto"/>
        <w:ind w:left="0" w:firstLine="567"/>
        <w:jc w:val="both"/>
        <w:rPr>
          <w:sz w:val="28"/>
          <w:szCs w:val="28"/>
        </w:rPr>
      </w:pPr>
      <w:r>
        <w:rPr>
          <w:sz w:val="28"/>
          <w:szCs w:val="28"/>
        </w:rPr>
        <w:t>доповнити новими позиціями такого змісту:</w:t>
      </w:r>
      <w:r w:rsidR="00E4452F">
        <w:rPr>
          <w:sz w:val="28"/>
          <w:szCs w:val="28"/>
        </w:rPr>
        <w:t xml:space="preserve"> </w:t>
      </w:r>
    </w:p>
    <w:p w:rsidR="00E4452F" w:rsidRDefault="00E4452F" w:rsidP="00E4452F">
      <w:pPr>
        <w:tabs>
          <w:tab w:val="left" w:pos="1134"/>
        </w:tabs>
        <w:spacing w:line="360" w:lineRule="auto"/>
        <w:ind w:left="567"/>
        <w:jc w:val="both"/>
        <w:rPr>
          <w:sz w:val="28"/>
          <w:szCs w:val="28"/>
        </w:rPr>
      </w:pPr>
    </w:p>
    <w:p w:rsidR="005F2705" w:rsidRPr="004D42B6" w:rsidRDefault="005F2705" w:rsidP="005F2705">
      <w:pPr>
        <w:spacing w:line="360" w:lineRule="auto"/>
        <w:ind w:firstLine="567"/>
        <w:jc w:val="both"/>
        <w:rPr>
          <w:sz w:val="28"/>
          <w:szCs w:val="28"/>
        </w:rPr>
      </w:pPr>
      <w:r>
        <w:rPr>
          <w:sz w:val="28"/>
          <w:szCs w:val="28"/>
        </w:rPr>
        <w:t>«</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1651"/>
        <w:gridCol w:w="8106"/>
      </w:tblGrid>
      <w:tr w:rsidR="005F2705" w:rsidTr="0061649F">
        <w:tc>
          <w:tcPr>
            <w:tcW w:w="1651" w:type="dxa"/>
            <w:tcBorders>
              <w:top w:val="outset" w:sz="4" w:space="0" w:color="000000"/>
              <w:left w:val="outset" w:sz="4" w:space="0" w:color="000000"/>
              <w:bottom w:val="outset" w:sz="4" w:space="0" w:color="000000"/>
              <w:right w:val="outset" w:sz="4" w:space="0" w:color="000000"/>
            </w:tcBorders>
          </w:tcPr>
          <w:p w:rsidR="005F2705" w:rsidRPr="0019494D" w:rsidRDefault="00DB403D" w:rsidP="0061649F">
            <w:pPr>
              <w:spacing w:line="360" w:lineRule="auto"/>
              <w:rPr>
                <w:sz w:val="28"/>
                <w:szCs w:val="28"/>
              </w:rPr>
            </w:pPr>
            <w:r>
              <w:rPr>
                <w:sz w:val="28"/>
                <w:szCs w:val="28"/>
              </w:rPr>
              <w:t>19</w:t>
            </w:r>
          </w:p>
        </w:tc>
        <w:tc>
          <w:tcPr>
            <w:tcW w:w="8106" w:type="dxa"/>
            <w:tcBorders>
              <w:top w:val="outset" w:sz="4" w:space="0" w:color="000000"/>
              <w:left w:val="outset" w:sz="4" w:space="0" w:color="000000"/>
              <w:bottom w:val="outset" w:sz="4" w:space="0" w:color="000000"/>
              <w:right w:val="outset" w:sz="4" w:space="0" w:color="000000"/>
            </w:tcBorders>
          </w:tcPr>
          <w:p w:rsidR="00B532E7" w:rsidRPr="005F2705" w:rsidRDefault="005F2705" w:rsidP="00CC51E5">
            <w:pPr>
              <w:pStyle w:val="af1"/>
              <w:spacing w:before="0" w:beforeAutospacing="0" w:after="0" w:afterAutospacing="0" w:line="360" w:lineRule="auto"/>
              <w:jc w:val="both"/>
              <w:rPr>
                <w:sz w:val="28"/>
                <w:szCs w:val="28"/>
              </w:rPr>
            </w:pPr>
            <w:r w:rsidRPr="005F2705">
              <w:rPr>
                <w:sz w:val="28"/>
                <w:szCs w:val="28"/>
              </w:rPr>
              <w:t xml:space="preserve">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w:t>
            </w:r>
            <w:r w:rsidRPr="005F2705">
              <w:rPr>
                <w:sz w:val="28"/>
                <w:szCs w:val="28"/>
              </w:rPr>
              <w:lastRenderedPageBreak/>
              <w:t>загальної суми коштів за кожним випуском цінних паперів</w:t>
            </w:r>
            <w:r w:rsidR="00CC51E5">
              <w:rPr>
                <w:sz w:val="28"/>
                <w:szCs w:val="28"/>
              </w:rPr>
              <w:t xml:space="preserve"> </w:t>
            </w:r>
          </w:p>
        </w:tc>
      </w:tr>
      <w:tr w:rsidR="005F2705" w:rsidTr="0061649F">
        <w:tc>
          <w:tcPr>
            <w:tcW w:w="1651" w:type="dxa"/>
            <w:tcBorders>
              <w:top w:val="outset" w:sz="4" w:space="0" w:color="000000"/>
              <w:left w:val="outset" w:sz="4" w:space="0" w:color="000000"/>
              <w:bottom w:val="outset" w:sz="4" w:space="0" w:color="000000"/>
              <w:right w:val="outset" w:sz="4" w:space="0" w:color="000000"/>
            </w:tcBorders>
          </w:tcPr>
          <w:p w:rsidR="005F2705" w:rsidRPr="006F5F59" w:rsidRDefault="00DB403D" w:rsidP="00DB403D">
            <w:pPr>
              <w:spacing w:line="360" w:lineRule="auto"/>
              <w:rPr>
                <w:sz w:val="28"/>
                <w:szCs w:val="28"/>
              </w:rPr>
            </w:pPr>
            <w:r>
              <w:rPr>
                <w:sz w:val="28"/>
                <w:szCs w:val="28"/>
              </w:rPr>
              <w:lastRenderedPageBreak/>
              <w:t>2</w:t>
            </w:r>
            <w:r w:rsidR="005F2705">
              <w:rPr>
                <w:sz w:val="28"/>
                <w:szCs w:val="28"/>
              </w:rPr>
              <w:t>0</w:t>
            </w:r>
          </w:p>
        </w:tc>
        <w:tc>
          <w:tcPr>
            <w:tcW w:w="8106" w:type="dxa"/>
            <w:tcBorders>
              <w:top w:val="outset" w:sz="4" w:space="0" w:color="000000"/>
              <w:left w:val="outset" w:sz="4" w:space="0" w:color="000000"/>
              <w:bottom w:val="outset" w:sz="4" w:space="0" w:color="000000"/>
              <w:right w:val="outset" w:sz="4" w:space="0" w:color="000000"/>
            </w:tcBorders>
          </w:tcPr>
          <w:p w:rsidR="005F2705" w:rsidRPr="001C66B9" w:rsidRDefault="001C66B9" w:rsidP="0061649F">
            <w:pPr>
              <w:spacing w:line="360" w:lineRule="auto"/>
              <w:jc w:val="both"/>
              <w:rPr>
                <w:sz w:val="28"/>
                <w:szCs w:val="28"/>
              </w:rPr>
            </w:pPr>
            <w:r w:rsidRPr="001C66B9">
              <w:rPr>
                <w:sz w:val="28"/>
                <w:szCs w:val="28"/>
              </w:rPr>
              <w:t>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w:t>
            </w:r>
          </w:p>
        </w:tc>
      </w:tr>
      <w:tr w:rsidR="00B75738" w:rsidTr="0061649F">
        <w:tc>
          <w:tcPr>
            <w:tcW w:w="1651" w:type="dxa"/>
            <w:tcBorders>
              <w:top w:val="outset" w:sz="4" w:space="0" w:color="000000"/>
              <w:left w:val="outset" w:sz="4" w:space="0" w:color="000000"/>
              <w:bottom w:val="outset" w:sz="4" w:space="0" w:color="000000"/>
              <w:right w:val="outset" w:sz="4" w:space="0" w:color="000000"/>
            </w:tcBorders>
          </w:tcPr>
          <w:p w:rsidR="00B75738" w:rsidRDefault="00B75738" w:rsidP="00DB403D">
            <w:pPr>
              <w:spacing w:line="360" w:lineRule="auto"/>
              <w:rPr>
                <w:sz w:val="28"/>
                <w:szCs w:val="28"/>
              </w:rPr>
            </w:pPr>
            <w:r>
              <w:rPr>
                <w:sz w:val="28"/>
                <w:szCs w:val="28"/>
              </w:rPr>
              <w:t>21</w:t>
            </w:r>
          </w:p>
        </w:tc>
        <w:tc>
          <w:tcPr>
            <w:tcW w:w="8106" w:type="dxa"/>
            <w:tcBorders>
              <w:top w:val="outset" w:sz="4" w:space="0" w:color="000000"/>
              <w:left w:val="outset" w:sz="4" w:space="0" w:color="000000"/>
              <w:bottom w:val="outset" w:sz="4" w:space="0" w:color="000000"/>
              <w:right w:val="outset" w:sz="4" w:space="0" w:color="000000"/>
            </w:tcBorders>
          </w:tcPr>
          <w:p w:rsidR="00B75738" w:rsidRPr="001C66B9" w:rsidRDefault="00B75738" w:rsidP="0061649F">
            <w:pPr>
              <w:spacing w:line="360" w:lineRule="auto"/>
              <w:jc w:val="both"/>
              <w:rPr>
                <w:sz w:val="28"/>
                <w:szCs w:val="28"/>
              </w:rPr>
            </w:pPr>
            <w:r w:rsidRPr="00C62E9C">
              <w:rPr>
                <w:sz w:val="28"/>
                <w:szCs w:val="28"/>
              </w:rPr>
              <w:t>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Національному банку України відповідно до компетенції щодо обліку цінних паперів, визначеної Законом України "Про депозитарну систему України"),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засвідчений Національним банком України</w:t>
            </w:r>
          </w:p>
        </w:tc>
      </w:tr>
    </w:tbl>
    <w:p w:rsidR="005F2705" w:rsidRDefault="005F2705" w:rsidP="005F2705">
      <w:pPr>
        <w:tabs>
          <w:tab w:val="left" w:pos="1134"/>
        </w:tabs>
        <w:spacing w:line="360" w:lineRule="auto"/>
        <w:ind w:left="113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B75738">
        <w:rPr>
          <w:sz w:val="28"/>
          <w:szCs w:val="28"/>
        </w:rPr>
        <w:t>.</w:t>
      </w:r>
    </w:p>
    <w:p w:rsidR="007B79B8" w:rsidRDefault="007B79B8" w:rsidP="00164365">
      <w:pPr>
        <w:spacing w:line="360" w:lineRule="auto"/>
        <w:rPr>
          <w:sz w:val="28"/>
          <w:szCs w:val="28"/>
        </w:rPr>
      </w:pPr>
    </w:p>
    <w:p w:rsidR="00E9522D" w:rsidRDefault="00E9522D" w:rsidP="008E37C9">
      <w:pPr>
        <w:spacing w:line="360" w:lineRule="auto"/>
        <w:rPr>
          <w:sz w:val="28"/>
          <w:szCs w:val="28"/>
          <w:lang w:eastAsia="ru-RU"/>
        </w:rPr>
      </w:pPr>
    </w:p>
    <w:p w:rsidR="000B62CC" w:rsidRPr="000B62CC" w:rsidRDefault="000B62CC" w:rsidP="008E37C9">
      <w:pPr>
        <w:spacing w:line="360" w:lineRule="auto"/>
        <w:rPr>
          <w:b/>
          <w:sz w:val="28"/>
          <w:szCs w:val="28"/>
          <w:lang w:eastAsia="ru-RU"/>
        </w:rPr>
      </w:pPr>
      <w:r w:rsidRPr="000B62CC">
        <w:rPr>
          <w:b/>
          <w:sz w:val="28"/>
          <w:szCs w:val="28"/>
          <w:lang w:eastAsia="ru-RU"/>
        </w:rPr>
        <w:t>Директор департаменту</w:t>
      </w:r>
    </w:p>
    <w:p w:rsidR="000B62CC" w:rsidRPr="000B62CC" w:rsidRDefault="000B62CC" w:rsidP="008E37C9">
      <w:pPr>
        <w:spacing w:line="360" w:lineRule="auto"/>
        <w:rPr>
          <w:b/>
          <w:sz w:val="28"/>
          <w:szCs w:val="28"/>
          <w:lang w:eastAsia="ru-RU"/>
        </w:rPr>
      </w:pPr>
      <w:r w:rsidRPr="000B62CC">
        <w:rPr>
          <w:b/>
          <w:sz w:val="28"/>
          <w:szCs w:val="28"/>
          <w:lang w:eastAsia="ru-RU"/>
        </w:rPr>
        <w:t>інформаційних технологій</w:t>
      </w:r>
      <w:r w:rsidRPr="000B62CC">
        <w:rPr>
          <w:b/>
          <w:sz w:val="28"/>
          <w:szCs w:val="28"/>
          <w:lang w:eastAsia="ru-RU"/>
        </w:rPr>
        <w:tab/>
      </w:r>
      <w:r w:rsidRPr="000B62CC">
        <w:rPr>
          <w:b/>
          <w:sz w:val="28"/>
          <w:szCs w:val="28"/>
          <w:lang w:eastAsia="ru-RU"/>
        </w:rPr>
        <w:tab/>
      </w:r>
      <w:r w:rsidRPr="000B62CC">
        <w:rPr>
          <w:b/>
          <w:sz w:val="28"/>
          <w:szCs w:val="28"/>
          <w:lang w:eastAsia="ru-RU"/>
        </w:rPr>
        <w:tab/>
      </w:r>
      <w:r w:rsidRPr="000B62CC">
        <w:rPr>
          <w:b/>
          <w:sz w:val="28"/>
          <w:szCs w:val="28"/>
          <w:lang w:eastAsia="ru-RU"/>
        </w:rPr>
        <w:tab/>
      </w:r>
      <w:r w:rsidRPr="000B62CC">
        <w:rPr>
          <w:b/>
          <w:sz w:val="28"/>
          <w:szCs w:val="28"/>
          <w:lang w:eastAsia="ru-RU"/>
        </w:rPr>
        <w:tab/>
      </w:r>
      <w:r w:rsidRPr="000B62CC">
        <w:rPr>
          <w:b/>
          <w:sz w:val="28"/>
          <w:szCs w:val="28"/>
          <w:lang w:eastAsia="ru-RU"/>
        </w:rPr>
        <w:tab/>
      </w:r>
      <w:r w:rsidRPr="000B62CC">
        <w:rPr>
          <w:b/>
          <w:sz w:val="28"/>
          <w:szCs w:val="28"/>
          <w:lang w:eastAsia="ru-RU"/>
        </w:rPr>
        <w:tab/>
        <w:t>Є. Фоменко</w:t>
      </w:r>
    </w:p>
    <w:sectPr w:rsidR="000B62CC" w:rsidRPr="000B62CC" w:rsidSect="009A4336">
      <w:pgSz w:w="11906" w:h="16838" w:code="9"/>
      <w:pgMar w:top="851" w:right="851" w:bottom="851" w:left="851" w:header="284" w:footer="284"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B4" w:rsidRDefault="000147B4">
      <w:r>
        <w:separator/>
      </w:r>
    </w:p>
  </w:endnote>
  <w:endnote w:type="continuationSeparator" w:id="0">
    <w:p w:rsidR="000147B4" w:rsidRDefault="000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B4" w:rsidRDefault="000147B4">
      <w:r>
        <w:separator/>
      </w:r>
    </w:p>
  </w:footnote>
  <w:footnote w:type="continuationSeparator" w:id="0">
    <w:p w:rsidR="000147B4" w:rsidRDefault="0001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85" w:rsidRPr="00F46985" w:rsidRDefault="00F46985" w:rsidP="00F46985">
    <w:pPr>
      <w:pStyle w:val="a7"/>
      <w:jc w:val="center"/>
      <w:rPr>
        <w:sz w:val="28"/>
        <w:szCs w:val="28"/>
        <w:lang w:val="uk-UA"/>
      </w:rPr>
    </w:pPr>
    <w:r w:rsidRPr="00F46985">
      <w:rPr>
        <w:sz w:val="28"/>
        <w:szCs w:val="28"/>
      </w:rPr>
      <w:fldChar w:fldCharType="begin"/>
    </w:r>
    <w:r w:rsidRPr="00F46985">
      <w:rPr>
        <w:sz w:val="28"/>
        <w:szCs w:val="28"/>
      </w:rPr>
      <w:instrText xml:space="preserve"> PAGE   \* MERGEFORMAT </w:instrText>
    </w:r>
    <w:r w:rsidRPr="00F46985">
      <w:rPr>
        <w:sz w:val="28"/>
        <w:szCs w:val="28"/>
      </w:rPr>
      <w:fldChar w:fldCharType="separate"/>
    </w:r>
    <w:r w:rsidR="00FC030A">
      <w:rPr>
        <w:noProof/>
        <w:sz w:val="28"/>
        <w:szCs w:val="28"/>
      </w:rPr>
      <w:t>2</w:t>
    </w:r>
    <w:r w:rsidRPr="00F469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0886"/>
    <w:multiLevelType w:val="hybridMultilevel"/>
    <w:tmpl w:val="DDAA5872"/>
    <w:lvl w:ilvl="0" w:tplc="E5A0E64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8CC10AC"/>
    <w:multiLevelType w:val="hybridMultilevel"/>
    <w:tmpl w:val="F61C5290"/>
    <w:lvl w:ilvl="0" w:tplc="4B4287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F6D16E1"/>
    <w:multiLevelType w:val="multilevel"/>
    <w:tmpl w:val="FC4ED2F2"/>
    <w:lvl w:ilvl="0">
      <w:start w:val="1"/>
      <w:numFmt w:val="decimal"/>
      <w:lvlText w:val="%1."/>
      <w:lvlJc w:val="left"/>
      <w:pPr>
        <w:ind w:left="1707" w:hanging="11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7322905"/>
    <w:multiLevelType w:val="hybridMultilevel"/>
    <w:tmpl w:val="469AF8BA"/>
    <w:lvl w:ilvl="0" w:tplc="BDAE5E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7723F41"/>
    <w:multiLevelType w:val="hybridMultilevel"/>
    <w:tmpl w:val="0316C3BE"/>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90871D5"/>
    <w:multiLevelType w:val="hybridMultilevel"/>
    <w:tmpl w:val="EF2034DA"/>
    <w:lvl w:ilvl="0" w:tplc="4DA88544">
      <w:start w:val="2"/>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49477235"/>
    <w:multiLevelType w:val="hybridMultilevel"/>
    <w:tmpl w:val="962E0A04"/>
    <w:lvl w:ilvl="0" w:tplc="32D204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F1562A4"/>
    <w:multiLevelType w:val="hybridMultilevel"/>
    <w:tmpl w:val="197ABD18"/>
    <w:lvl w:ilvl="0" w:tplc="625E3BB0">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745B11A5"/>
    <w:multiLevelType w:val="hybridMultilevel"/>
    <w:tmpl w:val="4BB6E704"/>
    <w:lvl w:ilvl="0" w:tplc="EC0E5A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77D85B61"/>
    <w:multiLevelType w:val="hybridMultilevel"/>
    <w:tmpl w:val="295E856A"/>
    <w:lvl w:ilvl="0" w:tplc="848EC3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7BF23757"/>
    <w:multiLevelType w:val="hybridMultilevel"/>
    <w:tmpl w:val="AD6A6F2C"/>
    <w:lvl w:ilvl="0" w:tplc="D7D8FD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6"/>
  </w:num>
  <w:num w:numId="5">
    <w:abstractNumId w:val="7"/>
  </w:num>
  <w:num w:numId="6">
    <w:abstractNumId w:val="8"/>
  </w:num>
  <w:num w:numId="7">
    <w:abstractNumId w:val="0"/>
  </w:num>
  <w:num w:numId="8">
    <w:abstractNumId w:val="5"/>
  </w:num>
  <w:num w:numId="9">
    <w:abstractNumId w:val="9"/>
  </w:num>
  <w:num w:numId="10">
    <w:abstractNumId w:val="3"/>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3DE"/>
    <w:rsid w:val="000037A3"/>
    <w:rsid w:val="000044C8"/>
    <w:rsid w:val="000046D2"/>
    <w:rsid w:val="000147B4"/>
    <w:rsid w:val="000174A3"/>
    <w:rsid w:val="000213CB"/>
    <w:rsid w:val="00021B78"/>
    <w:rsid w:val="000249CB"/>
    <w:rsid w:val="00026E51"/>
    <w:rsid w:val="00033244"/>
    <w:rsid w:val="00033DEB"/>
    <w:rsid w:val="00040835"/>
    <w:rsid w:val="00042828"/>
    <w:rsid w:val="00043AFA"/>
    <w:rsid w:val="00051557"/>
    <w:rsid w:val="00052892"/>
    <w:rsid w:val="000537B7"/>
    <w:rsid w:val="00053809"/>
    <w:rsid w:val="00054119"/>
    <w:rsid w:val="00054394"/>
    <w:rsid w:val="00055742"/>
    <w:rsid w:val="000618C5"/>
    <w:rsid w:val="00062BC1"/>
    <w:rsid w:val="000633F3"/>
    <w:rsid w:val="000645AD"/>
    <w:rsid w:val="000674FF"/>
    <w:rsid w:val="00071668"/>
    <w:rsid w:val="00077510"/>
    <w:rsid w:val="000812BF"/>
    <w:rsid w:val="00082039"/>
    <w:rsid w:val="00082AB6"/>
    <w:rsid w:val="00083F52"/>
    <w:rsid w:val="00084DFA"/>
    <w:rsid w:val="000877D3"/>
    <w:rsid w:val="00095212"/>
    <w:rsid w:val="00095B35"/>
    <w:rsid w:val="000A0567"/>
    <w:rsid w:val="000A05D4"/>
    <w:rsid w:val="000A13CF"/>
    <w:rsid w:val="000A410B"/>
    <w:rsid w:val="000A690B"/>
    <w:rsid w:val="000A6A93"/>
    <w:rsid w:val="000A6F69"/>
    <w:rsid w:val="000A7693"/>
    <w:rsid w:val="000B0A6B"/>
    <w:rsid w:val="000B62CC"/>
    <w:rsid w:val="000C023A"/>
    <w:rsid w:val="000C0E9A"/>
    <w:rsid w:val="000C1C27"/>
    <w:rsid w:val="000C471B"/>
    <w:rsid w:val="000C485E"/>
    <w:rsid w:val="000C6076"/>
    <w:rsid w:val="000C7F71"/>
    <w:rsid w:val="000D4337"/>
    <w:rsid w:val="000D4CBF"/>
    <w:rsid w:val="000D4D94"/>
    <w:rsid w:val="000D5181"/>
    <w:rsid w:val="000E0275"/>
    <w:rsid w:val="000E4D99"/>
    <w:rsid w:val="000E7DB0"/>
    <w:rsid w:val="000F5D66"/>
    <w:rsid w:val="000F785D"/>
    <w:rsid w:val="001001ED"/>
    <w:rsid w:val="001020E0"/>
    <w:rsid w:val="00102145"/>
    <w:rsid w:val="0010292F"/>
    <w:rsid w:val="00103571"/>
    <w:rsid w:val="00116C48"/>
    <w:rsid w:val="00116F3E"/>
    <w:rsid w:val="00122A29"/>
    <w:rsid w:val="00125251"/>
    <w:rsid w:val="00130312"/>
    <w:rsid w:val="00131373"/>
    <w:rsid w:val="00132F5E"/>
    <w:rsid w:val="001345B4"/>
    <w:rsid w:val="0014367E"/>
    <w:rsid w:val="001512A1"/>
    <w:rsid w:val="00153DB8"/>
    <w:rsid w:val="00156AA9"/>
    <w:rsid w:val="0016133C"/>
    <w:rsid w:val="00163BA3"/>
    <w:rsid w:val="0016409B"/>
    <w:rsid w:val="00164365"/>
    <w:rsid w:val="001666FD"/>
    <w:rsid w:val="00172132"/>
    <w:rsid w:val="001736FC"/>
    <w:rsid w:val="001744E4"/>
    <w:rsid w:val="00174B3C"/>
    <w:rsid w:val="00175DDD"/>
    <w:rsid w:val="00175E4A"/>
    <w:rsid w:val="0017608C"/>
    <w:rsid w:val="0017692A"/>
    <w:rsid w:val="00184E08"/>
    <w:rsid w:val="001872B5"/>
    <w:rsid w:val="0019494D"/>
    <w:rsid w:val="00195F45"/>
    <w:rsid w:val="00196131"/>
    <w:rsid w:val="001A0433"/>
    <w:rsid w:val="001A5E04"/>
    <w:rsid w:val="001B3E1E"/>
    <w:rsid w:val="001C27D5"/>
    <w:rsid w:val="001C66B9"/>
    <w:rsid w:val="001C6872"/>
    <w:rsid w:val="001D7F73"/>
    <w:rsid w:val="001E004D"/>
    <w:rsid w:val="001E51DA"/>
    <w:rsid w:val="001E6E05"/>
    <w:rsid w:val="001F0B78"/>
    <w:rsid w:val="00203F91"/>
    <w:rsid w:val="00211316"/>
    <w:rsid w:val="0021554D"/>
    <w:rsid w:val="0022430A"/>
    <w:rsid w:val="00225FD5"/>
    <w:rsid w:val="00232FD4"/>
    <w:rsid w:val="0024065F"/>
    <w:rsid w:val="00241329"/>
    <w:rsid w:val="00245FB3"/>
    <w:rsid w:val="0025202B"/>
    <w:rsid w:val="00252E52"/>
    <w:rsid w:val="0025310F"/>
    <w:rsid w:val="00253D72"/>
    <w:rsid w:val="002552DE"/>
    <w:rsid w:val="00265605"/>
    <w:rsid w:val="002664E3"/>
    <w:rsid w:val="0027366E"/>
    <w:rsid w:val="00273998"/>
    <w:rsid w:val="00274B71"/>
    <w:rsid w:val="00275A69"/>
    <w:rsid w:val="0028122F"/>
    <w:rsid w:val="002863E4"/>
    <w:rsid w:val="00291106"/>
    <w:rsid w:val="00292789"/>
    <w:rsid w:val="0029720D"/>
    <w:rsid w:val="002A2CCC"/>
    <w:rsid w:val="002A2D59"/>
    <w:rsid w:val="002A5268"/>
    <w:rsid w:val="002A63EA"/>
    <w:rsid w:val="002A6EC9"/>
    <w:rsid w:val="002A7F1F"/>
    <w:rsid w:val="002B54CF"/>
    <w:rsid w:val="002D3CAD"/>
    <w:rsid w:val="002D69EA"/>
    <w:rsid w:val="002D7054"/>
    <w:rsid w:val="002D7284"/>
    <w:rsid w:val="002E1143"/>
    <w:rsid w:val="002E1DB2"/>
    <w:rsid w:val="002E2CF8"/>
    <w:rsid w:val="002E5363"/>
    <w:rsid w:val="002F14B5"/>
    <w:rsid w:val="002F63CC"/>
    <w:rsid w:val="00301CEB"/>
    <w:rsid w:val="00305BA5"/>
    <w:rsid w:val="003117F4"/>
    <w:rsid w:val="00320DD1"/>
    <w:rsid w:val="003211D7"/>
    <w:rsid w:val="00322BA7"/>
    <w:rsid w:val="00324008"/>
    <w:rsid w:val="003253AA"/>
    <w:rsid w:val="00326072"/>
    <w:rsid w:val="00326B98"/>
    <w:rsid w:val="00327140"/>
    <w:rsid w:val="00337186"/>
    <w:rsid w:val="003409D8"/>
    <w:rsid w:val="00340F79"/>
    <w:rsid w:val="003422B5"/>
    <w:rsid w:val="00342D79"/>
    <w:rsid w:val="00352464"/>
    <w:rsid w:val="00352F6F"/>
    <w:rsid w:val="00363118"/>
    <w:rsid w:val="003711CE"/>
    <w:rsid w:val="003722CD"/>
    <w:rsid w:val="00376E08"/>
    <w:rsid w:val="00380229"/>
    <w:rsid w:val="00380A1D"/>
    <w:rsid w:val="00381642"/>
    <w:rsid w:val="00381941"/>
    <w:rsid w:val="00385E4E"/>
    <w:rsid w:val="00395403"/>
    <w:rsid w:val="003A42BD"/>
    <w:rsid w:val="003A53CF"/>
    <w:rsid w:val="003A6AC9"/>
    <w:rsid w:val="003B1D52"/>
    <w:rsid w:val="003B503E"/>
    <w:rsid w:val="003D3056"/>
    <w:rsid w:val="003D708A"/>
    <w:rsid w:val="003E09DB"/>
    <w:rsid w:val="003F1475"/>
    <w:rsid w:val="00400D9F"/>
    <w:rsid w:val="0040551F"/>
    <w:rsid w:val="004139D5"/>
    <w:rsid w:val="00416599"/>
    <w:rsid w:val="00416B8B"/>
    <w:rsid w:val="00421B66"/>
    <w:rsid w:val="0042425A"/>
    <w:rsid w:val="00425E8D"/>
    <w:rsid w:val="00427DF3"/>
    <w:rsid w:val="004309AC"/>
    <w:rsid w:val="00430BF4"/>
    <w:rsid w:val="00430D99"/>
    <w:rsid w:val="004363E5"/>
    <w:rsid w:val="00441BCE"/>
    <w:rsid w:val="004503F6"/>
    <w:rsid w:val="00454389"/>
    <w:rsid w:val="00455F1D"/>
    <w:rsid w:val="00465BA6"/>
    <w:rsid w:val="00465BCB"/>
    <w:rsid w:val="00466D57"/>
    <w:rsid w:val="00472273"/>
    <w:rsid w:val="00473216"/>
    <w:rsid w:val="004739F0"/>
    <w:rsid w:val="00475A18"/>
    <w:rsid w:val="0047694B"/>
    <w:rsid w:val="004778D9"/>
    <w:rsid w:val="004872C7"/>
    <w:rsid w:val="004876B7"/>
    <w:rsid w:val="00490594"/>
    <w:rsid w:val="00494FE1"/>
    <w:rsid w:val="00497036"/>
    <w:rsid w:val="004A3B18"/>
    <w:rsid w:val="004A6985"/>
    <w:rsid w:val="004B67B3"/>
    <w:rsid w:val="004C2BF2"/>
    <w:rsid w:val="004C2E4F"/>
    <w:rsid w:val="004C7F86"/>
    <w:rsid w:val="004D32BF"/>
    <w:rsid w:val="004E2DD5"/>
    <w:rsid w:val="004F06A0"/>
    <w:rsid w:val="004F448E"/>
    <w:rsid w:val="004F62FA"/>
    <w:rsid w:val="00500BB2"/>
    <w:rsid w:val="0050459F"/>
    <w:rsid w:val="00514E95"/>
    <w:rsid w:val="005163F9"/>
    <w:rsid w:val="00521FAA"/>
    <w:rsid w:val="00531813"/>
    <w:rsid w:val="00550FC9"/>
    <w:rsid w:val="00556421"/>
    <w:rsid w:val="00560DD2"/>
    <w:rsid w:val="0056224C"/>
    <w:rsid w:val="00563072"/>
    <w:rsid w:val="005673D5"/>
    <w:rsid w:val="00567755"/>
    <w:rsid w:val="0057400C"/>
    <w:rsid w:val="00576F55"/>
    <w:rsid w:val="00577CA1"/>
    <w:rsid w:val="00585C07"/>
    <w:rsid w:val="00591CB5"/>
    <w:rsid w:val="00593F2E"/>
    <w:rsid w:val="005957D7"/>
    <w:rsid w:val="005B2C3C"/>
    <w:rsid w:val="005B73E7"/>
    <w:rsid w:val="005C0C25"/>
    <w:rsid w:val="005C2BCA"/>
    <w:rsid w:val="005C3595"/>
    <w:rsid w:val="005C68D1"/>
    <w:rsid w:val="005C7289"/>
    <w:rsid w:val="005D7B40"/>
    <w:rsid w:val="005E05BC"/>
    <w:rsid w:val="005E5942"/>
    <w:rsid w:val="005E743A"/>
    <w:rsid w:val="005F2705"/>
    <w:rsid w:val="005F3371"/>
    <w:rsid w:val="005F70C3"/>
    <w:rsid w:val="0061649F"/>
    <w:rsid w:val="00623339"/>
    <w:rsid w:val="00623618"/>
    <w:rsid w:val="00626CCB"/>
    <w:rsid w:val="00631B46"/>
    <w:rsid w:val="0063397D"/>
    <w:rsid w:val="006350DB"/>
    <w:rsid w:val="006359D6"/>
    <w:rsid w:val="00635A11"/>
    <w:rsid w:val="00636C79"/>
    <w:rsid w:val="006373DE"/>
    <w:rsid w:val="006376D1"/>
    <w:rsid w:val="00642607"/>
    <w:rsid w:val="00647899"/>
    <w:rsid w:val="0065412C"/>
    <w:rsid w:val="00654C0A"/>
    <w:rsid w:val="00655FE6"/>
    <w:rsid w:val="006561EC"/>
    <w:rsid w:val="006562EC"/>
    <w:rsid w:val="00657717"/>
    <w:rsid w:val="00661500"/>
    <w:rsid w:val="00665852"/>
    <w:rsid w:val="00680BE8"/>
    <w:rsid w:val="00681807"/>
    <w:rsid w:val="006821F1"/>
    <w:rsid w:val="0068534D"/>
    <w:rsid w:val="006907D2"/>
    <w:rsid w:val="00697875"/>
    <w:rsid w:val="00697BDF"/>
    <w:rsid w:val="006A0522"/>
    <w:rsid w:val="006A1CEB"/>
    <w:rsid w:val="006A4B18"/>
    <w:rsid w:val="006A59CD"/>
    <w:rsid w:val="006B1FBA"/>
    <w:rsid w:val="006B3676"/>
    <w:rsid w:val="006B5935"/>
    <w:rsid w:val="006B59F8"/>
    <w:rsid w:val="006C0F01"/>
    <w:rsid w:val="006C12BC"/>
    <w:rsid w:val="006C73CD"/>
    <w:rsid w:val="006D0293"/>
    <w:rsid w:val="006D5153"/>
    <w:rsid w:val="006D7EB9"/>
    <w:rsid w:val="006E05C9"/>
    <w:rsid w:val="006E1303"/>
    <w:rsid w:val="006E4953"/>
    <w:rsid w:val="006E5C25"/>
    <w:rsid w:val="006E5CB5"/>
    <w:rsid w:val="006E73E9"/>
    <w:rsid w:val="006E7C5D"/>
    <w:rsid w:val="006F0484"/>
    <w:rsid w:val="006F4906"/>
    <w:rsid w:val="006F5F59"/>
    <w:rsid w:val="006F7B29"/>
    <w:rsid w:val="00703D9B"/>
    <w:rsid w:val="0070409A"/>
    <w:rsid w:val="00704278"/>
    <w:rsid w:val="00704913"/>
    <w:rsid w:val="0070709C"/>
    <w:rsid w:val="00712369"/>
    <w:rsid w:val="00712E42"/>
    <w:rsid w:val="00726E49"/>
    <w:rsid w:val="00737E8F"/>
    <w:rsid w:val="007412F5"/>
    <w:rsid w:val="00744543"/>
    <w:rsid w:val="007448C8"/>
    <w:rsid w:val="0074493F"/>
    <w:rsid w:val="007544B7"/>
    <w:rsid w:val="00764B97"/>
    <w:rsid w:val="00770656"/>
    <w:rsid w:val="007761C8"/>
    <w:rsid w:val="0078208E"/>
    <w:rsid w:val="007865F1"/>
    <w:rsid w:val="007941A7"/>
    <w:rsid w:val="00796AE1"/>
    <w:rsid w:val="007A40AF"/>
    <w:rsid w:val="007A5867"/>
    <w:rsid w:val="007B1B94"/>
    <w:rsid w:val="007B735C"/>
    <w:rsid w:val="007B79B8"/>
    <w:rsid w:val="007C24D9"/>
    <w:rsid w:val="007C48AD"/>
    <w:rsid w:val="007C73EF"/>
    <w:rsid w:val="007E08BD"/>
    <w:rsid w:val="007E18F8"/>
    <w:rsid w:val="007E488D"/>
    <w:rsid w:val="007E7C98"/>
    <w:rsid w:val="007F138D"/>
    <w:rsid w:val="007F440F"/>
    <w:rsid w:val="007F7B82"/>
    <w:rsid w:val="0080676A"/>
    <w:rsid w:val="00817F85"/>
    <w:rsid w:val="00821655"/>
    <w:rsid w:val="00822DA6"/>
    <w:rsid w:val="00824234"/>
    <w:rsid w:val="008333BB"/>
    <w:rsid w:val="00845C43"/>
    <w:rsid w:val="008460D9"/>
    <w:rsid w:val="008475B4"/>
    <w:rsid w:val="00860C3D"/>
    <w:rsid w:val="0086388E"/>
    <w:rsid w:val="00865143"/>
    <w:rsid w:val="008707FE"/>
    <w:rsid w:val="00874ED6"/>
    <w:rsid w:val="00875EC2"/>
    <w:rsid w:val="008768A3"/>
    <w:rsid w:val="008868A5"/>
    <w:rsid w:val="00886C23"/>
    <w:rsid w:val="0088761F"/>
    <w:rsid w:val="00893166"/>
    <w:rsid w:val="00895F27"/>
    <w:rsid w:val="008A2D76"/>
    <w:rsid w:val="008A327E"/>
    <w:rsid w:val="008A4DBF"/>
    <w:rsid w:val="008A5AB8"/>
    <w:rsid w:val="008A68C4"/>
    <w:rsid w:val="008B1F5D"/>
    <w:rsid w:val="008B5072"/>
    <w:rsid w:val="008B5837"/>
    <w:rsid w:val="008C7033"/>
    <w:rsid w:val="008D1725"/>
    <w:rsid w:val="008E0E71"/>
    <w:rsid w:val="008E37C9"/>
    <w:rsid w:val="008E4A59"/>
    <w:rsid w:val="008E5E64"/>
    <w:rsid w:val="008E7CB1"/>
    <w:rsid w:val="008F1DA4"/>
    <w:rsid w:val="008F308C"/>
    <w:rsid w:val="008F3DA8"/>
    <w:rsid w:val="00901E88"/>
    <w:rsid w:val="00902C57"/>
    <w:rsid w:val="00907238"/>
    <w:rsid w:val="0091365F"/>
    <w:rsid w:val="0091488F"/>
    <w:rsid w:val="009169F1"/>
    <w:rsid w:val="0092718F"/>
    <w:rsid w:val="00927556"/>
    <w:rsid w:val="00933DAC"/>
    <w:rsid w:val="00934EEA"/>
    <w:rsid w:val="009372A8"/>
    <w:rsid w:val="0094362F"/>
    <w:rsid w:val="00952494"/>
    <w:rsid w:val="00953550"/>
    <w:rsid w:val="009652C5"/>
    <w:rsid w:val="00972330"/>
    <w:rsid w:val="0097257D"/>
    <w:rsid w:val="00974EB7"/>
    <w:rsid w:val="00975496"/>
    <w:rsid w:val="00981ACB"/>
    <w:rsid w:val="00994651"/>
    <w:rsid w:val="00997D9E"/>
    <w:rsid w:val="009A4336"/>
    <w:rsid w:val="009A4D8F"/>
    <w:rsid w:val="009A5D5A"/>
    <w:rsid w:val="009A6F5F"/>
    <w:rsid w:val="009B72AF"/>
    <w:rsid w:val="009C0D91"/>
    <w:rsid w:val="009C21A8"/>
    <w:rsid w:val="009D3370"/>
    <w:rsid w:val="009D3B67"/>
    <w:rsid w:val="009D678C"/>
    <w:rsid w:val="009D7B43"/>
    <w:rsid w:val="009E21CC"/>
    <w:rsid w:val="009F65C2"/>
    <w:rsid w:val="00A13E48"/>
    <w:rsid w:val="00A152D3"/>
    <w:rsid w:val="00A17E02"/>
    <w:rsid w:val="00A201C2"/>
    <w:rsid w:val="00A32155"/>
    <w:rsid w:val="00A32C88"/>
    <w:rsid w:val="00A32CB9"/>
    <w:rsid w:val="00A415AB"/>
    <w:rsid w:val="00A4565D"/>
    <w:rsid w:val="00A45CAC"/>
    <w:rsid w:val="00A46C73"/>
    <w:rsid w:val="00A50790"/>
    <w:rsid w:val="00A53BF7"/>
    <w:rsid w:val="00A56B0B"/>
    <w:rsid w:val="00A57DAD"/>
    <w:rsid w:val="00A65D68"/>
    <w:rsid w:val="00A6739B"/>
    <w:rsid w:val="00A70812"/>
    <w:rsid w:val="00A71811"/>
    <w:rsid w:val="00A75FCD"/>
    <w:rsid w:val="00A847E6"/>
    <w:rsid w:val="00A86F57"/>
    <w:rsid w:val="00A90D4B"/>
    <w:rsid w:val="00A963E7"/>
    <w:rsid w:val="00AA30C9"/>
    <w:rsid w:val="00AA3CCF"/>
    <w:rsid w:val="00AA43EB"/>
    <w:rsid w:val="00AA5A96"/>
    <w:rsid w:val="00AB72A1"/>
    <w:rsid w:val="00AC076E"/>
    <w:rsid w:val="00AC1E72"/>
    <w:rsid w:val="00AC5B3E"/>
    <w:rsid w:val="00AC7750"/>
    <w:rsid w:val="00AD272B"/>
    <w:rsid w:val="00AD5182"/>
    <w:rsid w:val="00AE022D"/>
    <w:rsid w:val="00AE37D5"/>
    <w:rsid w:val="00AE4F13"/>
    <w:rsid w:val="00AE5777"/>
    <w:rsid w:val="00AE64C8"/>
    <w:rsid w:val="00AE6818"/>
    <w:rsid w:val="00AF3B74"/>
    <w:rsid w:val="00AF49D0"/>
    <w:rsid w:val="00AF75E5"/>
    <w:rsid w:val="00AF7E90"/>
    <w:rsid w:val="00B02F7E"/>
    <w:rsid w:val="00B053FF"/>
    <w:rsid w:val="00B07783"/>
    <w:rsid w:val="00B113AD"/>
    <w:rsid w:val="00B113E9"/>
    <w:rsid w:val="00B11A69"/>
    <w:rsid w:val="00B11C7E"/>
    <w:rsid w:val="00B15345"/>
    <w:rsid w:val="00B17D2C"/>
    <w:rsid w:val="00B209BE"/>
    <w:rsid w:val="00B249D3"/>
    <w:rsid w:val="00B2514C"/>
    <w:rsid w:val="00B30600"/>
    <w:rsid w:val="00B4207F"/>
    <w:rsid w:val="00B43578"/>
    <w:rsid w:val="00B436A3"/>
    <w:rsid w:val="00B532E7"/>
    <w:rsid w:val="00B53ECF"/>
    <w:rsid w:val="00B5578E"/>
    <w:rsid w:val="00B5679A"/>
    <w:rsid w:val="00B60123"/>
    <w:rsid w:val="00B604AA"/>
    <w:rsid w:val="00B63BF6"/>
    <w:rsid w:val="00B64C33"/>
    <w:rsid w:val="00B6526A"/>
    <w:rsid w:val="00B702D1"/>
    <w:rsid w:val="00B70504"/>
    <w:rsid w:val="00B7493B"/>
    <w:rsid w:val="00B75738"/>
    <w:rsid w:val="00B8545B"/>
    <w:rsid w:val="00B86506"/>
    <w:rsid w:val="00B9555B"/>
    <w:rsid w:val="00B96905"/>
    <w:rsid w:val="00B97542"/>
    <w:rsid w:val="00BA1EFA"/>
    <w:rsid w:val="00BA54E1"/>
    <w:rsid w:val="00BB2228"/>
    <w:rsid w:val="00BB759F"/>
    <w:rsid w:val="00BB7DD4"/>
    <w:rsid w:val="00BD7684"/>
    <w:rsid w:val="00BE57F8"/>
    <w:rsid w:val="00BF1F51"/>
    <w:rsid w:val="00C0113A"/>
    <w:rsid w:val="00C02951"/>
    <w:rsid w:val="00C02E7D"/>
    <w:rsid w:val="00C03E64"/>
    <w:rsid w:val="00C04261"/>
    <w:rsid w:val="00C13177"/>
    <w:rsid w:val="00C1491F"/>
    <w:rsid w:val="00C26068"/>
    <w:rsid w:val="00C35BC4"/>
    <w:rsid w:val="00C36079"/>
    <w:rsid w:val="00C468AB"/>
    <w:rsid w:val="00C46F1E"/>
    <w:rsid w:val="00C50283"/>
    <w:rsid w:val="00C51C45"/>
    <w:rsid w:val="00C524A5"/>
    <w:rsid w:val="00C56197"/>
    <w:rsid w:val="00C56738"/>
    <w:rsid w:val="00C574F8"/>
    <w:rsid w:val="00C62E9C"/>
    <w:rsid w:val="00C64D43"/>
    <w:rsid w:val="00C66490"/>
    <w:rsid w:val="00C75914"/>
    <w:rsid w:val="00C818AE"/>
    <w:rsid w:val="00C81E57"/>
    <w:rsid w:val="00C84E68"/>
    <w:rsid w:val="00C8677A"/>
    <w:rsid w:val="00C9414C"/>
    <w:rsid w:val="00CA12D9"/>
    <w:rsid w:val="00CA192D"/>
    <w:rsid w:val="00CA6F7B"/>
    <w:rsid w:val="00CB10BA"/>
    <w:rsid w:val="00CB4AE0"/>
    <w:rsid w:val="00CC1878"/>
    <w:rsid w:val="00CC41BB"/>
    <w:rsid w:val="00CC4BD3"/>
    <w:rsid w:val="00CC51E5"/>
    <w:rsid w:val="00CC5E0D"/>
    <w:rsid w:val="00CD1489"/>
    <w:rsid w:val="00CD2A35"/>
    <w:rsid w:val="00CE4BBD"/>
    <w:rsid w:val="00CE6B3D"/>
    <w:rsid w:val="00CF1427"/>
    <w:rsid w:val="00CF197A"/>
    <w:rsid w:val="00CF522A"/>
    <w:rsid w:val="00CF5D9F"/>
    <w:rsid w:val="00D04465"/>
    <w:rsid w:val="00D11CBD"/>
    <w:rsid w:val="00D12562"/>
    <w:rsid w:val="00D17E80"/>
    <w:rsid w:val="00D21998"/>
    <w:rsid w:val="00D244E7"/>
    <w:rsid w:val="00D24ED0"/>
    <w:rsid w:val="00D2682B"/>
    <w:rsid w:val="00D27E99"/>
    <w:rsid w:val="00D35F30"/>
    <w:rsid w:val="00D363FB"/>
    <w:rsid w:val="00D40BC6"/>
    <w:rsid w:val="00D40DCF"/>
    <w:rsid w:val="00D55F33"/>
    <w:rsid w:val="00D574A2"/>
    <w:rsid w:val="00D63B08"/>
    <w:rsid w:val="00D678DB"/>
    <w:rsid w:val="00D9084A"/>
    <w:rsid w:val="00D92817"/>
    <w:rsid w:val="00D92D8D"/>
    <w:rsid w:val="00D92ECC"/>
    <w:rsid w:val="00D936FA"/>
    <w:rsid w:val="00D94657"/>
    <w:rsid w:val="00D95E9C"/>
    <w:rsid w:val="00D968EF"/>
    <w:rsid w:val="00DA3F04"/>
    <w:rsid w:val="00DB14A3"/>
    <w:rsid w:val="00DB1DBA"/>
    <w:rsid w:val="00DB403D"/>
    <w:rsid w:val="00DB62CF"/>
    <w:rsid w:val="00DC7028"/>
    <w:rsid w:val="00DD1D19"/>
    <w:rsid w:val="00DD23FB"/>
    <w:rsid w:val="00DD4B90"/>
    <w:rsid w:val="00DE022A"/>
    <w:rsid w:val="00DE59E6"/>
    <w:rsid w:val="00DF04A8"/>
    <w:rsid w:val="00DF251C"/>
    <w:rsid w:val="00DF3944"/>
    <w:rsid w:val="00DF7351"/>
    <w:rsid w:val="00E0337F"/>
    <w:rsid w:val="00E05A9D"/>
    <w:rsid w:val="00E109AA"/>
    <w:rsid w:val="00E13A1B"/>
    <w:rsid w:val="00E14C11"/>
    <w:rsid w:val="00E21CD2"/>
    <w:rsid w:val="00E22F95"/>
    <w:rsid w:val="00E30A0B"/>
    <w:rsid w:val="00E3775D"/>
    <w:rsid w:val="00E378E7"/>
    <w:rsid w:val="00E37CA6"/>
    <w:rsid w:val="00E41162"/>
    <w:rsid w:val="00E4452F"/>
    <w:rsid w:val="00E51A8C"/>
    <w:rsid w:val="00E532AE"/>
    <w:rsid w:val="00E53DE6"/>
    <w:rsid w:val="00E55367"/>
    <w:rsid w:val="00E55BBC"/>
    <w:rsid w:val="00E613CF"/>
    <w:rsid w:val="00E6326C"/>
    <w:rsid w:val="00E66305"/>
    <w:rsid w:val="00E66E8B"/>
    <w:rsid w:val="00E71AA8"/>
    <w:rsid w:val="00E73B21"/>
    <w:rsid w:val="00E8141D"/>
    <w:rsid w:val="00E81BB9"/>
    <w:rsid w:val="00E92B73"/>
    <w:rsid w:val="00E94642"/>
    <w:rsid w:val="00E9522D"/>
    <w:rsid w:val="00E97D4E"/>
    <w:rsid w:val="00EA0FAC"/>
    <w:rsid w:val="00EA4F18"/>
    <w:rsid w:val="00EB1B57"/>
    <w:rsid w:val="00EB247D"/>
    <w:rsid w:val="00EB33F4"/>
    <w:rsid w:val="00EB40F1"/>
    <w:rsid w:val="00EB6360"/>
    <w:rsid w:val="00EC529D"/>
    <w:rsid w:val="00EC5473"/>
    <w:rsid w:val="00EC6E45"/>
    <w:rsid w:val="00ED2F4A"/>
    <w:rsid w:val="00ED71C9"/>
    <w:rsid w:val="00EE003C"/>
    <w:rsid w:val="00EF701C"/>
    <w:rsid w:val="00F01BA2"/>
    <w:rsid w:val="00F0289D"/>
    <w:rsid w:val="00F03487"/>
    <w:rsid w:val="00F03D8C"/>
    <w:rsid w:val="00F0600D"/>
    <w:rsid w:val="00F1333D"/>
    <w:rsid w:val="00F142A6"/>
    <w:rsid w:val="00F158C7"/>
    <w:rsid w:val="00F15B3B"/>
    <w:rsid w:val="00F22089"/>
    <w:rsid w:val="00F23114"/>
    <w:rsid w:val="00F263D5"/>
    <w:rsid w:val="00F322BD"/>
    <w:rsid w:val="00F366F2"/>
    <w:rsid w:val="00F37B40"/>
    <w:rsid w:val="00F452D9"/>
    <w:rsid w:val="00F457C9"/>
    <w:rsid w:val="00F45943"/>
    <w:rsid w:val="00F46985"/>
    <w:rsid w:val="00F50A4F"/>
    <w:rsid w:val="00F50FBB"/>
    <w:rsid w:val="00F540EF"/>
    <w:rsid w:val="00F549E0"/>
    <w:rsid w:val="00F5676C"/>
    <w:rsid w:val="00F61ABF"/>
    <w:rsid w:val="00F75AA7"/>
    <w:rsid w:val="00F850DB"/>
    <w:rsid w:val="00F87426"/>
    <w:rsid w:val="00F87932"/>
    <w:rsid w:val="00F92008"/>
    <w:rsid w:val="00F928DC"/>
    <w:rsid w:val="00F95EC0"/>
    <w:rsid w:val="00FA0629"/>
    <w:rsid w:val="00FA1CD5"/>
    <w:rsid w:val="00FA515D"/>
    <w:rsid w:val="00FA6D9E"/>
    <w:rsid w:val="00FA7E1A"/>
    <w:rsid w:val="00FB1B2C"/>
    <w:rsid w:val="00FB252D"/>
    <w:rsid w:val="00FB287C"/>
    <w:rsid w:val="00FB2B52"/>
    <w:rsid w:val="00FB54F8"/>
    <w:rsid w:val="00FB6888"/>
    <w:rsid w:val="00FC030A"/>
    <w:rsid w:val="00FC0FA8"/>
    <w:rsid w:val="00FC17FE"/>
    <w:rsid w:val="00FC5B8A"/>
    <w:rsid w:val="00FD0F96"/>
    <w:rsid w:val="00FD3A42"/>
    <w:rsid w:val="00FD43FB"/>
    <w:rsid w:val="00FE0C2B"/>
    <w:rsid w:val="00FE6BCB"/>
    <w:rsid w:val="00FE74D2"/>
    <w:rsid w:val="00FF7C7A"/>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D62392-BBF4-4F59-80B8-BB2B1AC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paragraph" w:styleId="1">
    <w:name w:val="heading 1"/>
    <w:basedOn w:val="a"/>
    <w:next w:val="a"/>
    <w:qFormat/>
    <w:pPr>
      <w:keepNext/>
      <w:jc w:val="both"/>
      <w:outlineLvl w:val="0"/>
    </w:pPr>
    <w:rPr>
      <w:b/>
      <w:sz w:val="28"/>
      <w:lang w:eastAsia="ru-RU"/>
    </w:rPr>
  </w:style>
  <w:style w:type="paragraph" w:styleId="3">
    <w:name w:val="heading 3"/>
    <w:basedOn w:val="a"/>
    <w:next w:val="a"/>
    <w:qFormat/>
    <w:pPr>
      <w:keepNext/>
      <w:outlineLvl w:val="2"/>
    </w:pPr>
    <w:rPr>
      <w:b/>
      <w:sz w:val="28"/>
      <w:lang w:val="ru-RU" w:eastAsia="ru-RU"/>
    </w:rPr>
  </w:style>
  <w:style w:type="paragraph" w:styleId="4">
    <w:name w:val="heading 4"/>
    <w:basedOn w:val="a"/>
    <w:next w:val="a"/>
    <w:qFormat/>
    <w:pPr>
      <w:keepNext/>
      <w:jc w:val="right"/>
      <w:outlineLvl w:val="3"/>
    </w:pPr>
    <w:rPr>
      <w:sz w:val="28"/>
      <w:lang w:val="ru-RU" w:eastAsia="ru-RU"/>
    </w:rPr>
  </w:style>
  <w:style w:type="paragraph" w:styleId="5">
    <w:name w:val="heading 5"/>
    <w:basedOn w:val="a"/>
    <w:next w:val="a"/>
    <w:qFormat/>
    <w:pPr>
      <w:keepNext/>
      <w:outlineLvl w:val="4"/>
    </w:pPr>
    <w:rPr>
      <w:sz w:val="24"/>
      <w:lang w:val="ru-RU"/>
    </w:rPr>
  </w:style>
  <w:style w:type="paragraph" w:styleId="6">
    <w:name w:val="heading 6"/>
    <w:basedOn w:val="a"/>
    <w:next w:val="a"/>
    <w:qFormat/>
    <w:rsid w:val="00441BCE"/>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Typewriter">
    <w:name w:val="HTML Typewriter"/>
    <w:rPr>
      <w:sz w:val="20"/>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styleId="a3">
    <w:name w:val="Body Text Indent"/>
    <w:basedOn w:val="a"/>
    <w:pPr>
      <w:tabs>
        <w:tab w:val="num" w:pos="1702"/>
      </w:tabs>
      <w:ind w:left="993" w:hanging="273"/>
      <w:jc w:val="both"/>
    </w:pPr>
    <w:rPr>
      <w:sz w:val="28"/>
      <w:lang w:val="ru-RU" w:eastAsia="ru-RU"/>
    </w:rPr>
  </w:style>
  <w:style w:type="paragraph" w:styleId="a4">
    <w:name w:val="Body Text"/>
    <w:basedOn w:val="a"/>
    <w:pPr>
      <w:jc w:val="both"/>
    </w:pPr>
    <w:rPr>
      <w:sz w:val="28"/>
      <w:lang w:eastAsia="ru-RU"/>
    </w:rPr>
  </w:style>
  <w:style w:type="paragraph" w:styleId="a5">
    <w:name w:val="Plain Text"/>
    <w:basedOn w:val="a"/>
    <w:rPr>
      <w:rFonts w:ascii="Courier New" w:hAnsi="Courier New"/>
      <w:lang w:val="ru-RU" w:eastAsia="ru-RU"/>
    </w:rPr>
  </w:style>
  <w:style w:type="paragraph" w:styleId="2">
    <w:name w:val="Body Text Indent 2"/>
    <w:basedOn w:val="a"/>
    <w:pPr>
      <w:ind w:firstLine="567"/>
      <w:jc w:val="both"/>
    </w:pPr>
    <w:rPr>
      <w:sz w:val="28"/>
      <w:lang w:eastAsia="ru-RU"/>
    </w:rPr>
  </w:style>
  <w:style w:type="paragraph" w:styleId="30">
    <w:name w:val="Body Text Indent 3"/>
    <w:basedOn w:val="a"/>
    <w:pPr>
      <w:ind w:firstLine="720"/>
      <w:jc w:val="both"/>
    </w:pPr>
    <w:rPr>
      <w:sz w:val="28"/>
      <w:lang w:eastAsia="ru-RU"/>
    </w:rPr>
  </w:style>
  <w:style w:type="paragraph" w:customStyle="1" w:styleId="60">
    <w:name w:val="заголовок 6"/>
    <w:basedOn w:val="a"/>
    <w:next w:val="a"/>
    <w:pPr>
      <w:keepNext/>
      <w:jc w:val="center"/>
    </w:pPr>
    <w:rPr>
      <w:b/>
      <w:sz w:val="28"/>
      <w:lang w:eastAsia="ru-RU"/>
    </w:rPr>
  </w:style>
  <w:style w:type="character" w:styleId="a6">
    <w:name w:val="page number"/>
    <w:basedOn w:val="a0"/>
  </w:style>
  <w:style w:type="paragraph" w:styleId="a7">
    <w:name w:val="header"/>
    <w:basedOn w:val="a"/>
    <w:link w:val="a8"/>
    <w:uiPriority w:val="99"/>
    <w:pPr>
      <w:tabs>
        <w:tab w:val="center" w:pos="4153"/>
        <w:tab w:val="right" w:pos="8306"/>
      </w:tabs>
    </w:pPr>
    <w:rPr>
      <w:lang w:val="ru-RU" w:eastAsia="ru-RU"/>
    </w:rPr>
  </w:style>
  <w:style w:type="paragraph" w:styleId="a9">
    <w:name w:val="footer"/>
    <w:basedOn w:val="a"/>
    <w:pPr>
      <w:tabs>
        <w:tab w:val="center" w:pos="4153"/>
        <w:tab w:val="right" w:pos="8306"/>
      </w:tabs>
    </w:pPr>
  </w:style>
  <w:style w:type="paragraph" w:customStyle="1" w:styleId="aa">
    <w:name w:val="Îáû÷íûé"/>
    <w:rPr>
      <w:lang w:val="ru-RU" w:eastAsia="uk-UA"/>
    </w:rPr>
  </w:style>
  <w:style w:type="paragraph" w:styleId="ab">
    <w:name w:val="Balloon Text"/>
    <w:basedOn w:val="a"/>
    <w:semiHidden/>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Стиль Знак Знак"/>
    <w:basedOn w:val="a"/>
    <w:rPr>
      <w:rFonts w:ascii="Verdana" w:hAnsi="Verdana" w:cs="Verdana"/>
      <w:lang w:val="en-US" w:eastAsia="en-US"/>
    </w:rPr>
  </w:style>
  <w:style w:type="paragraph" w:styleId="31">
    <w:name w:val="Body Text 3"/>
    <w:basedOn w:val="a"/>
    <w:pPr>
      <w:jc w:val="center"/>
    </w:pPr>
    <w:rPr>
      <w:b/>
      <w:sz w:val="28"/>
      <w:lang w:val="ru-RU"/>
    </w:rPr>
  </w:style>
  <w:style w:type="paragraph" w:styleId="20">
    <w:name w:val="Body Text 2"/>
    <w:basedOn w:val="a"/>
    <w:rPr>
      <w:sz w:val="28"/>
    </w:rPr>
  </w:style>
  <w:style w:type="paragraph" w:customStyle="1" w:styleId="ad">
    <w:name w:val=" Знак Знак Знак Знак"/>
    <w:basedOn w:val="a"/>
    <w:rsid w:val="00E94642"/>
    <w:rPr>
      <w:rFonts w:ascii="Verdana" w:hAnsi="Verdana" w:cs="Verdana"/>
      <w:lang w:val="en-US" w:eastAsia="en-US"/>
    </w:rPr>
  </w:style>
  <w:style w:type="character" w:styleId="ae">
    <w:name w:val="Hyperlink"/>
    <w:rsid w:val="00902C57"/>
    <w:rPr>
      <w:color w:val="0000FF"/>
      <w:u w:val="single"/>
    </w:rPr>
  </w:style>
  <w:style w:type="paragraph" w:customStyle="1" w:styleId="CharChar">
    <w:name w:val="Char Char"/>
    <w:basedOn w:val="a"/>
    <w:rsid w:val="008B1F5D"/>
    <w:rPr>
      <w:rFonts w:ascii="Verdana" w:hAnsi="Verdana" w:cs="Verdana"/>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EA0FAC"/>
    <w:rPr>
      <w:rFonts w:ascii="Verdana" w:hAnsi="Verdana" w:cs="Verdana"/>
      <w:lang w:val="en-US" w:eastAsia="en-US"/>
    </w:rPr>
  </w:style>
  <w:style w:type="paragraph" w:customStyle="1" w:styleId="CharChar1">
    <w:name w:val=" Знак Знак Char Char"/>
    <w:basedOn w:val="a"/>
    <w:rsid w:val="001666FD"/>
    <w:rPr>
      <w:rFonts w:ascii="Verdana" w:hAnsi="Verdana" w:cs="Verdana"/>
      <w:lang w:val="en-US" w:eastAsia="en-US"/>
    </w:rPr>
  </w:style>
  <w:style w:type="paragraph" w:customStyle="1" w:styleId="af">
    <w:name w:val="Знак"/>
    <w:basedOn w:val="a"/>
    <w:rsid w:val="00F850DB"/>
    <w:rPr>
      <w:rFonts w:ascii="Verdana" w:hAnsi="Verdana" w:cs="Verdana"/>
      <w:lang w:val="en-US" w:eastAsia="en-US"/>
    </w:rPr>
  </w:style>
  <w:style w:type="paragraph" w:customStyle="1" w:styleId="10">
    <w:name w:val="заголовок 1"/>
    <w:basedOn w:val="a"/>
    <w:next w:val="a"/>
    <w:rsid w:val="001C6872"/>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1C6872"/>
    <w:pPr>
      <w:keepNext/>
      <w:jc w:val="center"/>
    </w:pPr>
    <w:rPr>
      <w:b/>
      <w:bCs/>
      <w:sz w:val="28"/>
      <w:szCs w:val="28"/>
    </w:rPr>
  </w:style>
  <w:style w:type="paragraph" w:customStyle="1" w:styleId="CharChar2">
    <w:name w:val=" Char Char"/>
    <w:basedOn w:val="a"/>
    <w:rsid w:val="0065412C"/>
    <w:rPr>
      <w:rFonts w:ascii="Verdana" w:hAnsi="Verdana" w:cs="Verdana"/>
      <w:lang w:val="en-US" w:eastAsia="en-US"/>
    </w:rPr>
  </w:style>
  <w:style w:type="paragraph" w:customStyle="1" w:styleId="af0">
    <w:name w:val="Îñíîâíîé òåêñò"/>
    <w:basedOn w:val="a"/>
    <w:rsid w:val="0057400C"/>
    <w:pPr>
      <w:widowControl w:val="0"/>
      <w:jc w:val="both"/>
    </w:pPr>
    <w:rPr>
      <w:sz w:val="28"/>
      <w:lang w:val="ru-RU" w:eastAsia="ru-RU"/>
    </w:rPr>
  </w:style>
  <w:style w:type="paragraph" w:styleId="af1">
    <w:name w:val="Normal (Web)"/>
    <w:basedOn w:val="a"/>
    <w:rsid w:val="0016409B"/>
    <w:pPr>
      <w:spacing w:before="100" w:beforeAutospacing="1" w:after="100" w:afterAutospacing="1"/>
    </w:pPr>
    <w:rPr>
      <w:sz w:val="24"/>
      <w:szCs w:val="24"/>
    </w:rPr>
  </w:style>
  <w:style w:type="table" w:styleId="af2">
    <w:name w:val="Table Grid"/>
    <w:basedOn w:val="a1"/>
    <w:rsid w:val="0016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FB6888"/>
  </w:style>
  <w:style w:type="paragraph" w:customStyle="1" w:styleId="af3">
    <w:name w:val=" Знак"/>
    <w:basedOn w:val="a"/>
    <w:rsid w:val="00B17D2C"/>
    <w:rPr>
      <w:rFonts w:ascii="Verdana" w:hAnsi="Verdana" w:cs="Verdana"/>
      <w:lang w:val="en-US" w:eastAsia="en-US"/>
    </w:rPr>
  </w:style>
  <w:style w:type="paragraph" w:customStyle="1" w:styleId="rvps2">
    <w:name w:val="rvps2"/>
    <w:basedOn w:val="a"/>
    <w:rsid w:val="00D11CBD"/>
    <w:pPr>
      <w:spacing w:before="100" w:beforeAutospacing="1" w:after="100" w:afterAutospacing="1"/>
    </w:pPr>
    <w:rPr>
      <w:sz w:val="24"/>
      <w:szCs w:val="24"/>
    </w:rPr>
  </w:style>
  <w:style w:type="character" w:customStyle="1" w:styleId="st">
    <w:name w:val="st"/>
    <w:basedOn w:val="a0"/>
    <w:rsid w:val="00122A29"/>
  </w:style>
  <w:style w:type="character" w:customStyle="1" w:styleId="rvts46">
    <w:name w:val="rvts46"/>
    <w:basedOn w:val="a0"/>
    <w:rsid w:val="00CF5D9F"/>
  </w:style>
  <w:style w:type="character" w:customStyle="1" w:styleId="rvts11">
    <w:name w:val="rvts11"/>
    <w:basedOn w:val="a0"/>
    <w:rsid w:val="00CF5D9F"/>
  </w:style>
  <w:style w:type="character" w:customStyle="1" w:styleId="rvts15">
    <w:name w:val="rvts15"/>
    <w:basedOn w:val="a0"/>
    <w:rsid w:val="00EC6E45"/>
  </w:style>
  <w:style w:type="character" w:customStyle="1" w:styleId="rvts23">
    <w:name w:val="rvts23"/>
    <w:basedOn w:val="a0"/>
    <w:rsid w:val="004363E5"/>
  </w:style>
  <w:style w:type="paragraph" w:customStyle="1" w:styleId="rvps14">
    <w:name w:val="rvps14"/>
    <w:basedOn w:val="a"/>
    <w:rsid w:val="004363E5"/>
    <w:pPr>
      <w:spacing w:before="100" w:beforeAutospacing="1" w:after="100" w:afterAutospacing="1"/>
    </w:pPr>
    <w:rPr>
      <w:sz w:val="24"/>
      <w:szCs w:val="24"/>
    </w:rPr>
  </w:style>
  <w:style w:type="character" w:customStyle="1" w:styleId="rvts9">
    <w:name w:val="rvts9"/>
    <w:basedOn w:val="a0"/>
    <w:rsid w:val="004363E5"/>
  </w:style>
  <w:style w:type="paragraph" w:customStyle="1" w:styleId="rvps6">
    <w:name w:val="rvps6"/>
    <w:basedOn w:val="a"/>
    <w:rsid w:val="004363E5"/>
    <w:pPr>
      <w:spacing w:before="100" w:beforeAutospacing="1" w:after="100" w:afterAutospacing="1"/>
    </w:pPr>
    <w:rPr>
      <w:sz w:val="24"/>
      <w:szCs w:val="24"/>
    </w:rPr>
  </w:style>
  <w:style w:type="paragraph" w:customStyle="1" w:styleId="rvps12">
    <w:name w:val="rvps12"/>
    <w:basedOn w:val="a"/>
    <w:rsid w:val="004363E5"/>
    <w:pPr>
      <w:spacing w:before="100" w:beforeAutospacing="1" w:after="100" w:afterAutospacing="1"/>
    </w:pPr>
    <w:rPr>
      <w:sz w:val="24"/>
      <w:szCs w:val="24"/>
    </w:rPr>
  </w:style>
  <w:style w:type="paragraph" w:styleId="af4">
    <w:name w:val="List Paragraph"/>
    <w:basedOn w:val="a"/>
    <w:uiPriority w:val="34"/>
    <w:qFormat/>
    <w:rsid w:val="0088761F"/>
    <w:pPr>
      <w:ind w:left="708"/>
    </w:pPr>
  </w:style>
  <w:style w:type="character" w:customStyle="1" w:styleId="a8">
    <w:name w:val="Верхний колонтитул Знак"/>
    <w:link w:val="a7"/>
    <w:uiPriority w:val="99"/>
    <w:rsid w:val="00F46985"/>
    <w:rPr>
      <w:lang w:val="ru-RU" w:eastAsia="ru-RU"/>
    </w:rPr>
  </w:style>
  <w:style w:type="paragraph" w:customStyle="1" w:styleId="tj">
    <w:name w:val="tj"/>
    <w:basedOn w:val="a"/>
    <w:rsid w:val="002D3C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79">
      <w:bodyDiv w:val="1"/>
      <w:marLeft w:val="0"/>
      <w:marRight w:val="0"/>
      <w:marTop w:val="0"/>
      <w:marBottom w:val="0"/>
      <w:divBdr>
        <w:top w:val="none" w:sz="0" w:space="0" w:color="auto"/>
        <w:left w:val="none" w:sz="0" w:space="0" w:color="auto"/>
        <w:bottom w:val="none" w:sz="0" w:space="0" w:color="auto"/>
        <w:right w:val="none" w:sz="0" w:space="0" w:color="auto"/>
      </w:divBdr>
    </w:div>
    <w:div w:id="20136261">
      <w:bodyDiv w:val="1"/>
      <w:marLeft w:val="0"/>
      <w:marRight w:val="0"/>
      <w:marTop w:val="0"/>
      <w:marBottom w:val="0"/>
      <w:divBdr>
        <w:top w:val="none" w:sz="0" w:space="0" w:color="auto"/>
        <w:left w:val="none" w:sz="0" w:space="0" w:color="auto"/>
        <w:bottom w:val="none" w:sz="0" w:space="0" w:color="auto"/>
        <w:right w:val="none" w:sz="0" w:space="0" w:color="auto"/>
      </w:divBdr>
    </w:div>
    <w:div w:id="73554544">
      <w:bodyDiv w:val="1"/>
      <w:marLeft w:val="0"/>
      <w:marRight w:val="0"/>
      <w:marTop w:val="0"/>
      <w:marBottom w:val="0"/>
      <w:divBdr>
        <w:top w:val="none" w:sz="0" w:space="0" w:color="auto"/>
        <w:left w:val="none" w:sz="0" w:space="0" w:color="auto"/>
        <w:bottom w:val="none" w:sz="0" w:space="0" w:color="auto"/>
        <w:right w:val="none" w:sz="0" w:space="0" w:color="auto"/>
      </w:divBdr>
    </w:div>
    <w:div w:id="91056142">
      <w:bodyDiv w:val="1"/>
      <w:marLeft w:val="0"/>
      <w:marRight w:val="0"/>
      <w:marTop w:val="0"/>
      <w:marBottom w:val="0"/>
      <w:divBdr>
        <w:top w:val="none" w:sz="0" w:space="0" w:color="auto"/>
        <w:left w:val="none" w:sz="0" w:space="0" w:color="auto"/>
        <w:bottom w:val="none" w:sz="0" w:space="0" w:color="auto"/>
        <w:right w:val="none" w:sz="0" w:space="0" w:color="auto"/>
      </w:divBdr>
    </w:div>
    <w:div w:id="181360088">
      <w:bodyDiv w:val="1"/>
      <w:marLeft w:val="0"/>
      <w:marRight w:val="0"/>
      <w:marTop w:val="0"/>
      <w:marBottom w:val="0"/>
      <w:divBdr>
        <w:top w:val="none" w:sz="0" w:space="0" w:color="auto"/>
        <w:left w:val="none" w:sz="0" w:space="0" w:color="auto"/>
        <w:bottom w:val="none" w:sz="0" w:space="0" w:color="auto"/>
        <w:right w:val="none" w:sz="0" w:space="0" w:color="auto"/>
      </w:divBdr>
    </w:div>
    <w:div w:id="382994953">
      <w:bodyDiv w:val="1"/>
      <w:marLeft w:val="0"/>
      <w:marRight w:val="0"/>
      <w:marTop w:val="0"/>
      <w:marBottom w:val="0"/>
      <w:divBdr>
        <w:top w:val="none" w:sz="0" w:space="0" w:color="auto"/>
        <w:left w:val="none" w:sz="0" w:space="0" w:color="auto"/>
        <w:bottom w:val="none" w:sz="0" w:space="0" w:color="auto"/>
        <w:right w:val="none" w:sz="0" w:space="0" w:color="auto"/>
      </w:divBdr>
    </w:div>
    <w:div w:id="620765007">
      <w:bodyDiv w:val="1"/>
      <w:marLeft w:val="0"/>
      <w:marRight w:val="0"/>
      <w:marTop w:val="0"/>
      <w:marBottom w:val="0"/>
      <w:divBdr>
        <w:top w:val="none" w:sz="0" w:space="0" w:color="auto"/>
        <w:left w:val="none" w:sz="0" w:space="0" w:color="auto"/>
        <w:bottom w:val="none" w:sz="0" w:space="0" w:color="auto"/>
        <w:right w:val="none" w:sz="0" w:space="0" w:color="auto"/>
      </w:divBdr>
    </w:div>
    <w:div w:id="649408523">
      <w:bodyDiv w:val="1"/>
      <w:marLeft w:val="0"/>
      <w:marRight w:val="0"/>
      <w:marTop w:val="0"/>
      <w:marBottom w:val="0"/>
      <w:divBdr>
        <w:top w:val="none" w:sz="0" w:space="0" w:color="auto"/>
        <w:left w:val="none" w:sz="0" w:space="0" w:color="auto"/>
        <w:bottom w:val="none" w:sz="0" w:space="0" w:color="auto"/>
        <w:right w:val="none" w:sz="0" w:space="0" w:color="auto"/>
      </w:divBdr>
    </w:div>
    <w:div w:id="682558652">
      <w:bodyDiv w:val="1"/>
      <w:marLeft w:val="0"/>
      <w:marRight w:val="0"/>
      <w:marTop w:val="0"/>
      <w:marBottom w:val="0"/>
      <w:divBdr>
        <w:top w:val="none" w:sz="0" w:space="0" w:color="auto"/>
        <w:left w:val="none" w:sz="0" w:space="0" w:color="auto"/>
        <w:bottom w:val="none" w:sz="0" w:space="0" w:color="auto"/>
        <w:right w:val="none" w:sz="0" w:space="0" w:color="auto"/>
      </w:divBdr>
    </w:div>
    <w:div w:id="876938017">
      <w:bodyDiv w:val="1"/>
      <w:marLeft w:val="0"/>
      <w:marRight w:val="0"/>
      <w:marTop w:val="0"/>
      <w:marBottom w:val="0"/>
      <w:divBdr>
        <w:top w:val="none" w:sz="0" w:space="0" w:color="auto"/>
        <w:left w:val="none" w:sz="0" w:space="0" w:color="auto"/>
        <w:bottom w:val="none" w:sz="0" w:space="0" w:color="auto"/>
        <w:right w:val="none" w:sz="0" w:space="0" w:color="auto"/>
      </w:divBdr>
    </w:div>
    <w:div w:id="895627608">
      <w:bodyDiv w:val="1"/>
      <w:marLeft w:val="0"/>
      <w:marRight w:val="0"/>
      <w:marTop w:val="0"/>
      <w:marBottom w:val="0"/>
      <w:divBdr>
        <w:top w:val="none" w:sz="0" w:space="0" w:color="auto"/>
        <w:left w:val="none" w:sz="0" w:space="0" w:color="auto"/>
        <w:bottom w:val="none" w:sz="0" w:space="0" w:color="auto"/>
        <w:right w:val="none" w:sz="0" w:space="0" w:color="auto"/>
      </w:divBdr>
    </w:div>
    <w:div w:id="1031151468">
      <w:bodyDiv w:val="1"/>
      <w:marLeft w:val="0"/>
      <w:marRight w:val="0"/>
      <w:marTop w:val="0"/>
      <w:marBottom w:val="0"/>
      <w:divBdr>
        <w:top w:val="none" w:sz="0" w:space="0" w:color="auto"/>
        <w:left w:val="none" w:sz="0" w:space="0" w:color="auto"/>
        <w:bottom w:val="none" w:sz="0" w:space="0" w:color="auto"/>
        <w:right w:val="none" w:sz="0" w:space="0" w:color="auto"/>
      </w:divBdr>
    </w:div>
    <w:div w:id="1141769915">
      <w:bodyDiv w:val="1"/>
      <w:marLeft w:val="0"/>
      <w:marRight w:val="0"/>
      <w:marTop w:val="0"/>
      <w:marBottom w:val="0"/>
      <w:divBdr>
        <w:top w:val="none" w:sz="0" w:space="0" w:color="auto"/>
        <w:left w:val="none" w:sz="0" w:space="0" w:color="auto"/>
        <w:bottom w:val="none" w:sz="0" w:space="0" w:color="auto"/>
        <w:right w:val="none" w:sz="0" w:space="0" w:color="auto"/>
      </w:divBdr>
    </w:div>
    <w:div w:id="1454519029">
      <w:bodyDiv w:val="1"/>
      <w:marLeft w:val="0"/>
      <w:marRight w:val="0"/>
      <w:marTop w:val="0"/>
      <w:marBottom w:val="0"/>
      <w:divBdr>
        <w:top w:val="none" w:sz="0" w:space="0" w:color="auto"/>
        <w:left w:val="none" w:sz="0" w:space="0" w:color="auto"/>
        <w:bottom w:val="none" w:sz="0" w:space="0" w:color="auto"/>
        <w:right w:val="none" w:sz="0" w:space="0" w:color="auto"/>
      </w:divBdr>
    </w:div>
    <w:div w:id="1627396877">
      <w:bodyDiv w:val="1"/>
      <w:marLeft w:val="0"/>
      <w:marRight w:val="0"/>
      <w:marTop w:val="0"/>
      <w:marBottom w:val="0"/>
      <w:divBdr>
        <w:top w:val="none" w:sz="0" w:space="0" w:color="auto"/>
        <w:left w:val="none" w:sz="0" w:space="0" w:color="auto"/>
        <w:bottom w:val="none" w:sz="0" w:space="0" w:color="auto"/>
        <w:right w:val="none" w:sz="0" w:space="0" w:color="auto"/>
      </w:divBdr>
    </w:div>
    <w:div w:id="1694767984">
      <w:bodyDiv w:val="1"/>
      <w:marLeft w:val="0"/>
      <w:marRight w:val="0"/>
      <w:marTop w:val="0"/>
      <w:marBottom w:val="0"/>
      <w:divBdr>
        <w:top w:val="none" w:sz="0" w:space="0" w:color="auto"/>
        <w:left w:val="none" w:sz="0" w:space="0" w:color="auto"/>
        <w:bottom w:val="none" w:sz="0" w:space="0" w:color="auto"/>
        <w:right w:val="none" w:sz="0" w:space="0" w:color="auto"/>
      </w:divBdr>
    </w:div>
    <w:div w:id="1832721849">
      <w:bodyDiv w:val="1"/>
      <w:marLeft w:val="0"/>
      <w:marRight w:val="0"/>
      <w:marTop w:val="0"/>
      <w:marBottom w:val="0"/>
      <w:divBdr>
        <w:top w:val="none" w:sz="0" w:space="0" w:color="auto"/>
        <w:left w:val="none" w:sz="0" w:space="0" w:color="auto"/>
        <w:bottom w:val="none" w:sz="0" w:space="0" w:color="auto"/>
        <w:right w:val="none" w:sz="0" w:space="0" w:color="auto"/>
      </w:divBdr>
    </w:div>
    <w:div w:id="20064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48/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z0831-12/paran18"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z0831-12/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1232</Words>
  <Characters>7028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Національна комісія</Company>
  <LinksUpToDate>false</LinksUpToDate>
  <CharactersWithSpaces>8244</CharactersWithSpaces>
  <SharedDoc>false</SharedDoc>
  <HLinks>
    <vt:vector size="18" baseType="variant">
      <vt:variant>
        <vt:i4>6881331</vt:i4>
      </vt:variant>
      <vt:variant>
        <vt:i4>6</vt:i4>
      </vt:variant>
      <vt:variant>
        <vt:i4>0</vt:i4>
      </vt:variant>
      <vt:variant>
        <vt:i4>5</vt:i4>
      </vt:variant>
      <vt:variant>
        <vt:lpwstr>http://zakon5.rada.gov.ua/laws/show/z0831-12/paran18</vt:lpwstr>
      </vt:variant>
      <vt:variant>
        <vt:lpwstr>n18</vt:lpwstr>
      </vt:variant>
      <vt:variant>
        <vt:i4>6881331</vt:i4>
      </vt:variant>
      <vt:variant>
        <vt:i4>3</vt:i4>
      </vt:variant>
      <vt:variant>
        <vt:i4>0</vt:i4>
      </vt:variant>
      <vt:variant>
        <vt:i4>5</vt:i4>
      </vt:variant>
      <vt:variant>
        <vt:lpwstr>http://zakon5.rada.gov.ua/laws/show/z0831-12/paran18</vt:lpwstr>
      </vt:variant>
      <vt:variant>
        <vt:lpwstr>n18</vt:lpwstr>
      </vt:variant>
      <vt:variant>
        <vt:i4>6684715</vt:i4>
      </vt:variant>
      <vt:variant>
        <vt:i4>0</vt:i4>
      </vt:variant>
      <vt:variant>
        <vt:i4>0</vt:i4>
      </vt:variant>
      <vt:variant>
        <vt:i4>5</vt:i4>
      </vt:variant>
      <vt:variant>
        <vt:lpwstr>http://zakon5.rada.gov.ua/laws/show/448/96-%D0%B2%D1%80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zemlianoy</dc:creator>
  <cp:keywords/>
  <cp:lastModifiedBy>Руслан Кисляк</cp:lastModifiedBy>
  <cp:revision>2</cp:revision>
  <cp:lastPrinted>2017-10-23T12:15:00Z</cp:lastPrinted>
  <dcterms:created xsi:type="dcterms:W3CDTF">2019-03-22T10:44:00Z</dcterms:created>
  <dcterms:modified xsi:type="dcterms:W3CDTF">2019-03-22T10:44:00Z</dcterms:modified>
</cp:coreProperties>
</file>