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DC4" w:rsidRPr="004619D4" w:rsidRDefault="006A2DC4" w:rsidP="006A2DC4">
      <w:pPr>
        <w:tabs>
          <w:tab w:val="center" w:pos="4988"/>
          <w:tab w:val="left" w:pos="8460"/>
        </w:tabs>
        <w:jc w:val="center"/>
        <w:rPr>
          <w:b/>
          <w:spacing w:val="60"/>
        </w:rPr>
      </w:pPr>
      <w:r w:rsidRPr="001E131F">
        <w:rPr>
          <w:b/>
          <w:spacing w:val="60"/>
          <w:lang w:val="ru-RU"/>
        </w:rPr>
        <w:t xml:space="preserve">                       </w:t>
      </w:r>
      <w:r>
        <w:rPr>
          <w:b/>
          <w:spacing w:val="60"/>
        </w:rPr>
        <w:t xml:space="preserve">                                                                               </w:t>
      </w:r>
      <w:r w:rsidRPr="001E131F">
        <w:rPr>
          <w:b/>
          <w:spacing w:val="60"/>
          <w:lang w:val="ru-RU"/>
        </w:rPr>
        <w:t xml:space="preserve">     </w:t>
      </w:r>
      <w:r>
        <w:rPr>
          <w:b/>
          <w:spacing w:val="60"/>
        </w:rPr>
        <w:t xml:space="preserve">                                        </w:t>
      </w:r>
    </w:p>
    <w:p w:rsidR="006A2DC4" w:rsidRPr="00581D66" w:rsidRDefault="006A2DC4" w:rsidP="006A2DC4">
      <w:pPr>
        <w:tabs>
          <w:tab w:val="center" w:pos="4988"/>
          <w:tab w:val="left" w:pos="8460"/>
        </w:tabs>
        <w:rPr>
          <w:b/>
          <w:color w:val="FFFFFF"/>
          <w:spacing w:val="60"/>
        </w:rPr>
      </w:pPr>
      <w:r>
        <w:rPr>
          <w:b/>
          <w:spacing w:val="60"/>
        </w:rPr>
        <w:tab/>
      </w:r>
      <w:r w:rsidRPr="00ED7626">
        <w:rPr>
          <w:noProof/>
          <w:spacing w:val="6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6" type="#_x0000_t75" style="position:absolute;margin-left:214.05pt;margin-top:.3pt;width:67.5pt;height:78.75pt;z-index:11;mso-position-horizontal-relative:text;mso-position-vertical-relative:text" fillcolor="window">
            <v:imagedata r:id="rId7" o:title=""/>
          </v:shape>
        </w:pict>
      </w:r>
      <w:r>
        <w:rPr>
          <w:b/>
          <w:spacing w:val="60"/>
        </w:rPr>
        <w:tab/>
      </w:r>
      <w:r w:rsidRPr="00581D66">
        <w:rPr>
          <w:b/>
          <w:color w:val="FFFFFF"/>
          <w:spacing w:val="60"/>
        </w:rPr>
        <w:t>ПРОЕКТ</w:t>
      </w:r>
      <w:r>
        <w:rPr>
          <w:b/>
          <w:color w:val="FFFFFF"/>
          <w:spacing w:val="60"/>
        </w:rPr>
        <w:t>пррпроект</w:t>
      </w:r>
    </w:p>
    <w:p w:rsidR="006A2DC4" w:rsidRPr="00ED7626" w:rsidRDefault="006A2DC4" w:rsidP="006A2DC4">
      <w:pPr>
        <w:jc w:val="center"/>
        <w:rPr>
          <w:b/>
        </w:rPr>
      </w:pPr>
    </w:p>
    <w:p w:rsidR="006A2DC4" w:rsidRPr="00ED7626" w:rsidRDefault="006A2DC4" w:rsidP="006A2DC4">
      <w:pPr>
        <w:pStyle w:val="4"/>
        <w:ind w:left="360" w:right="540"/>
        <w:rPr>
          <w:sz w:val="28"/>
        </w:rPr>
      </w:pPr>
    </w:p>
    <w:p w:rsidR="006A2DC4" w:rsidRPr="00ED7626" w:rsidRDefault="006A2DC4" w:rsidP="006A2DC4">
      <w:pPr>
        <w:pStyle w:val="4"/>
        <w:ind w:left="360" w:right="540"/>
        <w:rPr>
          <w:sz w:val="28"/>
        </w:rPr>
      </w:pPr>
    </w:p>
    <w:p w:rsidR="006A2DC4" w:rsidRPr="00B3418D" w:rsidRDefault="006A2DC4" w:rsidP="006A2DC4">
      <w:pPr>
        <w:pStyle w:val="4"/>
        <w:ind w:left="360" w:right="540"/>
        <w:rPr>
          <w:sz w:val="16"/>
          <w:szCs w:val="16"/>
        </w:rPr>
      </w:pPr>
    </w:p>
    <w:p w:rsidR="006A2DC4" w:rsidRPr="00B3418D" w:rsidRDefault="006A2DC4" w:rsidP="006A2DC4">
      <w:pPr>
        <w:pStyle w:val="4"/>
        <w:ind w:left="360" w:right="540"/>
        <w:rPr>
          <w:sz w:val="16"/>
          <w:szCs w:val="16"/>
        </w:rPr>
      </w:pPr>
    </w:p>
    <w:p w:rsidR="006A2DC4" w:rsidRPr="00ED7626" w:rsidRDefault="006A2DC4" w:rsidP="006A2DC4">
      <w:pPr>
        <w:pStyle w:val="4"/>
        <w:ind w:left="360" w:right="540"/>
        <w:rPr>
          <w:sz w:val="28"/>
        </w:rPr>
      </w:pPr>
      <w:r w:rsidRPr="00ED7626">
        <w:rPr>
          <w:sz w:val="28"/>
        </w:rPr>
        <w:t>НАЦІОНАЛЬНА КОМІСІЯ З ЦІННИХ ПАПЕРІВ</w:t>
      </w:r>
    </w:p>
    <w:p w:rsidR="006A2DC4" w:rsidRPr="00ED7626" w:rsidRDefault="006A2DC4" w:rsidP="006A2DC4">
      <w:pPr>
        <w:pStyle w:val="1"/>
        <w:ind w:left="360" w:right="540"/>
      </w:pPr>
      <w:r w:rsidRPr="00ED7626">
        <w:t>ТА ФОНДОВОГО РИНКУ</w:t>
      </w:r>
    </w:p>
    <w:p w:rsidR="006A2DC4" w:rsidRPr="00ED7626" w:rsidRDefault="006A2DC4" w:rsidP="006A2DC4">
      <w:pPr>
        <w:jc w:val="both"/>
        <w:rPr>
          <w:b/>
          <w:sz w:val="28"/>
        </w:rPr>
      </w:pPr>
      <w:r w:rsidRPr="00ED7626">
        <w:pict>
          <v:shape id="_x0000_s1145" style="position:absolute;left:0;text-align:left;margin-left:20.2pt;margin-top:5.85pt;width:424.8pt;height:7.2pt;z-index:10;mso-position-horizontal:absolute;mso-position-horizontal-relative:text;mso-position-vertical:absolute;mso-position-vertical-relative:text" coordsize="20000,20000" o:allowincell="f" path="m,l,20000r20000,l20000,,,e">
            <v:fill type="pattern"/>
            <v:path arrowok="t"/>
          </v:shape>
        </w:pict>
      </w:r>
    </w:p>
    <w:p w:rsidR="006A2DC4" w:rsidRPr="00B3418D" w:rsidRDefault="006A2DC4" w:rsidP="006A2DC4">
      <w:pPr>
        <w:jc w:val="both"/>
        <w:rPr>
          <w:sz w:val="20"/>
          <w:szCs w:val="20"/>
        </w:rPr>
      </w:pPr>
    </w:p>
    <w:p w:rsidR="006A2DC4" w:rsidRDefault="006A2DC4" w:rsidP="006A2DC4">
      <w:pPr>
        <w:ind w:left="5580"/>
      </w:pPr>
      <w:bookmarkStart w:id="0" w:name="_GoBack"/>
      <w:bookmarkEnd w:id="0"/>
    </w:p>
    <w:p w:rsidR="006A2DC4" w:rsidRDefault="006A2DC4" w:rsidP="006A2DC4"/>
    <w:tbl>
      <w:tblPr>
        <w:tblW w:w="0" w:type="auto"/>
        <w:tblInd w:w="4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7"/>
      </w:tblGrid>
      <w:tr w:rsidR="009C3686" w:rsidRPr="004B3CC9" w:rsidTr="004B3CC9">
        <w:tc>
          <w:tcPr>
            <w:tcW w:w="4887" w:type="dxa"/>
            <w:tcBorders>
              <w:top w:val="nil"/>
              <w:left w:val="nil"/>
              <w:bottom w:val="nil"/>
              <w:right w:val="nil"/>
            </w:tcBorders>
            <w:shd w:val="clear" w:color="auto" w:fill="auto"/>
          </w:tcPr>
          <w:p w:rsidR="009C3686" w:rsidRPr="004B3CC9" w:rsidRDefault="009C3686" w:rsidP="004B3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napToGrid/>
                <w:sz w:val="28"/>
                <w:szCs w:val="28"/>
              </w:rPr>
            </w:pPr>
            <w:r w:rsidRPr="004B3CC9">
              <w:rPr>
                <w:bCs/>
                <w:snapToGrid/>
                <w:sz w:val="28"/>
                <w:szCs w:val="28"/>
              </w:rPr>
              <w:t>СХВАЛЕНО</w:t>
            </w:r>
          </w:p>
          <w:p w:rsidR="009C3686" w:rsidRPr="004B3CC9" w:rsidRDefault="009C3686" w:rsidP="004B3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napToGrid/>
                <w:sz w:val="28"/>
                <w:szCs w:val="28"/>
              </w:rPr>
            </w:pPr>
            <w:r w:rsidRPr="004B3CC9">
              <w:rPr>
                <w:bCs/>
                <w:snapToGrid/>
                <w:sz w:val="28"/>
                <w:szCs w:val="28"/>
              </w:rPr>
              <w:t>рішення НКЦПФР</w:t>
            </w:r>
          </w:p>
          <w:p w:rsidR="009C3686" w:rsidRPr="004B3CC9" w:rsidRDefault="00525E98" w:rsidP="004B3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napToGrid/>
                <w:sz w:val="28"/>
                <w:szCs w:val="28"/>
              </w:rPr>
            </w:pPr>
            <w:r w:rsidRPr="004B3CC9">
              <w:rPr>
                <w:bCs/>
                <w:snapToGrid/>
                <w:sz w:val="28"/>
                <w:szCs w:val="28"/>
                <w:lang w:val="en-US"/>
              </w:rPr>
              <w:t>26</w:t>
            </w:r>
            <w:r w:rsidR="009C3686" w:rsidRPr="004B3CC9">
              <w:rPr>
                <w:bCs/>
                <w:snapToGrid/>
                <w:sz w:val="28"/>
                <w:szCs w:val="28"/>
              </w:rPr>
              <w:t xml:space="preserve"> </w:t>
            </w:r>
            <w:r w:rsidRPr="004B3CC9">
              <w:rPr>
                <w:bCs/>
                <w:snapToGrid/>
                <w:sz w:val="28"/>
                <w:szCs w:val="28"/>
              </w:rPr>
              <w:t>березня</w:t>
            </w:r>
            <w:r w:rsidR="009C3686" w:rsidRPr="004B3CC9">
              <w:rPr>
                <w:bCs/>
                <w:snapToGrid/>
                <w:sz w:val="28"/>
                <w:szCs w:val="28"/>
              </w:rPr>
              <w:t xml:space="preserve"> 2019 року № </w:t>
            </w:r>
            <w:r w:rsidRPr="004B3CC9">
              <w:rPr>
                <w:bCs/>
                <w:snapToGrid/>
                <w:sz w:val="28"/>
                <w:szCs w:val="28"/>
              </w:rPr>
              <w:t>177</w:t>
            </w:r>
          </w:p>
        </w:tc>
      </w:tr>
    </w:tbl>
    <w:p w:rsidR="009C3686" w:rsidRDefault="009C3686"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napToGrid/>
          <w:sz w:val="28"/>
          <w:szCs w:val="28"/>
          <w:lang w:val="en-US"/>
        </w:rPr>
      </w:pPr>
    </w:p>
    <w:p w:rsidR="00B74F8F" w:rsidRPr="00B74F8F"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napToGrid/>
          <w:sz w:val="28"/>
          <w:szCs w:val="28"/>
        </w:rPr>
      </w:pPr>
      <w:r w:rsidRPr="00B74F8F">
        <w:rPr>
          <w:b/>
          <w:bCs/>
          <w:snapToGrid/>
          <w:sz w:val="28"/>
          <w:szCs w:val="28"/>
        </w:rPr>
        <w:t xml:space="preserve">Концептуальні засади </w:t>
      </w:r>
    </w:p>
    <w:p w:rsidR="00B74F8F" w:rsidRPr="00B74F8F"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napToGrid/>
          <w:sz w:val="28"/>
          <w:szCs w:val="28"/>
        </w:rPr>
      </w:pPr>
      <w:r w:rsidRPr="00B74F8F">
        <w:rPr>
          <w:b/>
          <w:bCs/>
          <w:snapToGrid/>
          <w:sz w:val="28"/>
          <w:szCs w:val="28"/>
        </w:rPr>
        <w:t>нагляду за учасниками, які провадять професійну діяльність на фондовому ринку,</w:t>
      </w:r>
      <w:r>
        <w:rPr>
          <w:b/>
          <w:bCs/>
          <w:snapToGrid/>
          <w:sz w:val="28"/>
          <w:szCs w:val="28"/>
        </w:rPr>
        <w:t xml:space="preserve"> </w:t>
      </w:r>
      <w:r w:rsidRPr="00B74F8F">
        <w:rPr>
          <w:b/>
          <w:bCs/>
          <w:snapToGrid/>
          <w:sz w:val="28"/>
          <w:szCs w:val="28"/>
        </w:rPr>
        <w:t>на основі оцінки ризиків</w:t>
      </w:r>
    </w:p>
    <w:p w:rsidR="00B74F8F" w:rsidRPr="00B74F8F"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napToGrid/>
          <w:sz w:val="28"/>
          <w:szCs w:val="28"/>
        </w:rPr>
      </w:pPr>
    </w:p>
    <w:p w:rsidR="00B74F8F" w:rsidRPr="00B74F8F"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napToGrid/>
          <w:sz w:val="28"/>
          <w:szCs w:val="28"/>
        </w:rPr>
      </w:pPr>
      <w:r w:rsidRPr="00B74F8F">
        <w:rPr>
          <w:b/>
          <w:bCs/>
          <w:snapToGrid/>
          <w:sz w:val="28"/>
          <w:szCs w:val="28"/>
        </w:rPr>
        <w:t>ПЛАН</w:t>
      </w:r>
    </w:p>
    <w:p w:rsidR="00B74F8F" w:rsidRPr="00B74F8F"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napToGrid/>
          <w:sz w:val="28"/>
          <w:szCs w:val="28"/>
        </w:rPr>
      </w:pPr>
      <w:r w:rsidRPr="00B74F8F">
        <w:rPr>
          <w:bCs/>
          <w:snapToGrid/>
          <w:sz w:val="28"/>
          <w:szCs w:val="28"/>
        </w:rPr>
        <w:t>1. Моделі нагляду за учасниками</w:t>
      </w:r>
      <w:r w:rsidRPr="00FB159F">
        <w:rPr>
          <w:b/>
          <w:bCs/>
          <w:snapToGrid/>
          <w:sz w:val="28"/>
          <w:szCs w:val="28"/>
        </w:rPr>
        <w:t xml:space="preserve"> </w:t>
      </w:r>
      <w:r w:rsidRPr="00B74F8F">
        <w:rPr>
          <w:bCs/>
          <w:snapToGrid/>
          <w:sz w:val="28"/>
          <w:szCs w:val="28"/>
        </w:rPr>
        <w:t>фондового ринку</w:t>
      </w:r>
      <w:r w:rsidR="00357CF7">
        <w:rPr>
          <w:bCs/>
          <w:snapToGrid/>
          <w:sz w:val="28"/>
          <w:szCs w:val="28"/>
        </w:rPr>
        <w:t>.</w:t>
      </w:r>
    </w:p>
    <w:p w:rsidR="00B74F8F" w:rsidRPr="00B74F8F"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napToGrid/>
          <w:sz w:val="28"/>
          <w:szCs w:val="28"/>
        </w:rPr>
      </w:pPr>
      <w:r w:rsidRPr="00B74F8F">
        <w:rPr>
          <w:bCs/>
          <w:snapToGrid/>
          <w:sz w:val="28"/>
          <w:szCs w:val="28"/>
        </w:rPr>
        <w:t>2. Діюча модель нагляду НКЦПФР за учасниками</w:t>
      </w:r>
      <w:r w:rsidRPr="003A5E9C">
        <w:rPr>
          <w:bCs/>
          <w:snapToGrid/>
          <w:sz w:val="28"/>
          <w:szCs w:val="28"/>
        </w:rPr>
        <w:t>,</w:t>
      </w:r>
      <w:r w:rsidRPr="00B74F8F">
        <w:rPr>
          <w:bCs/>
          <w:snapToGrid/>
          <w:color w:val="FF0000"/>
          <w:sz w:val="28"/>
          <w:szCs w:val="28"/>
        </w:rPr>
        <w:t xml:space="preserve"> </w:t>
      </w:r>
      <w:r w:rsidRPr="00B74F8F">
        <w:rPr>
          <w:bCs/>
          <w:snapToGrid/>
          <w:sz w:val="28"/>
          <w:szCs w:val="28"/>
        </w:rPr>
        <w:t>які провадять професійну діяльність на фондового ринку</w:t>
      </w:r>
      <w:r w:rsidR="00357CF7">
        <w:rPr>
          <w:bCs/>
          <w:snapToGrid/>
          <w:sz w:val="28"/>
          <w:szCs w:val="28"/>
        </w:rPr>
        <w:t>.</w:t>
      </w:r>
    </w:p>
    <w:p w:rsidR="00B74F8F" w:rsidRPr="00B74F8F"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74F8F">
        <w:rPr>
          <w:bCs/>
          <w:snapToGrid/>
          <w:sz w:val="28"/>
          <w:szCs w:val="28"/>
        </w:rPr>
        <w:t xml:space="preserve">3. </w:t>
      </w:r>
      <w:r w:rsidRPr="00B74F8F">
        <w:rPr>
          <w:sz w:val="28"/>
          <w:szCs w:val="28"/>
        </w:rPr>
        <w:t xml:space="preserve"> Досвід впровадження нагляду на основі оцінки ризиків</w:t>
      </w:r>
      <w:r w:rsidR="00357CF7">
        <w:rPr>
          <w:sz w:val="28"/>
          <w:szCs w:val="28"/>
        </w:rPr>
        <w:t>.</w:t>
      </w:r>
    </w:p>
    <w:p w:rsidR="00B74F8F" w:rsidRPr="00B74F8F"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napToGrid/>
          <w:sz w:val="28"/>
          <w:szCs w:val="28"/>
        </w:rPr>
      </w:pPr>
      <w:r w:rsidRPr="00B74F8F">
        <w:rPr>
          <w:sz w:val="28"/>
          <w:szCs w:val="28"/>
        </w:rPr>
        <w:t>4. Ключові п</w:t>
      </w:r>
      <w:r w:rsidRPr="00B74F8F">
        <w:rPr>
          <w:bCs/>
          <w:snapToGrid/>
          <w:sz w:val="28"/>
          <w:szCs w:val="28"/>
        </w:rPr>
        <w:t>ринципи та  мета нагляду на основі оцінки ризиків</w:t>
      </w:r>
      <w:r w:rsidR="00357CF7">
        <w:rPr>
          <w:bCs/>
          <w:snapToGrid/>
          <w:sz w:val="28"/>
          <w:szCs w:val="28"/>
        </w:rPr>
        <w:t>.</w:t>
      </w:r>
    </w:p>
    <w:p w:rsidR="00B74F8F" w:rsidRPr="00B74F8F"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napToGrid/>
          <w:sz w:val="28"/>
          <w:szCs w:val="28"/>
        </w:rPr>
      </w:pPr>
      <w:r w:rsidRPr="00B74F8F">
        <w:rPr>
          <w:bCs/>
          <w:snapToGrid/>
          <w:sz w:val="28"/>
          <w:szCs w:val="28"/>
        </w:rPr>
        <w:t xml:space="preserve">5. </w:t>
      </w:r>
      <w:r w:rsidRPr="00B74F8F">
        <w:rPr>
          <w:sz w:val="28"/>
          <w:szCs w:val="28"/>
        </w:rPr>
        <w:t xml:space="preserve">Основні аспекти застосування НКЦПФР </w:t>
      </w:r>
      <w:r w:rsidRPr="00B74F8F">
        <w:rPr>
          <w:bCs/>
          <w:snapToGrid/>
          <w:sz w:val="28"/>
          <w:szCs w:val="28"/>
        </w:rPr>
        <w:t>нагляду на основі оцінки ризиків</w:t>
      </w:r>
      <w:r w:rsidR="00357CF7">
        <w:rPr>
          <w:bCs/>
          <w:snapToGrid/>
          <w:sz w:val="28"/>
          <w:szCs w:val="28"/>
        </w:rPr>
        <w:t>.</w:t>
      </w:r>
    </w:p>
    <w:p w:rsidR="00B74F8F" w:rsidRPr="003A5E9C"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74F8F">
        <w:rPr>
          <w:bCs/>
          <w:snapToGrid/>
          <w:sz w:val="28"/>
          <w:szCs w:val="28"/>
        </w:rPr>
        <w:t>5.1. Система управління ризиками</w:t>
      </w:r>
      <w:r w:rsidRPr="00B74F8F">
        <w:rPr>
          <w:sz w:val="28"/>
          <w:szCs w:val="28"/>
        </w:rPr>
        <w:t xml:space="preserve"> в </w:t>
      </w:r>
      <w:r w:rsidRPr="003A5E9C">
        <w:rPr>
          <w:bCs/>
          <w:snapToGrid/>
          <w:sz w:val="28"/>
          <w:szCs w:val="28"/>
        </w:rPr>
        <w:t>учасниках, які провадять професійну діяльність на фондовому ринку</w:t>
      </w:r>
      <w:r w:rsidR="00357CF7">
        <w:rPr>
          <w:bCs/>
          <w:snapToGrid/>
          <w:sz w:val="28"/>
          <w:szCs w:val="28"/>
        </w:rPr>
        <w:t>.</w:t>
      </w:r>
    </w:p>
    <w:p w:rsidR="00B74F8F" w:rsidRPr="00B74F8F"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napToGrid/>
          <w:sz w:val="28"/>
          <w:szCs w:val="28"/>
        </w:rPr>
      </w:pPr>
      <w:r w:rsidRPr="00B74F8F">
        <w:rPr>
          <w:bCs/>
          <w:snapToGrid/>
          <w:sz w:val="28"/>
          <w:szCs w:val="28"/>
        </w:rPr>
        <w:t>5.2. Визначення категорій та видів ризиків</w:t>
      </w:r>
      <w:r w:rsidR="00357CF7">
        <w:rPr>
          <w:bCs/>
          <w:snapToGrid/>
          <w:sz w:val="28"/>
          <w:szCs w:val="28"/>
        </w:rPr>
        <w:t>.</w:t>
      </w:r>
      <w:r w:rsidRPr="00B74F8F">
        <w:rPr>
          <w:bCs/>
          <w:snapToGrid/>
          <w:sz w:val="28"/>
          <w:szCs w:val="28"/>
        </w:rPr>
        <w:t xml:space="preserve"> </w:t>
      </w:r>
    </w:p>
    <w:p w:rsidR="00B74F8F" w:rsidRPr="00B74F8F"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napToGrid/>
          <w:sz w:val="28"/>
          <w:szCs w:val="28"/>
        </w:rPr>
      </w:pPr>
      <w:r w:rsidRPr="00B74F8F">
        <w:rPr>
          <w:bCs/>
          <w:snapToGrid/>
          <w:sz w:val="28"/>
          <w:szCs w:val="28"/>
        </w:rPr>
        <w:t>5.3. Система НКЦПФР щодо оцінки ризиків. Матриця ризиків.</w:t>
      </w:r>
    </w:p>
    <w:p w:rsidR="00B74F8F" w:rsidRPr="00B74F8F"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napToGrid/>
          <w:sz w:val="28"/>
          <w:szCs w:val="28"/>
        </w:rPr>
      </w:pPr>
      <w:r w:rsidRPr="00B74F8F">
        <w:rPr>
          <w:bCs/>
          <w:snapToGrid/>
          <w:sz w:val="28"/>
          <w:szCs w:val="28"/>
        </w:rPr>
        <w:t>5.4. Формування фокусу нагляду</w:t>
      </w:r>
      <w:r w:rsidR="00357CF7">
        <w:rPr>
          <w:bCs/>
          <w:snapToGrid/>
          <w:sz w:val="28"/>
          <w:szCs w:val="28"/>
        </w:rPr>
        <w:t>.</w:t>
      </w:r>
    </w:p>
    <w:p w:rsidR="00B74F8F" w:rsidRPr="00B74F8F"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napToGrid/>
          <w:sz w:val="28"/>
          <w:szCs w:val="28"/>
        </w:rPr>
      </w:pPr>
      <w:r w:rsidRPr="00B74F8F">
        <w:rPr>
          <w:bCs/>
          <w:snapToGrid/>
          <w:sz w:val="28"/>
          <w:szCs w:val="28"/>
        </w:rPr>
        <w:t>5.5. Цикл нагляду</w:t>
      </w:r>
      <w:r w:rsidR="00357CF7">
        <w:rPr>
          <w:bCs/>
          <w:snapToGrid/>
          <w:sz w:val="28"/>
          <w:szCs w:val="28"/>
        </w:rPr>
        <w:t>.</w:t>
      </w:r>
      <w:r w:rsidRPr="00B74F8F">
        <w:rPr>
          <w:bCs/>
          <w:snapToGrid/>
          <w:sz w:val="28"/>
          <w:szCs w:val="28"/>
        </w:rPr>
        <w:t xml:space="preserve">  </w:t>
      </w:r>
    </w:p>
    <w:p w:rsidR="00B74F8F" w:rsidRPr="00B74F8F"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napToGrid/>
          <w:sz w:val="28"/>
          <w:szCs w:val="28"/>
        </w:rPr>
      </w:pPr>
      <w:r w:rsidRPr="00B74F8F">
        <w:rPr>
          <w:bCs/>
          <w:snapToGrid/>
          <w:sz w:val="28"/>
          <w:szCs w:val="28"/>
        </w:rPr>
        <w:t xml:space="preserve">5.6. Модель взаємодії структурних підрозділів НКЦПФР в рамках </w:t>
      </w:r>
      <w:r w:rsidRPr="00B74F8F">
        <w:rPr>
          <w:sz w:val="28"/>
          <w:szCs w:val="28"/>
        </w:rPr>
        <w:t>нагляду на основі оцінки ризиків</w:t>
      </w:r>
      <w:r w:rsidRPr="00B74F8F">
        <w:rPr>
          <w:bCs/>
          <w:snapToGrid/>
          <w:sz w:val="28"/>
          <w:szCs w:val="28"/>
        </w:rPr>
        <w:t xml:space="preserve"> в існуючій структурі НКЦПФР</w:t>
      </w:r>
      <w:r w:rsidR="00357CF7">
        <w:rPr>
          <w:bCs/>
          <w:snapToGrid/>
          <w:sz w:val="28"/>
          <w:szCs w:val="28"/>
        </w:rPr>
        <w:t>.</w:t>
      </w:r>
    </w:p>
    <w:p w:rsidR="00B74F8F" w:rsidRPr="00B74F8F"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napToGrid/>
          <w:sz w:val="28"/>
          <w:szCs w:val="28"/>
        </w:rPr>
      </w:pPr>
      <w:r w:rsidRPr="00B74F8F">
        <w:rPr>
          <w:bCs/>
          <w:snapToGrid/>
          <w:sz w:val="28"/>
          <w:szCs w:val="28"/>
        </w:rPr>
        <w:t xml:space="preserve">6. Інформаційно-технічне забезпечення </w:t>
      </w:r>
      <w:r w:rsidRPr="00B74F8F">
        <w:rPr>
          <w:sz w:val="28"/>
          <w:szCs w:val="28"/>
        </w:rPr>
        <w:t>нагляду на основі оцінки ризиків</w:t>
      </w:r>
      <w:r w:rsidR="00357CF7">
        <w:rPr>
          <w:sz w:val="28"/>
          <w:szCs w:val="28"/>
        </w:rPr>
        <w:t>.</w:t>
      </w:r>
    </w:p>
    <w:p w:rsidR="00B74F8F" w:rsidRPr="00B74F8F"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napToGrid/>
          <w:sz w:val="28"/>
          <w:szCs w:val="28"/>
        </w:rPr>
      </w:pPr>
      <w:r w:rsidRPr="00B74F8F">
        <w:rPr>
          <w:bCs/>
          <w:snapToGrid/>
          <w:sz w:val="28"/>
          <w:szCs w:val="28"/>
        </w:rPr>
        <w:t xml:space="preserve">7. Процес впровадження </w:t>
      </w:r>
      <w:r w:rsidRPr="00B74F8F">
        <w:rPr>
          <w:sz w:val="28"/>
          <w:szCs w:val="28"/>
        </w:rPr>
        <w:t>нагляду на основі оцінки ризиків</w:t>
      </w:r>
      <w:r w:rsidRPr="00B74F8F">
        <w:rPr>
          <w:bCs/>
          <w:snapToGrid/>
          <w:sz w:val="28"/>
          <w:szCs w:val="28"/>
        </w:rPr>
        <w:t xml:space="preserve"> в НКЦПФР</w:t>
      </w:r>
      <w:r w:rsidR="00357CF7">
        <w:rPr>
          <w:bCs/>
          <w:snapToGrid/>
          <w:sz w:val="28"/>
          <w:szCs w:val="28"/>
        </w:rPr>
        <w:t>.</w:t>
      </w:r>
    </w:p>
    <w:p w:rsidR="00B74F8F" w:rsidRPr="00B74F8F"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napToGrid/>
          <w:sz w:val="28"/>
          <w:szCs w:val="28"/>
        </w:rPr>
      </w:pPr>
    </w:p>
    <w:p w:rsidR="00B74F8F" w:rsidRPr="00B74F8F"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napToGrid/>
          <w:sz w:val="28"/>
          <w:szCs w:val="28"/>
        </w:rPr>
      </w:pPr>
      <w:r w:rsidRPr="00B74F8F">
        <w:rPr>
          <w:b/>
          <w:bCs/>
          <w:snapToGrid/>
          <w:sz w:val="28"/>
          <w:szCs w:val="28"/>
        </w:rPr>
        <w:t>Вступ</w:t>
      </w:r>
      <w:r w:rsidR="00357CF7">
        <w:rPr>
          <w:b/>
          <w:bCs/>
          <w:snapToGrid/>
          <w:sz w:val="28"/>
          <w:szCs w:val="28"/>
        </w:rPr>
        <w:t>.</w:t>
      </w:r>
    </w:p>
    <w:p w:rsidR="00B74F8F" w:rsidRPr="00B74F8F" w:rsidRDefault="00B74F8F" w:rsidP="000B1D1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noProof/>
          <w:sz w:val="28"/>
          <w:szCs w:val="28"/>
        </w:rPr>
      </w:pPr>
      <w:r w:rsidRPr="00B74F8F">
        <w:rPr>
          <w:sz w:val="28"/>
          <w:szCs w:val="28"/>
        </w:rPr>
        <w:t xml:space="preserve">Міжнародна організація комісій з цінних паперів (International Organization of Securities Commissions - IOSCO)  </w:t>
      </w:r>
      <w:r w:rsidRPr="003A5E9C">
        <w:rPr>
          <w:sz w:val="28"/>
          <w:szCs w:val="28"/>
        </w:rPr>
        <w:t xml:space="preserve">у </w:t>
      </w:r>
      <w:r w:rsidRPr="003A5E9C">
        <w:rPr>
          <w:spacing w:val="-2"/>
          <w:sz w:val="28"/>
          <w:szCs w:val="28"/>
        </w:rPr>
        <w:t>програмному документі «Цілі та принципи регулювання цінних паперів» («Objectives and Principles of Securities Regulation»)</w:t>
      </w:r>
      <w:r w:rsidRPr="003A5E9C">
        <w:rPr>
          <w:b/>
          <w:noProof/>
          <w:sz w:val="28"/>
          <w:szCs w:val="28"/>
        </w:rPr>
        <w:t xml:space="preserve"> </w:t>
      </w:r>
      <w:r w:rsidRPr="00B74F8F">
        <w:rPr>
          <w:noProof/>
          <w:sz w:val="28"/>
          <w:szCs w:val="28"/>
        </w:rPr>
        <w:t>визначає 3 основних цілі регулювання фондового ринку. Такими цілями є:</w:t>
      </w:r>
    </w:p>
    <w:p w:rsidR="00B74F8F" w:rsidRPr="00B74F8F" w:rsidRDefault="000B1D18" w:rsidP="000B1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noProof/>
          <w:sz w:val="28"/>
          <w:szCs w:val="28"/>
        </w:rPr>
      </w:pPr>
      <w:r>
        <w:rPr>
          <w:noProof/>
          <w:sz w:val="28"/>
          <w:szCs w:val="28"/>
        </w:rPr>
        <w:t xml:space="preserve">− </w:t>
      </w:r>
      <w:r w:rsidR="00B74F8F" w:rsidRPr="00B74F8F">
        <w:rPr>
          <w:noProof/>
          <w:sz w:val="28"/>
          <w:szCs w:val="28"/>
        </w:rPr>
        <w:t>захист інвесторів;</w:t>
      </w:r>
    </w:p>
    <w:p w:rsidR="00B74F8F" w:rsidRPr="00B74F8F" w:rsidRDefault="000B1D18" w:rsidP="000B1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noProof/>
          <w:sz w:val="28"/>
          <w:szCs w:val="28"/>
        </w:rPr>
      </w:pPr>
      <w:r>
        <w:rPr>
          <w:noProof/>
          <w:sz w:val="28"/>
          <w:szCs w:val="28"/>
        </w:rPr>
        <w:t xml:space="preserve">− </w:t>
      </w:r>
      <w:r w:rsidR="00B74F8F" w:rsidRPr="00B74F8F">
        <w:rPr>
          <w:noProof/>
          <w:sz w:val="28"/>
          <w:szCs w:val="28"/>
        </w:rPr>
        <w:t>забезпечення функціонування справедливого, ефективного та прозорого ринку;</w:t>
      </w:r>
    </w:p>
    <w:p w:rsidR="00B74F8F" w:rsidRPr="00B74F8F" w:rsidRDefault="000B1D18" w:rsidP="000B1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noProof/>
          <w:sz w:val="28"/>
          <w:szCs w:val="28"/>
        </w:rPr>
      </w:pPr>
      <w:r>
        <w:rPr>
          <w:noProof/>
          <w:sz w:val="28"/>
          <w:szCs w:val="28"/>
        </w:rPr>
        <w:t xml:space="preserve">− </w:t>
      </w:r>
      <w:r w:rsidR="00B74F8F" w:rsidRPr="00B74F8F">
        <w:rPr>
          <w:noProof/>
          <w:sz w:val="28"/>
          <w:szCs w:val="28"/>
        </w:rPr>
        <w:t>зниження системних ризиків.</w:t>
      </w:r>
    </w:p>
    <w:p w:rsidR="00B74F8F" w:rsidRPr="00B74F8F" w:rsidRDefault="00B74F8F" w:rsidP="000B1D18">
      <w:pPr>
        <w:autoSpaceDE w:val="0"/>
        <w:autoSpaceDN w:val="0"/>
        <w:adjustRightInd w:val="0"/>
        <w:ind w:firstLine="720"/>
        <w:jc w:val="both"/>
        <w:rPr>
          <w:snapToGrid/>
          <w:color w:val="000000"/>
          <w:sz w:val="28"/>
          <w:szCs w:val="28"/>
        </w:rPr>
      </w:pPr>
      <w:r w:rsidRPr="00B74F8F">
        <w:rPr>
          <w:snapToGrid/>
          <w:color w:val="000000"/>
          <w:sz w:val="28"/>
          <w:szCs w:val="28"/>
        </w:rPr>
        <w:lastRenderedPageBreak/>
        <w:t xml:space="preserve">Ефективне регулювання ринку цінних паперів ґрунтується на збереженні цілісності ринку, фінансовій стабільності та захисті інвесторів. Цей підхід визначає, що ринок цінних паперів складається із взаємопов’язаного ланцюга, де діяльність одного або декількох учасників може мати наслідки для всіх учасників та сегментів ринку. Ризик, що виникає в одній частині фінансової системи, може поширюватися на інші її частини через ринки та економіку. </w:t>
      </w:r>
    </w:p>
    <w:p w:rsidR="00B74F8F" w:rsidRPr="00B74F8F" w:rsidRDefault="00B74F8F" w:rsidP="000B1D18">
      <w:pPr>
        <w:autoSpaceDE w:val="0"/>
        <w:autoSpaceDN w:val="0"/>
        <w:adjustRightInd w:val="0"/>
        <w:ind w:firstLine="720"/>
        <w:jc w:val="both"/>
        <w:rPr>
          <w:snapToGrid/>
          <w:color w:val="000000"/>
          <w:sz w:val="28"/>
          <w:szCs w:val="28"/>
        </w:rPr>
      </w:pPr>
      <w:r w:rsidRPr="00B74F8F">
        <w:rPr>
          <w:snapToGrid/>
          <w:color w:val="000000"/>
          <w:sz w:val="28"/>
          <w:szCs w:val="28"/>
        </w:rPr>
        <w:t>Отже, за таких умов дії регулятора щодо</w:t>
      </w:r>
      <w:r w:rsidRPr="00B74F8F">
        <w:rPr>
          <w:snapToGrid/>
          <w:sz w:val="28"/>
          <w:szCs w:val="28"/>
        </w:rPr>
        <w:t xml:space="preserve"> нагляду мають бути зосереджені на детальному аналізі діяльності учасників фондового ринку та їх впливі на інфраструктуру фондового ринку;</w:t>
      </w:r>
      <w:r w:rsidRPr="00B74F8F">
        <w:rPr>
          <w:snapToGrid/>
          <w:color w:val="000000"/>
          <w:sz w:val="28"/>
          <w:szCs w:val="28"/>
        </w:rPr>
        <w:t xml:space="preserve"> формалізації процесів та механізмів контролю та управління ризиками; розробці методів та підходів, що дозволять захистити інтереси інвесторів </w:t>
      </w:r>
      <w:r w:rsidRPr="00B74F8F">
        <w:rPr>
          <w:snapToGrid/>
          <w:sz w:val="28"/>
          <w:szCs w:val="28"/>
        </w:rPr>
        <w:t>(споживачів послуг)</w:t>
      </w:r>
      <w:r w:rsidRPr="00B74F8F">
        <w:rPr>
          <w:snapToGrid/>
          <w:color w:val="000000"/>
          <w:sz w:val="28"/>
          <w:szCs w:val="28"/>
        </w:rPr>
        <w:t>.</w:t>
      </w:r>
    </w:p>
    <w:p w:rsidR="00B74F8F" w:rsidRDefault="00B74F8F" w:rsidP="001337F2">
      <w:pPr>
        <w:ind w:firstLine="720"/>
        <w:jc w:val="both"/>
        <w:rPr>
          <w:b/>
          <w:bCs/>
          <w:sz w:val="28"/>
          <w:szCs w:val="28"/>
        </w:rPr>
      </w:pPr>
      <w:r w:rsidRPr="00B74F8F">
        <w:rPr>
          <w:snapToGrid/>
          <w:sz w:val="28"/>
          <w:szCs w:val="28"/>
        </w:rPr>
        <w:t xml:space="preserve">Для цілей цих концептуальних засад </w:t>
      </w:r>
      <w:r w:rsidRPr="003A5E9C">
        <w:rPr>
          <w:bCs/>
          <w:snapToGrid/>
          <w:sz w:val="28"/>
          <w:szCs w:val="28"/>
        </w:rPr>
        <w:t>під термінами учасник, який провадить професійну діяльність на фондовому ринку, установа, суб’єкт нагляду слід розуміти професійних учасників фондового ринку та</w:t>
      </w:r>
      <w:r w:rsidRPr="003A5E9C">
        <w:rPr>
          <w:bCs/>
          <w:sz w:val="28"/>
          <w:szCs w:val="28"/>
        </w:rPr>
        <w:t xml:space="preserve"> Центральний депозитарій цінних паперів</w:t>
      </w:r>
      <w:r w:rsidRPr="009857E2">
        <w:rPr>
          <w:bCs/>
          <w:sz w:val="28"/>
          <w:szCs w:val="28"/>
        </w:rPr>
        <w:t>.</w:t>
      </w:r>
      <w:r w:rsidRPr="009857E2">
        <w:rPr>
          <w:b/>
          <w:bCs/>
          <w:sz w:val="28"/>
          <w:szCs w:val="28"/>
        </w:rPr>
        <w:t xml:space="preserve"> </w:t>
      </w:r>
    </w:p>
    <w:p w:rsidR="009C3686" w:rsidRDefault="009C3686" w:rsidP="00B74F8F">
      <w:pPr>
        <w:jc w:val="both"/>
        <w:rPr>
          <w:b/>
          <w:bCs/>
          <w:sz w:val="28"/>
          <w:szCs w:val="28"/>
        </w:rPr>
      </w:pPr>
    </w:p>
    <w:p w:rsidR="009C3686" w:rsidRPr="009857E2" w:rsidRDefault="009C3686" w:rsidP="00B74F8F">
      <w:pPr>
        <w:jc w:val="both"/>
        <w:rPr>
          <w:b/>
          <w:bCs/>
          <w:sz w:val="28"/>
          <w:szCs w:val="28"/>
        </w:rPr>
      </w:pPr>
    </w:p>
    <w:p w:rsidR="00B74F8F" w:rsidRPr="00B74F8F"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napToGrid/>
          <w:sz w:val="28"/>
          <w:szCs w:val="28"/>
        </w:rPr>
      </w:pPr>
      <w:r w:rsidRPr="00B74F8F">
        <w:rPr>
          <w:b/>
          <w:bCs/>
          <w:snapToGrid/>
          <w:sz w:val="28"/>
          <w:szCs w:val="28"/>
        </w:rPr>
        <w:t>1. Моделі нагляду за учасниками фондового ринку</w:t>
      </w:r>
      <w:r w:rsidR="00357CF7">
        <w:rPr>
          <w:b/>
          <w:bCs/>
          <w:snapToGrid/>
          <w:sz w:val="28"/>
          <w:szCs w:val="28"/>
        </w:rPr>
        <w:t>.</w:t>
      </w:r>
    </w:p>
    <w:p w:rsidR="00B74F8F" w:rsidRPr="00B74F8F" w:rsidRDefault="00B74F8F" w:rsidP="001337F2">
      <w:pPr>
        <w:ind w:firstLine="720"/>
        <w:jc w:val="both"/>
        <w:rPr>
          <w:sz w:val="28"/>
          <w:szCs w:val="28"/>
        </w:rPr>
      </w:pPr>
      <w:r w:rsidRPr="00B74F8F">
        <w:rPr>
          <w:sz w:val="28"/>
          <w:szCs w:val="28"/>
        </w:rPr>
        <w:t xml:space="preserve">В світовій практиці використовуються дві моделі нагляду за учасниками фондового ринку: </w:t>
      </w:r>
    </w:p>
    <w:p w:rsidR="00B74F8F" w:rsidRPr="00B74F8F" w:rsidRDefault="001337F2" w:rsidP="001337F2">
      <w:pPr>
        <w:ind w:firstLine="720"/>
        <w:jc w:val="both"/>
        <w:rPr>
          <w:sz w:val="28"/>
          <w:szCs w:val="28"/>
        </w:rPr>
      </w:pPr>
      <w:r>
        <w:rPr>
          <w:sz w:val="28"/>
          <w:szCs w:val="28"/>
        </w:rPr>
        <w:t>−</w:t>
      </w:r>
      <w:r w:rsidR="00B74F8F" w:rsidRPr="00B74F8F">
        <w:rPr>
          <w:sz w:val="28"/>
          <w:szCs w:val="28"/>
        </w:rPr>
        <w:t xml:space="preserve"> «модель нагляду на основі відповідності вимогам законодавства»;</w:t>
      </w:r>
    </w:p>
    <w:p w:rsidR="00B74F8F" w:rsidRPr="00B74F8F" w:rsidRDefault="001337F2" w:rsidP="001337F2">
      <w:pPr>
        <w:ind w:firstLine="720"/>
        <w:jc w:val="both"/>
        <w:rPr>
          <w:sz w:val="28"/>
          <w:szCs w:val="28"/>
        </w:rPr>
      </w:pPr>
      <w:r>
        <w:rPr>
          <w:sz w:val="28"/>
          <w:szCs w:val="28"/>
        </w:rPr>
        <w:t>−</w:t>
      </w:r>
      <w:r w:rsidR="00B74F8F" w:rsidRPr="00B74F8F">
        <w:rPr>
          <w:sz w:val="28"/>
          <w:szCs w:val="28"/>
        </w:rPr>
        <w:t xml:space="preserve"> «модель нагляду на основі оцінки ризиків». </w:t>
      </w:r>
    </w:p>
    <w:p w:rsidR="00B74F8F" w:rsidRPr="00B74F8F" w:rsidRDefault="00B74F8F" w:rsidP="001337F2">
      <w:pPr>
        <w:ind w:firstLine="720"/>
        <w:jc w:val="both"/>
        <w:rPr>
          <w:sz w:val="28"/>
          <w:szCs w:val="28"/>
          <w:lang w:val="ru-RU"/>
        </w:rPr>
      </w:pPr>
      <w:r w:rsidRPr="00B74F8F">
        <w:rPr>
          <w:sz w:val="28"/>
          <w:szCs w:val="28"/>
        </w:rPr>
        <w:t xml:space="preserve">«Модель нагляду на основі відповідності вимогам законодавства» </w:t>
      </w:r>
      <w:r w:rsidR="001337F2">
        <w:rPr>
          <w:sz w:val="28"/>
          <w:szCs w:val="28"/>
        </w:rPr>
        <w:t>−</w:t>
      </w:r>
      <w:r w:rsidR="00357CF7">
        <w:rPr>
          <w:sz w:val="28"/>
          <w:szCs w:val="28"/>
        </w:rPr>
        <w:t xml:space="preserve"> </w:t>
      </w:r>
      <w:r w:rsidRPr="00B74F8F">
        <w:rPr>
          <w:sz w:val="28"/>
          <w:szCs w:val="28"/>
        </w:rPr>
        <w:t xml:space="preserve">це консервативна модель нагляду, згідно з якою регулятори ринків цінних паперів здійснюють нагляд за учасниками відповідно до чітко визначених законодавчих норм, правил та обмежень. Основним недоліком даної моделі є виявлення проблем та впровадження заходів лише після порушення вимог законодавства (правил чи норм) та «очікування» самостійного врегулювання ринкових процесів у майбутніх періодах. </w:t>
      </w:r>
    </w:p>
    <w:p w:rsidR="00B74F8F" w:rsidRPr="00B74F8F" w:rsidRDefault="00B74F8F" w:rsidP="001337F2">
      <w:pPr>
        <w:ind w:firstLine="720"/>
        <w:jc w:val="both"/>
        <w:rPr>
          <w:sz w:val="28"/>
          <w:szCs w:val="28"/>
        </w:rPr>
      </w:pPr>
      <w:r w:rsidRPr="00B74F8F">
        <w:rPr>
          <w:sz w:val="28"/>
          <w:szCs w:val="28"/>
        </w:rPr>
        <w:t xml:space="preserve">У фокусі стрімкого розвитку ринку капіталів протягом останніх десятиліть постала необхідність впровадження моделі нагляду за учасниками фондового ринку, яка б з урахуванням росту і динамічності ринку капіталу дозволила більш гнучко, більш ефективно і з меншим навантаженням на регуляторів здійснювати нагляд за учасниками </w:t>
      </w:r>
      <w:r w:rsidRPr="003A5E9C">
        <w:rPr>
          <w:sz w:val="28"/>
          <w:szCs w:val="28"/>
        </w:rPr>
        <w:t>фондового ринку</w:t>
      </w:r>
      <w:r w:rsidRPr="00B74F8F">
        <w:rPr>
          <w:sz w:val="28"/>
          <w:szCs w:val="28"/>
        </w:rPr>
        <w:t xml:space="preserve">. Основним завданням такої моделі є раннє виявлення та своєчасне втручання задля мінімізації як поточних ризиків в діяльності учасників, так і ризиків, які можуть з високою вірогідністю виникнути у майбутньому. </w:t>
      </w:r>
    </w:p>
    <w:p w:rsidR="00B74F8F" w:rsidRPr="00B74F8F" w:rsidRDefault="00B74F8F" w:rsidP="001337F2">
      <w:pPr>
        <w:ind w:firstLine="720"/>
        <w:jc w:val="both"/>
        <w:rPr>
          <w:sz w:val="28"/>
          <w:szCs w:val="28"/>
        </w:rPr>
      </w:pPr>
      <w:r w:rsidRPr="00B74F8F">
        <w:rPr>
          <w:sz w:val="28"/>
          <w:szCs w:val="28"/>
        </w:rPr>
        <w:t xml:space="preserve">Відповідно, все більше регуляторів почали розробляти моделі нагляду, які базуються на оцінці ризиків та впливі учасників на ринок капіталу. Модель набула визначення, як «модель нагляду на основі оцінки ризиків» (далі </w:t>
      </w:r>
      <w:r w:rsidR="00A23FD0">
        <w:rPr>
          <w:sz w:val="28"/>
          <w:szCs w:val="28"/>
        </w:rPr>
        <w:t>−</w:t>
      </w:r>
      <w:r w:rsidRPr="00B74F8F">
        <w:rPr>
          <w:sz w:val="28"/>
          <w:szCs w:val="28"/>
        </w:rPr>
        <w:t xml:space="preserve"> НОР).</w:t>
      </w:r>
    </w:p>
    <w:p w:rsidR="009857E2" w:rsidRDefault="009857E2" w:rsidP="001337F2">
      <w:pPr>
        <w:ind w:firstLine="720"/>
        <w:jc w:val="both"/>
        <w:rPr>
          <w:sz w:val="28"/>
          <w:szCs w:val="28"/>
        </w:rPr>
      </w:pPr>
    </w:p>
    <w:p w:rsidR="009C3686" w:rsidRPr="003738A0" w:rsidRDefault="009C3686" w:rsidP="00B74F8F">
      <w:pPr>
        <w:jc w:val="both"/>
        <w:rPr>
          <w:sz w:val="28"/>
          <w:szCs w:val="28"/>
        </w:rPr>
      </w:pPr>
    </w:p>
    <w:p w:rsidR="00B74F8F" w:rsidRPr="00B74F8F"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napToGrid/>
          <w:sz w:val="28"/>
          <w:szCs w:val="28"/>
          <w:lang w:val="ru-RU"/>
        </w:rPr>
      </w:pPr>
      <w:r w:rsidRPr="00B74F8F">
        <w:rPr>
          <w:b/>
          <w:bCs/>
          <w:snapToGrid/>
          <w:sz w:val="28"/>
          <w:szCs w:val="28"/>
        </w:rPr>
        <w:t>2. Діюча модель нагляду НКЦПФР за учасниками</w:t>
      </w:r>
      <w:r w:rsidRPr="003A5E9C">
        <w:rPr>
          <w:b/>
          <w:bCs/>
          <w:snapToGrid/>
          <w:sz w:val="28"/>
          <w:szCs w:val="28"/>
        </w:rPr>
        <w:t>, які</w:t>
      </w:r>
      <w:r w:rsidRPr="003A5E9C">
        <w:rPr>
          <w:bCs/>
          <w:snapToGrid/>
          <w:sz w:val="28"/>
          <w:szCs w:val="28"/>
        </w:rPr>
        <w:t xml:space="preserve"> </w:t>
      </w:r>
      <w:r w:rsidRPr="003A5E9C">
        <w:rPr>
          <w:b/>
          <w:bCs/>
          <w:snapToGrid/>
          <w:sz w:val="28"/>
          <w:szCs w:val="28"/>
        </w:rPr>
        <w:t xml:space="preserve">провадять професійну діяльність на </w:t>
      </w:r>
      <w:r w:rsidRPr="00B74F8F">
        <w:rPr>
          <w:b/>
          <w:bCs/>
          <w:snapToGrid/>
          <w:sz w:val="28"/>
          <w:szCs w:val="28"/>
        </w:rPr>
        <w:t>фондов</w:t>
      </w:r>
      <w:r w:rsidRPr="003A5E9C">
        <w:rPr>
          <w:b/>
          <w:bCs/>
          <w:snapToGrid/>
          <w:sz w:val="28"/>
          <w:szCs w:val="28"/>
        </w:rPr>
        <w:t>ого</w:t>
      </w:r>
      <w:r w:rsidRPr="00B74F8F">
        <w:rPr>
          <w:b/>
          <w:bCs/>
          <w:snapToGrid/>
          <w:sz w:val="28"/>
          <w:szCs w:val="28"/>
        </w:rPr>
        <w:t xml:space="preserve"> ринку</w:t>
      </w:r>
      <w:r w:rsidR="00357CF7">
        <w:rPr>
          <w:b/>
          <w:bCs/>
          <w:snapToGrid/>
          <w:sz w:val="28"/>
          <w:szCs w:val="28"/>
        </w:rPr>
        <w:t>.</w:t>
      </w:r>
    </w:p>
    <w:p w:rsidR="00B74F8F" w:rsidRPr="00B74F8F" w:rsidRDefault="00B74F8F" w:rsidP="00A23FD0">
      <w:pPr>
        <w:pStyle w:val="HTML"/>
        <w:tabs>
          <w:tab w:val="clear" w:pos="916"/>
          <w:tab w:val="left" w:pos="720"/>
        </w:tabs>
        <w:ind w:firstLine="720"/>
        <w:jc w:val="both"/>
        <w:rPr>
          <w:rFonts w:ascii="Times New Roman" w:hAnsi="Times New Roman" w:cs="Times New Roman"/>
          <w:sz w:val="28"/>
          <w:szCs w:val="28"/>
        </w:rPr>
      </w:pPr>
      <w:r w:rsidRPr="00B74F8F">
        <w:rPr>
          <w:rFonts w:ascii="Times New Roman" w:hAnsi="Times New Roman" w:cs="Times New Roman"/>
          <w:sz w:val="28"/>
          <w:szCs w:val="28"/>
        </w:rPr>
        <w:t>Правові засади здійснення державного регулювання ринку цінних паперів та державного контролю за учасниками</w:t>
      </w:r>
      <w:r w:rsidRPr="003A5E9C">
        <w:rPr>
          <w:rFonts w:ascii="Times New Roman" w:hAnsi="Times New Roman" w:cs="Times New Roman"/>
          <w:bCs/>
          <w:sz w:val="28"/>
          <w:szCs w:val="28"/>
        </w:rPr>
        <w:t>, які провадять професійну діяльність на</w:t>
      </w:r>
      <w:r w:rsidRPr="003A5E9C">
        <w:rPr>
          <w:rFonts w:ascii="Times New Roman" w:hAnsi="Times New Roman" w:cs="Times New Roman"/>
          <w:sz w:val="28"/>
          <w:szCs w:val="28"/>
        </w:rPr>
        <w:t xml:space="preserve"> </w:t>
      </w:r>
      <w:r w:rsidRPr="003A5E9C">
        <w:rPr>
          <w:rFonts w:ascii="Times New Roman" w:hAnsi="Times New Roman" w:cs="Times New Roman"/>
          <w:sz w:val="28"/>
          <w:szCs w:val="28"/>
        </w:rPr>
        <w:lastRenderedPageBreak/>
        <w:t>фондовому ринку</w:t>
      </w:r>
      <w:r w:rsidR="00357CF7">
        <w:rPr>
          <w:rFonts w:ascii="Times New Roman" w:hAnsi="Times New Roman" w:cs="Times New Roman"/>
          <w:sz w:val="28"/>
          <w:szCs w:val="28"/>
        </w:rPr>
        <w:t>,</w:t>
      </w:r>
      <w:r w:rsidRPr="00B74F8F">
        <w:rPr>
          <w:rFonts w:ascii="Times New Roman" w:hAnsi="Times New Roman" w:cs="Times New Roman"/>
          <w:sz w:val="28"/>
          <w:szCs w:val="28"/>
        </w:rPr>
        <w:t xml:space="preserve"> визначає Закон України «Про державне регулювання ринку цінних паперів в Україні». </w:t>
      </w:r>
    </w:p>
    <w:p w:rsidR="00B74F8F" w:rsidRPr="00B74F8F" w:rsidRDefault="00B74F8F" w:rsidP="00A23FD0">
      <w:pPr>
        <w:pStyle w:val="HTML"/>
        <w:tabs>
          <w:tab w:val="clear" w:pos="916"/>
          <w:tab w:val="left" w:pos="720"/>
        </w:tabs>
        <w:ind w:firstLine="720"/>
        <w:jc w:val="both"/>
        <w:rPr>
          <w:rFonts w:ascii="Times New Roman" w:hAnsi="Times New Roman" w:cs="Times New Roman"/>
          <w:sz w:val="28"/>
          <w:szCs w:val="28"/>
          <w:lang w:val="ru-RU"/>
        </w:rPr>
      </w:pPr>
      <w:r w:rsidRPr="00B74F8F">
        <w:rPr>
          <w:rFonts w:ascii="Times New Roman" w:hAnsi="Times New Roman" w:cs="Times New Roman"/>
          <w:sz w:val="28"/>
          <w:szCs w:val="28"/>
        </w:rPr>
        <w:t>Відповідно до вказаного Закону основною метою державного регулювання ринку цінних паперів є контроль за відповідністю учасників</w:t>
      </w:r>
      <w:r w:rsidRPr="003A5E9C">
        <w:rPr>
          <w:rFonts w:ascii="Times New Roman" w:hAnsi="Times New Roman" w:cs="Times New Roman"/>
          <w:b/>
          <w:bCs/>
          <w:sz w:val="28"/>
          <w:szCs w:val="28"/>
        </w:rPr>
        <w:t xml:space="preserve">, </w:t>
      </w:r>
      <w:r w:rsidRPr="003A5E9C">
        <w:rPr>
          <w:rFonts w:ascii="Times New Roman" w:hAnsi="Times New Roman" w:cs="Times New Roman"/>
          <w:bCs/>
          <w:sz w:val="28"/>
          <w:szCs w:val="28"/>
        </w:rPr>
        <w:t>які провадять професійну діяльність на</w:t>
      </w:r>
      <w:r w:rsidRPr="003A5E9C">
        <w:rPr>
          <w:rFonts w:ascii="Times New Roman" w:hAnsi="Times New Roman" w:cs="Times New Roman"/>
          <w:sz w:val="28"/>
          <w:szCs w:val="28"/>
        </w:rPr>
        <w:t xml:space="preserve"> фондовому ринку,</w:t>
      </w:r>
      <w:r w:rsidRPr="00B74F8F">
        <w:rPr>
          <w:rFonts w:ascii="Times New Roman" w:hAnsi="Times New Roman" w:cs="Times New Roman"/>
          <w:sz w:val="28"/>
          <w:szCs w:val="28"/>
        </w:rPr>
        <w:t xml:space="preserve"> вимогам законодавства та запобігання вчиненню правопорушень.</w:t>
      </w:r>
    </w:p>
    <w:p w:rsidR="00B74F8F" w:rsidRPr="003A5E9C" w:rsidRDefault="00B74F8F" w:rsidP="00A23FD0">
      <w:pPr>
        <w:pStyle w:val="HTML"/>
        <w:tabs>
          <w:tab w:val="clear" w:pos="916"/>
          <w:tab w:val="left" w:pos="900"/>
        </w:tabs>
        <w:ind w:firstLine="720"/>
        <w:jc w:val="both"/>
        <w:rPr>
          <w:rFonts w:ascii="Times New Roman" w:hAnsi="Times New Roman" w:cs="Times New Roman"/>
          <w:sz w:val="28"/>
          <w:szCs w:val="28"/>
        </w:rPr>
      </w:pPr>
      <w:r w:rsidRPr="00B74F8F">
        <w:rPr>
          <w:rFonts w:ascii="Times New Roman" w:hAnsi="Times New Roman" w:cs="Times New Roman"/>
          <w:sz w:val="28"/>
          <w:szCs w:val="28"/>
        </w:rPr>
        <w:t xml:space="preserve">Такий нагляд (контроль) НКЦПФР здійснює за «моделлю нагляду на основі відповідності вимогам законодавства» шляхом проведення планових та позапланових перевірок та ревізій фінансово-господарської діяльності </w:t>
      </w:r>
      <w:r w:rsidRPr="003A5E9C">
        <w:rPr>
          <w:rFonts w:ascii="Times New Roman" w:hAnsi="Times New Roman" w:cs="Times New Roman"/>
          <w:sz w:val="28"/>
          <w:szCs w:val="28"/>
        </w:rPr>
        <w:t>або аналізу інформації, отриманої на запит НКЦПФР.</w:t>
      </w:r>
    </w:p>
    <w:p w:rsidR="00A23FD0" w:rsidRDefault="00B74F8F" w:rsidP="00A23FD0">
      <w:pPr>
        <w:pStyle w:val="HTML"/>
        <w:tabs>
          <w:tab w:val="clear" w:pos="916"/>
          <w:tab w:val="left" w:pos="900"/>
        </w:tabs>
        <w:ind w:firstLine="720"/>
        <w:jc w:val="both"/>
        <w:rPr>
          <w:rStyle w:val="rvts0"/>
          <w:rFonts w:ascii="Times New Roman" w:hAnsi="Times New Roman" w:cs="Times New Roman"/>
          <w:sz w:val="28"/>
          <w:szCs w:val="28"/>
        </w:rPr>
      </w:pPr>
      <w:r w:rsidRPr="00B74F8F">
        <w:rPr>
          <w:rStyle w:val="rvts0"/>
          <w:rFonts w:ascii="Times New Roman" w:hAnsi="Times New Roman" w:cs="Times New Roman"/>
          <w:sz w:val="28"/>
          <w:szCs w:val="28"/>
        </w:rPr>
        <w:t xml:space="preserve">В ході заходів нагляду (контролю) НКЦПФР перевіряє чи відповідала діяльність </w:t>
      </w:r>
      <w:r w:rsidRPr="003A5E9C">
        <w:rPr>
          <w:rFonts w:ascii="Times New Roman" w:hAnsi="Times New Roman" w:cs="Times New Roman"/>
          <w:sz w:val="28"/>
          <w:szCs w:val="28"/>
        </w:rPr>
        <w:t>учасника, який провадить професійну діяльність на фондовому ринку,</w:t>
      </w:r>
      <w:r w:rsidRPr="00B74F8F">
        <w:rPr>
          <w:rStyle w:val="rvts0"/>
          <w:rFonts w:ascii="Times New Roman" w:hAnsi="Times New Roman" w:cs="Times New Roman"/>
          <w:sz w:val="28"/>
          <w:szCs w:val="28"/>
        </w:rPr>
        <w:t xml:space="preserve"> протягом певного періоду часу вимогам законодавства про цінні папери.</w:t>
      </w:r>
    </w:p>
    <w:p w:rsidR="00B74F8F" w:rsidRPr="00B74F8F" w:rsidRDefault="00A23FD0" w:rsidP="00A23FD0">
      <w:pPr>
        <w:pStyle w:val="HTML"/>
        <w:tabs>
          <w:tab w:val="clear" w:pos="916"/>
          <w:tab w:val="left" w:pos="900"/>
        </w:tabs>
        <w:ind w:firstLine="720"/>
        <w:jc w:val="both"/>
        <w:rPr>
          <w:rFonts w:ascii="Times New Roman" w:hAnsi="Times New Roman" w:cs="Times New Roman"/>
          <w:sz w:val="28"/>
          <w:szCs w:val="28"/>
        </w:rPr>
      </w:pPr>
      <w:r>
        <w:rPr>
          <w:rStyle w:val="rvts0"/>
          <w:rFonts w:ascii="Times New Roman" w:hAnsi="Times New Roman" w:cs="Times New Roman"/>
          <w:sz w:val="28"/>
          <w:szCs w:val="28"/>
        </w:rPr>
        <w:t>П</w:t>
      </w:r>
      <w:r w:rsidR="00B74F8F" w:rsidRPr="00B74F8F">
        <w:rPr>
          <w:rFonts w:ascii="Times New Roman" w:hAnsi="Times New Roman" w:cs="Times New Roman"/>
          <w:sz w:val="28"/>
          <w:szCs w:val="28"/>
        </w:rPr>
        <w:t xml:space="preserve">ід час проведення заходів нагляду (контролю) НКЦПФР вивчає, аналізує та оцінює документи, </w:t>
      </w:r>
      <w:r w:rsidR="00B74F8F" w:rsidRPr="00B74F8F">
        <w:rPr>
          <w:rStyle w:val="rvts0"/>
          <w:rFonts w:ascii="Times New Roman" w:hAnsi="Times New Roman" w:cs="Times New Roman"/>
          <w:sz w:val="28"/>
          <w:szCs w:val="28"/>
        </w:rPr>
        <w:t xml:space="preserve">які стосуються діяльності установи, </w:t>
      </w:r>
      <w:r w:rsidR="00B74F8F" w:rsidRPr="00B74F8F">
        <w:rPr>
          <w:rFonts w:ascii="Times New Roman" w:hAnsi="Times New Roman" w:cs="Times New Roman"/>
          <w:sz w:val="28"/>
          <w:szCs w:val="28"/>
        </w:rPr>
        <w:t xml:space="preserve">здійснює контроль за дотриманням </w:t>
      </w:r>
      <w:r w:rsidR="00B74F8F" w:rsidRPr="003A5E9C">
        <w:rPr>
          <w:rFonts w:ascii="Times New Roman" w:hAnsi="Times New Roman" w:cs="Times New Roman"/>
          <w:sz w:val="28"/>
          <w:szCs w:val="28"/>
        </w:rPr>
        <w:t>нею</w:t>
      </w:r>
      <w:r w:rsidR="00B74F8F" w:rsidRPr="00B74F8F">
        <w:rPr>
          <w:rFonts w:ascii="Times New Roman" w:hAnsi="Times New Roman" w:cs="Times New Roman"/>
          <w:sz w:val="28"/>
          <w:szCs w:val="28"/>
        </w:rPr>
        <w:t xml:space="preserve"> вимог законодавства та нормативних актів НКЦПФР.</w:t>
      </w:r>
    </w:p>
    <w:p w:rsidR="00B74F8F" w:rsidRPr="00B74F8F" w:rsidRDefault="00B74F8F" w:rsidP="00A23FD0">
      <w:pPr>
        <w:ind w:firstLine="720"/>
        <w:jc w:val="both"/>
        <w:rPr>
          <w:sz w:val="28"/>
          <w:szCs w:val="28"/>
        </w:rPr>
      </w:pPr>
      <w:r w:rsidRPr="00B74F8F">
        <w:rPr>
          <w:sz w:val="28"/>
          <w:szCs w:val="28"/>
        </w:rPr>
        <w:t xml:space="preserve">Таким чином, існуюча на сьогодні модель нагляду за </w:t>
      </w:r>
      <w:r w:rsidRPr="003A5E9C">
        <w:rPr>
          <w:sz w:val="28"/>
          <w:szCs w:val="28"/>
        </w:rPr>
        <w:t>учасниками, які провадять професійну діяльність на фондовому ринку,</w:t>
      </w:r>
      <w:r w:rsidRPr="00B74F8F">
        <w:rPr>
          <w:b/>
          <w:color w:val="FF0000"/>
          <w:sz w:val="28"/>
          <w:szCs w:val="28"/>
        </w:rPr>
        <w:t xml:space="preserve"> </w:t>
      </w:r>
      <w:r w:rsidRPr="00B74F8F">
        <w:rPr>
          <w:sz w:val="28"/>
          <w:szCs w:val="28"/>
        </w:rPr>
        <w:t>є статичною та ретроспективною, тому що головна увага НКЦПФР при здійсненні нагляду приділяється показникам діяльності у минулому часі.</w:t>
      </w:r>
    </w:p>
    <w:p w:rsidR="00B74F8F" w:rsidRPr="00B74F8F" w:rsidRDefault="00B74F8F" w:rsidP="00A23FD0">
      <w:pPr>
        <w:ind w:firstLine="720"/>
        <w:jc w:val="both"/>
        <w:rPr>
          <w:bCs/>
          <w:snapToGrid/>
          <w:sz w:val="28"/>
          <w:szCs w:val="28"/>
        </w:rPr>
      </w:pPr>
      <w:r w:rsidRPr="00B74F8F">
        <w:rPr>
          <w:sz w:val="28"/>
          <w:szCs w:val="28"/>
        </w:rPr>
        <w:t xml:space="preserve">Діюча модель нагляду не спрямована </w:t>
      </w:r>
      <w:r w:rsidRPr="00B74F8F">
        <w:rPr>
          <w:bCs/>
          <w:snapToGrid/>
          <w:sz w:val="28"/>
          <w:szCs w:val="28"/>
        </w:rPr>
        <w:t xml:space="preserve">на виявлення, оцінку </w:t>
      </w:r>
      <w:r w:rsidRPr="003A5E9C">
        <w:rPr>
          <w:bCs/>
          <w:snapToGrid/>
          <w:sz w:val="28"/>
          <w:szCs w:val="28"/>
        </w:rPr>
        <w:t>існуючих</w:t>
      </w:r>
      <w:r w:rsidRPr="00B74F8F">
        <w:rPr>
          <w:b/>
          <w:bCs/>
          <w:snapToGrid/>
          <w:color w:val="FF0000"/>
          <w:sz w:val="28"/>
          <w:szCs w:val="28"/>
        </w:rPr>
        <w:t xml:space="preserve"> </w:t>
      </w:r>
      <w:r w:rsidRPr="00B74F8F">
        <w:rPr>
          <w:bCs/>
          <w:snapToGrid/>
          <w:sz w:val="28"/>
          <w:szCs w:val="28"/>
        </w:rPr>
        <w:t xml:space="preserve">та потенційних ризиків на які в ході своєї діяльності наражаються </w:t>
      </w:r>
      <w:r w:rsidRPr="003A5E9C">
        <w:rPr>
          <w:sz w:val="28"/>
          <w:szCs w:val="28"/>
        </w:rPr>
        <w:t>учасники</w:t>
      </w:r>
      <w:r w:rsidRPr="003A5E9C">
        <w:rPr>
          <w:bCs/>
          <w:snapToGrid/>
          <w:sz w:val="28"/>
          <w:szCs w:val="28"/>
        </w:rPr>
        <w:t>, які провадять професійну діяльність на</w:t>
      </w:r>
      <w:r w:rsidRPr="003A5E9C">
        <w:rPr>
          <w:sz w:val="28"/>
          <w:szCs w:val="28"/>
        </w:rPr>
        <w:t xml:space="preserve"> фондовому ринку</w:t>
      </w:r>
      <w:r w:rsidRPr="00B74F8F">
        <w:rPr>
          <w:bCs/>
          <w:snapToGrid/>
          <w:sz w:val="28"/>
          <w:szCs w:val="28"/>
        </w:rPr>
        <w:t>.</w:t>
      </w:r>
    </w:p>
    <w:p w:rsidR="00B74F8F" w:rsidRPr="00B74F8F" w:rsidRDefault="00B74F8F" w:rsidP="00A23FD0">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B74F8F">
        <w:rPr>
          <w:sz w:val="28"/>
          <w:szCs w:val="28"/>
        </w:rPr>
        <w:t xml:space="preserve">Така модель нагляду не зможе забезпечити стабільну та надійну систему функціонування фондового ринку, захист інтересів інвесторів, відкриту політику до </w:t>
      </w:r>
      <w:r w:rsidRPr="003A5E9C">
        <w:rPr>
          <w:sz w:val="28"/>
          <w:szCs w:val="28"/>
        </w:rPr>
        <w:t>суб’єктів нагляду</w:t>
      </w:r>
      <w:r w:rsidRPr="00B74F8F">
        <w:rPr>
          <w:sz w:val="28"/>
          <w:szCs w:val="28"/>
        </w:rPr>
        <w:t>, підтримати необхідний рівень професіоналізму в фінансовому секторі.</w:t>
      </w:r>
    </w:p>
    <w:p w:rsidR="00B74F8F" w:rsidRDefault="00B74F8F" w:rsidP="00B74F8F">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9C3686" w:rsidRPr="00B74F8F" w:rsidRDefault="009C3686" w:rsidP="00B74F8F">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B74F8F" w:rsidRPr="00B74F8F" w:rsidRDefault="00B74F8F" w:rsidP="00B74F8F">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B74F8F">
        <w:rPr>
          <w:b/>
          <w:sz w:val="28"/>
          <w:szCs w:val="28"/>
        </w:rPr>
        <w:t>3. Досвід впровадження нагляду на основі оцінки ризиків</w:t>
      </w:r>
      <w:r w:rsidR="00357CF7">
        <w:rPr>
          <w:b/>
          <w:sz w:val="28"/>
          <w:szCs w:val="28"/>
        </w:rPr>
        <w:t>.</w:t>
      </w:r>
    </w:p>
    <w:p w:rsidR="00B74F8F" w:rsidRPr="00B74F8F" w:rsidRDefault="00B74F8F" w:rsidP="00B74F8F">
      <w:pPr>
        <w:ind w:firstLine="708"/>
        <w:jc w:val="both"/>
        <w:rPr>
          <w:sz w:val="28"/>
          <w:szCs w:val="28"/>
        </w:rPr>
      </w:pPr>
      <w:r w:rsidRPr="00B74F8F">
        <w:rPr>
          <w:sz w:val="28"/>
          <w:szCs w:val="28"/>
        </w:rPr>
        <w:t xml:space="preserve">Вперше модель нагляду на основі оцінки ризиків була запроваджена в Канаді в 1990 році. Наразі, НОР застосовується регуляторами таких країн: США, Велика Британія, Канада, Австралія, Ірландія, Польща, Малайзія, Китай та інші. Дана модель є досить складною і потребує постійної адаптації відповідно до змін на ринку капіталів. </w:t>
      </w:r>
    </w:p>
    <w:p w:rsidR="00B74F8F" w:rsidRPr="00B74F8F" w:rsidRDefault="00B74F8F" w:rsidP="00B74F8F">
      <w:pPr>
        <w:ind w:firstLine="708"/>
        <w:jc w:val="both"/>
        <w:rPr>
          <w:sz w:val="28"/>
          <w:szCs w:val="28"/>
        </w:rPr>
      </w:pPr>
      <w:r w:rsidRPr="00B74F8F">
        <w:rPr>
          <w:sz w:val="28"/>
          <w:szCs w:val="28"/>
        </w:rPr>
        <w:t>Нагляд за учасниками на основі оцінки ризиків принципово відрізняється від підходів, що базуються на моделі нагляду на основі відповідності вимогам законодавства, він спрямований на оцінку майбутніх перспектив, надає можливість робити висновки щодо ризиків</w:t>
      </w:r>
      <w:r w:rsidR="00357CF7">
        <w:rPr>
          <w:sz w:val="28"/>
          <w:szCs w:val="28"/>
        </w:rPr>
        <w:t>,</w:t>
      </w:r>
      <w:r w:rsidRPr="00B74F8F">
        <w:rPr>
          <w:sz w:val="28"/>
          <w:szCs w:val="28"/>
        </w:rPr>
        <w:t xml:space="preserve"> притаманних тому чи іншому суб’єкту нагляду.</w:t>
      </w:r>
    </w:p>
    <w:p w:rsidR="00B74F8F" w:rsidRPr="00B74F8F" w:rsidRDefault="00B74F8F" w:rsidP="00B74F8F">
      <w:pPr>
        <w:ind w:firstLine="708"/>
        <w:jc w:val="both"/>
        <w:rPr>
          <w:sz w:val="28"/>
          <w:szCs w:val="28"/>
        </w:rPr>
      </w:pPr>
      <w:r w:rsidRPr="00B74F8F">
        <w:rPr>
          <w:sz w:val="28"/>
          <w:szCs w:val="28"/>
        </w:rPr>
        <w:t>У 2009 році IOSCO підготовлено перший розширений звіт «Керівних принципів щодо системного ризик-нагляду за ринковими посередниками». Цей документ увібрав у себе опис кращих практик НОР і став прообразом побудови аналогічних систем нагляду в інших країнах.</w:t>
      </w:r>
    </w:p>
    <w:p w:rsidR="00B74F8F" w:rsidRDefault="00B74F8F" w:rsidP="00B74F8F">
      <w:pPr>
        <w:jc w:val="both"/>
        <w:rPr>
          <w:sz w:val="28"/>
          <w:szCs w:val="28"/>
        </w:rPr>
      </w:pPr>
    </w:p>
    <w:p w:rsidR="009C3686" w:rsidRPr="003738A0" w:rsidRDefault="009C3686" w:rsidP="00B74F8F">
      <w:pPr>
        <w:jc w:val="both"/>
        <w:rPr>
          <w:sz w:val="28"/>
          <w:szCs w:val="28"/>
        </w:rPr>
      </w:pPr>
    </w:p>
    <w:p w:rsidR="00B74F8F" w:rsidRPr="00B74F8F" w:rsidRDefault="00B74F8F" w:rsidP="00B74F8F">
      <w:pPr>
        <w:jc w:val="both"/>
        <w:rPr>
          <w:b/>
          <w:bCs/>
          <w:snapToGrid/>
          <w:sz w:val="28"/>
          <w:szCs w:val="28"/>
        </w:rPr>
      </w:pPr>
      <w:r w:rsidRPr="00B74F8F">
        <w:rPr>
          <w:b/>
          <w:sz w:val="28"/>
          <w:szCs w:val="28"/>
        </w:rPr>
        <w:t>4. Ключові п</w:t>
      </w:r>
      <w:r w:rsidRPr="00B74F8F">
        <w:rPr>
          <w:b/>
          <w:bCs/>
          <w:snapToGrid/>
          <w:sz w:val="28"/>
          <w:szCs w:val="28"/>
        </w:rPr>
        <w:t>ринципи та мета нагляду на основі оцінки ризиків</w:t>
      </w:r>
      <w:r w:rsidR="00357CF7">
        <w:rPr>
          <w:b/>
          <w:bCs/>
          <w:snapToGrid/>
          <w:sz w:val="28"/>
          <w:szCs w:val="28"/>
        </w:rPr>
        <w:t>.</w:t>
      </w:r>
    </w:p>
    <w:p w:rsidR="00B74F8F" w:rsidRPr="00B74F8F" w:rsidRDefault="00B74F8F" w:rsidP="00A23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snapToGrid/>
          <w:sz w:val="28"/>
          <w:szCs w:val="28"/>
        </w:rPr>
      </w:pPr>
      <w:r w:rsidRPr="00B74F8F">
        <w:rPr>
          <w:bCs/>
          <w:snapToGrid/>
          <w:sz w:val="28"/>
          <w:szCs w:val="28"/>
        </w:rPr>
        <w:t xml:space="preserve">Ринок цінних паперів постійно зазнає змін щодо фінансових інструментів, розвитку інфраструктури та досягнень у сфері використання технологій, що призводить до виникнення різноманітних видів ризиків, які можуть нести загрозу бізнес-цілям учасників </w:t>
      </w:r>
      <w:r w:rsidRPr="003A5E9C">
        <w:rPr>
          <w:bCs/>
          <w:snapToGrid/>
          <w:sz w:val="28"/>
          <w:szCs w:val="28"/>
        </w:rPr>
        <w:t>фондового ринку</w:t>
      </w:r>
      <w:r w:rsidRPr="00B74F8F">
        <w:rPr>
          <w:bCs/>
          <w:snapToGrid/>
          <w:sz w:val="28"/>
          <w:szCs w:val="28"/>
        </w:rPr>
        <w:t>, порушувати права та інтереси їх клієнтів.</w:t>
      </w:r>
    </w:p>
    <w:p w:rsidR="00B74F8F" w:rsidRDefault="00B74F8F" w:rsidP="00A23FD0">
      <w:pPr>
        <w:ind w:firstLine="720"/>
        <w:jc w:val="both"/>
        <w:rPr>
          <w:sz w:val="28"/>
          <w:szCs w:val="28"/>
        </w:rPr>
      </w:pPr>
      <w:r w:rsidRPr="00B74F8F">
        <w:rPr>
          <w:sz w:val="28"/>
          <w:szCs w:val="28"/>
        </w:rPr>
        <w:t>Застосування НОР відрізняється в різних юрисдикціях, зокрема, в залежності від конкретних цілей та характеристик фінансової системи, політичного та культурного середовища країни. Проте, ключові принципи та мета є універсальними, оскільки вони є основою для НОР, де б вони не застосовувалися.</w:t>
      </w:r>
    </w:p>
    <w:p w:rsidR="003738A0" w:rsidRDefault="003738A0" w:rsidP="00B74F8F">
      <w:pPr>
        <w:ind w:firstLine="708"/>
        <w:jc w:val="both"/>
        <w:rPr>
          <w:sz w:val="28"/>
          <w:szCs w:val="28"/>
        </w:rPr>
      </w:pPr>
    </w:p>
    <w:p w:rsidR="009C3686" w:rsidRDefault="009C3686" w:rsidP="00B74F8F">
      <w:pPr>
        <w:ind w:firstLine="708"/>
        <w:jc w:val="both"/>
        <w:rPr>
          <w:sz w:val="28"/>
          <w:szCs w:val="28"/>
        </w:rPr>
      </w:pPr>
    </w:p>
    <w:p w:rsidR="009C3686" w:rsidRPr="00B74F8F" w:rsidRDefault="009C3686" w:rsidP="00B74F8F">
      <w:pPr>
        <w:ind w:firstLine="708"/>
        <w:jc w:val="both"/>
        <w:rPr>
          <w:sz w:val="28"/>
          <w:szCs w:val="28"/>
        </w:rPr>
      </w:pPr>
    </w:p>
    <w:p w:rsidR="003A5E9C" w:rsidRPr="00A6792A" w:rsidRDefault="003A5E9C" w:rsidP="00357CF7">
      <w:pPr>
        <w:ind w:firstLine="708"/>
        <w:jc w:val="center"/>
        <w:rPr>
          <w:b/>
          <w:sz w:val="28"/>
          <w:szCs w:val="28"/>
        </w:rPr>
      </w:pPr>
      <w:r w:rsidRPr="00A6792A">
        <w:rPr>
          <w:b/>
          <w:sz w:val="28"/>
          <w:szCs w:val="28"/>
        </w:rPr>
        <w:t>Ключові принципи НОР</w:t>
      </w:r>
    </w:p>
    <w:p w:rsidR="00B74F8F" w:rsidRPr="00B9451E" w:rsidRDefault="003A5E9C" w:rsidP="003A5E9C">
      <w:pPr>
        <w:jc w:val="both"/>
        <w:rPr>
          <w:b/>
          <w:sz w:val="28"/>
          <w:szCs w:val="28"/>
          <w:lang w:val="ru-RU"/>
        </w:rPr>
      </w:pPr>
      <w:r w:rsidRPr="003738A0">
        <w:rPr>
          <w:b/>
          <w:noProof/>
        </w:rPr>
      </w:r>
      <w:r w:rsidRPr="003738A0">
        <w:rPr>
          <w:b/>
        </w:rPr>
        <w:pict>
          <v:group id="_x0000_s1026" editas="canvas" style="width:477pt;height:117pt;mso-position-horizontal-relative:char;mso-position-vertical-relative:line" coordorigin="2202,2223" coordsize="7200,1755">
            <o:lock v:ext="edit" aspectratio="t"/>
            <v:shape id="_x0000_s1027" type="#_x0000_t75" style="position:absolute;left:2202;top:2223;width:7200;height:1755" o:preferrelative="f">
              <v:fill o:detectmouseclick="t"/>
              <v:path o:extrusionok="t" o:connecttype="none"/>
              <o:lock v:ext="edit" text="t"/>
            </v:shape>
            <v:rect id="_x0000_s1028" style="position:absolute;left:2474;top:3303;width:1494;height:540">
              <v:textbox>
                <w:txbxContent>
                  <w:p w:rsidR="003A5E9C" w:rsidRPr="002056A0" w:rsidRDefault="003A5E9C" w:rsidP="003A5E9C">
                    <w:pPr>
                      <w:pStyle w:val="HTML"/>
                      <w:jc w:val="center"/>
                      <w:rPr>
                        <w:rFonts w:ascii="Times New Roman" w:hAnsi="Times New Roman" w:cs="Times New Roman"/>
                      </w:rPr>
                    </w:pPr>
                    <w:r w:rsidRPr="002056A0">
                      <w:rPr>
                        <w:rFonts w:ascii="Times New Roman" w:hAnsi="Times New Roman" w:cs="Times New Roman"/>
                      </w:rPr>
                      <w:t>Принцип законності</w:t>
                    </w:r>
                  </w:p>
                  <w:p w:rsidR="003A5E9C" w:rsidRPr="002056A0" w:rsidRDefault="003A5E9C" w:rsidP="003A5E9C">
                    <w:pPr>
                      <w:jc w:val="center"/>
                    </w:pPr>
                  </w:p>
                </w:txbxContent>
              </v:textbox>
            </v:rect>
            <v:rect id="_x0000_s1029" style="position:absolute;left:2881;top:2358;width:5842;height:540">
              <v:textbox style="mso-next-textbox:#_x0000_s1029">
                <w:txbxContent>
                  <w:p w:rsidR="003A5E9C" w:rsidRDefault="003A5E9C" w:rsidP="003A5E9C">
                    <w:pPr>
                      <w:pStyle w:val="HTML"/>
                      <w:jc w:val="center"/>
                      <w:rPr>
                        <w:rFonts w:ascii="Times New Roman" w:hAnsi="Times New Roman" w:cs="Times New Roman"/>
                        <w:sz w:val="10"/>
                        <w:szCs w:val="10"/>
                      </w:rPr>
                    </w:pPr>
                  </w:p>
                  <w:p w:rsidR="003A5E9C" w:rsidRPr="003738A0" w:rsidRDefault="003A5E9C" w:rsidP="003A5E9C">
                    <w:pPr>
                      <w:pStyle w:val="HTML"/>
                      <w:jc w:val="center"/>
                      <w:rPr>
                        <w:rFonts w:ascii="Times New Roman" w:hAnsi="Times New Roman" w:cs="Times New Roman"/>
                        <w:sz w:val="24"/>
                        <w:szCs w:val="24"/>
                      </w:rPr>
                    </w:pPr>
                    <w:r w:rsidRPr="003738A0">
                      <w:rPr>
                        <w:rFonts w:ascii="Times New Roman" w:hAnsi="Times New Roman" w:cs="Times New Roman"/>
                        <w:sz w:val="24"/>
                        <w:szCs w:val="24"/>
                      </w:rPr>
                      <w:t>Нагляд на основі оцінки ризиків</w:t>
                    </w:r>
                  </w:p>
                  <w:p w:rsidR="003A5E9C" w:rsidRDefault="003A5E9C" w:rsidP="003A5E9C"/>
                </w:txbxContent>
              </v:textbox>
            </v:rect>
            <v:rect id="_x0000_s1030" style="position:absolute;left:4240;top:3303;width:1495;height:540">
              <v:textbox>
                <w:txbxContent>
                  <w:p w:rsidR="003A5E9C" w:rsidRPr="002056A0" w:rsidRDefault="003A5E9C" w:rsidP="003A5E9C">
                    <w:pPr>
                      <w:pStyle w:val="HTML"/>
                      <w:jc w:val="center"/>
                      <w:rPr>
                        <w:rFonts w:ascii="Times New Roman" w:hAnsi="Times New Roman" w:cs="Times New Roman"/>
                      </w:rPr>
                    </w:pPr>
                    <w:r w:rsidRPr="002056A0">
                      <w:rPr>
                        <w:rFonts w:ascii="Times New Roman" w:hAnsi="Times New Roman" w:cs="Times New Roman"/>
                      </w:rPr>
                      <w:t>Принцип розподілу ресурсів</w:t>
                    </w:r>
                  </w:p>
                  <w:p w:rsidR="003A5E9C" w:rsidRPr="002056A0" w:rsidRDefault="003A5E9C" w:rsidP="003A5E9C">
                    <w:pPr>
                      <w:jc w:val="center"/>
                    </w:pPr>
                  </w:p>
                </w:txbxContent>
              </v:textbox>
            </v:rect>
            <v:rect id="_x0000_s1031" style="position:absolute;left:6006;top:3303;width:1493;height:540">
              <v:textbox>
                <w:txbxContent>
                  <w:p w:rsidR="003A5E9C" w:rsidRPr="00075683" w:rsidRDefault="003A5E9C" w:rsidP="003A5E9C">
                    <w:pPr>
                      <w:pStyle w:val="HTML"/>
                      <w:jc w:val="center"/>
                      <w:rPr>
                        <w:rFonts w:ascii="Times New Roman" w:hAnsi="Times New Roman" w:cs="Times New Roman"/>
                      </w:rPr>
                    </w:pPr>
                    <w:r w:rsidRPr="002056A0">
                      <w:rPr>
                        <w:rFonts w:ascii="Times New Roman" w:hAnsi="Times New Roman" w:cs="Times New Roman"/>
                      </w:rPr>
                      <w:t xml:space="preserve">Принцип </w:t>
                    </w:r>
                    <w:r>
                      <w:rPr>
                        <w:rFonts w:ascii="Times New Roman" w:hAnsi="Times New Roman" w:cs="Times New Roman"/>
                      </w:rPr>
                      <w:t>співмірності</w:t>
                    </w:r>
                  </w:p>
                  <w:p w:rsidR="003A5E9C" w:rsidRPr="002056A0" w:rsidRDefault="003A5E9C" w:rsidP="003A5E9C">
                    <w:pPr>
                      <w:jc w:val="center"/>
                    </w:pPr>
                  </w:p>
                </w:txbxContent>
              </v:textbox>
            </v:rect>
            <v:rect id="_x0000_s1032" style="position:absolute;left:7772;top:3303;width:1493;height:540">
              <v:textbox>
                <w:txbxContent>
                  <w:p w:rsidR="003A5E9C" w:rsidRPr="002056A0" w:rsidRDefault="003A5E9C" w:rsidP="003A5E9C">
                    <w:pPr>
                      <w:pStyle w:val="HTML"/>
                      <w:jc w:val="center"/>
                      <w:rPr>
                        <w:rFonts w:ascii="Times New Roman" w:hAnsi="Times New Roman" w:cs="Times New Roman"/>
                      </w:rPr>
                    </w:pPr>
                    <w:r w:rsidRPr="002056A0">
                      <w:rPr>
                        <w:rFonts w:ascii="Times New Roman" w:hAnsi="Times New Roman" w:cs="Times New Roman"/>
                      </w:rPr>
                      <w:t xml:space="preserve">Принцип </w:t>
                    </w:r>
                    <w:r>
                      <w:rPr>
                        <w:rFonts w:ascii="Times New Roman" w:hAnsi="Times New Roman" w:cs="Times New Roman"/>
                      </w:rPr>
                      <w:t>гнучкості</w:t>
                    </w:r>
                  </w:p>
                  <w:p w:rsidR="003A5E9C" w:rsidRPr="002056A0" w:rsidRDefault="003A5E9C" w:rsidP="003A5E9C">
                    <w:pPr>
                      <w:jc w:val="center"/>
                    </w:pPr>
                  </w:p>
                </w:txbxContent>
              </v:textbox>
            </v:rect>
            <v:line id="_x0000_s1033" style="position:absolute;flip:x" from="3560,2898" to="5734,3303">
              <v:stroke endarrow="block"/>
            </v:line>
            <v:line id="_x0000_s1034" style="position:absolute;flip:x" from="5191,2898" to="5734,3303">
              <v:stroke endarrow="block"/>
            </v:line>
            <v:line id="_x0000_s1035" style="position:absolute" from="5734,2898" to="6413,3303">
              <v:stroke endarrow="block"/>
            </v:line>
            <v:line id="_x0000_s1036" style="position:absolute" from="5734,2898" to="8315,3303">
              <v:stroke endarrow="block"/>
            </v:line>
            <w10:anchorlock/>
          </v:group>
        </w:pict>
      </w:r>
    </w:p>
    <w:p w:rsidR="00B74F8F" w:rsidRPr="00B74F8F" w:rsidRDefault="00B74F8F" w:rsidP="00B74F8F">
      <w:pPr>
        <w:jc w:val="both"/>
        <w:rPr>
          <w:color w:val="FF6600"/>
          <w:sz w:val="28"/>
          <w:szCs w:val="28"/>
          <w:lang w:val="ru-RU"/>
        </w:rPr>
      </w:pPr>
    </w:p>
    <w:p w:rsidR="00B74F8F" w:rsidRPr="00B74F8F" w:rsidRDefault="00B74F8F" w:rsidP="00B74F8F">
      <w:pPr>
        <w:ind w:firstLine="708"/>
        <w:jc w:val="both"/>
        <w:rPr>
          <w:sz w:val="28"/>
          <w:szCs w:val="28"/>
        </w:rPr>
      </w:pPr>
      <w:r w:rsidRPr="00B74F8F">
        <w:rPr>
          <w:b/>
          <w:sz w:val="28"/>
          <w:szCs w:val="28"/>
        </w:rPr>
        <w:t>Принцип законності</w:t>
      </w:r>
      <w:r w:rsidRPr="00B74F8F">
        <w:rPr>
          <w:sz w:val="28"/>
          <w:szCs w:val="28"/>
        </w:rPr>
        <w:t xml:space="preserve"> полягає в тому, що всі дії регулятора в межах НОР здійснюються відповідно до вимог законодавства.</w:t>
      </w:r>
    </w:p>
    <w:p w:rsidR="00B74F8F" w:rsidRPr="00B74F8F" w:rsidRDefault="00B74F8F" w:rsidP="00B74F8F">
      <w:pPr>
        <w:ind w:firstLine="708"/>
        <w:jc w:val="both"/>
        <w:rPr>
          <w:sz w:val="28"/>
          <w:szCs w:val="28"/>
        </w:rPr>
      </w:pPr>
      <w:r w:rsidRPr="00B74F8F">
        <w:rPr>
          <w:b/>
          <w:sz w:val="28"/>
          <w:szCs w:val="28"/>
        </w:rPr>
        <w:t>Принцип розподілу ресурсів</w:t>
      </w:r>
      <w:r w:rsidRPr="00B74F8F">
        <w:rPr>
          <w:sz w:val="28"/>
          <w:szCs w:val="28"/>
        </w:rPr>
        <w:t xml:space="preserve"> полягає в тому, що наглядові ресурси регулятора спрямовуються з урахуванням пріоритетів, тобто на тих учасників, що мають найбільш суттєві ризики.</w:t>
      </w:r>
    </w:p>
    <w:p w:rsidR="00B74F8F" w:rsidRPr="00B74F8F" w:rsidRDefault="00B74F8F" w:rsidP="00B74F8F">
      <w:pPr>
        <w:ind w:firstLine="708"/>
        <w:jc w:val="both"/>
        <w:rPr>
          <w:sz w:val="28"/>
          <w:szCs w:val="28"/>
        </w:rPr>
      </w:pPr>
      <w:r w:rsidRPr="00B74F8F">
        <w:rPr>
          <w:b/>
          <w:sz w:val="28"/>
          <w:szCs w:val="28"/>
        </w:rPr>
        <w:t xml:space="preserve">Принцип співмірності </w:t>
      </w:r>
      <w:r w:rsidRPr="00B74F8F">
        <w:rPr>
          <w:sz w:val="28"/>
          <w:szCs w:val="28"/>
        </w:rPr>
        <w:t>полягає в тому, що</w:t>
      </w:r>
      <w:r w:rsidRPr="00B74F8F">
        <w:rPr>
          <w:b/>
          <w:sz w:val="28"/>
          <w:szCs w:val="28"/>
        </w:rPr>
        <w:t xml:space="preserve"> </w:t>
      </w:r>
      <w:r w:rsidRPr="00B74F8F">
        <w:rPr>
          <w:sz w:val="28"/>
          <w:szCs w:val="28"/>
        </w:rPr>
        <w:t xml:space="preserve">заходи регулятора у відношенні до наглядового суб’єкта мають бути адекватними оціненому ризику. </w:t>
      </w:r>
    </w:p>
    <w:p w:rsidR="00B74F8F" w:rsidRPr="00B74F8F" w:rsidRDefault="00B74F8F" w:rsidP="006D3DFF">
      <w:pPr>
        <w:ind w:firstLine="708"/>
        <w:jc w:val="both"/>
        <w:rPr>
          <w:sz w:val="28"/>
          <w:szCs w:val="28"/>
        </w:rPr>
      </w:pPr>
      <w:r w:rsidRPr="00B74F8F">
        <w:rPr>
          <w:b/>
          <w:sz w:val="28"/>
          <w:szCs w:val="28"/>
        </w:rPr>
        <w:t xml:space="preserve">Принцип гнучкості </w:t>
      </w:r>
      <w:r w:rsidRPr="00B74F8F">
        <w:rPr>
          <w:sz w:val="28"/>
          <w:szCs w:val="28"/>
        </w:rPr>
        <w:t>полягає в тому, що в ході розвитку ситуації та появи нових загроз відбувається періодична переоцінка ризиків.</w:t>
      </w:r>
    </w:p>
    <w:p w:rsidR="00B74F8F" w:rsidRPr="00B74F8F" w:rsidRDefault="00B74F8F" w:rsidP="00A23FD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napToGrid/>
          <w:sz w:val="28"/>
          <w:szCs w:val="28"/>
        </w:rPr>
      </w:pPr>
      <w:r w:rsidRPr="00B74F8F">
        <w:rPr>
          <w:b/>
          <w:snapToGrid/>
          <w:sz w:val="28"/>
          <w:szCs w:val="28"/>
        </w:rPr>
        <w:t>Метою</w:t>
      </w:r>
      <w:r w:rsidRPr="00B74F8F">
        <w:rPr>
          <w:snapToGrid/>
          <w:sz w:val="28"/>
          <w:szCs w:val="28"/>
        </w:rPr>
        <w:t xml:space="preserve"> нагляду на основі оцінки ризиків є забезпечення стабільності системи фондового ринку, сприяння ефективній діяльності учасників, </w:t>
      </w:r>
      <w:r w:rsidRPr="003A5E9C">
        <w:rPr>
          <w:sz w:val="28"/>
          <w:szCs w:val="28"/>
        </w:rPr>
        <w:t>які провадять професійну діяльність на фондовому ринку</w:t>
      </w:r>
      <w:r w:rsidRPr="00B74F8F">
        <w:rPr>
          <w:snapToGrid/>
          <w:sz w:val="28"/>
          <w:szCs w:val="28"/>
        </w:rPr>
        <w:t>, захист інтересів учасників фондового ринку.</w:t>
      </w:r>
    </w:p>
    <w:p w:rsidR="003738A0" w:rsidRDefault="003738A0"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napToGrid/>
          <w:sz w:val="28"/>
          <w:szCs w:val="28"/>
        </w:rPr>
      </w:pPr>
    </w:p>
    <w:p w:rsidR="009C3686" w:rsidRPr="00B74F8F" w:rsidRDefault="009C3686"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napToGrid/>
          <w:sz w:val="28"/>
          <w:szCs w:val="28"/>
        </w:rPr>
      </w:pPr>
    </w:p>
    <w:p w:rsidR="00B74F8F" w:rsidRPr="00B74F8F" w:rsidRDefault="00B74F8F" w:rsidP="00B74F8F">
      <w:pPr>
        <w:jc w:val="both"/>
        <w:rPr>
          <w:b/>
          <w:bCs/>
          <w:snapToGrid/>
          <w:sz w:val="28"/>
          <w:szCs w:val="28"/>
          <w:lang w:val="ru-RU"/>
        </w:rPr>
      </w:pPr>
      <w:r w:rsidRPr="00B74F8F">
        <w:rPr>
          <w:b/>
          <w:sz w:val="28"/>
          <w:szCs w:val="28"/>
        </w:rPr>
        <w:t xml:space="preserve">5. Основні аспекти застосування НКЦПФР </w:t>
      </w:r>
      <w:r w:rsidRPr="00B74F8F">
        <w:rPr>
          <w:b/>
          <w:bCs/>
          <w:snapToGrid/>
          <w:sz w:val="28"/>
          <w:szCs w:val="28"/>
        </w:rPr>
        <w:t>нагляду на основі оцінки ризиків</w:t>
      </w:r>
      <w:r w:rsidR="00BE6882">
        <w:rPr>
          <w:b/>
          <w:bCs/>
          <w:snapToGrid/>
          <w:sz w:val="28"/>
          <w:szCs w:val="28"/>
        </w:rPr>
        <w:t>.</w:t>
      </w:r>
      <w:r w:rsidRPr="00B74F8F">
        <w:rPr>
          <w:b/>
          <w:bCs/>
          <w:snapToGrid/>
          <w:sz w:val="28"/>
          <w:szCs w:val="28"/>
        </w:rPr>
        <w:t xml:space="preserve"> </w:t>
      </w:r>
    </w:p>
    <w:p w:rsidR="00B74F8F" w:rsidRPr="003A5E9C" w:rsidRDefault="00B74F8F" w:rsidP="00A23FD0">
      <w:p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snapToGrid/>
          <w:sz w:val="28"/>
          <w:szCs w:val="28"/>
        </w:rPr>
      </w:pPr>
      <w:r w:rsidRPr="00B74F8F">
        <w:rPr>
          <w:snapToGrid/>
          <w:sz w:val="28"/>
          <w:szCs w:val="28"/>
        </w:rPr>
        <w:t xml:space="preserve">Нагляд на основі оцінки ризиків </w:t>
      </w:r>
      <w:r w:rsidR="00A23FD0">
        <w:rPr>
          <w:snapToGrid/>
          <w:sz w:val="28"/>
          <w:szCs w:val="28"/>
        </w:rPr>
        <w:t>−</w:t>
      </w:r>
      <w:r w:rsidR="00BE6882">
        <w:rPr>
          <w:snapToGrid/>
          <w:sz w:val="28"/>
          <w:szCs w:val="28"/>
        </w:rPr>
        <w:t xml:space="preserve"> </w:t>
      </w:r>
      <w:r w:rsidRPr="00B74F8F">
        <w:rPr>
          <w:snapToGrid/>
          <w:sz w:val="28"/>
          <w:szCs w:val="28"/>
        </w:rPr>
        <w:t xml:space="preserve">це внутрішній процес НКЦПФР, який спрямований на </w:t>
      </w:r>
      <w:r w:rsidRPr="00B74F8F">
        <w:rPr>
          <w:bCs/>
          <w:snapToGrid/>
          <w:sz w:val="28"/>
          <w:szCs w:val="28"/>
        </w:rPr>
        <w:t xml:space="preserve">запобігання настанню можливих негативних наслідків у кожного конкретного учасника, </w:t>
      </w:r>
      <w:r w:rsidRPr="003A5E9C">
        <w:rPr>
          <w:bCs/>
          <w:snapToGrid/>
          <w:sz w:val="28"/>
          <w:szCs w:val="28"/>
        </w:rPr>
        <w:t>який провадить професійну діяльність на фондовому ринку.</w:t>
      </w:r>
    </w:p>
    <w:p w:rsidR="00B74F8F" w:rsidRPr="00B74F8F" w:rsidRDefault="00B74F8F" w:rsidP="00B74F8F">
      <w:pPr>
        <w:ind w:firstLine="708"/>
        <w:jc w:val="both"/>
        <w:rPr>
          <w:bCs/>
          <w:snapToGrid/>
          <w:sz w:val="28"/>
          <w:szCs w:val="28"/>
        </w:rPr>
      </w:pPr>
    </w:p>
    <w:p w:rsidR="00B74F8F" w:rsidRPr="00B74F8F" w:rsidRDefault="00B74F8F" w:rsidP="00B74F8F">
      <w:pPr>
        <w:ind w:firstLine="708"/>
        <w:jc w:val="both"/>
        <w:rPr>
          <w:b/>
          <w:bCs/>
          <w:snapToGrid/>
          <w:sz w:val="28"/>
          <w:szCs w:val="28"/>
        </w:rPr>
      </w:pPr>
      <w:r w:rsidRPr="00B74F8F">
        <w:rPr>
          <w:b/>
          <w:bCs/>
          <w:snapToGrid/>
          <w:sz w:val="28"/>
          <w:szCs w:val="28"/>
        </w:rPr>
        <w:t>Основні завдання  НКЦПФР щодо суб’єктів нагляду:</w:t>
      </w:r>
    </w:p>
    <w:p w:rsidR="00B74F8F" w:rsidRPr="003738A0" w:rsidRDefault="00A23FD0" w:rsidP="00B74F8F">
      <w:pPr>
        <w:ind w:firstLine="708"/>
        <w:jc w:val="both"/>
        <w:rPr>
          <w:b/>
          <w:snapToGrid/>
          <w:sz w:val="28"/>
          <w:szCs w:val="28"/>
        </w:rPr>
      </w:pPr>
      <w:r>
        <w:rPr>
          <w:b/>
          <w:bCs/>
          <w:snapToGrid/>
          <w:sz w:val="28"/>
          <w:szCs w:val="28"/>
        </w:rPr>
        <w:t>−</w:t>
      </w:r>
      <w:r w:rsidR="00B74F8F" w:rsidRPr="00B74F8F">
        <w:rPr>
          <w:sz w:val="28"/>
          <w:szCs w:val="28"/>
        </w:rPr>
        <w:t xml:space="preserve"> оцінка </w:t>
      </w:r>
      <w:r w:rsidR="00B74F8F" w:rsidRPr="003A5E9C">
        <w:rPr>
          <w:sz w:val="28"/>
          <w:szCs w:val="28"/>
        </w:rPr>
        <w:t xml:space="preserve">рівня </w:t>
      </w:r>
      <w:r w:rsidR="00B74F8F" w:rsidRPr="00B74F8F">
        <w:rPr>
          <w:sz w:val="28"/>
          <w:szCs w:val="28"/>
        </w:rPr>
        <w:t xml:space="preserve">ризику </w:t>
      </w:r>
      <w:r w:rsidR="00B74F8F" w:rsidRPr="003A5E9C">
        <w:rPr>
          <w:snapToGrid/>
          <w:sz w:val="28"/>
          <w:szCs w:val="28"/>
        </w:rPr>
        <w:t>установи</w:t>
      </w:r>
      <w:r w:rsidR="00B74F8F" w:rsidRPr="00B74F8F">
        <w:rPr>
          <w:bCs/>
          <w:snapToGrid/>
          <w:sz w:val="28"/>
          <w:szCs w:val="28"/>
        </w:rPr>
        <w:t>;</w:t>
      </w:r>
      <w:r w:rsidR="00B74F8F" w:rsidRPr="00B74F8F">
        <w:rPr>
          <w:b/>
          <w:snapToGrid/>
          <w:color w:val="FF0000"/>
          <w:sz w:val="28"/>
          <w:szCs w:val="28"/>
        </w:rPr>
        <w:t xml:space="preserve"> </w:t>
      </w:r>
    </w:p>
    <w:p w:rsidR="00B74F8F" w:rsidRPr="003738A0" w:rsidRDefault="00A23FD0" w:rsidP="00B74F8F">
      <w:pPr>
        <w:ind w:firstLine="708"/>
        <w:jc w:val="both"/>
        <w:rPr>
          <w:b/>
          <w:sz w:val="28"/>
          <w:szCs w:val="28"/>
        </w:rPr>
      </w:pPr>
      <w:r>
        <w:rPr>
          <w:b/>
          <w:bCs/>
          <w:snapToGrid/>
          <w:sz w:val="28"/>
          <w:szCs w:val="28"/>
        </w:rPr>
        <w:t>−</w:t>
      </w:r>
      <w:r w:rsidR="00B74F8F" w:rsidRPr="00B74F8F">
        <w:rPr>
          <w:b/>
          <w:bCs/>
          <w:snapToGrid/>
          <w:sz w:val="28"/>
          <w:szCs w:val="28"/>
        </w:rPr>
        <w:t xml:space="preserve"> </w:t>
      </w:r>
      <w:r w:rsidR="00B74F8F" w:rsidRPr="00B74F8F">
        <w:rPr>
          <w:bCs/>
          <w:snapToGrid/>
          <w:sz w:val="28"/>
          <w:szCs w:val="28"/>
        </w:rPr>
        <w:t>оцінка якості системи управління ризиками</w:t>
      </w:r>
      <w:r w:rsidR="00B74F8F" w:rsidRPr="00B74F8F">
        <w:rPr>
          <w:b/>
          <w:bCs/>
          <w:snapToGrid/>
          <w:sz w:val="28"/>
          <w:szCs w:val="28"/>
        </w:rPr>
        <w:t xml:space="preserve"> </w:t>
      </w:r>
      <w:r w:rsidR="00B74F8F" w:rsidRPr="003A5E9C">
        <w:rPr>
          <w:bCs/>
          <w:snapToGrid/>
          <w:sz w:val="28"/>
          <w:szCs w:val="28"/>
        </w:rPr>
        <w:t>установи</w:t>
      </w:r>
      <w:r w:rsidR="00B74F8F" w:rsidRPr="00B74F8F">
        <w:rPr>
          <w:bCs/>
          <w:snapToGrid/>
          <w:sz w:val="28"/>
          <w:szCs w:val="28"/>
        </w:rPr>
        <w:t>;</w:t>
      </w:r>
    </w:p>
    <w:p w:rsidR="00B74F8F" w:rsidRPr="00B74F8F" w:rsidRDefault="00A23FD0" w:rsidP="00B74F8F">
      <w:pPr>
        <w:ind w:firstLine="708"/>
        <w:jc w:val="both"/>
        <w:rPr>
          <w:bCs/>
          <w:snapToGrid/>
          <w:sz w:val="28"/>
          <w:szCs w:val="28"/>
        </w:rPr>
      </w:pPr>
      <w:r>
        <w:rPr>
          <w:b/>
          <w:bCs/>
          <w:snapToGrid/>
          <w:sz w:val="28"/>
          <w:szCs w:val="28"/>
        </w:rPr>
        <w:t>−</w:t>
      </w:r>
      <w:r w:rsidR="00B74F8F" w:rsidRPr="00B74F8F">
        <w:rPr>
          <w:b/>
          <w:bCs/>
          <w:snapToGrid/>
          <w:sz w:val="28"/>
          <w:szCs w:val="28"/>
        </w:rPr>
        <w:t xml:space="preserve"> </w:t>
      </w:r>
      <w:r w:rsidR="00B74F8F" w:rsidRPr="00B74F8F">
        <w:rPr>
          <w:bCs/>
          <w:snapToGrid/>
          <w:sz w:val="28"/>
          <w:szCs w:val="28"/>
        </w:rPr>
        <w:t>оцінка можливого впливу</w:t>
      </w:r>
      <w:r w:rsidR="00B74F8F" w:rsidRPr="00B74F8F">
        <w:rPr>
          <w:b/>
          <w:bCs/>
          <w:snapToGrid/>
          <w:sz w:val="28"/>
          <w:szCs w:val="28"/>
        </w:rPr>
        <w:t xml:space="preserve"> </w:t>
      </w:r>
      <w:r w:rsidR="00B74F8F" w:rsidRPr="003A5E9C">
        <w:rPr>
          <w:bCs/>
          <w:snapToGrid/>
          <w:sz w:val="28"/>
          <w:szCs w:val="28"/>
        </w:rPr>
        <w:t>установи</w:t>
      </w:r>
      <w:r w:rsidR="00B74F8F" w:rsidRPr="00B74F8F">
        <w:rPr>
          <w:bCs/>
          <w:snapToGrid/>
          <w:sz w:val="28"/>
          <w:szCs w:val="28"/>
        </w:rPr>
        <w:t xml:space="preserve"> на фондовий ринок;</w:t>
      </w:r>
    </w:p>
    <w:p w:rsidR="00B74F8F" w:rsidRPr="00B74F8F" w:rsidRDefault="00A23FD0" w:rsidP="00B74F8F">
      <w:pPr>
        <w:ind w:firstLine="708"/>
        <w:jc w:val="both"/>
        <w:rPr>
          <w:bCs/>
          <w:snapToGrid/>
          <w:sz w:val="28"/>
          <w:szCs w:val="28"/>
        </w:rPr>
      </w:pPr>
      <w:r>
        <w:rPr>
          <w:b/>
          <w:bCs/>
          <w:snapToGrid/>
          <w:sz w:val="28"/>
          <w:szCs w:val="28"/>
        </w:rPr>
        <w:t>−</w:t>
      </w:r>
      <w:r w:rsidR="00B74F8F" w:rsidRPr="00B74F8F">
        <w:rPr>
          <w:b/>
          <w:bCs/>
          <w:snapToGrid/>
          <w:sz w:val="28"/>
          <w:szCs w:val="28"/>
        </w:rPr>
        <w:t xml:space="preserve"> </w:t>
      </w:r>
      <w:r w:rsidR="00B74F8F" w:rsidRPr="00B74F8F">
        <w:rPr>
          <w:bCs/>
          <w:snapToGrid/>
          <w:sz w:val="28"/>
          <w:szCs w:val="28"/>
        </w:rPr>
        <w:t xml:space="preserve">визначення </w:t>
      </w:r>
      <w:r w:rsidR="00B74F8F" w:rsidRPr="00B74F8F">
        <w:rPr>
          <w:sz w:val="28"/>
          <w:szCs w:val="28"/>
        </w:rPr>
        <w:t xml:space="preserve">стратегії (режиму) нагляду в залежності від рівня ризику </w:t>
      </w:r>
      <w:r w:rsidR="00B74F8F" w:rsidRPr="003A5E9C">
        <w:rPr>
          <w:bCs/>
          <w:snapToGrid/>
          <w:sz w:val="28"/>
          <w:szCs w:val="28"/>
        </w:rPr>
        <w:t>установи, напряму ризику та фокусу нагляду</w:t>
      </w:r>
      <w:r w:rsidR="00B74F8F" w:rsidRPr="00B74F8F">
        <w:rPr>
          <w:bCs/>
          <w:snapToGrid/>
          <w:sz w:val="28"/>
          <w:szCs w:val="28"/>
        </w:rPr>
        <w:t>;</w:t>
      </w:r>
    </w:p>
    <w:p w:rsidR="00B74F8F" w:rsidRPr="00B74F8F" w:rsidRDefault="00A23FD0" w:rsidP="00B74F8F">
      <w:pPr>
        <w:ind w:firstLine="708"/>
        <w:jc w:val="both"/>
        <w:rPr>
          <w:bCs/>
          <w:snapToGrid/>
          <w:sz w:val="28"/>
          <w:szCs w:val="28"/>
        </w:rPr>
      </w:pPr>
      <w:r>
        <w:rPr>
          <w:b/>
          <w:bCs/>
          <w:snapToGrid/>
          <w:sz w:val="28"/>
          <w:szCs w:val="28"/>
        </w:rPr>
        <w:t xml:space="preserve">− </w:t>
      </w:r>
      <w:r w:rsidR="00B74F8F" w:rsidRPr="00B74F8F">
        <w:rPr>
          <w:bCs/>
          <w:snapToGrid/>
          <w:sz w:val="28"/>
          <w:szCs w:val="28"/>
        </w:rPr>
        <w:t xml:space="preserve">застосування заходів впливу у відношенні </w:t>
      </w:r>
      <w:r w:rsidR="00B74F8F" w:rsidRPr="003A5E9C">
        <w:rPr>
          <w:bCs/>
          <w:snapToGrid/>
          <w:sz w:val="28"/>
          <w:szCs w:val="28"/>
        </w:rPr>
        <w:t>установи, у випадках</w:t>
      </w:r>
      <w:r w:rsidR="00711516">
        <w:rPr>
          <w:bCs/>
          <w:snapToGrid/>
          <w:sz w:val="28"/>
          <w:szCs w:val="28"/>
        </w:rPr>
        <w:t>,</w:t>
      </w:r>
      <w:r w:rsidR="00B74F8F" w:rsidRPr="003A5E9C">
        <w:rPr>
          <w:bCs/>
          <w:snapToGrid/>
          <w:sz w:val="28"/>
          <w:szCs w:val="28"/>
        </w:rPr>
        <w:t xml:space="preserve"> передбачених законодавством</w:t>
      </w:r>
      <w:r w:rsidR="00B74F8F" w:rsidRPr="00B74F8F">
        <w:rPr>
          <w:bCs/>
          <w:snapToGrid/>
          <w:sz w:val="28"/>
          <w:szCs w:val="28"/>
        </w:rPr>
        <w:t xml:space="preserve">. </w:t>
      </w:r>
    </w:p>
    <w:p w:rsidR="00B74F8F" w:rsidRPr="00B74F8F" w:rsidRDefault="00B74F8F" w:rsidP="00B74F8F">
      <w:pPr>
        <w:ind w:firstLine="708"/>
        <w:jc w:val="both"/>
        <w:rPr>
          <w:bCs/>
          <w:snapToGrid/>
          <w:sz w:val="28"/>
          <w:szCs w:val="28"/>
          <w:lang w:val="ru-RU"/>
        </w:rPr>
      </w:pPr>
    </w:p>
    <w:p w:rsidR="00B74F8F" w:rsidRPr="00B74F8F" w:rsidRDefault="00B74F8F" w:rsidP="00A23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napToGrid/>
          <w:sz w:val="28"/>
          <w:szCs w:val="28"/>
        </w:rPr>
      </w:pPr>
      <w:r w:rsidRPr="00B74F8F">
        <w:rPr>
          <w:snapToGrid/>
          <w:sz w:val="28"/>
          <w:szCs w:val="28"/>
        </w:rPr>
        <w:t>Нагляд на основі оцінки ризиків дозволить:</w:t>
      </w:r>
    </w:p>
    <w:p w:rsidR="00B74F8F" w:rsidRPr="00B74F8F"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napToGrid/>
          <w:sz w:val="28"/>
          <w:szCs w:val="28"/>
        </w:rPr>
      </w:pPr>
      <w:r w:rsidRPr="00B74F8F">
        <w:rPr>
          <w:b/>
          <w:snapToGrid/>
          <w:sz w:val="28"/>
          <w:szCs w:val="28"/>
        </w:rPr>
        <w:t>оцінити</w:t>
      </w:r>
      <w:r w:rsidRPr="00B74F8F">
        <w:rPr>
          <w:snapToGrid/>
          <w:sz w:val="28"/>
          <w:szCs w:val="28"/>
        </w:rPr>
        <w:t xml:space="preserve"> існуючі та потенційні </w:t>
      </w:r>
      <w:r w:rsidRPr="003A5E9C">
        <w:rPr>
          <w:snapToGrid/>
          <w:sz w:val="28"/>
          <w:szCs w:val="28"/>
        </w:rPr>
        <w:t>ризики</w:t>
      </w:r>
      <w:r w:rsidRPr="00B74F8F">
        <w:rPr>
          <w:snapToGrid/>
          <w:sz w:val="28"/>
          <w:szCs w:val="28"/>
        </w:rPr>
        <w:t xml:space="preserve">, що має </w:t>
      </w:r>
      <w:r w:rsidRPr="003A5E9C">
        <w:rPr>
          <w:snapToGrid/>
          <w:sz w:val="28"/>
          <w:szCs w:val="28"/>
        </w:rPr>
        <w:t>установа</w:t>
      </w:r>
      <w:r w:rsidRPr="00B74F8F">
        <w:rPr>
          <w:snapToGrid/>
          <w:sz w:val="28"/>
          <w:szCs w:val="28"/>
        </w:rPr>
        <w:t xml:space="preserve">, їх рівень </w:t>
      </w:r>
      <w:r w:rsidRPr="003A5E9C">
        <w:rPr>
          <w:snapToGrid/>
          <w:sz w:val="28"/>
          <w:szCs w:val="28"/>
        </w:rPr>
        <w:t>та</w:t>
      </w:r>
      <w:r w:rsidRPr="00B74F8F">
        <w:rPr>
          <w:snapToGrid/>
          <w:sz w:val="28"/>
          <w:szCs w:val="28"/>
        </w:rPr>
        <w:t xml:space="preserve"> можливий вплив </w:t>
      </w:r>
      <w:r w:rsidRPr="003A5E9C">
        <w:rPr>
          <w:snapToGrid/>
          <w:sz w:val="28"/>
          <w:szCs w:val="28"/>
        </w:rPr>
        <w:t>установи</w:t>
      </w:r>
      <w:r w:rsidRPr="00B74F8F">
        <w:rPr>
          <w:snapToGrid/>
          <w:sz w:val="28"/>
          <w:szCs w:val="28"/>
        </w:rPr>
        <w:t xml:space="preserve"> на ринок капітал</w:t>
      </w:r>
      <w:r w:rsidRPr="003738A0">
        <w:rPr>
          <w:snapToGrid/>
          <w:sz w:val="28"/>
          <w:szCs w:val="28"/>
        </w:rPr>
        <w:t>у</w:t>
      </w:r>
      <w:r w:rsidRPr="00B74F8F">
        <w:rPr>
          <w:snapToGrid/>
          <w:sz w:val="28"/>
          <w:szCs w:val="28"/>
        </w:rPr>
        <w:t xml:space="preserve">; </w:t>
      </w:r>
    </w:p>
    <w:p w:rsidR="00B74F8F" w:rsidRPr="00B74F8F"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napToGrid/>
          <w:sz w:val="28"/>
          <w:szCs w:val="28"/>
        </w:rPr>
      </w:pPr>
      <w:r w:rsidRPr="00B74F8F">
        <w:rPr>
          <w:b/>
          <w:snapToGrid/>
          <w:sz w:val="28"/>
          <w:szCs w:val="28"/>
        </w:rPr>
        <w:t>ефективно використати</w:t>
      </w:r>
      <w:r w:rsidRPr="00B74F8F">
        <w:rPr>
          <w:snapToGrid/>
          <w:sz w:val="28"/>
          <w:szCs w:val="28"/>
        </w:rPr>
        <w:t xml:space="preserve">/розподілити/комбінувати ресурси НКЦПФР при нагляді за </w:t>
      </w:r>
      <w:r w:rsidRPr="003A5E9C">
        <w:rPr>
          <w:snapToGrid/>
          <w:sz w:val="28"/>
          <w:szCs w:val="28"/>
        </w:rPr>
        <w:t>установами</w:t>
      </w:r>
      <w:r w:rsidRPr="00B74F8F">
        <w:rPr>
          <w:snapToGrid/>
          <w:sz w:val="28"/>
          <w:szCs w:val="28"/>
        </w:rPr>
        <w:t>;</w:t>
      </w:r>
    </w:p>
    <w:p w:rsidR="00B74F8F" w:rsidRPr="00B74F8F"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napToGrid/>
          <w:sz w:val="28"/>
          <w:szCs w:val="28"/>
        </w:rPr>
      </w:pPr>
      <w:r w:rsidRPr="00B74F8F">
        <w:rPr>
          <w:b/>
          <w:snapToGrid/>
          <w:sz w:val="28"/>
          <w:szCs w:val="28"/>
        </w:rPr>
        <w:t xml:space="preserve">запобігти, мінімізувати </w:t>
      </w:r>
      <w:r w:rsidRPr="00B74F8F">
        <w:rPr>
          <w:snapToGrid/>
          <w:sz w:val="28"/>
          <w:szCs w:val="28"/>
        </w:rPr>
        <w:t xml:space="preserve">поточні ризики діяльності установи та ризики, які з високою вірогідністю можуть виникнути у майбутньому.  </w:t>
      </w:r>
    </w:p>
    <w:p w:rsidR="00B74F8F" w:rsidRPr="00B9451E"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u w:val="single"/>
        </w:rPr>
      </w:pPr>
      <w:r w:rsidRPr="00B74F8F">
        <w:rPr>
          <w:b/>
          <w:bCs/>
          <w:snapToGrid/>
          <w:sz w:val="28"/>
          <w:szCs w:val="28"/>
        </w:rPr>
        <w:t>5.1. Система управління ризиками</w:t>
      </w:r>
      <w:r w:rsidRPr="00B74F8F">
        <w:rPr>
          <w:sz w:val="28"/>
          <w:szCs w:val="28"/>
        </w:rPr>
        <w:t xml:space="preserve"> </w:t>
      </w:r>
      <w:r w:rsidRPr="00B74F8F">
        <w:rPr>
          <w:b/>
          <w:sz w:val="28"/>
          <w:szCs w:val="28"/>
        </w:rPr>
        <w:t xml:space="preserve">в </w:t>
      </w:r>
      <w:r w:rsidRPr="003A5E9C">
        <w:rPr>
          <w:b/>
          <w:bCs/>
          <w:snapToGrid/>
          <w:sz w:val="28"/>
          <w:szCs w:val="28"/>
        </w:rPr>
        <w:t>учасниках, які провадять професійну діяльність на фондовому ринку</w:t>
      </w:r>
      <w:r w:rsidR="0013053E">
        <w:rPr>
          <w:b/>
          <w:bCs/>
          <w:snapToGrid/>
          <w:sz w:val="28"/>
          <w:szCs w:val="28"/>
        </w:rPr>
        <w:t>.</w:t>
      </w:r>
    </w:p>
    <w:p w:rsidR="00B74F8F" w:rsidRPr="00B9451E" w:rsidRDefault="00B74F8F" w:rsidP="00A23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napToGrid/>
          <w:sz w:val="28"/>
          <w:szCs w:val="28"/>
        </w:rPr>
      </w:pPr>
      <w:r w:rsidRPr="00B74F8F">
        <w:rPr>
          <w:snapToGrid/>
          <w:sz w:val="28"/>
          <w:szCs w:val="28"/>
        </w:rPr>
        <w:t>Кожний</w:t>
      </w:r>
      <w:r w:rsidRPr="00B74F8F">
        <w:rPr>
          <w:snapToGrid/>
          <w:color w:val="FF0000"/>
          <w:sz w:val="28"/>
          <w:szCs w:val="28"/>
        </w:rPr>
        <w:t xml:space="preserve"> </w:t>
      </w:r>
      <w:r w:rsidRPr="003A5E9C">
        <w:rPr>
          <w:snapToGrid/>
          <w:sz w:val="28"/>
          <w:szCs w:val="28"/>
        </w:rPr>
        <w:t>учасник, який провадить професійну діяльність на фондовому ринку,</w:t>
      </w:r>
      <w:r w:rsidRPr="00B74F8F">
        <w:rPr>
          <w:i/>
          <w:snapToGrid/>
          <w:color w:val="FF0000"/>
          <w:sz w:val="28"/>
          <w:szCs w:val="28"/>
        </w:rPr>
        <w:t xml:space="preserve"> </w:t>
      </w:r>
      <w:r w:rsidRPr="00B74F8F">
        <w:rPr>
          <w:snapToGrid/>
          <w:sz w:val="28"/>
          <w:szCs w:val="28"/>
        </w:rPr>
        <w:t>повинен</w:t>
      </w:r>
      <w:r w:rsidRPr="00B74F8F">
        <w:rPr>
          <w:snapToGrid/>
          <w:color w:val="FF0000"/>
          <w:sz w:val="28"/>
          <w:szCs w:val="28"/>
        </w:rPr>
        <w:t xml:space="preserve"> </w:t>
      </w:r>
      <w:r w:rsidRPr="003A5E9C">
        <w:rPr>
          <w:snapToGrid/>
          <w:sz w:val="28"/>
          <w:szCs w:val="28"/>
        </w:rPr>
        <w:t>усвідомлювати</w:t>
      </w:r>
      <w:r w:rsidRPr="00B74F8F">
        <w:rPr>
          <w:snapToGrid/>
          <w:color w:val="FF0000"/>
          <w:sz w:val="28"/>
          <w:szCs w:val="28"/>
        </w:rPr>
        <w:t xml:space="preserve"> </w:t>
      </w:r>
      <w:r w:rsidRPr="00B74F8F">
        <w:rPr>
          <w:snapToGrid/>
          <w:sz w:val="28"/>
          <w:szCs w:val="28"/>
        </w:rPr>
        <w:t>свої ризики</w:t>
      </w:r>
      <w:r w:rsidRPr="00B74F8F">
        <w:rPr>
          <w:snapToGrid/>
          <w:color w:val="FF0000"/>
          <w:sz w:val="28"/>
          <w:szCs w:val="28"/>
        </w:rPr>
        <w:t xml:space="preserve"> </w:t>
      </w:r>
      <w:r w:rsidRPr="00B74F8F">
        <w:rPr>
          <w:snapToGrid/>
          <w:sz w:val="28"/>
          <w:szCs w:val="28"/>
        </w:rPr>
        <w:t xml:space="preserve">(включаючи ризики на які він наражається, наражає своїх клієнтів та інших учасників </w:t>
      </w:r>
      <w:r w:rsidRPr="003A5E9C">
        <w:rPr>
          <w:snapToGrid/>
          <w:sz w:val="28"/>
          <w:szCs w:val="28"/>
        </w:rPr>
        <w:t>ринку капіталу</w:t>
      </w:r>
      <w:r w:rsidRPr="00B74F8F">
        <w:rPr>
          <w:snapToGrid/>
          <w:sz w:val="28"/>
          <w:szCs w:val="28"/>
        </w:rPr>
        <w:t>)</w:t>
      </w:r>
      <w:r w:rsidRPr="00B74F8F">
        <w:rPr>
          <w:snapToGrid/>
          <w:color w:val="FF0000"/>
          <w:sz w:val="28"/>
          <w:szCs w:val="28"/>
        </w:rPr>
        <w:t xml:space="preserve"> </w:t>
      </w:r>
      <w:r w:rsidRPr="003A5E9C">
        <w:rPr>
          <w:snapToGrid/>
          <w:sz w:val="28"/>
          <w:szCs w:val="28"/>
        </w:rPr>
        <w:t>та їх потенціальний вплив на досягнення бізнес-цілей.</w:t>
      </w:r>
    </w:p>
    <w:p w:rsidR="00B74F8F" w:rsidRPr="00B74F8F" w:rsidRDefault="00B74F8F" w:rsidP="00A23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napToGrid/>
          <w:sz w:val="28"/>
          <w:szCs w:val="28"/>
        </w:rPr>
      </w:pPr>
      <w:r w:rsidRPr="00B74F8F">
        <w:rPr>
          <w:sz w:val="28"/>
          <w:szCs w:val="28"/>
        </w:rPr>
        <w:t xml:space="preserve">Залежно від виду професійної діяльності, яку провадить </w:t>
      </w:r>
      <w:r w:rsidRPr="003A5E9C">
        <w:rPr>
          <w:sz w:val="28"/>
          <w:szCs w:val="28"/>
        </w:rPr>
        <w:t>установа</w:t>
      </w:r>
      <w:r w:rsidRPr="00B74F8F">
        <w:rPr>
          <w:sz w:val="28"/>
          <w:szCs w:val="28"/>
        </w:rPr>
        <w:t xml:space="preserve">, від обраної стратегії діяльності, а також від особливостей та обсягу діяльності кожна </w:t>
      </w:r>
      <w:r w:rsidRPr="003A5E9C">
        <w:rPr>
          <w:sz w:val="28"/>
          <w:szCs w:val="28"/>
        </w:rPr>
        <w:t>установа</w:t>
      </w:r>
      <w:r w:rsidRPr="00B74F8F">
        <w:rPr>
          <w:sz w:val="28"/>
          <w:szCs w:val="28"/>
        </w:rPr>
        <w:t xml:space="preserve"> визначає свій профіль ризиків</w:t>
      </w:r>
      <w:r w:rsidRPr="00B74F8F">
        <w:rPr>
          <w:color w:val="FF0000"/>
          <w:sz w:val="28"/>
          <w:szCs w:val="28"/>
        </w:rPr>
        <w:t xml:space="preserve"> </w:t>
      </w:r>
      <w:r w:rsidRPr="003A5E9C">
        <w:rPr>
          <w:sz w:val="28"/>
          <w:szCs w:val="28"/>
        </w:rPr>
        <w:t>- сукупність властивих установі видів ризиків</w:t>
      </w:r>
      <w:r w:rsidRPr="00B74F8F">
        <w:rPr>
          <w:sz w:val="28"/>
          <w:szCs w:val="28"/>
        </w:rPr>
        <w:t>.</w:t>
      </w:r>
    </w:p>
    <w:p w:rsidR="00B74F8F" w:rsidRPr="00B74F8F" w:rsidRDefault="00B74F8F" w:rsidP="00A23FD0">
      <w:pPr>
        <w:pStyle w:val="rvps2"/>
        <w:spacing w:before="0" w:beforeAutospacing="0" w:after="0" w:afterAutospacing="0"/>
        <w:ind w:firstLine="720"/>
        <w:jc w:val="both"/>
        <w:rPr>
          <w:sz w:val="28"/>
          <w:szCs w:val="28"/>
        </w:rPr>
      </w:pPr>
      <w:r w:rsidRPr="00B74F8F">
        <w:rPr>
          <w:sz w:val="28"/>
          <w:szCs w:val="28"/>
        </w:rPr>
        <w:t xml:space="preserve">Для ефективного запобігання та мінімізації впливу ризиків кожна </w:t>
      </w:r>
      <w:r w:rsidRPr="003A5E9C">
        <w:rPr>
          <w:sz w:val="28"/>
          <w:szCs w:val="28"/>
        </w:rPr>
        <w:t>установа</w:t>
      </w:r>
      <w:r w:rsidRPr="00B74F8F">
        <w:rPr>
          <w:sz w:val="28"/>
          <w:szCs w:val="28"/>
        </w:rPr>
        <w:t xml:space="preserve"> має розробити власну систему управління ризиками.</w:t>
      </w:r>
    </w:p>
    <w:p w:rsidR="00B74F8F" w:rsidRPr="00B74F8F" w:rsidRDefault="00B74F8F" w:rsidP="00A23FD0">
      <w:pPr>
        <w:pStyle w:val="rvps2"/>
        <w:spacing w:before="0" w:beforeAutospacing="0" w:after="0" w:afterAutospacing="0"/>
        <w:ind w:firstLine="720"/>
        <w:jc w:val="both"/>
        <w:rPr>
          <w:sz w:val="28"/>
          <w:szCs w:val="28"/>
        </w:rPr>
      </w:pPr>
    </w:p>
    <w:p w:rsidR="00B74F8F" w:rsidRPr="003A5E9C" w:rsidRDefault="00B74F8F" w:rsidP="00A23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napToGrid/>
          <w:sz w:val="28"/>
          <w:szCs w:val="28"/>
        </w:rPr>
      </w:pPr>
      <w:r w:rsidRPr="00B74F8F">
        <w:rPr>
          <w:b/>
          <w:snapToGrid/>
          <w:sz w:val="28"/>
          <w:szCs w:val="28"/>
        </w:rPr>
        <w:t>Система управління ризиками</w:t>
      </w:r>
      <w:r w:rsidRPr="00B74F8F">
        <w:rPr>
          <w:snapToGrid/>
          <w:sz w:val="28"/>
          <w:szCs w:val="28"/>
        </w:rPr>
        <w:t xml:space="preserve"> </w:t>
      </w:r>
      <w:r w:rsidRPr="003A5E9C">
        <w:rPr>
          <w:snapToGrid/>
          <w:sz w:val="28"/>
          <w:szCs w:val="28"/>
        </w:rPr>
        <w:t>повинна охоплювати такі основні елементи:</w:t>
      </w:r>
    </w:p>
    <w:p w:rsidR="00B74F8F" w:rsidRPr="003A5E9C"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napToGrid/>
          <w:sz w:val="28"/>
          <w:szCs w:val="28"/>
        </w:rPr>
      </w:pPr>
      <w:r w:rsidRPr="006D3DFF">
        <w:rPr>
          <w:b/>
          <w:snapToGrid/>
          <w:sz w:val="28"/>
          <w:szCs w:val="28"/>
        </w:rPr>
        <w:t>1.</w:t>
      </w:r>
      <w:r w:rsidRPr="003A5E9C">
        <w:rPr>
          <w:snapToGrid/>
          <w:sz w:val="28"/>
          <w:szCs w:val="28"/>
        </w:rPr>
        <w:t xml:space="preserve"> </w:t>
      </w:r>
      <w:r w:rsidRPr="003A5E9C">
        <w:rPr>
          <w:b/>
          <w:snapToGrid/>
          <w:sz w:val="28"/>
          <w:szCs w:val="28"/>
        </w:rPr>
        <w:t>Загальне оцінювання ризику</w:t>
      </w:r>
      <w:r w:rsidRPr="003A5E9C">
        <w:rPr>
          <w:snapToGrid/>
          <w:sz w:val="28"/>
          <w:szCs w:val="28"/>
        </w:rPr>
        <w:t xml:space="preserve"> – це процес ідентифікації ризиків, аналізування ризиків, вимірювання ризиків та оцінювання ризиків. </w:t>
      </w:r>
    </w:p>
    <w:p w:rsidR="00B74F8F" w:rsidRPr="003A5E9C" w:rsidRDefault="00A23FD0"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napToGrid/>
          <w:sz w:val="28"/>
          <w:szCs w:val="28"/>
        </w:rPr>
      </w:pPr>
      <w:r>
        <w:rPr>
          <w:snapToGrid/>
          <w:sz w:val="28"/>
          <w:szCs w:val="28"/>
        </w:rPr>
        <w:t>−</w:t>
      </w:r>
      <w:r w:rsidR="00B74F8F" w:rsidRPr="003A5E9C">
        <w:rPr>
          <w:snapToGrid/>
          <w:sz w:val="28"/>
          <w:szCs w:val="28"/>
        </w:rPr>
        <w:t xml:space="preserve"> </w:t>
      </w:r>
      <w:r w:rsidR="00B74F8F" w:rsidRPr="003A5E9C">
        <w:rPr>
          <w:b/>
          <w:snapToGrid/>
          <w:sz w:val="28"/>
          <w:szCs w:val="28"/>
        </w:rPr>
        <w:t>ідентифікація ризиків</w:t>
      </w:r>
      <w:r w:rsidR="00B74F8F" w:rsidRPr="003A5E9C">
        <w:rPr>
          <w:snapToGrid/>
          <w:sz w:val="28"/>
          <w:szCs w:val="28"/>
        </w:rPr>
        <w:t xml:space="preserve"> </w:t>
      </w:r>
      <w:r>
        <w:rPr>
          <w:snapToGrid/>
          <w:sz w:val="28"/>
          <w:szCs w:val="28"/>
        </w:rPr>
        <w:t>−</w:t>
      </w:r>
      <w:r w:rsidR="00B74F8F" w:rsidRPr="003A5E9C">
        <w:rPr>
          <w:snapToGrid/>
          <w:sz w:val="28"/>
          <w:szCs w:val="28"/>
        </w:rPr>
        <w:t xml:space="preserve"> це процес виявлення та фіксації ризиків;</w:t>
      </w:r>
    </w:p>
    <w:p w:rsidR="00B74F8F" w:rsidRPr="003A5E9C" w:rsidRDefault="00A23FD0"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napToGrid/>
          <w:sz w:val="28"/>
          <w:szCs w:val="28"/>
        </w:rPr>
      </w:pPr>
      <w:r>
        <w:rPr>
          <w:snapToGrid/>
          <w:sz w:val="28"/>
          <w:szCs w:val="28"/>
        </w:rPr>
        <w:t>−</w:t>
      </w:r>
      <w:r w:rsidR="00B74F8F" w:rsidRPr="003A5E9C">
        <w:rPr>
          <w:snapToGrid/>
          <w:sz w:val="28"/>
          <w:szCs w:val="28"/>
        </w:rPr>
        <w:t xml:space="preserve"> </w:t>
      </w:r>
      <w:r w:rsidR="00B74F8F" w:rsidRPr="003A5E9C">
        <w:rPr>
          <w:b/>
          <w:bCs/>
          <w:snapToGrid/>
          <w:sz w:val="28"/>
          <w:szCs w:val="28"/>
        </w:rPr>
        <w:t>аналізування ризиків</w:t>
      </w:r>
      <w:r w:rsidR="00B74F8F" w:rsidRPr="003A5E9C">
        <w:rPr>
          <w:snapToGrid/>
          <w:sz w:val="28"/>
          <w:szCs w:val="28"/>
        </w:rPr>
        <w:t xml:space="preserve"> </w:t>
      </w:r>
      <w:r>
        <w:rPr>
          <w:snapToGrid/>
          <w:sz w:val="28"/>
          <w:szCs w:val="28"/>
        </w:rPr>
        <w:t>−</w:t>
      </w:r>
      <w:r w:rsidR="00B74F8F" w:rsidRPr="003A5E9C">
        <w:rPr>
          <w:snapToGrid/>
          <w:sz w:val="28"/>
          <w:szCs w:val="28"/>
        </w:rPr>
        <w:t xml:space="preserve"> це визначення наслідків ризиків та ймовірність їх настання. Аналізування передбачає розгляд причин і джерел ризику, їх наслідків та ймовірність виникнення цих наслідків;  </w:t>
      </w:r>
    </w:p>
    <w:p w:rsidR="00B74F8F" w:rsidRPr="003A5E9C" w:rsidRDefault="00A23FD0"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napToGrid/>
          <w:sz w:val="28"/>
          <w:szCs w:val="28"/>
        </w:rPr>
      </w:pPr>
      <w:r>
        <w:rPr>
          <w:snapToGrid/>
          <w:sz w:val="28"/>
          <w:szCs w:val="28"/>
        </w:rPr>
        <w:t>−</w:t>
      </w:r>
      <w:r w:rsidR="00B74F8F" w:rsidRPr="003A5E9C">
        <w:rPr>
          <w:snapToGrid/>
          <w:sz w:val="28"/>
          <w:szCs w:val="28"/>
        </w:rPr>
        <w:t xml:space="preserve"> </w:t>
      </w:r>
      <w:r w:rsidR="00B74F8F" w:rsidRPr="003A5E9C">
        <w:rPr>
          <w:b/>
          <w:bCs/>
          <w:snapToGrid/>
          <w:sz w:val="28"/>
          <w:szCs w:val="28"/>
        </w:rPr>
        <w:t>вимірювання ризиків</w:t>
      </w:r>
      <w:r w:rsidR="00B74F8F" w:rsidRPr="003A5E9C">
        <w:rPr>
          <w:snapToGrid/>
          <w:sz w:val="28"/>
          <w:szCs w:val="28"/>
        </w:rPr>
        <w:t xml:space="preserve"> </w:t>
      </w:r>
      <w:r>
        <w:rPr>
          <w:snapToGrid/>
          <w:sz w:val="28"/>
          <w:szCs w:val="28"/>
        </w:rPr>
        <w:t>−</w:t>
      </w:r>
      <w:r w:rsidR="00B74F8F" w:rsidRPr="003A5E9C">
        <w:rPr>
          <w:snapToGrid/>
          <w:sz w:val="28"/>
          <w:szCs w:val="28"/>
        </w:rPr>
        <w:t xml:space="preserve"> це методологічний інструмент, який дозволяє визначити параметри ризиків (числове значення) та встановлює шкалу оцінки рівня ризику</w:t>
      </w:r>
      <w:r w:rsidR="00B74F8F" w:rsidRPr="003A5E9C">
        <w:rPr>
          <w:sz w:val="28"/>
          <w:szCs w:val="28"/>
        </w:rPr>
        <w:t>;</w:t>
      </w:r>
    </w:p>
    <w:p w:rsidR="00B74F8F" w:rsidRPr="003A5E9C" w:rsidRDefault="00A23FD0"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napToGrid/>
          <w:sz w:val="28"/>
          <w:szCs w:val="28"/>
        </w:rPr>
      </w:pPr>
      <w:r>
        <w:rPr>
          <w:snapToGrid/>
          <w:sz w:val="28"/>
          <w:szCs w:val="28"/>
        </w:rPr>
        <w:t>−</w:t>
      </w:r>
      <w:r w:rsidR="00B74F8F" w:rsidRPr="003A5E9C">
        <w:rPr>
          <w:snapToGrid/>
          <w:sz w:val="28"/>
          <w:szCs w:val="28"/>
        </w:rPr>
        <w:t xml:space="preserve"> </w:t>
      </w:r>
      <w:r w:rsidR="00B74F8F" w:rsidRPr="003A5E9C">
        <w:rPr>
          <w:b/>
          <w:snapToGrid/>
          <w:sz w:val="28"/>
          <w:szCs w:val="28"/>
        </w:rPr>
        <w:t xml:space="preserve">оцінювання ризиків </w:t>
      </w:r>
      <w:r>
        <w:rPr>
          <w:snapToGrid/>
          <w:sz w:val="28"/>
          <w:szCs w:val="28"/>
        </w:rPr>
        <w:t>−</w:t>
      </w:r>
      <w:r w:rsidR="00B74F8F" w:rsidRPr="003A5E9C">
        <w:rPr>
          <w:i/>
          <w:snapToGrid/>
          <w:sz w:val="28"/>
          <w:szCs w:val="28"/>
        </w:rPr>
        <w:t xml:space="preserve"> </w:t>
      </w:r>
      <w:r w:rsidR="00B74F8F" w:rsidRPr="003A5E9C">
        <w:rPr>
          <w:snapToGrid/>
          <w:sz w:val="28"/>
          <w:szCs w:val="28"/>
        </w:rPr>
        <w:t>це визначення суттєвості впливу виявлених та виміряних ризиків на діяльність установи.</w:t>
      </w:r>
    </w:p>
    <w:p w:rsidR="00B74F8F" w:rsidRPr="003A5E9C"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B74F8F" w:rsidRPr="003738A0"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napToGrid/>
          <w:sz w:val="28"/>
          <w:szCs w:val="28"/>
        </w:rPr>
      </w:pPr>
      <w:r w:rsidRPr="006D3DFF">
        <w:rPr>
          <w:b/>
          <w:sz w:val="28"/>
          <w:szCs w:val="28"/>
        </w:rPr>
        <w:lastRenderedPageBreak/>
        <w:t>2.</w:t>
      </w:r>
      <w:r w:rsidRPr="003A5E9C">
        <w:rPr>
          <w:sz w:val="28"/>
          <w:szCs w:val="28"/>
        </w:rPr>
        <w:t xml:space="preserve"> </w:t>
      </w:r>
      <w:r w:rsidRPr="003A5E9C">
        <w:rPr>
          <w:b/>
          <w:sz w:val="28"/>
          <w:szCs w:val="28"/>
        </w:rPr>
        <w:t>Оброблення ризику</w:t>
      </w:r>
      <w:r w:rsidRPr="003A5E9C">
        <w:rPr>
          <w:sz w:val="28"/>
          <w:szCs w:val="28"/>
        </w:rPr>
        <w:t xml:space="preserve"> </w:t>
      </w:r>
      <w:r w:rsidR="00A23FD0">
        <w:rPr>
          <w:snapToGrid/>
          <w:sz w:val="28"/>
          <w:szCs w:val="28"/>
        </w:rPr>
        <w:t>−</w:t>
      </w:r>
      <w:r w:rsidRPr="003A5E9C">
        <w:rPr>
          <w:b/>
          <w:snapToGrid/>
          <w:sz w:val="28"/>
          <w:szCs w:val="28"/>
        </w:rPr>
        <w:t xml:space="preserve"> </w:t>
      </w:r>
      <w:r w:rsidRPr="003A5E9C">
        <w:rPr>
          <w:snapToGrid/>
          <w:sz w:val="28"/>
          <w:szCs w:val="28"/>
        </w:rPr>
        <w:t>це обрання та погодження одного чи кількох прийнятних варіантів заходів, що дають змогу змінити ймовірність виникнення ризиків та/або вплив ризиків, а також запровадження таких варіантів.</w:t>
      </w:r>
    </w:p>
    <w:p w:rsidR="00B74F8F" w:rsidRPr="003738A0"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napToGrid/>
          <w:sz w:val="28"/>
          <w:szCs w:val="28"/>
        </w:rPr>
      </w:pPr>
    </w:p>
    <w:p w:rsidR="00B74F8F" w:rsidRPr="003A5E9C"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napToGrid/>
          <w:sz w:val="28"/>
          <w:szCs w:val="28"/>
        </w:rPr>
      </w:pPr>
      <w:r w:rsidRPr="006D3DFF">
        <w:rPr>
          <w:b/>
          <w:snapToGrid/>
          <w:sz w:val="28"/>
          <w:szCs w:val="28"/>
        </w:rPr>
        <w:t>3.</w:t>
      </w:r>
      <w:r w:rsidRPr="003A5E9C">
        <w:rPr>
          <w:snapToGrid/>
          <w:sz w:val="28"/>
          <w:szCs w:val="28"/>
        </w:rPr>
        <w:t xml:space="preserve"> </w:t>
      </w:r>
      <w:r w:rsidRPr="003A5E9C">
        <w:rPr>
          <w:b/>
          <w:snapToGrid/>
          <w:sz w:val="28"/>
          <w:szCs w:val="28"/>
        </w:rPr>
        <w:t>Моніторинг ризику</w:t>
      </w:r>
      <w:r w:rsidRPr="003A5E9C">
        <w:rPr>
          <w:snapToGrid/>
          <w:sz w:val="28"/>
          <w:szCs w:val="28"/>
        </w:rPr>
        <w:t xml:space="preserve"> </w:t>
      </w:r>
      <w:r w:rsidR="00A23FD0">
        <w:rPr>
          <w:snapToGrid/>
          <w:sz w:val="28"/>
          <w:szCs w:val="28"/>
        </w:rPr>
        <w:t>−</w:t>
      </w:r>
      <w:r w:rsidRPr="003A5E9C">
        <w:rPr>
          <w:snapToGrid/>
          <w:sz w:val="28"/>
          <w:szCs w:val="28"/>
        </w:rPr>
        <w:t xml:space="preserve"> це регулярний процес, який здійснюється з метою</w:t>
      </w:r>
      <w:r w:rsidRPr="003A5E9C">
        <w:rPr>
          <w:b/>
          <w:bCs/>
          <w:snapToGrid/>
          <w:sz w:val="28"/>
          <w:szCs w:val="28"/>
        </w:rPr>
        <w:t xml:space="preserve"> </w:t>
      </w:r>
      <w:r w:rsidRPr="003A5E9C">
        <w:rPr>
          <w:bCs/>
          <w:snapToGrid/>
          <w:sz w:val="28"/>
          <w:szCs w:val="28"/>
        </w:rPr>
        <w:t>забезпечення дотримання встановлених параметрів ризику (в тому числі лімітів ризику, прийнятних та бажаних показників величини рівня ризику), виявлення відхилень від встановлених параметрів та внесення коректив.</w:t>
      </w:r>
    </w:p>
    <w:p w:rsidR="00B74F8F" w:rsidRPr="003738A0"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napToGrid/>
          <w:sz w:val="28"/>
          <w:szCs w:val="28"/>
        </w:rPr>
      </w:pPr>
    </w:p>
    <w:p w:rsidR="00B74F8F" w:rsidRPr="003A5E9C"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napToGrid/>
          <w:sz w:val="28"/>
          <w:szCs w:val="28"/>
        </w:rPr>
      </w:pPr>
      <w:r w:rsidRPr="006D3DFF">
        <w:rPr>
          <w:b/>
          <w:bCs/>
          <w:snapToGrid/>
          <w:sz w:val="28"/>
          <w:szCs w:val="28"/>
        </w:rPr>
        <w:t>4.</w:t>
      </w:r>
      <w:r w:rsidRPr="003A5E9C">
        <w:rPr>
          <w:bCs/>
          <w:snapToGrid/>
          <w:sz w:val="28"/>
          <w:szCs w:val="28"/>
        </w:rPr>
        <w:t xml:space="preserve"> </w:t>
      </w:r>
      <w:r w:rsidRPr="003A5E9C">
        <w:rPr>
          <w:b/>
          <w:bCs/>
          <w:snapToGrid/>
          <w:sz w:val="28"/>
          <w:szCs w:val="28"/>
        </w:rPr>
        <w:t>Прогнозування ризику</w:t>
      </w:r>
      <w:r w:rsidRPr="003A5E9C">
        <w:rPr>
          <w:bCs/>
          <w:snapToGrid/>
          <w:sz w:val="28"/>
          <w:szCs w:val="28"/>
        </w:rPr>
        <w:t xml:space="preserve"> </w:t>
      </w:r>
      <w:r w:rsidR="00A23FD0">
        <w:rPr>
          <w:snapToGrid/>
          <w:sz w:val="28"/>
          <w:szCs w:val="28"/>
        </w:rPr>
        <w:t>−</w:t>
      </w:r>
      <w:r w:rsidRPr="003A5E9C">
        <w:rPr>
          <w:bCs/>
          <w:snapToGrid/>
          <w:sz w:val="28"/>
          <w:szCs w:val="28"/>
        </w:rPr>
        <w:t xml:space="preserve"> це використання методів моделювання та стрес-тестування, які мають на меті визначити чутливість установи до зміни зовнішніх та внутрішніх  факторів.</w:t>
      </w:r>
    </w:p>
    <w:p w:rsidR="00B74F8F" w:rsidRPr="003A5E9C"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napToGrid/>
          <w:sz w:val="28"/>
          <w:szCs w:val="28"/>
        </w:rPr>
      </w:pPr>
    </w:p>
    <w:p w:rsidR="00B74F8F" w:rsidRPr="003A5E9C" w:rsidRDefault="00B74F8F" w:rsidP="00A23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snapToGrid/>
          <w:sz w:val="28"/>
          <w:szCs w:val="28"/>
        </w:rPr>
      </w:pPr>
      <w:r w:rsidRPr="003A5E9C">
        <w:rPr>
          <w:bCs/>
          <w:snapToGrid/>
          <w:sz w:val="28"/>
          <w:szCs w:val="28"/>
        </w:rPr>
        <w:t>На всіх етапах управління ризиками установа повинна забезп</w:t>
      </w:r>
      <w:r w:rsidR="00B9451E">
        <w:rPr>
          <w:bCs/>
          <w:snapToGrid/>
          <w:sz w:val="28"/>
          <w:szCs w:val="28"/>
        </w:rPr>
        <w:t xml:space="preserve">ечити документування процесів, </w:t>
      </w:r>
      <w:r w:rsidRPr="003A5E9C">
        <w:rPr>
          <w:bCs/>
          <w:snapToGrid/>
          <w:sz w:val="28"/>
          <w:szCs w:val="28"/>
        </w:rPr>
        <w:t xml:space="preserve">результатів та заходів. </w:t>
      </w:r>
    </w:p>
    <w:p w:rsidR="00B74F8F" w:rsidRPr="00B74F8F" w:rsidRDefault="00B74F8F" w:rsidP="00A23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napToGrid/>
          <w:sz w:val="28"/>
          <w:szCs w:val="28"/>
        </w:rPr>
      </w:pPr>
      <w:r w:rsidRPr="00B74F8F">
        <w:rPr>
          <w:snapToGrid/>
          <w:sz w:val="28"/>
          <w:szCs w:val="28"/>
        </w:rPr>
        <w:t>Система управління ризиками повинна періодично переглядатися та підлягати перевіркам.</w:t>
      </w:r>
    </w:p>
    <w:p w:rsidR="00B74F8F" w:rsidRDefault="00B74F8F" w:rsidP="00A23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napToGrid/>
          <w:sz w:val="28"/>
          <w:szCs w:val="28"/>
          <w:lang w:val="ru-RU"/>
        </w:rPr>
      </w:pPr>
    </w:p>
    <w:p w:rsidR="009C3686" w:rsidRDefault="009C3686"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napToGrid/>
          <w:sz w:val="28"/>
          <w:szCs w:val="28"/>
          <w:lang w:val="ru-RU"/>
        </w:rPr>
      </w:pPr>
    </w:p>
    <w:p w:rsidR="001E6091" w:rsidRDefault="001E6091"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napToGrid/>
          <w:sz w:val="28"/>
          <w:szCs w:val="28"/>
          <w:lang w:val="ru-RU"/>
        </w:rPr>
      </w:pPr>
    </w:p>
    <w:p w:rsidR="001E6091" w:rsidRPr="00B74F8F" w:rsidRDefault="001E6091"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napToGrid/>
          <w:sz w:val="28"/>
          <w:szCs w:val="28"/>
          <w:lang w:val="ru-RU"/>
        </w:rPr>
      </w:pPr>
    </w:p>
    <w:p w:rsidR="00B74F8F" w:rsidRPr="00B74F8F"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napToGrid/>
          <w:sz w:val="28"/>
          <w:szCs w:val="28"/>
        </w:rPr>
      </w:pPr>
      <w:r w:rsidRPr="00B74F8F">
        <w:rPr>
          <w:b/>
          <w:bCs/>
          <w:snapToGrid/>
          <w:sz w:val="28"/>
          <w:szCs w:val="28"/>
        </w:rPr>
        <w:t>5.2. Визначення категорій та видів ризиків</w:t>
      </w:r>
      <w:r w:rsidR="0013053E">
        <w:rPr>
          <w:b/>
          <w:bCs/>
          <w:snapToGrid/>
          <w:sz w:val="28"/>
          <w:szCs w:val="28"/>
        </w:rPr>
        <w:t>.</w:t>
      </w:r>
      <w:r w:rsidRPr="00B74F8F">
        <w:rPr>
          <w:b/>
          <w:bCs/>
          <w:snapToGrid/>
          <w:sz w:val="28"/>
          <w:szCs w:val="28"/>
        </w:rPr>
        <w:t xml:space="preserve"> </w:t>
      </w:r>
    </w:p>
    <w:p w:rsidR="00B74F8F" w:rsidRPr="00B74F8F" w:rsidRDefault="00B74F8F" w:rsidP="00D64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napToGrid/>
          <w:sz w:val="28"/>
          <w:szCs w:val="28"/>
        </w:rPr>
      </w:pPr>
      <w:r w:rsidRPr="00B74F8F">
        <w:rPr>
          <w:snapToGrid/>
          <w:sz w:val="28"/>
          <w:szCs w:val="28"/>
        </w:rPr>
        <w:t xml:space="preserve">Ризик </w:t>
      </w:r>
      <w:r w:rsidR="00D646BE">
        <w:rPr>
          <w:snapToGrid/>
          <w:sz w:val="28"/>
          <w:szCs w:val="28"/>
        </w:rPr>
        <w:t>−</w:t>
      </w:r>
      <w:r w:rsidRPr="00B74F8F">
        <w:rPr>
          <w:snapToGrid/>
          <w:sz w:val="28"/>
          <w:szCs w:val="28"/>
        </w:rPr>
        <w:t xml:space="preserve"> це ймовірність настання події або здійснення дії, наслідком якої може бути негативний вплив на розмір капіталу, фінансові надходження установи, інтереси її клієнтів та на ринок капітал</w:t>
      </w:r>
      <w:r w:rsidRPr="0013053E">
        <w:rPr>
          <w:snapToGrid/>
          <w:sz w:val="28"/>
          <w:szCs w:val="28"/>
        </w:rPr>
        <w:t>у</w:t>
      </w:r>
      <w:r w:rsidRPr="00B74F8F">
        <w:rPr>
          <w:snapToGrid/>
          <w:sz w:val="28"/>
          <w:szCs w:val="28"/>
        </w:rPr>
        <w:t>.</w:t>
      </w:r>
    </w:p>
    <w:p w:rsidR="00CC630A" w:rsidRDefault="00CC630A" w:rsidP="00CC6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Нижче наведено категорії та види ризиків існування яких установи мають враховувати під час провадження професійної діяльності на фондовому ринку та які НКЦПФР використовує під час здійснення нагляду на основі оцінки ризиків.</w:t>
      </w:r>
    </w:p>
    <w:p w:rsidR="00B74F8F" w:rsidRPr="00B74F8F" w:rsidRDefault="00B74F8F" w:rsidP="00D64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napToGrid/>
          <w:sz w:val="28"/>
          <w:szCs w:val="28"/>
        </w:rPr>
      </w:pPr>
    </w:p>
    <w:p w:rsidR="00B74F8F" w:rsidRPr="00B74F8F"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napToGrid/>
          <w:sz w:val="28"/>
          <w:szCs w:val="28"/>
        </w:rPr>
      </w:pPr>
      <w:r w:rsidRPr="00B74F8F">
        <w:rPr>
          <w:b/>
          <w:snapToGrid/>
          <w:sz w:val="28"/>
          <w:szCs w:val="28"/>
        </w:rPr>
        <w:t>Фінансові ризики:</w:t>
      </w:r>
    </w:p>
    <w:p w:rsidR="00B74F8F" w:rsidRPr="00B74F8F" w:rsidRDefault="00D646BE" w:rsidP="00D646BE">
      <w:pPr>
        <w:jc w:val="both"/>
        <w:rPr>
          <w:sz w:val="28"/>
          <w:szCs w:val="28"/>
        </w:rPr>
      </w:pPr>
      <w:r>
        <w:rPr>
          <w:i/>
          <w:sz w:val="28"/>
          <w:szCs w:val="28"/>
        </w:rPr>
        <w:t xml:space="preserve">− </w:t>
      </w:r>
      <w:r w:rsidR="00B74F8F" w:rsidRPr="00B74F8F">
        <w:rPr>
          <w:i/>
          <w:sz w:val="28"/>
          <w:szCs w:val="28"/>
        </w:rPr>
        <w:t>ризик ліквідності</w:t>
      </w:r>
      <w:r w:rsidR="00B74F8F" w:rsidRPr="003A5E9C">
        <w:rPr>
          <w:sz w:val="28"/>
          <w:szCs w:val="28"/>
        </w:rPr>
        <w:t>, що виникає</w:t>
      </w:r>
      <w:r w:rsidR="00B74F8F" w:rsidRPr="00B74F8F">
        <w:rPr>
          <w:rStyle w:val="spelle"/>
          <w:sz w:val="28"/>
          <w:szCs w:val="28"/>
        </w:rPr>
        <w:t xml:space="preserve"> в установи у зв'язку з неможливістю своєчасного виконання нею в повному обсязі своїх фінансових зобов'язань, не зазнавши при цьому неприйнятних втрат, внаслідок відсутності достатнього обсягу високоліквідних активів</w:t>
      </w:r>
      <w:r w:rsidR="00B74F8F" w:rsidRPr="00B74F8F">
        <w:rPr>
          <w:sz w:val="28"/>
          <w:szCs w:val="28"/>
        </w:rPr>
        <w:t>;</w:t>
      </w:r>
    </w:p>
    <w:p w:rsidR="00B74F8F" w:rsidRPr="00B74F8F" w:rsidRDefault="00D646BE" w:rsidP="00D646BE">
      <w:pPr>
        <w:jc w:val="both"/>
        <w:rPr>
          <w:rFonts w:eastAsia="MS Mincho"/>
          <w:sz w:val="28"/>
          <w:szCs w:val="28"/>
          <w:lang w:eastAsia="ja-JP"/>
        </w:rPr>
      </w:pPr>
      <w:r>
        <w:rPr>
          <w:i/>
          <w:sz w:val="28"/>
          <w:szCs w:val="28"/>
        </w:rPr>
        <w:t xml:space="preserve">− </w:t>
      </w:r>
      <w:r w:rsidR="00B74F8F" w:rsidRPr="00B74F8F">
        <w:rPr>
          <w:i/>
          <w:sz w:val="28"/>
          <w:szCs w:val="28"/>
        </w:rPr>
        <w:t>кредитний ризик</w:t>
      </w:r>
      <w:r w:rsidR="00B74F8F" w:rsidRPr="003A5E9C">
        <w:rPr>
          <w:sz w:val="28"/>
          <w:szCs w:val="28"/>
        </w:rPr>
        <w:t>, що виникає</w:t>
      </w:r>
      <w:r w:rsidR="00B74F8F" w:rsidRPr="00B74F8F">
        <w:rPr>
          <w:i/>
          <w:sz w:val="28"/>
          <w:szCs w:val="28"/>
        </w:rPr>
        <w:t xml:space="preserve"> </w:t>
      </w:r>
      <w:r w:rsidR="00B74F8F" w:rsidRPr="00B74F8F">
        <w:rPr>
          <w:rFonts w:eastAsia="MS Mincho"/>
          <w:sz w:val="28"/>
          <w:szCs w:val="28"/>
          <w:lang w:eastAsia="ja-JP"/>
        </w:rPr>
        <w:t>в установи внаслідок невиконання в повному обсязі або неповного виконання контрагентом своїх фінансових зобов'язань перед установою відповідно до умов договору. Розмір збитків у цьому випадку пов'язаний із сумою невиконаного зобов’язання;</w:t>
      </w:r>
    </w:p>
    <w:p w:rsidR="00B74F8F" w:rsidRPr="00B74F8F" w:rsidRDefault="00D646BE" w:rsidP="00D646BE">
      <w:pPr>
        <w:jc w:val="both"/>
        <w:rPr>
          <w:rFonts w:eastAsia="MS Mincho"/>
          <w:sz w:val="28"/>
          <w:szCs w:val="28"/>
          <w:lang w:eastAsia="ja-JP"/>
        </w:rPr>
      </w:pPr>
      <w:r>
        <w:rPr>
          <w:i/>
          <w:sz w:val="28"/>
          <w:szCs w:val="28"/>
        </w:rPr>
        <w:t xml:space="preserve">− </w:t>
      </w:r>
      <w:r w:rsidR="00B74F8F" w:rsidRPr="00B74F8F">
        <w:rPr>
          <w:i/>
          <w:sz w:val="28"/>
          <w:szCs w:val="28"/>
        </w:rPr>
        <w:t>ринковий ризик</w:t>
      </w:r>
      <w:r w:rsidR="00B74F8F" w:rsidRPr="003A5E9C">
        <w:rPr>
          <w:i/>
          <w:sz w:val="28"/>
          <w:szCs w:val="28"/>
        </w:rPr>
        <w:t xml:space="preserve">, </w:t>
      </w:r>
      <w:r w:rsidR="00B74F8F" w:rsidRPr="003A5E9C">
        <w:rPr>
          <w:sz w:val="28"/>
          <w:szCs w:val="28"/>
        </w:rPr>
        <w:t xml:space="preserve">що виникає </w:t>
      </w:r>
      <w:r w:rsidR="00B74F8F" w:rsidRPr="003A5E9C">
        <w:rPr>
          <w:rFonts w:eastAsia="MS Mincho"/>
          <w:sz w:val="28"/>
          <w:szCs w:val="28"/>
          <w:lang w:eastAsia="ja-JP"/>
        </w:rPr>
        <w:t>в установи в внаслідок</w:t>
      </w:r>
      <w:r w:rsidR="00B74F8F" w:rsidRPr="00B74F8F">
        <w:rPr>
          <w:rFonts w:eastAsia="MS Mincho"/>
          <w:sz w:val="28"/>
          <w:szCs w:val="28"/>
          <w:lang w:eastAsia="ja-JP"/>
        </w:rPr>
        <w:t xml:space="preserve"> несприятливої змін</w:t>
      </w:r>
      <w:r w:rsidR="00B74F8F" w:rsidRPr="0013053E">
        <w:rPr>
          <w:rFonts w:eastAsia="MS Mincho"/>
          <w:sz w:val="28"/>
          <w:szCs w:val="28"/>
          <w:lang w:eastAsia="ja-JP"/>
        </w:rPr>
        <w:t>и</w:t>
      </w:r>
      <w:r w:rsidR="00B74F8F" w:rsidRPr="00B74F8F">
        <w:rPr>
          <w:rFonts w:eastAsia="MS Mincho"/>
          <w:sz w:val="28"/>
          <w:szCs w:val="28"/>
          <w:lang w:eastAsia="ja-JP"/>
        </w:rPr>
        <w:t xml:space="preserve"> ринкової вартості фінансових інструментів у зв'язку з коливанням цін на чотирьох сегментах фінансового ринку, чутливих до зміни відсоткових ставок: ринку боргових цінних паперів, ринку пайових цінних паперів, валютному ринку і товарному ринку.</w:t>
      </w:r>
    </w:p>
    <w:p w:rsidR="00B74F8F" w:rsidRPr="00B74F8F" w:rsidRDefault="00B74F8F" w:rsidP="00B74F8F">
      <w:pPr>
        <w:jc w:val="both"/>
        <w:rPr>
          <w:rFonts w:eastAsia="MS Mincho"/>
          <w:sz w:val="28"/>
          <w:szCs w:val="28"/>
          <w:lang w:eastAsia="ja-JP"/>
        </w:rPr>
      </w:pPr>
    </w:p>
    <w:p w:rsidR="00B74F8F" w:rsidRPr="00B74F8F" w:rsidRDefault="00B74F8F" w:rsidP="00B74F8F">
      <w:pPr>
        <w:rPr>
          <w:rFonts w:eastAsia="MS Mincho"/>
          <w:b/>
          <w:sz w:val="28"/>
          <w:szCs w:val="28"/>
          <w:lang w:eastAsia="ja-JP"/>
        </w:rPr>
      </w:pPr>
      <w:r w:rsidRPr="00B74F8F">
        <w:rPr>
          <w:rFonts w:eastAsia="MS Mincho"/>
          <w:b/>
          <w:sz w:val="28"/>
          <w:szCs w:val="28"/>
          <w:lang w:eastAsia="ja-JP"/>
        </w:rPr>
        <w:t>Ризики ведення бізнесу:</w:t>
      </w:r>
    </w:p>
    <w:p w:rsidR="00B74F8F" w:rsidRPr="00B74F8F" w:rsidRDefault="00EF3837" w:rsidP="00B74F8F">
      <w:pPr>
        <w:jc w:val="both"/>
        <w:rPr>
          <w:snapToGrid/>
          <w:sz w:val="28"/>
          <w:szCs w:val="28"/>
        </w:rPr>
      </w:pPr>
      <w:r>
        <w:rPr>
          <w:rFonts w:eastAsia="MS Mincho"/>
          <w:b/>
          <w:sz w:val="28"/>
          <w:szCs w:val="28"/>
          <w:lang w:eastAsia="ja-JP"/>
        </w:rPr>
        <w:lastRenderedPageBreak/>
        <w:t>−</w:t>
      </w:r>
      <w:r w:rsidR="00B74F8F" w:rsidRPr="00B74F8F">
        <w:rPr>
          <w:rFonts w:eastAsia="MS Mincho"/>
          <w:b/>
          <w:sz w:val="28"/>
          <w:szCs w:val="28"/>
          <w:lang w:eastAsia="ja-JP"/>
        </w:rPr>
        <w:t xml:space="preserve"> </w:t>
      </w:r>
      <w:r w:rsidR="00B74F8F" w:rsidRPr="00B74F8F">
        <w:rPr>
          <w:rFonts w:eastAsia="MS Mincho"/>
          <w:i/>
          <w:sz w:val="28"/>
          <w:szCs w:val="28"/>
          <w:lang w:eastAsia="ja-JP"/>
        </w:rPr>
        <w:t>інвестиційний ризик</w:t>
      </w:r>
      <w:r w:rsidR="00B74F8F" w:rsidRPr="003A5E9C">
        <w:rPr>
          <w:rFonts w:eastAsia="MS Mincho"/>
          <w:sz w:val="28"/>
          <w:szCs w:val="28"/>
          <w:lang w:eastAsia="ja-JP"/>
        </w:rPr>
        <w:t>, що виникає</w:t>
      </w:r>
      <w:r w:rsidR="00B74F8F" w:rsidRPr="00B74F8F">
        <w:rPr>
          <w:snapToGrid/>
          <w:sz w:val="28"/>
          <w:szCs w:val="28"/>
        </w:rPr>
        <w:t xml:space="preserve"> в установи у зв'язку з нездійсненням запланованих цілей інвестування (таких, як прибуток або соціальний ефект);</w:t>
      </w:r>
    </w:p>
    <w:p w:rsidR="00B74F8F" w:rsidRPr="00B74F8F" w:rsidRDefault="00EF3837" w:rsidP="00B74F8F">
      <w:pPr>
        <w:pStyle w:val="a4"/>
        <w:spacing w:before="0" w:beforeAutospacing="0" w:after="0" w:afterAutospacing="0"/>
        <w:jc w:val="both"/>
        <w:rPr>
          <w:sz w:val="28"/>
          <w:szCs w:val="28"/>
        </w:rPr>
      </w:pPr>
      <w:r>
        <w:rPr>
          <w:b/>
          <w:sz w:val="28"/>
          <w:szCs w:val="28"/>
        </w:rPr>
        <w:t>−</w:t>
      </w:r>
      <w:r w:rsidR="00B74F8F" w:rsidRPr="00B74F8F">
        <w:rPr>
          <w:b/>
          <w:sz w:val="28"/>
          <w:szCs w:val="28"/>
        </w:rPr>
        <w:t xml:space="preserve"> </w:t>
      </w:r>
      <w:r w:rsidR="00B74F8F" w:rsidRPr="00B74F8F">
        <w:rPr>
          <w:i/>
          <w:sz w:val="28"/>
          <w:szCs w:val="28"/>
        </w:rPr>
        <w:t>операційний ризик</w:t>
      </w:r>
      <w:r w:rsidR="00B74F8F" w:rsidRPr="003A5E9C">
        <w:rPr>
          <w:rFonts w:eastAsia="MS Mincho"/>
          <w:sz w:val="28"/>
          <w:szCs w:val="28"/>
          <w:lang w:eastAsia="ja-JP"/>
        </w:rPr>
        <w:t>, що виникає</w:t>
      </w:r>
      <w:r w:rsidR="00B74F8F" w:rsidRPr="003A5E9C">
        <w:rPr>
          <w:sz w:val="28"/>
          <w:szCs w:val="28"/>
        </w:rPr>
        <w:t xml:space="preserve"> в установи в наслідок</w:t>
      </w:r>
      <w:r w:rsidR="00B74F8F" w:rsidRPr="00B74F8F">
        <w:rPr>
          <w:sz w:val="28"/>
          <w:szCs w:val="28"/>
        </w:rPr>
        <w:t xml:space="preserve"> недосконалої роботи внутрішніх процесів та систем установи, її персоналу або результатом зовнішнього впливу;</w:t>
      </w:r>
    </w:p>
    <w:p w:rsidR="00B74F8F" w:rsidRPr="00B74F8F" w:rsidRDefault="00EF3837" w:rsidP="00B74F8F">
      <w:pPr>
        <w:jc w:val="both"/>
        <w:rPr>
          <w:snapToGrid/>
          <w:sz w:val="28"/>
          <w:szCs w:val="28"/>
        </w:rPr>
      </w:pPr>
      <w:r>
        <w:rPr>
          <w:b/>
          <w:sz w:val="28"/>
          <w:szCs w:val="28"/>
        </w:rPr>
        <w:t>−</w:t>
      </w:r>
      <w:r w:rsidR="00B74F8F" w:rsidRPr="00B74F8F">
        <w:rPr>
          <w:b/>
          <w:sz w:val="28"/>
          <w:szCs w:val="28"/>
        </w:rPr>
        <w:t xml:space="preserve"> </w:t>
      </w:r>
      <w:r w:rsidR="00B74F8F" w:rsidRPr="00B74F8F">
        <w:rPr>
          <w:i/>
          <w:sz w:val="28"/>
          <w:szCs w:val="28"/>
        </w:rPr>
        <w:t>комплаєнс ризик</w:t>
      </w:r>
      <w:r w:rsidR="00B74F8F" w:rsidRPr="00B74F8F">
        <w:rPr>
          <w:color w:val="FF0000"/>
          <w:sz w:val="28"/>
          <w:szCs w:val="28"/>
        </w:rPr>
        <w:t xml:space="preserve">, </w:t>
      </w:r>
      <w:r w:rsidR="00B74F8F" w:rsidRPr="00B86942">
        <w:rPr>
          <w:sz w:val="28"/>
          <w:szCs w:val="28"/>
        </w:rPr>
        <w:t>що виникає в установи</w:t>
      </w:r>
      <w:r w:rsidR="00B74F8F" w:rsidRPr="00B74F8F">
        <w:rPr>
          <w:snapToGrid/>
          <w:sz w:val="28"/>
          <w:szCs w:val="28"/>
        </w:rPr>
        <w:t xml:space="preserve"> через порушення або недотримання вимог законів, нормативно-правових актів, угод, прийнятої практики або етичних норм;</w:t>
      </w:r>
    </w:p>
    <w:p w:rsidR="00B74F8F" w:rsidRPr="00B74F8F" w:rsidRDefault="00EF3837" w:rsidP="00B74F8F">
      <w:pPr>
        <w:pStyle w:val="a4"/>
        <w:spacing w:before="0" w:beforeAutospacing="0" w:after="0" w:afterAutospacing="0"/>
        <w:jc w:val="both"/>
        <w:rPr>
          <w:sz w:val="28"/>
          <w:szCs w:val="28"/>
        </w:rPr>
      </w:pPr>
      <w:r>
        <w:rPr>
          <w:i/>
          <w:sz w:val="28"/>
          <w:szCs w:val="28"/>
        </w:rPr>
        <w:t>−</w:t>
      </w:r>
      <w:r w:rsidR="00B74F8F" w:rsidRPr="00B74F8F">
        <w:rPr>
          <w:i/>
          <w:sz w:val="28"/>
          <w:szCs w:val="28"/>
        </w:rPr>
        <w:t xml:space="preserve"> комплаєнс ризик AML</w:t>
      </w:r>
      <w:r w:rsidR="00B74F8F" w:rsidRPr="00B86942">
        <w:rPr>
          <w:b/>
          <w:bCs/>
          <w:i/>
          <w:sz w:val="28"/>
          <w:szCs w:val="28"/>
        </w:rPr>
        <w:t>/</w:t>
      </w:r>
      <w:r w:rsidR="00B74F8F" w:rsidRPr="00B86942">
        <w:rPr>
          <w:bCs/>
          <w:i/>
          <w:sz w:val="28"/>
          <w:szCs w:val="28"/>
          <w:lang w:val="en-US"/>
        </w:rPr>
        <w:t>CFT</w:t>
      </w:r>
      <w:r w:rsidR="00B74F8F" w:rsidRPr="00B86942">
        <w:rPr>
          <w:bCs/>
          <w:i/>
          <w:sz w:val="28"/>
          <w:szCs w:val="28"/>
        </w:rPr>
        <w:t xml:space="preserve">, </w:t>
      </w:r>
      <w:r w:rsidR="00B74F8F" w:rsidRPr="00B86942">
        <w:rPr>
          <w:bCs/>
          <w:sz w:val="28"/>
          <w:szCs w:val="28"/>
        </w:rPr>
        <w:t>що виникає в установи</w:t>
      </w:r>
      <w:r w:rsidR="00B74F8F" w:rsidRPr="00B74F8F">
        <w:rPr>
          <w:bCs/>
          <w:i/>
          <w:color w:val="FF0000"/>
          <w:sz w:val="28"/>
          <w:szCs w:val="28"/>
        </w:rPr>
        <w:t xml:space="preserve"> </w:t>
      </w:r>
      <w:r w:rsidR="00B74F8F" w:rsidRPr="00B74F8F">
        <w:rPr>
          <w:sz w:val="28"/>
          <w:szCs w:val="28"/>
        </w:rPr>
        <w:t xml:space="preserve"> через порушення або недотримання вимог законів, нормативно-правових актів, угод, прийнятої практики, внутрішніх документів у сфері запобігання та протидії відмиванню коштів, отриманих злочинним шляхом;</w:t>
      </w:r>
    </w:p>
    <w:p w:rsidR="00B74F8F" w:rsidRPr="00B74F8F" w:rsidRDefault="00EF3837" w:rsidP="00B74F8F">
      <w:pPr>
        <w:pStyle w:val="a4"/>
        <w:spacing w:before="0" w:beforeAutospacing="0" w:after="0" w:afterAutospacing="0"/>
        <w:jc w:val="both"/>
        <w:rPr>
          <w:sz w:val="28"/>
          <w:szCs w:val="28"/>
        </w:rPr>
      </w:pPr>
      <w:r>
        <w:rPr>
          <w:i/>
          <w:sz w:val="28"/>
          <w:szCs w:val="28"/>
        </w:rPr>
        <w:t>−</w:t>
      </w:r>
      <w:r w:rsidR="00B74F8F" w:rsidRPr="00B74F8F">
        <w:rPr>
          <w:i/>
          <w:sz w:val="28"/>
          <w:szCs w:val="28"/>
        </w:rPr>
        <w:t xml:space="preserve"> ризик втрати ділової репутації</w:t>
      </w:r>
      <w:r w:rsidR="00B74F8F" w:rsidRPr="00B86942">
        <w:rPr>
          <w:i/>
          <w:sz w:val="28"/>
          <w:szCs w:val="28"/>
        </w:rPr>
        <w:t>,</w:t>
      </w:r>
      <w:r w:rsidR="00B74F8F" w:rsidRPr="00B74F8F">
        <w:rPr>
          <w:i/>
          <w:color w:val="FF0000"/>
          <w:sz w:val="28"/>
          <w:szCs w:val="28"/>
        </w:rPr>
        <w:t xml:space="preserve"> </w:t>
      </w:r>
      <w:r w:rsidR="00B74F8F" w:rsidRPr="00B86942">
        <w:rPr>
          <w:sz w:val="28"/>
          <w:szCs w:val="28"/>
        </w:rPr>
        <w:t>що виникає в установи в наслідок</w:t>
      </w:r>
      <w:r w:rsidR="00B74F8F" w:rsidRPr="00B74F8F">
        <w:rPr>
          <w:sz w:val="28"/>
          <w:szCs w:val="28"/>
        </w:rPr>
        <w:t xml:space="preserve"> зменшення кількості клієнтів або контрагентів установи через виникнення у суспільстві несприятливого сприйняття установи, зокрема фінансової стійкості, якості послуг, що надаються установою, або її діяльності в цілому, який може бути наслідком реалізації інших ризиків;</w:t>
      </w:r>
    </w:p>
    <w:p w:rsidR="00B74F8F" w:rsidRPr="00B74F8F" w:rsidRDefault="00EF3837" w:rsidP="00B86942">
      <w:pPr>
        <w:pStyle w:val="a4"/>
        <w:spacing w:before="0" w:beforeAutospacing="0" w:after="0" w:afterAutospacing="0"/>
        <w:jc w:val="both"/>
        <w:rPr>
          <w:sz w:val="28"/>
          <w:szCs w:val="28"/>
        </w:rPr>
      </w:pPr>
      <w:r>
        <w:rPr>
          <w:bCs/>
          <w:iCs/>
          <w:sz w:val="28"/>
          <w:szCs w:val="28"/>
        </w:rPr>
        <w:t>−</w:t>
      </w:r>
      <w:r w:rsidR="00B86942">
        <w:rPr>
          <w:bCs/>
          <w:iCs/>
          <w:sz w:val="28"/>
          <w:szCs w:val="28"/>
        </w:rPr>
        <w:t xml:space="preserve"> </w:t>
      </w:r>
      <w:r w:rsidR="00B74F8F" w:rsidRPr="00B86942">
        <w:rPr>
          <w:bCs/>
          <w:i/>
          <w:iCs/>
          <w:sz w:val="28"/>
          <w:szCs w:val="28"/>
        </w:rPr>
        <w:t>ІТ ризики</w:t>
      </w:r>
      <w:r w:rsidR="00B74F8F" w:rsidRPr="00B86942">
        <w:rPr>
          <w:bCs/>
          <w:iCs/>
          <w:sz w:val="28"/>
          <w:szCs w:val="28"/>
        </w:rPr>
        <w:t>, що виникають в установи</w:t>
      </w:r>
      <w:r w:rsidR="00B74F8F" w:rsidRPr="00B74F8F">
        <w:rPr>
          <w:bCs/>
          <w:iCs/>
          <w:color w:val="FF0000"/>
          <w:sz w:val="28"/>
          <w:szCs w:val="28"/>
        </w:rPr>
        <w:t xml:space="preserve"> </w:t>
      </w:r>
      <w:r w:rsidR="00B74F8F" w:rsidRPr="00B74F8F">
        <w:rPr>
          <w:sz w:val="28"/>
          <w:szCs w:val="28"/>
        </w:rPr>
        <w:t>у</w:t>
      </w:r>
      <w:r w:rsidR="00B86942">
        <w:rPr>
          <w:sz w:val="28"/>
          <w:szCs w:val="28"/>
        </w:rPr>
        <w:t xml:space="preserve"> зв'язку з низькою ефективністю </w:t>
      </w:r>
      <w:r w:rsidR="00B74F8F" w:rsidRPr="00B74F8F">
        <w:rPr>
          <w:sz w:val="28"/>
          <w:szCs w:val="28"/>
        </w:rPr>
        <w:t>безпеки комп’ютерної та телекомунікаційної системи, систем доступу до інформації, введення в систему даних їх обробки та зберігання;</w:t>
      </w:r>
    </w:p>
    <w:p w:rsidR="00B74F8F" w:rsidRDefault="00EF3837" w:rsidP="00B869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napToGrid/>
          <w:sz w:val="28"/>
          <w:szCs w:val="28"/>
        </w:rPr>
      </w:pPr>
      <w:r>
        <w:rPr>
          <w:i/>
          <w:snapToGrid/>
          <w:sz w:val="28"/>
          <w:szCs w:val="28"/>
        </w:rPr>
        <w:t xml:space="preserve">− </w:t>
      </w:r>
      <w:r w:rsidR="00B74F8F" w:rsidRPr="00B74F8F">
        <w:rPr>
          <w:i/>
          <w:snapToGrid/>
          <w:sz w:val="28"/>
          <w:szCs w:val="28"/>
        </w:rPr>
        <w:t>стратегічний ризик,</w:t>
      </w:r>
      <w:r w:rsidR="00B74F8F" w:rsidRPr="00B74F8F">
        <w:rPr>
          <w:color w:val="FF0000"/>
          <w:sz w:val="28"/>
          <w:szCs w:val="28"/>
        </w:rPr>
        <w:t xml:space="preserve"> </w:t>
      </w:r>
      <w:r w:rsidR="00B74F8F" w:rsidRPr="00B86942">
        <w:rPr>
          <w:sz w:val="28"/>
          <w:szCs w:val="28"/>
        </w:rPr>
        <w:t>що виникає в установи у зв’язку з</w:t>
      </w:r>
      <w:r w:rsidR="00B74F8F" w:rsidRPr="00B74F8F">
        <w:rPr>
          <w:snapToGrid/>
          <w:sz w:val="28"/>
          <w:szCs w:val="28"/>
        </w:rPr>
        <w:t xml:space="preserve"> прийняттям неефективних управлінських рішень, помилками, які були допущені під час їх прийняття, а також з неналежною реалізацією рішень, що визначають стратегію діяльності та розвитку установи.</w:t>
      </w:r>
    </w:p>
    <w:p w:rsidR="003738A0" w:rsidRPr="00B74F8F" w:rsidRDefault="003738A0" w:rsidP="00B869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napToGrid/>
          <w:sz w:val="28"/>
          <w:szCs w:val="28"/>
        </w:rPr>
      </w:pPr>
    </w:p>
    <w:p w:rsidR="00B74F8F" w:rsidRPr="00B74F8F"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napToGrid/>
          <w:sz w:val="28"/>
          <w:szCs w:val="28"/>
        </w:rPr>
      </w:pPr>
      <w:r w:rsidRPr="00B74F8F">
        <w:rPr>
          <w:b/>
          <w:snapToGrid/>
          <w:sz w:val="28"/>
          <w:szCs w:val="28"/>
        </w:rPr>
        <w:t xml:space="preserve">Системні ризики галузі, </w:t>
      </w:r>
      <w:r w:rsidRPr="00B86942">
        <w:rPr>
          <w:bCs/>
          <w:iCs/>
          <w:sz w:val="28"/>
          <w:szCs w:val="28"/>
        </w:rPr>
        <w:t>що виникають</w:t>
      </w:r>
      <w:r w:rsidRPr="00B74F8F">
        <w:rPr>
          <w:bCs/>
          <w:iCs/>
          <w:color w:val="FF0000"/>
          <w:sz w:val="28"/>
          <w:szCs w:val="28"/>
        </w:rPr>
        <w:t xml:space="preserve"> </w:t>
      </w:r>
      <w:r w:rsidRPr="00B74F8F">
        <w:rPr>
          <w:bCs/>
          <w:iCs/>
          <w:sz w:val="28"/>
          <w:szCs w:val="28"/>
        </w:rPr>
        <w:t>в установи</w:t>
      </w:r>
      <w:r w:rsidRPr="00B74F8F">
        <w:rPr>
          <w:snapToGrid/>
          <w:sz w:val="28"/>
          <w:szCs w:val="28"/>
        </w:rPr>
        <w:t xml:space="preserve"> у зв'язку з суттєвими змінами у економічному та ринковому середовищі, які мають значний вплив на діяльність та розвиток установи.</w:t>
      </w:r>
    </w:p>
    <w:p w:rsidR="00B74F8F" w:rsidRPr="00B74F8F"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napToGrid/>
          <w:sz w:val="28"/>
          <w:szCs w:val="28"/>
        </w:rPr>
      </w:pPr>
    </w:p>
    <w:p w:rsidR="00B74F8F" w:rsidRPr="00B74F8F"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napToGrid/>
          <w:sz w:val="28"/>
          <w:szCs w:val="28"/>
        </w:rPr>
      </w:pPr>
      <w:r w:rsidRPr="00B74F8F">
        <w:rPr>
          <w:b/>
          <w:bCs/>
          <w:snapToGrid/>
          <w:sz w:val="28"/>
          <w:szCs w:val="28"/>
        </w:rPr>
        <w:t xml:space="preserve">Регуляторні ризики, </w:t>
      </w:r>
      <w:r w:rsidRPr="00B86942">
        <w:rPr>
          <w:bCs/>
          <w:iCs/>
          <w:sz w:val="28"/>
          <w:szCs w:val="28"/>
        </w:rPr>
        <w:t>що виникають</w:t>
      </w:r>
      <w:r w:rsidRPr="00B74F8F">
        <w:rPr>
          <w:bCs/>
          <w:iCs/>
          <w:color w:val="FF0000"/>
          <w:sz w:val="28"/>
          <w:szCs w:val="28"/>
        </w:rPr>
        <w:t xml:space="preserve"> </w:t>
      </w:r>
      <w:r w:rsidRPr="00B74F8F">
        <w:rPr>
          <w:snapToGrid/>
          <w:sz w:val="28"/>
          <w:szCs w:val="28"/>
        </w:rPr>
        <w:t>в установи у зв'язку з введенням чи не введенням в дію певних законодавчих норм, процедур чи контролів, що впливають на її діяльність.</w:t>
      </w:r>
    </w:p>
    <w:p w:rsidR="00B74F8F"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napToGrid/>
          <w:sz w:val="28"/>
          <w:szCs w:val="28"/>
        </w:rPr>
      </w:pPr>
    </w:p>
    <w:p w:rsidR="003738A0" w:rsidRDefault="003738A0"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napToGrid/>
          <w:sz w:val="28"/>
          <w:szCs w:val="28"/>
        </w:rPr>
      </w:pPr>
    </w:p>
    <w:p w:rsidR="00B74F8F" w:rsidRPr="00B74F8F"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B74F8F">
        <w:rPr>
          <w:b/>
          <w:bCs/>
          <w:sz w:val="28"/>
          <w:szCs w:val="28"/>
        </w:rPr>
        <w:t xml:space="preserve">5.3. Система НКЦПФР щодо оцінки ризиків. </w:t>
      </w:r>
      <w:r w:rsidRPr="00B74F8F">
        <w:rPr>
          <w:b/>
          <w:sz w:val="28"/>
          <w:szCs w:val="28"/>
        </w:rPr>
        <w:t xml:space="preserve">Матриця ризиків. </w:t>
      </w:r>
    </w:p>
    <w:p w:rsidR="00B74F8F" w:rsidRPr="003738A0" w:rsidRDefault="00B74F8F" w:rsidP="00996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B74F8F">
        <w:rPr>
          <w:sz w:val="28"/>
          <w:szCs w:val="28"/>
        </w:rPr>
        <w:t>Система</w:t>
      </w:r>
      <w:r w:rsidRPr="00B74F8F">
        <w:rPr>
          <w:color w:val="FF0000"/>
          <w:sz w:val="28"/>
          <w:szCs w:val="28"/>
        </w:rPr>
        <w:t xml:space="preserve"> </w:t>
      </w:r>
      <w:r w:rsidRPr="00B86942">
        <w:rPr>
          <w:sz w:val="28"/>
          <w:szCs w:val="28"/>
        </w:rPr>
        <w:t>НКЦПФР щодо</w:t>
      </w:r>
      <w:r w:rsidRPr="00B74F8F">
        <w:rPr>
          <w:color w:val="FF0000"/>
          <w:sz w:val="28"/>
          <w:szCs w:val="28"/>
        </w:rPr>
        <w:t xml:space="preserve"> </w:t>
      </w:r>
      <w:r w:rsidRPr="00B74F8F">
        <w:rPr>
          <w:sz w:val="28"/>
          <w:szCs w:val="28"/>
        </w:rPr>
        <w:t>оцінки ризиків</w:t>
      </w:r>
      <w:r w:rsidRPr="00B74F8F">
        <w:rPr>
          <w:color w:val="FF0000"/>
          <w:sz w:val="28"/>
          <w:szCs w:val="28"/>
        </w:rPr>
        <w:t xml:space="preserve"> </w:t>
      </w:r>
      <w:r w:rsidRPr="00B74F8F">
        <w:rPr>
          <w:sz w:val="28"/>
          <w:szCs w:val="28"/>
        </w:rPr>
        <w:t xml:space="preserve">включає такі </w:t>
      </w:r>
      <w:r w:rsidRPr="00B86942">
        <w:rPr>
          <w:sz w:val="28"/>
          <w:szCs w:val="28"/>
        </w:rPr>
        <w:t>складові:</w:t>
      </w:r>
    </w:p>
    <w:p w:rsidR="00B74F8F" w:rsidRPr="00B86942" w:rsidRDefault="00996836" w:rsidP="00996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sidR="00B74F8F" w:rsidRPr="00B86942">
        <w:rPr>
          <w:sz w:val="28"/>
          <w:szCs w:val="28"/>
        </w:rPr>
        <w:t>оцінка сукупного ризику установи (формування матриці ризиків);</w:t>
      </w:r>
    </w:p>
    <w:p w:rsidR="00B74F8F" w:rsidRPr="00B86942" w:rsidRDefault="00996836" w:rsidP="00996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sidR="00B74F8F" w:rsidRPr="00B86942">
        <w:rPr>
          <w:sz w:val="28"/>
          <w:szCs w:val="28"/>
        </w:rPr>
        <w:t>оцінка напряму ризику ;</w:t>
      </w:r>
    </w:p>
    <w:p w:rsidR="00B74F8F" w:rsidRPr="00B86942" w:rsidRDefault="00996836" w:rsidP="00996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sidR="00B74F8F" w:rsidRPr="00B86942">
        <w:rPr>
          <w:sz w:val="28"/>
          <w:szCs w:val="28"/>
        </w:rPr>
        <w:t>визначення стратегії нагляду НКЦПФР за установою.</w:t>
      </w:r>
    </w:p>
    <w:p w:rsidR="00B74F8F" w:rsidRPr="00B74F8F"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74F8F">
        <w:rPr>
          <w:sz w:val="28"/>
          <w:szCs w:val="28"/>
        </w:rPr>
        <w:t xml:space="preserve"> </w:t>
      </w:r>
    </w:p>
    <w:p w:rsidR="00B74F8F" w:rsidRPr="00B86942" w:rsidRDefault="00B74F8F" w:rsidP="00996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B86942">
        <w:rPr>
          <w:sz w:val="28"/>
          <w:szCs w:val="28"/>
        </w:rPr>
        <w:t>Оцінка сукупного ризику включає такі етапи:</w:t>
      </w:r>
    </w:p>
    <w:p w:rsidR="00B74F8F" w:rsidRPr="00B74F8F" w:rsidRDefault="00B74F8F" w:rsidP="00B74F8F">
      <w:pPr>
        <w:jc w:val="both"/>
        <w:rPr>
          <w:sz w:val="28"/>
          <w:szCs w:val="28"/>
        </w:rPr>
      </w:pPr>
      <w:r w:rsidRPr="00B74F8F">
        <w:rPr>
          <w:b/>
          <w:sz w:val="28"/>
          <w:szCs w:val="28"/>
        </w:rPr>
        <w:t xml:space="preserve">оцінка </w:t>
      </w:r>
      <w:r w:rsidRPr="00B86942">
        <w:rPr>
          <w:b/>
          <w:sz w:val="28"/>
          <w:szCs w:val="28"/>
        </w:rPr>
        <w:t>рівня</w:t>
      </w:r>
      <w:r w:rsidRPr="00B74F8F">
        <w:rPr>
          <w:b/>
          <w:sz w:val="28"/>
          <w:szCs w:val="28"/>
        </w:rPr>
        <w:t xml:space="preserve"> ризику</w:t>
      </w:r>
      <w:r w:rsidRPr="00B74F8F">
        <w:rPr>
          <w:sz w:val="28"/>
          <w:szCs w:val="28"/>
        </w:rPr>
        <w:t>,</w:t>
      </w:r>
      <w:r w:rsidRPr="00B74F8F">
        <w:rPr>
          <w:b/>
          <w:sz w:val="28"/>
          <w:szCs w:val="28"/>
        </w:rPr>
        <w:t xml:space="preserve"> </w:t>
      </w:r>
      <w:r w:rsidRPr="00B74F8F">
        <w:rPr>
          <w:sz w:val="28"/>
          <w:szCs w:val="28"/>
        </w:rPr>
        <w:t xml:space="preserve">тобто визначення обсягу всіх </w:t>
      </w:r>
      <w:r w:rsidRPr="00B86942">
        <w:rPr>
          <w:sz w:val="28"/>
          <w:szCs w:val="28"/>
        </w:rPr>
        <w:t>категорій та</w:t>
      </w:r>
      <w:r w:rsidRPr="00B74F8F">
        <w:rPr>
          <w:sz w:val="28"/>
          <w:szCs w:val="28"/>
        </w:rPr>
        <w:t xml:space="preserve"> видів ризиків, які є характерними для кожної установи </w:t>
      </w:r>
      <w:r w:rsidRPr="00B86942">
        <w:rPr>
          <w:sz w:val="28"/>
          <w:szCs w:val="28"/>
        </w:rPr>
        <w:t xml:space="preserve">відповідно до профілю ризику її діяльності. </w:t>
      </w:r>
      <w:r w:rsidR="0013053E">
        <w:rPr>
          <w:sz w:val="28"/>
          <w:szCs w:val="28"/>
        </w:rPr>
        <w:t>Оцінка рів</w:t>
      </w:r>
      <w:r w:rsidRPr="00B86942">
        <w:rPr>
          <w:sz w:val="28"/>
          <w:szCs w:val="28"/>
        </w:rPr>
        <w:t>н</w:t>
      </w:r>
      <w:r w:rsidR="0013053E">
        <w:rPr>
          <w:sz w:val="28"/>
          <w:szCs w:val="28"/>
        </w:rPr>
        <w:t>я</w:t>
      </w:r>
      <w:r w:rsidRPr="00B86942">
        <w:rPr>
          <w:sz w:val="28"/>
          <w:szCs w:val="28"/>
        </w:rPr>
        <w:t xml:space="preserve"> </w:t>
      </w:r>
      <w:r w:rsidRPr="00B74F8F">
        <w:rPr>
          <w:sz w:val="28"/>
          <w:szCs w:val="28"/>
        </w:rPr>
        <w:t>ризику характеризується як: низьк</w:t>
      </w:r>
      <w:r w:rsidR="0013053E">
        <w:rPr>
          <w:sz w:val="28"/>
          <w:szCs w:val="28"/>
        </w:rPr>
        <w:t>а</w:t>
      </w:r>
      <w:r w:rsidRPr="00B74F8F">
        <w:rPr>
          <w:sz w:val="28"/>
          <w:szCs w:val="28"/>
        </w:rPr>
        <w:t>, помірн</w:t>
      </w:r>
      <w:r w:rsidR="0013053E">
        <w:rPr>
          <w:sz w:val="28"/>
          <w:szCs w:val="28"/>
        </w:rPr>
        <w:t>а</w:t>
      </w:r>
      <w:r w:rsidRPr="00B74F8F">
        <w:rPr>
          <w:sz w:val="28"/>
          <w:szCs w:val="28"/>
        </w:rPr>
        <w:t>, висок</w:t>
      </w:r>
      <w:r w:rsidR="0013053E">
        <w:rPr>
          <w:sz w:val="28"/>
          <w:szCs w:val="28"/>
        </w:rPr>
        <w:t>а</w:t>
      </w:r>
      <w:r w:rsidRPr="00B74F8F">
        <w:rPr>
          <w:sz w:val="28"/>
          <w:szCs w:val="28"/>
        </w:rPr>
        <w:t>;</w:t>
      </w:r>
    </w:p>
    <w:p w:rsidR="00B74F8F" w:rsidRPr="00B74F8F"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B74F8F" w:rsidRPr="00B74F8F"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74F8F">
        <w:rPr>
          <w:b/>
          <w:sz w:val="28"/>
          <w:szCs w:val="28"/>
        </w:rPr>
        <w:lastRenderedPageBreak/>
        <w:t>оцінка якості управління ризиком</w:t>
      </w:r>
      <w:r w:rsidRPr="00B74F8F">
        <w:rPr>
          <w:sz w:val="28"/>
          <w:szCs w:val="28"/>
        </w:rPr>
        <w:t>,</w:t>
      </w:r>
      <w:r w:rsidRPr="00B74F8F">
        <w:rPr>
          <w:b/>
          <w:sz w:val="28"/>
          <w:szCs w:val="28"/>
        </w:rPr>
        <w:t xml:space="preserve"> </w:t>
      </w:r>
      <w:r w:rsidRPr="00B74F8F">
        <w:rPr>
          <w:sz w:val="28"/>
          <w:szCs w:val="28"/>
        </w:rPr>
        <w:t xml:space="preserve">тобто наскільки </w:t>
      </w:r>
      <w:r w:rsidRPr="00B86942">
        <w:rPr>
          <w:sz w:val="28"/>
          <w:szCs w:val="28"/>
        </w:rPr>
        <w:t>якісно установа</w:t>
      </w:r>
      <w:r w:rsidRPr="00B74F8F">
        <w:rPr>
          <w:sz w:val="28"/>
          <w:szCs w:val="28"/>
        </w:rPr>
        <w:t xml:space="preserve"> здійснює </w:t>
      </w:r>
      <w:r w:rsidRPr="00B86942">
        <w:rPr>
          <w:sz w:val="28"/>
          <w:szCs w:val="28"/>
        </w:rPr>
        <w:t>загальне оцінювання ризику, оброблення ризику, моніторинг ризику та прогнозування ризику.</w:t>
      </w:r>
      <w:r w:rsidRPr="00B74F8F">
        <w:rPr>
          <w:sz w:val="28"/>
          <w:szCs w:val="28"/>
        </w:rPr>
        <w:t xml:space="preserve"> Оцінка якості управління ризиком характеризується як висока, така, що потребує вдосконалення, або низька;</w:t>
      </w:r>
    </w:p>
    <w:p w:rsidR="00B74F8F" w:rsidRPr="00B74F8F"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B74F8F" w:rsidRPr="00B74F8F" w:rsidRDefault="00B74F8F" w:rsidP="00B74F8F">
      <w:pPr>
        <w:jc w:val="both"/>
        <w:rPr>
          <w:sz w:val="28"/>
          <w:szCs w:val="28"/>
        </w:rPr>
      </w:pPr>
      <w:r w:rsidRPr="00B74F8F">
        <w:rPr>
          <w:b/>
          <w:sz w:val="28"/>
          <w:szCs w:val="28"/>
        </w:rPr>
        <w:t xml:space="preserve">оцінка сукупного ризику </w:t>
      </w:r>
      <w:r w:rsidR="00996836">
        <w:rPr>
          <w:snapToGrid/>
          <w:sz w:val="28"/>
          <w:szCs w:val="28"/>
        </w:rPr>
        <w:t>−</w:t>
      </w:r>
      <w:r w:rsidRPr="00B74F8F">
        <w:rPr>
          <w:sz w:val="28"/>
          <w:szCs w:val="28"/>
        </w:rPr>
        <w:t xml:space="preserve"> узагальнений висновок щодо </w:t>
      </w:r>
      <w:r w:rsidRPr="00B86942">
        <w:rPr>
          <w:sz w:val="28"/>
          <w:szCs w:val="28"/>
        </w:rPr>
        <w:t>оцінки</w:t>
      </w:r>
      <w:r w:rsidRPr="00B74F8F">
        <w:rPr>
          <w:sz w:val="28"/>
          <w:szCs w:val="28"/>
        </w:rPr>
        <w:t xml:space="preserve"> рівня ризику та якості управління ризиком. Сукупний ризик оцінюється як високий, помірний, низький. </w:t>
      </w:r>
    </w:p>
    <w:p w:rsidR="00B74F8F" w:rsidRDefault="00B74F8F" w:rsidP="00996836">
      <w:pPr>
        <w:ind w:firstLine="720"/>
        <w:jc w:val="both"/>
        <w:rPr>
          <w:sz w:val="28"/>
          <w:szCs w:val="28"/>
        </w:rPr>
      </w:pPr>
      <w:r w:rsidRPr="00B74F8F">
        <w:rPr>
          <w:b/>
          <w:sz w:val="28"/>
          <w:szCs w:val="28"/>
        </w:rPr>
        <w:t>Матриця ризиків</w:t>
      </w:r>
      <w:r w:rsidRPr="00B74F8F">
        <w:rPr>
          <w:sz w:val="28"/>
          <w:szCs w:val="28"/>
        </w:rPr>
        <w:t xml:space="preserve"> </w:t>
      </w:r>
      <w:r w:rsidR="00996836">
        <w:rPr>
          <w:sz w:val="28"/>
          <w:szCs w:val="28"/>
        </w:rPr>
        <w:t>−</w:t>
      </w:r>
      <w:r w:rsidR="0013053E">
        <w:rPr>
          <w:sz w:val="28"/>
          <w:szCs w:val="28"/>
        </w:rPr>
        <w:t xml:space="preserve"> </w:t>
      </w:r>
      <w:r w:rsidRPr="00B74F8F">
        <w:rPr>
          <w:sz w:val="28"/>
          <w:szCs w:val="28"/>
        </w:rPr>
        <w:t>це візуалізація сукупного ризику професійного учасника.</w:t>
      </w:r>
    </w:p>
    <w:p w:rsidR="00B86942" w:rsidRPr="00B74F8F" w:rsidRDefault="00B86942" w:rsidP="00B74F8F">
      <w:pPr>
        <w:jc w:val="both"/>
        <w:rPr>
          <w:sz w:val="28"/>
          <w:szCs w:val="28"/>
        </w:rPr>
      </w:pPr>
    </w:p>
    <w:p w:rsidR="00B74F8F"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B74F8F">
        <w:rPr>
          <w:b/>
          <w:sz w:val="28"/>
          <w:szCs w:val="28"/>
        </w:rPr>
        <w:t>Матриця ризиків:</w:t>
      </w: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160"/>
        <w:gridCol w:w="2340"/>
        <w:gridCol w:w="2097"/>
      </w:tblGrid>
      <w:tr w:rsidR="00B86942" w:rsidRPr="004B3CC9" w:rsidTr="004B3CC9">
        <w:trPr>
          <w:trHeight w:val="550"/>
        </w:trPr>
        <w:tc>
          <w:tcPr>
            <w:tcW w:w="2808" w:type="dxa"/>
            <w:tcBorders>
              <w:top w:val="single" w:sz="4" w:space="0" w:color="auto"/>
              <w:left w:val="single" w:sz="4" w:space="0" w:color="auto"/>
              <w:bottom w:val="single" w:sz="4" w:space="0" w:color="auto"/>
              <w:right w:val="single" w:sz="4" w:space="0" w:color="auto"/>
            </w:tcBorders>
            <w:shd w:val="clear" w:color="auto" w:fill="auto"/>
          </w:tcPr>
          <w:p w:rsidR="00B86942" w:rsidRPr="00A6792A" w:rsidRDefault="00B86942" w:rsidP="004B3CC9">
            <w:pPr>
              <w:snapToGrid w:val="0"/>
              <w:jc w:val="center"/>
            </w:pPr>
          </w:p>
        </w:tc>
        <w:tc>
          <w:tcPr>
            <w:tcW w:w="6597" w:type="dxa"/>
            <w:gridSpan w:val="3"/>
            <w:tcBorders>
              <w:top w:val="single" w:sz="4" w:space="0" w:color="auto"/>
              <w:left w:val="single" w:sz="4" w:space="0" w:color="auto"/>
              <w:bottom w:val="single" w:sz="4" w:space="0" w:color="auto"/>
              <w:right w:val="single" w:sz="4" w:space="0" w:color="auto"/>
            </w:tcBorders>
            <w:shd w:val="clear" w:color="auto" w:fill="auto"/>
          </w:tcPr>
          <w:p w:rsidR="00B86942" w:rsidRPr="00A6792A" w:rsidRDefault="00B86942" w:rsidP="004B3CC9">
            <w:pPr>
              <w:snapToGrid w:val="0"/>
              <w:jc w:val="center"/>
            </w:pPr>
            <w:r w:rsidRPr="00A6792A">
              <w:t xml:space="preserve">Оцінка </w:t>
            </w:r>
            <w:r>
              <w:t>рівня</w:t>
            </w:r>
            <w:r w:rsidRPr="00A6792A">
              <w:t xml:space="preserve"> ризику </w:t>
            </w:r>
          </w:p>
        </w:tc>
      </w:tr>
      <w:tr w:rsidR="004B3CC9" w:rsidRPr="004B3CC9" w:rsidTr="004B3CC9">
        <w:tc>
          <w:tcPr>
            <w:tcW w:w="2808" w:type="dxa"/>
            <w:tcBorders>
              <w:top w:val="single" w:sz="4" w:space="0" w:color="auto"/>
              <w:left w:val="single" w:sz="4" w:space="0" w:color="auto"/>
              <w:bottom w:val="single" w:sz="4" w:space="0" w:color="auto"/>
              <w:right w:val="single" w:sz="4" w:space="0" w:color="auto"/>
            </w:tcBorders>
            <w:shd w:val="clear" w:color="auto" w:fill="auto"/>
          </w:tcPr>
          <w:p w:rsidR="00B86942" w:rsidRPr="00A6792A" w:rsidRDefault="00B86942" w:rsidP="004B3CC9">
            <w:pPr>
              <w:snapToGrid w:val="0"/>
              <w:jc w:val="center"/>
            </w:pPr>
            <w:r w:rsidRPr="00A6792A">
              <w:t>Оцінка якості управління ризиком</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B86942" w:rsidRPr="00A6792A" w:rsidRDefault="00B86942" w:rsidP="004B3CC9">
            <w:pPr>
              <w:snapToGrid w:val="0"/>
              <w:jc w:val="center"/>
            </w:pPr>
            <w:r w:rsidRPr="00A6792A">
              <w:t>Низька</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86942" w:rsidRPr="00A6792A" w:rsidRDefault="00B86942" w:rsidP="004B3CC9">
            <w:pPr>
              <w:snapToGrid w:val="0"/>
              <w:jc w:val="center"/>
            </w:pPr>
            <w:r w:rsidRPr="00A6792A">
              <w:t xml:space="preserve">Помірна </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B86942" w:rsidRPr="00A6792A" w:rsidRDefault="00B86942" w:rsidP="004B3CC9">
            <w:pPr>
              <w:snapToGrid w:val="0"/>
              <w:jc w:val="center"/>
            </w:pPr>
            <w:r w:rsidRPr="00A6792A">
              <w:t>Висока</w:t>
            </w:r>
          </w:p>
        </w:tc>
      </w:tr>
      <w:tr w:rsidR="004B3CC9" w:rsidRPr="004B3CC9" w:rsidTr="004B3CC9">
        <w:tc>
          <w:tcPr>
            <w:tcW w:w="2808" w:type="dxa"/>
            <w:tcBorders>
              <w:top w:val="single" w:sz="4" w:space="0" w:color="auto"/>
              <w:left w:val="single" w:sz="4" w:space="0" w:color="auto"/>
              <w:bottom w:val="single" w:sz="4" w:space="0" w:color="auto"/>
              <w:right w:val="single" w:sz="4" w:space="0" w:color="auto"/>
            </w:tcBorders>
            <w:shd w:val="clear" w:color="auto" w:fill="auto"/>
          </w:tcPr>
          <w:p w:rsidR="00B86942" w:rsidRPr="00A6792A" w:rsidRDefault="00B86942" w:rsidP="004B3CC9">
            <w:pPr>
              <w:snapToGrid w:val="0"/>
              <w:jc w:val="center"/>
            </w:pPr>
            <w:r w:rsidRPr="00A6792A">
              <w:t>Висока</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B86942" w:rsidRPr="00A6792A" w:rsidRDefault="00B86942" w:rsidP="004B3CC9">
            <w:pPr>
              <w:snapToGrid w:val="0"/>
              <w:jc w:val="center"/>
            </w:pPr>
            <w:r w:rsidRPr="00A6792A">
              <w:t>Низький сукупний ризик</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86942" w:rsidRPr="00A6792A" w:rsidRDefault="00B86942" w:rsidP="004B3CC9">
            <w:pPr>
              <w:snapToGrid w:val="0"/>
              <w:jc w:val="center"/>
            </w:pPr>
            <w:r w:rsidRPr="00A6792A">
              <w:t>Низький сукупний ризик</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B86942" w:rsidRPr="00A6792A" w:rsidRDefault="00B86942" w:rsidP="004B3CC9">
            <w:pPr>
              <w:snapToGrid w:val="0"/>
              <w:jc w:val="center"/>
            </w:pPr>
            <w:r w:rsidRPr="00A6792A">
              <w:t>Помірний сукупний ризик</w:t>
            </w:r>
          </w:p>
        </w:tc>
      </w:tr>
      <w:tr w:rsidR="004B3CC9" w:rsidRPr="004B3CC9" w:rsidTr="004B3CC9">
        <w:tc>
          <w:tcPr>
            <w:tcW w:w="2808" w:type="dxa"/>
            <w:tcBorders>
              <w:top w:val="single" w:sz="4" w:space="0" w:color="auto"/>
              <w:left w:val="single" w:sz="4" w:space="0" w:color="auto"/>
              <w:bottom w:val="single" w:sz="4" w:space="0" w:color="auto"/>
              <w:right w:val="single" w:sz="4" w:space="0" w:color="auto"/>
            </w:tcBorders>
            <w:shd w:val="clear" w:color="auto" w:fill="auto"/>
          </w:tcPr>
          <w:p w:rsidR="00B86942" w:rsidRPr="00A6792A" w:rsidRDefault="00B86942" w:rsidP="004B3CC9">
            <w:pPr>
              <w:snapToGrid w:val="0"/>
              <w:jc w:val="center"/>
            </w:pPr>
            <w:r w:rsidRPr="00A6792A">
              <w:t>Потребує вдосконалення</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B86942" w:rsidRPr="00A6792A" w:rsidRDefault="00B86942" w:rsidP="004B3CC9">
            <w:pPr>
              <w:snapToGrid w:val="0"/>
              <w:jc w:val="center"/>
            </w:pPr>
            <w:r w:rsidRPr="00A6792A">
              <w:t>Низький сукупний ризик</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86942" w:rsidRPr="00A6792A" w:rsidRDefault="00B86942" w:rsidP="004B3CC9">
            <w:pPr>
              <w:snapToGrid w:val="0"/>
              <w:jc w:val="center"/>
            </w:pPr>
            <w:r w:rsidRPr="00A6792A">
              <w:t>Помірний сукупний ризик</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B86942" w:rsidRPr="00A6792A" w:rsidRDefault="00B86942" w:rsidP="004B3CC9">
            <w:pPr>
              <w:snapToGrid w:val="0"/>
              <w:jc w:val="center"/>
            </w:pPr>
            <w:r w:rsidRPr="00A6792A">
              <w:t>Високий сукупний ризик</w:t>
            </w:r>
          </w:p>
        </w:tc>
      </w:tr>
      <w:tr w:rsidR="004B3CC9" w:rsidRPr="004B3CC9" w:rsidTr="004B3CC9">
        <w:tc>
          <w:tcPr>
            <w:tcW w:w="2808" w:type="dxa"/>
            <w:tcBorders>
              <w:top w:val="single" w:sz="4" w:space="0" w:color="auto"/>
              <w:left w:val="single" w:sz="4" w:space="0" w:color="auto"/>
              <w:bottom w:val="single" w:sz="4" w:space="0" w:color="auto"/>
              <w:right w:val="single" w:sz="4" w:space="0" w:color="auto"/>
            </w:tcBorders>
            <w:shd w:val="clear" w:color="auto" w:fill="auto"/>
          </w:tcPr>
          <w:p w:rsidR="00B86942" w:rsidRPr="00A6792A" w:rsidRDefault="00B86942" w:rsidP="004B3CC9">
            <w:pPr>
              <w:snapToGrid w:val="0"/>
              <w:jc w:val="center"/>
            </w:pPr>
            <w:r w:rsidRPr="00A6792A">
              <w:t>Низька</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B86942" w:rsidRPr="00A6792A" w:rsidRDefault="00B86942" w:rsidP="004B3CC9">
            <w:pPr>
              <w:snapToGrid w:val="0"/>
              <w:jc w:val="center"/>
            </w:pPr>
            <w:r w:rsidRPr="00A6792A">
              <w:t>Помірний сукупний ризик</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86942" w:rsidRPr="00A6792A" w:rsidRDefault="00B86942" w:rsidP="004B3CC9">
            <w:pPr>
              <w:snapToGrid w:val="0"/>
              <w:jc w:val="center"/>
            </w:pPr>
            <w:r>
              <w:t>Високий</w:t>
            </w:r>
            <w:r w:rsidRPr="00A6792A">
              <w:t xml:space="preserve"> сукупний ризик</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B86942" w:rsidRPr="00A6792A" w:rsidRDefault="00B86942" w:rsidP="004B3CC9">
            <w:pPr>
              <w:snapToGrid w:val="0"/>
              <w:jc w:val="center"/>
            </w:pPr>
            <w:r w:rsidRPr="00A6792A">
              <w:t>Високий сукупний ризик</w:t>
            </w:r>
          </w:p>
        </w:tc>
      </w:tr>
    </w:tbl>
    <w:p w:rsidR="00B86942" w:rsidRPr="00B74F8F" w:rsidRDefault="00B86942"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B74F8F" w:rsidRPr="00B74F8F"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74F8F">
        <w:rPr>
          <w:b/>
          <w:sz w:val="28"/>
          <w:szCs w:val="28"/>
        </w:rPr>
        <w:t xml:space="preserve">напрям ризику </w:t>
      </w:r>
      <w:r w:rsidR="00996836">
        <w:rPr>
          <w:snapToGrid/>
          <w:sz w:val="28"/>
          <w:szCs w:val="28"/>
        </w:rPr>
        <w:t>−</w:t>
      </w:r>
      <w:r w:rsidRPr="00B74F8F">
        <w:rPr>
          <w:sz w:val="28"/>
          <w:szCs w:val="28"/>
        </w:rPr>
        <w:t xml:space="preserve"> ймовірна зміна сукупного ризику протягом визначеного періоду </w:t>
      </w:r>
      <w:r w:rsidRPr="00B86942">
        <w:rPr>
          <w:bCs/>
          <w:sz w:val="28"/>
          <w:szCs w:val="28"/>
        </w:rPr>
        <w:t>в майбутньому</w:t>
      </w:r>
      <w:r w:rsidRPr="00B86942">
        <w:rPr>
          <w:sz w:val="28"/>
          <w:szCs w:val="28"/>
        </w:rPr>
        <w:t>.</w:t>
      </w:r>
      <w:r w:rsidRPr="00B74F8F">
        <w:rPr>
          <w:sz w:val="28"/>
          <w:szCs w:val="28"/>
        </w:rPr>
        <w:t xml:space="preserve"> Напрям ризику характеризується як такий, що </w:t>
      </w:r>
      <w:r w:rsidRPr="00B86942">
        <w:rPr>
          <w:sz w:val="28"/>
          <w:szCs w:val="28"/>
        </w:rPr>
        <w:t>буде</w:t>
      </w:r>
      <w:r w:rsidRPr="00B74F8F">
        <w:rPr>
          <w:color w:val="FF0000"/>
          <w:sz w:val="28"/>
          <w:szCs w:val="28"/>
        </w:rPr>
        <w:t xml:space="preserve"> </w:t>
      </w:r>
      <w:r w:rsidRPr="00B74F8F">
        <w:rPr>
          <w:sz w:val="28"/>
          <w:szCs w:val="28"/>
        </w:rPr>
        <w:t>зроста</w:t>
      </w:r>
      <w:r w:rsidRPr="00B86942">
        <w:rPr>
          <w:sz w:val="28"/>
          <w:szCs w:val="28"/>
        </w:rPr>
        <w:t>ти</w:t>
      </w:r>
      <w:r w:rsidRPr="00B74F8F">
        <w:rPr>
          <w:sz w:val="28"/>
          <w:szCs w:val="28"/>
        </w:rPr>
        <w:t xml:space="preserve">, </w:t>
      </w:r>
      <w:r w:rsidRPr="00B86942">
        <w:rPr>
          <w:sz w:val="28"/>
          <w:szCs w:val="28"/>
        </w:rPr>
        <w:t>буде</w:t>
      </w:r>
      <w:r w:rsidRPr="00B74F8F">
        <w:rPr>
          <w:sz w:val="28"/>
          <w:szCs w:val="28"/>
        </w:rPr>
        <w:t xml:space="preserve"> стабільний або буде таки</w:t>
      </w:r>
      <w:r w:rsidRPr="009857E2">
        <w:rPr>
          <w:sz w:val="28"/>
          <w:szCs w:val="28"/>
        </w:rPr>
        <w:t>м</w:t>
      </w:r>
      <w:r w:rsidRPr="00B74F8F">
        <w:rPr>
          <w:sz w:val="28"/>
          <w:szCs w:val="28"/>
        </w:rPr>
        <w:t xml:space="preserve">, що зменшується. </w:t>
      </w:r>
    </w:p>
    <w:p w:rsidR="00B74F8F" w:rsidRPr="00B74F8F" w:rsidRDefault="00B74F8F" w:rsidP="00996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B74F8F">
        <w:rPr>
          <w:sz w:val="28"/>
          <w:szCs w:val="28"/>
        </w:rPr>
        <w:t xml:space="preserve">За результатами оцінки сукупного ризику </w:t>
      </w:r>
      <w:r w:rsidRPr="009857E2">
        <w:rPr>
          <w:sz w:val="28"/>
          <w:szCs w:val="28"/>
        </w:rPr>
        <w:t>установи та напряму ризику</w:t>
      </w:r>
      <w:r w:rsidRPr="00B74F8F">
        <w:rPr>
          <w:color w:val="FF0000"/>
          <w:sz w:val="28"/>
          <w:szCs w:val="28"/>
        </w:rPr>
        <w:t xml:space="preserve"> </w:t>
      </w:r>
      <w:r w:rsidRPr="00B74F8F">
        <w:rPr>
          <w:sz w:val="28"/>
          <w:szCs w:val="28"/>
        </w:rPr>
        <w:t xml:space="preserve">визначається стратегія нагляду, тобто ті конкретні заходи, які будуть вжиті НКЦПФР у відношенні </w:t>
      </w:r>
      <w:r w:rsidRPr="009857E2">
        <w:rPr>
          <w:sz w:val="28"/>
          <w:szCs w:val="28"/>
        </w:rPr>
        <w:t>установ</w:t>
      </w:r>
      <w:r w:rsidRPr="0020703F">
        <w:rPr>
          <w:sz w:val="28"/>
          <w:szCs w:val="28"/>
        </w:rPr>
        <w:t>и</w:t>
      </w:r>
      <w:r w:rsidRPr="00B74F8F">
        <w:rPr>
          <w:sz w:val="28"/>
          <w:szCs w:val="28"/>
        </w:rPr>
        <w:t xml:space="preserve">. </w:t>
      </w:r>
    </w:p>
    <w:p w:rsidR="00B74F8F" w:rsidRPr="00B74F8F" w:rsidRDefault="00B74F8F" w:rsidP="00996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9857E2">
        <w:rPr>
          <w:sz w:val="28"/>
          <w:szCs w:val="28"/>
        </w:rPr>
        <w:t>Рівень</w:t>
      </w:r>
      <w:r w:rsidRPr="009857E2">
        <w:rPr>
          <w:b/>
          <w:sz w:val="28"/>
          <w:szCs w:val="28"/>
        </w:rPr>
        <w:t xml:space="preserve"> </w:t>
      </w:r>
      <w:r w:rsidRPr="00B74F8F">
        <w:rPr>
          <w:sz w:val="28"/>
          <w:szCs w:val="28"/>
        </w:rPr>
        <w:t xml:space="preserve">ризику і якість управління ризиком оцінюються незалежно одна від одної. Якою б високою або низькою не була якість управління ризиком, вона не повинна впливати на оцінку </w:t>
      </w:r>
      <w:r w:rsidRPr="009857E2">
        <w:rPr>
          <w:sz w:val="28"/>
          <w:szCs w:val="28"/>
        </w:rPr>
        <w:t>рівня</w:t>
      </w:r>
      <w:r w:rsidRPr="009857E2">
        <w:rPr>
          <w:b/>
          <w:sz w:val="28"/>
          <w:szCs w:val="28"/>
        </w:rPr>
        <w:t xml:space="preserve"> </w:t>
      </w:r>
      <w:r w:rsidRPr="00B74F8F">
        <w:rPr>
          <w:sz w:val="28"/>
          <w:szCs w:val="28"/>
        </w:rPr>
        <w:t xml:space="preserve">ризику. </w:t>
      </w:r>
    </w:p>
    <w:p w:rsidR="00B74F8F" w:rsidRPr="00B74F8F" w:rsidRDefault="000B1D18" w:rsidP="00996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З</w:t>
      </w:r>
      <w:r w:rsidR="00B74F8F" w:rsidRPr="00B74F8F">
        <w:rPr>
          <w:sz w:val="28"/>
          <w:szCs w:val="28"/>
        </w:rPr>
        <w:t>начний розмір капіталу або високі показники фінансової діяльності не повинні розглядатися як пом'якшувальні фактори при неадекватній системі управління ризиками.</w:t>
      </w:r>
    </w:p>
    <w:p w:rsidR="00B74F8F"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20703F" w:rsidRPr="00B74F8F" w:rsidRDefault="0020703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B74F8F" w:rsidRPr="00B74F8F"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napToGrid/>
          <w:sz w:val="28"/>
          <w:szCs w:val="28"/>
        </w:rPr>
      </w:pPr>
      <w:r w:rsidRPr="00B74F8F">
        <w:rPr>
          <w:b/>
          <w:bCs/>
          <w:snapToGrid/>
          <w:sz w:val="28"/>
          <w:szCs w:val="28"/>
        </w:rPr>
        <w:t>5.4. Формування фокусу нагляду</w:t>
      </w:r>
      <w:r w:rsidR="001E6091">
        <w:rPr>
          <w:b/>
          <w:bCs/>
          <w:snapToGrid/>
          <w:sz w:val="28"/>
          <w:szCs w:val="28"/>
        </w:rPr>
        <w:t>.</w:t>
      </w:r>
    </w:p>
    <w:p w:rsidR="00B74F8F" w:rsidRPr="00B74F8F" w:rsidRDefault="00B74F8F" w:rsidP="00996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snapToGrid/>
          <w:sz w:val="28"/>
          <w:szCs w:val="28"/>
        </w:rPr>
      </w:pPr>
      <w:r w:rsidRPr="00B74F8F">
        <w:rPr>
          <w:b/>
          <w:bCs/>
          <w:snapToGrid/>
          <w:sz w:val="28"/>
          <w:szCs w:val="28"/>
        </w:rPr>
        <w:t xml:space="preserve">Фокус нагляду </w:t>
      </w:r>
      <w:r w:rsidR="001E6091">
        <w:rPr>
          <w:sz w:val="28"/>
          <w:szCs w:val="28"/>
        </w:rPr>
        <w:t xml:space="preserve">− </w:t>
      </w:r>
      <w:r w:rsidRPr="00B74F8F">
        <w:rPr>
          <w:bCs/>
          <w:snapToGrid/>
          <w:sz w:val="28"/>
          <w:szCs w:val="28"/>
        </w:rPr>
        <w:t xml:space="preserve">це виявлення </w:t>
      </w:r>
      <w:r w:rsidRPr="009857E2">
        <w:rPr>
          <w:snapToGrid/>
          <w:sz w:val="28"/>
          <w:szCs w:val="28"/>
        </w:rPr>
        <w:t>значущих для ринку</w:t>
      </w:r>
      <w:r w:rsidRPr="001E6091">
        <w:rPr>
          <w:b/>
          <w:snapToGrid/>
          <w:sz w:val="28"/>
          <w:szCs w:val="28"/>
        </w:rPr>
        <w:t xml:space="preserve"> </w:t>
      </w:r>
      <w:r w:rsidRPr="00B74F8F">
        <w:rPr>
          <w:bCs/>
          <w:snapToGrid/>
          <w:sz w:val="28"/>
          <w:szCs w:val="28"/>
        </w:rPr>
        <w:t xml:space="preserve">та ризикових </w:t>
      </w:r>
      <w:r w:rsidRPr="009857E2">
        <w:rPr>
          <w:bCs/>
          <w:snapToGrid/>
          <w:sz w:val="28"/>
          <w:szCs w:val="28"/>
        </w:rPr>
        <w:t>установ</w:t>
      </w:r>
      <w:r w:rsidRPr="00B74F8F">
        <w:rPr>
          <w:bCs/>
          <w:snapToGrid/>
          <w:sz w:val="28"/>
          <w:szCs w:val="28"/>
        </w:rPr>
        <w:t>, які підлягають пріоритетному нагляду з боку НКЦПФР.</w:t>
      </w:r>
    </w:p>
    <w:p w:rsidR="00B74F8F" w:rsidRPr="00B74F8F" w:rsidRDefault="00B74F8F" w:rsidP="00B74F8F">
      <w:pPr>
        <w:pStyle w:val="rvps2"/>
        <w:spacing w:before="0" w:beforeAutospacing="0" w:after="0" w:afterAutospacing="0"/>
        <w:ind w:firstLine="720"/>
        <w:jc w:val="both"/>
        <w:rPr>
          <w:sz w:val="28"/>
          <w:szCs w:val="28"/>
          <w:lang w:val="ru-RU"/>
        </w:rPr>
      </w:pPr>
      <w:r w:rsidRPr="00B74F8F">
        <w:rPr>
          <w:sz w:val="28"/>
          <w:szCs w:val="28"/>
        </w:rPr>
        <w:t>Основними показниками для формування фокусу нагляду є:</w:t>
      </w:r>
    </w:p>
    <w:p w:rsidR="00B74F8F" w:rsidRPr="009857E2" w:rsidRDefault="00B74F8F" w:rsidP="00B74F8F">
      <w:pPr>
        <w:pStyle w:val="rvps2"/>
        <w:spacing w:before="0" w:beforeAutospacing="0" w:after="0" w:afterAutospacing="0"/>
        <w:ind w:firstLine="720"/>
        <w:jc w:val="both"/>
        <w:rPr>
          <w:b/>
          <w:bCs/>
          <w:sz w:val="28"/>
          <w:szCs w:val="28"/>
        </w:rPr>
      </w:pPr>
      <w:r w:rsidRPr="009857E2">
        <w:rPr>
          <w:b/>
          <w:bCs/>
          <w:sz w:val="28"/>
          <w:szCs w:val="28"/>
        </w:rPr>
        <w:t>віднесення установи до підприємств, що мають суспільний інтерес</w:t>
      </w:r>
      <w:r w:rsidRPr="009857E2">
        <w:rPr>
          <w:bCs/>
          <w:sz w:val="28"/>
          <w:szCs w:val="28"/>
        </w:rPr>
        <w:t xml:space="preserve"> (крім банків); </w:t>
      </w:r>
    </w:p>
    <w:p w:rsidR="00B74F8F" w:rsidRPr="00B74F8F" w:rsidRDefault="00B74F8F" w:rsidP="00B74F8F">
      <w:pPr>
        <w:pStyle w:val="rvps2"/>
        <w:spacing w:before="0" w:beforeAutospacing="0" w:after="0" w:afterAutospacing="0"/>
        <w:ind w:firstLine="720"/>
        <w:jc w:val="both"/>
        <w:rPr>
          <w:sz w:val="28"/>
          <w:szCs w:val="28"/>
        </w:rPr>
      </w:pPr>
      <w:r w:rsidRPr="00B74F8F">
        <w:rPr>
          <w:b/>
          <w:sz w:val="28"/>
          <w:szCs w:val="28"/>
        </w:rPr>
        <w:t>ринкова позиція</w:t>
      </w:r>
      <w:r w:rsidRPr="00B74F8F">
        <w:rPr>
          <w:sz w:val="28"/>
          <w:szCs w:val="28"/>
        </w:rPr>
        <w:t xml:space="preserve"> </w:t>
      </w:r>
      <w:r w:rsidRPr="009857E2">
        <w:rPr>
          <w:sz w:val="28"/>
          <w:szCs w:val="28"/>
        </w:rPr>
        <w:t>установи</w:t>
      </w:r>
      <w:r w:rsidRPr="00B74F8F">
        <w:rPr>
          <w:sz w:val="28"/>
          <w:szCs w:val="28"/>
        </w:rPr>
        <w:t xml:space="preserve"> </w:t>
      </w:r>
      <w:r w:rsidRPr="00B74F8F">
        <w:rPr>
          <w:b/>
          <w:sz w:val="28"/>
          <w:szCs w:val="28"/>
        </w:rPr>
        <w:t>–</w:t>
      </w:r>
      <w:r w:rsidRPr="00B74F8F">
        <w:rPr>
          <w:sz w:val="28"/>
          <w:szCs w:val="28"/>
        </w:rPr>
        <w:t xml:space="preserve"> обсяги </w:t>
      </w:r>
      <w:r w:rsidRPr="009857E2">
        <w:rPr>
          <w:sz w:val="28"/>
          <w:szCs w:val="28"/>
        </w:rPr>
        <w:t>та</w:t>
      </w:r>
      <w:r w:rsidRPr="00B74F8F">
        <w:rPr>
          <w:sz w:val="28"/>
          <w:szCs w:val="28"/>
        </w:rPr>
        <w:t xml:space="preserve"> масштаб діяльності </w:t>
      </w:r>
      <w:r w:rsidRPr="009857E2">
        <w:rPr>
          <w:sz w:val="28"/>
          <w:szCs w:val="28"/>
        </w:rPr>
        <w:t>установи</w:t>
      </w:r>
      <w:r w:rsidRPr="00B74F8F">
        <w:rPr>
          <w:sz w:val="28"/>
          <w:szCs w:val="28"/>
        </w:rPr>
        <w:t>;</w:t>
      </w:r>
    </w:p>
    <w:p w:rsidR="00B74F8F" w:rsidRPr="00B74F8F" w:rsidRDefault="00B74F8F" w:rsidP="00B74F8F">
      <w:pPr>
        <w:pStyle w:val="rvps2"/>
        <w:spacing w:before="0" w:beforeAutospacing="0" w:after="0" w:afterAutospacing="0"/>
        <w:ind w:firstLine="720"/>
        <w:jc w:val="both"/>
        <w:rPr>
          <w:sz w:val="28"/>
          <w:szCs w:val="28"/>
        </w:rPr>
      </w:pPr>
      <w:r w:rsidRPr="00B74F8F">
        <w:rPr>
          <w:b/>
          <w:sz w:val="28"/>
          <w:szCs w:val="28"/>
        </w:rPr>
        <w:t>охоплення</w:t>
      </w:r>
      <w:r w:rsidRPr="00B74F8F">
        <w:rPr>
          <w:sz w:val="28"/>
          <w:szCs w:val="28"/>
        </w:rPr>
        <w:t xml:space="preserve"> </w:t>
      </w:r>
      <w:r w:rsidRPr="009857E2">
        <w:rPr>
          <w:sz w:val="28"/>
          <w:szCs w:val="28"/>
        </w:rPr>
        <w:t>установою</w:t>
      </w:r>
      <w:r w:rsidRPr="00B74F8F">
        <w:rPr>
          <w:sz w:val="28"/>
          <w:szCs w:val="28"/>
        </w:rPr>
        <w:t xml:space="preserve"> клієнтів – кількість клієнтів та їх частка по відношенню до інших </w:t>
      </w:r>
      <w:r w:rsidRPr="009857E2">
        <w:rPr>
          <w:sz w:val="28"/>
          <w:szCs w:val="28"/>
        </w:rPr>
        <w:t>установ</w:t>
      </w:r>
      <w:r w:rsidRPr="00B74F8F">
        <w:rPr>
          <w:sz w:val="28"/>
          <w:szCs w:val="28"/>
        </w:rPr>
        <w:t>; види клієнтів установи;</w:t>
      </w:r>
    </w:p>
    <w:p w:rsidR="00B74F8F" w:rsidRPr="00B74F8F" w:rsidRDefault="00B74F8F" w:rsidP="00B74F8F">
      <w:pPr>
        <w:pStyle w:val="rvps2"/>
        <w:spacing w:before="0" w:beforeAutospacing="0" w:after="0" w:afterAutospacing="0"/>
        <w:ind w:firstLine="720"/>
        <w:jc w:val="both"/>
        <w:rPr>
          <w:sz w:val="28"/>
          <w:szCs w:val="28"/>
        </w:rPr>
      </w:pPr>
      <w:r w:rsidRPr="00B74F8F">
        <w:rPr>
          <w:b/>
          <w:sz w:val="28"/>
          <w:szCs w:val="28"/>
        </w:rPr>
        <w:lastRenderedPageBreak/>
        <w:t>взаємопов’язаність</w:t>
      </w:r>
      <w:r w:rsidRPr="00B74F8F">
        <w:rPr>
          <w:sz w:val="28"/>
          <w:szCs w:val="28"/>
        </w:rPr>
        <w:t xml:space="preserve"> з іншими учасниками </w:t>
      </w:r>
      <w:r w:rsidRPr="009857E2">
        <w:rPr>
          <w:sz w:val="28"/>
          <w:szCs w:val="28"/>
        </w:rPr>
        <w:t>ринку капіталу</w:t>
      </w:r>
      <w:r w:rsidRPr="00B74F8F">
        <w:rPr>
          <w:sz w:val="28"/>
          <w:szCs w:val="28"/>
        </w:rPr>
        <w:t xml:space="preserve"> – інформація щодо кінцевих беніфіціарних власників установи; взаємопов’язаність кінцевих беніфіціарних власників установи з іншими </w:t>
      </w:r>
      <w:r w:rsidRPr="009857E2">
        <w:rPr>
          <w:sz w:val="28"/>
          <w:szCs w:val="28"/>
        </w:rPr>
        <w:t>учасниками ринку капіталу</w:t>
      </w:r>
      <w:r w:rsidRPr="00B74F8F">
        <w:rPr>
          <w:sz w:val="28"/>
          <w:szCs w:val="28"/>
        </w:rPr>
        <w:t>;</w:t>
      </w:r>
    </w:p>
    <w:p w:rsidR="00B74F8F" w:rsidRPr="00B74F8F" w:rsidRDefault="00B74F8F" w:rsidP="00996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napToGrid/>
          <w:sz w:val="28"/>
          <w:szCs w:val="28"/>
        </w:rPr>
      </w:pPr>
      <w:r w:rsidRPr="009857E2">
        <w:rPr>
          <w:b/>
          <w:sz w:val="28"/>
          <w:szCs w:val="28"/>
        </w:rPr>
        <w:t>оцінка</w:t>
      </w:r>
      <w:r w:rsidRPr="00B74F8F">
        <w:rPr>
          <w:b/>
          <w:sz w:val="28"/>
          <w:szCs w:val="28"/>
        </w:rPr>
        <w:t xml:space="preserve"> сукупного ризику установи </w:t>
      </w:r>
      <w:r w:rsidRPr="009857E2">
        <w:rPr>
          <w:sz w:val="28"/>
          <w:szCs w:val="28"/>
        </w:rPr>
        <w:t>(за даними матриці ризиків).</w:t>
      </w:r>
    </w:p>
    <w:p w:rsidR="00B74F8F"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napToGrid/>
          <w:sz w:val="28"/>
          <w:szCs w:val="28"/>
        </w:rPr>
      </w:pPr>
    </w:p>
    <w:p w:rsidR="009C3686" w:rsidRPr="00B74F8F" w:rsidRDefault="009C3686"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napToGrid/>
          <w:sz w:val="28"/>
          <w:szCs w:val="28"/>
        </w:rPr>
      </w:pPr>
    </w:p>
    <w:p w:rsidR="00B74F8F" w:rsidRPr="00B74F8F"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napToGrid/>
          <w:sz w:val="28"/>
          <w:szCs w:val="28"/>
        </w:rPr>
      </w:pPr>
      <w:r w:rsidRPr="00B74F8F">
        <w:rPr>
          <w:b/>
          <w:bCs/>
          <w:snapToGrid/>
          <w:sz w:val="28"/>
          <w:szCs w:val="28"/>
        </w:rPr>
        <w:t>5.5. Цикл нагляду</w:t>
      </w:r>
      <w:r w:rsidR="001E6091">
        <w:rPr>
          <w:b/>
          <w:bCs/>
          <w:snapToGrid/>
          <w:sz w:val="28"/>
          <w:szCs w:val="28"/>
        </w:rPr>
        <w:t>.</w:t>
      </w:r>
      <w:r w:rsidRPr="00B74F8F">
        <w:rPr>
          <w:b/>
          <w:bCs/>
          <w:snapToGrid/>
          <w:sz w:val="28"/>
          <w:szCs w:val="28"/>
        </w:rPr>
        <w:t xml:space="preserve">  </w:t>
      </w:r>
    </w:p>
    <w:p w:rsidR="00B74F8F" w:rsidRPr="00B74F8F" w:rsidRDefault="00B74F8F" w:rsidP="00996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B74F8F">
        <w:rPr>
          <w:bCs/>
          <w:snapToGrid/>
          <w:sz w:val="28"/>
          <w:szCs w:val="28"/>
        </w:rPr>
        <w:t xml:space="preserve">За результатами оцінки </w:t>
      </w:r>
      <w:r w:rsidRPr="009857E2">
        <w:rPr>
          <w:sz w:val="28"/>
          <w:szCs w:val="28"/>
        </w:rPr>
        <w:t>рівня</w:t>
      </w:r>
      <w:r w:rsidRPr="00B74F8F">
        <w:rPr>
          <w:sz w:val="28"/>
          <w:szCs w:val="28"/>
        </w:rPr>
        <w:t xml:space="preserve"> ризику та якості управління ризиком</w:t>
      </w:r>
      <w:r w:rsidRPr="00B74F8F">
        <w:rPr>
          <w:b/>
          <w:sz w:val="28"/>
          <w:szCs w:val="28"/>
        </w:rPr>
        <w:t xml:space="preserve"> </w:t>
      </w:r>
      <w:r w:rsidRPr="00B74F8F">
        <w:rPr>
          <w:b/>
          <w:bCs/>
          <w:snapToGrid/>
          <w:sz w:val="28"/>
          <w:szCs w:val="28"/>
        </w:rPr>
        <w:t>формується матриця ризиків</w:t>
      </w:r>
      <w:r w:rsidRPr="00B74F8F">
        <w:rPr>
          <w:bCs/>
          <w:snapToGrid/>
          <w:sz w:val="28"/>
          <w:szCs w:val="28"/>
        </w:rPr>
        <w:t xml:space="preserve"> для кожного суб’єкта нагляду; на основі наявних даних </w:t>
      </w:r>
      <w:r w:rsidRPr="00B74F8F">
        <w:rPr>
          <w:b/>
          <w:sz w:val="28"/>
          <w:szCs w:val="28"/>
        </w:rPr>
        <w:t>визначається напрям ризику</w:t>
      </w:r>
      <w:r w:rsidRPr="00B74F8F">
        <w:rPr>
          <w:sz w:val="28"/>
          <w:szCs w:val="28"/>
        </w:rPr>
        <w:t xml:space="preserve"> кожного суб’єкта нагляду.</w:t>
      </w:r>
    </w:p>
    <w:p w:rsidR="00B74F8F" w:rsidRPr="00B74F8F" w:rsidRDefault="00B74F8F" w:rsidP="00996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B74F8F">
        <w:rPr>
          <w:sz w:val="28"/>
          <w:szCs w:val="28"/>
        </w:rPr>
        <w:t xml:space="preserve">На основі встановлених показників </w:t>
      </w:r>
      <w:r w:rsidRPr="00B74F8F">
        <w:rPr>
          <w:b/>
          <w:sz w:val="28"/>
          <w:szCs w:val="28"/>
        </w:rPr>
        <w:t>формується фокус</w:t>
      </w:r>
      <w:r w:rsidRPr="00B74F8F">
        <w:rPr>
          <w:sz w:val="28"/>
          <w:szCs w:val="28"/>
        </w:rPr>
        <w:t xml:space="preserve"> </w:t>
      </w:r>
      <w:r w:rsidRPr="00B74F8F">
        <w:rPr>
          <w:b/>
          <w:sz w:val="28"/>
          <w:szCs w:val="28"/>
        </w:rPr>
        <w:t>нагляду</w:t>
      </w:r>
      <w:r w:rsidRPr="00B74F8F">
        <w:rPr>
          <w:sz w:val="28"/>
          <w:szCs w:val="28"/>
        </w:rPr>
        <w:t xml:space="preserve"> НКЦПФР </w:t>
      </w:r>
      <w:r w:rsidRPr="009857E2">
        <w:rPr>
          <w:sz w:val="28"/>
          <w:szCs w:val="28"/>
        </w:rPr>
        <w:t xml:space="preserve">до </w:t>
      </w:r>
      <w:r w:rsidRPr="009857E2">
        <w:rPr>
          <w:bCs/>
          <w:snapToGrid/>
          <w:sz w:val="28"/>
          <w:szCs w:val="28"/>
        </w:rPr>
        <w:t>якого потрапляють установи, що підлягають пріоритетному нагляду з боку НКЦПФР.</w:t>
      </w:r>
    </w:p>
    <w:p w:rsidR="00B74F8F" w:rsidRPr="00B74F8F" w:rsidRDefault="00B74F8F" w:rsidP="00996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B74F8F">
        <w:rPr>
          <w:sz w:val="28"/>
          <w:szCs w:val="28"/>
        </w:rPr>
        <w:t xml:space="preserve">З урахуванням інформації фокусу нагляду, напряму ризику та матриці ризиків </w:t>
      </w:r>
      <w:r w:rsidRPr="00B74F8F">
        <w:rPr>
          <w:b/>
          <w:sz w:val="28"/>
          <w:szCs w:val="28"/>
        </w:rPr>
        <w:t xml:space="preserve">визначається стратегія нагляду </w:t>
      </w:r>
      <w:r w:rsidRPr="00B74F8F">
        <w:rPr>
          <w:sz w:val="28"/>
          <w:szCs w:val="28"/>
        </w:rPr>
        <w:t xml:space="preserve">НКЦПФР за </w:t>
      </w:r>
      <w:r w:rsidRPr="009857E2">
        <w:rPr>
          <w:sz w:val="28"/>
          <w:szCs w:val="28"/>
        </w:rPr>
        <w:t>установами</w:t>
      </w:r>
      <w:r w:rsidRPr="00B74F8F">
        <w:rPr>
          <w:sz w:val="28"/>
          <w:szCs w:val="28"/>
        </w:rPr>
        <w:t>.</w:t>
      </w:r>
    </w:p>
    <w:p w:rsidR="0020703F" w:rsidRDefault="00B74F8F" w:rsidP="00996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B74F8F">
        <w:rPr>
          <w:sz w:val="28"/>
          <w:szCs w:val="28"/>
        </w:rPr>
        <w:tab/>
      </w:r>
    </w:p>
    <w:p w:rsidR="00B74F8F" w:rsidRPr="00B74F8F" w:rsidRDefault="00B74F8F" w:rsidP="00996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9857E2">
        <w:rPr>
          <w:sz w:val="28"/>
          <w:szCs w:val="28"/>
        </w:rPr>
        <w:t>Стратегія</w:t>
      </w:r>
      <w:r w:rsidRPr="00B74F8F">
        <w:rPr>
          <w:sz w:val="28"/>
          <w:szCs w:val="28"/>
        </w:rPr>
        <w:t xml:space="preserve"> нагляду </w:t>
      </w:r>
      <w:r w:rsidRPr="009857E2">
        <w:rPr>
          <w:sz w:val="28"/>
          <w:szCs w:val="28"/>
        </w:rPr>
        <w:t>визначається для</w:t>
      </w:r>
      <w:r w:rsidRPr="009857E2">
        <w:rPr>
          <w:bCs/>
          <w:snapToGrid/>
          <w:sz w:val="28"/>
          <w:szCs w:val="28"/>
        </w:rPr>
        <w:t xml:space="preserve"> установ</w:t>
      </w:r>
      <w:r w:rsidRPr="00B74F8F">
        <w:rPr>
          <w:bCs/>
          <w:snapToGrid/>
          <w:sz w:val="28"/>
          <w:szCs w:val="28"/>
        </w:rPr>
        <w:t xml:space="preserve"> з помірним та високим сукупним ризиком. </w:t>
      </w:r>
      <w:r w:rsidRPr="00B74F8F">
        <w:rPr>
          <w:sz w:val="28"/>
          <w:szCs w:val="28"/>
        </w:rPr>
        <w:t>Інформація щодо суб’єктів нагляду з низьким сукупним ризиком актуалізується у наступному циклі формування матриці ризиків.</w:t>
      </w:r>
    </w:p>
    <w:p w:rsidR="00B74F8F" w:rsidRPr="00B74F8F" w:rsidRDefault="00B74F8F" w:rsidP="00996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p>
    <w:p w:rsidR="00B74F8F" w:rsidRPr="00B74F8F"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74F8F">
        <w:rPr>
          <w:b/>
          <w:sz w:val="28"/>
          <w:szCs w:val="28"/>
        </w:rPr>
        <w:t>Заходами нагляду (стратегі</w:t>
      </w:r>
      <w:r w:rsidRPr="009857E2">
        <w:rPr>
          <w:b/>
          <w:sz w:val="28"/>
          <w:szCs w:val="28"/>
        </w:rPr>
        <w:t>я</w:t>
      </w:r>
      <w:r w:rsidRPr="00B74F8F">
        <w:rPr>
          <w:b/>
          <w:sz w:val="28"/>
          <w:szCs w:val="28"/>
        </w:rPr>
        <w:t xml:space="preserve"> нагляду)</w:t>
      </w:r>
      <w:r w:rsidRPr="00B74F8F">
        <w:rPr>
          <w:sz w:val="28"/>
          <w:szCs w:val="28"/>
        </w:rPr>
        <w:t xml:space="preserve"> можуть бути: моніторинг або інспекція.</w:t>
      </w:r>
    </w:p>
    <w:p w:rsidR="00B74F8F" w:rsidRPr="00B74F8F" w:rsidRDefault="00B74F8F" w:rsidP="00996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B74F8F">
        <w:rPr>
          <w:sz w:val="28"/>
          <w:szCs w:val="28"/>
        </w:rPr>
        <w:t xml:space="preserve">У разі прийняття рішення про </w:t>
      </w:r>
      <w:r w:rsidRPr="00B74F8F">
        <w:rPr>
          <w:b/>
          <w:sz w:val="28"/>
          <w:szCs w:val="28"/>
        </w:rPr>
        <w:t>проведення моніторингу</w:t>
      </w:r>
      <w:r w:rsidRPr="00B74F8F">
        <w:rPr>
          <w:sz w:val="28"/>
          <w:szCs w:val="28"/>
        </w:rPr>
        <w:t xml:space="preserve"> виявляються джерела виникнення ризиків та визначається </w:t>
      </w:r>
      <w:r w:rsidRPr="00B74F8F">
        <w:rPr>
          <w:b/>
          <w:sz w:val="28"/>
          <w:szCs w:val="28"/>
        </w:rPr>
        <w:t>програма моніторингу</w:t>
      </w:r>
      <w:r w:rsidRPr="00B74F8F">
        <w:rPr>
          <w:sz w:val="28"/>
          <w:szCs w:val="28"/>
        </w:rPr>
        <w:t>, в ході якої НКЦПФР можуть вживатися такі заходи:</w:t>
      </w:r>
    </w:p>
    <w:p w:rsidR="00B74F8F" w:rsidRPr="00B74F8F" w:rsidRDefault="00996836" w:rsidP="00B74F8F">
      <w:pPr>
        <w:ind w:firstLine="720"/>
        <w:jc w:val="both"/>
        <w:rPr>
          <w:sz w:val="28"/>
          <w:szCs w:val="28"/>
          <w:lang w:val="ru-RU"/>
        </w:rPr>
      </w:pPr>
      <w:r>
        <w:rPr>
          <w:sz w:val="28"/>
          <w:szCs w:val="28"/>
        </w:rPr>
        <w:t>−</w:t>
      </w:r>
      <w:r w:rsidR="00B74F8F" w:rsidRPr="00B74F8F">
        <w:rPr>
          <w:sz w:val="28"/>
          <w:szCs w:val="28"/>
        </w:rPr>
        <w:t xml:space="preserve"> </w:t>
      </w:r>
      <w:r w:rsidR="00B74F8F" w:rsidRPr="009857E2">
        <w:rPr>
          <w:sz w:val="28"/>
          <w:szCs w:val="28"/>
        </w:rPr>
        <w:t>отримання інформації від суб’єк</w:t>
      </w:r>
      <w:r w:rsidR="00B74F8F" w:rsidRPr="00B74F8F">
        <w:rPr>
          <w:sz w:val="28"/>
          <w:szCs w:val="28"/>
        </w:rPr>
        <w:t>та нагляду;</w:t>
      </w:r>
    </w:p>
    <w:p w:rsidR="00B74F8F" w:rsidRPr="00B74F8F" w:rsidRDefault="00996836" w:rsidP="00B74F8F">
      <w:pPr>
        <w:ind w:firstLine="720"/>
        <w:jc w:val="both"/>
        <w:rPr>
          <w:sz w:val="28"/>
          <w:szCs w:val="28"/>
        </w:rPr>
      </w:pPr>
      <w:r>
        <w:rPr>
          <w:sz w:val="28"/>
          <w:szCs w:val="28"/>
        </w:rPr>
        <w:t>−</w:t>
      </w:r>
      <w:r w:rsidR="00B74F8F" w:rsidRPr="00B74F8F">
        <w:rPr>
          <w:sz w:val="28"/>
          <w:szCs w:val="28"/>
        </w:rPr>
        <w:t xml:space="preserve"> аналіз операцій, структури активів тощо;</w:t>
      </w:r>
    </w:p>
    <w:p w:rsidR="00B74F8F" w:rsidRPr="00B74F8F" w:rsidRDefault="00996836" w:rsidP="00B74F8F">
      <w:pPr>
        <w:ind w:firstLine="720"/>
        <w:jc w:val="both"/>
        <w:rPr>
          <w:sz w:val="28"/>
          <w:szCs w:val="28"/>
        </w:rPr>
      </w:pPr>
      <w:r>
        <w:rPr>
          <w:sz w:val="28"/>
          <w:szCs w:val="28"/>
        </w:rPr>
        <w:t>−</w:t>
      </w:r>
      <w:r w:rsidR="00B74F8F" w:rsidRPr="00B74F8F">
        <w:rPr>
          <w:sz w:val="28"/>
          <w:szCs w:val="28"/>
        </w:rPr>
        <w:t xml:space="preserve"> надання рекомендацій для суб’єкту нагляду.</w:t>
      </w:r>
    </w:p>
    <w:p w:rsidR="00B74F8F" w:rsidRPr="00B74F8F" w:rsidRDefault="00B74F8F" w:rsidP="00B74F8F">
      <w:pPr>
        <w:ind w:firstLine="720"/>
        <w:jc w:val="both"/>
        <w:rPr>
          <w:sz w:val="28"/>
          <w:szCs w:val="28"/>
        </w:rPr>
      </w:pPr>
    </w:p>
    <w:p w:rsidR="00B74F8F" w:rsidRPr="00B74F8F" w:rsidRDefault="00B74F8F" w:rsidP="0087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B74F8F">
        <w:rPr>
          <w:sz w:val="28"/>
          <w:szCs w:val="28"/>
        </w:rPr>
        <w:t xml:space="preserve">За результатами моніторингу визначається перелік необхідних </w:t>
      </w:r>
      <w:r w:rsidRPr="009857E2">
        <w:rPr>
          <w:sz w:val="28"/>
          <w:szCs w:val="28"/>
        </w:rPr>
        <w:t>попереджувальних заходів</w:t>
      </w:r>
      <w:r w:rsidRPr="00B74F8F">
        <w:rPr>
          <w:sz w:val="28"/>
          <w:szCs w:val="28"/>
        </w:rPr>
        <w:t xml:space="preserve"> впливу НКЦПФР у відношенні </w:t>
      </w:r>
      <w:r w:rsidRPr="009857E2">
        <w:rPr>
          <w:sz w:val="28"/>
          <w:szCs w:val="28"/>
        </w:rPr>
        <w:t>суб’єкта нагляду</w:t>
      </w:r>
      <w:r w:rsidRPr="00B74F8F">
        <w:rPr>
          <w:sz w:val="28"/>
          <w:szCs w:val="28"/>
        </w:rPr>
        <w:t xml:space="preserve"> до яких належать:</w:t>
      </w:r>
    </w:p>
    <w:p w:rsidR="00B74F8F" w:rsidRPr="00B74F8F" w:rsidRDefault="0087685E" w:rsidP="0087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xml:space="preserve">− </w:t>
      </w:r>
      <w:r w:rsidR="00B74F8F" w:rsidRPr="0020703F">
        <w:rPr>
          <w:sz w:val="28"/>
          <w:szCs w:val="28"/>
        </w:rPr>
        <w:t>проведення співбесід</w:t>
      </w:r>
      <w:r w:rsidR="00B74F8F" w:rsidRPr="00B74F8F">
        <w:rPr>
          <w:sz w:val="28"/>
          <w:szCs w:val="28"/>
        </w:rPr>
        <w:t xml:space="preserve"> з </w:t>
      </w:r>
      <w:r w:rsidR="002E4A7C">
        <w:rPr>
          <w:sz w:val="28"/>
          <w:szCs w:val="28"/>
        </w:rPr>
        <w:t>посадовими особами</w:t>
      </w:r>
      <w:r w:rsidR="00B74F8F" w:rsidRPr="00B74F8F">
        <w:rPr>
          <w:sz w:val="28"/>
          <w:szCs w:val="28"/>
        </w:rPr>
        <w:t xml:space="preserve"> суб’єкта нагляду, керівником підрозділу ризик-менеджменту</w:t>
      </w:r>
      <w:r w:rsidR="002E4A7C">
        <w:rPr>
          <w:sz w:val="28"/>
          <w:szCs w:val="28"/>
        </w:rPr>
        <w:t>, сертифікованими фахівцями</w:t>
      </w:r>
      <w:r w:rsidR="00B74F8F" w:rsidRPr="00B74F8F">
        <w:rPr>
          <w:sz w:val="28"/>
          <w:szCs w:val="28"/>
        </w:rPr>
        <w:t>;</w:t>
      </w:r>
    </w:p>
    <w:p w:rsidR="00B74F8F" w:rsidRPr="00B74F8F" w:rsidRDefault="0087685E" w:rsidP="0087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w:t>
      </w:r>
      <w:r w:rsidR="00B74F8F" w:rsidRPr="00B74F8F">
        <w:rPr>
          <w:sz w:val="28"/>
          <w:szCs w:val="28"/>
        </w:rPr>
        <w:t xml:space="preserve"> направлення рекомендаційних листів;</w:t>
      </w:r>
    </w:p>
    <w:p w:rsidR="00B74F8F" w:rsidRPr="00B74F8F" w:rsidRDefault="0087685E" w:rsidP="0087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w:t>
      </w:r>
      <w:r w:rsidR="00B74F8F" w:rsidRPr="00B74F8F">
        <w:rPr>
          <w:sz w:val="28"/>
          <w:szCs w:val="28"/>
        </w:rPr>
        <w:t xml:space="preserve"> направлення письмових застережень</w:t>
      </w:r>
      <w:r w:rsidR="0020703F">
        <w:rPr>
          <w:sz w:val="28"/>
          <w:szCs w:val="28"/>
        </w:rPr>
        <w:t>,</w:t>
      </w:r>
      <w:r w:rsidR="0020703F" w:rsidRPr="0020703F">
        <w:rPr>
          <w:sz w:val="28"/>
          <w:szCs w:val="28"/>
        </w:rPr>
        <w:t xml:space="preserve"> </w:t>
      </w:r>
      <w:r w:rsidR="0020703F" w:rsidRPr="00B74F8F">
        <w:rPr>
          <w:sz w:val="28"/>
          <w:szCs w:val="28"/>
        </w:rPr>
        <w:t>винесення розпоряджень</w:t>
      </w:r>
      <w:r w:rsidR="00B74F8F" w:rsidRPr="00B74F8F">
        <w:rPr>
          <w:sz w:val="28"/>
          <w:szCs w:val="28"/>
        </w:rPr>
        <w:t>;</w:t>
      </w:r>
    </w:p>
    <w:p w:rsidR="0020703F" w:rsidRDefault="0087685E" w:rsidP="0087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w:t>
      </w:r>
      <w:r w:rsidR="00B74F8F" w:rsidRPr="00B74F8F">
        <w:rPr>
          <w:sz w:val="28"/>
          <w:szCs w:val="28"/>
        </w:rPr>
        <w:t xml:space="preserve"> </w:t>
      </w:r>
      <w:r w:rsidR="00B74F8F" w:rsidRPr="0020703F">
        <w:rPr>
          <w:sz w:val="28"/>
          <w:szCs w:val="28"/>
        </w:rPr>
        <w:t xml:space="preserve">вжиття заходів щодо </w:t>
      </w:r>
      <w:r w:rsidR="002E4A7C">
        <w:rPr>
          <w:sz w:val="28"/>
          <w:szCs w:val="28"/>
        </w:rPr>
        <w:t xml:space="preserve">обмеження </w:t>
      </w:r>
      <w:r w:rsidR="00B74F8F" w:rsidRPr="0020703F">
        <w:rPr>
          <w:sz w:val="28"/>
          <w:szCs w:val="28"/>
        </w:rPr>
        <w:t>дії</w:t>
      </w:r>
      <w:r w:rsidR="00B74F8F" w:rsidRPr="00B74F8F">
        <w:rPr>
          <w:sz w:val="28"/>
          <w:szCs w:val="28"/>
        </w:rPr>
        <w:t xml:space="preserve"> ліцензі</w:t>
      </w:r>
      <w:r w:rsidR="00B74F8F" w:rsidRPr="0020703F">
        <w:rPr>
          <w:sz w:val="28"/>
          <w:szCs w:val="28"/>
        </w:rPr>
        <w:t>ї</w:t>
      </w:r>
      <w:r w:rsidR="0020703F">
        <w:rPr>
          <w:sz w:val="28"/>
          <w:szCs w:val="28"/>
        </w:rPr>
        <w:t>;</w:t>
      </w:r>
    </w:p>
    <w:p w:rsidR="00B74F8F" w:rsidRPr="00B74F8F" w:rsidRDefault="0087685E" w:rsidP="0087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xml:space="preserve">− </w:t>
      </w:r>
      <w:r w:rsidR="00B02F7D">
        <w:rPr>
          <w:sz w:val="28"/>
          <w:szCs w:val="28"/>
        </w:rPr>
        <w:t xml:space="preserve">застосування </w:t>
      </w:r>
      <w:r w:rsidR="002E4A7C">
        <w:rPr>
          <w:sz w:val="28"/>
          <w:szCs w:val="28"/>
        </w:rPr>
        <w:t xml:space="preserve">заходів щодо відповідальності </w:t>
      </w:r>
      <w:r w:rsidR="00B02F7D">
        <w:rPr>
          <w:sz w:val="28"/>
          <w:szCs w:val="28"/>
        </w:rPr>
        <w:t>посадових осі</w:t>
      </w:r>
      <w:r w:rsidR="002E4A7C">
        <w:rPr>
          <w:sz w:val="28"/>
          <w:szCs w:val="28"/>
        </w:rPr>
        <w:t>б, сертифікованих фахівців.</w:t>
      </w:r>
      <w:r w:rsidR="00B74F8F" w:rsidRPr="00B74F8F">
        <w:rPr>
          <w:sz w:val="28"/>
          <w:szCs w:val="28"/>
        </w:rPr>
        <w:t xml:space="preserve"> </w:t>
      </w:r>
    </w:p>
    <w:p w:rsidR="00B74F8F" w:rsidRPr="00B74F8F" w:rsidRDefault="00B74F8F" w:rsidP="00B74F8F">
      <w:pPr>
        <w:ind w:firstLine="720"/>
        <w:jc w:val="both"/>
        <w:rPr>
          <w:sz w:val="28"/>
          <w:szCs w:val="28"/>
        </w:rPr>
      </w:pPr>
    </w:p>
    <w:p w:rsidR="00B74F8F" w:rsidRPr="00B74F8F" w:rsidRDefault="00B74F8F" w:rsidP="00B74F8F">
      <w:pPr>
        <w:ind w:firstLine="720"/>
        <w:jc w:val="both"/>
        <w:rPr>
          <w:sz w:val="28"/>
          <w:szCs w:val="28"/>
        </w:rPr>
      </w:pPr>
      <w:r w:rsidRPr="00B74F8F">
        <w:rPr>
          <w:sz w:val="28"/>
          <w:szCs w:val="28"/>
        </w:rPr>
        <w:t xml:space="preserve">У разі прийняття рішення про </w:t>
      </w:r>
      <w:r w:rsidRPr="00B74F8F">
        <w:rPr>
          <w:b/>
          <w:sz w:val="28"/>
          <w:szCs w:val="28"/>
        </w:rPr>
        <w:t>проведення інспекції</w:t>
      </w:r>
      <w:r w:rsidRPr="00B74F8F">
        <w:rPr>
          <w:sz w:val="28"/>
          <w:szCs w:val="28"/>
        </w:rPr>
        <w:t xml:space="preserve"> визначається необхідна категорія інспекції. </w:t>
      </w:r>
    </w:p>
    <w:p w:rsidR="00B74F8F" w:rsidRPr="009857E2" w:rsidRDefault="00B74F8F" w:rsidP="00B74F8F">
      <w:pPr>
        <w:ind w:firstLine="720"/>
        <w:jc w:val="both"/>
        <w:rPr>
          <w:sz w:val="28"/>
          <w:szCs w:val="28"/>
        </w:rPr>
      </w:pPr>
      <w:r w:rsidRPr="009857E2">
        <w:rPr>
          <w:b/>
          <w:sz w:val="28"/>
          <w:szCs w:val="28"/>
        </w:rPr>
        <w:t>Інспекція</w:t>
      </w:r>
      <w:r w:rsidRPr="009857E2">
        <w:rPr>
          <w:sz w:val="28"/>
          <w:szCs w:val="28"/>
        </w:rPr>
        <w:t xml:space="preserve"> – це захід контролю за учасниками, які провадять професійну діяльність на фондовому ринку, за місцем їх розташування.</w:t>
      </w:r>
    </w:p>
    <w:p w:rsidR="00B74F8F" w:rsidRPr="00B74F8F" w:rsidRDefault="00B74F8F" w:rsidP="00B74F8F">
      <w:pPr>
        <w:ind w:firstLine="720"/>
        <w:jc w:val="both"/>
        <w:rPr>
          <w:sz w:val="28"/>
          <w:szCs w:val="28"/>
        </w:rPr>
      </w:pPr>
      <w:r w:rsidRPr="00B74F8F">
        <w:rPr>
          <w:sz w:val="28"/>
          <w:szCs w:val="28"/>
        </w:rPr>
        <w:t xml:space="preserve">За результатами проведення інспекції складається звіт, визначаються необхідні попереджувальні заходи впливу НКЦПФР у відношенні </w:t>
      </w:r>
      <w:r w:rsidRPr="009857E2">
        <w:rPr>
          <w:sz w:val="28"/>
          <w:szCs w:val="28"/>
        </w:rPr>
        <w:t xml:space="preserve">суб’єкта </w:t>
      </w:r>
      <w:r w:rsidRPr="009857E2">
        <w:rPr>
          <w:sz w:val="28"/>
          <w:szCs w:val="28"/>
        </w:rPr>
        <w:lastRenderedPageBreak/>
        <w:t>нагляду</w:t>
      </w:r>
      <w:r w:rsidRPr="00B74F8F">
        <w:rPr>
          <w:sz w:val="28"/>
          <w:szCs w:val="28"/>
        </w:rPr>
        <w:t>, які є аналогічними тим, що застосовуються за результатами моніторингу.</w:t>
      </w:r>
    </w:p>
    <w:p w:rsidR="00B74F8F" w:rsidRPr="00B74F8F" w:rsidRDefault="00B74F8F" w:rsidP="00B74F8F">
      <w:pPr>
        <w:ind w:firstLine="720"/>
        <w:jc w:val="both"/>
        <w:rPr>
          <w:sz w:val="28"/>
          <w:szCs w:val="28"/>
        </w:rPr>
      </w:pPr>
    </w:p>
    <w:p w:rsidR="00B74F8F" w:rsidRPr="00B74F8F" w:rsidRDefault="00B74F8F" w:rsidP="00B74F8F">
      <w:pPr>
        <w:ind w:firstLine="720"/>
        <w:jc w:val="both"/>
        <w:rPr>
          <w:sz w:val="28"/>
          <w:szCs w:val="28"/>
        </w:rPr>
      </w:pPr>
      <w:r w:rsidRPr="00B74F8F">
        <w:rPr>
          <w:sz w:val="28"/>
          <w:szCs w:val="28"/>
        </w:rPr>
        <w:t xml:space="preserve">Інформація, отримана в ході проведення моніторингу або інспекції, та результати попереджувальних заходів впливу використовуються для актуалізації матриці ризиків </w:t>
      </w:r>
      <w:r w:rsidRPr="009857E2">
        <w:rPr>
          <w:sz w:val="28"/>
          <w:szCs w:val="28"/>
        </w:rPr>
        <w:t>та оцінки напряму ризику</w:t>
      </w:r>
      <w:r w:rsidRPr="00B74F8F">
        <w:rPr>
          <w:sz w:val="28"/>
          <w:szCs w:val="28"/>
        </w:rPr>
        <w:t>.</w:t>
      </w:r>
    </w:p>
    <w:p w:rsidR="00B74F8F" w:rsidRPr="00B74F8F" w:rsidRDefault="00B74F8F" w:rsidP="00B74F8F">
      <w:pPr>
        <w:ind w:firstLine="720"/>
        <w:jc w:val="both"/>
        <w:rPr>
          <w:sz w:val="28"/>
          <w:szCs w:val="28"/>
        </w:rPr>
      </w:pPr>
    </w:p>
    <w:p w:rsidR="00B74F8F" w:rsidRPr="00B74F8F" w:rsidRDefault="00B74F8F" w:rsidP="00B74F8F">
      <w:pPr>
        <w:ind w:firstLine="720"/>
        <w:jc w:val="both"/>
        <w:rPr>
          <w:sz w:val="28"/>
          <w:szCs w:val="28"/>
        </w:rPr>
      </w:pPr>
      <w:r w:rsidRPr="00B74F8F">
        <w:rPr>
          <w:sz w:val="28"/>
          <w:szCs w:val="28"/>
        </w:rPr>
        <w:t>У разі виявлення в ході проведення інспекції порушень вимог законодавства вживаються заходи правозастосування.</w:t>
      </w:r>
    </w:p>
    <w:p w:rsidR="00B74F8F" w:rsidRPr="00B74F8F" w:rsidRDefault="00B74F8F" w:rsidP="00B74F8F">
      <w:pPr>
        <w:ind w:firstLine="720"/>
        <w:jc w:val="both"/>
        <w:rPr>
          <w:sz w:val="28"/>
          <w:szCs w:val="28"/>
        </w:rPr>
      </w:pPr>
    </w:p>
    <w:p w:rsidR="00B74F8F" w:rsidRPr="00B74F8F" w:rsidRDefault="00B74F8F" w:rsidP="0087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napToGrid/>
          <w:sz w:val="28"/>
          <w:szCs w:val="28"/>
        </w:rPr>
      </w:pPr>
      <w:r w:rsidRPr="00B74F8F">
        <w:rPr>
          <w:snapToGrid/>
          <w:sz w:val="28"/>
          <w:szCs w:val="28"/>
        </w:rPr>
        <w:t xml:space="preserve">Оцінка сукупного ризику </w:t>
      </w:r>
      <w:r w:rsidRPr="009857E2">
        <w:rPr>
          <w:snapToGrid/>
          <w:sz w:val="28"/>
          <w:szCs w:val="28"/>
        </w:rPr>
        <w:t>установи</w:t>
      </w:r>
      <w:r w:rsidRPr="00B74F8F">
        <w:rPr>
          <w:snapToGrid/>
          <w:sz w:val="28"/>
          <w:szCs w:val="28"/>
        </w:rPr>
        <w:t xml:space="preserve"> (формування матриці ризиків) та оцінка напряму ризику здійсню</w:t>
      </w:r>
      <w:r w:rsidRPr="009857E2">
        <w:rPr>
          <w:snapToGrid/>
          <w:sz w:val="28"/>
          <w:szCs w:val="28"/>
        </w:rPr>
        <w:t>ю</w:t>
      </w:r>
      <w:r w:rsidRPr="00B74F8F">
        <w:rPr>
          <w:snapToGrid/>
          <w:sz w:val="28"/>
          <w:szCs w:val="28"/>
        </w:rPr>
        <w:t xml:space="preserve">ться у кінці кожного визначеного циклу нагляду. Така оцінка може </w:t>
      </w:r>
      <w:r w:rsidRPr="009857E2">
        <w:rPr>
          <w:snapToGrid/>
          <w:sz w:val="28"/>
          <w:szCs w:val="28"/>
        </w:rPr>
        <w:t>здійснюватися у</w:t>
      </w:r>
      <w:r w:rsidRPr="00B74F8F">
        <w:rPr>
          <w:snapToGrid/>
          <w:sz w:val="28"/>
          <w:szCs w:val="28"/>
        </w:rPr>
        <w:t xml:space="preserve"> будь-який час, коли стає відомо про зміни параметрів ризиків </w:t>
      </w:r>
      <w:r w:rsidRPr="009857E2">
        <w:rPr>
          <w:snapToGrid/>
          <w:sz w:val="28"/>
          <w:szCs w:val="28"/>
        </w:rPr>
        <w:t>або напряму ризику</w:t>
      </w:r>
      <w:r w:rsidRPr="00B74F8F">
        <w:rPr>
          <w:snapToGrid/>
          <w:sz w:val="28"/>
          <w:szCs w:val="28"/>
        </w:rPr>
        <w:t xml:space="preserve"> на проміжних етапах циклу.</w:t>
      </w:r>
    </w:p>
    <w:p w:rsidR="00B74F8F" w:rsidRPr="009857E2" w:rsidRDefault="00B74F8F" w:rsidP="0087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9857E2">
        <w:rPr>
          <w:sz w:val="28"/>
          <w:szCs w:val="28"/>
        </w:rPr>
        <w:t>Термін циклу нагляду повинен бути таким, щоб забезпечити своєчасне врахування змін, які відбулися в діяльності суб’єкта нагляду та впливають на оцінку сукупного ризику та напрям ризику.</w:t>
      </w:r>
    </w:p>
    <w:p w:rsidR="00B74F8F"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sz w:val="28"/>
          <w:szCs w:val="28"/>
        </w:rPr>
      </w:pPr>
    </w:p>
    <w:p w:rsidR="002E4A7C" w:rsidRPr="0087685E" w:rsidRDefault="002E4A7C" w:rsidP="002E4A7C">
      <w:pPr>
        <w:jc w:val="right"/>
        <w:rPr>
          <w:sz w:val="18"/>
          <w:szCs w:val="18"/>
        </w:rPr>
      </w:pPr>
    </w:p>
    <w:p w:rsidR="002E4A7C" w:rsidRPr="0087685E" w:rsidRDefault="002E4A7C" w:rsidP="002E4A7C">
      <w:pPr>
        <w:rPr>
          <w:sz w:val="18"/>
          <w:szCs w:val="18"/>
        </w:rPr>
      </w:pPr>
    </w:p>
    <w:p w:rsidR="002E4A7C" w:rsidRPr="0087685E" w:rsidRDefault="002E4A7C" w:rsidP="002E4A7C">
      <w:pPr>
        <w:rPr>
          <w:sz w:val="18"/>
          <w:szCs w:val="18"/>
        </w:rPr>
        <w:sectPr w:rsidR="002E4A7C" w:rsidRPr="0087685E" w:rsidSect="003074A3">
          <w:footerReference w:type="even" r:id="rId8"/>
          <w:footerReference w:type="default" r:id="rId9"/>
          <w:pgSz w:w="11906" w:h="16838"/>
          <w:pgMar w:top="850" w:right="850" w:bottom="360" w:left="1417" w:header="708" w:footer="708" w:gutter="0"/>
          <w:pgNumType w:start="0"/>
          <w:cols w:space="708"/>
          <w:titlePg/>
          <w:docGrid w:linePitch="360"/>
        </w:sectPr>
      </w:pPr>
    </w:p>
    <w:p w:rsidR="002E4A7C" w:rsidRPr="0087685E" w:rsidRDefault="002E4A7C" w:rsidP="002E4A7C">
      <w:pPr>
        <w:rPr>
          <w:sz w:val="18"/>
          <w:szCs w:val="18"/>
        </w:rPr>
      </w:pPr>
    </w:p>
    <w:p w:rsidR="002E4A7C" w:rsidRDefault="002E4A7C" w:rsidP="002E4A7C">
      <w:r>
        <w:rPr>
          <w:noProof/>
        </w:rPr>
      </w:r>
      <w:r>
        <w:pict>
          <v:group id="_x0000_s1037" editas="canvas" style="width:756pt;height:468pt;mso-position-horizontal-relative:char;mso-position-vertical-relative:line" coordorigin="4692,4308" coordsize="7200,4492">
            <o:lock v:ext="edit" aspectratio="t"/>
            <v:shape id="_x0000_s1038" type="#_x0000_t75" style="position:absolute;left:4692;top:4308;width:7200;height:4492" o:preferrelative="f">
              <v:fill o:detectmouseclick="t"/>
              <v:path o:extrusionok="t" o:connecttype="none"/>
              <o:lock v:ext="edit" text="t"/>
            </v:shape>
            <v:rect id="_x0000_s1039" style="position:absolute;left:5635;top:5172;width:1116;height:258">
              <v:textbox style="mso-next-textbox:#_x0000_s1039">
                <w:txbxContent>
                  <w:p w:rsidR="002E4A7C" w:rsidRPr="009D62E2" w:rsidRDefault="002E4A7C" w:rsidP="002E4A7C">
                    <w:pPr>
                      <w:jc w:val="center"/>
                      <w:rPr>
                        <w:sz w:val="18"/>
                        <w:szCs w:val="18"/>
                      </w:rPr>
                    </w:pPr>
                    <w:r w:rsidRPr="009D62E2">
                      <w:rPr>
                        <w:sz w:val="18"/>
                        <w:szCs w:val="18"/>
                      </w:rPr>
                      <w:t>Низький сукупний ризик</w:t>
                    </w:r>
                  </w:p>
                </w:txbxContent>
              </v:textbox>
            </v:rect>
            <v:rect id="_x0000_s1040" style="position:absolute;left:7178;top:5690;width:2828;height:257">
              <v:textbox style="mso-next-textbox:#_x0000_s1040">
                <w:txbxContent>
                  <w:p w:rsidR="002E4A7C" w:rsidRPr="00A96E5D" w:rsidRDefault="002E4A7C" w:rsidP="002E4A7C">
                    <w:pPr>
                      <w:jc w:val="center"/>
                      <w:rPr>
                        <w:sz w:val="22"/>
                        <w:szCs w:val="22"/>
                      </w:rPr>
                    </w:pPr>
                    <w:r w:rsidRPr="00A96E5D">
                      <w:rPr>
                        <w:sz w:val="22"/>
                        <w:szCs w:val="22"/>
                      </w:rPr>
                      <w:t>Визначення стратегії нагляду</w:t>
                    </w:r>
                  </w:p>
                </w:txbxContent>
              </v:textbox>
            </v:rect>
            <v:rect id="_x0000_s1041" style="position:absolute;left:5378;top:5690;width:1457;height:258">
              <v:textbox style="mso-next-textbox:#_x0000_s1041">
                <w:txbxContent>
                  <w:p w:rsidR="002E4A7C" w:rsidRPr="00F54467" w:rsidRDefault="002E4A7C" w:rsidP="002E4A7C">
                    <w:pPr>
                      <w:jc w:val="center"/>
                      <w:rPr>
                        <w:sz w:val="22"/>
                        <w:szCs w:val="22"/>
                      </w:rPr>
                    </w:pPr>
                    <w:r>
                      <w:rPr>
                        <w:sz w:val="22"/>
                        <w:szCs w:val="22"/>
                      </w:rPr>
                      <w:t>М</w:t>
                    </w:r>
                    <w:r w:rsidRPr="00F54467">
                      <w:rPr>
                        <w:sz w:val="22"/>
                        <w:szCs w:val="22"/>
                      </w:rPr>
                      <w:t>оніторинг</w:t>
                    </w:r>
                  </w:p>
                </w:txbxContent>
              </v:textbox>
            </v:rect>
            <v:rect id="_x0000_s1042" style="position:absolute;left:10349;top:5690;width:1372;height:258">
              <v:textbox style="mso-next-textbox:#_x0000_s1042">
                <w:txbxContent>
                  <w:p w:rsidR="002E4A7C" w:rsidRPr="00F54467" w:rsidRDefault="002E4A7C" w:rsidP="002E4A7C">
                    <w:pPr>
                      <w:jc w:val="center"/>
                      <w:rPr>
                        <w:sz w:val="22"/>
                        <w:szCs w:val="22"/>
                      </w:rPr>
                    </w:pPr>
                    <w:r w:rsidRPr="00F54467">
                      <w:rPr>
                        <w:sz w:val="22"/>
                        <w:szCs w:val="22"/>
                      </w:rPr>
                      <w:t>Інспекція</w:t>
                    </w:r>
                  </w:p>
                </w:txbxContent>
              </v:textbox>
            </v:rect>
            <v:rect id="_x0000_s1043" style="position:absolute;left:5378;top:6381;width:1628;height:433">
              <v:textbox style="mso-next-textbox:#_x0000_s1043">
                <w:txbxContent>
                  <w:p w:rsidR="002E4A7C" w:rsidRDefault="002E4A7C" w:rsidP="002E4A7C">
                    <w:pPr>
                      <w:jc w:val="center"/>
                      <w:rPr>
                        <w:sz w:val="22"/>
                        <w:szCs w:val="22"/>
                      </w:rPr>
                    </w:pPr>
                  </w:p>
                  <w:p w:rsidR="002E4A7C" w:rsidRPr="002E0316" w:rsidRDefault="002E4A7C" w:rsidP="002E4A7C">
                    <w:pPr>
                      <w:jc w:val="center"/>
                      <w:rPr>
                        <w:sz w:val="22"/>
                        <w:szCs w:val="22"/>
                      </w:rPr>
                    </w:pPr>
                    <w:r w:rsidRPr="002E0316">
                      <w:rPr>
                        <w:sz w:val="22"/>
                        <w:szCs w:val="22"/>
                      </w:rPr>
                      <w:t>Виявлення джерел проблем</w:t>
                    </w:r>
                  </w:p>
                  <w:p w:rsidR="002E4A7C" w:rsidRPr="0098343D" w:rsidRDefault="002E4A7C" w:rsidP="002E4A7C">
                    <w:pPr>
                      <w:rPr>
                        <w:szCs w:val="22"/>
                      </w:rPr>
                    </w:pPr>
                  </w:p>
                </w:txbxContent>
              </v:textbox>
            </v:rect>
            <v:line id="_x0000_s1044" style="position:absolute" from="6149,6813" to="6150,7331">
              <v:stroke endarrow="block"/>
            </v:line>
            <v:rect id="_x0000_s1045" style="position:absolute;left:6321;top:7936;width:1628;height:260">
              <v:textbox style="mso-next-textbox:#_x0000_s1045">
                <w:txbxContent>
                  <w:p w:rsidR="002E4A7C" w:rsidRPr="00C22438" w:rsidRDefault="002E4A7C" w:rsidP="002E4A7C">
                    <w:pPr>
                      <w:jc w:val="center"/>
                      <w:rPr>
                        <w:sz w:val="20"/>
                        <w:szCs w:val="20"/>
                      </w:rPr>
                    </w:pPr>
                    <w:r w:rsidRPr="00C22438">
                      <w:rPr>
                        <w:sz w:val="20"/>
                        <w:szCs w:val="20"/>
                      </w:rPr>
                      <w:t>Результати безвиїзного моніторингу</w:t>
                    </w:r>
                  </w:p>
                </w:txbxContent>
              </v:textbox>
            </v:rect>
            <v:rect id="_x0000_s1046" style="position:absolute;left:7092;top:8368;width:2658;height:260">
              <v:textbox style="mso-next-textbox:#_x0000_s1046">
                <w:txbxContent>
                  <w:p w:rsidR="002E4A7C" w:rsidRPr="00B44F4C" w:rsidRDefault="002E4A7C" w:rsidP="002E4A7C">
                    <w:pPr>
                      <w:jc w:val="center"/>
                      <w:rPr>
                        <w:sz w:val="22"/>
                        <w:szCs w:val="22"/>
                      </w:rPr>
                    </w:pPr>
                    <w:r w:rsidRPr="00B44F4C">
                      <w:rPr>
                        <w:sz w:val="22"/>
                        <w:szCs w:val="22"/>
                      </w:rPr>
                      <w:t xml:space="preserve">Актуалізація </w:t>
                    </w:r>
                    <w:r>
                      <w:rPr>
                        <w:sz w:val="22"/>
                        <w:szCs w:val="22"/>
                      </w:rPr>
                      <w:t>матриці</w:t>
                    </w:r>
                    <w:r w:rsidRPr="00B44F4C">
                      <w:rPr>
                        <w:sz w:val="22"/>
                        <w:szCs w:val="22"/>
                      </w:rPr>
                      <w:t xml:space="preserve"> ризик</w:t>
                    </w:r>
                    <w:r>
                      <w:rPr>
                        <w:sz w:val="22"/>
                        <w:szCs w:val="22"/>
                      </w:rPr>
                      <w:t>ів та напряму ризику</w:t>
                    </w:r>
                  </w:p>
                </w:txbxContent>
              </v:textbox>
            </v:rect>
            <v:rect id="_x0000_s1047" style="position:absolute;left:9235;top:6208;width:1886;height:260">
              <v:textbox style="mso-next-textbox:#_x0000_s1047">
                <w:txbxContent>
                  <w:p w:rsidR="002E4A7C" w:rsidRPr="00F54467" w:rsidRDefault="002E4A7C" w:rsidP="002E4A7C">
                    <w:pPr>
                      <w:jc w:val="center"/>
                      <w:rPr>
                        <w:sz w:val="22"/>
                        <w:szCs w:val="22"/>
                      </w:rPr>
                    </w:pPr>
                    <w:r w:rsidRPr="00F54467">
                      <w:rPr>
                        <w:sz w:val="22"/>
                        <w:szCs w:val="22"/>
                      </w:rPr>
                      <w:t>Визначення категорії інспекції</w:t>
                    </w:r>
                  </w:p>
                </w:txbxContent>
              </v:textbox>
            </v:rect>
            <v:rect id="_x0000_s1048" style="position:absolute;left:9235;top:6726;width:1886;height:260">
              <v:textbox style="mso-next-textbox:#_x0000_s1048">
                <w:txbxContent>
                  <w:p w:rsidR="002E4A7C" w:rsidRPr="00F54467" w:rsidRDefault="002E4A7C" w:rsidP="002E4A7C">
                    <w:pPr>
                      <w:jc w:val="center"/>
                      <w:rPr>
                        <w:sz w:val="22"/>
                        <w:szCs w:val="22"/>
                      </w:rPr>
                    </w:pPr>
                    <w:r w:rsidRPr="00F54467">
                      <w:rPr>
                        <w:sz w:val="22"/>
                        <w:szCs w:val="22"/>
                      </w:rPr>
                      <w:t>Проведення інспекції</w:t>
                    </w:r>
                  </w:p>
                </w:txbxContent>
              </v:textbox>
            </v:rect>
            <v:rect id="_x0000_s1049" style="position:absolute;left:9492;top:7331;width:943;height:259">
              <v:textbox style="mso-next-textbox:#_x0000_s1049">
                <w:txbxContent>
                  <w:p w:rsidR="002E4A7C" w:rsidRPr="00F54467" w:rsidRDefault="002E4A7C" w:rsidP="002E4A7C">
                    <w:pPr>
                      <w:jc w:val="center"/>
                      <w:rPr>
                        <w:sz w:val="22"/>
                        <w:szCs w:val="22"/>
                      </w:rPr>
                    </w:pPr>
                    <w:r w:rsidRPr="00F54467">
                      <w:rPr>
                        <w:sz w:val="22"/>
                        <w:szCs w:val="22"/>
                      </w:rPr>
                      <w:t xml:space="preserve">Звіт </w:t>
                    </w:r>
                  </w:p>
                </w:txbxContent>
              </v:textbox>
            </v:rect>
            <v:rect id="_x0000_s1050" style="position:absolute;left:10692;top:7331;width:943;height:262">
              <v:textbox style="mso-next-textbox:#_x0000_s1050">
                <w:txbxContent>
                  <w:p w:rsidR="002E4A7C" w:rsidRPr="00296C11" w:rsidRDefault="002E4A7C" w:rsidP="002E4A7C">
                    <w:pPr>
                      <w:jc w:val="center"/>
                      <w:rPr>
                        <w:sz w:val="20"/>
                        <w:szCs w:val="20"/>
                      </w:rPr>
                    </w:pPr>
                    <w:r w:rsidRPr="00296C11">
                      <w:rPr>
                        <w:sz w:val="20"/>
                        <w:szCs w:val="20"/>
                      </w:rPr>
                      <w:t xml:space="preserve">Правозастосування </w:t>
                    </w:r>
                  </w:p>
                </w:txbxContent>
              </v:textbox>
            </v:rect>
            <v:rect id="_x0000_s1051" style="position:absolute;left:8206;top:7936;width:943;height:259">
              <v:textbox style="mso-next-textbox:#_x0000_s1051">
                <w:txbxContent>
                  <w:p w:rsidR="002E4A7C" w:rsidRPr="005B1144" w:rsidRDefault="002E4A7C" w:rsidP="002E4A7C">
                    <w:pPr>
                      <w:jc w:val="center"/>
                      <w:rPr>
                        <w:sz w:val="18"/>
                        <w:szCs w:val="18"/>
                      </w:rPr>
                    </w:pPr>
                    <w:r w:rsidRPr="005B1144">
                      <w:rPr>
                        <w:sz w:val="18"/>
                        <w:szCs w:val="18"/>
                      </w:rPr>
                      <w:t>Попереджувальні заходи впливу</w:t>
                    </w:r>
                  </w:p>
                </w:txbxContent>
              </v:textbox>
            </v:rect>
            <v:rect id="_x0000_s1052" style="position:absolute;left:9406;top:7936;width:1200;height:259;flip:y">
              <v:textbox style="mso-next-textbox:#_x0000_s1052">
                <w:txbxContent>
                  <w:p w:rsidR="002E4A7C" w:rsidRPr="002E0316" w:rsidRDefault="002E4A7C" w:rsidP="002E4A7C">
                    <w:pPr>
                      <w:jc w:val="center"/>
                      <w:rPr>
                        <w:sz w:val="22"/>
                        <w:szCs w:val="22"/>
                      </w:rPr>
                    </w:pPr>
                    <w:r>
                      <w:rPr>
                        <w:sz w:val="22"/>
                        <w:szCs w:val="22"/>
                      </w:rPr>
                      <w:t>Р</w:t>
                    </w:r>
                    <w:r w:rsidRPr="002E0316">
                      <w:rPr>
                        <w:sz w:val="22"/>
                        <w:szCs w:val="22"/>
                      </w:rPr>
                      <w:t>езультат</w:t>
                    </w:r>
                    <w:r>
                      <w:rPr>
                        <w:sz w:val="22"/>
                        <w:szCs w:val="22"/>
                      </w:rPr>
                      <w:t>и інспекції</w:t>
                    </w:r>
                  </w:p>
                </w:txbxContent>
              </v:textbox>
            </v:rect>
            <v:rect id="_x0000_s1053" style="position:absolute;left:5635;top:7331;width:1285;height:345">
              <v:textbox style="mso-next-textbox:#_x0000_s1053">
                <w:txbxContent>
                  <w:p w:rsidR="002E4A7C" w:rsidRPr="00F54467" w:rsidRDefault="002E4A7C" w:rsidP="002E4A7C">
                    <w:pPr>
                      <w:jc w:val="center"/>
                      <w:rPr>
                        <w:sz w:val="22"/>
                        <w:szCs w:val="22"/>
                      </w:rPr>
                    </w:pPr>
                    <w:r w:rsidRPr="00F54467">
                      <w:rPr>
                        <w:sz w:val="22"/>
                        <w:szCs w:val="22"/>
                      </w:rPr>
                      <w:t>Визначення програми моніторингу</w:t>
                    </w:r>
                  </w:p>
                  <w:p w:rsidR="002E4A7C" w:rsidRDefault="002E4A7C" w:rsidP="002E4A7C"/>
                </w:txbxContent>
              </v:textbox>
            </v:rect>
            <v:rect id="_x0000_s1054" style="position:absolute;left:10349;top:5258;width:1113;height:259">
              <v:textbox style="mso-next-textbox:#_x0000_s1054">
                <w:txbxContent>
                  <w:p w:rsidR="002E4A7C" w:rsidRPr="009D62E2" w:rsidRDefault="002E4A7C" w:rsidP="002E4A7C">
                    <w:pPr>
                      <w:jc w:val="center"/>
                      <w:rPr>
                        <w:sz w:val="18"/>
                        <w:szCs w:val="18"/>
                      </w:rPr>
                    </w:pPr>
                    <w:r>
                      <w:rPr>
                        <w:sz w:val="18"/>
                        <w:szCs w:val="18"/>
                      </w:rPr>
                      <w:t>Високий сукупний</w:t>
                    </w:r>
                    <w:r w:rsidRPr="009D62E2">
                      <w:rPr>
                        <w:sz w:val="18"/>
                        <w:szCs w:val="18"/>
                      </w:rPr>
                      <w:t xml:space="preserve"> ризик</w:t>
                    </w:r>
                  </w:p>
                  <w:p w:rsidR="002E4A7C" w:rsidRDefault="002E4A7C" w:rsidP="002E4A7C"/>
                </w:txbxContent>
              </v:textbox>
            </v:rect>
            <v:rect id="_x0000_s1055" style="position:absolute;left:7863;top:5258;width:1115;height:258">
              <v:textbox style="mso-next-textbox:#_x0000_s1055">
                <w:txbxContent>
                  <w:p w:rsidR="002E4A7C" w:rsidRPr="00BC42C3" w:rsidRDefault="002E4A7C" w:rsidP="002E4A7C">
                    <w:pPr>
                      <w:jc w:val="center"/>
                      <w:rPr>
                        <w:sz w:val="18"/>
                        <w:szCs w:val="18"/>
                      </w:rPr>
                    </w:pPr>
                    <w:r>
                      <w:rPr>
                        <w:sz w:val="18"/>
                        <w:szCs w:val="18"/>
                      </w:rPr>
                      <w:t>Помірний сукупний ризик</w:t>
                    </w:r>
                  </w:p>
                </w:txbxContent>
              </v:textbox>
            </v:rect>
            <v:roundrect id="_x0000_s1056" style="position:absolute;left:6663;top:4394;width:3689;height:260" arcsize="10923f">
              <v:textbox style="mso-next-textbox:#_x0000_s1056">
                <w:txbxContent>
                  <w:p w:rsidR="002E4A7C" w:rsidRPr="00D040BE" w:rsidRDefault="002E4A7C" w:rsidP="002E4A7C">
                    <w:pPr>
                      <w:jc w:val="center"/>
                      <w:rPr>
                        <w:sz w:val="22"/>
                        <w:szCs w:val="22"/>
                      </w:rPr>
                    </w:pPr>
                    <w:r w:rsidRPr="00D040BE">
                      <w:rPr>
                        <w:sz w:val="22"/>
                        <w:szCs w:val="22"/>
                      </w:rPr>
                      <w:t>Формування матриці ризиків та</w:t>
                    </w:r>
                    <w:r>
                      <w:rPr>
                        <w:sz w:val="22"/>
                        <w:szCs w:val="22"/>
                      </w:rPr>
                      <w:t xml:space="preserve"> визначення </w:t>
                    </w:r>
                    <w:r w:rsidRPr="00D040BE">
                      <w:rPr>
                        <w:sz w:val="22"/>
                        <w:szCs w:val="22"/>
                      </w:rPr>
                      <w:t xml:space="preserve"> напряму</w:t>
                    </w:r>
                    <w:r>
                      <w:rPr>
                        <w:sz w:val="22"/>
                        <w:szCs w:val="22"/>
                      </w:rPr>
                      <w:t xml:space="preserve"> ризику</w:t>
                    </w:r>
                  </w:p>
                </w:txbxContent>
              </v:textbox>
            </v:roundrect>
            <v:rect id="_x0000_s1057" style="position:absolute;left:7006;top:4826;width:2748;height:257">
              <v:textbox style="mso-next-textbox:#_x0000_s1057">
                <w:txbxContent>
                  <w:p w:rsidR="002E4A7C" w:rsidRPr="00D040BE" w:rsidRDefault="002E4A7C" w:rsidP="002E4A7C">
                    <w:pPr>
                      <w:jc w:val="center"/>
                      <w:rPr>
                        <w:sz w:val="22"/>
                        <w:szCs w:val="22"/>
                      </w:rPr>
                    </w:pPr>
                    <w:r w:rsidRPr="00D040BE">
                      <w:rPr>
                        <w:sz w:val="22"/>
                        <w:szCs w:val="22"/>
                      </w:rPr>
                      <w:t>Формування фокусу нагляду</w:t>
                    </w:r>
                  </w:p>
                </w:txbxContent>
              </v:textbox>
            </v:rect>
            <v:line id="_x0000_s1058" style="position:absolute;flip:x" from="10006,7591" to="10007,7936">
              <v:stroke endarrow="block"/>
            </v:line>
            <v:line id="_x0000_s1059" style="position:absolute" from="7949,8109" to="8206,8109">
              <v:stroke endarrow="block"/>
            </v:line>
            <v:line id="_x0000_s1060" style="position:absolute;flip:x" from="9149,8109" to="9406,8109">
              <v:stroke endarrow="block"/>
            </v:line>
            <v:line id="_x0000_s1061" style="position:absolute" from="10435,7504" to="10692,7505">
              <v:stroke endarrow="block"/>
            </v:line>
            <v:line id="_x0000_s1062" style="position:absolute" from="6149,5949" to="6150,6381">
              <v:stroke endarrow="block"/>
            </v:line>
            <v:line id="_x0000_s1063" style="position:absolute;flip:x" from="6835,5862" to="7178,5863">
              <v:stroke endarrow="block"/>
            </v:line>
            <v:line id="_x0000_s1064" style="position:absolute" from="10006,5862" to="10349,5863">
              <v:stroke endarrow="block"/>
            </v:line>
            <v:line id="_x0000_s1065" style="position:absolute" from="10521,5949" to="10522,6208">
              <v:stroke endarrow="block"/>
            </v:line>
            <v:line id="_x0000_s1066" style="position:absolute" from="8378,5085" to="8379,5259">
              <v:stroke endarrow="block"/>
            </v:line>
            <v:line id="_x0000_s1067" style="position:absolute;flip:x" from="8378,5517" to="8379,5692">
              <v:stroke endarrow="block"/>
            </v:line>
            <v:line id="_x0000_s1068" style="position:absolute" from="6492,7677" to="6492,7936">
              <v:stroke endarrow="block"/>
            </v:line>
            <v:line id="_x0000_s1069" style="position:absolute" from="7435,8195" to="7435,8368">
              <v:stroke endarrow="block"/>
            </v:line>
            <v:line id="_x0000_s1070" style="position:absolute;flip:x" from="5206,5258" to="5635,5259"/>
            <v:line id="_x0000_s1071" style="position:absolute;flip:x" from="5206,5258" to="5207,8454"/>
            <v:line id="_x0000_s1072" style="position:absolute" from="5206,8454" to="7092,8454">
              <v:stroke endarrow="block"/>
            </v:line>
            <v:line id="_x0000_s1073" style="position:absolute;flip:x" from="4949,8541" to="7092,8541"/>
            <v:line id="_x0000_s1074" style="position:absolute;flip:y" from="4949,4480" to="4950,8541"/>
            <v:line id="_x0000_s1075" style="position:absolute" from="4949,4480" to="6663,4481">
              <v:stroke endarrow="block"/>
            </v:line>
            <v:line id="_x0000_s1076" style="position:absolute" from="10006,6467" to="10008,6726">
              <v:stroke endarrow="block"/>
            </v:line>
            <v:line id="_x0000_s1077" style="position:absolute;flip:x" from="6235,4913" to="7006,5172">
              <v:stroke endarrow="block"/>
            </v:line>
            <v:line id="_x0000_s1078" style="position:absolute" from="9749,4913" to="10778,5258">
              <v:stroke endarrow="block"/>
            </v:line>
            <v:line id="_x0000_s1079" style="position:absolute" from="10006,6986" to="10007,7331">
              <v:stroke endarrow="block"/>
            </v:line>
            <v:line id="_x0000_s1080" style="position:absolute" from="8635,8195" to="8635,8368">
              <v:stroke endarrow="block"/>
            </v:line>
            <v:line id="_x0000_s1081" style="position:absolute" from="9663,8195" to="9663,8368">
              <v:stroke endarrow="block"/>
            </v:line>
            <v:line id="_x0000_s1082" style="position:absolute;flip:y" from="8549,4654" to="8549,4826">
              <v:stroke endarrow="block"/>
            </v:line>
            <v:line id="_x0000_s1083" style="position:absolute" from="8206,4654" to="8206,4826">
              <v:stroke endarrow="block"/>
            </v:line>
            <v:line id="_x0000_s1084" style="position:absolute;flip:x" from="9149,5345" to="10349,5690">
              <v:stroke endarrow="block"/>
            </v:line>
            <v:line id="_x0000_s1085" style="position:absolute" from="11206,7591" to="11207,8454"/>
            <v:line id="_x0000_s1086" style="position:absolute;flip:x" from="9749,8454" to="11206,8455">
              <v:stroke endarrow="block"/>
            </v:line>
            <w10:anchorlock/>
          </v:group>
        </w:pict>
      </w:r>
    </w:p>
    <w:p w:rsidR="002E4A7C" w:rsidRDefault="002E4A7C"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b/>
          <w:bCs/>
          <w:snapToGrid/>
          <w:sz w:val="28"/>
          <w:szCs w:val="28"/>
        </w:rPr>
        <w:sectPr w:rsidR="002E4A7C" w:rsidSect="002E4A7C">
          <w:pgSz w:w="16838" w:h="11906" w:orient="landscape"/>
          <w:pgMar w:top="851" w:right="357" w:bottom="1418" w:left="851" w:header="709" w:footer="709" w:gutter="0"/>
          <w:cols w:space="708"/>
          <w:docGrid w:linePitch="360"/>
        </w:sectPr>
      </w:pPr>
    </w:p>
    <w:p w:rsidR="00B74F8F" w:rsidRPr="00B74F8F"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b/>
          <w:bCs/>
          <w:snapToGrid/>
          <w:sz w:val="28"/>
          <w:szCs w:val="28"/>
        </w:rPr>
      </w:pPr>
      <w:r w:rsidRPr="00B74F8F">
        <w:rPr>
          <w:b/>
          <w:bCs/>
          <w:snapToGrid/>
          <w:sz w:val="28"/>
          <w:szCs w:val="28"/>
        </w:rPr>
        <w:lastRenderedPageBreak/>
        <w:t xml:space="preserve">5.6. Модель взаємодії структурних підрозділів НКЦПФР в рамках </w:t>
      </w:r>
      <w:r w:rsidRPr="00B74F8F">
        <w:rPr>
          <w:b/>
          <w:sz w:val="28"/>
          <w:szCs w:val="28"/>
        </w:rPr>
        <w:t>нагляду на основі оцінки ризиків</w:t>
      </w:r>
      <w:r w:rsidRPr="00B74F8F">
        <w:rPr>
          <w:b/>
          <w:bCs/>
          <w:snapToGrid/>
          <w:sz w:val="28"/>
          <w:szCs w:val="28"/>
        </w:rPr>
        <w:t xml:space="preserve"> в існуючій структурі НКЦПФР</w:t>
      </w:r>
      <w:r w:rsidR="001E6091">
        <w:rPr>
          <w:b/>
          <w:bCs/>
          <w:snapToGrid/>
          <w:sz w:val="28"/>
          <w:szCs w:val="28"/>
        </w:rPr>
        <w:t>.</w:t>
      </w:r>
    </w:p>
    <w:p w:rsidR="00B74F8F" w:rsidRPr="00B74F8F" w:rsidRDefault="00B74F8F" w:rsidP="00B74F8F">
      <w:pPr>
        <w:ind w:firstLine="720"/>
        <w:jc w:val="both"/>
        <w:rPr>
          <w:sz w:val="28"/>
          <w:szCs w:val="28"/>
        </w:rPr>
      </w:pPr>
      <w:r w:rsidRPr="00B74F8F">
        <w:rPr>
          <w:sz w:val="28"/>
          <w:szCs w:val="28"/>
        </w:rPr>
        <w:t xml:space="preserve">1. За результатами оцінки діяльності </w:t>
      </w:r>
      <w:r w:rsidRPr="009857E2">
        <w:rPr>
          <w:sz w:val="28"/>
          <w:szCs w:val="28"/>
        </w:rPr>
        <w:t>установ</w:t>
      </w:r>
      <w:r w:rsidRPr="00B74F8F">
        <w:rPr>
          <w:sz w:val="28"/>
          <w:szCs w:val="28"/>
        </w:rPr>
        <w:t xml:space="preserve"> структурні підрозділи НКЦПФР, а саме: департамент проведення інспекцій професійної діяльності, департамент ліцензування професійних учасників фондового ринку, департамент правозастосування, департамент систематизації та аналізу фінансової звітності учасників ринку капіталу та пруденційного нагляду, </w:t>
      </w:r>
      <w:r w:rsidRPr="009857E2">
        <w:rPr>
          <w:sz w:val="28"/>
          <w:szCs w:val="28"/>
        </w:rPr>
        <w:t>департамент інформаційних технологій,</w:t>
      </w:r>
      <w:r w:rsidRPr="00B74F8F">
        <w:rPr>
          <w:b/>
          <w:color w:val="FF0000"/>
          <w:sz w:val="28"/>
          <w:szCs w:val="28"/>
        </w:rPr>
        <w:t xml:space="preserve"> </w:t>
      </w:r>
      <w:r w:rsidRPr="00B74F8F">
        <w:rPr>
          <w:sz w:val="28"/>
          <w:szCs w:val="28"/>
        </w:rPr>
        <w:t>відділ підготовки фахівців ринків капіталу, надають інформацію щодо виявлених ризиків до департаменту нагляду за професійними учасниками фондового ринку.</w:t>
      </w:r>
    </w:p>
    <w:p w:rsidR="00B74F8F" w:rsidRPr="00B74F8F" w:rsidRDefault="00B74F8F" w:rsidP="00B74F8F">
      <w:pPr>
        <w:ind w:firstLine="720"/>
        <w:jc w:val="both"/>
        <w:rPr>
          <w:sz w:val="28"/>
          <w:szCs w:val="28"/>
        </w:rPr>
      </w:pPr>
      <w:r w:rsidRPr="00B74F8F">
        <w:rPr>
          <w:sz w:val="28"/>
          <w:szCs w:val="28"/>
        </w:rPr>
        <w:t xml:space="preserve">2. Департамент нагляду за професійними учасниками фондового ринку формує матрицю ризиків щодо кожного </w:t>
      </w:r>
      <w:r w:rsidRPr="009857E2">
        <w:rPr>
          <w:sz w:val="28"/>
          <w:szCs w:val="28"/>
        </w:rPr>
        <w:t>суб’єкта нагляду</w:t>
      </w:r>
      <w:r w:rsidRPr="00B74F8F">
        <w:rPr>
          <w:sz w:val="28"/>
          <w:szCs w:val="28"/>
        </w:rPr>
        <w:t xml:space="preserve"> та визначає напрям ризику.</w:t>
      </w:r>
    </w:p>
    <w:p w:rsidR="00B74F8F" w:rsidRPr="00B74F8F" w:rsidRDefault="00B74F8F" w:rsidP="00B74F8F">
      <w:pPr>
        <w:ind w:firstLine="720"/>
        <w:jc w:val="both"/>
        <w:rPr>
          <w:sz w:val="28"/>
          <w:szCs w:val="28"/>
        </w:rPr>
      </w:pPr>
      <w:r w:rsidRPr="00B74F8F">
        <w:rPr>
          <w:sz w:val="28"/>
          <w:szCs w:val="28"/>
        </w:rPr>
        <w:t xml:space="preserve">3. Департамент нагляду за професійними учасниками фондового ринку на основі встановлених показників формує фокус нагляду. </w:t>
      </w:r>
    </w:p>
    <w:p w:rsidR="00B74F8F" w:rsidRPr="00B74F8F" w:rsidRDefault="00B74F8F" w:rsidP="00B74F8F">
      <w:pPr>
        <w:ind w:firstLine="720"/>
        <w:jc w:val="both"/>
        <w:rPr>
          <w:sz w:val="28"/>
          <w:szCs w:val="28"/>
        </w:rPr>
      </w:pPr>
      <w:r w:rsidRPr="00B74F8F">
        <w:rPr>
          <w:sz w:val="28"/>
          <w:szCs w:val="28"/>
        </w:rPr>
        <w:t xml:space="preserve">4. Інформація щодо суб’єктів нагляду з низьким сукупним ризиком актуалізується на наступному циклі формування матриці ризиків. </w:t>
      </w:r>
    </w:p>
    <w:p w:rsidR="00B74F8F" w:rsidRPr="00B74F8F" w:rsidRDefault="00B74F8F" w:rsidP="00B74F8F">
      <w:pPr>
        <w:ind w:firstLine="720"/>
        <w:jc w:val="both"/>
        <w:rPr>
          <w:sz w:val="28"/>
          <w:szCs w:val="28"/>
        </w:rPr>
      </w:pPr>
      <w:r w:rsidRPr="00B74F8F">
        <w:rPr>
          <w:sz w:val="28"/>
          <w:szCs w:val="28"/>
        </w:rPr>
        <w:t xml:space="preserve">5. Департамент нагляду за професійними учасниками фондового ринку вносить інформацію щодо </w:t>
      </w:r>
      <w:r w:rsidRPr="009857E2">
        <w:rPr>
          <w:sz w:val="28"/>
          <w:szCs w:val="28"/>
        </w:rPr>
        <w:t>суб’єктів нагляду</w:t>
      </w:r>
      <w:r w:rsidRPr="00B74F8F">
        <w:rPr>
          <w:sz w:val="28"/>
          <w:szCs w:val="28"/>
        </w:rPr>
        <w:t xml:space="preserve"> з помірним та високим сукупним ризиком, які потрапили до фокусу нагляду, на спільне засідання </w:t>
      </w:r>
      <w:r w:rsidRPr="009857E2">
        <w:rPr>
          <w:sz w:val="28"/>
          <w:szCs w:val="28"/>
        </w:rPr>
        <w:t>відповідних</w:t>
      </w:r>
      <w:r w:rsidRPr="00B74F8F">
        <w:rPr>
          <w:sz w:val="28"/>
          <w:szCs w:val="28"/>
        </w:rPr>
        <w:t xml:space="preserve"> Комітетів </w:t>
      </w:r>
      <w:r w:rsidRPr="009857E2">
        <w:rPr>
          <w:sz w:val="28"/>
          <w:szCs w:val="28"/>
        </w:rPr>
        <w:t>НКЦПФР</w:t>
      </w:r>
      <w:r w:rsidRPr="00B74F8F">
        <w:rPr>
          <w:sz w:val="28"/>
          <w:szCs w:val="28"/>
        </w:rPr>
        <w:t xml:space="preserve"> або на засідання експертної групи для визначення стратегії нагляду НКЦПФР.</w:t>
      </w:r>
    </w:p>
    <w:p w:rsidR="00B74F8F" w:rsidRPr="00B74F8F" w:rsidRDefault="00B74F8F" w:rsidP="00B74F8F">
      <w:pPr>
        <w:ind w:firstLine="720"/>
        <w:jc w:val="both"/>
        <w:rPr>
          <w:sz w:val="28"/>
          <w:szCs w:val="28"/>
        </w:rPr>
      </w:pPr>
      <w:r w:rsidRPr="00B74F8F">
        <w:rPr>
          <w:sz w:val="28"/>
          <w:szCs w:val="28"/>
        </w:rPr>
        <w:t>У разі прийняття рішення про проведення моніторингу визначаються структурні підрозділи, відповідальні за його проведення.</w:t>
      </w:r>
    </w:p>
    <w:p w:rsidR="00B74F8F" w:rsidRPr="00B74F8F" w:rsidRDefault="00B74F8F" w:rsidP="00B74F8F">
      <w:pPr>
        <w:ind w:firstLine="720"/>
        <w:jc w:val="both"/>
        <w:rPr>
          <w:sz w:val="28"/>
          <w:szCs w:val="28"/>
        </w:rPr>
      </w:pPr>
      <w:r w:rsidRPr="00B74F8F">
        <w:rPr>
          <w:sz w:val="28"/>
          <w:szCs w:val="28"/>
        </w:rPr>
        <w:t>6. Структурний підрозділ, відповідальний за проведення моніторингу,</w:t>
      </w:r>
      <w:r w:rsidRPr="00B74F8F">
        <w:rPr>
          <w:b/>
          <w:sz w:val="28"/>
          <w:szCs w:val="28"/>
        </w:rPr>
        <w:t xml:space="preserve"> </w:t>
      </w:r>
      <w:r w:rsidRPr="00B74F8F">
        <w:rPr>
          <w:sz w:val="28"/>
          <w:szCs w:val="28"/>
        </w:rPr>
        <w:t>виявляє джерела виникнення ризиків та визначає програму моніторингу.</w:t>
      </w:r>
    </w:p>
    <w:p w:rsidR="00B74F8F" w:rsidRPr="00B74F8F" w:rsidRDefault="00B74F8F" w:rsidP="0087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B74F8F">
        <w:rPr>
          <w:sz w:val="28"/>
          <w:szCs w:val="28"/>
        </w:rPr>
        <w:t xml:space="preserve">Результати моніторингу виносяться на спільне засідання комітетів або експертної групи для визначення необхідних попереджувальних заходів впливу у відношенні </w:t>
      </w:r>
      <w:r w:rsidRPr="009857E2">
        <w:rPr>
          <w:sz w:val="28"/>
          <w:szCs w:val="28"/>
        </w:rPr>
        <w:t>установи.</w:t>
      </w:r>
    </w:p>
    <w:p w:rsidR="00B74F8F" w:rsidRPr="00B74F8F" w:rsidRDefault="00B74F8F" w:rsidP="00B74F8F">
      <w:pPr>
        <w:ind w:firstLine="708"/>
        <w:jc w:val="both"/>
        <w:rPr>
          <w:sz w:val="28"/>
          <w:szCs w:val="28"/>
        </w:rPr>
      </w:pPr>
      <w:r w:rsidRPr="00B74F8F">
        <w:rPr>
          <w:sz w:val="28"/>
          <w:szCs w:val="28"/>
        </w:rPr>
        <w:t>Структурний підрозділ НКЦПФР</w:t>
      </w:r>
      <w:r w:rsidR="001E6091">
        <w:rPr>
          <w:sz w:val="28"/>
          <w:szCs w:val="28"/>
        </w:rPr>
        <w:t>,</w:t>
      </w:r>
      <w:r w:rsidRPr="00B74F8F">
        <w:rPr>
          <w:sz w:val="28"/>
          <w:szCs w:val="28"/>
        </w:rPr>
        <w:t xml:space="preserve"> відповідальний за проведення моніторингу</w:t>
      </w:r>
      <w:r w:rsidR="001E6091">
        <w:rPr>
          <w:sz w:val="28"/>
          <w:szCs w:val="28"/>
        </w:rPr>
        <w:t>,</w:t>
      </w:r>
      <w:r w:rsidRPr="00B74F8F">
        <w:rPr>
          <w:sz w:val="28"/>
          <w:szCs w:val="28"/>
        </w:rPr>
        <w:t xml:space="preserve"> подає інформацію, отриману в ході моніторингу, та інформацію щодо попереджувальних заходів впливу до департаменту нагляду за професій</w:t>
      </w:r>
      <w:r w:rsidR="001E6091">
        <w:rPr>
          <w:sz w:val="28"/>
          <w:szCs w:val="28"/>
        </w:rPr>
        <w:t>ними учасниками фондового ринку</w:t>
      </w:r>
      <w:r w:rsidRPr="00B74F8F">
        <w:rPr>
          <w:sz w:val="28"/>
          <w:szCs w:val="28"/>
        </w:rPr>
        <w:t xml:space="preserve"> з метою актуалізації матриці ризиків </w:t>
      </w:r>
      <w:r w:rsidRPr="009857E2">
        <w:rPr>
          <w:sz w:val="28"/>
          <w:szCs w:val="28"/>
        </w:rPr>
        <w:t>та напряму ризику</w:t>
      </w:r>
      <w:r w:rsidRPr="00B74F8F">
        <w:rPr>
          <w:sz w:val="28"/>
          <w:szCs w:val="28"/>
        </w:rPr>
        <w:t>.</w:t>
      </w:r>
    </w:p>
    <w:p w:rsidR="00B74F8F" w:rsidRPr="00B74F8F" w:rsidRDefault="00B74F8F" w:rsidP="00B74F8F">
      <w:pPr>
        <w:ind w:firstLine="720"/>
        <w:jc w:val="both"/>
        <w:rPr>
          <w:sz w:val="28"/>
          <w:szCs w:val="28"/>
        </w:rPr>
      </w:pPr>
      <w:r w:rsidRPr="00B74F8F">
        <w:rPr>
          <w:sz w:val="28"/>
          <w:szCs w:val="28"/>
        </w:rPr>
        <w:t xml:space="preserve">7. У разі прийняття рішення </w:t>
      </w:r>
      <w:r w:rsidRPr="00B74F8F">
        <w:rPr>
          <w:b/>
          <w:sz w:val="28"/>
          <w:szCs w:val="28"/>
        </w:rPr>
        <w:t>про проведення інспекції</w:t>
      </w:r>
      <w:r w:rsidR="001E6091">
        <w:rPr>
          <w:b/>
          <w:sz w:val="28"/>
          <w:szCs w:val="28"/>
        </w:rPr>
        <w:t>,</w:t>
      </w:r>
      <w:r w:rsidRPr="00B74F8F">
        <w:rPr>
          <w:sz w:val="28"/>
          <w:szCs w:val="28"/>
        </w:rPr>
        <w:t xml:space="preserve"> департамент проведення інспекцій професійної діяльності визначає необхідну категорію інспекції.</w:t>
      </w:r>
    </w:p>
    <w:p w:rsidR="00B74F8F" w:rsidRPr="00B74F8F" w:rsidRDefault="00B74F8F" w:rsidP="00B74F8F">
      <w:pPr>
        <w:ind w:firstLine="720"/>
        <w:jc w:val="both"/>
        <w:rPr>
          <w:sz w:val="28"/>
          <w:szCs w:val="28"/>
        </w:rPr>
      </w:pPr>
      <w:r w:rsidRPr="00B74F8F">
        <w:rPr>
          <w:sz w:val="28"/>
          <w:szCs w:val="28"/>
        </w:rPr>
        <w:t>Департамент проведення інспекцій професійної діяльності проводить інспекцію суб’єкта нагляду, за результатами якої складає звіт та  виявляє джерела виникнення ризиків.</w:t>
      </w:r>
    </w:p>
    <w:p w:rsidR="00B74F8F" w:rsidRPr="00B74F8F" w:rsidRDefault="00B74F8F" w:rsidP="00B74F8F">
      <w:pPr>
        <w:ind w:firstLine="720"/>
        <w:jc w:val="both"/>
        <w:rPr>
          <w:sz w:val="28"/>
          <w:szCs w:val="28"/>
        </w:rPr>
      </w:pPr>
      <w:r w:rsidRPr="00B74F8F">
        <w:rPr>
          <w:sz w:val="28"/>
          <w:szCs w:val="28"/>
        </w:rPr>
        <w:t xml:space="preserve">Результати проведеної інспекції виносяться департаментом проведення інспекцій професійної діяльності на спільне засідання </w:t>
      </w:r>
      <w:r w:rsidRPr="009857E2">
        <w:rPr>
          <w:sz w:val="28"/>
          <w:szCs w:val="28"/>
        </w:rPr>
        <w:t>К</w:t>
      </w:r>
      <w:r w:rsidRPr="00B74F8F">
        <w:rPr>
          <w:sz w:val="28"/>
          <w:szCs w:val="28"/>
        </w:rPr>
        <w:t>омітетів</w:t>
      </w:r>
      <w:r w:rsidRPr="00B74F8F">
        <w:rPr>
          <w:color w:val="FF0000"/>
          <w:sz w:val="28"/>
          <w:szCs w:val="28"/>
        </w:rPr>
        <w:t xml:space="preserve"> </w:t>
      </w:r>
      <w:r w:rsidRPr="009857E2">
        <w:rPr>
          <w:sz w:val="28"/>
          <w:szCs w:val="28"/>
        </w:rPr>
        <w:t>НКЦПФР</w:t>
      </w:r>
      <w:r w:rsidRPr="00B74F8F">
        <w:rPr>
          <w:sz w:val="28"/>
          <w:szCs w:val="28"/>
        </w:rPr>
        <w:t xml:space="preserve"> або експертної групи для визначення необхідності вжиття попереджувальних заходів впливу.</w:t>
      </w:r>
    </w:p>
    <w:p w:rsidR="00B74F8F" w:rsidRPr="00B74F8F" w:rsidRDefault="00B74F8F" w:rsidP="00B74F8F">
      <w:pPr>
        <w:ind w:firstLine="720"/>
        <w:jc w:val="both"/>
        <w:rPr>
          <w:sz w:val="28"/>
          <w:szCs w:val="28"/>
        </w:rPr>
      </w:pPr>
      <w:r w:rsidRPr="00B74F8F">
        <w:rPr>
          <w:sz w:val="28"/>
          <w:szCs w:val="28"/>
        </w:rPr>
        <w:t xml:space="preserve">Департамент проведення інспекцій професійної діяльності за результатами проведеної інспекції та застосованих попереджувальних заходів </w:t>
      </w:r>
      <w:r w:rsidRPr="00B74F8F">
        <w:rPr>
          <w:sz w:val="28"/>
          <w:szCs w:val="28"/>
        </w:rPr>
        <w:lastRenderedPageBreak/>
        <w:t>впливу подає інформацію до департаменту нагляду за професійними учасниками фондового ринку, з метою актуалізації матриці ризиків.</w:t>
      </w:r>
    </w:p>
    <w:p w:rsidR="00B74F8F" w:rsidRPr="00B74F8F" w:rsidRDefault="00B74F8F" w:rsidP="0087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B74F8F">
        <w:rPr>
          <w:sz w:val="28"/>
          <w:szCs w:val="28"/>
        </w:rPr>
        <w:t>У разі необхідності вжиття заходів правозастосування департамент проведення інспекцій професійної діяльності передає інформацію до департаменту правозастосування</w:t>
      </w:r>
      <w:r w:rsidR="001E6091">
        <w:rPr>
          <w:sz w:val="28"/>
          <w:szCs w:val="28"/>
        </w:rPr>
        <w:t>.</w:t>
      </w:r>
    </w:p>
    <w:p w:rsidR="00D647DF" w:rsidRDefault="00D647DF" w:rsidP="00D647DF"/>
    <w:p w:rsidR="00C602E0" w:rsidRPr="00C602E0" w:rsidRDefault="00C602E0" w:rsidP="00D647DF">
      <w:pPr>
        <w:sectPr w:rsidR="00C602E0" w:rsidRPr="00C602E0" w:rsidSect="003738A0">
          <w:pgSz w:w="11906" w:h="16838"/>
          <w:pgMar w:top="850" w:right="850" w:bottom="360" w:left="1417" w:header="708" w:footer="708" w:gutter="0"/>
          <w:cols w:space="708"/>
          <w:docGrid w:linePitch="360"/>
        </w:sectPr>
      </w:pPr>
    </w:p>
    <w:p w:rsidR="00D647DF" w:rsidRPr="006D3DFF" w:rsidRDefault="00D647DF" w:rsidP="00D647DF">
      <w:pPr>
        <w:rPr>
          <w:lang w:val="ru-RU"/>
        </w:rPr>
      </w:pPr>
      <w:r>
        <w:rPr>
          <w:noProof/>
        </w:rPr>
        <w:lastRenderedPageBreak/>
        <w:pict>
          <v:rect id="_x0000_s1120" style="position:absolute;margin-left:9pt;margin-top:12.6pt;width:107.95pt;height:45.1pt;z-index:4">
            <v:textbox style="mso-next-textbox:#_x0000_s1120">
              <w:txbxContent>
                <w:p w:rsidR="00D647DF" w:rsidRPr="0068043C" w:rsidRDefault="00D647DF" w:rsidP="00D647DF">
                  <w:pPr>
                    <w:jc w:val="center"/>
                    <w:rPr>
                      <w:sz w:val="18"/>
                      <w:szCs w:val="18"/>
                    </w:rPr>
                  </w:pPr>
                  <w:r w:rsidRPr="0068043C">
                    <w:rPr>
                      <w:sz w:val="18"/>
                      <w:szCs w:val="18"/>
                    </w:rPr>
                    <w:t>Департамент інформаційних технологій</w:t>
                  </w:r>
                </w:p>
              </w:txbxContent>
            </v:textbox>
          </v:rect>
        </w:pict>
      </w:r>
    </w:p>
    <w:p w:rsidR="00D647DF" w:rsidRDefault="00D647DF" w:rsidP="00D647DF">
      <w:r>
        <w:rPr>
          <w:noProof/>
        </w:rPr>
        <w:pict>
          <v:rect id="_x0000_s1124" style="position:absolute;margin-left:126pt;margin-top:.4pt;width:107.85pt;height:45.1pt;z-index:8">
            <v:textbox style="mso-next-textbox:#_x0000_s1124">
              <w:txbxContent>
                <w:p w:rsidR="00D647DF" w:rsidRPr="00A570CD" w:rsidRDefault="00D647DF" w:rsidP="00D647DF">
                  <w:pPr>
                    <w:jc w:val="center"/>
                    <w:rPr>
                      <w:sz w:val="18"/>
                      <w:szCs w:val="18"/>
                    </w:rPr>
                  </w:pPr>
                  <w:r w:rsidRPr="00A570CD">
                    <w:rPr>
                      <w:sz w:val="18"/>
                      <w:szCs w:val="18"/>
                    </w:rPr>
                    <w:t>Департамент проведення інспекцій</w:t>
                  </w:r>
                  <w:r>
                    <w:rPr>
                      <w:sz w:val="22"/>
                      <w:szCs w:val="22"/>
                    </w:rPr>
                    <w:t xml:space="preserve"> </w:t>
                  </w:r>
                  <w:r w:rsidRPr="00A570CD">
                    <w:rPr>
                      <w:sz w:val="18"/>
                      <w:szCs w:val="18"/>
                    </w:rPr>
                    <w:t>професійної діяльності</w:t>
                  </w:r>
                </w:p>
              </w:txbxContent>
            </v:textbox>
          </v:rect>
        </w:pict>
      </w:r>
      <w:r>
        <w:rPr>
          <w:noProof/>
        </w:rPr>
        <w:pict>
          <v:rect id="_x0000_s1123" style="position:absolute;margin-left:243pt;margin-top:.45pt;width:107.85pt;height:45.1pt;z-index:7">
            <v:textbox style="mso-next-textbox:#_x0000_s1123">
              <w:txbxContent>
                <w:p w:rsidR="00D647DF" w:rsidRPr="00A570CD" w:rsidRDefault="00D647DF" w:rsidP="00D647DF">
                  <w:pPr>
                    <w:jc w:val="center"/>
                    <w:rPr>
                      <w:sz w:val="17"/>
                      <w:szCs w:val="17"/>
                    </w:rPr>
                  </w:pPr>
                  <w:r>
                    <w:rPr>
                      <w:sz w:val="17"/>
                      <w:szCs w:val="17"/>
                    </w:rPr>
                    <w:t>Департамент ліцензування професійних учасників фондового ринку</w:t>
                  </w:r>
                </w:p>
              </w:txbxContent>
            </v:textbox>
          </v:rect>
        </w:pict>
      </w:r>
      <w:r>
        <w:rPr>
          <w:noProof/>
        </w:rPr>
        <w:pict>
          <v:rect id="_x0000_s1122" style="position:absolute;margin-left:5in;margin-top:.4pt;width:108pt;height:45.1pt;z-index:6">
            <v:textbox style="mso-next-textbox:#_x0000_s1122">
              <w:txbxContent>
                <w:p w:rsidR="00D647DF" w:rsidRPr="0068043C" w:rsidRDefault="00D647DF" w:rsidP="00D647DF">
                  <w:pPr>
                    <w:jc w:val="center"/>
                    <w:rPr>
                      <w:sz w:val="17"/>
                      <w:szCs w:val="17"/>
                    </w:rPr>
                  </w:pPr>
                  <w:r>
                    <w:rPr>
                      <w:sz w:val="17"/>
                      <w:szCs w:val="17"/>
                    </w:rPr>
                    <w:t>Департамент правозастосування</w:t>
                  </w:r>
                </w:p>
              </w:txbxContent>
            </v:textbox>
          </v:rect>
        </w:pict>
      </w:r>
      <w:r>
        <w:rPr>
          <w:noProof/>
        </w:rPr>
        <w:pict>
          <v:rect id="_x0000_s1121" style="position:absolute;margin-left:477pt;margin-top:.45pt;width:135pt;height:45.1pt;z-index:5">
            <v:textbox style="mso-next-textbox:#_x0000_s1121">
              <w:txbxContent>
                <w:p w:rsidR="00D647DF" w:rsidRPr="00A570CD" w:rsidRDefault="00D647DF" w:rsidP="00D647DF">
                  <w:pPr>
                    <w:jc w:val="center"/>
                    <w:rPr>
                      <w:sz w:val="17"/>
                      <w:szCs w:val="17"/>
                    </w:rPr>
                  </w:pPr>
                  <w:r w:rsidRPr="00A570CD">
                    <w:rPr>
                      <w:sz w:val="17"/>
                      <w:szCs w:val="17"/>
                    </w:rPr>
                    <w:t xml:space="preserve">Департамент систематизації та аналізу фінансової звітності учасників ринку капіталу </w:t>
                  </w:r>
                  <w:r>
                    <w:rPr>
                      <w:sz w:val="17"/>
                      <w:szCs w:val="17"/>
                    </w:rPr>
                    <w:t xml:space="preserve"> та </w:t>
                  </w:r>
                  <w:r w:rsidRPr="00A570CD">
                    <w:rPr>
                      <w:sz w:val="17"/>
                      <w:szCs w:val="17"/>
                    </w:rPr>
                    <w:t>пруденційного нагляду</w:t>
                  </w:r>
                </w:p>
              </w:txbxContent>
            </v:textbox>
          </v:rect>
        </w:pict>
      </w:r>
      <w:r>
        <w:rPr>
          <w:noProof/>
        </w:rPr>
      </w:r>
      <w:r>
        <w:pict>
          <v:group id="_x0000_s1087" editas="canvas" style="width:729pt;height:387.1pt;mso-position-horizontal-relative:char;mso-position-vertical-relative:line" coordorigin="4692,2136" coordsize="6943,3716">
            <o:lock v:ext="edit" aspectratio="t"/>
            <v:shape id="_x0000_s1088" type="#_x0000_t75" style="position:absolute;left:4692;top:2136;width:6943;height:3716" o:preferrelative="f">
              <v:fill o:detectmouseclick="t"/>
              <v:path o:extrusionok="t" o:connecttype="none"/>
              <o:lock v:ext="edit" text="t"/>
            </v:shape>
            <v:rect id="_x0000_s1089" style="position:absolute;left:7092;top:2914;width:2571;height:432">
              <v:textbox style="mso-next-textbox:#_x0000_s1089">
                <w:txbxContent>
                  <w:p w:rsidR="00D647DF" w:rsidRPr="0098343D" w:rsidRDefault="00D647DF" w:rsidP="00D647DF">
                    <w:pPr>
                      <w:jc w:val="center"/>
                    </w:pPr>
                    <w:r w:rsidRPr="0098343D">
                      <w:t>Департамент нагляду за професійними учасниками фондового ринку</w:t>
                    </w:r>
                  </w:p>
                  <w:p w:rsidR="00D647DF" w:rsidRDefault="00D647DF" w:rsidP="00D647DF"/>
                </w:txbxContent>
              </v:textbox>
            </v:rect>
            <v:oval id="_x0000_s1090" style="position:absolute;left:7349;top:3260;width:2057;height:601">
              <v:textbox style="mso-next-textbox:#_x0000_s1090">
                <w:txbxContent>
                  <w:p w:rsidR="00D647DF" w:rsidRPr="0068043C" w:rsidRDefault="00D647DF" w:rsidP="00D647DF">
                    <w:pPr>
                      <w:jc w:val="center"/>
                      <w:rPr>
                        <w:sz w:val="20"/>
                        <w:szCs w:val="20"/>
                      </w:rPr>
                    </w:pPr>
                    <w:r w:rsidRPr="0068043C">
                      <w:rPr>
                        <w:sz w:val="20"/>
                        <w:szCs w:val="20"/>
                      </w:rPr>
                      <w:t>Формування матриці ризиків, визначення напряму ризику та формування фокусу нагляду нннагляду</w:t>
                    </w:r>
                  </w:p>
                  <w:p w:rsidR="00D647DF" w:rsidRDefault="00D647DF" w:rsidP="00D647DF"/>
                </w:txbxContent>
              </v:textbox>
            </v:oval>
            <v:rect id="_x0000_s1091" style="position:absolute;left:10606;top:2136;width:1029;height:433">
              <v:textbox style="mso-next-textbox:#_x0000_s1091">
                <w:txbxContent>
                  <w:p w:rsidR="00D647DF" w:rsidRPr="00A570CD" w:rsidRDefault="00D647DF" w:rsidP="00D647DF">
                    <w:pPr>
                      <w:jc w:val="center"/>
                      <w:rPr>
                        <w:sz w:val="17"/>
                        <w:szCs w:val="17"/>
                      </w:rPr>
                    </w:pPr>
                    <w:r>
                      <w:rPr>
                        <w:sz w:val="17"/>
                        <w:szCs w:val="17"/>
                      </w:rPr>
                      <w:t>Відділ підготовки фахівців ринків капіталу</w:t>
                    </w:r>
                  </w:p>
                </w:txbxContent>
              </v:textbox>
            </v:rect>
            <v:line id="_x0000_s1092" style="position:absolute" from="6578,2568" to="7349,2914">
              <v:stroke endarrow="block"/>
            </v:line>
            <v:line id="_x0000_s1093" style="position:absolute" from="7521,2568" to="7521,2914">
              <v:stroke endarrow="block"/>
            </v:line>
            <v:line id="_x0000_s1094" style="position:absolute" from="8463,2568" to="8463,2914">
              <v:stroke endarrow="block"/>
            </v:line>
            <v:line id="_x0000_s1095" style="position:absolute" from="9321,2568" to="9322,2914">
              <v:stroke endarrow="block"/>
            </v:line>
            <v:line id="_x0000_s1096" style="position:absolute;flip:x" from="9492,2568" to="10606,2914">
              <v:stroke endarrow="block"/>
            </v:line>
            <v:rect id="_x0000_s1097" style="position:absolute;left:7349;top:4037;width:2143;height:259">
              <v:textbox style="mso-next-textbox:#_x0000_s1097">
                <w:txbxContent>
                  <w:p w:rsidR="00D647DF" w:rsidRDefault="00D647DF" w:rsidP="00D647DF">
                    <w:pPr>
                      <w:jc w:val="center"/>
                    </w:pPr>
                    <w:r>
                      <w:t>Спільний комітет</w:t>
                    </w:r>
                  </w:p>
                </w:txbxContent>
              </v:textbox>
            </v:rect>
            <v:rect id="_x0000_s1098" style="position:absolute;left:6749;top:4469;width:1543;height:259">
              <v:textbox style="mso-next-textbox:#_x0000_s1098">
                <w:txbxContent>
                  <w:p w:rsidR="00D647DF" w:rsidRPr="00F54467" w:rsidRDefault="00D647DF" w:rsidP="00D647DF">
                    <w:pPr>
                      <w:jc w:val="center"/>
                      <w:rPr>
                        <w:sz w:val="22"/>
                        <w:szCs w:val="22"/>
                      </w:rPr>
                    </w:pPr>
                    <w:r w:rsidRPr="00F54467">
                      <w:rPr>
                        <w:sz w:val="22"/>
                        <w:szCs w:val="22"/>
                      </w:rPr>
                      <w:t>Безвиїзний моніторинг</w:t>
                    </w:r>
                  </w:p>
                  <w:p w:rsidR="00D647DF" w:rsidRDefault="00D647DF" w:rsidP="00D647DF"/>
                </w:txbxContent>
              </v:textbox>
            </v:rect>
            <v:rect id="_x0000_s1099" style="position:absolute;left:8721;top:4469;width:1542;height:259">
              <v:textbox style="mso-next-textbox:#_x0000_s1099">
                <w:txbxContent>
                  <w:p w:rsidR="00D647DF" w:rsidRPr="00F54467" w:rsidRDefault="00D647DF" w:rsidP="00D647DF">
                    <w:pPr>
                      <w:jc w:val="center"/>
                      <w:rPr>
                        <w:sz w:val="22"/>
                        <w:szCs w:val="22"/>
                      </w:rPr>
                    </w:pPr>
                    <w:r w:rsidRPr="00F54467">
                      <w:rPr>
                        <w:sz w:val="22"/>
                        <w:szCs w:val="22"/>
                      </w:rPr>
                      <w:t>Інспекція</w:t>
                    </w:r>
                  </w:p>
                  <w:p w:rsidR="00D647DF" w:rsidRDefault="00D647DF" w:rsidP="00D647DF"/>
                </w:txbxContent>
              </v:textbox>
            </v:rect>
            <v:line id="_x0000_s1100" style="position:absolute" from="8378,3864" to="8379,4038">
              <v:stroke endarrow="block"/>
            </v:line>
            <v:rect id="_x0000_s1101" style="position:absolute;left:8892;top:4901;width:1371;height:346">
              <v:textbox style="mso-next-textbox:#_x0000_s1101">
                <w:txbxContent>
                  <w:p w:rsidR="00D647DF" w:rsidRPr="00A40101" w:rsidRDefault="00D647DF" w:rsidP="00D647DF">
                    <w:pPr>
                      <w:rPr>
                        <w:sz w:val="18"/>
                        <w:szCs w:val="18"/>
                      </w:rPr>
                    </w:pPr>
                    <w:r w:rsidRPr="00A40101">
                      <w:rPr>
                        <w:sz w:val="18"/>
                        <w:szCs w:val="18"/>
                      </w:rPr>
                      <w:t>Департамент проведення інспекцій професійної діяльності</w:t>
                    </w:r>
                  </w:p>
                </w:txbxContent>
              </v:textbox>
            </v:rect>
            <v:rect id="_x0000_s1102" style="position:absolute;left:9406;top:5419;width:773;height:258">
              <v:textbox>
                <w:txbxContent>
                  <w:p w:rsidR="00D647DF" w:rsidRPr="00A570CD" w:rsidRDefault="00D647DF" w:rsidP="00D647DF">
                    <w:pPr>
                      <w:rPr>
                        <w:sz w:val="17"/>
                        <w:szCs w:val="17"/>
                      </w:rPr>
                    </w:pPr>
                    <w:r>
                      <w:rPr>
                        <w:sz w:val="17"/>
                        <w:szCs w:val="17"/>
                      </w:rPr>
                      <w:t>Департамент правозастосування</w:t>
                    </w:r>
                  </w:p>
                  <w:p w:rsidR="00D647DF" w:rsidRDefault="00D647DF" w:rsidP="00D647DF"/>
                </w:txbxContent>
              </v:textbox>
            </v:rect>
            <v:rect id="_x0000_s1103" style="position:absolute;left:6749;top:4901;width:1373;height:346">
              <v:textbox style="mso-next-textbox:#_x0000_s1103">
                <w:txbxContent>
                  <w:p w:rsidR="00D647DF" w:rsidRPr="00663B5C" w:rsidRDefault="00D647DF" w:rsidP="00D647DF">
                    <w:pPr>
                      <w:jc w:val="center"/>
                      <w:rPr>
                        <w:sz w:val="22"/>
                        <w:szCs w:val="22"/>
                      </w:rPr>
                    </w:pPr>
                    <w:r w:rsidRPr="00663B5C">
                      <w:rPr>
                        <w:sz w:val="22"/>
                        <w:szCs w:val="22"/>
                      </w:rPr>
                      <w:t>Відповідний структурний підрозділ</w:t>
                    </w:r>
                  </w:p>
                </w:txbxContent>
              </v:textbox>
            </v:rect>
            <v:line id="_x0000_s1104" style="position:absolute" from="8121,5074" to="8378,5075"/>
            <v:line id="_x0000_s1105" style="position:absolute;flip:y" from="8378,4296" to="8379,5074">
              <v:stroke endarrow="block"/>
            </v:line>
            <v:line id="_x0000_s1106" style="position:absolute;flip:x" from="8635,5074" to="8892,5074"/>
            <v:line id="_x0000_s1107" style="position:absolute;flip:y" from="8635,4296" to="8635,5074">
              <v:stroke endarrow="block"/>
            </v:line>
            <v:line id="_x0000_s1108" style="position:absolute" from="7606,4296" to="7606,4469">
              <v:stroke endarrow="block"/>
            </v:line>
            <v:line id="_x0000_s1109" style="position:absolute" from="9149,4296" to="9149,4469">
              <v:stroke endarrow="block"/>
            </v:line>
            <v:line id="_x0000_s1110" style="position:absolute" from="7606,4728" to="7606,4901">
              <v:stroke endarrow="block"/>
            </v:line>
            <v:line id="_x0000_s1111" style="position:absolute" from="9149,4728" to="9149,4901">
              <v:stroke endarrow="block"/>
            </v:line>
            <v:line id="_x0000_s1112" style="position:absolute" from="9663,5247" to="9664,5420">
              <v:stroke endarrow="block"/>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13" type="#_x0000_t34" style="position:absolute;left:6749;top:3000;width:343;height:1944;rotation:180;flip:x" o:connectortype="elbow" adj="-31770,-44021,155130">
              <v:stroke endarrow="block"/>
            </v:shape>
            <v:shape id="_x0000_s1114" type="#_x0000_t34" style="position:absolute;left:6749;top:3130;width:343;height:1469;rotation:180;flip:x" o:connectortype="elbow" adj="-10800,-50125,155130">
              <v:stroke endarrow="block"/>
            </v:shape>
            <v:shape id="_x0000_s1115" type="#_x0000_t34" style="position:absolute;left:9663;top:3130;width:600;height:1944;flip:x y" o:connectortype="elbow" adj="-6154,43147,215143">
              <v:stroke endarrow="block"/>
            </v:shape>
            <v:line id="_x0000_s1116" style="position:absolute" from="5549,2568" to="7178,2914">
              <v:stroke endarrow="block"/>
            </v:line>
            <v:line id="_x0000_s1117" style="position:absolute" from="10178,5505" to="10778,5505"/>
            <v:line id="_x0000_s1118" style="position:absolute;flip:y" from="10778,3000" to="10778,5505"/>
            <v:line id="_x0000_s1119" style="position:absolute;flip:x" from="9664,3000" to="10778,3000">
              <v:stroke endarrow="block"/>
            </v:line>
            <w10:anchorlock/>
          </v:group>
        </w:pict>
      </w:r>
    </w:p>
    <w:p w:rsidR="00D647DF" w:rsidRDefault="00D647D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napToGrid/>
          <w:sz w:val="28"/>
          <w:szCs w:val="28"/>
        </w:rPr>
        <w:sectPr w:rsidR="00D647DF" w:rsidSect="00D647DF">
          <w:pgSz w:w="16838" w:h="11906" w:orient="landscape"/>
          <w:pgMar w:top="851" w:right="357" w:bottom="1418" w:left="851" w:header="709" w:footer="709" w:gutter="0"/>
          <w:cols w:space="708"/>
          <w:docGrid w:linePitch="360"/>
        </w:sectPr>
      </w:pPr>
    </w:p>
    <w:p w:rsidR="00B74F8F" w:rsidRPr="00B74F8F" w:rsidRDefault="00B74F8F" w:rsidP="0087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B74F8F">
        <w:rPr>
          <w:b/>
          <w:bCs/>
          <w:snapToGrid/>
          <w:sz w:val="28"/>
          <w:szCs w:val="28"/>
        </w:rPr>
        <w:lastRenderedPageBreak/>
        <w:t xml:space="preserve">6. </w:t>
      </w:r>
      <w:r w:rsidRPr="00B74F8F">
        <w:rPr>
          <w:b/>
          <w:sz w:val="28"/>
          <w:szCs w:val="28"/>
        </w:rPr>
        <w:t>Інформаційно-технічне забезпечення нагляду на основі оцінки ризиків</w:t>
      </w:r>
      <w:r w:rsidR="0087685E">
        <w:rPr>
          <w:b/>
          <w:sz w:val="28"/>
          <w:szCs w:val="28"/>
        </w:rPr>
        <w:t>.</w:t>
      </w:r>
    </w:p>
    <w:p w:rsidR="00B74F8F" w:rsidRPr="00B74F8F" w:rsidRDefault="00B74F8F" w:rsidP="0087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B74F8F">
        <w:rPr>
          <w:sz w:val="28"/>
          <w:szCs w:val="28"/>
        </w:rPr>
        <w:t>Найбільша ефективність та точність системи НОР може бути досягнута за умови використання комплексних інформаційно-технічних рішень, які дозволяють в режимі реального часу відслідковувати виникнення тих чи інших ризиків та визначати їх вплив.</w:t>
      </w:r>
    </w:p>
    <w:p w:rsidR="00B74F8F" w:rsidRPr="00B74F8F" w:rsidRDefault="00B74F8F" w:rsidP="0087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B74F8F">
        <w:rPr>
          <w:sz w:val="28"/>
          <w:szCs w:val="28"/>
        </w:rPr>
        <w:t xml:space="preserve">На початкових етапах застосування НОР планується використовувати наявні бази даних НКЦПФР, зокрема, систему ведення реєстрів, загальнодоступну інформаційну базу даних про ринок цінних паперів, адміністративні дані професійних учасників фондового ринку. </w:t>
      </w:r>
      <w:r w:rsidRPr="009857E2">
        <w:rPr>
          <w:bCs/>
          <w:sz w:val="28"/>
          <w:szCs w:val="28"/>
        </w:rPr>
        <w:t>В подальшому необхідно створення підсистеми Комплексної інформаційної системи фондового ринку України або застосування готових комплексно-інформаційних рішень</w:t>
      </w:r>
      <w:r w:rsidRPr="00B74F8F">
        <w:rPr>
          <w:sz w:val="28"/>
          <w:szCs w:val="28"/>
        </w:rPr>
        <w:t>, які можуть бути адаптовані під вимоги НКЦПФР та специфіку НОР.</w:t>
      </w:r>
    </w:p>
    <w:p w:rsidR="00B74F8F" w:rsidRPr="00B74F8F" w:rsidRDefault="00B74F8F" w:rsidP="0087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B74F8F">
        <w:rPr>
          <w:sz w:val="28"/>
          <w:szCs w:val="28"/>
        </w:rPr>
        <w:t xml:space="preserve">З розвитком системи НОР, з метою забезпечення належного передчасного реагування на можливі негативні наслідки, НКЦПФР необхідно використовувати найсучасніші інформаційно-технічні системи збору та обробки інформації. </w:t>
      </w:r>
    </w:p>
    <w:p w:rsidR="00B74F8F" w:rsidRPr="00B74F8F" w:rsidRDefault="00B74F8F" w:rsidP="0087685E">
      <w:pPr>
        <w:ind w:firstLine="720"/>
        <w:jc w:val="both"/>
        <w:rPr>
          <w:sz w:val="28"/>
          <w:szCs w:val="28"/>
        </w:rPr>
      </w:pPr>
      <w:r w:rsidRPr="00B74F8F">
        <w:rPr>
          <w:sz w:val="28"/>
          <w:szCs w:val="28"/>
        </w:rPr>
        <w:t xml:space="preserve">Найпотужнішим, і в той же час, найбільш працюючим інструментом на сьогодні є аналіз даних «Big Data» та </w:t>
      </w:r>
      <w:r w:rsidRPr="00B74F8F">
        <w:rPr>
          <w:b/>
          <w:bCs/>
          <w:color w:val="FF0000"/>
          <w:sz w:val="28"/>
          <w:szCs w:val="28"/>
        </w:rPr>
        <w:t>«</w:t>
      </w:r>
      <w:r w:rsidRPr="00B74F8F">
        <w:rPr>
          <w:sz w:val="28"/>
          <w:szCs w:val="28"/>
        </w:rPr>
        <w:t>машинне навчання</w:t>
      </w:r>
      <w:r w:rsidRPr="00B74F8F">
        <w:rPr>
          <w:b/>
          <w:bCs/>
          <w:color w:val="FF0000"/>
          <w:sz w:val="28"/>
          <w:szCs w:val="28"/>
        </w:rPr>
        <w:t>»</w:t>
      </w:r>
      <w:r w:rsidRPr="00B74F8F">
        <w:rPr>
          <w:sz w:val="28"/>
          <w:szCs w:val="28"/>
        </w:rPr>
        <w:t xml:space="preserve">. Впровадження таких сучасних технологій дає можливість наглядовим органам збирати та аналізувати структуровані та неструктуровані дані значних обсягів та отримувати цінну інформацію стосовно ризиків, що виникають у суб’єктів нагляду. </w:t>
      </w:r>
    </w:p>
    <w:p w:rsidR="00B74F8F" w:rsidRPr="00B74F8F" w:rsidRDefault="00B74F8F" w:rsidP="0087685E">
      <w:pPr>
        <w:ind w:firstLine="720"/>
        <w:jc w:val="both"/>
        <w:rPr>
          <w:sz w:val="28"/>
          <w:szCs w:val="28"/>
        </w:rPr>
      </w:pPr>
      <w:r w:rsidRPr="00B74F8F">
        <w:rPr>
          <w:sz w:val="28"/>
          <w:szCs w:val="28"/>
        </w:rPr>
        <w:t>Інформаційно-технічні системи НОР мають досить складну внутрішню архітектуру. Для прикладу нижче наведено верхньорівневу архітектуру, яка включає в себе регуляторне середовище та середовище нагляду.</w:t>
      </w:r>
    </w:p>
    <w:p w:rsidR="00B74F8F" w:rsidRPr="00B74F8F"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sz w:val="28"/>
          <w:szCs w:val="28"/>
        </w:rPr>
      </w:pPr>
      <w:r w:rsidRPr="00B74F8F">
        <w:rPr>
          <w:sz w:val="28"/>
          <w:szCs w:val="28"/>
        </w:rPr>
        <w:t xml:space="preserve"> </w:t>
      </w:r>
    </w:p>
    <w:p w:rsidR="004618F4" w:rsidRPr="00A6792A" w:rsidRDefault="004618F4" w:rsidP="004618F4">
      <w:pPr>
        <w:ind w:firstLine="708"/>
        <w:jc w:val="both"/>
      </w:pPr>
      <w:r w:rsidRPr="00A6792A">
        <w:rPr>
          <w:noProof/>
        </w:rPr>
        <w:pict>
          <v:group id="Групувати 24" o:spid="_x0000_s1125" style="position:absolute;left:0;text-align:left;margin-left:-8.6pt;margin-top:2.2pt;width:503.25pt;height:198.75pt;z-index:9" coordsize="63912,25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">
            <v:roundrect id="Прямокутник: округлені кути 22" o:spid="_x0000_s1126" style="position:absolute;width:40005;height:25241;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" strokeweight="1pt">
              <v:stroke dashstyle="dash" joinstyle="miter"/>
              <v:textbox>
                <w:txbxContent>
                  <w:p w:rsidR="004618F4" w:rsidRPr="006F6615" w:rsidRDefault="004618F4" w:rsidP="004618F4">
                    <w:pPr>
                      <w:jc w:val="center"/>
                      <w:rPr>
                        <w:b/>
                      </w:rPr>
                    </w:pPr>
                    <w:r w:rsidRPr="006F6615">
                      <w:rPr>
                        <w:b/>
                      </w:rPr>
                      <w:t>Середовище нагляду</w:t>
                    </w:r>
                  </w:p>
                </w:txbxContent>
              </v:textbox>
            </v:roundrect>
            <v:roundrect id="Прямокутник: округлені кути 23" o:spid="_x0000_s1127" style="position:absolute;left:42957;width:20955;height:25050;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" strokeweight="1pt">
              <v:stroke dashstyle="dash" joinstyle="miter"/>
              <v:textbox>
                <w:txbxContent>
                  <w:p w:rsidR="004618F4" w:rsidRPr="006F6615" w:rsidRDefault="004618F4" w:rsidP="004618F4">
                    <w:pPr>
                      <w:jc w:val="center"/>
                      <w:rPr>
                        <w:b/>
                      </w:rPr>
                    </w:pPr>
                    <w:r w:rsidRPr="006F6615">
                      <w:rPr>
                        <w:b/>
                      </w:rPr>
                      <w:t>Регуляторне середовище</w:t>
                    </w:r>
                  </w:p>
                </w:txbxContent>
              </v:textbox>
            </v:roundrect>
            <v:group id="Групувати 21" o:spid="_x0000_s1128" style="position:absolute;left:952;top:3905;width:61627;height:19069" coordsize="61626,19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Прямокутник 2" o:spid="_x0000_s1129" style="position:absolute;width:18000;height:287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" strokeweight="1pt">
                <v:textbox>
                  <w:txbxContent>
                    <w:p w:rsidR="004618F4" w:rsidRPr="006F6615" w:rsidRDefault="004618F4" w:rsidP="004618F4">
                      <w:pPr>
                        <w:jc w:val="center"/>
                        <w:rPr>
                          <w:b/>
                          <w:sz w:val="20"/>
                        </w:rPr>
                      </w:pPr>
                      <w:r w:rsidRPr="006F6615">
                        <w:rPr>
                          <w:b/>
                          <w:sz w:val="20"/>
                        </w:rPr>
                        <w:t>Орган нагляду</w:t>
                      </w:r>
                    </w:p>
                  </w:txbxContent>
                </v:textbox>
              </v:rect>
              <v:roundrect id="Прямокутник: округлені кути 4" o:spid="_x0000_s1130" style="position:absolute;left:23336;width:14478;height:9142;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" strokeweight="1pt">
                <v:stroke joinstyle="miter"/>
                <v:textbox>
                  <w:txbxContent>
                    <w:p w:rsidR="004618F4" w:rsidRPr="00BA7192" w:rsidRDefault="004618F4" w:rsidP="004618F4">
                      <w:pPr>
                        <w:rPr>
                          <w:sz w:val="16"/>
                          <w:szCs w:val="16"/>
                        </w:rPr>
                      </w:pPr>
                      <w:r w:rsidRPr="00BA7192">
                        <w:rPr>
                          <w:sz w:val="16"/>
                          <w:szCs w:val="16"/>
                        </w:rPr>
                        <w:t>- «</w:t>
                      </w:r>
                      <w:r w:rsidRPr="00BA7192">
                        <w:rPr>
                          <w:sz w:val="16"/>
                          <w:szCs w:val="16"/>
                          <w:lang w:val="en-US"/>
                        </w:rPr>
                        <w:t>Big</w:t>
                      </w:r>
                      <w:r w:rsidRPr="00BA7192">
                        <w:rPr>
                          <w:sz w:val="16"/>
                          <w:szCs w:val="16"/>
                          <w:lang w:val="ru-RU"/>
                        </w:rPr>
                        <w:t xml:space="preserve"> </w:t>
                      </w:r>
                      <w:r w:rsidRPr="00BA7192">
                        <w:rPr>
                          <w:sz w:val="16"/>
                          <w:szCs w:val="16"/>
                          <w:lang w:val="en-US"/>
                        </w:rPr>
                        <w:t>Data</w:t>
                      </w:r>
                      <w:r w:rsidRPr="00BA7192">
                        <w:rPr>
                          <w:sz w:val="16"/>
                          <w:szCs w:val="16"/>
                        </w:rPr>
                        <w:t>» аналіз</w:t>
                      </w:r>
                    </w:p>
                    <w:p w:rsidR="004618F4" w:rsidRPr="00BA7192" w:rsidRDefault="00BA7192" w:rsidP="004618F4">
                      <w:pPr>
                        <w:rPr>
                          <w:sz w:val="16"/>
                          <w:szCs w:val="16"/>
                        </w:rPr>
                      </w:pPr>
                      <w:r w:rsidRPr="00BA7192">
                        <w:rPr>
                          <w:sz w:val="16"/>
                          <w:szCs w:val="16"/>
                        </w:rPr>
                        <w:t>- «м</w:t>
                      </w:r>
                      <w:r w:rsidR="004618F4" w:rsidRPr="00BA7192">
                        <w:rPr>
                          <w:sz w:val="16"/>
                          <w:szCs w:val="16"/>
                        </w:rPr>
                        <w:t>ашинне навчання</w:t>
                      </w:r>
                      <w:r w:rsidRPr="00BA7192">
                        <w:rPr>
                          <w:sz w:val="16"/>
                          <w:szCs w:val="16"/>
                        </w:rPr>
                        <w:t>»</w:t>
                      </w:r>
                    </w:p>
                    <w:p w:rsidR="00BA7192" w:rsidRPr="00BA7192" w:rsidRDefault="004618F4" w:rsidP="004618F4">
                      <w:pPr>
                        <w:rPr>
                          <w:sz w:val="16"/>
                          <w:szCs w:val="16"/>
                        </w:rPr>
                      </w:pPr>
                      <w:r w:rsidRPr="00BA7192">
                        <w:rPr>
                          <w:sz w:val="16"/>
                          <w:szCs w:val="16"/>
                        </w:rPr>
                        <w:t xml:space="preserve">- </w:t>
                      </w:r>
                      <w:r w:rsidR="00BA7192">
                        <w:rPr>
                          <w:sz w:val="16"/>
                          <w:szCs w:val="16"/>
                        </w:rPr>
                        <w:t>о</w:t>
                      </w:r>
                      <w:r w:rsidRPr="00BA7192">
                        <w:rPr>
                          <w:sz w:val="16"/>
                          <w:szCs w:val="16"/>
                        </w:rPr>
                        <w:t xml:space="preserve">бробка даних </w:t>
                      </w:r>
                      <w:r w:rsidR="00BA7192">
                        <w:rPr>
                          <w:sz w:val="16"/>
                          <w:szCs w:val="16"/>
                        </w:rPr>
                        <w:t xml:space="preserve">за допомогою спеціалізованого програмного комплексу </w:t>
                      </w:r>
                    </w:p>
                  </w:txbxContent>
                </v:textbox>
              </v:roundrect>
              <v:rect id="Прямокутник 5" o:spid="_x0000_s1131" style="position:absolute;left:43529;width:18000;height:287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XVwwAAANoAAAAPAAAAZHJzL2Rvd25yZXYueG1sRI9Ba8JA&#10;FITvBf/D8oTe6sZCrU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B/nV1cMAAADaAAAADwAA&#10;AAAAAAAAAAAAAAAHAgAAZHJzL2Rvd25yZXYueG1sUEsFBgAAAAADAAMAtwAAAPcCAAAAAA==&#10;" strokeweight="1pt">
                <v:textbox>
                  <w:txbxContent>
                    <w:p w:rsidR="004618F4" w:rsidRPr="006F6615" w:rsidRDefault="004618F4" w:rsidP="004618F4">
                      <w:pPr>
                        <w:jc w:val="center"/>
                        <w:rPr>
                          <w:b/>
                          <w:sz w:val="20"/>
                        </w:rPr>
                      </w:pPr>
                      <w:r w:rsidRPr="006F6615">
                        <w:rPr>
                          <w:b/>
                          <w:sz w:val="20"/>
                        </w:rPr>
                        <w:t>Суб’єкт нагляду</w:t>
                      </w:r>
                    </w:p>
                  </w:txbxContent>
                </v:textbox>
              </v:rect>
              <v:rect id="Прямокутник 3" o:spid="_x0000_s1132" style="position:absolute;top:11144;width:18000;height:791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Og6wwAAANoAAAAPAAAAZHJzL2Rvd25yZXYueG1sRI9Ba8JA&#10;FITvBf/D8oTe6sYWrE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51zoOsMAAADaAAAADwAA&#10;AAAAAAAAAAAAAAAHAgAAZHJzL2Rvd25yZXYueG1sUEsFBgAAAAADAAMAtwAAAPcCAAAAAA==&#10;" strokeweight="1pt">
                <v:textbox>
                  <w:txbxContent>
                    <w:p w:rsidR="004618F4" w:rsidRPr="00010BE5" w:rsidRDefault="004618F4" w:rsidP="004618F4">
                      <w:pPr>
                        <w:jc w:val="center"/>
                        <w:rPr>
                          <w:sz w:val="20"/>
                        </w:rPr>
                      </w:pPr>
                      <w:r w:rsidRPr="00010BE5">
                        <w:rPr>
                          <w:sz w:val="20"/>
                        </w:rPr>
                        <w:t>Цілеспрямований моніторинг специфічної активності чи дій суб’єктів нагляду</w:t>
                      </w:r>
                    </w:p>
                  </w:txbxContent>
                </v:textbox>
              </v:rect>
              <v:rect id="Прямокутник 8" o:spid="_x0000_s1133" style="position:absolute;left:43529;top:5905;width:8287;height:657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" strokeweight="1pt">
                <v:textbox>
                  <w:txbxContent>
                    <w:p w:rsidR="004618F4" w:rsidRPr="00010BE5" w:rsidRDefault="004618F4" w:rsidP="004618F4">
                      <w:pPr>
                        <w:jc w:val="center"/>
                        <w:rPr>
                          <w:sz w:val="20"/>
                        </w:rPr>
                      </w:pPr>
                      <w:r>
                        <w:rPr>
                          <w:sz w:val="20"/>
                        </w:rPr>
                        <w:t>Функції управління ризиками</w:t>
                      </w:r>
                    </w:p>
                  </w:txbxContent>
                </v:textbox>
              </v:rect>
              <v:rect id="Прямокутник 6" o:spid="_x0000_s1134" style="position:absolute;left:23336;top:16192;width:14760;height:287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" strokeweight="1pt">
                <v:textbox>
                  <w:txbxContent>
                    <w:p w:rsidR="004618F4" w:rsidRPr="00010BE5" w:rsidRDefault="004618F4" w:rsidP="004618F4">
                      <w:pPr>
                        <w:jc w:val="center"/>
                        <w:rPr>
                          <w:sz w:val="20"/>
                        </w:rPr>
                      </w:pPr>
                      <w:r>
                        <w:rPr>
                          <w:sz w:val="20"/>
                        </w:rPr>
                        <w:t>Фактори ризику</w:t>
                      </w:r>
                    </w:p>
                  </w:txbxContent>
                </v:textbox>
              </v:rect>
              <v:rect id="Прямокутник 9" o:spid="_x0000_s1135" style="position:absolute;left:53340;top:5905;width:8286;height:657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" strokeweight="1pt">
                <v:textbox>
                  <w:txbxContent>
                    <w:p w:rsidR="004618F4" w:rsidRPr="00010BE5" w:rsidRDefault="004618F4" w:rsidP="004618F4">
                      <w:pPr>
                        <w:jc w:val="center"/>
                        <w:rPr>
                          <w:sz w:val="20"/>
                        </w:rPr>
                      </w:pPr>
                      <w:r>
                        <w:rPr>
                          <w:sz w:val="20"/>
                        </w:rPr>
                        <w:t>Комплаєнс функції</w:t>
                      </w:r>
                    </w:p>
                  </w:txbxContent>
                </v:textbox>
              </v:rect>
              <v:rect id="Прямокутник 7" o:spid="_x0000_s1136" style="position:absolute;left:43529;top:16192;width:18000;height:287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" strokeweight="1pt">
                <v:textbox>
                  <w:txbxContent>
                    <w:p w:rsidR="004618F4" w:rsidRPr="00010BE5" w:rsidRDefault="004618F4" w:rsidP="004618F4">
                      <w:pPr>
                        <w:jc w:val="center"/>
                        <w:rPr>
                          <w:sz w:val="20"/>
                        </w:rPr>
                      </w:pPr>
                      <w:r>
                        <w:rPr>
                          <w:sz w:val="20"/>
                        </w:rPr>
                        <w:t>Процеси</w:t>
                      </w:r>
                    </w:p>
                  </w:txbxContent>
                </v:textbox>
              </v:rect>
              <v:shapetype id="_x0000_t32" coordsize="21600,21600" o:spt="32" o:oned="t" path="m,l21600,21600e" filled="f">
                <v:path arrowok="t" fillok="f" o:connecttype="none"/>
                <o:lock v:ext="edit" shapetype="t"/>
              </v:shapetype>
              <v:shape id="Пряма зі стрілкою 11" o:spid="_x0000_s1137" type="#_x0000_t32" style="position:absolute;left:47625;top:2857;width:0;height:302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" strokeweight=".5pt">
                <v:stroke endarrow="block" joinstyle="miter"/>
              </v:shape>
              <v:shape id="Пряма зі стрілкою 12" o:spid="_x0000_s1138" type="#_x0000_t32" style="position:absolute;left:57531;top:2952;width:0;height:302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" strokeweight=".5pt">
                <v:stroke endarrow="block" joinstyle="miter"/>
              </v:shape>
              <v:shape id="Пряма зі стрілкою 13" o:spid="_x0000_s1139" type="#_x0000_t32" style="position:absolute;left:47625;top:12477;width:0;height:360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" strokeweight=".5pt">
                <v:stroke endarrow="block" joinstyle="miter"/>
              </v:shape>
              <v:shape id="Пряма зі стрілкою 14" o:spid="_x0000_s1140" type="#_x0000_t32" style="position:absolute;left:57626;top:12573;width:0;height:360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" strokeweight=".5pt">
                <v:stroke endarrow="block" joinstyle="miter"/>
              </v:shape>
              <v:shape id="Пряма зі стрілкою 16" o:spid="_x0000_s1141" type="#_x0000_t32" style="position:absolute;left:38100;top:17716;width:5435;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" strokeweight=".5pt">
                <v:stroke endarrow="block" joinstyle="miter"/>
              </v:shape>
              <v:shape id="Пряма зі стрілкою 17" o:spid="_x0000_s1142" type="#_x0000_t32" style="position:absolute;left:30765;top:9144;width:0;height:7054;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" strokeweight=".5pt">
                <v:stroke endarrow="block" joinstyle="miter"/>
              </v:shape>
              <v:shape id="Сполучна лінія: уступом 19" o:spid="_x0000_s1143" type="#_x0000_t34" style="position:absolute;left:18002;top:1619;width:5340;height:3238;flip:x 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" strokeweight=".5pt">
                <v:stroke endarrow="block"/>
              </v:shape>
              <v:shape id="Пряма зі стрілкою 20" o:spid="_x0000_s1144" type="#_x0000_t32" style="position:absolute;left:9048;top:2952;width:0;height:819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" strokeweight=".5pt">
                <v:stroke endarrow="block" joinstyle="miter"/>
              </v:shape>
            </v:group>
          </v:group>
        </w:pict>
      </w:r>
    </w:p>
    <w:p w:rsidR="004618F4" w:rsidRPr="00A6792A" w:rsidRDefault="004618F4" w:rsidP="004618F4">
      <w:pPr>
        <w:ind w:firstLine="708"/>
        <w:jc w:val="both"/>
      </w:pPr>
    </w:p>
    <w:p w:rsidR="004618F4" w:rsidRPr="00A6792A" w:rsidRDefault="004618F4" w:rsidP="004618F4">
      <w:pPr>
        <w:ind w:firstLine="708"/>
        <w:jc w:val="both"/>
      </w:pPr>
    </w:p>
    <w:p w:rsidR="004618F4" w:rsidRPr="00A6792A" w:rsidRDefault="004618F4" w:rsidP="004618F4">
      <w:pPr>
        <w:ind w:firstLine="708"/>
        <w:jc w:val="both"/>
      </w:pPr>
    </w:p>
    <w:p w:rsidR="004618F4" w:rsidRPr="00A6792A" w:rsidRDefault="004618F4" w:rsidP="004618F4">
      <w:pPr>
        <w:ind w:firstLine="708"/>
        <w:jc w:val="both"/>
      </w:pPr>
    </w:p>
    <w:p w:rsidR="004618F4" w:rsidRPr="00A6792A" w:rsidRDefault="004618F4" w:rsidP="004618F4">
      <w:pPr>
        <w:ind w:firstLine="708"/>
        <w:jc w:val="both"/>
      </w:pPr>
    </w:p>
    <w:p w:rsidR="004618F4" w:rsidRPr="00A6792A" w:rsidRDefault="004618F4" w:rsidP="004618F4">
      <w:pPr>
        <w:ind w:firstLine="708"/>
        <w:jc w:val="both"/>
      </w:pPr>
    </w:p>
    <w:p w:rsidR="004618F4" w:rsidRPr="00A6792A" w:rsidRDefault="004618F4" w:rsidP="004618F4">
      <w:pPr>
        <w:ind w:firstLine="708"/>
        <w:jc w:val="both"/>
      </w:pPr>
    </w:p>
    <w:p w:rsidR="004618F4" w:rsidRPr="00A6792A" w:rsidRDefault="004618F4" w:rsidP="004618F4">
      <w:pPr>
        <w:ind w:firstLine="708"/>
        <w:jc w:val="both"/>
      </w:pPr>
    </w:p>
    <w:p w:rsidR="004618F4" w:rsidRPr="00A6792A" w:rsidRDefault="004618F4" w:rsidP="004618F4">
      <w:pPr>
        <w:ind w:firstLine="708"/>
        <w:jc w:val="both"/>
      </w:pPr>
    </w:p>
    <w:p w:rsidR="004618F4" w:rsidRPr="00A6792A" w:rsidRDefault="004618F4" w:rsidP="004618F4">
      <w:pPr>
        <w:ind w:firstLine="708"/>
        <w:jc w:val="both"/>
      </w:pPr>
    </w:p>
    <w:p w:rsidR="004618F4" w:rsidRPr="00A6792A" w:rsidRDefault="004618F4" w:rsidP="004618F4">
      <w:pPr>
        <w:ind w:firstLine="708"/>
        <w:jc w:val="both"/>
      </w:pPr>
    </w:p>
    <w:p w:rsidR="004618F4" w:rsidRPr="00A6792A" w:rsidRDefault="004618F4" w:rsidP="004618F4">
      <w:pPr>
        <w:ind w:firstLine="708"/>
        <w:jc w:val="both"/>
      </w:pPr>
    </w:p>
    <w:p w:rsidR="004618F4" w:rsidRPr="00A6792A" w:rsidRDefault="004618F4" w:rsidP="004618F4">
      <w:pPr>
        <w:ind w:firstLine="708"/>
        <w:jc w:val="both"/>
      </w:pPr>
    </w:p>
    <w:p w:rsidR="004618F4" w:rsidRPr="00A6792A" w:rsidRDefault="004618F4" w:rsidP="004618F4">
      <w:pPr>
        <w:ind w:firstLine="708"/>
        <w:jc w:val="both"/>
      </w:pPr>
    </w:p>
    <w:p w:rsidR="004618F4" w:rsidRPr="00B74F8F" w:rsidRDefault="004618F4"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sz w:val="28"/>
          <w:szCs w:val="28"/>
        </w:rPr>
      </w:pPr>
    </w:p>
    <w:p w:rsidR="00B74F8F" w:rsidRPr="00B74F8F" w:rsidRDefault="00B74F8F" w:rsidP="00B74F8F">
      <w:pPr>
        <w:ind w:firstLine="708"/>
        <w:jc w:val="both"/>
        <w:rPr>
          <w:sz w:val="28"/>
          <w:szCs w:val="28"/>
        </w:rPr>
      </w:pPr>
      <w:r w:rsidRPr="00B74F8F">
        <w:rPr>
          <w:sz w:val="28"/>
          <w:szCs w:val="28"/>
        </w:rPr>
        <w:t>В регуляторному середовищі здійснюється</w:t>
      </w:r>
      <w:r w:rsidRPr="00B74F8F">
        <w:rPr>
          <w:b/>
          <w:bCs/>
          <w:color w:val="FF0000"/>
          <w:sz w:val="28"/>
          <w:szCs w:val="28"/>
        </w:rPr>
        <w:t xml:space="preserve"> </w:t>
      </w:r>
      <w:r w:rsidRPr="009857E2">
        <w:rPr>
          <w:bCs/>
          <w:sz w:val="28"/>
          <w:szCs w:val="28"/>
        </w:rPr>
        <w:t>автоматична</w:t>
      </w:r>
      <w:r w:rsidRPr="00B74F8F">
        <w:rPr>
          <w:sz w:val="28"/>
          <w:szCs w:val="28"/>
        </w:rPr>
        <w:t xml:space="preserve"> обробка процесів управління ризиками та комплаєнс функції суб’єкта нагляду. На базі цих даних ідентифікуються фактори ризику, які надалі підлягають обробці в середовищі нагляду з метою забезпечення цілеспрямованого моніторингу специфічної активності чи дій суб’єктів нагляду.</w:t>
      </w:r>
    </w:p>
    <w:p w:rsidR="00B74F8F" w:rsidRDefault="00B74F8F" w:rsidP="00B74F8F">
      <w:pPr>
        <w:rPr>
          <w:b/>
          <w:sz w:val="28"/>
          <w:szCs w:val="28"/>
        </w:rPr>
      </w:pPr>
    </w:p>
    <w:p w:rsidR="00C602E0" w:rsidRDefault="00C602E0" w:rsidP="00B74F8F">
      <w:pPr>
        <w:rPr>
          <w:b/>
          <w:sz w:val="28"/>
          <w:szCs w:val="28"/>
        </w:rPr>
      </w:pPr>
    </w:p>
    <w:p w:rsidR="001E6091" w:rsidRPr="00B74F8F" w:rsidRDefault="001E6091" w:rsidP="00B74F8F">
      <w:pPr>
        <w:rPr>
          <w:b/>
          <w:sz w:val="28"/>
          <w:szCs w:val="28"/>
        </w:rPr>
      </w:pPr>
    </w:p>
    <w:p w:rsidR="00B74F8F" w:rsidRPr="00B74F8F" w:rsidRDefault="00B74F8F" w:rsidP="00B74F8F">
      <w:pPr>
        <w:rPr>
          <w:b/>
          <w:sz w:val="28"/>
          <w:szCs w:val="28"/>
        </w:rPr>
      </w:pPr>
      <w:r w:rsidRPr="00B74F8F">
        <w:rPr>
          <w:b/>
          <w:sz w:val="28"/>
          <w:szCs w:val="28"/>
        </w:rPr>
        <w:t>7. Процес впровадження нагляду на основі оцінки</w:t>
      </w:r>
      <w:r w:rsidR="001E6091">
        <w:rPr>
          <w:b/>
          <w:sz w:val="28"/>
          <w:szCs w:val="28"/>
        </w:rPr>
        <w:t>.</w:t>
      </w:r>
    </w:p>
    <w:p w:rsidR="00B74F8F" w:rsidRPr="00B74F8F" w:rsidRDefault="00B74F8F" w:rsidP="00B74F8F">
      <w:pPr>
        <w:ind w:firstLine="708"/>
        <w:jc w:val="both"/>
        <w:rPr>
          <w:sz w:val="28"/>
          <w:szCs w:val="28"/>
        </w:rPr>
      </w:pPr>
      <w:r w:rsidRPr="00B74F8F">
        <w:rPr>
          <w:sz w:val="28"/>
          <w:szCs w:val="28"/>
        </w:rPr>
        <w:t>Процес та способи впровадження НОР відрізняються в різних регуляторах. Важливим є те, щоб прийняті методи, підходи та інструменти  були узгоджені з цілями та можливостями регулятора, характеристиками фінансової системи</w:t>
      </w:r>
      <w:r w:rsidR="001E6091">
        <w:rPr>
          <w:sz w:val="28"/>
          <w:szCs w:val="28"/>
        </w:rPr>
        <w:t>,</w:t>
      </w:r>
      <w:r w:rsidRPr="00B74F8F">
        <w:rPr>
          <w:sz w:val="28"/>
          <w:szCs w:val="28"/>
        </w:rPr>
        <w:t xml:space="preserve"> в якій запроваджується система НОР.</w:t>
      </w:r>
    </w:p>
    <w:p w:rsidR="00B74F8F" w:rsidRPr="00B74F8F" w:rsidRDefault="001E6091" w:rsidP="0087685E">
      <w:pPr>
        <w:ind w:firstLine="720"/>
        <w:jc w:val="both"/>
        <w:rPr>
          <w:sz w:val="28"/>
          <w:szCs w:val="28"/>
        </w:rPr>
      </w:pPr>
      <w:r>
        <w:rPr>
          <w:sz w:val="28"/>
          <w:szCs w:val="28"/>
        </w:rPr>
        <w:t>Далі</w:t>
      </w:r>
      <w:r w:rsidR="00B74F8F" w:rsidRPr="00B74F8F">
        <w:rPr>
          <w:sz w:val="28"/>
          <w:szCs w:val="28"/>
        </w:rPr>
        <w:t xml:space="preserve"> наведено орієнтовний перелік заходів, необхідних для впровадження системи НОР в НКЦПФР.</w:t>
      </w:r>
    </w:p>
    <w:p w:rsidR="00B74F8F" w:rsidRPr="00B74F8F"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napToGrid/>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8"/>
        <w:gridCol w:w="9130"/>
      </w:tblGrid>
      <w:tr w:rsidR="00B74F8F" w:rsidRPr="004B3CC9" w:rsidTr="004B3CC9">
        <w:tc>
          <w:tcPr>
            <w:tcW w:w="698" w:type="dxa"/>
            <w:shd w:val="clear" w:color="auto" w:fill="auto"/>
          </w:tcPr>
          <w:p w:rsidR="00B74F8F" w:rsidRPr="004B3CC9" w:rsidRDefault="00B74F8F" w:rsidP="004B3CC9">
            <w:pPr>
              <w:jc w:val="center"/>
              <w:rPr>
                <w:b/>
                <w:sz w:val="28"/>
                <w:szCs w:val="28"/>
              </w:rPr>
            </w:pPr>
            <w:r w:rsidRPr="004B3CC9">
              <w:rPr>
                <w:b/>
                <w:sz w:val="28"/>
                <w:szCs w:val="28"/>
              </w:rPr>
              <w:t>№ з/п</w:t>
            </w:r>
          </w:p>
        </w:tc>
        <w:tc>
          <w:tcPr>
            <w:tcW w:w="9130" w:type="dxa"/>
            <w:shd w:val="clear" w:color="auto" w:fill="auto"/>
          </w:tcPr>
          <w:p w:rsidR="00B74F8F" w:rsidRPr="004B3CC9" w:rsidRDefault="00B74F8F" w:rsidP="004B3CC9">
            <w:pPr>
              <w:jc w:val="center"/>
              <w:rPr>
                <w:b/>
                <w:sz w:val="28"/>
                <w:szCs w:val="28"/>
              </w:rPr>
            </w:pPr>
            <w:r w:rsidRPr="004B3CC9">
              <w:rPr>
                <w:b/>
                <w:sz w:val="28"/>
                <w:szCs w:val="28"/>
              </w:rPr>
              <w:t>Захід</w:t>
            </w:r>
          </w:p>
        </w:tc>
      </w:tr>
      <w:tr w:rsidR="00B74F8F" w:rsidRPr="004B3CC9" w:rsidTr="004B3CC9">
        <w:tc>
          <w:tcPr>
            <w:tcW w:w="698" w:type="dxa"/>
            <w:shd w:val="clear" w:color="auto" w:fill="auto"/>
          </w:tcPr>
          <w:p w:rsidR="00B74F8F" w:rsidRPr="004B3CC9" w:rsidRDefault="00B74F8F" w:rsidP="00B74F8F">
            <w:pPr>
              <w:rPr>
                <w:sz w:val="28"/>
                <w:szCs w:val="28"/>
              </w:rPr>
            </w:pPr>
            <w:r w:rsidRPr="004B3CC9">
              <w:rPr>
                <w:sz w:val="28"/>
                <w:szCs w:val="28"/>
              </w:rPr>
              <w:t>1</w:t>
            </w:r>
          </w:p>
        </w:tc>
        <w:tc>
          <w:tcPr>
            <w:tcW w:w="9130" w:type="dxa"/>
            <w:shd w:val="clear" w:color="auto" w:fill="auto"/>
          </w:tcPr>
          <w:p w:rsidR="00B74F8F" w:rsidRPr="004B3CC9" w:rsidRDefault="00B74F8F" w:rsidP="004B3CC9">
            <w:pPr>
              <w:jc w:val="both"/>
              <w:rPr>
                <w:sz w:val="28"/>
                <w:szCs w:val="28"/>
              </w:rPr>
            </w:pPr>
            <w:r w:rsidRPr="004B3CC9">
              <w:rPr>
                <w:sz w:val="28"/>
                <w:szCs w:val="28"/>
              </w:rPr>
              <w:t xml:space="preserve">Розробка документу, що визначає порядок формування профілів ризику для кожного виду професійної діяльності та </w:t>
            </w:r>
            <w:r w:rsidRPr="004B3CC9">
              <w:rPr>
                <w:bCs/>
                <w:sz w:val="28"/>
                <w:szCs w:val="28"/>
              </w:rPr>
              <w:t>Центрального депозитарію цінних паперів</w:t>
            </w:r>
            <w:r w:rsidR="001E6091" w:rsidRPr="004B3CC9">
              <w:rPr>
                <w:bCs/>
                <w:sz w:val="28"/>
                <w:szCs w:val="28"/>
              </w:rPr>
              <w:t>.</w:t>
            </w:r>
            <w:r w:rsidRPr="004B3CC9">
              <w:rPr>
                <w:bCs/>
                <w:color w:val="FF0000"/>
                <w:sz w:val="28"/>
                <w:szCs w:val="28"/>
              </w:rPr>
              <w:t xml:space="preserve"> </w:t>
            </w:r>
          </w:p>
        </w:tc>
      </w:tr>
      <w:tr w:rsidR="00B74F8F" w:rsidRPr="004B3CC9" w:rsidTr="004B3CC9">
        <w:tc>
          <w:tcPr>
            <w:tcW w:w="698" w:type="dxa"/>
            <w:shd w:val="clear" w:color="auto" w:fill="auto"/>
          </w:tcPr>
          <w:p w:rsidR="00B74F8F" w:rsidRPr="004B3CC9" w:rsidRDefault="00B74F8F" w:rsidP="004B3CC9">
            <w:pPr>
              <w:jc w:val="both"/>
              <w:rPr>
                <w:sz w:val="28"/>
                <w:szCs w:val="28"/>
              </w:rPr>
            </w:pPr>
            <w:r w:rsidRPr="004B3CC9">
              <w:rPr>
                <w:sz w:val="28"/>
                <w:szCs w:val="28"/>
              </w:rPr>
              <w:t>2</w:t>
            </w:r>
          </w:p>
        </w:tc>
        <w:tc>
          <w:tcPr>
            <w:tcW w:w="9130" w:type="dxa"/>
            <w:shd w:val="clear" w:color="auto" w:fill="auto"/>
          </w:tcPr>
          <w:p w:rsidR="00B74F8F" w:rsidRPr="004B3CC9" w:rsidRDefault="00B74F8F" w:rsidP="004B3CC9">
            <w:pPr>
              <w:jc w:val="both"/>
              <w:rPr>
                <w:sz w:val="28"/>
                <w:szCs w:val="28"/>
              </w:rPr>
            </w:pPr>
            <w:r w:rsidRPr="004B3CC9">
              <w:rPr>
                <w:sz w:val="28"/>
                <w:szCs w:val="28"/>
              </w:rPr>
              <w:t>Розробка документу, що визначає методологію та параметри системи оцінки ризиків НКЦПФР (оцінка рівня</w:t>
            </w:r>
            <w:r w:rsidRPr="004B3CC9">
              <w:rPr>
                <w:b/>
                <w:color w:val="FF0000"/>
                <w:sz w:val="28"/>
                <w:szCs w:val="28"/>
              </w:rPr>
              <w:t xml:space="preserve"> </w:t>
            </w:r>
            <w:r w:rsidRPr="004B3CC9">
              <w:rPr>
                <w:sz w:val="28"/>
                <w:szCs w:val="28"/>
              </w:rPr>
              <w:t>ризику, якості управління ризиком,  сукупного ризику, напряму ризику)</w:t>
            </w:r>
            <w:r w:rsidR="001E6091" w:rsidRPr="004B3CC9">
              <w:rPr>
                <w:sz w:val="28"/>
                <w:szCs w:val="28"/>
              </w:rPr>
              <w:t>.</w:t>
            </w:r>
          </w:p>
        </w:tc>
      </w:tr>
      <w:tr w:rsidR="00B74F8F" w:rsidRPr="004B3CC9" w:rsidTr="004B3CC9">
        <w:tc>
          <w:tcPr>
            <w:tcW w:w="698" w:type="dxa"/>
            <w:shd w:val="clear" w:color="auto" w:fill="auto"/>
          </w:tcPr>
          <w:p w:rsidR="00B74F8F" w:rsidRPr="004B3CC9" w:rsidRDefault="00B74F8F" w:rsidP="004B3CC9">
            <w:pPr>
              <w:jc w:val="both"/>
              <w:rPr>
                <w:sz w:val="28"/>
                <w:szCs w:val="28"/>
              </w:rPr>
            </w:pPr>
            <w:r w:rsidRPr="004B3CC9">
              <w:rPr>
                <w:sz w:val="28"/>
                <w:szCs w:val="28"/>
              </w:rPr>
              <w:t>3</w:t>
            </w:r>
          </w:p>
        </w:tc>
        <w:tc>
          <w:tcPr>
            <w:tcW w:w="9130" w:type="dxa"/>
            <w:shd w:val="clear" w:color="auto" w:fill="auto"/>
          </w:tcPr>
          <w:p w:rsidR="00B74F8F" w:rsidRPr="004B3CC9" w:rsidRDefault="00B74F8F" w:rsidP="004B3CC9">
            <w:pPr>
              <w:jc w:val="both"/>
              <w:rPr>
                <w:sz w:val="28"/>
                <w:szCs w:val="28"/>
              </w:rPr>
            </w:pPr>
            <w:r w:rsidRPr="004B3CC9">
              <w:rPr>
                <w:sz w:val="28"/>
                <w:szCs w:val="28"/>
              </w:rPr>
              <w:t xml:space="preserve">Розробка документу, що визначає методику формування матриці ризиків, </w:t>
            </w:r>
            <w:r w:rsidRPr="004B3CC9">
              <w:rPr>
                <w:bCs/>
                <w:sz w:val="28"/>
                <w:szCs w:val="28"/>
              </w:rPr>
              <w:t>методику формування стратегії нагляду</w:t>
            </w:r>
            <w:r w:rsidRPr="004B3CC9">
              <w:rPr>
                <w:sz w:val="28"/>
                <w:szCs w:val="28"/>
              </w:rPr>
              <w:t xml:space="preserve"> та безперервність процесу (циклу) нагляду</w:t>
            </w:r>
            <w:r w:rsidR="001E6091" w:rsidRPr="004B3CC9">
              <w:rPr>
                <w:sz w:val="28"/>
                <w:szCs w:val="28"/>
              </w:rPr>
              <w:t>.</w:t>
            </w:r>
          </w:p>
        </w:tc>
      </w:tr>
      <w:tr w:rsidR="00B74F8F" w:rsidRPr="004B3CC9" w:rsidTr="004B3CC9">
        <w:tc>
          <w:tcPr>
            <w:tcW w:w="698" w:type="dxa"/>
            <w:shd w:val="clear" w:color="auto" w:fill="auto"/>
          </w:tcPr>
          <w:p w:rsidR="00B74F8F" w:rsidRPr="004B3CC9" w:rsidRDefault="00B74F8F" w:rsidP="004B3CC9">
            <w:pPr>
              <w:jc w:val="both"/>
              <w:rPr>
                <w:sz w:val="28"/>
                <w:szCs w:val="28"/>
              </w:rPr>
            </w:pPr>
            <w:r w:rsidRPr="004B3CC9">
              <w:rPr>
                <w:sz w:val="28"/>
                <w:szCs w:val="28"/>
              </w:rPr>
              <w:t>4</w:t>
            </w:r>
          </w:p>
        </w:tc>
        <w:tc>
          <w:tcPr>
            <w:tcW w:w="9130" w:type="dxa"/>
            <w:shd w:val="clear" w:color="auto" w:fill="auto"/>
          </w:tcPr>
          <w:p w:rsidR="00B74F8F" w:rsidRPr="004B3CC9" w:rsidRDefault="00B74F8F" w:rsidP="004B3CC9">
            <w:pPr>
              <w:jc w:val="both"/>
              <w:rPr>
                <w:sz w:val="28"/>
                <w:szCs w:val="28"/>
              </w:rPr>
            </w:pPr>
            <w:r w:rsidRPr="004B3CC9">
              <w:rPr>
                <w:sz w:val="28"/>
                <w:szCs w:val="28"/>
              </w:rPr>
              <w:t>Розробка документу, що визначає методику формування фокусу нагляду</w:t>
            </w:r>
            <w:r w:rsidR="001E6091" w:rsidRPr="004B3CC9">
              <w:rPr>
                <w:sz w:val="28"/>
                <w:szCs w:val="28"/>
              </w:rPr>
              <w:t>.</w:t>
            </w:r>
          </w:p>
        </w:tc>
      </w:tr>
      <w:tr w:rsidR="00B74F8F" w:rsidRPr="004B3CC9" w:rsidTr="004B3CC9">
        <w:tc>
          <w:tcPr>
            <w:tcW w:w="698" w:type="dxa"/>
            <w:shd w:val="clear" w:color="auto" w:fill="auto"/>
          </w:tcPr>
          <w:p w:rsidR="00B74F8F" w:rsidRPr="004B3CC9" w:rsidRDefault="00B74F8F" w:rsidP="004B3CC9">
            <w:pPr>
              <w:jc w:val="both"/>
              <w:rPr>
                <w:sz w:val="28"/>
                <w:szCs w:val="28"/>
              </w:rPr>
            </w:pPr>
            <w:r w:rsidRPr="004B3CC9">
              <w:rPr>
                <w:sz w:val="28"/>
                <w:szCs w:val="28"/>
              </w:rPr>
              <w:t>5</w:t>
            </w:r>
          </w:p>
        </w:tc>
        <w:tc>
          <w:tcPr>
            <w:tcW w:w="9130" w:type="dxa"/>
            <w:shd w:val="clear" w:color="auto" w:fill="auto"/>
          </w:tcPr>
          <w:p w:rsidR="00B74F8F" w:rsidRPr="004B3CC9" w:rsidRDefault="00B74F8F" w:rsidP="004B3CC9">
            <w:pPr>
              <w:jc w:val="both"/>
              <w:rPr>
                <w:sz w:val="28"/>
                <w:szCs w:val="28"/>
              </w:rPr>
            </w:pPr>
            <w:r w:rsidRPr="004B3CC9">
              <w:rPr>
                <w:sz w:val="28"/>
                <w:szCs w:val="28"/>
              </w:rPr>
              <w:t xml:space="preserve">Розробка </w:t>
            </w:r>
            <w:r w:rsidRPr="004B3CC9">
              <w:rPr>
                <w:bCs/>
                <w:sz w:val="28"/>
                <w:szCs w:val="28"/>
              </w:rPr>
              <w:t>нормативно-правового акту</w:t>
            </w:r>
            <w:r w:rsidRPr="004B3CC9">
              <w:rPr>
                <w:sz w:val="28"/>
                <w:szCs w:val="28"/>
              </w:rPr>
              <w:t>, що визначає процес отримання</w:t>
            </w:r>
            <w:r w:rsidRPr="004B3CC9">
              <w:rPr>
                <w:b/>
                <w:sz w:val="28"/>
                <w:szCs w:val="28"/>
              </w:rPr>
              <w:t xml:space="preserve"> </w:t>
            </w:r>
            <w:r w:rsidRPr="004B3CC9">
              <w:rPr>
                <w:sz w:val="28"/>
                <w:szCs w:val="28"/>
              </w:rPr>
              <w:t>НКЦПФР</w:t>
            </w:r>
            <w:r w:rsidRPr="004B3CC9">
              <w:rPr>
                <w:b/>
                <w:color w:val="FF0000"/>
                <w:sz w:val="28"/>
                <w:szCs w:val="28"/>
              </w:rPr>
              <w:t xml:space="preserve"> </w:t>
            </w:r>
            <w:r w:rsidRPr="004B3CC9">
              <w:rPr>
                <w:sz w:val="28"/>
                <w:szCs w:val="28"/>
              </w:rPr>
              <w:t>інформації від суб’єктів нагляду в межах НОР</w:t>
            </w:r>
            <w:r w:rsidR="001E6091" w:rsidRPr="004B3CC9">
              <w:rPr>
                <w:sz w:val="28"/>
                <w:szCs w:val="28"/>
              </w:rPr>
              <w:t>.</w:t>
            </w:r>
            <w:r w:rsidRPr="004B3CC9">
              <w:rPr>
                <w:color w:val="FF0000"/>
                <w:sz w:val="28"/>
                <w:szCs w:val="28"/>
              </w:rPr>
              <w:t xml:space="preserve"> </w:t>
            </w:r>
          </w:p>
        </w:tc>
      </w:tr>
      <w:tr w:rsidR="00B74F8F" w:rsidRPr="004B3CC9" w:rsidTr="004B3CC9">
        <w:tc>
          <w:tcPr>
            <w:tcW w:w="698" w:type="dxa"/>
            <w:shd w:val="clear" w:color="auto" w:fill="auto"/>
          </w:tcPr>
          <w:p w:rsidR="00B74F8F" w:rsidRPr="004B3CC9" w:rsidRDefault="00B74F8F" w:rsidP="004B3CC9">
            <w:pPr>
              <w:jc w:val="both"/>
              <w:rPr>
                <w:sz w:val="28"/>
                <w:szCs w:val="28"/>
              </w:rPr>
            </w:pPr>
            <w:r w:rsidRPr="004B3CC9">
              <w:rPr>
                <w:sz w:val="28"/>
                <w:szCs w:val="28"/>
              </w:rPr>
              <w:t>6</w:t>
            </w:r>
          </w:p>
        </w:tc>
        <w:tc>
          <w:tcPr>
            <w:tcW w:w="9130" w:type="dxa"/>
            <w:shd w:val="clear" w:color="auto" w:fill="auto"/>
          </w:tcPr>
          <w:p w:rsidR="00B74F8F" w:rsidRPr="004B3CC9" w:rsidRDefault="00B74F8F" w:rsidP="004B3CC9">
            <w:pPr>
              <w:jc w:val="both"/>
              <w:rPr>
                <w:sz w:val="28"/>
                <w:szCs w:val="28"/>
              </w:rPr>
            </w:pPr>
            <w:r w:rsidRPr="004B3CC9">
              <w:rPr>
                <w:sz w:val="28"/>
                <w:szCs w:val="28"/>
              </w:rPr>
              <w:t xml:space="preserve">Розробка документу, що визначає процес </w:t>
            </w:r>
            <w:r w:rsidRPr="004B3CC9">
              <w:rPr>
                <w:bCs/>
                <w:snapToGrid/>
                <w:sz w:val="28"/>
                <w:szCs w:val="28"/>
              </w:rPr>
              <w:t>взаємодії структурних підрозділів НКЦПФР в рамках НОР</w:t>
            </w:r>
            <w:r w:rsidR="001E6091" w:rsidRPr="004B3CC9">
              <w:rPr>
                <w:bCs/>
                <w:snapToGrid/>
                <w:sz w:val="28"/>
                <w:szCs w:val="28"/>
              </w:rPr>
              <w:t>.</w:t>
            </w:r>
            <w:r w:rsidRPr="004B3CC9">
              <w:rPr>
                <w:sz w:val="28"/>
                <w:szCs w:val="28"/>
              </w:rPr>
              <w:t xml:space="preserve"> </w:t>
            </w:r>
          </w:p>
        </w:tc>
      </w:tr>
      <w:tr w:rsidR="00B74F8F" w:rsidRPr="004B3CC9" w:rsidTr="004B3CC9">
        <w:tc>
          <w:tcPr>
            <w:tcW w:w="698" w:type="dxa"/>
            <w:shd w:val="clear" w:color="auto" w:fill="auto"/>
          </w:tcPr>
          <w:p w:rsidR="00B74F8F" w:rsidRPr="004B3CC9" w:rsidRDefault="00B74F8F" w:rsidP="004B3CC9">
            <w:pPr>
              <w:jc w:val="both"/>
              <w:rPr>
                <w:sz w:val="28"/>
                <w:szCs w:val="28"/>
              </w:rPr>
            </w:pPr>
            <w:r w:rsidRPr="004B3CC9">
              <w:rPr>
                <w:sz w:val="28"/>
                <w:szCs w:val="28"/>
              </w:rPr>
              <w:t>7</w:t>
            </w:r>
          </w:p>
        </w:tc>
        <w:tc>
          <w:tcPr>
            <w:tcW w:w="9130" w:type="dxa"/>
            <w:shd w:val="clear" w:color="auto" w:fill="auto"/>
          </w:tcPr>
          <w:p w:rsidR="00B74F8F" w:rsidRPr="004B3CC9" w:rsidRDefault="00B74F8F" w:rsidP="004B3CC9">
            <w:pPr>
              <w:jc w:val="both"/>
              <w:rPr>
                <w:sz w:val="28"/>
                <w:szCs w:val="28"/>
              </w:rPr>
            </w:pPr>
            <w:r w:rsidRPr="004B3CC9">
              <w:rPr>
                <w:sz w:val="28"/>
                <w:szCs w:val="28"/>
              </w:rPr>
              <w:t>Розробка документу, що визначає методологію та порядок проведення НКЦПФР безвиїзного моніторингу</w:t>
            </w:r>
            <w:r w:rsidRPr="004B3CC9">
              <w:rPr>
                <w:bCs/>
                <w:snapToGrid/>
                <w:sz w:val="28"/>
                <w:szCs w:val="28"/>
              </w:rPr>
              <w:t xml:space="preserve"> в рамках НОР</w:t>
            </w:r>
            <w:r w:rsidR="001E6091" w:rsidRPr="004B3CC9">
              <w:rPr>
                <w:bCs/>
                <w:snapToGrid/>
                <w:sz w:val="28"/>
                <w:szCs w:val="28"/>
              </w:rPr>
              <w:t>.</w:t>
            </w:r>
          </w:p>
        </w:tc>
      </w:tr>
      <w:tr w:rsidR="00B74F8F" w:rsidRPr="004B3CC9" w:rsidTr="004B3CC9">
        <w:tc>
          <w:tcPr>
            <w:tcW w:w="698" w:type="dxa"/>
            <w:shd w:val="clear" w:color="auto" w:fill="auto"/>
          </w:tcPr>
          <w:p w:rsidR="00B74F8F" w:rsidRPr="004B3CC9" w:rsidRDefault="00B74F8F" w:rsidP="004B3CC9">
            <w:pPr>
              <w:jc w:val="both"/>
              <w:rPr>
                <w:sz w:val="28"/>
                <w:szCs w:val="28"/>
              </w:rPr>
            </w:pPr>
            <w:r w:rsidRPr="004B3CC9">
              <w:rPr>
                <w:sz w:val="28"/>
                <w:szCs w:val="28"/>
              </w:rPr>
              <w:t>8</w:t>
            </w:r>
          </w:p>
        </w:tc>
        <w:tc>
          <w:tcPr>
            <w:tcW w:w="9130" w:type="dxa"/>
            <w:shd w:val="clear" w:color="auto" w:fill="auto"/>
          </w:tcPr>
          <w:p w:rsidR="00B74F8F" w:rsidRPr="004B3CC9" w:rsidRDefault="00B74F8F" w:rsidP="004B3CC9">
            <w:pPr>
              <w:jc w:val="both"/>
              <w:rPr>
                <w:sz w:val="28"/>
                <w:szCs w:val="28"/>
              </w:rPr>
            </w:pPr>
            <w:r w:rsidRPr="004B3CC9">
              <w:rPr>
                <w:sz w:val="28"/>
                <w:szCs w:val="28"/>
              </w:rPr>
              <w:t>Розробка змін до законодавства щодо проведення НКЦПФР різних категорій інспекцій</w:t>
            </w:r>
            <w:r w:rsidR="001E6091" w:rsidRPr="004B3CC9">
              <w:rPr>
                <w:sz w:val="28"/>
                <w:szCs w:val="28"/>
              </w:rPr>
              <w:t>.</w:t>
            </w:r>
            <w:r w:rsidRPr="004B3CC9">
              <w:rPr>
                <w:sz w:val="28"/>
                <w:szCs w:val="28"/>
              </w:rPr>
              <w:t xml:space="preserve"> </w:t>
            </w:r>
          </w:p>
        </w:tc>
      </w:tr>
      <w:tr w:rsidR="00B74F8F" w:rsidRPr="004B3CC9" w:rsidTr="004B3CC9">
        <w:tc>
          <w:tcPr>
            <w:tcW w:w="698" w:type="dxa"/>
            <w:shd w:val="clear" w:color="auto" w:fill="auto"/>
          </w:tcPr>
          <w:p w:rsidR="00B74F8F" w:rsidRPr="004B3CC9" w:rsidRDefault="00B74F8F" w:rsidP="004B3CC9">
            <w:pPr>
              <w:jc w:val="both"/>
              <w:rPr>
                <w:sz w:val="28"/>
                <w:szCs w:val="28"/>
              </w:rPr>
            </w:pPr>
            <w:r w:rsidRPr="004B3CC9">
              <w:rPr>
                <w:sz w:val="28"/>
                <w:szCs w:val="28"/>
              </w:rPr>
              <w:t>9</w:t>
            </w:r>
          </w:p>
        </w:tc>
        <w:tc>
          <w:tcPr>
            <w:tcW w:w="9130" w:type="dxa"/>
            <w:shd w:val="clear" w:color="auto" w:fill="auto"/>
          </w:tcPr>
          <w:p w:rsidR="00B74F8F" w:rsidRPr="004B3CC9" w:rsidRDefault="00B74F8F" w:rsidP="004B3CC9">
            <w:pPr>
              <w:jc w:val="both"/>
              <w:rPr>
                <w:sz w:val="28"/>
                <w:szCs w:val="28"/>
              </w:rPr>
            </w:pPr>
            <w:r w:rsidRPr="004B3CC9">
              <w:rPr>
                <w:sz w:val="28"/>
                <w:szCs w:val="28"/>
              </w:rPr>
              <w:t>Розробка нормативно-правового акту щодо порядку проведення НКЦПФР різних категорій інспекцій суб’єктів нагляду</w:t>
            </w:r>
            <w:r w:rsidR="001E6091" w:rsidRPr="004B3CC9">
              <w:rPr>
                <w:sz w:val="28"/>
                <w:szCs w:val="28"/>
              </w:rPr>
              <w:t>.</w:t>
            </w:r>
          </w:p>
        </w:tc>
      </w:tr>
      <w:tr w:rsidR="00B74F8F" w:rsidRPr="004B3CC9" w:rsidTr="004B3CC9">
        <w:tc>
          <w:tcPr>
            <w:tcW w:w="698" w:type="dxa"/>
            <w:shd w:val="clear" w:color="auto" w:fill="auto"/>
          </w:tcPr>
          <w:p w:rsidR="00B74F8F" w:rsidRPr="004B3CC9" w:rsidRDefault="00B74F8F" w:rsidP="004B3CC9">
            <w:pPr>
              <w:jc w:val="both"/>
              <w:rPr>
                <w:sz w:val="28"/>
                <w:szCs w:val="28"/>
              </w:rPr>
            </w:pPr>
            <w:r w:rsidRPr="004B3CC9">
              <w:rPr>
                <w:sz w:val="28"/>
                <w:szCs w:val="28"/>
              </w:rPr>
              <w:t>10</w:t>
            </w:r>
          </w:p>
        </w:tc>
        <w:tc>
          <w:tcPr>
            <w:tcW w:w="9130" w:type="dxa"/>
            <w:shd w:val="clear" w:color="auto" w:fill="auto"/>
          </w:tcPr>
          <w:p w:rsidR="00B74F8F" w:rsidRPr="004B3CC9" w:rsidRDefault="00B74F8F" w:rsidP="004B3CC9">
            <w:pPr>
              <w:jc w:val="both"/>
              <w:rPr>
                <w:sz w:val="28"/>
                <w:szCs w:val="28"/>
              </w:rPr>
            </w:pPr>
            <w:r w:rsidRPr="004B3CC9">
              <w:rPr>
                <w:sz w:val="28"/>
                <w:szCs w:val="28"/>
              </w:rPr>
              <w:t>Внесення змін до законодавства щодо визначення попереджувальних заходів впливу НКЦПФР у відношенні суб’єктів нагляду, процедуру їх застосування та контроль за виконанням</w:t>
            </w:r>
            <w:r w:rsidR="001E6091" w:rsidRPr="004B3CC9">
              <w:rPr>
                <w:sz w:val="28"/>
                <w:szCs w:val="28"/>
              </w:rPr>
              <w:t>.</w:t>
            </w:r>
          </w:p>
        </w:tc>
      </w:tr>
      <w:tr w:rsidR="00B74F8F" w:rsidRPr="004B3CC9" w:rsidTr="004B3CC9">
        <w:tc>
          <w:tcPr>
            <w:tcW w:w="698" w:type="dxa"/>
            <w:shd w:val="clear" w:color="auto" w:fill="auto"/>
          </w:tcPr>
          <w:p w:rsidR="00B74F8F" w:rsidRPr="004B3CC9" w:rsidRDefault="00B74F8F" w:rsidP="004B3CC9">
            <w:pPr>
              <w:jc w:val="both"/>
              <w:rPr>
                <w:sz w:val="28"/>
                <w:szCs w:val="28"/>
              </w:rPr>
            </w:pPr>
            <w:r w:rsidRPr="004B3CC9">
              <w:rPr>
                <w:sz w:val="28"/>
                <w:szCs w:val="28"/>
              </w:rPr>
              <w:t>11</w:t>
            </w:r>
          </w:p>
        </w:tc>
        <w:tc>
          <w:tcPr>
            <w:tcW w:w="9130" w:type="dxa"/>
            <w:shd w:val="clear" w:color="auto" w:fill="auto"/>
          </w:tcPr>
          <w:p w:rsidR="00B74F8F" w:rsidRPr="004B3CC9" w:rsidRDefault="00B74F8F" w:rsidP="004B3CC9">
            <w:pPr>
              <w:jc w:val="both"/>
              <w:rPr>
                <w:sz w:val="28"/>
                <w:szCs w:val="28"/>
              </w:rPr>
            </w:pPr>
            <w:r w:rsidRPr="004B3CC9">
              <w:rPr>
                <w:sz w:val="28"/>
                <w:szCs w:val="28"/>
              </w:rPr>
              <w:t>Розробка нормативного-правового акту, який регулює порядок вжиття попереджувальних заходів впливу НКЦПФР у відношенні суб’єктів нагляду</w:t>
            </w:r>
            <w:r w:rsidR="001E6091" w:rsidRPr="004B3CC9">
              <w:rPr>
                <w:sz w:val="28"/>
                <w:szCs w:val="28"/>
              </w:rPr>
              <w:t>.</w:t>
            </w:r>
          </w:p>
        </w:tc>
      </w:tr>
      <w:tr w:rsidR="00B74F8F" w:rsidRPr="004B3CC9" w:rsidTr="004B3CC9">
        <w:tc>
          <w:tcPr>
            <w:tcW w:w="698" w:type="dxa"/>
            <w:shd w:val="clear" w:color="auto" w:fill="auto"/>
          </w:tcPr>
          <w:p w:rsidR="00B74F8F" w:rsidRPr="004B3CC9" w:rsidRDefault="00B74F8F" w:rsidP="004B3CC9">
            <w:pPr>
              <w:jc w:val="both"/>
              <w:rPr>
                <w:sz w:val="28"/>
                <w:szCs w:val="28"/>
              </w:rPr>
            </w:pPr>
            <w:r w:rsidRPr="004B3CC9">
              <w:rPr>
                <w:sz w:val="28"/>
                <w:szCs w:val="28"/>
              </w:rPr>
              <w:t>12</w:t>
            </w:r>
          </w:p>
        </w:tc>
        <w:tc>
          <w:tcPr>
            <w:tcW w:w="9130" w:type="dxa"/>
            <w:shd w:val="clear" w:color="auto" w:fill="auto"/>
          </w:tcPr>
          <w:p w:rsidR="00B74F8F" w:rsidRPr="004B3CC9" w:rsidRDefault="00B74F8F" w:rsidP="004B3CC9">
            <w:pPr>
              <w:jc w:val="both"/>
              <w:rPr>
                <w:sz w:val="28"/>
                <w:szCs w:val="28"/>
              </w:rPr>
            </w:pPr>
            <w:r w:rsidRPr="004B3CC9">
              <w:rPr>
                <w:sz w:val="28"/>
                <w:szCs w:val="28"/>
              </w:rPr>
              <w:t xml:space="preserve">Розробка пропозицій до архітектури підсистеми НОР </w:t>
            </w:r>
            <w:r w:rsidRPr="004B3CC9">
              <w:rPr>
                <w:bCs/>
                <w:sz w:val="28"/>
                <w:szCs w:val="28"/>
              </w:rPr>
              <w:t>Комплексної інформаційної системи фондового ринку України</w:t>
            </w:r>
            <w:r w:rsidR="001E6091" w:rsidRPr="004B3CC9">
              <w:rPr>
                <w:bCs/>
                <w:sz w:val="28"/>
                <w:szCs w:val="28"/>
              </w:rPr>
              <w:t>.</w:t>
            </w:r>
          </w:p>
        </w:tc>
      </w:tr>
    </w:tbl>
    <w:p w:rsidR="00B74F8F" w:rsidRPr="00B74F8F"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napToGrid/>
          <w:sz w:val="28"/>
          <w:szCs w:val="28"/>
        </w:rPr>
      </w:pPr>
    </w:p>
    <w:p w:rsidR="00B74F8F" w:rsidRPr="00B74F8F" w:rsidRDefault="00B74F8F" w:rsidP="00B74F8F">
      <w:pPr>
        <w:ind w:firstLine="708"/>
        <w:jc w:val="both"/>
        <w:rPr>
          <w:sz w:val="28"/>
          <w:szCs w:val="28"/>
        </w:rPr>
      </w:pPr>
      <w:r w:rsidRPr="00B74F8F">
        <w:rPr>
          <w:sz w:val="28"/>
          <w:szCs w:val="28"/>
        </w:rPr>
        <w:t xml:space="preserve">Слід враховувати, що впровадження системи нагляду за </w:t>
      </w:r>
      <w:r w:rsidRPr="009857E2">
        <w:rPr>
          <w:sz w:val="28"/>
          <w:szCs w:val="28"/>
        </w:rPr>
        <w:t>установами</w:t>
      </w:r>
      <w:r w:rsidRPr="00B74F8F">
        <w:rPr>
          <w:sz w:val="28"/>
          <w:szCs w:val="28"/>
        </w:rPr>
        <w:t xml:space="preserve"> на основі оцінки ризиків є складним процесом. Одним з головних питань є зміна існуючої моделі нагляду за учасниками</w:t>
      </w:r>
      <w:r w:rsidRPr="009857E2">
        <w:rPr>
          <w:sz w:val="28"/>
          <w:szCs w:val="28"/>
        </w:rPr>
        <w:t>,</w:t>
      </w:r>
      <w:r w:rsidRPr="00B74F8F">
        <w:rPr>
          <w:color w:val="FF0000"/>
          <w:sz w:val="28"/>
          <w:szCs w:val="28"/>
        </w:rPr>
        <w:t xml:space="preserve"> </w:t>
      </w:r>
      <w:r w:rsidRPr="009857E2">
        <w:rPr>
          <w:sz w:val="28"/>
          <w:szCs w:val="28"/>
        </w:rPr>
        <w:t>які провадять професійну діяльність на фондовому ринку</w:t>
      </w:r>
      <w:r w:rsidRPr="00B74F8F">
        <w:rPr>
          <w:sz w:val="28"/>
          <w:szCs w:val="28"/>
        </w:rPr>
        <w:t xml:space="preserve">. </w:t>
      </w:r>
    </w:p>
    <w:p w:rsidR="00B74F8F" w:rsidRPr="00B74F8F" w:rsidRDefault="00B74F8F" w:rsidP="00B74F8F">
      <w:pPr>
        <w:ind w:firstLine="708"/>
        <w:jc w:val="both"/>
        <w:rPr>
          <w:sz w:val="28"/>
          <w:szCs w:val="28"/>
        </w:rPr>
      </w:pPr>
      <w:r w:rsidRPr="00B74F8F">
        <w:rPr>
          <w:sz w:val="28"/>
          <w:szCs w:val="28"/>
        </w:rPr>
        <w:lastRenderedPageBreak/>
        <w:t xml:space="preserve">Запровадження системи НОР потребує розробки законодавчих та нормативно-правових актів, які визначать ключові підходи до НОР, врегулюють методологію виявлення, аналізу, оцінки ризиків, нададуть відповідні повноваження для НКЦПФР. </w:t>
      </w:r>
    </w:p>
    <w:p w:rsidR="00B74F8F" w:rsidRPr="00B74F8F" w:rsidRDefault="00B74F8F" w:rsidP="00B74F8F">
      <w:pPr>
        <w:ind w:firstLine="708"/>
        <w:jc w:val="both"/>
        <w:rPr>
          <w:sz w:val="28"/>
          <w:szCs w:val="28"/>
        </w:rPr>
      </w:pPr>
      <w:r w:rsidRPr="00B74F8F">
        <w:rPr>
          <w:sz w:val="28"/>
          <w:szCs w:val="28"/>
        </w:rPr>
        <w:t>Зважаючи на те, що функціонування системи НОР передбачає обробку значних обсягів інформації, аналіз якісних та кількісних показників ризиків, побудови матриці ризиків тощо, існує необхідність в залученні спеціалістів інших галузей (ІТ, математики).</w:t>
      </w:r>
    </w:p>
    <w:p w:rsidR="00B74F8F" w:rsidRPr="00B74F8F" w:rsidRDefault="00B74F8F" w:rsidP="00B74F8F">
      <w:pPr>
        <w:ind w:firstLine="708"/>
        <w:jc w:val="both"/>
        <w:rPr>
          <w:sz w:val="28"/>
          <w:szCs w:val="28"/>
        </w:rPr>
      </w:pPr>
      <w:r w:rsidRPr="00B74F8F">
        <w:rPr>
          <w:sz w:val="28"/>
          <w:szCs w:val="28"/>
        </w:rPr>
        <w:t xml:space="preserve">Враховуючи те, що система НОР функціонує в багатьох країнах, </w:t>
      </w:r>
      <w:r w:rsidRPr="009857E2">
        <w:rPr>
          <w:sz w:val="28"/>
          <w:szCs w:val="28"/>
        </w:rPr>
        <w:t>доцільно</w:t>
      </w:r>
      <w:r w:rsidRPr="00B74F8F">
        <w:rPr>
          <w:color w:val="FF0000"/>
          <w:sz w:val="28"/>
          <w:szCs w:val="28"/>
        </w:rPr>
        <w:t xml:space="preserve"> </w:t>
      </w:r>
      <w:r w:rsidRPr="00B74F8F">
        <w:rPr>
          <w:sz w:val="28"/>
          <w:szCs w:val="28"/>
        </w:rPr>
        <w:t>залуч</w:t>
      </w:r>
      <w:r w:rsidRPr="009857E2">
        <w:rPr>
          <w:sz w:val="28"/>
          <w:szCs w:val="28"/>
        </w:rPr>
        <w:t>ати</w:t>
      </w:r>
      <w:r w:rsidRPr="00B74F8F">
        <w:rPr>
          <w:sz w:val="28"/>
          <w:szCs w:val="28"/>
        </w:rPr>
        <w:t xml:space="preserve"> відповідних фахівців для </w:t>
      </w:r>
      <w:r w:rsidRPr="009857E2">
        <w:rPr>
          <w:sz w:val="28"/>
          <w:szCs w:val="28"/>
        </w:rPr>
        <w:t>врахування їх</w:t>
      </w:r>
      <w:r w:rsidRPr="00B74F8F">
        <w:rPr>
          <w:sz w:val="28"/>
          <w:szCs w:val="28"/>
        </w:rPr>
        <w:t xml:space="preserve"> досвіду </w:t>
      </w:r>
      <w:r w:rsidRPr="009857E2">
        <w:rPr>
          <w:sz w:val="28"/>
          <w:szCs w:val="28"/>
        </w:rPr>
        <w:t>та отримання</w:t>
      </w:r>
      <w:r w:rsidRPr="00B74F8F">
        <w:rPr>
          <w:sz w:val="28"/>
          <w:szCs w:val="28"/>
        </w:rPr>
        <w:t xml:space="preserve"> знань, </w:t>
      </w:r>
      <w:r w:rsidRPr="009857E2">
        <w:rPr>
          <w:sz w:val="28"/>
          <w:szCs w:val="28"/>
        </w:rPr>
        <w:t>необхідних для</w:t>
      </w:r>
      <w:r w:rsidRPr="00B74F8F">
        <w:rPr>
          <w:color w:val="FF0000"/>
          <w:sz w:val="28"/>
          <w:szCs w:val="28"/>
        </w:rPr>
        <w:t xml:space="preserve"> </w:t>
      </w:r>
      <w:r w:rsidRPr="00B74F8F">
        <w:rPr>
          <w:sz w:val="28"/>
          <w:szCs w:val="28"/>
        </w:rPr>
        <w:t>запровадження системи НОР в Україні.</w:t>
      </w:r>
    </w:p>
    <w:p w:rsidR="00B526A5" w:rsidRPr="00B74F8F" w:rsidRDefault="00B74F8F" w:rsidP="00D36139">
      <w:pPr>
        <w:ind w:firstLine="708"/>
        <w:jc w:val="both"/>
        <w:rPr>
          <w:sz w:val="28"/>
          <w:szCs w:val="28"/>
        </w:rPr>
      </w:pPr>
      <w:r w:rsidRPr="00B74F8F">
        <w:rPr>
          <w:sz w:val="28"/>
          <w:szCs w:val="28"/>
        </w:rPr>
        <w:t>Крім цього, як свідчить досвід компетентних органів інших країн, навіть за умови позитивного впровадження системи нагляду на основі оцінки ризик</w:t>
      </w:r>
      <w:r w:rsidR="00D36139">
        <w:rPr>
          <w:sz w:val="28"/>
          <w:szCs w:val="28"/>
        </w:rPr>
        <w:t>ів</w:t>
      </w:r>
      <w:r w:rsidRPr="00B74F8F">
        <w:rPr>
          <w:sz w:val="28"/>
          <w:szCs w:val="28"/>
        </w:rPr>
        <w:t xml:space="preserve"> дієві результати слід очікувати після трьох років функціонування системи.</w:t>
      </w:r>
    </w:p>
    <w:sectPr w:rsidR="00B526A5" w:rsidRPr="00B74F8F" w:rsidSect="003738A0">
      <w:pgSz w:w="11906" w:h="16838"/>
      <w:pgMar w:top="850" w:right="850" w:bottom="3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CC9" w:rsidRDefault="004B3CC9">
      <w:r>
        <w:separator/>
      </w:r>
    </w:p>
  </w:endnote>
  <w:endnote w:type="continuationSeparator" w:id="0">
    <w:p w:rsidR="004B3CC9" w:rsidRDefault="004B3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agmatica">
    <w:altName w:val="Courier New"/>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4A3" w:rsidRDefault="003074A3" w:rsidP="00B86931">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074A3" w:rsidRDefault="003074A3">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4A3" w:rsidRDefault="003074A3" w:rsidP="00B86931">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E60EBC">
      <w:rPr>
        <w:rStyle w:val="a9"/>
        <w:noProof/>
      </w:rPr>
      <w:t>1</w:t>
    </w:r>
    <w:r>
      <w:rPr>
        <w:rStyle w:val="a9"/>
      </w:rPr>
      <w:fldChar w:fldCharType="end"/>
    </w:r>
  </w:p>
  <w:p w:rsidR="003074A3" w:rsidRDefault="003074A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CC9" w:rsidRDefault="004B3CC9">
      <w:r>
        <w:separator/>
      </w:r>
    </w:p>
  </w:footnote>
  <w:footnote w:type="continuationSeparator" w:id="0">
    <w:p w:rsidR="004B3CC9" w:rsidRDefault="004B3C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436364"/>
    <w:multiLevelType w:val="hybridMultilevel"/>
    <w:tmpl w:val="C096B8A8"/>
    <w:lvl w:ilvl="0" w:tplc="FF6ED486">
      <w:numFmt w:val="bullet"/>
      <w:lvlText w:val="-"/>
      <w:lvlJc w:val="left"/>
      <w:pPr>
        <w:tabs>
          <w:tab w:val="num" w:pos="360"/>
        </w:tabs>
        <w:ind w:left="360" w:hanging="360"/>
      </w:pPr>
      <w:rPr>
        <w:rFonts w:ascii="Times New Roman" w:eastAsia="Times New Roman" w:hAnsi="Times New Roman" w:cs="Times New Roman" w:hint="default"/>
      </w:rPr>
    </w:lvl>
    <w:lvl w:ilvl="1" w:tplc="04220003">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68597109"/>
    <w:multiLevelType w:val="hybridMultilevel"/>
    <w:tmpl w:val="7E1C6B50"/>
    <w:lvl w:ilvl="0" w:tplc="DE8651DA">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4F8F"/>
    <w:rsid w:val="000B1D18"/>
    <w:rsid w:val="0013053E"/>
    <w:rsid w:val="001337F2"/>
    <w:rsid w:val="001E6091"/>
    <w:rsid w:val="0020703F"/>
    <w:rsid w:val="002E4A7C"/>
    <w:rsid w:val="003074A3"/>
    <w:rsid w:val="00357CF7"/>
    <w:rsid w:val="003738A0"/>
    <w:rsid w:val="003A5E9C"/>
    <w:rsid w:val="004618F4"/>
    <w:rsid w:val="0046228A"/>
    <w:rsid w:val="004B3CC9"/>
    <w:rsid w:val="00525E98"/>
    <w:rsid w:val="005E3C3F"/>
    <w:rsid w:val="006A2DC4"/>
    <w:rsid w:val="006D3DFF"/>
    <w:rsid w:val="00711516"/>
    <w:rsid w:val="00824496"/>
    <w:rsid w:val="0087685E"/>
    <w:rsid w:val="009857E2"/>
    <w:rsid w:val="00996836"/>
    <w:rsid w:val="009C3686"/>
    <w:rsid w:val="00A23FD0"/>
    <w:rsid w:val="00B02F7D"/>
    <w:rsid w:val="00B526A5"/>
    <w:rsid w:val="00B74F8F"/>
    <w:rsid w:val="00B86931"/>
    <w:rsid w:val="00B86942"/>
    <w:rsid w:val="00B9451E"/>
    <w:rsid w:val="00BA7192"/>
    <w:rsid w:val="00BE6882"/>
    <w:rsid w:val="00C602E0"/>
    <w:rsid w:val="00C84C46"/>
    <w:rsid w:val="00CC630A"/>
    <w:rsid w:val="00D1033D"/>
    <w:rsid w:val="00D36139"/>
    <w:rsid w:val="00D646BE"/>
    <w:rsid w:val="00D647DF"/>
    <w:rsid w:val="00E3357D"/>
    <w:rsid w:val="00E60EBC"/>
    <w:rsid w:val="00EF3837"/>
    <w:rsid w:val="00FB159F"/>
    <w:rsid w:val="00FD2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7"/>
    <o:shapelayout v:ext="edit">
      <o:idmap v:ext="edit" data="1"/>
      <o:rules v:ext="edit">
        <o:r id="V:Rule1" type="connector" idref="#_x0000_s1113"/>
        <o:r id="V:Rule2" type="connector" idref="#_x0000_s1114">
          <o:proxy start="" idref="#_x0000_s1098" connectloc="1"/>
          <o:proxy end="" idref="#_x0000_s1089" connectloc="1"/>
        </o:r>
        <o:r id="V:Rule3" type="connector" idref="#_x0000_s1115">
          <o:proxy start="" idref="#_x0000_s1101" connectloc="3"/>
          <o:proxy end="" idref="#_x0000_s1089" connectloc="3"/>
        </o:r>
      </o:rules>
    </o:shapelayout>
  </w:shapeDefaults>
  <w:decimalSymbol w:val=","/>
  <w:listSeparator w:val=";"/>
  <w14:docId w14:val="4664DBA8"/>
  <w15:chartTrackingRefBased/>
  <w15:docId w15:val="{088BBCA7-F652-43D4-B866-80D7F6B49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F8F"/>
    <w:rPr>
      <w:snapToGrid w:val="0"/>
      <w:sz w:val="24"/>
      <w:szCs w:val="24"/>
      <w:lang w:val="uk-UA" w:eastAsia="uk-UA"/>
    </w:rPr>
  </w:style>
  <w:style w:type="paragraph" w:styleId="1">
    <w:name w:val="heading 1"/>
    <w:basedOn w:val="a"/>
    <w:next w:val="a"/>
    <w:qFormat/>
    <w:rsid w:val="006A2DC4"/>
    <w:pPr>
      <w:keepNext/>
      <w:jc w:val="center"/>
      <w:outlineLvl w:val="0"/>
    </w:pPr>
    <w:rPr>
      <w:snapToGrid/>
      <w:sz w:val="28"/>
      <w:szCs w:val="20"/>
      <w:lang w:eastAsia="ru-RU"/>
    </w:rPr>
  </w:style>
  <w:style w:type="paragraph" w:styleId="4">
    <w:name w:val="heading 4"/>
    <w:basedOn w:val="a"/>
    <w:next w:val="a"/>
    <w:qFormat/>
    <w:rsid w:val="006A2DC4"/>
    <w:pPr>
      <w:keepNext/>
      <w:jc w:val="center"/>
      <w:outlineLvl w:val="3"/>
    </w:pPr>
    <w:rPr>
      <w:snapToGrid/>
      <w:szCs w:val="20"/>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74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B74F8F"/>
    <w:pPr>
      <w:spacing w:before="100" w:beforeAutospacing="1" w:after="100" w:afterAutospacing="1"/>
    </w:pPr>
    <w:rPr>
      <w:snapToGrid/>
    </w:rPr>
  </w:style>
  <w:style w:type="character" w:customStyle="1" w:styleId="spelle">
    <w:name w:val="spelle"/>
    <w:basedOn w:val="a0"/>
    <w:rsid w:val="00B74F8F"/>
  </w:style>
  <w:style w:type="paragraph" w:customStyle="1" w:styleId="rvps2">
    <w:name w:val="rvps2"/>
    <w:basedOn w:val="a"/>
    <w:rsid w:val="00B74F8F"/>
    <w:pPr>
      <w:spacing w:before="100" w:beforeAutospacing="1" w:after="100" w:afterAutospacing="1"/>
    </w:pPr>
    <w:rPr>
      <w:snapToGrid/>
    </w:rPr>
  </w:style>
  <w:style w:type="character" w:customStyle="1" w:styleId="rvts0">
    <w:name w:val="rvts0"/>
    <w:basedOn w:val="a0"/>
    <w:rsid w:val="00B74F8F"/>
  </w:style>
  <w:style w:type="paragraph" w:styleId="HTML">
    <w:name w:val="HTML Preformatted"/>
    <w:basedOn w:val="a"/>
    <w:rsid w:val="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szCs w:val="20"/>
    </w:rPr>
  </w:style>
  <w:style w:type="paragraph" w:customStyle="1" w:styleId="caaieiaie4">
    <w:name w:val="caaieiaie 4"/>
    <w:basedOn w:val="a"/>
    <w:next w:val="a"/>
    <w:rsid w:val="006A2DC4"/>
    <w:pPr>
      <w:keepNext/>
      <w:widowControl w:val="0"/>
      <w:jc w:val="center"/>
    </w:pPr>
    <w:rPr>
      <w:rFonts w:ascii="Pragmatica" w:hAnsi="Pragmatica"/>
      <w:b/>
      <w:snapToGrid/>
      <w:szCs w:val="20"/>
      <w:lang w:eastAsia="ru-RU"/>
    </w:rPr>
  </w:style>
  <w:style w:type="character" w:customStyle="1" w:styleId="rvts23">
    <w:name w:val="rvts23"/>
    <w:basedOn w:val="a0"/>
    <w:rsid w:val="006A2DC4"/>
  </w:style>
  <w:style w:type="paragraph" w:styleId="a5">
    <w:name w:val="header"/>
    <w:basedOn w:val="a"/>
    <w:link w:val="a6"/>
    <w:rsid w:val="006A2DC4"/>
    <w:pPr>
      <w:tabs>
        <w:tab w:val="center" w:pos="4677"/>
        <w:tab w:val="right" w:pos="9355"/>
      </w:tabs>
    </w:pPr>
    <w:rPr>
      <w:snapToGrid/>
      <w:sz w:val="20"/>
      <w:szCs w:val="20"/>
      <w:lang w:val="ru-RU" w:eastAsia="ru-RU"/>
    </w:rPr>
  </w:style>
  <w:style w:type="character" w:customStyle="1" w:styleId="a6">
    <w:name w:val="Верхний колонтитул Знак"/>
    <w:link w:val="a5"/>
    <w:semiHidden/>
    <w:rsid w:val="006A2DC4"/>
    <w:rPr>
      <w:lang w:val="ru-RU" w:eastAsia="ru-RU" w:bidi="ar-SA"/>
    </w:rPr>
  </w:style>
  <w:style w:type="paragraph" w:styleId="a7">
    <w:name w:val="Body Text"/>
    <w:basedOn w:val="a"/>
    <w:rsid w:val="006A2DC4"/>
    <w:pPr>
      <w:spacing w:after="120"/>
    </w:pPr>
    <w:rPr>
      <w:snapToGrid/>
      <w:sz w:val="20"/>
      <w:szCs w:val="20"/>
      <w:lang w:val="ru-RU" w:eastAsia="ru-RU"/>
    </w:rPr>
  </w:style>
  <w:style w:type="paragraph" w:styleId="a8">
    <w:name w:val="footer"/>
    <w:basedOn w:val="a"/>
    <w:rsid w:val="003074A3"/>
    <w:pPr>
      <w:tabs>
        <w:tab w:val="center" w:pos="4819"/>
        <w:tab w:val="right" w:pos="9639"/>
      </w:tabs>
    </w:pPr>
  </w:style>
  <w:style w:type="character" w:styleId="a9">
    <w:name w:val="page number"/>
    <w:basedOn w:val="a0"/>
    <w:rsid w:val="00307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32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4337</Words>
  <Characters>24724</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Концептуальні засади </vt:lpstr>
    </vt:vector>
  </TitlesOfParts>
  <Company>SSMSC</Company>
  <LinksUpToDate>false</LinksUpToDate>
  <CharactersWithSpaces>29003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Концептуальні засади</dc:title>
  <dc:subject/>
  <dc:creator>gribenko</dc:creator>
  <cp:keywords/>
  <dc:description/>
  <cp:lastModifiedBy>Руслан Кисляк</cp:lastModifiedBy>
  <cp:revision>3</cp:revision>
  <cp:lastPrinted>2019-03-20T14:08:00Z</cp:lastPrinted>
  <dcterms:created xsi:type="dcterms:W3CDTF">2019-03-27T10:32:00Z</dcterms:created>
  <dcterms:modified xsi:type="dcterms:W3CDTF">2019-03-27T10:33:00Z</dcterms:modified>
</cp:coreProperties>
</file>