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1D" w:rsidRDefault="00DC331D" w:rsidP="00D9551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9D0BF9" w:rsidRPr="001260FD" w:rsidRDefault="009D0BF9" w:rsidP="00D9551A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1260FD">
        <w:rPr>
          <w:b/>
          <w:sz w:val="28"/>
          <w:szCs w:val="28"/>
        </w:rPr>
        <w:t xml:space="preserve">Звіт </w:t>
      </w:r>
      <w:r w:rsidR="00635EB7">
        <w:rPr>
          <w:b/>
          <w:sz w:val="28"/>
          <w:szCs w:val="28"/>
        </w:rPr>
        <w:t>про періодичне</w:t>
      </w:r>
      <w:r w:rsidR="004E40DC" w:rsidRPr="001260FD">
        <w:rPr>
          <w:b/>
          <w:sz w:val="28"/>
          <w:szCs w:val="28"/>
        </w:rPr>
        <w:t xml:space="preserve"> відстеження</w:t>
      </w:r>
    </w:p>
    <w:p w:rsidR="00D9551A" w:rsidRPr="003A5BF6" w:rsidRDefault="009D0BF9" w:rsidP="00877360">
      <w:pPr>
        <w:tabs>
          <w:tab w:val="left" w:pos="709"/>
        </w:tabs>
        <w:ind w:left="284"/>
        <w:jc w:val="center"/>
        <w:rPr>
          <w:b/>
          <w:sz w:val="28"/>
          <w:szCs w:val="28"/>
        </w:rPr>
      </w:pPr>
      <w:r w:rsidRPr="006007A9">
        <w:rPr>
          <w:b/>
          <w:sz w:val="28"/>
          <w:szCs w:val="28"/>
        </w:rPr>
        <w:t>результативності регуляторного акта -</w:t>
      </w:r>
      <w:r w:rsidR="00877360" w:rsidRPr="00877360">
        <w:rPr>
          <w:szCs w:val="24"/>
        </w:rPr>
        <w:t xml:space="preserve"> </w:t>
      </w:r>
      <w:r w:rsidR="00DC331D">
        <w:rPr>
          <w:b/>
          <w:sz w:val="28"/>
          <w:szCs w:val="28"/>
        </w:rPr>
        <w:t>р</w:t>
      </w:r>
      <w:r w:rsidR="00877360" w:rsidRPr="00877360">
        <w:rPr>
          <w:b/>
          <w:sz w:val="28"/>
          <w:szCs w:val="28"/>
        </w:rPr>
        <w:t xml:space="preserve">ішення НКЦПФР від 16.12.2014 </w:t>
      </w:r>
      <w:r w:rsidR="00DC331D">
        <w:rPr>
          <w:b/>
          <w:sz w:val="28"/>
          <w:szCs w:val="28"/>
        </w:rPr>
        <w:t xml:space="preserve">      </w:t>
      </w:r>
      <w:r w:rsidR="00877360" w:rsidRPr="00877360">
        <w:rPr>
          <w:b/>
          <w:sz w:val="28"/>
          <w:szCs w:val="28"/>
        </w:rPr>
        <w:t>№ 1705 «Про затвердження змін до Порядку та умов видачі ліцензії на провадження окремих видів професійної діяльності на фондовому ринку (ринку цінних паперів), переоформлення ліцензій, видачі дубліката та копії ліцензії»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304"/>
        <w:gridCol w:w="6785"/>
      </w:tblGrid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Вид та назва регуляторного акта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F24E32" w:rsidP="00877360">
            <w:pPr>
              <w:jc w:val="both"/>
              <w:rPr>
                <w:sz w:val="28"/>
                <w:szCs w:val="28"/>
                <w:u w:val="single"/>
              </w:rPr>
            </w:pPr>
            <w:r w:rsidRPr="009B4942">
              <w:rPr>
                <w:sz w:val="28"/>
                <w:szCs w:val="28"/>
              </w:rPr>
              <w:t xml:space="preserve">Рішення Національної комісії з цінних паперів та фондового ринку </w:t>
            </w:r>
            <w:r w:rsidR="00877360" w:rsidRPr="00877360">
              <w:rPr>
                <w:sz w:val="28"/>
                <w:szCs w:val="28"/>
              </w:rPr>
              <w:t>від 16.12.2014 № 1705 «Про затвердження змін до Порядку та умов видачі ліцензії на провадження окремих видів професійної діяльності на фондовому ринку (ринку цінних паперів), переоформлення ліцензій, видачі дубліката та копії ліцензії»</w:t>
            </w: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Назва виконавця заходів з 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877360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Національна комісія з цінних паперів та фондового ринку</w:t>
            </w:r>
            <w:r w:rsidR="007D1A27" w:rsidRPr="009B4942">
              <w:rPr>
                <w:sz w:val="28"/>
                <w:szCs w:val="28"/>
              </w:rPr>
              <w:t xml:space="preserve"> (далі - Комісія)</w:t>
            </w: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Цілі прийняття акта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877360" w:rsidRDefault="00877360" w:rsidP="00DF146A">
            <w:pPr>
              <w:jc w:val="both"/>
              <w:rPr>
                <w:color w:val="000000"/>
                <w:sz w:val="28"/>
                <w:szCs w:val="28"/>
              </w:rPr>
            </w:pPr>
            <w:r w:rsidRPr="00877360">
              <w:rPr>
                <w:color w:val="000000"/>
                <w:sz w:val="28"/>
                <w:szCs w:val="28"/>
              </w:rPr>
              <w:t xml:space="preserve">Даний регуляторний акт розроблений Комісією з метою </w:t>
            </w:r>
            <w:r w:rsidR="00DC331D">
              <w:rPr>
                <w:color w:val="000000"/>
                <w:sz w:val="28"/>
                <w:szCs w:val="28"/>
              </w:rPr>
              <w:t xml:space="preserve">приведення </w:t>
            </w:r>
            <w:r w:rsidRPr="00877360">
              <w:rPr>
                <w:color w:val="000000"/>
                <w:sz w:val="28"/>
                <w:szCs w:val="28"/>
              </w:rPr>
              <w:t xml:space="preserve">Порядку та умов </w:t>
            </w:r>
            <w:r w:rsidR="00DC331D">
              <w:rPr>
                <w:color w:val="000000"/>
                <w:sz w:val="28"/>
                <w:szCs w:val="28"/>
              </w:rPr>
              <w:t xml:space="preserve">видачі ліцензії на провадження окремих видів професійної діяльності на фондовому ринку (ринку цінних паперів) </w:t>
            </w:r>
            <w:r w:rsidR="00DF146A" w:rsidRPr="00DF146A">
              <w:rPr>
                <w:color w:val="000000"/>
                <w:sz w:val="28"/>
                <w:szCs w:val="28"/>
              </w:rPr>
              <w:t xml:space="preserve">переоформлення ліцензій, видачі дубліката та копії ліцензії </w:t>
            </w:r>
            <w:r w:rsidR="00DC331D">
              <w:rPr>
                <w:color w:val="000000"/>
                <w:sz w:val="28"/>
                <w:szCs w:val="28"/>
              </w:rPr>
              <w:t>до вимог законодавства</w:t>
            </w:r>
            <w:r w:rsidR="00DF146A">
              <w:rPr>
                <w:color w:val="000000"/>
                <w:sz w:val="28"/>
                <w:szCs w:val="28"/>
              </w:rPr>
              <w:t>,</w:t>
            </w:r>
            <w:r w:rsidR="00DC331D">
              <w:rPr>
                <w:color w:val="000000"/>
                <w:sz w:val="28"/>
                <w:szCs w:val="28"/>
              </w:rPr>
              <w:t xml:space="preserve"> зокрема до</w:t>
            </w:r>
            <w:r w:rsidRPr="00877360">
              <w:rPr>
                <w:color w:val="000000"/>
                <w:sz w:val="28"/>
                <w:szCs w:val="28"/>
              </w:rPr>
              <w:t xml:space="preserve"> Законів України «Про депозитарну систему України», «Про внесення змін до деяких законодавчих актів України щодо спрощення порядку відкриття бізнесу» від 15.04.2014 № 1206-</w:t>
            </w:r>
            <w:r>
              <w:rPr>
                <w:color w:val="000000"/>
                <w:sz w:val="28"/>
                <w:szCs w:val="28"/>
                <w:lang w:val="en-US"/>
              </w:rPr>
              <w:t>VII</w:t>
            </w:r>
            <w:r w:rsidR="00DC331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та з метою оптимізації, уніфікації та удосконалення окремих норм, що регулюють порядок та умови отримання ліцензій на провадження професійної діяльності на фондовому ринку </w:t>
            </w:r>
            <w:r w:rsidRPr="00877360">
              <w:rPr>
                <w:color w:val="000000"/>
                <w:sz w:val="28"/>
                <w:szCs w:val="28"/>
              </w:rPr>
              <w:t>(ринку цінних паперів)</w:t>
            </w:r>
            <w:r>
              <w:rPr>
                <w:color w:val="000000"/>
                <w:sz w:val="28"/>
                <w:szCs w:val="28"/>
              </w:rPr>
              <w:t>, а також врегулювання окремих процедурних питань</w:t>
            </w: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Строк виконання заходів з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D4F38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 xml:space="preserve">Заходи з відстеження здійснювалися з </w:t>
            </w:r>
            <w:r w:rsidR="00877360" w:rsidRPr="00DF146A">
              <w:rPr>
                <w:sz w:val="28"/>
                <w:szCs w:val="28"/>
              </w:rPr>
              <w:t>14</w:t>
            </w:r>
            <w:r w:rsidRPr="009B4942">
              <w:rPr>
                <w:sz w:val="28"/>
                <w:szCs w:val="28"/>
              </w:rPr>
              <w:t>.</w:t>
            </w:r>
            <w:r w:rsidR="0075195C" w:rsidRPr="009B4942">
              <w:rPr>
                <w:sz w:val="28"/>
                <w:szCs w:val="28"/>
              </w:rPr>
              <w:t>0</w:t>
            </w:r>
            <w:r w:rsidR="00877360" w:rsidRPr="00DF146A">
              <w:rPr>
                <w:sz w:val="28"/>
                <w:szCs w:val="28"/>
              </w:rPr>
              <w:t>2</w:t>
            </w:r>
            <w:r w:rsidRPr="009B4942">
              <w:rPr>
                <w:sz w:val="28"/>
                <w:szCs w:val="28"/>
              </w:rPr>
              <w:t>.201</w:t>
            </w:r>
            <w:r w:rsidR="00877360" w:rsidRPr="00DF146A">
              <w:rPr>
                <w:sz w:val="28"/>
                <w:szCs w:val="28"/>
              </w:rPr>
              <w:t>9</w:t>
            </w:r>
            <w:r w:rsidRPr="009B4942">
              <w:rPr>
                <w:sz w:val="28"/>
                <w:szCs w:val="28"/>
              </w:rPr>
              <w:t xml:space="preserve"> по </w:t>
            </w:r>
            <w:r w:rsidR="00877360" w:rsidRPr="00DF146A">
              <w:rPr>
                <w:sz w:val="28"/>
                <w:szCs w:val="28"/>
              </w:rPr>
              <w:t>25</w:t>
            </w:r>
            <w:r w:rsidRPr="009B4942">
              <w:rPr>
                <w:sz w:val="28"/>
                <w:szCs w:val="28"/>
              </w:rPr>
              <w:t>.</w:t>
            </w:r>
            <w:r w:rsidR="0075195C" w:rsidRPr="009B4942">
              <w:rPr>
                <w:sz w:val="28"/>
                <w:szCs w:val="28"/>
              </w:rPr>
              <w:t>0</w:t>
            </w:r>
            <w:r w:rsidR="00877360" w:rsidRPr="00DF146A">
              <w:rPr>
                <w:sz w:val="28"/>
                <w:szCs w:val="28"/>
              </w:rPr>
              <w:t>2</w:t>
            </w:r>
            <w:r w:rsidRPr="009B4942">
              <w:rPr>
                <w:sz w:val="28"/>
                <w:szCs w:val="28"/>
              </w:rPr>
              <w:t>.201</w:t>
            </w:r>
            <w:r w:rsidR="00877360" w:rsidRPr="00DF146A">
              <w:rPr>
                <w:sz w:val="28"/>
                <w:szCs w:val="28"/>
              </w:rPr>
              <w:t>9</w:t>
            </w: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Тип відстеження (базове, повторне або періодичне)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77360" w:rsidP="008773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Періодичне</w:t>
            </w:r>
          </w:p>
        </w:tc>
      </w:tr>
      <w:tr w:rsidR="00A663A6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9B4942" w:rsidRDefault="00A663A6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9B4942" w:rsidRDefault="00A663A6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Методи одержання результатів відстеження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9B4942" w:rsidRDefault="00CC7988" w:rsidP="00D42FE0">
            <w:pPr>
              <w:pStyle w:val="a4"/>
              <w:rPr>
                <w:szCs w:val="28"/>
              </w:rPr>
            </w:pPr>
            <w:r w:rsidRPr="009B4942">
              <w:rPr>
                <w:szCs w:val="28"/>
              </w:rPr>
              <w:t xml:space="preserve">Відстеження результативності регуляторного акта здійснювалося </w:t>
            </w:r>
            <w:r w:rsidR="00955EC3" w:rsidRPr="009B4942">
              <w:rPr>
                <w:szCs w:val="28"/>
              </w:rPr>
              <w:t>методом</w:t>
            </w:r>
            <w:r w:rsidRPr="009B4942">
              <w:rPr>
                <w:szCs w:val="28"/>
              </w:rPr>
              <w:t xml:space="preserve"> узагальнення та аналізу зауважень, пропозицій отриманих від юридичних осіб та їх об’єднань</w:t>
            </w:r>
            <w:r w:rsidRPr="009B4942">
              <w:rPr>
                <w:color w:val="000000"/>
                <w:szCs w:val="28"/>
              </w:rPr>
              <w:t xml:space="preserve"> </w:t>
            </w:r>
          </w:p>
        </w:tc>
      </w:tr>
      <w:tr w:rsidR="00A663A6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9B4942" w:rsidRDefault="00A663A6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Pr="009B4942" w:rsidRDefault="00A663A6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Дані та припущення, на основі яких відстежувалася</w:t>
            </w:r>
          </w:p>
          <w:p w:rsidR="00A663A6" w:rsidRPr="009B4942" w:rsidRDefault="00A663A6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результативність, а також способи одержання даних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A6" w:rsidRDefault="005164AB" w:rsidP="005164AB">
            <w:pPr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Пропозиції та зауваження від фізичних та юридичних осіб та їх об</w:t>
            </w:r>
            <w:r w:rsidRPr="005164AB">
              <w:rPr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color w:val="000000"/>
                <w:sz w:val="28"/>
                <w:szCs w:val="28"/>
                <w:lang w:val="ru-RU"/>
              </w:rPr>
              <w:t>єднань не надходили.</w:t>
            </w:r>
          </w:p>
          <w:p w:rsidR="005164AB" w:rsidRPr="005164AB" w:rsidRDefault="005164AB" w:rsidP="005164AB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Способи одерження даних – збір та аналіз пропозицій та зауважень від фізичних та юридичних осіб, </w:t>
            </w:r>
            <w:r>
              <w:rPr>
                <w:color w:val="000000"/>
                <w:sz w:val="28"/>
                <w:szCs w:val="28"/>
              </w:rPr>
              <w:t>їх об</w:t>
            </w:r>
            <w:r w:rsidRPr="005164AB">
              <w:rPr>
                <w:color w:val="000000"/>
                <w:sz w:val="28"/>
                <w:szCs w:val="28"/>
                <w:lang w:val="ru-RU"/>
              </w:rPr>
              <w:t>’</w:t>
            </w:r>
            <w:r>
              <w:rPr>
                <w:color w:val="000000"/>
                <w:sz w:val="28"/>
                <w:szCs w:val="28"/>
                <w:lang w:val="ru-RU"/>
              </w:rPr>
              <w:t>єднань</w:t>
            </w: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Кількісні та якісні значення показників результативності акта</w:t>
            </w:r>
          </w:p>
          <w:p w:rsidR="00A10BDE" w:rsidRPr="009B4942" w:rsidRDefault="00A10BDE" w:rsidP="009B4942">
            <w:pPr>
              <w:jc w:val="both"/>
              <w:rPr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FF5" w:rsidRPr="009B4942" w:rsidRDefault="00CA6FF5" w:rsidP="009B4942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B4942"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</w:p>
          <w:tbl>
            <w:tblPr>
              <w:tblW w:w="6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1"/>
              <w:gridCol w:w="1556"/>
              <w:gridCol w:w="1556"/>
              <w:gridCol w:w="1556"/>
            </w:tblGrid>
            <w:tr w:rsidR="00877360" w:rsidTr="005164AB">
              <w:tc>
                <w:tcPr>
                  <w:tcW w:w="1891" w:type="dxa"/>
                  <w:shd w:val="clear" w:color="auto" w:fill="auto"/>
                </w:tcPr>
                <w:p w:rsidR="00877360" w:rsidRPr="009B4942" w:rsidRDefault="00877360" w:rsidP="009B4942">
                  <w:pPr>
                    <w:pStyle w:val="2"/>
                    <w:spacing w:after="0" w:line="240" w:lineRule="auto"/>
                    <w:ind w:left="0" w:right="-81"/>
                    <w:jc w:val="center"/>
                    <w:rPr>
                      <w:sz w:val="28"/>
                      <w:szCs w:val="28"/>
                    </w:rPr>
                  </w:pPr>
                  <w:r w:rsidRPr="009B4942">
                    <w:rPr>
                      <w:bCs/>
                      <w:color w:val="000000"/>
                    </w:rPr>
                    <w:t xml:space="preserve">Показники </w:t>
                  </w:r>
                  <w:r w:rsidRPr="009728F5">
                    <w:t xml:space="preserve">результативності </w:t>
                  </w:r>
                  <w:r w:rsidRPr="009728F5">
                    <w:lastRenderedPageBreak/>
                    <w:t>регуляторного акта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730182" w:rsidRDefault="005164AB" w:rsidP="009B4942">
                  <w:pPr>
                    <w:jc w:val="center"/>
                  </w:pPr>
                  <w:r>
                    <w:lastRenderedPageBreak/>
                    <w:t xml:space="preserve">(Базове відстеження) </w:t>
                  </w:r>
                  <w:r>
                    <w:lastRenderedPageBreak/>
                    <w:t>2015</w:t>
                  </w:r>
                  <w:r w:rsidR="00877360">
                    <w:t xml:space="preserve"> рік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730182" w:rsidRDefault="00877360" w:rsidP="009B4942">
                  <w:pPr>
                    <w:jc w:val="center"/>
                  </w:pPr>
                  <w:r>
                    <w:lastRenderedPageBreak/>
                    <w:t>(Повторне</w:t>
                  </w:r>
                  <w:r w:rsidR="005164AB">
                    <w:t xml:space="preserve"> відстеження) </w:t>
                  </w:r>
                  <w:r w:rsidR="005164AB">
                    <w:lastRenderedPageBreak/>
                    <w:t>2016</w:t>
                  </w:r>
                  <w:r>
                    <w:t xml:space="preserve"> рік</w:t>
                  </w:r>
                </w:p>
              </w:tc>
              <w:tc>
                <w:tcPr>
                  <w:tcW w:w="1556" w:type="dxa"/>
                </w:tcPr>
                <w:p w:rsidR="00877360" w:rsidRDefault="00877360" w:rsidP="009B4942">
                  <w:pPr>
                    <w:jc w:val="center"/>
                  </w:pPr>
                  <w:r>
                    <w:lastRenderedPageBreak/>
                    <w:t>(Періодичне</w:t>
                  </w:r>
                  <w:r w:rsidR="005164AB">
                    <w:t xml:space="preserve"> відстеження) </w:t>
                  </w:r>
                  <w:r w:rsidR="005164AB">
                    <w:lastRenderedPageBreak/>
                    <w:t>2019</w:t>
                  </w:r>
                  <w:r>
                    <w:t xml:space="preserve"> рік</w:t>
                  </w:r>
                </w:p>
              </w:tc>
            </w:tr>
            <w:tr w:rsidR="00877360" w:rsidTr="005164AB">
              <w:tc>
                <w:tcPr>
                  <w:tcW w:w="1891" w:type="dxa"/>
                  <w:shd w:val="clear" w:color="auto" w:fill="auto"/>
                </w:tcPr>
                <w:p w:rsidR="00877360" w:rsidRPr="000606A3" w:rsidRDefault="00877360" w:rsidP="009B4942">
                  <w:pPr>
                    <w:jc w:val="both"/>
                  </w:pPr>
                  <w:r w:rsidRPr="000606A3">
                    <w:lastRenderedPageBreak/>
                    <w:t>1</w:t>
                  </w:r>
                  <w:r w:rsidRPr="009B4942">
                    <w:rPr>
                      <w:sz w:val="18"/>
                      <w:szCs w:val="18"/>
                    </w:rPr>
                    <w:t xml:space="preserve">. Розмір надходжень до державного та місцевих бюджетів і державних цільових фондів, пов’язаних з дією акта  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9B4942" w:rsidRDefault="00877360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9B4942" w:rsidRDefault="00877360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</w:tcPr>
                <w:p w:rsidR="00877360" w:rsidRPr="009B4942" w:rsidRDefault="005164AB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Не змінився</w:t>
                  </w:r>
                </w:p>
              </w:tc>
            </w:tr>
            <w:tr w:rsidR="00877360" w:rsidTr="005164AB">
              <w:tc>
                <w:tcPr>
                  <w:tcW w:w="1891" w:type="dxa"/>
                  <w:shd w:val="clear" w:color="auto" w:fill="auto"/>
                </w:tcPr>
                <w:p w:rsidR="00877360" w:rsidRPr="000606A3" w:rsidRDefault="00877360" w:rsidP="009B4942">
                  <w:pPr>
                    <w:jc w:val="both"/>
                  </w:pPr>
                  <w:r w:rsidRPr="000606A3">
                    <w:t>2</w:t>
                  </w:r>
                  <w:r w:rsidRPr="009B4942">
                    <w:rPr>
                      <w:sz w:val="18"/>
                      <w:szCs w:val="18"/>
                    </w:rPr>
                    <w:t>.</w:t>
                  </w:r>
                  <w:r w:rsidRPr="009B4942">
                    <w:rPr>
                      <w:color w:val="000000"/>
                      <w:sz w:val="18"/>
                      <w:szCs w:val="18"/>
                    </w:rPr>
                    <w:t xml:space="preserve"> Кількість суб'єктів господарювання на яких поширюватиметься дія акта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9B4942" w:rsidRDefault="00877360" w:rsidP="009B494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776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5164AB" w:rsidRDefault="005164AB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543</w:t>
                  </w:r>
                </w:p>
              </w:tc>
              <w:tc>
                <w:tcPr>
                  <w:tcW w:w="1556" w:type="dxa"/>
                </w:tcPr>
                <w:p w:rsidR="00877360" w:rsidRPr="005164AB" w:rsidRDefault="005164AB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444</w:t>
                  </w:r>
                </w:p>
              </w:tc>
            </w:tr>
            <w:tr w:rsidR="00877360" w:rsidTr="005164AB">
              <w:tc>
                <w:tcPr>
                  <w:tcW w:w="1891" w:type="dxa"/>
                  <w:shd w:val="clear" w:color="auto" w:fill="auto"/>
                </w:tcPr>
                <w:p w:rsidR="00877360" w:rsidRPr="009B4942" w:rsidRDefault="00877360" w:rsidP="009B494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606A3">
                    <w:t>3</w:t>
                  </w:r>
                  <w:r w:rsidRPr="009B4942">
                    <w:rPr>
                      <w:sz w:val="18"/>
                      <w:szCs w:val="18"/>
                    </w:rPr>
                    <w:t>.</w:t>
                  </w:r>
                  <w:r w:rsidRPr="009B4942">
                    <w:rPr>
                      <w:color w:val="000000"/>
                      <w:sz w:val="18"/>
                      <w:szCs w:val="18"/>
                    </w:rPr>
                    <w:t xml:space="preserve"> Розмір коштів</w:t>
                  </w:r>
                  <w:r w:rsidR="005164AB">
                    <w:rPr>
                      <w:color w:val="000000"/>
                      <w:sz w:val="18"/>
                      <w:szCs w:val="18"/>
                    </w:rPr>
                    <w:t xml:space="preserve"> і час</w:t>
                  </w:r>
                  <w:r w:rsidRPr="009B4942">
                    <w:rPr>
                      <w:color w:val="000000"/>
                      <w:sz w:val="18"/>
                      <w:szCs w:val="18"/>
                    </w:rPr>
                    <w:t>, що витрачаються суб'єктами господарювання, у зв</w:t>
                  </w:r>
                  <w:r w:rsidRPr="009B4942">
                    <w:rPr>
                      <w:color w:val="000000"/>
                      <w:sz w:val="18"/>
                      <w:szCs w:val="18"/>
                      <w:lang w:val="ru-RU"/>
                    </w:rPr>
                    <w:t>’</w:t>
                  </w:r>
                  <w:r w:rsidRPr="009B4942">
                    <w:rPr>
                      <w:color w:val="000000"/>
                      <w:sz w:val="18"/>
                      <w:szCs w:val="18"/>
                    </w:rPr>
                    <w:t>язку з виконанням вимог регуляторного акта.</w:t>
                  </w:r>
                  <w:r w:rsidRPr="009B4942"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877360" w:rsidRPr="009B4942" w:rsidRDefault="00877360" w:rsidP="009B4942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Default="005164AB" w:rsidP="005164AB">
                  <w:pPr>
                    <w:jc w:val="center"/>
                  </w:pPr>
                  <w:r w:rsidRPr="009B4942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Default="005164AB" w:rsidP="005164AB">
                  <w:pPr>
                    <w:jc w:val="center"/>
                  </w:pPr>
                  <w:r w:rsidRPr="009B4942">
                    <w:rPr>
                      <w:sz w:val="18"/>
                      <w:szCs w:val="18"/>
                    </w:rPr>
                    <w:t>Не змінився</w:t>
                  </w:r>
                </w:p>
              </w:tc>
              <w:tc>
                <w:tcPr>
                  <w:tcW w:w="1556" w:type="dxa"/>
                </w:tcPr>
                <w:p w:rsidR="00877360" w:rsidRPr="009B4942" w:rsidRDefault="005164AB" w:rsidP="005164A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164AB">
                    <w:rPr>
                      <w:color w:val="000000"/>
                      <w:sz w:val="18"/>
                      <w:szCs w:val="18"/>
                    </w:rPr>
                    <w:t>Не змінився</w:t>
                  </w:r>
                </w:p>
              </w:tc>
            </w:tr>
            <w:tr w:rsidR="00877360" w:rsidTr="005164AB">
              <w:tc>
                <w:tcPr>
                  <w:tcW w:w="1891" w:type="dxa"/>
                  <w:shd w:val="clear" w:color="auto" w:fill="auto"/>
                </w:tcPr>
                <w:p w:rsidR="00877360" w:rsidRPr="005164AB" w:rsidRDefault="005164AB" w:rsidP="009B494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4. </w:t>
                  </w:r>
                  <w:r>
                    <w:rPr>
                      <w:sz w:val="18"/>
                      <w:szCs w:val="18"/>
                    </w:rPr>
                    <w:t>Рівень поінфармованості суб</w:t>
                  </w:r>
                  <w:r w:rsidRPr="005164AB">
                    <w:rPr>
                      <w:sz w:val="18"/>
                      <w:szCs w:val="18"/>
                      <w:lang w:val="ru-RU"/>
                    </w:rPr>
                    <w:t>’</w:t>
                  </w:r>
                  <w:r>
                    <w:rPr>
                      <w:sz w:val="18"/>
                      <w:szCs w:val="18"/>
                    </w:rPr>
                    <w:t>єктів господарювання та/або фізичних осіб зосновних положень акта</w:t>
                  </w:r>
                </w:p>
                <w:p w:rsidR="00877360" w:rsidRPr="000606A3" w:rsidRDefault="00877360" w:rsidP="009B4942">
                  <w:pPr>
                    <w:jc w:val="both"/>
                  </w:pP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9B4942" w:rsidRDefault="00877360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Середній</w:t>
                  </w:r>
                </w:p>
              </w:tc>
              <w:tc>
                <w:tcPr>
                  <w:tcW w:w="1556" w:type="dxa"/>
                  <w:shd w:val="clear" w:color="auto" w:fill="auto"/>
                </w:tcPr>
                <w:p w:rsidR="00877360" w:rsidRPr="009B4942" w:rsidRDefault="00877360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Середній</w:t>
                  </w:r>
                </w:p>
              </w:tc>
              <w:tc>
                <w:tcPr>
                  <w:tcW w:w="1556" w:type="dxa"/>
                </w:tcPr>
                <w:p w:rsidR="00877360" w:rsidRPr="009B4942" w:rsidRDefault="005164AB" w:rsidP="009B4942">
                  <w:pPr>
                    <w:jc w:val="center"/>
                    <w:rPr>
                      <w:sz w:val="18"/>
                      <w:szCs w:val="18"/>
                    </w:rPr>
                  </w:pPr>
                  <w:r w:rsidRPr="009B4942">
                    <w:rPr>
                      <w:sz w:val="18"/>
                      <w:szCs w:val="18"/>
                    </w:rPr>
                    <w:t>Середній</w:t>
                  </w:r>
                </w:p>
              </w:tc>
            </w:tr>
          </w:tbl>
          <w:p w:rsidR="00ED42D9" w:rsidRPr="009B4942" w:rsidRDefault="00ED42D9" w:rsidP="009B4942">
            <w:pPr>
              <w:ind w:right="-81" w:firstLine="612"/>
              <w:jc w:val="both"/>
              <w:rPr>
                <w:sz w:val="28"/>
                <w:szCs w:val="28"/>
              </w:rPr>
            </w:pPr>
          </w:p>
          <w:p w:rsidR="008E3FB0" w:rsidRPr="009B4942" w:rsidRDefault="008E3FB0" w:rsidP="009B4942">
            <w:pPr>
              <w:pStyle w:val="3"/>
              <w:tabs>
                <w:tab w:val="left" w:pos="9540"/>
              </w:tabs>
              <w:spacing w:before="0" w:beforeAutospacing="0" w:after="0" w:afterAutospacing="0"/>
              <w:ind w:firstLine="74"/>
              <w:jc w:val="both"/>
              <w:rPr>
                <w:sz w:val="28"/>
                <w:szCs w:val="28"/>
              </w:rPr>
            </w:pPr>
          </w:p>
        </w:tc>
      </w:tr>
      <w:tr w:rsidR="008E3FB0" w:rsidRPr="009B4942" w:rsidTr="009B49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B0" w:rsidRPr="009B4942" w:rsidRDefault="008E3FB0" w:rsidP="009B4942">
            <w:pPr>
              <w:jc w:val="both"/>
              <w:rPr>
                <w:sz w:val="28"/>
                <w:szCs w:val="28"/>
              </w:rPr>
            </w:pPr>
            <w:r w:rsidRPr="009B4942">
              <w:rPr>
                <w:sz w:val="28"/>
                <w:szCs w:val="28"/>
              </w:rPr>
              <w:t>Оцінка результатів реалізації регуляторного акта та ступеня досягнення визначених цілей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B" w:rsidRPr="005164AB" w:rsidRDefault="005164AB" w:rsidP="005164A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164AB">
              <w:rPr>
                <w:sz w:val="28"/>
                <w:szCs w:val="28"/>
              </w:rPr>
              <w:t xml:space="preserve">Цілі державного регулювання досягнуто повністю, неврегульованих та проблемних питань не виявлено. </w:t>
            </w:r>
            <w:r w:rsidRPr="005164AB">
              <w:rPr>
                <w:bCs/>
                <w:sz w:val="28"/>
                <w:szCs w:val="28"/>
              </w:rPr>
              <w:t>Регуляторний акт має високий ступінь досягнення визначених цілей, результати реалізації його положень мають позитивну динаміку.</w:t>
            </w:r>
          </w:p>
          <w:p w:rsidR="008E3FB0" w:rsidRPr="009B4942" w:rsidRDefault="008E3FB0" w:rsidP="009B49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8E3FB0" w:rsidRPr="001260FD" w:rsidRDefault="008E3FB0" w:rsidP="008E3FB0">
      <w:pPr>
        <w:pStyle w:val="a4"/>
        <w:tabs>
          <w:tab w:val="left" w:pos="567"/>
        </w:tabs>
        <w:ind w:left="567" w:firstLine="709"/>
        <w:rPr>
          <w:bCs/>
          <w:szCs w:val="28"/>
        </w:rPr>
      </w:pPr>
    </w:p>
    <w:p w:rsidR="008E3FB0" w:rsidRPr="001260FD" w:rsidRDefault="008E3FB0" w:rsidP="008E3FB0">
      <w:pPr>
        <w:pStyle w:val="a4"/>
        <w:tabs>
          <w:tab w:val="left" w:pos="567"/>
        </w:tabs>
        <w:ind w:left="567" w:firstLine="709"/>
        <w:rPr>
          <w:bCs/>
          <w:szCs w:val="28"/>
        </w:rPr>
      </w:pPr>
    </w:p>
    <w:p w:rsidR="00536A35" w:rsidRPr="001260FD" w:rsidRDefault="00536A35" w:rsidP="00A663A6">
      <w:pPr>
        <w:ind w:left="567" w:firstLine="709"/>
        <w:jc w:val="both"/>
        <w:rPr>
          <w:b/>
          <w:sz w:val="28"/>
          <w:szCs w:val="28"/>
        </w:rPr>
      </w:pPr>
    </w:p>
    <w:p w:rsidR="004A5E42" w:rsidRPr="001260FD" w:rsidRDefault="004A5E42" w:rsidP="00A663A6">
      <w:pPr>
        <w:ind w:left="567" w:firstLine="709"/>
        <w:jc w:val="both"/>
        <w:rPr>
          <w:b/>
          <w:sz w:val="28"/>
          <w:szCs w:val="28"/>
        </w:rPr>
      </w:pPr>
    </w:p>
    <w:p w:rsidR="004A5E42" w:rsidRPr="001260FD" w:rsidRDefault="004A5E42" w:rsidP="00A663A6">
      <w:pPr>
        <w:ind w:left="567" w:firstLine="709"/>
        <w:jc w:val="both"/>
        <w:rPr>
          <w:b/>
          <w:sz w:val="28"/>
          <w:szCs w:val="28"/>
        </w:rPr>
      </w:pPr>
    </w:p>
    <w:p w:rsidR="00536A35" w:rsidRPr="001260FD" w:rsidRDefault="00536A35" w:rsidP="00A663A6">
      <w:pPr>
        <w:ind w:left="567" w:firstLine="709"/>
        <w:jc w:val="both"/>
        <w:rPr>
          <w:b/>
          <w:sz w:val="28"/>
          <w:szCs w:val="28"/>
        </w:rPr>
      </w:pPr>
    </w:p>
    <w:p w:rsidR="009D0BF9" w:rsidRPr="001260FD" w:rsidRDefault="008E3FB0" w:rsidP="00A663A6">
      <w:pPr>
        <w:ind w:left="567" w:firstLine="709"/>
        <w:jc w:val="both"/>
        <w:rPr>
          <w:b/>
          <w:bCs/>
          <w:sz w:val="28"/>
          <w:szCs w:val="28"/>
        </w:rPr>
      </w:pPr>
      <w:r w:rsidRPr="001260FD">
        <w:rPr>
          <w:b/>
          <w:sz w:val="28"/>
          <w:szCs w:val="28"/>
        </w:rPr>
        <w:t xml:space="preserve">Голова Комісії </w:t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  <w:t xml:space="preserve">              </w:t>
      </w:r>
      <w:r w:rsidRPr="001260FD">
        <w:rPr>
          <w:b/>
          <w:sz w:val="28"/>
          <w:szCs w:val="28"/>
        </w:rPr>
        <w:tab/>
      </w:r>
      <w:r w:rsidRPr="001260FD">
        <w:rPr>
          <w:b/>
          <w:sz w:val="28"/>
          <w:szCs w:val="28"/>
        </w:rPr>
        <w:tab/>
        <w:t>Т</w:t>
      </w:r>
      <w:r w:rsidR="003A3355">
        <w:rPr>
          <w:b/>
          <w:sz w:val="28"/>
          <w:szCs w:val="28"/>
        </w:rPr>
        <w:t xml:space="preserve">. Хромаєв </w:t>
      </w:r>
    </w:p>
    <w:p w:rsidR="001260FD" w:rsidRPr="001260FD" w:rsidRDefault="001260FD">
      <w:pPr>
        <w:rPr>
          <w:b/>
          <w:bCs/>
          <w:sz w:val="28"/>
          <w:szCs w:val="28"/>
        </w:rPr>
      </w:pPr>
    </w:p>
    <w:sectPr w:rsidR="001260FD" w:rsidRPr="001260FD" w:rsidSect="00680A75">
      <w:headerReference w:type="even" r:id="rId7"/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36" w:rsidRDefault="00F50236">
      <w:r>
        <w:separator/>
      </w:r>
    </w:p>
  </w:endnote>
  <w:endnote w:type="continuationSeparator" w:id="0">
    <w:p w:rsidR="00F50236" w:rsidRDefault="00F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36" w:rsidRDefault="00F50236">
      <w:r>
        <w:separator/>
      </w:r>
    </w:p>
  </w:footnote>
  <w:footnote w:type="continuationSeparator" w:id="0">
    <w:p w:rsidR="00F50236" w:rsidRDefault="00F5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A6" w:rsidRDefault="00074AA6" w:rsidP="00CD0FE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4AA6" w:rsidRDefault="00074AA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A6" w:rsidRDefault="00074AA6" w:rsidP="00CD0FE5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1113">
      <w:rPr>
        <w:rStyle w:val="af"/>
        <w:noProof/>
      </w:rPr>
      <w:t>2</w:t>
    </w:r>
    <w:r>
      <w:rPr>
        <w:rStyle w:val="af"/>
      </w:rPr>
      <w:fldChar w:fldCharType="end"/>
    </w:r>
  </w:p>
  <w:p w:rsidR="00074AA6" w:rsidRDefault="00074AA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58B6"/>
    <w:multiLevelType w:val="hybridMultilevel"/>
    <w:tmpl w:val="E1BC6688"/>
    <w:lvl w:ilvl="0" w:tplc="C812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11E6A"/>
    <w:multiLevelType w:val="hybridMultilevel"/>
    <w:tmpl w:val="7B5859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AA2FE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33B09"/>
    <w:multiLevelType w:val="hybridMultilevel"/>
    <w:tmpl w:val="0FFC9DCA"/>
    <w:lvl w:ilvl="0" w:tplc="C144CE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D4427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F9"/>
    <w:rsid w:val="00051185"/>
    <w:rsid w:val="0005666A"/>
    <w:rsid w:val="000653AA"/>
    <w:rsid w:val="00074AA6"/>
    <w:rsid w:val="00091F56"/>
    <w:rsid w:val="000C2650"/>
    <w:rsid w:val="000E278D"/>
    <w:rsid w:val="001260FD"/>
    <w:rsid w:val="00143C3F"/>
    <w:rsid w:val="00165DFF"/>
    <w:rsid w:val="00173B23"/>
    <w:rsid w:val="00185714"/>
    <w:rsid w:val="00195B56"/>
    <w:rsid w:val="00231FBB"/>
    <w:rsid w:val="002F30FE"/>
    <w:rsid w:val="00307DEC"/>
    <w:rsid w:val="00384E1C"/>
    <w:rsid w:val="003A159C"/>
    <w:rsid w:val="003A3355"/>
    <w:rsid w:val="003A5BF6"/>
    <w:rsid w:val="003C1A80"/>
    <w:rsid w:val="003F7EB3"/>
    <w:rsid w:val="00402D06"/>
    <w:rsid w:val="004045D8"/>
    <w:rsid w:val="004315F3"/>
    <w:rsid w:val="004437ED"/>
    <w:rsid w:val="00457920"/>
    <w:rsid w:val="00461B90"/>
    <w:rsid w:val="004909E4"/>
    <w:rsid w:val="00492DF3"/>
    <w:rsid w:val="004A5E42"/>
    <w:rsid w:val="004B3D4E"/>
    <w:rsid w:val="004E40DC"/>
    <w:rsid w:val="005164AB"/>
    <w:rsid w:val="00524AEE"/>
    <w:rsid w:val="00525FB5"/>
    <w:rsid w:val="00536617"/>
    <w:rsid w:val="00536A35"/>
    <w:rsid w:val="00544D8C"/>
    <w:rsid w:val="00583C6B"/>
    <w:rsid w:val="0058727A"/>
    <w:rsid w:val="005A2328"/>
    <w:rsid w:val="006007A9"/>
    <w:rsid w:val="00602FE7"/>
    <w:rsid w:val="00603CD6"/>
    <w:rsid w:val="00635EB7"/>
    <w:rsid w:val="00637EEB"/>
    <w:rsid w:val="00680A75"/>
    <w:rsid w:val="00687867"/>
    <w:rsid w:val="006969FD"/>
    <w:rsid w:val="00730182"/>
    <w:rsid w:val="0075195C"/>
    <w:rsid w:val="0076653E"/>
    <w:rsid w:val="007C5744"/>
    <w:rsid w:val="007D1A27"/>
    <w:rsid w:val="007D3C7B"/>
    <w:rsid w:val="007F7D90"/>
    <w:rsid w:val="008009F0"/>
    <w:rsid w:val="00802366"/>
    <w:rsid w:val="008104D7"/>
    <w:rsid w:val="00814DE6"/>
    <w:rsid w:val="00815AF9"/>
    <w:rsid w:val="00847800"/>
    <w:rsid w:val="00860011"/>
    <w:rsid w:val="00877360"/>
    <w:rsid w:val="00881C01"/>
    <w:rsid w:val="0089116A"/>
    <w:rsid w:val="008B7F67"/>
    <w:rsid w:val="008C1052"/>
    <w:rsid w:val="008D263F"/>
    <w:rsid w:val="008D4F38"/>
    <w:rsid w:val="008E3FB0"/>
    <w:rsid w:val="008E5E23"/>
    <w:rsid w:val="00912F8E"/>
    <w:rsid w:val="0092587E"/>
    <w:rsid w:val="00955EC3"/>
    <w:rsid w:val="00956EA8"/>
    <w:rsid w:val="00970F2A"/>
    <w:rsid w:val="009728F5"/>
    <w:rsid w:val="009B4942"/>
    <w:rsid w:val="009B561D"/>
    <w:rsid w:val="009D0BF9"/>
    <w:rsid w:val="00A050FB"/>
    <w:rsid w:val="00A10BDE"/>
    <w:rsid w:val="00A217C2"/>
    <w:rsid w:val="00A27D14"/>
    <w:rsid w:val="00A663A6"/>
    <w:rsid w:val="00A81113"/>
    <w:rsid w:val="00A94610"/>
    <w:rsid w:val="00AB62A5"/>
    <w:rsid w:val="00AB65C7"/>
    <w:rsid w:val="00AC00B2"/>
    <w:rsid w:val="00AC2DF9"/>
    <w:rsid w:val="00AD746B"/>
    <w:rsid w:val="00AF4906"/>
    <w:rsid w:val="00B04C37"/>
    <w:rsid w:val="00B44609"/>
    <w:rsid w:val="00B7599B"/>
    <w:rsid w:val="00B819A9"/>
    <w:rsid w:val="00BB186D"/>
    <w:rsid w:val="00BC6B20"/>
    <w:rsid w:val="00BD680D"/>
    <w:rsid w:val="00C130D1"/>
    <w:rsid w:val="00C670A6"/>
    <w:rsid w:val="00C70B9F"/>
    <w:rsid w:val="00C722CF"/>
    <w:rsid w:val="00C80F6E"/>
    <w:rsid w:val="00C8269B"/>
    <w:rsid w:val="00CA06C4"/>
    <w:rsid w:val="00CA6FF5"/>
    <w:rsid w:val="00CC7988"/>
    <w:rsid w:val="00CD0FE5"/>
    <w:rsid w:val="00CF0B85"/>
    <w:rsid w:val="00CF4D63"/>
    <w:rsid w:val="00CF6447"/>
    <w:rsid w:val="00D1333E"/>
    <w:rsid w:val="00D17FBE"/>
    <w:rsid w:val="00D24C2C"/>
    <w:rsid w:val="00D42FE0"/>
    <w:rsid w:val="00D44B91"/>
    <w:rsid w:val="00D474F5"/>
    <w:rsid w:val="00D9551A"/>
    <w:rsid w:val="00DC331D"/>
    <w:rsid w:val="00DF146A"/>
    <w:rsid w:val="00DF66B8"/>
    <w:rsid w:val="00DF6B68"/>
    <w:rsid w:val="00E027CA"/>
    <w:rsid w:val="00EC7239"/>
    <w:rsid w:val="00ED42D9"/>
    <w:rsid w:val="00F04A2E"/>
    <w:rsid w:val="00F1762F"/>
    <w:rsid w:val="00F24E32"/>
    <w:rsid w:val="00F50236"/>
    <w:rsid w:val="00F670E5"/>
    <w:rsid w:val="00F74EC5"/>
    <w:rsid w:val="00FA091E"/>
    <w:rsid w:val="00FB45CD"/>
    <w:rsid w:val="00FD32DF"/>
    <w:rsid w:val="00FD704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BC2B-440C-49D2-A226-E47187CB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F9"/>
    <w:rPr>
      <w:sz w:val="24"/>
      <w:lang w:val="uk-UA" w:eastAsia="ru-RU"/>
    </w:rPr>
  </w:style>
  <w:style w:type="paragraph" w:styleId="3">
    <w:name w:val="heading 3"/>
    <w:basedOn w:val="a"/>
    <w:qFormat/>
    <w:rsid w:val="00A663A6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rsid w:val="009D0BF9"/>
    <w:pPr>
      <w:jc w:val="both"/>
    </w:pPr>
    <w:rPr>
      <w:sz w:val="28"/>
    </w:rPr>
  </w:style>
  <w:style w:type="paragraph" w:styleId="2">
    <w:name w:val="Body Text Indent 2"/>
    <w:basedOn w:val="a"/>
    <w:rsid w:val="009D0BF9"/>
    <w:pPr>
      <w:spacing w:after="120" w:line="480" w:lineRule="auto"/>
      <w:ind w:left="283"/>
    </w:pPr>
  </w:style>
  <w:style w:type="paragraph" w:styleId="a6">
    <w:name w:val="Title"/>
    <w:basedOn w:val="a"/>
    <w:qFormat/>
    <w:rsid w:val="009D0BF9"/>
    <w:pPr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D0BF9"/>
    <w:pPr>
      <w:spacing w:after="120"/>
      <w:ind w:left="283"/>
    </w:pPr>
  </w:style>
  <w:style w:type="paragraph" w:customStyle="1" w:styleId="a8">
    <w:name w:val="Стиль Знак Знак"/>
    <w:basedOn w:val="a"/>
    <w:rsid w:val="009D0BF9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2"/>
    <w:rsid w:val="008E3F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 Знак Знак Знак Знак Знак Знак Знак Знак Знак"/>
    <w:basedOn w:val="a"/>
    <w:link w:val="a0"/>
    <w:rsid w:val="007D1A27"/>
    <w:rPr>
      <w:rFonts w:ascii="Verdana" w:hAnsi="Verdana" w:cs="Verdana"/>
      <w:sz w:val="20"/>
      <w:lang w:val="en-US" w:eastAsia="en-US"/>
    </w:rPr>
  </w:style>
  <w:style w:type="paragraph" w:customStyle="1" w:styleId="aa">
    <w:name w:val=" Знак Знак Знак Знак Знак Знак Знак Знак Знак Знак Знак Знак"/>
    <w:basedOn w:val="a"/>
    <w:rsid w:val="00AD746B"/>
    <w:rPr>
      <w:rFonts w:ascii="Verdana" w:hAnsi="Verdana" w:cs="Verdana"/>
      <w:sz w:val="20"/>
      <w:lang w:val="en-US" w:eastAsia="en-US"/>
    </w:rPr>
  </w:style>
  <w:style w:type="paragraph" w:customStyle="1" w:styleId="ab">
    <w:name w:val=" Знак"/>
    <w:basedOn w:val="a"/>
    <w:rsid w:val="00A663A6"/>
    <w:rPr>
      <w:rFonts w:ascii="Verdana" w:hAnsi="Verdana" w:cs="Verdana"/>
      <w:sz w:val="20"/>
      <w:lang w:val="en-US" w:eastAsia="en-US"/>
    </w:rPr>
  </w:style>
  <w:style w:type="paragraph" w:styleId="ac">
    <w:name w:val="Balloon Text"/>
    <w:basedOn w:val="a"/>
    <w:semiHidden/>
    <w:rsid w:val="00A663A6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ED42D9"/>
  </w:style>
  <w:style w:type="character" w:styleId="ad">
    <w:name w:val="Hyperlink"/>
    <w:rsid w:val="00A10BDE"/>
    <w:rPr>
      <w:color w:val="0000FF"/>
      <w:u w:val="single"/>
    </w:rPr>
  </w:style>
  <w:style w:type="paragraph" w:styleId="ae">
    <w:name w:val="header"/>
    <w:basedOn w:val="a"/>
    <w:rsid w:val="00680A75"/>
    <w:pPr>
      <w:tabs>
        <w:tab w:val="center" w:pos="4819"/>
        <w:tab w:val="right" w:pos="9639"/>
      </w:tabs>
    </w:pPr>
  </w:style>
  <w:style w:type="character" w:styleId="af">
    <w:name w:val="page number"/>
    <w:basedOn w:val="a0"/>
    <w:rsid w:val="00680A75"/>
  </w:style>
  <w:style w:type="character" w:customStyle="1" w:styleId="a5">
    <w:name w:val="Основной текст Знак"/>
    <w:link w:val="a4"/>
    <w:rsid w:val="00CA6FF5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SSMSC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shapoval</dc:creator>
  <cp:keywords/>
  <dc:description/>
  <cp:lastModifiedBy>Руслан Кисляк</cp:lastModifiedBy>
  <cp:revision>2</cp:revision>
  <cp:lastPrinted>2019-02-19T08:55:00Z</cp:lastPrinted>
  <dcterms:created xsi:type="dcterms:W3CDTF">2019-03-14T11:10:00Z</dcterms:created>
  <dcterms:modified xsi:type="dcterms:W3CDTF">2019-03-14T11:10:00Z</dcterms:modified>
</cp:coreProperties>
</file>