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FB" w:rsidRPr="008A476B" w:rsidRDefault="00E56BFB" w:rsidP="00E56BF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A476B">
        <w:rPr>
          <w:b/>
          <w:sz w:val="28"/>
          <w:szCs w:val="28"/>
          <w:lang w:val="uk-UA"/>
        </w:rPr>
        <w:t xml:space="preserve">Аналіз впливу регуляторного акта </w:t>
      </w:r>
    </w:p>
    <w:p w:rsidR="00E56BFB" w:rsidRPr="008A476B" w:rsidRDefault="00E56BFB" w:rsidP="00E56BFB">
      <w:pPr>
        <w:jc w:val="center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 w:eastAsia="uk-UA"/>
        </w:rPr>
        <w:t>до проекту рішення НКЦПФР «</w:t>
      </w:r>
      <w:r w:rsidR="000B48F7" w:rsidRPr="002F73F5">
        <w:rPr>
          <w:sz w:val="28"/>
          <w:szCs w:val="28"/>
          <w:lang w:val="uk-UA"/>
        </w:rPr>
        <w:t>Про затвердження Змін</w:t>
      </w:r>
      <w:r w:rsidR="000B48F7" w:rsidRPr="002F73F5">
        <w:rPr>
          <w:sz w:val="28"/>
          <w:szCs w:val="28"/>
          <w:lang w:val="uk-UA" w:eastAsia="uk-UA"/>
        </w:rPr>
        <w:t xml:space="preserve"> до </w:t>
      </w:r>
      <w:r w:rsidR="000B48F7" w:rsidRPr="002F73F5">
        <w:rPr>
          <w:color w:val="000000"/>
          <w:sz w:val="28"/>
          <w:szCs w:val="28"/>
          <w:lang w:val="uk-UA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8A476B">
        <w:rPr>
          <w:sz w:val="28"/>
          <w:szCs w:val="28"/>
          <w:lang w:val="uk-UA"/>
        </w:rPr>
        <w:t>»</w:t>
      </w:r>
    </w:p>
    <w:p w:rsidR="00E56BFB" w:rsidRPr="008A476B" w:rsidRDefault="00E56BFB" w:rsidP="00E56BFB">
      <w:pPr>
        <w:jc w:val="center"/>
        <w:rPr>
          <w:b/>
          <w:sz w:val="28"/>
          <w:szCs w:val="28"/>
          <w:lang w:val="uk-UA"/>
        </w:rPr>
      </w:pPr>
    </w:p>
    <w:p w:rsidR="00E56BF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І. Визначення проблеми</w:t>
      </w:r>
    </w:p>
    <w:p w:rsidR="0044320D" w:rsidRPr="00215691" w:rsidRDefault="0044320D" w:rsidP="00E56BFB">
      <w:pPr>
        <w:ind w:firstLine="720"/>
        <w:jc w:val="center"/>
        <w:rPr>
          <w:sz w:val="16"/>
          <w:szCs w:val="16"/>
          <w:lang w:val="uk-UA"/>
        </w:rPr>
      </w:pPr>
    </w:p>
    <w:p w:rsidR="0044320D" w:rsidRDefault="00CD6234" w:rsidP="00CD623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D6234">
        <w:rPr>
          <w:sz w:val="28"/>
          <w:szCs w:val="28"/>
          <w:lang w:val="uk-UA"/>
        </w:rPr>
        <w:t xml:space="preserve">15.05.2018 </w:t>
      </w:r>
      <w:r>
        <w:rPr>
          <w:sz w:val="28"/>
          <w:szCs w:val="28"/>
          <w:lang w:val="uk-UA"/>
        </w:rPr>
        <w:t>року</w:t>
      </w:r>
      <w:r w:rsidR="0044320D" w:rsidRPr="00CD6234">
        <w:rPr>
          <w:sz w:val="28"/>
          <w:szCs w:val="28"/>
          <w:lang w:val="uk-UA"/>
        </w:rPr>
        <w:t xml:space="preserve"> Верховною Радою України було прийнято Закон України «</w:t>
      </w:r>
      <w:r w:rsidRPr="00CD6234">
        <w:rPr>
          <w:sz w:val="28"/>
          <w:szCs w:val="28"/>
          <w:lang w:val="uk-UA" w:eastAsia="uk-UA"/>
        </w:rPr>
        <w:t>Про внесення змін до деяких законів України щодо сприяння залученню іноземних інвестицій</w:t>
      </w:r>
      <w:r>
        <w:rPr>
          <w:sz w:val="28"/>
          <w:szCs w:val="28"/>
          <w:lang w:val="uk-UA"/>
        </w:rPr>
        <w:t xml:space="preserve">» за № 2418 </w:t>
      </w:r>
      <w:r w:rsidR="004B47C1" w:rsidRPr="00CD6234">
        <w:rPr>
          <w:sz w:val="28"/>
          <w:szCs w:val="28"/>
          <w:lang w:val="uk-UA"/>
        </w:rPr>
        <w:t>-</w:t>
      </w:r>
      <w:r w:rsidR="004B47C1" w:rsidRPr="00CD6234">
        <w:rPr>
          <w:sz w:val="28"/>
          <w:szCs w:val="28"/>
        </w:rPr>
        <w:t>VIII</w:t>
      </w:r>
      <w:r w:rsidR="004B47C1" w:rsidRPr="00CD6234">
        <w:rPr>
          <w:sz w:val="28"/>
          <w:szCs w:val="28"/>
          <w:lang w:val="uk-UA"/>
        </w:rPr>
        <w:t xml:space="preserve"> </w:t>
      </w:r>
      <w:r w:rsidR="0044320D" w:rsidRPr="00CD6234">
        <w:rPr>
          <w:sz w:val="28"/>
          <w:szCs w:val="28"/>
          <w:lang w:val="uk-UA"/>
        </w:rPr>
        <w:t>(далі – Закон).</w:t>
      </w:r>
    </w:p>
    <w:p w:rsidR="00C17F6E" w:rsidRDefault="00C17F6E" w:rsidP="00BE24C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</w:t>
      </w:r>
      <w:r w:rsidRPr="00C17F6E">
        <w:rPr>
          <w:sz w:val="28"/>
          <w:szCs w:val="28"/>
          <w:lang w:val="uk-UA"/>
        </w:rPr>
        <w:t xml:space="preserve"> розроблено з метою сприяння залученню іноземних інвестицій через спрощення процедури іноземного інвестування в Україні, забезпечення захисту іноземних інвестицій внаслідок запровадження правильного правового режиму обліку права власності на цінні папери клієнтів глобальних зберігачів або інших фінансових посередників.</w:t>
      </w:r>
    </w:p>
    <w:p w:rsidR="00BE20DC" w:rsidRDefault="00CD6234" w:rsidP="00CD6234">
      <w:pPr>
        <w:shd w:val="clear" w:color="auto" w:fill="FFFFFF"/>
        <w:ind w:firstLine="720"/>
        <w:jc w:val="both"/>
        <w:rPr>
          <w:rStyle w:val="rvts0"/>
          <w:lang w:val="uk-UA"/>
        </w:rPr>
      </w:pPr>
      <w:r>
        <w:rPr>
          <w:sz w:val="28"/>
          <w:szCs w:val="28"/>
          <w:lang w:val="uk-UA"/>
        </w:rPr>
        <w:t xml:space="preserve">Законом, зокрема, </w:t>
      </w:r>
      <w:r w:rsidR="00813E9E">
        <w:rPr>
          <w:sz w:val="28"/>
          <w:szCs w:val="28"/>
          <w:lang w:val="uk-UA"/>
        </w:rPr>
        <w:t xml:space="preserve">був введений новий термін «номінальний утримувач» </w:t>
      </w:r>
      <w:r w:rsidR="00BE20DC">
        <w:rPr>
          <w:sz w:val="28"/>
          <w:szCs w:val="28"/>
          <w:lang w:val="uk-UA"/>
        </w:rPr>
        <w:t>-</w:t>
      </w:r>
      <w:r w:rsidR="00BE20DC" w:rsidRPr="00BE20DC">
        <w:rPr>
          <w:rStyle w:val="rvts0"/>
          <w:sz w:val="28"/>
          <w:szCs w:val="28"/>
          <w:lang w:val="uk-UA"/>
        </w:rPr>
        <w:t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</w:t>
      </w:r>
      <w:r w:rsidR="00BE20DC" w:rsidRPr="00BE20DC">
        <w:rPr>
          <w:rStyle w:val="rvts0"/>
          <w:sz w:val="28"/>
          <w:szCs w:val="28"/>
        </w:rPr>
        <w:t>FATF</w:t>
      </w:r>
      <w:r w:rsidR="00BE20DC" w:rsidRPr="00BE20DC">
        <w:rPr>
          <w:rStyle w:val="rvts0"/>
          <w:sz w:val="28"/>
          <w:szCs w:val="28"/>
          <w:lang w:val="uk-UA"/>
        </w:rPr>
        <w:t>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установами.</w:t>
      </w:r>
    </w:p>
    <w:p w:rsidR="00CD6234" w:rsidRPr="00222AFB" w:rsidRDefault="00222AFB" w:rsidP="00CD6234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Зокрема, в</w:t>
      </w:r>
      <w:r w:rsidR="00813E9E">
        <w:rPr>
          <w:sz w:val="28"/>
          <w:szCs w:val="28"/>
          <w:lang w:val="uk-UA"/>
        </w:rPr>
        <w:t>провадженні механізми</w:t>
      </w:r>
      <w:r w:rsidR="00CD6234">
        <w:rPr>
          <w:sz w:val="28"/>
          <w:szCs w:val="28"/>
          <w:lang w:val="uk-UA"/>
        </w:rPr>
        <w:t xml:space="preserve"> </w:t>
      </w:r>
      <w:r w:rsidR="00C17F6E">
        <w:rPr>
          <w:sz w:val="28"/>
          <w:szCs w:val="28"/>
          <w:lang w:val="uk-UA"/>
        </w:rPr>
        <w:t xml:space="preserve">взаємодії </w:t>
      </w:r>
      <w:r w:rsidR="00BE20DC">
        <w:rPr>
          <w:sz w:val="28"/>
          <w:szCs w:val="28"/>
          <w:lang w:val="uk-UA"/>
        </w:rPr>
        <w:t>депозитарних установ</w:t>
      </w:r>
      <w:r>
        <w:rPr>
          <w:sz w:val="28"/>
          <w:szCs w:val="28"/>
          <w:lang w:val="uk-UA"/>
        </w:rPr>
        <w:t xml:space="preserve"> та Центрального депозитарію</w:t>
      </w:r>
      <w:r w:rsidR="00BE20DC">
        <w:rPr>
          <w:sz w:val="28"/>
          <w:szCs w:val="28"/>
          <w:lang w:val="uk-UA"/>
        </w:rPr>
        <w:t xml:space="preserve"> з номінальними утримувачами</w:t>
      </w:r>
      <w:r w:rsidR="001D4BA8">
        <w:rPr>
          <w:sz w:val="28"/>
          <w:szCs w:val="28"/>
          <w:lang w:val="uk-UA"/>
        </w:rPr>
        <w:t xml:space="preserve"> в депозитарній </w:t>
      </w:r>
      <w:r>
        <w:rPr>
          <w:sz w:val="28"/>
          <w:szCs w:val="28"/>
          <w:lang w:val="uk-UA"/>
        </w:rPr>
        <w:t xml:space="preserve">системі України та за її межами, </w:t>
      </w:r>
      <w:r w:rsidRPr="00222AFB">
        <w:rPr>
          <w:rStyle w:val="rvts0"/>
          <w:sz w:val="28"/>
          <w:szCs w:val="28"/>
          <w:lang w:val="uk-UA"/>
        </w:rPr>
        <w:t>о</w:t>
      </w:r>
      <w:r w:rsidRPr="00222AFB">
        <w:rPr>
          <w:rStyle w:val="rvts0"/>
          <w:sz w:val="28"/>
          <w:szCs w:val="28"/>
        </w:rPr>
        <w:t>собливості проведення депозитарних операцій</w:t>
      </w:r>
      <w:r>
        <w:rPr>
          <w:rStyle w:val="rvts0"/>
          <w:sz w:val="28"/>
          <w:szCs w:val="28"/>
          <w:lang w:val="uk-UA"/>
        </w:rPr>
        <w:t xml:space="preserve"> тощо.</w:t>
      </w:r>
    </w:p>
    <w:p w:rsidR="00413DAD" w:rsidRDefault="0044320D" w:rsidP="00CD6234">
      <w:pPr>
        <w:pStyle w:val="a4"/>
        <w:ind w:firstLine="720"/>
        <w:rPr>
          <w:rStyle w:val="rvts9"/>
          <w:b w:val="0"/>
          <w:szCs w:val="28"/>
        </w:rPr>
      </w:pPr>
      <w:r w:rsidRPr="008170B4">
        <w:rPr>
          <w:b w:val="0"/>
          <w:szCs w:val="28"/>
        </w:rPr>
        <w:t>У зв’язку з цим</w:t>
      </w:r>
      <w:r w:rsidR="00120380">
        <w:rPr>
          <w:b w:val="0"/>
          <w:szCs w:val="28"/>
        </w:rPr>
        <w:t>,</w:t>
      </w:r>
      <w:r w:rsidR="00413DAD">
        <w:rPr>
          <w:b w:val="0"/>
          <w:szCs w:val="28"/>
        </w:rPr>
        <w:t xml:space="preserve"> </w:t>
      </w:r>
      <w:r w:rsidRPr="008170B4">
        <w:rPr>
          <w:b w:val="0"/>
          <w:szCs w:val="28"/>
        </w:rPr>
        <w:t xml:space="preserve">виникла необхідність внесення змін до ряду діючих нормативно-правових актів </w:t>
      </w:r>
      <w:r w:rsidR="00413DAD" w:rsidRPr="008170B4">
        <w:rPr>
          <w:b w:val="0"/>
          <w:szCs w:val="28"/>
        </w:rPr>
        <w:t>НКЦПФР</w:t>
      </w:r>
      <w:r>
        <w:rPr>
          <w:b w:val="0"/>
          <w:szCs w:val="28"/>
        </w:rPr>
        <w:t xml:space="preserve">. В тому числі, зокрема, до </w:t>
      </w:r>
      <w:r w:rsidRPr="0044320D">
        <w:rPr>
          <w:b w:val="0"/>
          <w:color w:val="000000"/>
          <w:szCs w:val="28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>
        <w:rPr>
          <w:b w:val="0"/>
          <w:color w:val="000000"/>
          <w:szCs w:val="28"/>
        </w:rPr>
        <w:t xml:space="preserve">, </w:t>
      </w:r>
      <w:r w:rsidR="00413DAD">
        <w:rPr>
          <w:b w:val="0"/>
          <w:color w:val="000000"/>
          <w:szCs w:val="28"/>
        </w:rPr>
        <w:t xml:space="preserve">затвердженого рішенням Комісії </w:t>
      </w:r>
      <w:r w:rsidR="00413DAD" w:rsidRPr="00413DAD">
        <w:rPr>
          <w:b w:val="0"/>
          <w:szCs w:val="28"/>
        </w:rPr>
        <w:t xml:space="preserve">від </w:t>
      </w:r>
      <w:r w:rsidR="00413DAD" w:rsidRPr="00413DAD">
        <w:rPr>
          <w:rStyle w:val="rvts9"/>
          <w:b w:val="0"/>
          <w:szCs w:val="28"/>
        </w:rPr>
        <w:t>12 грудня 2006 року № 1449</w:t>
      </w:r>
      <w:r w:rsidR="00413DAD" w:rsidRPr="00413DAD">
        <w:rPr>
          <w:b w:val="0"/>
          <w:szCs w:val="28"/>
        </w:rPr>
        <w:t>, зареєстрованого в Міністерстві юстиції України 23 січня 2007 року за №</w:t>
      </w:r>
      <w:r w:rsidR="00413DAD" w:rsidRPr="00413DAD">
        <w:rPr>
          <w:rStyle w:val="rvts9"/>
          <w:b w:val="0"/>
          <w:szCs w:val="28"/>
        </w:rPr>
        <w:t>52/13319</w:t>
      </w:r>
      <w:r w:rsidR="00120380">
        <w:rPr>
          <w:rStyle w:val="rvts9"/>
          <w:b w:val="0"/>
          <w:szCs w:val="28"/>
        </w:rPr>
        <w:t xml:space="preserve"> (далі – Правила)</w:t>
      </w:r>
      <w:r w:rsidR="00413DAD">
        <w:rPr>
          <w:rStyle w:val="rvts9"/>
          <w:b w:val="0"/>
          <w:szCs w:val="28"/>
        </w:rPr>
        <w:t>.</w:t>
      </w:r>
    </w:p>
    <w:p w:rsidR="00C65406" w:rsidRPr="00C65406" w:rsidRDefault="00C65406" w:rsidP="00C654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65406">
        <w:rPr>
          <w:sz w:val="28"/>
          <w:szCs w:val="28"/>
          <w:lang w:val="uk-UA"/>
        </w:rPr>
        <w:t xml:space="preserve">Крім того, до Комісії звернулись Міністерство фінансів України та державні банки з пропозицією внесення змін до ряду нормативно – правових актів Комісії, в тому числі до Правил (умов) здійснення діяльності з торгівлі цінними паперами, з метою популяризації серед населення облігацій внутрішньої державної позики, а також спрощення процедури їх розміщення шляхом проведення аукціонного продажу </w:t>
      </w:r>
      <w:r w:rsidR="003E1022">
        <w:rPr>
          <w:sz w:val="28"/>
          <w:szCs w:val="28"/>
          <w:lang w:val="uk-UA"/>
        </w:rPr>
        <w:t>із залученням первинних дилерів із застосуванням нового програмного продукту.</w:t>
      </w:r>
      <w:r w:rsidRPr="00C65406">
        <w:rPr>
          <w:sz w:val="28"/>
          <w:szCs w:val="28"/>
          <w:lang w:val="uk-UA"/>
        </w:rPr>
        <w:t xml:space="preserve"> </w:t>
      </w:r>
    </w:p>
    <w:p w:rsidR="007B27FF" w:rsidRPr="006976B0" w:rsidRDefault="00BE20DC" w:rsidP="006976B0">
      <w:pPr>
        <w:shd w:val="clear" w:color="auto" w:fill="FFFFFF"/>
        <w:ind w:firstLine="720"/>
        <w:jc w:val="both"/>
        <w:rPr>
          <w:rStyle w:val="rvts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надійшли</w:t>
      </w:r>
      <w:r w:rsidR="00C65406" w:rsidRPr="006976B0">
        <w:rPr>
          <w:sz w:val="28"/>
          <w:szCs w:val="28"/>
          <w:lang w:val="uk-UA"/>
        </w:rPr>
        <w:t xml:space="preserve"> пропозиції від Націон</w:t>
      </w:r>
      <w:r>
        <w:rPr>
          <w:sz w:val="28"/>
          <w:szCs w:val="28"/>
          <w:lang w:val="uk-UA"/>
        </w:rPr>
        <w:t>альної асоціації банків України</w:t>
      </w:r>
      <w:r w:rsidR="00C65406" w:rsidRPr="006976B0">
        <w:rPr>
          <w:sz w:val="28"/>
          <w:szCs w:val="28"/>
          <w:lang w:val="uk-UA"/>
        </w:rPr>
        <w:t xml:space="preserve"> </w:t>
      </w:r>
      <w:r w:rsidR="002E7303">
        <w:rPr>
          <w:rStyle w:val="rvts9"/>
          <w:sz w:val="28"/>
          <w:szCs w:val="28"/>
          <w:lang w:val="uk-UA"/>
        </w:rPr>
        <w:t>про</w:t>
      </w:r>
      <w:r w:rsidR="007B27FF" w:rsidRPr="006976B0">
        <w:rPr>
          <w:rStyle w:val="rvts9"/>
          <w:sz w:val="28"/>
          <w:szCs w:val="28"/>
          <w:lang w:val="uk-UA"/>
        </w:rPr>
        <w:t xml:space="preserve"> врегулювання питання щодо надання можливості </w:t>
      </w:r>
      <w:r w:rsidR="002E7303">
        <w:rPr>
          <w:rStyle w:val="rvts9"/>
          <w:sz w:val="28"/>
          <w:szCs w:val="28"/>
          <w:lang w:val="uk-UA"/>
        </w:rPr>
        <w:t xml:space="preserve">торговцям цінними паперами </w:t>
      </w:r>
      <w:r w:rsidR="003E1022">
        <w:rPr>
          <w:rStyle w:val="rvts9"/>
          <w:sz w:val="28"/>
          <w:szCs w:val="28"/>
          <w:lang w:val="uk-UA"/>
        </w:rPr>
        <w:t>укладати договори купівлі – продажу</w:t>
      </w:r>
      <w:r w:rsidR="003A5A20">
        <w:rPr>
          <w:rStyle w:val="rvts9"/>
          <w:sz w:val="28"/>
          <w:szCs w:val="28"/>
          <w:lang w:val="uk-UA"/>
        </w:rPr>
        <w:t xml:space="preserve"> цінних паперів</w:t>
      </w:r>
      <w:r w:rsidR="003E1022">
        <w:rPr>
          <w:rStyle w:val="rvts9"/>
          <w:sz w:val="28"/>
          <w:szCs w:val="28"/>
          <w:lang w:val="uk-UA"/>
        </w:rPr>
        <w:t>, договори РЕПО</w:t>
      </w:r>
      <w:r w:rsidR="003A5A20">
        <w:rPr>
          <w:rStyle w:val="rvts9"/>
          <w:sz w:val="28"/>
          <w:szCs w:val="28"/>
          <w:lang w:val="uk-UA"/>
        </w:rPr>
        <w:t>,</w:t>
      </w:r>
      <w:r w:rsidR="003E1022">
        <w:rPr>
          <w:rStyle w:val="rvts9"/>
          <w:sz w:val="28"/>
          <w:szCs w:val="28"/>
          <w:lang w:val="uk-UA"/>
        </w:rPr>
        <w:t xml:space="preserve"> на неорганізованому ринку</w:t>
      </w:r>
      <w:r w:rsidR="003A5A20">
        <w:rPr>
          <w:rStyle w:val="rvts9"/>
          <w:sz w:val="28"/>
          <w:szCs w:val="28"/>
          <w:lang w:val="uk-UA"/>
        </w:rPr>
        <w:t>,</w:t>
      </w:r>
      <w:r w:rsidR="003E1022">
        <w:rPr>
          <w:rStyle w:val="rvts9"/>
          <w:sz w:val="28"/>
          <w:szCs w:val="28"/>
          <w:lang w:val="uk-UA"/>
        </w:rPr>
        <w:t xml:space="preserve"> </w:t>
      </w:r>
      <w:r w:rsidR="003A5A20" w:rsidRPr="003A5A20">
        <w:rPr>
          <w:sz w:val="28"/>
          <w:szCs w:val="28"/>
          <w:lang w:val="uk-UA"/>
        </w:rPr>
        <w:t xml:space="preserve">шляхом обміну </w:t>
      </w:r>
      <w:r w:rsidR="003A5A20" w:rsidRPr="003A5A20">
        <w:rPr>
          <w:sz w:val="28"/>
          <w:szCs w:val="28"/>
          <w:lang w:val="en-US"/>
        </w:rPr>
        <w:t>SWIFT</w:t>
      </w:r>
      <w:r w:rsidR="003A5A20" w:rsidRPr="003A5A20">
        <w:rPr>
          <w:sz w:val="28"/>
          <w:szCs w:val="28"/>
          <w:lang w:val="uk-UA"/>
        </w:rPr>
        <w:t xml:space="preserve"> – повідомленнями на підставі попередніх домовленостей, оформлених відповідним договором</w:t>
      </w:r>
      <w:r w:rsidR="003A5A20">
        <w:rPr>
          <w:sz w:val="28"/>
          <w:szCs w:val="28"/>
          <w:lang w:val="uk-UA"/>
        </w:rPr>
        <w:t>, з метою спрощення процедури укладання таких правочинів.</w:t>
      </w:r>
    </w:p>
    <w:p w:rsidR="0044320D" w:rsidRPr="002172B2" w:rsidRDefault="0044320D" w:rsidP="000F7C79">
      <w:pPr>
        <w:pStyle w:val="a4"/>
        <w:ind w:firstLine="720"/>
        <w:rPr>
          <w:b w:val="0"/>
          <w:sz w:val="16"/>
          <w:szCs w:val="16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E56BFB" w:rsidRPr="008A476B" w:rsidRDefault="00E56BFB" w:rsidP="00E56BF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270"/>
        <w:gridCol w:w="3263"/>
      </w:tblGrid>
      <w:tr w:rsidR="00E56BFB" w:rsidRPr="008E0398" w:rsidTr="008E0398"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E56BFB" w:rsidRPr="008E0398" w:rsidTr="008E0398"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Громадяни 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6BFB" w:rsidRPr="008E0398" w:rsidTr="008E0398"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6BFB" w:rsidRPr="008E0398" w:rsidTr="008E0398">
        <w:tc>
          <w:tcPr>
            <w:tcW w:w="3379" w:type="dxa"/>
            <w:shd w:val="clear" w:color="auto" w:fill="auto"/>
          </w:tcPr>
          <w:p w:rsidR="00E56BFB" w:rsidRPr="008E0398" w:rsidRDefault="0015196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96C" w:rsidRPr="008E0398" w:rsidTr="008E0398">
        <w:tc>
          <w:tcPr>
            <w:tcW w:w="3379" w:type="dxa"/>
            <w:shd w:val="clear" w:color="auto" w:fill="auto"/>
          </w:tcPr>
          <w:p w:rsidR="0015196C" w:rsidRPr="008E0398" w:rsidRDefault="0015196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379" w:type="dxa"/>
            <w:shd w:val="clear" w:color="auto" w:fill="auto"/>
          </w:tcPr>
          <w:p w:rsidR="0015196C" w:rsidRPr="008E0398" w:rsidRDefault="0015196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15196C" w:rsidRPr="008E0398" w:rsidRDefault="0015196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56BFB" w:rsidRPr="002172B2" w:rsidRDefault="00E56BFB" w:rsidP="00E56BFB">
      <w:pPr>
        <w:ind w:firstLine="720"/>
        <w:jc w:val="center"/>
        <w:rPr>
          <w:sz w:val="16"/>
          <w:szCs w:val="16"/>
          <w:lang w:val="uk-UA"/>
        </w:rPr>
      </w:pPr>
    </w:p>
    <w:p w:rsidR="00E56BFB" w:rsidRPr="008A476B" w:rsidRDefault="00E56BFB" w:rsidP="00E56BFB">
      <w:pPr>
        <w:pStyle w:val="3"/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ІІ. Цілі державного регулювання</w:t>
      </w:r>
    </w:p>
    <w:p w:rsidR="00E56BFB" w:rsidRPr="008A476B" w:rsidRDefault="00E56BFB" w:rsidP="00DD0F2C">
      <w:pPr>
        <w:ind w:firstLine="708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Проект даного регуляторного акта спрямований на вирішення проблем, визначених в попередньому розділі. Основними цілями прийняття проекту регуляторного акта є:</w:t>
      </w:r>
    </w:p>
    <w:p w:rsidR="00E56BFB" w:rsidRDefault="00D647F6" w:rsidP="00940D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приведення </w:t>
      </w:r>
      <w:r w:rsidRPr="008A476B">
        <w:rPr>
          <w:sz w:val="28"/>
          <w:szCs w:val="28"/>
          <w:lang w:val="uk-UA"/>
        </w:rPr>
        <w:t>регуляторного акта</w:t>
      </w:r>
      <w:r>
        <w:rPr>
          <w:sz w:val="28"/>
          <w:szCs w:val="28"/>
          <w:lang w:val="uk-UA"/>
        </w:rPr>
        <w:t xml:space="preserve"> у відповідність до вимог </w:t>
      </w:r>
      <w:r w:rsidR="00940DBD">
        <w:rPr>
          <w:sz w:val="28"/>
          <w:szCs w:val="28"/>
          <w:lang w:val="uk-UA"/>
        </w:rPr>
        <w:t>Закону;</w:t>
      </w:r>
    </w:p>
    <w:p w:rsidR="00940DBD" w:rsidRPr="00940DBD" w:rsidRDefault="00940DBD" w:rsidP="00940D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D5E4E">
        <w:rPr>
          <w:sz w:val="28"/>
          <w:szCs w:val="28"/>
          <w:lang w:val="uk-UA"/>
        </w:rPr>
        <w:t>надання можливості торговцям цінними паперами надавати</w:t>
      </w:r>
      <w:r w:rsidR="001F5C92" w:rsidRPr="004D5E4E">
        <w:rPr>
          <w:sz w:val="28"/>
          <w:szCs w:val="28"/>
          <w:lang w:val="uk-UA"/>
        </w:rPr>
        <w:t xml:space="preserve"> посередницькі послуги </w:t>
      </w:r>
      <w:r w:rsidR="001F5C92">
        <w:rPr>
          <w:sz w:val="28"/>
          <w:szCs w:val="28"/>
          <w:lang w:val="uk-UA"/>
        </w:rPr>
        <w:t>клієнтам на більш швидкому, доступному рівні</w:t>
      </w:r>
      <w:r w:rsidR="004D5E4E">
        <w:rPr>
          <w:sz w:val="28"/>
          <w:szCs w:val="28"/>
          <w:lang w:val="uk-UA"/>
        </w:rPr>
        <w:t>, зокрема, з метою популяризації серед населення облігацій внутрішньої державної позики (далі – ОВДП), а також спрощення процедури їх розміщення шляхом проведення аукціонного продажу із залученням первинних дилерів</w:t>
      </w:r>
      <w:r w:rsidRPr="004D5E4E">
        <w:rPr>
          <w:sz w:val="28"/>
          <w:szCs w:val="28"/>
          <w:lang w:val="uk-UA"/>
        </w:rPr>
        <w:t xml:space="preserve"> та встановлення регулювання зазначеного питання на законодавчому рівні</w:t>
      </w:r>
      <w:r>
        <w:rPr>
          <w:sz w:val="28"/>
          <w:szCs w:val="28"/>
          <w:lang w:val="uk-UA"/>
        </w:rPr>
        <w:t>.</w:t>
      </w:r>
    </w:p>
    <w:p w:rsidR="00D647F6" w:rsidRPr="002172B2" w:rsidRDefault="00D647F6" w:rsidP="00E56BFB">
      <w:pPr>
        <w:ind w:firstLine="720"/>
        <w:jc w:val="both"/>
        <w:rPr>
          <w:sz w:val="16"/>
          <w:szCs w:val="16"/>
          <w:lang w:val="uk-UA"/>
        </w:rPr>
      </w:pPr>
    </w:p>
    <w:p w:rsidR="00E56BFB" w:rsidRPr="008A476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5A655D" w:rsidRPr="002172B2" w:rsidRDefault="005A655D" w:rsidP="00E56BFB">
      <w:pPr>
        <w:ind w:firstLine="720"/>
        <w:jc w:val="center"/>
        <w:rPr>
          <w:b/>
          <w:sz w:val="16"/>
          <w:szCs w:val="16"/>
          <w:lang w:val="uk-UA"/>
        </w:rPr>
      </w:pPr>
    </w:p>
    <w:p w:rsidR="00E56BFB" w:rsidRPr="008A476B" w:rsidRDefault="00E56BFB" w:rsidP="00E56B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Визначення альтернативних способів</w:t>
      </w:r>
    </w:p>
    <w:p w:rsidR="005A655D" w:rsidRPr="002172B2" w:rsidRDefault="005A655D" w:rsidP="005A655D">
      <w:pPr>
        <w:ind w:left="720"/>
        <w:jc w:val="both"/>
        <w:rPr>
          <w:sz w:val="16"/>
          <w:szCs w:val="1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E56BFB" w:rsidRPr="008E0398" w:rsidTr="008E0398">
        <w:tc>
          <w:tcPr>
            <w:tcW w:w="3528" w:type="dxa"/>
            <w:shd w:val="clear" w:color="auto" w:fill="auto"/>
          </w:tcPr>
          <w:p w:rsidR="00E56BFB" w:rsidRPr="008E0398" w:rsidRDefault="00E56BFB" w:rsidP="008E0398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480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E56BFB" w:rsidRPr="008E0398" w:rsidTr="008E0398">
        <w:tc>
          <w:tcPr>
            <w:tcW w:w="3528" w:type="dxa"/>
            <w:shd w:val="clear" w:color="auto" w:fill="auto"/>
          </w:tcPr>
          <w:p w:rsidR="00E56BFB" w:rsidRPr="008E0398" w:rsidRDefault="00E56BFB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BD3935" w:rsidRPr="008E0398">
              <w:rPr>
                <w:b/>
                <w:sz w:val="24"/>
                <w:szCs w:val="24"/>
                <w:lang w:val="uk-UA"/>
              </w:rPr>
              <w:t>В</w:t>
            </w:r>
            <w:r w:rsidRPr="008E0398">
              <w:rPr>
                <w:b/>
                <w:sz w:val="24"/>
                <w:szCs w:val="24"/>
                <w:lang w:val="uk-UA"/>
              </w:rPr>
              <w:t>ідсутність регулювання</w:t>
            </w:r>
          </w:p>
        </w:tc>
        <w:tc>
          <w:tcPr>
            <w:tcW w:w="6480" w:type="dxa"/>
            <w:shd w:val="clear" w:color="auto" w:fill="auto"/>
          </w:tcPr>
          <w:p w:rsidR="00E56BFB" w:rsidRPr="008E0398" w:rsidRDefault="00E56BFB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color w:val="000000"/>
                <w:sz w:val="24"/>
                <w:szCs w:val="24"/>
                <w:lang w:val="uk-UA"/>
              </w:rPr>
              <w:t>Залишити закон</w:t>
            </w:r>
            <w:r w:rsidR="00026CAB" w:rsidRPr="008E0398">
              <w:rPr>
                <w:color w:val="000000"/>
                <w:sz w:val="24"/>
                <w:szCs w:val="24"/>
                <w:lang w:val="uk-UA"/>
              </w:rPr>
              <w:t>одавче регулювання на існуючому</w:t>
            </w:r>
            <w:r w:rsidRPr="008E0398">
              <w:rPr>
                <w:color w:val="000000"/>
                <w:sz w:val="24"/>
                <w:szCs w:val="24"/>
                <w:lang w:val="uk-UA"/>
              </w:rPr>
              <w:t xml:space="preserve"> рівні і сподіватися на еволюційний розвиток ринку цінних паперів.</w:t>
            </w:r>
          </w:p>
        </w:tc>
      </w:tr>
      <w:tr w:rsidR="0087693C" w:rsidRPr="008E0398" w:rsidTr="008E0398">
        <w:tc>
          <w:tcPr>
            <w:tcW w:w="3528" w:type="dxa"/>
            <w:shd w:val="clear" w:color="auto" w:fill="auto"/>
          </w:tcPr>
          <w:p w:rsidR="0087693C" w:rsidRPr="008E0398" w:rsidRDefault="0087693C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6480" w:type="dxa"/>
            <w:shd w:val="clear" w:color="auto" w:fill="auto"/>
          </w:tcPr>
          <w:p w:rsidR="0087693C" w:rsidRPr="008E0398" w:rsidRDefault="0087693C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Стимулювання розвитку фондового ринку через прийняття нормативно-правового акту з метою </w:t>
            </w:r>
            <w:r w:rsidRPr="008E0398">
              <w:rPr>
                <w:color w:val="000000"/>
                <w:sz w:val="24"/>
                <w:szCs w:val="24"/>
                <w:lang w:val="uk-UA"/>
              </w:rPr>
              <w:t xml:space="preserve">розширення для інвесторів можливості для інвестування в цінні папери та інші фінансові інструменти, а також </w:t>
            </w:r>
            <w:r w:rsidRPr="008E0398">
              <w:rPr>
                <w:sz w:val="24"/>
                <w:lang w:val="uk-UA"/>
              </w:rPr>
              <w:t>спрощення діяльності для торговців цінними паперами шляхом більш швидкої та доступної взаємодії з клієнтами та іншими торговцями.</w:t>
            </w:r>
          </w:p>
        </w:tc>
      </w:tr>
      <w:tr w:rsidR="0087693C" w:rsidRPr="008E0398" w:rsidTr="008E0398">
        <w:tc>
          <w:tcPr>
            <w:tcW w:w="3528" w:type="dxa"/>
            <w:shd w:val="clear" w:color="auto" w:fill="auto"/>
          </w:tcPr>
          <w:p w:rsidR="0087693C" w:rsidRPr="008E0398" w:rsidRDefault="0087693C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</w:t>
            </w:r>
          </w:p>
        </w:tc>
        <w:tc>
          <w:tcPr>
            <w:tcW w:w="6480" w:type="dxa"/>
            <w:shd w:val="clear" w:color="auto" w:fill="auto"/>
          </w:tcPr>
          <w:p w:rsidR="0087693C" w:rsidRPr="008E0398" w:rsidRDefault="0087693C" w:rsidP="008E0398">
            <w:pPr>
              <w:ind w:firstLine="72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8E0398">
              <w:rPr>
                <w:bCs/>
                <w:iCs/>
                <w:sz w:val="24"/>
                <w:szCs w:val="24"/>
                <w:lang w:val="uk-UA"/>
              </w:rPr>
              <w:t xml:space="preserve">На сьогоднішній день Урядом України проводиться системна робота по розробці законопроекту щодо ринків капіталу та регульованих ринків, який має стати основним важелем у регулюванні  суспільних  відносин,  що  виникають  у  зв'язку забезпечення захисту прав  та  законних  інтересів  учасників даного сегменту ринку. Зазначений законопроект наразі доопрацьовується.  </w:t>
            </w:r>
          </w:p>
          <w:p w:rsidR="0087693C" w:rsidRPr="008E0398" w:rsidRDefault="0087693C" w:rsidP="008E0398">
            <w:pPr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8E0398">
              <w:rPr>
                <w:bCs/>
                <w:iCs/>
                <w:sz w:val="24"/>
                <w:szCs w:val="24"/>
                <w:lang w:val="uk-UA"/>
              </w:rPr>
              <w:t>З огляду на те, що нинішня політична ситуація в країні не дозволяє чітко визначити часу прийняття даного законопроекту, а фондовий ринок потребує врегулювання ситуації</w:t>
            </w:r>
            <w:r w:rsidR="00FD7628" w:rsidRPr="008E0398">
              <w:rPr>
                <w:bCs/>
                <w:iCs/>
                <w:sz w:val="24"/>
                <w:szCs w:val="24"/>
                <w:lang w:val="uk-UA"/>
              </w:rPr>
              <w:t xml:space="preserve"> з популяризацією </w:t>
            </w:r>
            <w:r w:rsidR="002172B2" w:rsidRPr="008E0398">
              <w:rPr>
                <w:bCs/>
                <w:iCs/>
                <w:sz w:val="24"/>
                <w:szCs w:val="24"/>
                <w:lang w:val="uk-UA"/>
              </w:rPr>
              <w:t>ОВДП серед населення та можливості більш швидкого укладання договорів</w:t>
            </w:r>
            <w:r w:rsidRPr="008E0398">
              <w:rPr>
                <w:bCs/>
                <w:iCs/>
                <w:sz w:val="24"/>
                <w:szCs w:val="24"/>
                <w:lang w:val="uk-UA"/>
              </w:rPr>
              <w:t>, можна запропонувати прийняти тимчасовий нормативно-правовий акт</w:t>
            </w:r>
            <w:r w:rsidRPr="008E0398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E56BFB" w:rsidRPr="008A476B" w:rsidRDefault="00E56BFB" w:rsidP="00CC7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232A1A" w:rsidRPr="00215691" w:rsidRDefault="00232A1A" w:rsidP="00040DA5">
      <w:pPr>
        <w:jc w:val="both"/>
        <w:rPr>
          <w:sz w:val="16"/>
          <w:szCs w:val="16"/>
          <w:u w:val="single"/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lastRenderedPageBreak/>
        <w:t xml:space="preserve">Оцінка впливу на сферу інтересів держави </w:t>
      </w:r>
    </w:p>
    <w:p w:rsidR="00E56BFB" w:rsidRPr="008A476B" w:rsidRDefault="00E56BFB" w:rsidP="00E56BFB">
      <w:pPr>
        <w:ind w:firstLine="708"/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8E0398" w:rsidTr="008E0398">
        <w:tc>
          <w:tcPr>
            <w:tcW w:w="2448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8E0398" w:rsidTr="008E0398">
        <w:tc>
          <w:tcPr>
            <w:tcW w:w="2448" w:type="dxa"/>
            <w:shd w:val="clear" w:color="auto" w:fill="auto"/>
          </w:tcPr>
          <w:p w:rsidR="00720510" w:rsidRPr="008E0398" w:rsidRDefault="00720510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720510" w:rsidRPr="008E0398" w:rsidRDefault="001D2036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</w:t>
            </w:r>
            <w:r w:rsidR="003309E1" w:rsidRPr="008E0398">
              <w:rPr>
                <w:sz w:val="24"/>
                <w:szCs w:val="24"/>
                <w:lang w:val="uk-UA"/>
              </w:rPr>
              <w:t>. Відсутня необхідність здійснення контрольно-наглядових функцій.</w:t>
            </w:r>
            <w:r w:rsidR="00720510" w:rsidRPr="008E039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</w:tcPr>
          <w:p w:rsidR="001D2036" w:rsidRPr="008E0398" w:rsidRDefault="001D2036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1. Суперечність норм Положення з новими нормами закону.</w:t>
            </w:r>
          </w:p>
          <w:p w:rsidR="00645D51" w:rsidRPr="008E0398" w:rsidRDefault="001D2036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2</w:t>
            </w:r>
            <w:r w:rsidR="00645D51" w:rsidRPr="008E0398">
              <w:rPr>
                <w:sz w:val="24"/>
                <w:szCs w:val="24"/>
                <w:lang w:val="uk-UA"/>
              </w:rPr>
              <w:t>. Відсутність впевненості щодо</w:t>
            </w:r>
            <w:r w:rsidR="006B5FC8" w:rsidRPr="008E0398">
              <w:rPr>
                <w:sz w:val="24"/>
                <w:szCs w:val="24"/>
                <w:lang w:val="uk-UA"/>
              </w:rPr>
              <w:t xml:space="preserve"> вирішення проблем, у разі, якщо державне регулювання ринку цінних паперів залишиться на існуючому рівні.</w:t>
            </w:r>
          </w:p>
          <w:p w:rsidR="004E220C" w:rsidRPr="008E0398" w:rsidRDefault="00645D51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2</w:t>
            </w:r>
            <w:r w:rsidR="004E220C" w:rsidRPr="008E0398">
              <w:rPr>
                <w:sz w:val="24"/>
                <w:szCs w:val="24"/>
                <w:lang w:val="uk-UA"/>
              </w:rPr>
              <w:t>. Т</w:t>
            </w:r>
            <w:r w:rsidR="00720510" w:rsidRPr="008E0398">
              <w:rPr>
                <w:sz w:val="24"/>
                <w:szCs w:val="24"/>
                <w:lang w:val="uk-UA"/>
              </w:rPr>
              <w:t>ривалий час</w:t>
            </w:r>
            <w:r w:rsidR="003309E1" w:rsidRPr="008E0398">
              <w:rPr>
                <w:sz w:val="24"/>
                <w:szCs w:val="24"/>
                <w:lang w:val="uk-UA"/>
              </w:rPr>
              <w:t>, протягом якого проблема може бути усунена</w:t>
            </w:r>
            <w:r w:rsidR="004E220C" w:rsidRPr="008E0398">
              <w:rPr>
                <w:sz w:val="24"/>
                <w:szCs w:val="24"/>
                <w:lang w:val="uk-UA"/>
              </w:rPr>
              <w:t>.</w:t>
            </w:r>
          </w:p>
        </w:tc>
      </w:tr>
      <w:tr w:rsidR="00C210C5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C210C5" w:rsidRPr="008E0398" w:rsidRDefault="00C210C5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C210C5" w:rsidRPr="008A476B" w:rsidRDefault="00C210C5" w:rsidP="008E0398">
            <w:pPr>
              <w:pStyle w:val="a5"/>
              <w:tabs>
                <w:tab w:val="left" w:pos="-3420"/>
              </w:tabs>
              <w:ind w:firstLine="0"/>
              <w:jc w:val="both"/>
            </w:pPr>
            <w:r w:rsidRPr="008A476B">
              <w:t xml:space="preserve">1. </w:t>
            </w:r>
            <w:r>
              <w:t>Гармонізація зі стандартами Директив ЄС з метою уникнення дезорієнтації учасників ринку</w:t>
            </w:r>
            <w:r w:rsidRPr="008A476B">
              <w:t>.</w:t>
            </w:r>
          </w:p>
          <w:p w:rsidR="00C210C5" w:rsidRPr="008E0398" w:rsidRDefault="00C210C5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2. Зменшення кількості звернень,</w:t>
            </w:r>
            <w:r w:rsidRPr="008E0398">
              <w:rPr>
                <w:sz w:val="24"/>
              </w:rPr>
              <w:t xml:space="preserve"> </w:t>
            </w:r>
            <w:r w:rsidRPr="008E0398">
              <w:rPr>
                <w:b w:val="0"/>
                <w:sz w:val="24"/>
              </w:rPr>
              <w:t>скарг від фізичних та юридичних осіб.</w:t>
            </w:r>
          </w:p>
          <w:p w:rsidR="00C210C5" w:rsidRPr="008E0398" w:rsidRDefault="00C210C5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3. </w:t>
            </w:r>
            <w:r w:rsidRPr="008E0398">
              <w:rPr>
                <w:b w:val="0"/>
                <w:color w:val="000000"/>
                <w:sz w:val="24"/>
              </w:rPr>
              <w:t>Розширення для інвесторів можливостей для інвестування.</w:t>
            </w:r>
          </w:p>
          <w:p w:rsidR="00C210C5" w:rsidRPr="008E0398" w:rsidRDefault="00C210C5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4. Збільшення кількості потенційних інвесторів.</w:t>
            </w:r>
          </w:p>
        </w:tc>
        <w:tc>
          <w:tcPr>
            <w:tcW w:w="4392" w:type="dxa"/>
            <w:shd w:val="clear" w:color="auto" w:fill="auto"/>
          </w:tcPr>
          <w:p w:rsidR="00C210C5" w:rsidRPr="008E0398" w:rsidRDefault="00C210C5" w:rsidP="008E0398">
            <w:pPr>
              <w:pStyle w:val="a4"/>
              <w:ind w:firstLine="32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Додаткове навантаження на працівників НКЦПФР щодо необхідності здійснювати моніторинг діяльності та звітності торговців. </w:t>
            </w:r>
          </w:p>
        </w:tc>
      </w:tr>
      <w:tr w:rsidR="00C210C5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C210C5" w:rsidRPr="008E0398" w:rsidRDefault="00C210C5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780" w:type="dxa"/>
            <w:shd w:val="clear" w:color="auto" w:fill="auto"/>
          </w:tcPr>
          <w:p w:rsidR="00C210C5" w:rsidRPr="008E0398" w:rsidRDefault="00C210C5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Тимчасове врегулювання питань щодо </w:t>
            </w:r>
            <w:r w:rsidR="004E66BE" w:rsidRPr="008E0398">
              <w:rPr>
                <w:b w:val="0"/>
                <w:sz w:val="24"/>
              </w:rPr>
              <w:t xml:space="preserve">більш доступнішої та швидкої </w:t>
            </w:r>
            <w:r w:rsidRPr="008E0398">
              <w:rPr>
                <w:b w:val="0"/>
                <w:color w:val="000000"/>
                <w:sz w:val="24"/>
              </w:rPr>
              <w:t>взаємодії між торговцем цінними паперами та його клієнтами</w:t>
            </w:r>
          </w:p>
        </w:tc>
        <w:tc>
          <w:tcPr>
            <w:tcW w:w="4392" w:type="dxa"/>
            <w:shd w:val="clear" w:color="auto" w:fill="auto"/>
          </w:tcPr>
          <w:p w:rsidR="00C210C5" w:rsidRPr="008E0398" w:rsidRDefault="00C210C5" w:rsidP="0074683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3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Прийняття тимчасового регуляторного акта не відповідає принципу послідовності регуляторної діяльності.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громадян</w:t>
      </w:r>
      <w:r w:rsidR="001A2085">
        <w:rPr>
          <w:sz w:val="28"/>
          <w:szCs w:val="28"/>
          <w:u w:val="single"/>
          <w:lang w:val="uk-UA"/>
        </w:rPr>
        <w:t xml:space="preserve"> (інвесторів)</w:t>
      </w:r>
    </w:p>
    <w:p w:rsidR="00E56BFB" w:rsidRPr="00E92E1B" w:rsidRDefault="00E56BFB" w:rsidP="00E56BFB">
      <w:pPr>
        <w:ind w:firstLine="720"/>
        <w:jc w:val="both"/>
        <w:rPr>
          <w:sz w:val="16"/>
          <w:szCs w:val="16"/>
          <w:u w:val="single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8E0398" w:rsidTr="008E0398">
        <w:tc>
          <w:tcPr>
            <w:tcW w:w="2448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8E0398" w:rsidTr="008E0398">
        <w:tc>
          <w:tcPr>
            <w:tcW w:w="2448" w:type="dxa"/>
            <w:shd w:val="clear" w:color="auto" w:fill="auto"/>
          </w:tcPr>
          <w:p w:rsidR="00720510" w:rsidRPr="008E0398" w:rsidRDefault="00720510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A618E8" w:rsidRPr="008E0398" w:rsidRDefault="00B61523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>Відсутні.</w:t>
            </w:r>
          </w:p>
        </w:tc>
        <w:tc>
          <w:tcPr>
            <w:tcW w:w="4392" w:type="dxa"/>
            <w:shd w:val="clear" w:color="auto" w:fill="auto"/>
          </w:tcPr>
          <w:p w:rsidR="00B61523" w:rsidRPr="008E0398" w:rsidRDefault="00B61523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>1.</w:t>
            </w:r>
            <w:r w:rsidR="00B97CD5" w:rsidRPr="008E0398">
              <w:rPr>
                <w:sz w:val="24"/>
                <w:lang w:val="uk-UA"/>
              </w:rPr>
              <w:t xml:space="preserve"> </w:t>
            </w:r>
            <w:r w:rsidR="00F31A93" w:rsidRPr="008E0398">
              <w:rPr>
                <w:sz w:val="24"/>
                <w:lang w:val="uk-UA"/>
              </w:rPr>
              <w:t xml:space="preserve">Відсутність можливості для </w:t>
            </w:r>
            <w:r w:rsidR="0004101E" w:rsidRPr="008E0398">
              <w:rPr>
                <w:sz w:val="24"/>
                <w:lang w:val="uk-UA"/>
              </w:rPr>
              <w:t>клієнтів</w:t>
            </w:r>
            <w:r w:rsidR="00F31A93" w:rsidRPr="008E0398">
              <w:rPr>
                <w:sz w:val="24"/>
                <w:lang w:val="uk-UA"/>
              </w:rPr>
              <w:t xml:space="preserve"> більш швидкої</w:t>
            </w:r>
            <w:r w:rsidR="0004101E" w:rsidRPr="008E0398">
              <w:rPr>
                <w:sz w:val="24"/>
                <w:lang w:val="uk-UA"/>
              </w:rPr>
              <w:t xml:space="preserve"> та доступної взаємодії</w:t>
            </w:r>
            <w:r w:rsidR="00F31A93" w:rsidRPr="008E0398">
              <w:rPr>
                <w:sz w:val="24"/>
                <w:lang w:val="uk-UA"/>
              </w:rPr>
              <w:t xml:space="preserve"> з </w:t>
            </w:r>
            <w:r w:rsidR="0004101E" w:rsidRPr="008E0398">
              <w:rPr>
                <w:sz w:val="24"/>
                <w:lang w:val="uk-UA"/>
              </w:rPr>
              <w:t>торго</w:t>
            </w:r>
            <w:r w:rsidR="00F31A93" w:rsidRPr="008E0398">
              <w:rPr>
                <w:sz w:val="24"/>
                <w:lang w:val="uk-UA"/>
              </w:rPr>
              <w:t>вцями</w:t>
            </w:r>
            <w:r w:rsidRPr="008E0398">
              <w:rPr>
                <w:sz w:val="24"/>
                <w:lang w:val="uk-UA"/>
              </w:rPr>
              <w:t>.</w:t>
            </w:r>
          </w:p>
          <w:p w:rsidR="0054461F" w:rsidRPr="008E0398" w:rsidRDefault="00B61523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>2.</w:t>
            </w:r>
            <w:r w:rsidR="00F177A9" w:rsidRPr="008E0398">
              <w:rPr>
                <w:sz w:val="24"/>
                <w:lang w:val="uk-UA"/>
              </w:rPr>
              <w:t xml:space="preserve"> </w:t>
            </w:r>
            <w:r w:rsidR="00E5247C" w:rsidRPr="008E0398">
              <w:rPr>
                <w:sz w:val="24"/>
                <w:lang w:val="uk-UA"/>
              </w:rPr>
              <w:t>Не</w:t>
            </w:r>
            <w:r w:rsidRPr="008E0398">
              <w:rPr>
                <w:sz w:val="24"/>
                <w:lang w:val="uk-UA"/>
              </w:rPr>
              <w:t xml:space="preserve"> </w:t>
            </w:r>
            <w:r w:rsidR="00E5247C" w:rsidRPr="008E0398">
              <w:rPr>
                <w:sz w:val="24"/>
                <w:lang w:val="uk-UA"/>
              </w:rPr>
              <w:t>отримані доходи або втрата коштів</w:t>
            </w:r>
            <w:r w:rsidR="00B709B4" w:rsidRPr="008E0398">
              <w:rPr>
                <w:sz w:val="24"/>
                <w:lang w:val="uk-UA"/>
              </w:rPr>
              <w:t xml:space="preserve"> інвесторів</w:t>
            </w:r>
            <w:r w:rsidRPr="008E0398">
              <w:rPr>
                <w:sz w:val="24"/>
                <w:lang w:val="uk-UA"/>
              </w:rPr>
              <w:t xml:space="preserve"> внаслідок </w:t>
            </w:r>
            <w:r w:rsidR="00572947" w:rsidRPr="008E0398">
              <w:rPr>
                <w:sz w:val="24"/>
                <w:lang w:val="uk-UA"/>
              </w:rPr>
              <w:t xml:space="preserve">не </w:t>
            </w:r>
            <w:r w:rsidRPr="008E0398">
              <w:rPr>
                <w:sz w:val="24"/>
                <w:lang w:val="uk-UA"/>
              </w:rPr>
              <w:t xml:space="preserve">укладання </w:t>
            </w:r>
            <w:r w:rsidR="00B709B4" w:rsidRPr="008E0398">
              <w:rPr>
                <w:sz w:val="24"/>
                <w:lang w:val="uk-UA"/>
              </w:rPr>
              <w:t>угод чи договорів</w:t>
            </w:r>
            <w:r w:rsidR="0054461F" w:rsidRPr="008E0398">
              <w:rPr>
                <w:sz w:val="24"/>
                <w:lang w:val="uk-UA"/>
              </w:rPr>
              <w:t>.</w:t>
            </w:r>
          </w:p>
        </w:tc>
      </w:tr>
      <w:tr w:rsidR="004E66BE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4E66BE" w:rsidRPr="008E0398" w:rsidRDefault="004E66BE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4E66BE" w:rsidRPr="008E0398" w:rsidRDefault="004E66BE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1. Отримання більш доступних та швидких послуг від торговців цінними паперами щодо інвестування в цінні папери.</w:t>
            </w:r>
          </w:p>
          <w:p w:rsidR="004E66BE" w:rsidRPr="008E0398" w:rsidRDefault="004E66BE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2. </w:t>
            </w:r>
            <w:r w:rsidRPr="008E0398">
              <w:rPr>
                <w:b w:val="0"/>
                <w:color w:val="000000"/>
                <w:sz w:val="24"/>
              </w:rPr>
              <w:t>Розширення для інвесторів переліку можливих інструментів для інвестування та можливість отримання додаткового доходу</w:t>
            </w:r>
            <w:r w:rsidRPr="008E0398">
              <w:rPr>
                <w:b w:val="0"/>
                <w:sz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4E66BE" w:rsidRPr="008E0398" w:rsidRDefault="004E66BE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Відсутні </w:t>
            </w:r>
          </w:p>
        </w:tc>
      </w:tr>
      <w:tr w:rsidR="004E66BE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4E66BE" w:rsidRPr="008E0398" w:rsidRDefault="004E66BE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780" w:type="dxa"/>
            <w:shd w:val="clear" w:color="auto" w:fill="auto"/>
          </w:tcPr>
          <w:p w:rsidR="004E66BE" w:rsidRPr="008E0398" w:rsidRDefault="004E66BE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Тимчасове врегулювання питань щодо більш доступнішої та швидкої </w:t>
            </w:r>
            <w:r w:rsidRPr="008E0398">
              <w:rPr>
                <w:b w:val="0"/>
                <w:color w:val="000000"/>
                <w:sz w:val="24"/>
              </w:rPr>
              <w:t>взаємодії між торговцем цінними паперами та його клієнтами</w:t>
            </w:r>
          </w:p>
        </w:tc>
        <w:tc>
          <w:tcPr>
            <w:tcW w:w="4392" w:type="dxa"/>
            <w:shd w:val="clear" w:color="auto" w:fill="auto"/>
          </w:tcPr>
          <w:p w:rsidR="004E66BE" w:rsidRPr="008E0398" w:rsidRDefault="004E66BE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bCs w:val="0"/>
                <w:iCs/>
                <w:sz w:val="24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</w:tr>
    </w:tbl>
    <w:p w:rsidR="002E3ADD" w:rsidRDefault="002E3ADD" w:rsidP="00E92E1B">
      <w:pPr>
        <w:jc w:val="both"/>
        <w:rPr>
          <w:sz w:val="28"/>
          <w:szCs w:val="28"/>
          <w:u w:val="single"/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</w:p>
    <w:p w:rsidR="00781B54" w:rsidRPr="008A476B" w:rsidRDefault="00781B54" w:rsidP="00E56BFB">
      <w:pPr>
        <w:rPr>
          <w:sz w:val="28"/>
          <w:szCs w:val="28"/>
          <w:lang w:val="uk-UA"/>
        </w:rPr>
      </w:pPr>
    </w:p>
    <w:p w:rsidR="00781B54" w:rsidRDefault="00B318F2" w:rsidP="00E56B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 дію регулювання підпадають 2</w:t>
      </w:r>
      <w:r w:rsidR="006B2480">
        <w:rPr>
          <w:sz w:val="28"/>
          <w:szCs w:val="28"/>
          <w:lang w:val="uk-UA"/>
        </w:rPr>
        <w:t>42</w:t>
      </w:r>
      <w:r w:rsidR="0053740C">
        <w:rPr>
          <w:sz w:val="28"/>
          <w:szCs w:val="28"/>
          <w:lang w:val="uk-UA"/>
        </w:rPr>
        <w:t xml:space="preserve"> торговців цінними паперами</w:t>
      </w:r>
      <w:r>
        <w:rPr>
          <w:sz w:val="28"/>
          <w:szCs w:val="28"/>
          <w:lang w:val="uk-UA"/>
        </w:rPr>
        <w:t xml:space="preserve"> </w:t>
      </w:r>
    </w:p>
    <w:p w:rsidR="007F48D9" w:rsidRPr="008A476B" w:rsidRDefault="007F48D9" w:rsidP="00E56BFB">
      <w:pPr>
        <w:rPr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90"/>
        <w:gridCol w:w="1890"/>
        <w:gridCol w:w="2196"/>
        <w:gridCol w:w="2196"/>
      </w:tblGrid>
      <w:tr w:rsidR="008E0398" w:rsidRPr="008E0398" w:rsidTr="008E0398">
        <w:tc>
          <w:tcPr>
            <w:tcW w:w="2448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8E0398" w:rsidRPr="008E0398" w:rsidTr="008E0398">
        <w:tc>
          <w:tcPr>
            <w:tcW w:w="2448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8E0398" w:rsidRDefault="007F48D9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8E0398" w:rsidRDefault="0036728F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8E0398" w:rsidRDefault="0036728F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8E0398" w:rsidRDefault="007F48D9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>242</w:t>
            </w:r>
          </w:p>
        </w:tc>
      </w:tr>
      <w:tr w:rsidR="008E0398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501ED1" w:rsidRPr="008E0398" w:rsidRDefault="00501ED1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E358FC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 xml:space="preserve">  </w:t>
            </w:r>
            <w:r w:rsidR="008F6661" w:rsidRPr="008E0398">
              <w:rPr>
                <w:sz w:val="28"/>
                <w:szCs w:val="28"/>
                <w:lang w:val="uk-UA"/>
              </w:rPr>
              <w:t>20,7</w:t>
            </w:r>
            <w:r w:rsidR="002E1B72" w:rsidRPr="008E0398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890" w:type="dxa"/>
            <w:shd w:val="clear" w:color="auto" w:fill="auto"/>
          </w:tcPr>
          <w:p w:rsidR="00501ED1" w:rsidRPr="008E0398" w:rsidRDefault="00E358FC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 xml:space="preserve"> </w:t>
            </w:r>
            <w:r w:rsidR="008F6661" w:rsidRPr="008E0398">
              <w:rPr>
                <w:sz w:val="28"/>
                <w:szCs w:val="28"/>
                <w:lang w:val="uk-UA"/>
              </w:rPr>
              <w:t>12,8</w:t>
            </w:r>
            <w:r w:rsidR="002E1B72" w:rsidRPr="008E0398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E358FC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 xml:space="preserve"> </w:t>
            </w:r>
            <w:r w:rsidR="008F6661" w:rsidRPr="008E0398">
              <w:rPr>
                <w:sz w:val="28"/>
                <w:szCs w:val="28"/>
                <w:lang w:val="uk-UA"/>
              </w:rPr>
              <w:t>66,5</w:t>
            </w:r>
            <w:r w:rsidR="002E1B72" w:rsidRPr="008E0398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6" w:type="dxa"/>
            <w:shd w:val="clear" w:color="auto" w:fill="auto"/>
          </w:tcPr>
          <w:p w:rsidR="00501ED1" w:rsidRPr="008E0398" w:rsidRDefault="002E1B72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E56BFB" w:rsidRPr="008A476B" w:rsidRDefault="00E56BFB" w:rsidP="00E56BFB">
      <w:pPr>
        <w:rPr>
          <w:sz w:val="16"/>
          <w:szCs w:val="16"/>
          <w:lang w:val="uk-UA"/>
        </w:rPr>
      </w:pPr>
    </w:p>
    <w:p w:rsidR="00781B54" w:rsidRPr="008A476B" w:rsidRDefault="00781B54" w:rsidP="00E56BFB">
      <w:pPr>
        <w:rPr>
          <w:sz w:val="16"/>
          <w:szCs w:val="16"/>
          <w:lang w:val="uk-UA"/>
        </w:rPr>
      </w:pPr>
    </w:p>
    <w:p w:rsidR="00781B54" w:rsidRPr="008A476B" w:rsidRDefault="00781B54" w:rsidP="00E56BFB">
      <w:pPr>
        <w:rPr>
          <w:sz w:val="16"/>
          <w:szCs w:val="16"/>
          <w:lang w:val="uk-UA"/>
        </w:rPr>
      </w:pPr>
    </w:p>
    <w:tbl>
      <w:tblPr>
        <w:tblW w:w="10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52"/>
        <w:gridCol w:w="4392"/>
      </w:tblGrid>
      <w:tr w:rsidR="00E56BFB" w:rsidRPr="008E0398" w:rsidTr="008E0398">
        <w:tc>
          <w:tcPr>
            <w:tcW w:w="2448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sz w:val="28"/>
                <w:szCs w:val="28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52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130E8" w:rsidRPr="008E0398" w:rsidTr="008E0398">
        <w:tc>
          <w:tcPr>
            <w:tcW w:w="2448" w:type="dxa"/>
            <w:shd w:val="clear" w:color="auto" w:fill="auto"/>
          </w:tcPr>
          <w:p w:rsidR="007130E8" w:rsidRPr="008E0398" w:rsidRDefault="007130E8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852" w:type="dxa"/>
            <w:shd w:val="clear" w:color="auto" w:fill="auto"/>
          </w:tcPr>
          <w:p w:rsidR="00A7631E" w:rsidRPr="008E0398" w:rsidRDefault="00280AB8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lang w:val="uk-UA"/>
              </w:rPr>
              <w:t>Відсутні</w:t>
            </w:r>
          </w:p>
        </w:tc>
        <w:tc>
          <w:tcPr>
            <w:tcW w:w="4392" w:type="dxa"/>
            <w:shd w:val="clear" w:color="auto" w:fill="auto"/>
          </w:tcPr>
          <w:p w:rsidR="000E5D03" w:rsidRPr="008E0398" w:rsidRDefault="00280AB8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>1. Неотримання прибутку у зв’язку зі зменшенням о</w:t>
            </w:r>
            <w:r w:rsidR="000E5D03" w:rsidRPr="008E0398">
              <w:rPr>
                <w:sz w:val="24"/>
                <w:lang w:val="uk-UA"/>
              </w:rPr>
              <w:t>бсягів торгів цінними паперами</w:t>
            </w:r>
          </w:p>
          <w:p w:rsidR="007130E8" w:rsidRPr="008E0398" w:rsidRDefault="00280AB8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>2. Втрата довіри зі сторони інвесто</w:t>
            </w:r>
            <w:r w:rsidR="003F5A5F" w:rsidRPr="008E0398">
              <w:rPr>
                <w:sz w:val="24"/>
                <w:lang w:val="uk-UA"/>
              </w:rPr>
              <w:t>рів.</w:t>
            </w:r>
          </w:p>
          <w:p w:rsidR="003F5A5F" w:rsidRPr="008E0398" w:rsidRDefault="003F5A5F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D2036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1D2036" w:rsidRPr="008E0398" w:rsidRDefault="001D2036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852" w:type="dxa"/>
            <w:shd w:val="clear" w:color="auto" w:fill="auto"/>
          </w:tcPr>
          <w:p w:rsidR="001D2036" w:rsidRPr="008E0398" w:rsidRDefault="001D2036" w:rsidP="00746833">
            <w:pPr>
              <w:pStyle w:val="a4"/>
              <w:rPr>
                <w:b w:val="0"/>
                <w:color w:val="000000"/>
                <w:sz w:val="24"/>
              </w:rPr>
            </w:pPr>
            <w:r w:rsidRPr="008E0398">
              <w:rPr>
                <w:b w:val="0"/>
                <w:bCs w:val="0"/>
                <w:color w:val="000000"/>
                <w:sz w:val="24"/>
              </w:rPr>
              <w:t>1.</w:t>
            </w:r>
            <w:r w:rsidRPr="008E0398">
              <w:rPr>
                <w:b w:val="0"/>
                <w:color w:val="000000"/>
                <w:sz w:val="24"/>
              </w:rPr>
              <w:t xml:space="preserve"> Збільшення довіри до фондового ринку з боку інвесторів та професійних учасників фондового ринку.</w:t>
            </w:r>
          </w:p>
          <w:p w:rsidR="001D2036" w:rsidRPr="008E0398" w:rsidRDefault="001D2036" w:rsidP="00746833">
            <w:pPr>
              <w:pStyle w:val="a4"/>
              <w:rPr>
                <w:b w:val="0"/>
                <w:color w:val="000000"/>
                <w:sz w:val="24"/>
              </w:rPr>
            </w:pPr>
            <w:r w:rsidRPr="008E0398">
              <w:rPr>
                <w:b w:val="0"/>
                <w:color w:val="000000"/>
                <w:sz w:val="24"/>
              </w:rPr>
              <w:t>2. Надання інвесторам більш доступних послуг та можливість отримання прибутку від надання цих послуг.</w:t>
            </w:r>
          </w:p>
        </w:tc>
        <w:tc>
          <w:tcPr>
            <w:tcW w:w="4392" w:type="dxa"/>
            <w:shd w:val="clear" w:color="auto" w:fill="auto"/>
          </w:tcPr>
          <w:p w:rsidR="001D2036" w:rsidRPr="008E0398" w:rsidRDefault="001D2036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Відсутні</w:t>
            </w:r>
          </w:p>
        </w:tc>
      </w:tr>
      <w:tr w:rsidR="001D2036" w:rsidRPr="008E0398" w:rsidTr="008E0398">
        <w:trPr>
          <w:trHeight w:val="115"/>
        </w:trPr>
        <w:tc>
          <w:tcPr>
            <w:tcW w:w="2448" w:type="dxa"/>
            <w:shd w:val="clear" w:color="auto" w:fill="auto"/>
          </w:tcPr>
          <w:p w:rsidR="001D2036" w:rsidRPr="008E0398" w:rsidRDefault="001D2036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852" w:type="dxa"/>
            <w:shd w:val="clear" w:color="auto" w:fill="auto"/>
          </w:tcPr>
          <w:p w:rsidR="001D2036" w:rsidRPr="008E0398" w:rsidRDefault="0023485E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Тимчасове врегулювання питань щодо більш доступнішої та швидкої </w:t>
            </w:r>
            <w:r w:rsidRPr="008E0398">
              <w:rPr>
                <w:b w:val="0"/>
                <w:color w:val="000000"/>
                <w:sz w:val="24"/>
              </w:rPr>
              <w:t>взаємодії між торговцем цінними паперами та його клієнтами</w:t>
            </w:r>
          </w:p>
        </w:tc>
        <w:tc>
          <w:tcPr>
            <w:tcW w:w="4392" w:type="dxa"/>
            <w:shd w:val="clear" w:color="auto" w:fill="auto"/>
          </w:tcPr>
          <w:p w:rsidR="001D2036" w:rsidRPr="008E0398" w:rsidRDefault="001D2036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bCs w:val="0"/>
                <w:iCs/>
                <w:sz w:val="24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Витрати</w:t>
      </w:r>
    </w:p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10339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6254"/>
        <w:gridCol w:w="1347"/>
        <w:gridCol w:w="1269"/>
      </w:tblGrid>
      <w:tr w:rsidR="008E0398" w:rsidRPr="008E0398" w:rsidTr="008E0398">
        <w:trPr>
          <w:trHeight w:val="547"/>
        </w:trPr>
        <w:tc>
          <w:tcPr>
            <w:tcW w:w="1469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Порядковий</w:t>
            </w:r>
          </w:p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Витрати 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За перший</w:t>
            </w:r>
          </w:p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За п’ять</w:t>
            </w:r>
          </w:p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років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  <w:r w:rsidR="00AD547C" w:rsidRPr="008E0398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8E0398" w:rsidRDefault="00AC5360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  <w:r w:rsidR="007F3EB2" w:rsidRPr="008E0398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8E0398" w:rsidRDefault="00AC5360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  <w:r w:rsidR="007F3EB2" w:rsidRPr="008E0398">
              <w:rPr>
                <w:sz w:val="24"/>
                <w:szCs w:val="24"/>
                <w:lang w:val="uk-UA"/>
              </w:rPr>
              <w:t>*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8E0398" w:rsidRDefault="00AC5360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8E0398" w:rsidRDefault="00AC5360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9C74FC" w:rsidRPr="008E0398" w:rsidRDefault="009C74FC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Витрати, пов'язані із веденням обліку, підготовкою та поданням звітності державним органам (середня місячна заробітна плата працівника), гривень</w:t>
            </w:r>
          </w:p>
        </w:tc>
        <w:tc>
          <w:tcPr>
            <w:tcW w:w="1347" w:type="dxa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9C74FC" w:rsidRPr="008E0398" w:rsidRDefault="009C74FC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347" w:type="dxa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</w:t>
            </w:r>
            <w:r w:rsidRPr="008E0398">
              <w:rPr>
                <w:sz w:val="24"/>
                <w:szCs w:val="24"/>
                <w:lang w:val="uk-UA"/>
              </w:rPr>
              <w:lastRenderedPageBreak/>
              <w:t>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8E0398" w:rsidRDefault="00E67B21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8E0398" w:rsidRDefault="00E67B21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8E0398" w:rsidRDefault="00E67B21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8E0398" w:rsidRDefault="00E67B21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E458D7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E458D7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Інше (уточнити),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E458D7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E458D7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254" w:type="dxa"/>
            <w:shd w:val="clear" w:color="auto" w:fill="auto"/>
          </w:tcPr>
          <w:p w:rsidR="009C74FC" w:rsidRPr="008E0398" w:rsidRDefault="009C74FC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1347" w:type="dxa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8E0398" w:rsidRDefault="009C74F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0.00</w:t>
            </w:r>
          </w:p>
        </w:tc>
      </w:tr>
      <w:tr w:rsidR="008E0398" w:rsidRPr="008E0398" w:rsidTr="008E0398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8E0398" w:rsidRDefault="00C53694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8E0398" w:rsidRDefault="00E458D7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-</w:t>
            </w:r>
          </w:p>
        </w:tc>
      </w:tr>
      <w:tr w:rsidR="008E0398" w:rsidRPr="008E0398" w:rsidTr="008E0398">
        <w:trPr>
          <w:trHeight w:val="292"/>
        </w:trPr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254" w:type="dxa"/>
            <w:shd w:val="clear" w:color="auto" w:fill="auto"/>
          </w:tcPr>
          <w:p w:rsidR="00A54F66" w:rsidRPr="008E0398" w:rsidRDefault="00C755A4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8E0398" w:rsidRDefault="00C0496D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4F66" w:rsidRPr="008E0398" w:rsidRDefault="00A54F66" w:rsidP="008E0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8E0398" w:rsidRDefault="00FB6109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C755A4" w:rsidRPr="00C755A4" w:rsidRDefault="00C755A4" w:rsidP="00C755A4">
      <w:pPr>
        <w:rPr>
          <w:sz w:val="24"/>
          <w:szCs w:val="24"/>
          <w:lang w:val="uk-UA"/>
        </w:rPr>
      </w:pPr>
      <w:r w:rsidRPr="00C755A4">
        <w:rPr>
          <w:sz w:val="24"/>
          <w:szCs w:val="24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771"/>
        <w:gridCol w:w="1771"/>
        <w:gridCol w:w="1602"/>
      </w:tblGrid>
      <w:tr w:rsidR="00C755A4" w:rsidRPr="00D022FB" w:rsidTr="00965774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У перший рік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Періодичні (за рік)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  <w:r w:rsidR="00B06CF2">
              <w:t>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  <w:r w:rsidR="007F3EB2">
              <w:t>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  <w:r w:rsidR="007F3EB2"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  <w:r w:rsidR="007F3EB2">
              <w:t>*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1"/>
        <w:gridCol w:w="3418"/>
        <w:gridCol w:w="1898"/>
      </w:tblGrid>
      <w:tr w:rsidR="00C755A4" w:rsidRPr="00D022FB" w:rsidTr="00965774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на сплату податків та зборів (змінених/нововведених) (за рік)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B06CF2" w:rsidP="007B23A3">
            <w:pPr>
              <w:pStyle w:val="a7"/>
              <w:jc w:val="center"/>
            </w:pPr>
            <w:r>
              <w:t>0.00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B06CF2" w:rsidP="007B23A3">
            <w:pPr>
              <w:pStyle w:val="a7"/>
              <w:jc w:val="center"/>
            </w:pPr>
            <w:r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7"/>
        <w:gridCol w:w="1764"/>
        <w:gridCol w:w="1859"/>
        <w:gridCol w:w="1668"/>
        <w:gridCol w:w="1499"/>
      </w:tblGrid>
      <w:tr w:rsidR="00C755A4" w:rsidRPr="00D022FB" w:rsidTr="00B06CF2">
        <w:trPr>
          <w:tblCellSpacing w:w="22" w:type="dxa"/>
          <w:jc w:val="center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B06CF2" w:rsidP="00965774">
            <w:pPr>
              <w:pStyle w:val="a7"/>
              <w:jc w:val="center"/>
            </w:pPr>
            <w:r>
              <w:t>Витрати</w:t>
            </w:r>
            <w:r w:rsidR="00C755A4" w:rsidRPr="00D022FB">
              <w:t xml:space="preserve"> на ведення обліку, підготовку та подання звітності (за рік)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на оплату штрафних санкцій за рік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Разом за рік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B06CF2">
        <w:trPr>
          <w:tblCellSpacing w:w="22" w:type="dxa"/>
          <w:jc w:val="center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2"/>
        <w:gridCol w:w="1815"/>
        <w:gridCol w:w="1846"/>
        <w:gridCol w:w="1657"/>
        <w:gridCol w:w="1487"/>
      </w:tblGrid>
      <w:tr w:rsidR="00C755A4" w:rsidRPr="00D022FB" w:rsidTr="009657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 xml:space="preserve">Витрати* на адміністрування заходів державного </w:t>
            </w:r>
            <w:r w:rsidRPr="00D022FB">
              <w:lastRenderedPageBreak/>
              <w:t>нагляду (контролю)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lastRenderedPageBreak/>
              <w:t xml:space="preserve">Витрати на оплату штрафних санкцій та </w:t>
            </w:r>
            <w:r w:rsidRPr="00D022FB">
              <w:lastRenderedPageBreak/>
              <w:t>усунення виявлених порушень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lastRenderedPageBreak/>
              <w:t>Разом за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B06CF2">
        <w:trPr>
          <w:tblCellSpacing w:w="22" w:type="dxa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6"/>
        <w:gridCol w:w="1858"/>
        <w:gridCol w:w="1955"/>
        <w:gridCol w:w="1668"/>
        <w:gridCol w:w="1310"/>
      </w:tblGrid>
      <w:tr w:rsidR="00926FE0" w:rsidRPr="00D022FB" w:rsidTr="00B06CF2">
        <w:trPr>
          <w:tblCellSpacing w:w="22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Разом за рік (стартовий)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B06CF2">
        <w:trPr>
          <w:tblCellSpacing w:w="22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4"/>
        <w:gridCol w:w="1963"/>
        <w:gridCol w:w="2155"/>
        <w:gridCol w:w="1985"/>
      </w:tblGrid>
      <w:tr w:rsidR="00926FE0" w:rsidRPr="00D022FB" w:rsidTr="00B06CF2">
        <w:trPr>
          <w:tblCellSpacing w:w="22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За рік (стартовий)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Періодичні (за наступний рік)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B06CF2">
        <w:trPr>
          <w:tblCellSpacing w:w="22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 на оборотні активи (матеріали, канцелярські товари тощо)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</w:tr>
    </w:tbl>
    <w:p w:rsidR="00926FE0" w:rsidRDefault="00926FE0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2"/>
        <w:gridCol w:w="3997"/>
        <w:gridCol w:w="1898"/>
      </w:tblGrid>
      <w:tr w:rsidR="00926FE0" w:rsidRPr="00D022FB" w:rsidTr="00B06CF2">
        <w:trPr>
          <w:tblCellSpacing w:w="22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на оплату праці додатково найманого персоналу (за рік)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B06CF2">
        <w:trPr>
          <w:tblCellSpacing w:w="22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із наймом додаткового персоналу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A6E4F">
              <w:t>0.00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A6E4F">
              <w:t>0.00</w:t>
            </w:r>
          </w:p>
        </w:tc>
      </w:tr>
    </w:tbl>
    <w:p w:rsidR="007F3EB2" w:rsidRPr="005D5993" w:rsidRDefault="007F3EB2" w:rsidP="007F3EB2">
      <w:pPr>
        <w:jc w:val="both"/>
        <w:rPr>
          <w:lang w:val="uk-UA"/>
        </w:rPr>
      </w:pPr>
      <w:r w:rsidRPr="00B66E23">
        <w:rPr>
          <w:lang w:val="uk-UA"/>
        </w:rPr>
        <w:t>*</w:t>
      </w:r>
      <w:r>
        <w:rPr>
          <w:lang w:val="uk-UA"/>
        </w:rPr>
        <w:t xml:space="preserve"> Враховуючи те, що відповідно до Ліцензійних умов провадження професійної діяльності на фондовому ринку (ринку цінних паперів) – діяльності з торгівлі </w:t>
      </w:r>
      <w:r w:rsidR="00D577D9">
        <w:rPr>
          <w:lang w:val="uk-UA"/>
        </w:rPr>
        <w:t>цінними паперами</w:t>
      </w:r>
      <w:r>
        <w:rPr>
          <w:lang w:val="uk-UA"/>
        </w:rPr>
        <w:t xml:space="preserve">, затверджених рішенням Комісії від </w:t>
      </w:r>
      <w:r w:rsidRPr="007F3EB2">
        <w:rPr>
          <w:rStyle w:val="rvts9"/>
          <w:lang w:val="uk-UA"/>
        </w:rPr>
        <w:t>14.05.2013</w:t>
      </w:r>
      <w:r>
        <w:rPr>
          <w:rStyle w:val="rvts9"/>
        </w:rPr>
        <w:t> </w:t>
      </w:r>
      <w:r w:rsidRPr="007F3EB2">
        <w:rPr>
          <w:rStyle w:val="rvts9"/>
          <w:lang w:val="uk-UA"/>
        </w:rPr>
        <w:t xml:space="preserve"> № 819</w:t>
      </w:r>
      <w:r>
        <w:rPr>
          <w:lang w:val="uk-UA"/>
        </w:rPr>
        <w:t xml:space="preserve">, зареєстрованих в Міністерстві юстиції України 01.06.2013 за № 857/23389 (зі змінами), </w:t>
      </w:r>
      <w:r>
        <w:rPr>
          <w:rStyle w:val="rvts0"/>
          <w:lang w:val="uk-UA"/>
        </w:rPr>
        <w:t>Торговець цінними паперами</w:t>
      </w:r>
      <w:r w:rsidRPr="005D5993">
        <w:rPr>
          <w:rStyle w:val="rvts0"/>
          <w:lang w:val="uk-UA"/>
        </w:rPr>
        <w:t xml:space="preserve"> зобов'язаний мати обладнання, у тому числі не менше двох комп'ютерів з пристроєм для безперебійного електроживлення, а також засоби зв'язку (електронна пошта, телефон, факс) та програмно-технічний комплекс, який забезпечить виконання вимог, установлених Комісією для цієї діяльності, зокрема установлених нормативно-правовим актом Комісії, що встановлює правила (умови) здійснення </w:t>
      </w:r>
      <w:r w:rsidRPr="005D5993">
        <w:rPr>
          <w:rStyle w:val="rvts0"/>
          <w:lang w:val="uk-UA"/>
        </w:rPr>
        <w:lastRenderedPageBreak/>
        <w:t>діяльності з торгівлі цінними паперами: брокерської діяльності, дилерської діяльності, андеррайтингу, управління цінними паперами, та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підпису.</w:t>
      </w:r>
    </w:p>
    <w:p w:rsidR="00926FE0" w:rsidRPr="00E54980" w:rsidRDefault="00926FE0" w:rsidP="00E56BFB">
      <w:pPr>
        <w:ind w:firstLine="720"/>
        <w:jc w:val="center"/>
        <w:rPr>
          <w:b/>
          <w:sz w:val="16"/>
          <w:szCs w:val="16"/>
          <w:lang w:val="uk-UA"/>
        </w:rPr>
      </w:pPr>
    </w:p>
    <w:p w:rsidR="00E56BF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ІV. Вибір найбільш оптимального альтернативного способу досягнення цілей</w:t>
      </w:r>
    </w:p>
    <w:p w:rsidR="005B14DB" w:rsidRPr="00E54980" w:rsidRDefault="005B14DB" w:rsidP="00E56BFB">
      <w:pPr>
        <w:ind w:firstLine="720"/>
        <w:jc w:val="center"/>
        <w:rPr>
          <w:b/>
          <w:sz w:val="16"/>
          <w:szCs w:val="16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703"/>
        <w:gridCol w:w="4269"/>
      </w:tblGrid>
      <w:tr w:rsidR="00E56BFB" w:rsidRPr="008E0398" w:rsidTr="008E0398">
        <w:tc>
          <w:tcPr>
            <w:tcW w:w="2108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03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269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7130E8" w:rsidRPr="008E0398" w:rsidTr="008E0398">
        <w:tc>
          <w:tcPr>
            <w:tcW w:w="2108" w:type="dxa"/>
            <w:shd w:val="clear" w:color="auto" w:fill="auto"/>
          </w:tcPr>
          <w:p w:rsidR="007130E8" w:rsidRPr="008E0398" w:rsidRDefault="007130E8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03" w:type="dxa"/>
            <w:shd w:val="clear" w:color="auto" w:fill="auto"/>
          </w:tcPr>
          <w:p w:rsidR="007130E8" w:rsidRPr="008E0398" w:rsidRDefault="00AB0640" w:rsidP="008E03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39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7130E8" w:rsidRPr="008E0398" w:rsidRDefault="0004678D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Проблема продовжує існувати</w:t>
            </w:r>
            <w:r w:rsidR="00780F99" w:rsidRPr="008E0398">
              <w:rPr>
                <w:sz w:val="24"/>
                <w:szCs w:val="24"/>
                <w:lang w:val="uk-UA"/>
              </w:rPr>
              <w:t xml:space="preserve"> тривалий час.</w:t>
            </w:r>
            <w:r w:rsidRPr="008E0398">
              <w:rPr>
                <w:sz w:val="24"/>
                <w:szCs w:val="24"/>
                <w:lang w:val="uk-UA"/>
              </w:rPr>
              <w:t xml:space="preserve"> </w:t>
            </w:r>
            <w:r w:rsidR="00780F99" w:rsidRPr="008E0398">
              <w:rPr>
                <w:sz w:val="24"/>
                <w:szCs w:val="24"/>
                <w:lang w:val="uk-UA"/>
              </w:rPr>
              <w:t xml:space="preserve">Відсутня впевненість щодо вирішення проблем </w:t>
            </w:r>
            <w:r w:rsidR="00143AFC" w:rsidRPr="008E0398">
              <w:rPr>
                <w:sz w:val="24"/>
                <w:szCs w:val="24"/>
                <w:lang w:val="uk-UA"/>
              </w:rPr>
              <w:t>у</w:t>
            </w:r>
            <w:r w:rsidR="00780F99" w:rsidRPr="008E0398">
              <w:rPr>
                <w:sz w:val="24"/>
                <w:szCs w:val="24"/>
                <w:lang w:val="uk-UA"/>
              </w:rPr>
              <w:t xml:space="preserve"> майбутньому</w:t>
            </w:r>
            <w:r w:rsidR="006E2ED5" w:rsidRPr="008E0398">
              <w:rPr>
                <w:sz w:val="24"/>
                <w:szCs w:val="24"/>
                <w:lang w:val="uk-UA"/>
              </w:rPr>
              <w:t>.</w:t>
            </w:r>
          </w:p>
        </w:tc>
      </w:tr>
      <w:tr w:rsidR="00483A13" w:rsidRPr="008E0398" w:rsidTr="008E0398">
        <w:trPr>
          <w:trHeight w:val="115"/>
        </w:trPr>
        <w:tc>
          <w:tcPr>
            <w:tcW w:w="2108" w:type="dxa"/>
            <w:shd w:val="clear" w:color="auto" w:fill="auto"/>
          </w:tcPr>
          <w:p w:rsidR="00483A13" w:rsidRPr="008E0398" w:rsidRDefault="00483A13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703" w:type="dxa"/>
            <w:shd w:val="clear" w:color="auto" w:fill="auto"/>
          </w:tcPr>
          <w:p w:rsidR="00483A13" w:rsidRPr="008E0398" w:rsidRDefault="00483A13" w:rsidP="008E03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39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483A13" w:rsidRPr="008E0398" w:rsidRDefault="00483A13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lang w:val="uk-UA"/>
              </w:rPr>
              <w:t>Цілі прийняття регуляторного акта можуть бути досягнуті повною мірою, запровадяться нові та більш доступні канали зв’язку з торговцем для інвесторів та можливість швидкого інвестування, зокрема, в ОВДП,  збільшиться рівень довіри зі сторони потенційних інвесторів.</w:t>
            </w:r>
          </w:p>
        </w:tc>
      </w:tr>
      <w:tr w:rsidR="00483A13" w:rsidRPr="008E0398" w:rsidTr="008E0398">
        <w:trPr>
          <w:trHeight w:val="115"/>
        </w:trPr>
        <w:tc>
          <w:tcPr>
            <w:tcW w:w="2108" w:type="dxa"/>
            <w:shd w:val="clear" w:color="auto" w:fill="auto"/>
          </w:tcPr>
          <w:p w:rsidR="00483A13" w:rsidRPr="008E0398" w:rsidRDefault="00483A13" w:rsidP="00746833">
            <w:pPr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703" w:type="dxa"/>
            <w:shd w:val="clear" w:color="auto" w:fill="auto"/>
          </w:tcPr>
          <w:p w:rsidR="00483A13" w:rsidRPr="008E0398" w:rsidRDefault="00483A13" w:rsidP="008E03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39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483A13" w:rsidRPr="008E0398" w:rsidRDefault="00483A13" w:rsidP="008E0398">
            <w:pPr>
              <w:jc w:val="both"/>
              <w:rPr>
                <w:sz w:val="24"/>
                <w:lang w:val="uk-UA"/>
              </w:rPr>
            </w:pPr>
            <w:r w:rsidRPr="008E0398">
              <w:rPr>
                <w:sz w:val="24"/>
                <w:lang w:val="uk-UA"/>
              </w:rPr>
              <w:t xml:space="preserve">Цілі прийняття регуляторного акта можуть бути досягнуті лише частково, проте </w:t>
            </w:r>
            <w:r w:rsidRPr="008E0398">
              <w:rPr>
                <w:bCs/>
                <w:iCs/>
                <w:sz w:val="24"/>
                <w:lang w:val="uk-UA"/>
              </w:rPr>
              <w:t xml:space="preserve">існуватиме ризик свідомого невиконання учасниками </w:t>
            </w:r>
            <w:r w:rsidR="004B7C2F" w:rsidRPr="008E0398">
              <w:rPr>
                <w:bCs/>
                <w:iCs/>
                <w:sz w:val="24"/>
                <w:lang w:val="uk-UA"/>
              </w:rPr>
              <w:t>ринку</w:t>
            </w:r>
            <w:r w:rsidRPr="008E0398">
              <w:rPr>
                <w:bCs/>
                <w:iCs/>
                <w:sz w:val="24"/>
                <w:lang w:val="uk-UA"/>
              </w:rPr>
              <w:t xml:space="preserve"> його вимог в очікуванні постійного загального регулювання.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2700"/>
        <w:gridCol w:w="3600"/>
      </w:tblGrid>
      <w:tr w:rsidR="008E0398" w:rsidRPr="008E0398" w:rsidTr="008E0398">
        <w:tc>
          <w:tcPr>
            <w:tcW w:w="1080" w:type="dxa"/>
            <w:shd w:val="clear" w:color="auto" w:fill="auto"/>
          </w:tcPr>
          <w:p w:rsidR="002375AB" w:rsidRPr="008E0398" w:rsidRDefault="00E56BFB" w:rsidP="008E0398">
            <w:pPr>
              <w:pStyle w:val="a4"/>
              <w:jc w:val="center"/>
              <w:rPr>
                <w:sz w:val="20"/>
                <w:szCs w:val="20"/>
              </w:rPr>
            </w:pPr>
            <w:r w:rsidRPr="008E0398">
              <w:rPr>
                <w:sz w:val="20"/>
                <w:szCs w:val="20"/>
              </w:rPr>
              <w:t>Рейтинг результатив</w:t>
            </w:r>
            <w:r w:rsidR="002375AB" w:rsidRPr="008E0398">
              <w:rPr>
                <w:sz w:val="20"/>
                <w:szCs w:val="20"/>
              </w:rPr>
              <w:t>-</w:t>
            </w:r>
          </w:p>
          <w:p w:rsidR="00E56BFB" w:rsidRPr="008E0398" w:rsidRDefault="00E56BFB" w:rsidP="008E0398">
            <w:pPr>
              <w:pStyle w:val="a4"/>
              <w:jc w:val="center"/>
              <w:rPr>
                <w:sz w:val="20"/>
                <w:szCs w:val="20"/>
              </w:rPr>
            </w:pPr>
            <w:r w:rsidRPr="008E0398">
              <w:rPr>
                <w:sz w:val="20"/>
                <w:szCs w:val="20"/>
              </w:rPr>
              <w:t>ності</w:t>
            </w:r>
          </w:p>
        </w:tc>
        <w:tc>
          <w:tcPr>
            <w:tcW w:w="2700" w:type="dxa"/>
            <w:shd w:val="clear" w:color="auto" w:fill="auto"/>
          </w:tcPr>
          <w:p w:rsidR="00E56BFB" w:rsidRPr="008E0398" w:rsidRDefault="00E56BFB" w:rsidP="008E0398">
            <w:pPr>
              <w:pStyle w:val="a4"/>
              <w:jc w:val="center"/>
              <w:rPr>
                <w:sz w:val="20"/>
                <w:szCs w:val="20"/>
              </w:rPr>
            </w:pPr>
            <w:r w:rsidRPr="008E0398">
              <w:rPr>
                <w:sz w:val="20"/>
                <w:szCs w:val="20"/>
              </w:rPr>
              <w:t>Вигоди (підсумок)</w:t>
            </w:r>
          </w:p>
        </w:tc>
        <w:tc>
          <w:tcPr>
            <w:tcW w:w="2700" w:type="dxa"/>
            <w:shd w:val="clear" w:color="auto" w:fill="auto"/>
          </w:tcPr>
          <w:p w:rsidR="00E56BFB" w:rsidRPr="008E0398" w:rsidRDefault="00E56BFB" w:rsidP="008E0398">
            <w:pPr>
              <w:pStyle w:val="a4"/>
              <w:jc w:val="center"/>
              <w:rPr>
                <w:sz w:val="20"/>
                <w:szCs w:val="20"/>
              </w:rPr>
            </w:pPr>
            <w:r w:rsidRPr="008E0398">
              <w:rPr>
                <w:sz w:val="20"/>
                <w:szCs w:val="20"/>
              </w:rPr>
              <w:t>Витрати (підсумок)</w:t>
            </w:r>
          </w:p>
        </w:tc>
        <w:tc>
          <w:tcPr>
            <w:tcW w:w="3600" w:type="dxa"/>
            <w:shd w:val="clear" w:color="auto" w:fill="auto"/>
          </w:tcPr>
          <w:p w:rsidR="00E56BFB" w:rsidRPr="008E0398" w:rsidRDefault="00E56BFB" w:rsidP="008E0398">
            <w:pPr>
              <w:pStyle w:val="a4"/>
              <w:jc w:val="center"/>
              <w:rPr>
                <w:sz w:val="20"/>
                <w:szCs w:val="20"/>
              </w:rPr>
            </w:pPr>
            <w:r w:rsidRPr="008E0398">
              <w:rPr>
                <w:sz w:val="20"/>
                <w:szCs w:val="20"/>
              </w:rPr>
              <w:t>Обґрунтування відповідного місця альтернативи у рейтингу</w:t>
            </w:r>
          </w:p>
        </w:tc>
      </w:tr>
      <w:tr w:rsidR="008E0398" w:rsidRPr="008E0398" w:rsidTr="008E0398">
        <w:trPr>
          <w:trHeight w:val="115"/>
        </w:trPr>
        <w:tc>
          <w:tcPr>
            <w:tcW w:w="1080" w:type="dxa"/>
            <w:shd w:val="clear" w:color="auto" w:fill="auto"/>
          </w:tcPr>
          <w:p w:rsidR="007130E8" w:rsidRPr="008E0398" w:rsidRDefault="007130E8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2700" w:type="dxa"/>
            <w:shd w:val="clear" w:color="auto" w:fill="auto"/>
          </w:tcPr>
          <w:p w:rsidR="00BF7E9C" w:rsidRPr="008E0398" w:rsidRDefault="001204D4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Для держави - в</w:t>
            </w:r>
            <w:r w:rsidR="007130E8" w:rsidRPr="008E0398">
              <w:rPr>
                <w:b w:val="0"/>
                <w:sz w:val="24"/>
              </w:rPr>
              <w:t>исока результативність, ефективність, політична та адміністративна здійсненність</w:t>
            </w:r>
            <w:r w:rsidRPr="008E0398">
              <w:rPr>
                <w:b w:val="0"/>
                <w:sz w:val="24"/>
              </w:rPr>
              <w:t xml:space="preserve">. </w:t>
            </w:r>
          </w:p>
          <w:p w:rsidR="007130E8" w:rsidRPr="008E0398" w:rsidRDefault="001204D4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Для громадян – </w:t>
            </w:r>
            <w:r w:rsidR="00DE2DC2" w:rsidRPr="008E0398">
              <w:rPr>
                <w:b w:val="0"/>
                <w:sz w:val="24"/>
              </w:rPr>
              <w:t>розширення можливостей інвесторів</w:t>
            </w:r>
            <w:r w:rsidR="00BF7E9C" w:rsidRPr="008E0398">
              <w:rPr>
                <w:b w:val="0"/>
                <w:sz w:val="24"/>
              </w:rPr>
              <w:t>, як наслідок,</w:t>
            </w:r>
            <w:r w:rsidRPr="008E0398">
              <w:rPr>
                <w:b w:val="0"/>
                <w:sz w:val="24"/>
              </w:rPr>
              <w:t xml:space="preserve"> </w:t>
            </w:r>
            <w:r w:rsidR="00BF7E9C" w:rsidRPr="008E0398">
              <w:rPr>
                <w:b w:val="0"/>
                <w:sz w:val="24"/>
              </w:rPr>
              <w:t>д</w:t>
            </w:r>
            <w:r w:rsidRPr="008E0398">
              <w:rPr>
                <w:b w:val="0"/>
                <w:sz w:val="24"/>
              </w:rPr>
              <w:t xml:space="preserve">ля </w:t>
            </w:r>
            <w:r w:rsidR="009D16ED" w:rsidRPr="008E0398">
              <w:rPr>
                <w:b w:val="0"/>
                <w:sz w:val="24"/>
              </w:rPr>
              <w:t>торговців</w:t>
            </w:r>
            <w:r w:rsidRPr="008E0398">
              <w:rPr>
                <w:b w:val="0"/>
                <w:sz w:val="24"/>
              </w:rPr>
              <w:t xml:space="preserve"> </w:t>
            </w:r>
            <w:r w:rsidR="008B541C" w:rsidRPr="008E0398">
              <w:rPr>
                <w:b w:val="0"/>
                <w:sz w:val="24"/>
              </w:rPr>
              <w:t>–</w:t>
            </w:r>
            <w:r w:rsidRPr="008E0398">
              <w:rPr>
                <w:b w:val="0"/>
                <w:sz w:val="24"/>
              </w:rPr>
              <w:t xml:space="preserve"> </w:t>
            </w:r>
            <w:r w:rsidR="00BF7E9C" w:rsidRPr="008E0398">
              <w:rPr>
                <w:b w:val="0"/>
                <w:color w:val="000000"/>
                <w:sz w:val="24"/>
              </w:rPr>
              <w:t xml:space="preserve">збільшення довіри до </w:t>
            </w:r>
            <w:r w:rsidR="009D16ED" w:rsidRPr="008E0398">
              <w:rPr>
                <w:b w:val="0"/>
                <w:color w:val="000000"/>
                <w:sz w:val="24"/>
              </w:rPr>
              <w:t>їхньої діяльності</w:t>
            </w:r>
            <w:r w:rsidR="00B5564A" w:rsidRPr="008E0398">
              <w:rPr>
                <w:b w:val="0"/>
                <w:color w:val="000000"/>
                <w:sz w:val="24"/>
              </w:rPr>
              <w:t xml:space="preserve"> з боку інвесторів</w:t>
            </w:r>
            <w:r w:rsidR="00FF2BC0" w:rsidRPr="008E0398">
              <w:rPr>
                <w:b w:val="0"/>
                <w:color w:val="000000"/>
                <w:sz w:val="24"/>
              </w:rPr>
              <w:t xml:space="preserve"> та отримання</w:t>
            </w:r>
            <w:r w:rsidR="00BF7E9C" w:rsidRPr="008E0398">
              <w:rPr>
                <w:b w:val="0"/>
                <w:color w:val="000000"/>
                <w:sz w:val="24"/>
              </w:rPr>
              <w:t xml:space="preserve"> </w:t>
            </w:r>
            <w:r w:rsidR="00FF2BC0" w:rsidRPr="008E0398">
              <w:rPr>
                <w:b w:val="0"/>
                <w:sz w:val="24"/>
              </w:rPr>
              <w:t xml:space="preserve">можливості більш швидкої </w:t>
            </w:r>
            <w:r w:rsidR="00E85F93" w:rsidRPr="008E0398">
              <w:rPr>
                <w:b w:val="0"/>
                <w:sz w:val="24"/>
              </w:rPr>
              <w:t>та доступної взаємодії з клієнта</w:t>
            </w:r>
            <w:r w:rsidR="00FF2BC0" w:rsidRPr="008E0398">
              <w:rPr>
                <w:b w:val="0"/>
                <w:sz w:val="24"/>
              </w:rPr>
              <w:t>м</w:t>
            </w:r>
            <w:r w:rsidR="00E85F93" w:rsidRPr="008E0398">
              <w:rPr>
                <w:b w:val="0"/>
                <w:sz w:val="24"/>
              </w:rPr>
              <w:t>и</w:t>
            </w:r>
            <w:r w:rsidR="00FF2BC0" w:rsidRPr="008E0398">
              <w:rPr>
                <w:b w:val="0"/>
                <w:sz w:val="24"/>
              </w:rPr>
              <w:t xml:space="preserve"> та іншими торговцями.</w:t>
            </w:r>
          </w:p>
        </w:tc>
        <w:tc>
          <w:tcPr>
            <w:tcW w:w="2700" w:type="dxa"/>
            <w:shd w:val="clear" w:color="auto" w:fill="auto"/>
          </w:tcPr>
          <w:p w:rsidR="009E5A18" w:rsidRPr="008E0398" w:rsidRDefault="009E5A18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Додаткове навантаження на працівників НКЦПФР щодо необхідності здійснювати контрольно-наглядові функції.</w:t>
            </w:r>
          </w:p>
          <w:p w:rsidR="00264E97" w:rsidRPr="008E0398" w:rsidRDefault="00264E97" w:rsidP="008E0398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446AD" w:rsidRPr="008E0398" w:rsidRDefault="00FD0C6B" w:rsidP="008E039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Прийняття даного регуляторного акту</w:t>
            </w:r>
            <w:r w:rsidR="009446AD" w:rsidRPr="008E0398">
              <w:rPr>
                <w:color w:val="000000"/>
                <w:sz w:val="24"/>
                <w:szCs w:val="24"/>
                <w:lang w:val="uk-UA"/>
              </w:rPr>
              <w:t xml:space="preserve"> сприятиме системному вирішенню існуючих </w:t>
            </w:r>
            <w:r w:rsidR="009446AD" w:rsidRPr="008E0398">
              <w:rPr>
                <w:sz w:val="24"/>
                <w:szCs w:val="24"/>
                <w:lang w:val="uk-UA"/>
              </w:rPr>
              <w:t>проблем</w:t>
            </w:r>
            <w:r w:rsidRPr="008E0398">
              <w:rPr>
                <w:sz w:val="24"/>
                <w:szCs w:val="24"/>
                <w:lang w:val="uk-UA"/>
              </w:rPr>
              <w:t xml:space="preserve"> функціонування фондового ринку:</w:t>
            </w:r>
          </w:p>
          <w:p w:rsidR="00FD0C6B" w:rsidRPr="008E0398" w:rsidRDefault="00FD0C6B" w:rsidP="008E0398">
            <w:pPr>
              <w:pStyle w:val="a4"/>
              <w:jc w:val="left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- п</w:t>
            </w:r>
            <w:r w:rsidR="009446AD" w:rsidRPr="008E0398">
              <w:rPr>
                <w:b w:val="0"/>
                <w:sz w:val="24"/>
              </w:rPr>
              <w:t>ідвищ</w:t>
            </w:r>
            <w:r w:rsidRPr="008E0398">
              <w:rPr>
                <w:b w:val="0"/>
                <w:sz w:val="24"/>
              </w:rPr>
              <w:t>иться</w:t>
            </w:r>
            <w:r w:rsidR="009446AD" w:rsidRPr="008E0398">
              <w:rPr>
                <w:b w:val="0"/>
                <w:sz w:val="24"/>
              </w:rPr>
              <w:t xml:space="preserve"> довір</w:t>
            </w:r>
            <w:r w:rsidRPr="008E0398">
              <w:rPr>
                <w:b w:val="0"/>
                <w:sz w:val="24"/>
              </w:rPr>
              <w:t>а</w:t>
            </w:r>
            <w:r w:rsidR="009446AD" w:rsidRPr="008E0398">
              <w:rPr>
                <w:b w:val="0"/>
                <w:sz w:val="24"/>
              </w:rPr>
              <w:t xml:space="preserve"> внутрішнього інвестора</w:t>
            </w:r>
            <w:r w:rsidRPr="008E0398">
              <w:rPr>
                <w:b w:val="0"/>
                <w:sz w:val="24"/>
              </w:rPr>
              <w:t>, що призведе</w:t>
            </w:r>
            <w:r w:rsidR="009446AD" w:rsidRPr="008E0398">
              <w:rPr>
                <w:b w:val="0"/>
                <w:sz w:val="24"/>
              </w:rPr>
              <w:t xml:space="preserve"> до збільшення інвестицій в економіку України.</w:t>
            </w:r>
          </w:p>
          <w:p w:rsidR="008C62D7" w:rsidRPr="008E0398" w:rsidRDefault="00FD0C6B" w:rsidP="00A15D3D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- </w:t>
            </w:r>
            <w:r w:rsidR="009D2139" w:rsidRPr="008E0398">
              <w:rPr>
                <w:b w:val="0"/>
                <w:sz w:val="24"/>
              </w:rPr>
              <w:t>спрощення</w:t>
            </w:r>
            <w:r w:rsidR="00A15D3D" w:rsidRPr="008E0398">
              <w:rPr>
                <w:b w:val="0"/>
                <w:sz w:val="24"/>
              </w:rPr>
              <w:t xml:space="preserve"> діяльності торговців </w:t>
            </w:r>
            <w:r w:rsidR="009D2139" w:rsidRPr="008E0398">
              <w:rPr>
                <w:b w:val="0"/>
                <w:sz w:val="24"/>
              </w:rPr>
              <w:t>цінними паперами шляхом більш</w:t>
            </w:r>
            <w:r w:rsidR="00A15D3D" w:rsidRPr="008E0398">
              <w:rPr>
                <w:b w:val="0"/>
                <w:sz w:val="24"/>
              </w:rPr>
              <w:t xml:space="preserve"> </w:t>
            </w:r>
            <w:r w:rsidR="009D2139" w:rsidRPr="008E0398">
              <w:rPr>
                <w:b w:val="0"/>
                <w:sz w:val="24"/>
              </w:rPr>
              <w:t>швидкої та доступної взаємодії з клієнтами</w:t>
            </w:r>
            <w:r w:rsidR="00A15D3D" w:rsidRPr="008E0398">
              <w:rPr>
                <w:b w:val="0"/>
                <w:sz w:val="24"/>
              </w:rPr>
              <w:t xml:space="preserve"> </w:t>
            </w:r>
            <w:r w:rsidR="00ED78D2" w:rsidRPr="008E0398">
              <w:rPr>
                <w:b w:val="0"/>
                <w:sz w:val="24"/>
              </w:rPr>
              <w:t>та іншими торговцями.</w:t>
            </w:r>
          </w:p>
        </w:tc>
      </w:tr>
      <w:tr w:rsidR="004048CF" w:rsidRPr="008E0398" w:rsidTr="008E0398">
        <w:trPr>
          <w:trHeight w:val="115"/>
        </w:trPr>
        <w:tc>
          <w:tcPr>
            <w:tcW w:w="1080" w:type="dxa"/>
            <w:shd w:val="clear" w:color="auto" w:fill="auto"/>
          </w:tcPr>
          <w:p w:rsidR="004048CF" w:rsidRPr="008E0398" w:rsidRDefault="004048CF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lang w:val="uk-UA"/>
              </w:rPr>
              <w:t>Відсутність регулювання</w:t>
            </w:r>
          </w:p>
        </w:tc>
        <w:tc>
          <w:tcPr>
            <w:tcW w:w="2700" w:type="dxa"/>
            <w:shd w:val="clear" w:color="auto" w:fill="auto"/>
          </w:tcPr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Для держави відсутня необхідність здійснення контрольно-наглядових функцій.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Для громадян вигоди відсутні.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Для торговців – </w:t>
            </w:r>
            <w:r w:rsidRPr="008E0398">
              <w:rPr>
                <w:sz w:val="24"/>
                <w:lang w:val="uk-UA"/>
              </w:rPr>
              <w:t xml:space="preserve">відсутність можливості більш швидкої та доступної взаємодії з клієнтами та іншими торговцями. </w:t>
            </w:r>
          </w:p>
        </w:tc>
        <w:tc>
          <w:tcPr>
            <w:tcW w:w="2700" w:type="dxa"/>
            <w:shd w:val="clear" w:color="auto" w:fill="auto"/>
          </w:tcPr>
          <w:p w:rsidR="004048CF" w:rsidRPr="008E0398" w:rsidRDefault="004048CF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Дуже тривалий та невизначений час для реалізації.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Відсутність впевненості щодо вирішення проблем. 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Не отримані інвестиції від фізичних та юридичних осіб.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4048CF" w:rsidRPr="008E0398" w:rsidRDefault="004048CF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Альтернатива має низьку ефективність. Цілі прийняття регуляторного акта не можуть бути досягнуті в найближчий час, тобто проблема продовжить існувати.</w:t>
            </w:r>
          </w:p>
          <w:p w:rsidR="004048CF" w:rsidRPr="008E0398" w:rsidRDefault="004048CF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>Може збільшитись кількість звернень, скарг від фізичних та юридичних осіб.</w:t>
            </w:r>
          </w:p>
        </w:tc>
      </w:tr>
      <w:tr w:rsidR="008E0398" w:rsidRPr="008E0398" w:rsidTr="008E0398">
        <w:trPr>
          <w:trHeight w:val="115"/>
        </w:trPr>
        <w:tc>
          <w:tcPr>
            <w:tcW w:w="1080" w:type="dxa"/>
            <w:shd w:val="clear" w:color="auto" w:fill="auto"/>
          </w:tcPr>
          <w:p w:rsidR="004048CF" w:rsidRPr="008E0398" w:rsidRDefault="004048CF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bCs/>
                <w:iCs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lang w:val="uk-UA"/>
              </w:rPr>
              <w:t xml:space="preserve"> деривативів</w:t>
            </w:r>
          </w:p>
        </w:tc>
        <w:tc>
          <w:tcPr>
            <w:tcW w:w="2700" w:type="dxa"/>
            <w:shd w:val="clear" w:color="auto" w:fill="auto"/>
          </w:tcPr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Для держави – </w:t>
            </w:r>
            <w:r w:rsidR="00C86B29" w:rsidRPr="008E0398">
              <w:rPr>
                <w:sz w:val="24"/>
                <w:szCs w:val="24"/>
                <w:lang w:val="uk-UA"/>
              </w:rPr>
              <w:t>тимчасове врегулювання питань щодо популяризації ОВДП серед внутрішнього інвестора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Для </w:t>
            </w:r>
            <w:r w:rsidR="00C86B29" w:rsidRPr="008E0398">
              <w:rPr>
                <w:sz w:val="24"/>
                <w:szCs w:val="24"/>
                <w:lang w:val="uk-UA"/>
              </w:rPr>
              <w:t>торговців</w:t>
            </w:r>
            <w:r w:rsidRPr="008E0398">
              <w:rPr>
                <w:sz w:val="24"/>
                <w:szCs w:val="24"/>
                <w:lang w:val="uk-UA"/>
              </w:rPr>
              <w:t xml:space="preserve"> - </w:t>
            </w:r>
            <w:r w:rsidR="00F56692" w:rsidRPr="008E0398">
              <w:rPr>
                <w:sz w:val="24"/>
                <w:szCs w:val="24"/>
                <w:lang w:val="uk-UA"/>
              </w:rPr>
              <w:t xml:space="preserve">тимчасове врегулювання питань щодо </w:t>
            </w:r>
            <w:r w:rsidR="00F56692" w:rsidRPr="008E0398">
              <w:rPr>
                <w:sz w:val="24"/>
                <w:lang w:val="uk-UA"/>
              </w:rPr>
              <w:t xml:space="preserve">більш доступнішої та швидкої </w:t>
            </w:r>
            <w:r w:rsidR="00F56692" w:rsidRPr="008E0398">
              <w:rPr>
                <w:color w:val="000000"/>
                <w:sz w:val="24"/>
                <w:lang w:val="uk-UA"/>
              </w:rPr>
              <w:t>взаємодії між торговцем цінними паперами та його клієнтами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 xml:space="preserve">Для громадян - тимчасове врегулювання питань щодо </w:t>
            </w:r>
            <w:r w:rsidR="00F56692" w:rsidRPr="008E0398">
              <w:rPr>
                <w:sz w:val="24"/>
                <w:lang w:val="uk-UA"/>
              </w:rPr>
              <w:t xml:space="preserve">більш доступнішої та швидкої </w:t>
            </w:r>
            <w:r w:rsidR="00F56692" w:rsidRPr="008E0398">
              <w:rPr>
                <w:color w:val="000000"/>
                <w:sz w:val="24"/>
                <w:lang w:val="uk-UA"/>
              </w:rPr>
              <w:t>взаємодії з торговцем цінними паперами</w:t>
            </w: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048CF" w:rsidRPr="008E0398" w:rsidRDefault="004048CF" w:rsidP="008E0398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8E0398">
              <w:rPr>
                <w:bCs/>
                <w:iCs/>
                <w:sz w:val="24"/>
                <w:szCs w:val="24"/>
                <w:lang w:val="uk-UA"/>
              </w:rPr>
              <w:t>Прийняття тимчасового регуляторного акта не відповідає принципу послідовності регуляторної діяльності.</w:t>
            </w:r>
          </w:p>
          <w:p w:rsidR="004048CF" w:rsidRPr="008E0398" w:rsidRDefault="004048CF" w:rsidP="008E0398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  <w:p w:rsidR="004048CF" w:rsidRPr="008E0398" w:rsidRDefault="004048CF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bCs/>
                <w:iCs/>
                <w:sz w:val="24"/>
                <w:szCs w:val="24"/>
                <w:lang w:val="uk-UA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  <w:tc>
          <w:tcPr>
            <w:tcW w:w="3600" w:type="dxa"/>
            <w:shd w:val="clear" w:color="auto" w:fill="auto"/>
          </w:tcPr>
          <w:p w:rsidR="004048CF" w:rsidRPr="008E0398" w:rsidRDefault="004048CF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Цілі прийняття регуляторного акта можуть бути досягнуті лише частково, проте </w:t>
            </w:r>
            <w:r w:rsidRPr="008E0398">
              <w:rPr>
                <w:b w:val="0"/>
                <w:bCs w:val="0"/>
                <w:iCs/>
                <w:sz w:val="24"/>
              </w:rPr>
              <w:t>існуватиме ризик свідомого невиконання учасниками торгів його вимог в очікуванні постійного загального регулювання.</w:t>
            </w:r>
          </w:p>
        </w:tc>
      </w:tr>
    </w:tbl>
    <w:p w:rsidR="00E35770" w:rsidRPr="008A476B" w:rsidRDefault="00E35770" w:rsidP="00E56BFB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4392"/>
      </w:tblGrid>
      <w:tr w:rsidR="00E56BFB" w:rsidRPr="008E0398" w:rsidTr="008E0398">
        <w:tc>
          <w:tcPr>
            <w:tcW w:w="1908" w:type="dxa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 xml:space="preserve">Рейтинг </w:t>
            </w:r>
          </w:p>
        </w:tc>
        <w:tc>
          <w:tcPr>
            <w:tcW w:w="3780" w:type="dxa"/>
            <w:shd w:val="clear" w:color="auto" w:fill="auto"/>
          </w:tcPr>
          <w:p w:rsidR="00E56BFB" w:rsidRPr="008E0398" w:rsidRDefault="00E56BFB" w:rsidP="008E0398">
            <w:pPr>
              <w:pStyle w:val="a4"/>
              <w:jc w:val="center"/>
              <w:rPr>
                <w:sz w:val="24"/>
              </w:rPr>
            </w:pPr>
            <w:r w:rsidRPr="008E0398">
              <w:rPr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392" w:type="dxa"/>
            <w:shd w:val="clear" w:color="auto" w:fill="auto"/>
          </w:tcPr>
          <w:p w:rsidR="00E56BFB" w:rsidRPr="008E0398" w:rsidRDefault="00E56BFB" w:rsidP="008E0398">
            <w:pPr>
              <w:pStyle w:val="a4"/>
              <w:jc w:val="center"/>
              <w:rPr>
                <w:sz w:val="24"/>
              </w:rPr>
            </w:pPr>
            <w:r w:rsidRPr="008E0398">
              <w:rPr>
                <w:sz w:val="24"/>
              </w:rPr>
              <w:t>Оцінка ризику</w:t>
            </w:r>
            <w:r w:rsidR="006479B1" w:rsidRPr="008E0398">
              <w:rPr>
                <w:sz w:val="24"/>
              </w:rPr>
              <w:t xml:space="preserve"> впливу</w:t>
            </w:r>
            <w:r w:rsidRPr="008E0398">
              <w:rPr>
                <w:sz w:val="24"/>
              </w:rPr>
              <w:t xml:space="preserve"> зовнішніх чинників на дію запропонованого регуляторного акта</w:t>
            </w:r>
          </w:p>
        </w:tc>
      </w:tr>
      <w:tr w:rsidR="006F5A4D" w:rsidRPr="008E0398" w:rsidTr="008E0398">
        <w:trPr>
          <w:trHeight w:val="115"/>
        </w:trPr>
        <w:tc>
          <w:tcPr>
            <w:tcW w:w="1908" w:type="dxa"/>
            <w:shd w:val="clear" w:color="auto" w:fill="auto"/>
          </w:tcPr>
          <w:p w:rsidR="006F5A4D" w:rsidRPr="008E0398" w:rsidRDefault="006F5A4D" w:rsidP="008E039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6F5A4D" w:rsidRPr="008E0398" w:rsidRDefault="000B2411" w:rsidP="008E039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E0398">
              <w:rPr>
                <w:color w:val="000000"/>
                <w:sz w:val="24"/>
                <w:szCs w:val="24"/>
                <w:lang w:val="uk-UA"/>
              </w:rPr>
              <w:t>Правил</w:t>
            </w:r>
            <w:r w:rsidR="004250F0" w:rsidRPr="008E039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E0398">
              <w:rPr>
                <w:color w:val="000000"/>
                <w:sz w:val="24"/>
                <w:szCs w:val="24"/>
                <w:lang w:val="uk-UA"/>
              </w:rPr>
              <w:t xml:space="preserve"> (умов</w:t>
            </w:r>
            <w:r w:rsidR="004250F0" w:rsidRPr="008E039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8E0398">
              <w:rPr>
                <w:color w:val="000000"/>
                <w:sz w:val="24"/>
                <w:szCs w:val="24"/>
                <w:lang w:val="uk-UA"/>
              </w:rPr>
              <w:t>) здійснення діяльності з торгівлі цінними паперами: брокерської діяльності, дилерської діяльності, андеррайтингу, управління цінними паперами</w:t>
            </w:r>
            <w:r w:rsidR="006F5A4D" w:rsidRPr="008E0398">
              <w:rPr>
                <w:sz w:val="24"/>
                <w:szCs w:val="24"/>
                <w:lang w:val="uk-UA"/>
              </w:rPr>
              <w:t xml:space="preserve"> є базовим та комплексним документом, що регулює</w:t>
            </w:r>
            <w:r w:rsidR="008466D6" w:rsidRPr="008E0398">
              <w:rPr>
                <w:sz w:val="24"/>
                <w:szCs w:val="24"/>
                <w:lang w:val="uk-UA"/>
              </w:rPr>
              <w:t xml:space="preserve"> та конкретизує вимоги щодо діяльності</w:t>
            </w:r>
            <w:r w:rsidR="006F5A4D" w:rsidRPr="008E0398">
              <w:rPr>
                <w:sz w:val="24"/>
                <w:szCs w:val="24"/>
                <w:lang w:val="uk-UA"/>
              </w:rPr>
              <w:t xml:space="preserve"> </w:t>
            </w:r>
            <w:r w:rsidR="008466D6" w:rsidRPr="008E0398">
              <w:rPr>
                <w:sz w:val="24"/>
                <w:szCs w:val="24"/>
                <w:lang w:val="uk-UA"/>
              </w:rPr>
              <w:t>торговців цінними паперами</w:t>
            </w:r>
            <w:r w:rsidR="006F5A4D" w:rsidRPr="008E0398">
              <w:rPr>
                <w:color w:val="000000"/>
                <w:sz w:val="24"/>
                <w:szCs w:val="24"/>
                <w:lang w:val="uk-UA"/>
              </w:rPr>
              <w:t>. Тому внесення змін до нього дозволить досягти цілей прийняття регуляторного акта</w:t>
            </w:r>
            <w:r w:rsidR="006A0639" w:rsidRPr="008E0398">
              <w:rPr>
                <w:color w:val="000000"/>
                <w:sz w:val="24"/>
                <w:szCs w:val="24"/>
                <w:lang w:val="uk-UA"/>
              </w:rPr>
              <w:t>, а саме:</w:t>
            </w:r>
            <w:r w:rsidR="00232129" w:rsidRPr="008E039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70A67" w:rsidRPr="008E0398">
              <w:rPr>
                <w:color w:val="000000"/>
                <w:sz w:val="24"/>
                <w:szCs w:val="24"/>
                <w:lang w:val="uk-UA"/>
              </w:rPr>
              <w:t xml:space="preserve">інвестори отримають </w:t>
            </w:r>
            <w:r w:rsidR="00697C00" w:rsidRPr="008E0398">
              <w:rPr>
                <w:sz w:val="24"/>
                <w:szCs w:val="24"/>
                <w:lang w:val="uk-UA"/>
              </w:rPr>
              <w:lastRenderedPageBreak/>
              <w:t>спрощення</w:t>
            </w:r>
            <w:r w:rsidR="00697C00" w:rsidRPr="008E0398">
              <w:rPr>
                <w:sz w:val="28"/>
                <w:szCs w:val="28"/>
                <w:lang w:val="uk-UA"/>
              </w:rPr>
              <w:t xml:space="preserve"> </w:t>
            </w:r>
            <w:r w:rsidR="00697C00" w:rsidRPr="008E0398">
              <w:rPr>
                <w:sz w:val="24"/>
                <w:szCs w:val="24"/>
                <w:lang w:val="uk-UA"/>
              </w:rPr>
              <w:t>процедури взаємодії з торговцем цінними паперами під час укладання договорів та/або надання разових замовлень та їх виконання</w:t>
            </w:r>
            <w:r w:rsidR="00147EFE" w:rsidRPr="008E0398">
              <w:rPr>
                <w:sz w:val="24"/>
                <w:szCs w:val="24"/>
                <w:lang w:val="uk-UA"/>
              </w:rPr>
              <w:t>, зокрема, щодо купівлі ОВДП</w:t>
            </w:r>
            <w:r w:rsidR="008466D6" w:rsidRPr="008E0398">
              <w:rPr>
                <w:color w:val="000000"/>
                <w:sz w:val="24"/>
                <w:szCs w:val="24"/>
                <w:lang w:val="uk-UA"/>
              </w:rPr>
              <w:t xml:space="preserve">, а торговці </w:t>
            </w:r>
            <w:r w:rsidR="00697C00" w:rsidRPr="008E0398">
              <w:rPr>
                <w:color w:val="000000"/>
                <w:sz w:val="24"/>
                <w:szCs w:val="24"/>
                <w:lang w:val="uk-UA"/>
              </w:rPr>
              <w:t xml:space="preserve">отримують </w:t>
            </w:r>
            <w:r w:rsidR="00697C00" w:rsidRPr="008E0398">
              <w:rPr>
                <w:sz w:val="24"/>
                <w:szCs w:val="24"/>
                <w:lang w:val="uk-UA"/>
              </w:rPr>
              <w:t>спрощення процедури укладання певних договорів між торгівцями цінними паперами на неорганізованому ринку</w:t>
            </w:r>
            <w:r w:rsidR="005909D3" w:rsidRPr="008E0398">
              <w:rPr>
                <w:sz w:val="24"/>
                <w:szCs w:val="24"/>
                <w:lang w:val="uk-UA"/>
              </w:rPr>
              <w:t xml:space="preserve"> та нові канали зв’язку з клієнтами</w:t>
            </w:r>
            <w:r w:rsidR="00232129" w:rsidRPr="008E039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6F5A4D" w:rsidRPr="008E0398" w:rsidRDefault="006F5A4D" w:rsidP="008E0398">
            <w:pPr>
              <w:pStyle w:val="a3"/>
              <w:ind w:right="21" w:firstLine="7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lastRenderedPageBreak/>
              <w:t xml:space="preserve">На дію регуляторного акта можуть вплинути зміни в </w:t>
            </w:r>
            <w:r w:rsidR="005521ED" w:rsidRPr="008E0398">
              <w:rPr>
                <w:b w:val="0"/>
                <w:sz w:val="24"/>
                <w:szCs w:val="24"/>
              </w:rPr>
              <w:t>законодавчих актах України та Директивах ЄС</w:t>
            </w:r>
            <w:r w:rsidRPr="008E0398">
              <w:rPr>
                <w:b w:val="0"/>
                <w:sz w:val="24"/>
                <w:szCs w:val="24"/>
              </w:rPr>
              <w:t xml:space="preserve">. Вплив може мати як позитивний (наприклад, у разі встановлення більш жорсткої відповідальності за порушення законодавства  на ринку цінних паперів, зокрема </w:t>
            </w:r>
            <w:r w:rsidR="005521ED" w:rsidRPr="008E0398">
              <w:rPr>
                <w:b w:val="0"/>
                <w:sz w:val="24"/>
                <w:szCs w:val="24"/>
              </w:rPr>
              <w:t>невиконання договорів з клієнтами у разі прийняття НКЦПФР рішення про анулювання ліцензії до дати набрання чинності таким рішенням</w:t>
            </w:r>
            <w:r w:rsidRPr="008E0398">
              <w:rPr>
                <w:b w:val="0"/>
                <w:color w:val="000000"/>
                <w:sz w:val="24"/>
                <w:szCs w:val="24"/>
              </w:rPr>
              <w:t xml:space="preserve">), так і негативний характер (наприклад, у разі введення </w:t>
            </w:r>
            <w:r w:rsidRPr="008E0398">
              <w:rPr>
                <w:b w:val="0"/>
                <w:color w:val="000000"/>
                <w:sz w:val="24"/>
                <w:szCs w:val="24"/>
              </w:rPr>
              <w:lastRenderedPageBreak/>
              <w:t>надзвичайного стану).</w:t>
            </w:r>
          </w:p>
          <w:p w:rsidR="006F5A4D" w:rsidRPr="008E0398" w:rsidRDefault="006F5A4D" w:rsidP="008E0398">
            <w:pPr>
              <w:pStyle w:val="a4"/>
              <w:ind w:firstLine="792"/>
              <w:rPr>
                <w:sz w:val="24"/>
              </w:rPr>
            </w:pPr>
          </w:p>
        </w:tc>
      </w:tr>
      <w:tr w:rsidR="0046274B" w:rsidRPr="008E0398" w:rsidTr="008E0398">
        <w:trPr>
          <w:trHeight w:val="115"/>
        </w:trPr>
        <w:tc>
          <w:tcPr>
            <w:tcW w:w="1908" w:type="dxa"/>
            <w:shd w:val="clear" w:color="auto" w:fill="auto"/>
          </w:tcPr>
          <w:p w:rsidR="0046274B" w:rsidRPr="008E0398" w:rsidRDefault="0046274B" w:rsidP="008E0398">
            <w:pPr>
              <w:jc w:val="both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lastRenderedPageBreak/>
              <w:t xml:space="preserve">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46274B" w:rsidRPr="008E0398" w:rsidRDefault="0046274B" w:rsidP="00746833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color w:val="000000"/>
                <w:sz w:val="24"/>
              </w:rPr>
              <w:t>Причина відмови від зазначеної альтернативи полягає у тому, що при відсутності державного регулювання фондовий ринок приречений на тривалий еволюційний процес розвитку, що з огляду на амбітні трансформаційні плани євро- та міжнародної економічної інтеграції наша країна не може собі дозволити.</w:t>
            </w:r>
          </w:p>
        </w:tc>
        <w:tc>
          <w:tcPr>
            <w:tcW w:w="4392" w:type="dxa"/>
            <w:shd w:val="clear" w:color="auto" w:fill="auto"/>
          </w:tcPr>
          <w:p w:rsidR="0046274B" w:rsidRPr="008E0398" w:rsidRDefault="0046274B" w:rsidP="008E0398">
            <w:pPr>
              <w:pStyle w:val="a4"/>
              <w:jc w:val="center"/>
              <w:rPr>
                <w:sz w:val="24"/>
              </w:rPr>
            </w:pPr>
            <w:r w:rsidRPr="008E0398">
              <w:rPr>
                <w:sz w:val="24"/>
              </w:rPr>
              <w:t>Х</w:t>
            </w:r>
          </w:p>
        </w:tc>
      </w:tr>
      <w:tr w:rsidR="0046274B" w:rsidRPr="008E0398" w:rsidTr="008E0398">
        <w:trPr>
          <w:trHeight w:val="115"/>
        </w:trPr>
        <w:tc>
          <w:tcPr>
            <w:tcW w:w="1908" w:type="dxa"/>
            <w:shd w:val="clear" w:color="auto" w:fill="auto"/>
          </w:tcPr>
          <w:p w:rsidR="0046274B" w:rsidRPr="008E0398" w:rsidRDefault="00C37CE9" w:rsidP="008E0398">
            <w:pPr>
              <w:jc w:val="both"/>
              <w:rPr>
                <w:sz w:val="24"/>
                <w:szCs w:val="24"/>
                <w:lang w:val="uk-UA"/>
              </w:rPr>
            </w:pPr>
            <w:r w:rsidRPr="008E0398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8E0398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780" w:type="dxa"/>
            <w:shd w:val="clear" w:color="auto" w:fill="auto"/>
          </w:tcPr>
          <w:p w:rsidR="0046274B" w:rsidRPr="008E0398" w:rsidRDefault="00C37CE9" w:rsidP="00E615F9">
            <w:pPr>
              <w:pStyle w:val="a4"/>
              <w:rPr>
                <w:b w:val="0"/>
                <w:sz w:val="24"/>
              </w:rPr>
            </w:pPr>
            <w:r w:rsidRPr="008E0398">
              <w:rPr>
                <w:b w:val="0"/>
                <w:sz w:val="24"/>
              </w:rPr>
              <w:t xml:space="preserve">Тимчасове врегулювання питань щодо більш доступнішої та швидкої </w:t>
            </w:r>
            <w:r w:rsidRPr="008E0398">
              <w:rPr>
                <w:b w:val="0"/>
                <w:color w:val="000000"/>
                <w:sz w:val="24"/>
              </w:rPr>
              <w:t>взаємодії між торговцем цінними паперами та його клієнтами</w:t>
            </w:r>
          </w:p>
        </w:tc>
        <w:tc>
          <w:tcPr>
            <w:tcW w:w="4392" w:type="dxa"/>
            <w:shd w:val="clear" w:color="auto" w:fill="auto"/>
          </w:tcPr>
          <w:p w:rsidR="0046274B" w:rsidRPr="008E0398" w:rsidRDefault="009E75F6" w:rsidP="008E0398">
            <w:pPr>
              <w:pStyle w:val="a3"/>
              <w:ind w:right="21" w:firstLine="7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На дію регуляторного акта можуть вплинути зміни в законодавчих актах України та Директивах ЄС. Вплив може мати як позитивний (наприклад, у разі встановлення більш жорсткої відповідальності за порушення законодавства  на ринку цінних паперів, зокрема невиконання договорів з клієнтами у разі прийняття НКЦПФР рішення про анулювання ліцензії до дати набрання чинності таким рішенням</w:t>
            </w:r>
            <w:r w:rsidRPr="008E0398">
              <w:rPr>
                <w:b w:val="0"/>
                <w:color w:val="000000"/>
                <w:sz w:val="24"/>
                <w:szCs w:val="24"/>
              </w:rPr>
              <w:t>), так і негативний характер (наприклад, у разі введення надзвичайного стану).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E92E1B" w:rsidRDefault="00E56BFB" w:rsidP="00E56BFB">
      <w:pPr>
        <w:ind w:firstLine="709"/>
        <w:jc w:val="center"/>
        <w:rPr>
          <w:b/>
          <w:sz w:val="16"/>
          <w:szCs w:val="16"/>
          <w:lang w:val="uk-UA"/>
        </w:rPr>
      </w:pPr>
    </w:p>
    <w:p w:rsidR="00E56BFB" w:rsidRPr="008A476B" w:rsidRDefault="00E56BFB" w:rsidP="00E56BFB">
      <w:pPr>
        <w:ind w:firstLine="709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V.  Механізми та заходи, які забезпечать розв’язання визначеної проблеми</w:t>
      </w:r>
    </w:p>
    <w:p w:rsidR="00E56BFB" w:rsidRPr="00E92E1B" w:rsidRDefault="00E56BFB" w:rsidP="00E56BFB">
      <w:pPr>
        <w:pStyle w:val="a5"/>
        <w:jc w:val="both"/>
        <w:rPr>
          <w:b/>
          <w:sz w:val="16"/>
          <w:szCs w:val="16"/>
        </w:rPr>
      </w:pPr>
    </w:p>
    <w:p w:rsidR="00CB6E44" w:rsidRDefault="00CB6E44" w:rsidP="00CB6E44">
      <w:pPr>
        <w:ind w:firstLine="709"/>
        <w:jc w:val="both"/>
        <w:rPr>
          <w:sz w:val="28"/>
          <w:szCs w:val="28"/>
          <w:lang w:val="uk-UA"/>
        </w:rPr>
      </w:pPr>
      <w:r w:rsidRPr="00894F97">
        <w:rPr>
          <w:bCs/>
          <w:sz w:val="28"/>
          <w:szCs w:val="28"/>
          <w:lang w:val="uk-UA"/>
        </w:rPr>
        <w:t xml:space="preserve">Механізмом, який застосовується для розв’язання проблем, зазначених у </w:t>
      </w:r>
      <w:r>
        <w:rPr>
          <w:bCs/>
          <w:sz w:val="28"/>
          <w:szCs w:val="28"/>
          <w:lang w:val="uk-UA"/>
        </w:rPr>
        <w:t>розділі</w:t>
      </w:r>
      <w:r w:rsidRPr="00894F97">
        <w:rPr>
          <w:bCs/>
          <w:sz w:val="28"/>
          <w:szCs w:val="28"/>
          <w:lang w:val="uk-UA"/>
        </w:rPr>
        <w:t xml:space="preserve"> 1 Аналізу регуляторного впливу</w:t>
      </w:r>
      <w:r>
        <w:rPr>
          <w:bCs/>
          <w:sz w:val="28"/>
          <w:szCs w:val="28"/>
          <w:lang w:val="uk-UA"/>
        </w:rPr>
        <w:t>,</w:t>
      </w:r>
      <w:r w:rsidRPr="00894F97">
        <w:rPr>
          <w:bCs/>
          <w:sz w:val="28"/>
          <w:szCs w:val="28"/>
          <w:lang w:val="uk-UA"/>
        </w:rPr>
        <w:t xml:space="preserve"> є прийняття рішення </w:t>
      </w:r>
      <w:r>
        <w:rPr>
          <w:bCs/>
          <w:sz w:val="28"/>
          <w:szCs w:val="28"/>
          <w:lang w:val="uk-UA"/>
        </w:rPr>
        <w:t xml:space="preserve">НКЦПФР </w:t>
      </w:r>
      <w:r w:rsidRPr="00634B7E">
        <w:rPr>
          <w:sz w:val="28"/>
          <w:szCs w:val="28"/>
          <w:lang w:val="uk-UA"/>
        </w:rPr>
        <w:t>«</w:t>
      </w:r>
      <w:r w:rsidRPr="002F73F5">
        <w:rPr>
          <w:sz w:val="28"/>
          <w:szCs w:val="28"/>
          <w:lang w:val="uk-UA"/>
        </w:rPr>
        <w:t>Про затвердження Змін</w:t>
      </w:r>
      <w:r w:rsidRPr="002F73F5">
        <w:rPr>
          <w:sz w:val="28"/>
          <w:szCs w:val="28"/>
          <w:lang w:val="uk-UA" w:eastAsia="uk-UA"/>
        </w:rPr>
        <w:t xml:space="preserve"> до </w:t>
      </w:r>
      <w:r w:rsidRPr="002F73F5">
        <w:rPr>
          <w:color w:val="000000"/>
          <w:sz w:val="28"/>
          <w:szCs w:val="28"/>
          <w:lang w:val="uk-UA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634B7E">
        <w:rPr>
          <w:sz w:val="28"/>
          <w:szCs w:val="28"/>
          <w:lang w:val="uk-UA"/>
        </w:rPr>
        <w:t>»</w:t>
      </w:r>
      <w:r w:rsidR="00E53134">
        <w:rPr>
          <w:sz w:val="28"/>
          <w:szCs w:val="28"/>
          <w:lang w:val="uk-UA"/>
        </w:rPr>
        <w:t>, який передбачає, зокрема</w:t>
      </w:r>
      <w:r w:rsidR="008C5EDF">
        <w:rPr>
          <w:sz w:val="28"/>
          <w:szCs w:val="28"/>
          <w:lang w:val="uk-UA"/>
        </w:rPr>
        <w:t>:</w:t>
      </w:r>
    </w:p>
    <w:p w:rsidR="00AB06EE" w:rsidRDefault="008E1F66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приведення нормативно - правового акту до вимог Закону, </w:t>
      </w:r>
      <w:r w:rsidR="00C96379">
        <w:rPr>
          <w:sz w:val="28"/>
          <w:szCs w:val="28"/>
          <w:lang w:val="uk-UA"/>
        </w:rPr>
        <w:t xml:space="preserve">в частині введення поняття </w:t>
      </w:r>
      <w:r w:rsidR="009D1834">
        <w:rPr>
          <w:sz w:val="28"/>
          <w:szCs w:val="28"/>
          <w:lang w:val="uk-UA"/>
        </w:rPr>
        <w:t>номінального утримувача</w:t>
      </w:r>
      <w:r w:rsidR="00D74B64">
        <w:rPr>
          <w:sz w:val="28"/>
          <w:szCs w:val="28"/>
          <w:lang w:val="uk-UA"/>
        </w:rPr>
        <w:t>, як клієнта</w:t>
      </w:r>
      <w:r w:rsidR="00621816">
        <w:rPr>
          <w:sz w:val="28"/>
          <w:szCs w:val="28"/>
          <w:lang w:val="uk-UA"/>
        </w:rPr>
        <w:t xml:space="preserve"> торговця цінними паперами</w:t>
      </w:r>
      <w:r w:rsidR="00AB06EE">
        <w:rPr>
          <w:sz w:val="28"/>
          <w:szCs w:val="28"/>
          <w:lang w:val="uk-UA"/>
        </w:rPr>
        <w:t>;</w:t>
      </w:r>
    </w:p>
    <w:p w:rsidR="00AC0E89" w:rsidRDefault="00AC0E89" w:rsidP="00AC0E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приведення нормативно - правового акту до вимог Закону, в частині проведення ідентифікації та верифікації клієнта;</w:t>
      </w:r>
    </w:p>
    <w:p w:rsidR="00AB06EE" w:rsidRDefault="00D74B64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831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едення термінів</w:t>
      </w:r>
      <w:r w:rsidR="00AB06E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торговець</w:t>
      </w:r>
      <w:r w:rsidR="00AB06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«програмний модуль», «дохідність»</w:t>
      </w:r>
      <w:r w:rsidR="00AB06EE">
        <w:rPr>
          <w:sz w:val="28"/>
          <w:szCs w:val="28"/>
          <w:lang w:val="uk-UA"/>
        </w:rPr>
        <w:t>;</w:t>
      </w:r>
    </w:p>
    <w:p w:rsidR="00AB06EE" w:rsidRDefault="00AC0E89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спрощення процедури взаємодії клієнта з торговцем цінними паперами під час укладання договорів та/або надання разових замовлень та їх виконання, шляхом введення нового каналу зв</w:t>
      </w:r>
      <w:r w:rsidRPr="00D807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="00D80771">
        <w:rPr>
          <w:sz w:val="28"/>
          <w:szCs w:val="28"/>
          <w:lang w:val="uk-UA"/>
        </w:rPr>
        <w:t xml:space="preserve"> між ними</w:t>
      </w:r>
      <w:r w:rsidR="00AB06EE">
        <w:rPr>
          <w:sz w:val="28"/>
          <w:szCs w:val="28"/>
          <w:lang w:val="uk-UA"/>
        </w:rPr>
        <w:t>;</w:t>
      </w:r>
    </w:p>
    <w:p w:rsidR="00AC0E89" w:rsidRDefault="00AC0E89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спрощення процедури </w:t>
      </w:r>
      <w:r w:rsidR="00D80771">
        <w:rPr>
          <w:sz w:val="28"/>
          <w:szCs w:val="28"/>
          <w:lang w:val="uk-UA"/>
        </w:rPr>
        <w:t>укладання певних договорів</w:t>
      </w:r>
      <w:r>
        <w:rPr>
          <w:sz w:val="28"/>
          <w:szCs w:val="28"/>
          <w:lang w:val="uk-UA"/>
        </w:rPr>
        <w:t xml:space="preserve"> </w:t>
      </w:r>
      <w:r w:rsidR="00D80771">
        <w:rPr>
          <w:sz w:val="28"/>
          <w:szCs w:val="28"/>
          <w:lang w:val="uk-UA"/>
        </w:rPr>
        <w:t>між торгівцями цінними паперами на неорганізованому ринку.</w:t>
      </w:r>
    </w:p>
    <w:p w:rsidR="00CB6E44" w:rsidRDefault="009901DE" w:rsidP="00CB6E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Заходами, які забезпечать розв’язання визначених проблем, є погодження регуляторного акта із зацікавленими органами</w:t>
      </w:r>
      <w:r w:rsidR="00625DC5">
        <w:rPr>
          <w:sz w:val="28"/>
          <w:szCs w:val="28"/>
          <w:lang w:val="uk-UA"/>
        </w:rPr>
        <w:t xml:space="preserve"> (в тому числі отримання пропозицій та зауважень)</w:t>
      </w:r>
      <w:r>
        <w:rPr>
          <w:sz w:val="28"/>
          <w:szCs w:val="28"/>
          <w:lang w:val="uk-UA"/>
        </w:rPr>
        <w:t xml:space="preserve"> та його державна реєстрація в Міністерстві юстиції України; здійснення постійного контролю та моніторингу </w:t>
      </w:r>
      <w:r w:rsidR="00625DC5">
        <w:rPr>
          <w:sz w:val="28"/>
          <w:szCs w:val="28"/>
          <w:lang w:val="uk-UA"/>
        </w:rPr>
        <w:t xml:space="preserve">діяльності торговців цінними паперами </w:t>
      </w:r>
      <w:r>
        <w:rPr>
          <w:sz w:val="28"/>
          <w:szCs w:val="28"/>
          <w:lang w:val="uk-UA"/>
        </w:rPr>
        <w:t xml:space="preserve">працівниками </w:t>
      </w:r>
      <w:r>
        <w:rPr>
          <w:bCs/>
          <w:sz w:val="28"/>
          <w:szCs w:val="28"/>
          <w:lang w:val="uk-UA"/>
        </w:rPr>
        <w:t>НКЦПФР</w:t>
      </w:r>
      <w:r w:rsidR="00625DC5">
        <w:rPr>
          <w:bCs/>
          <w:sz w:val="28"/>
          <w:szCs w:val="28"/>
          <w:lang w:val="uk-UA"/>
        </w:rPr>
        <w:t>; прийняття та аналіз інформації, отриманої у порядку подання адміністративних даних до НКЦПФР</w:t>
      </w:r>
      <w:r w:rsidR="0077272C">
        <w:rPr>
          <w:bCs/>
          <w:sz w:val="28"/>
          <w:szCs w:val="28"/>
          <w:lang w:val="uk-UA"/>
        </w:rPr>
        <w:t>; здійснення процедур із правозастосування на фондовому ринку</w:t>
      </w:r>
      <w:r w:rsidR="00625DC5">
        <w:rPr>
          <w:bCs/>
          <w:sz w:val="28"/>
          <w:szCs w:val="28"/>
          <w:lang w:val="uk-UA"/>
        </w:rPr>
        <w:t>.</w:t>
      </w:r>
    </w:p>
    <w:p w:rsidR="00E56BFB" w:rsidRPr="008A476B" w:rsidRDefault="00E56BFB" w:rsidP="00E56BFB">
      <w:pPr>
        <w:pStyle w:val="a4"/>
        <w:ind w:right="-81" w:firstLine="709"/>
        <w:rPr>
          <w:b w:val="0"/>
        </w:rPr>
      </w:pPr>
      <w:r w:rsidRPr="008A476B">
        <w:rPr>
          <w:b w:val="0"/>
        </w:rPr>
        <w:t xml:space="preserve">Державний контроль та нагляд за дотриманням вимог регуляторного акта здійснюється Національною комісією з цінних паперів </w:t>
      </w:r>
      <w:r w:rsidR="009901DE">
        <w:rPr>
          <w:b w:val="0"/>
        </w:rPr>
        <w:t>та фондового ринку,  як органом</w:t>
      </w:r>
      <w:r w:rsidRPr="008A476B">
        <w:rPr>
          <w:b w:val="0"/>
        </w:rPr>
        <w:t xml:space="preserve"> державної влади, який відповідно до законодавства України встановлює правила </w:t>
      </w:r>
      <w:r w:rsidR="00CB6E44">
        <w:rPr>
          <w:b w:val="0"/>
        </w:rPr>
        <w:t>та умови діяльності торговців цінними паперами</w:t>
      </w:r>
      <w:r w:rsidRPr="008A476B">
        <w:rPr>
          <w:b w:val="0"/>
        </w:rPr>
        <w:t>.</w:t>
      </w:r>
      <w:r w:rsidR="006E3765" w:rsidRPr="008A476B">
        <w:rPr>
          <w:b w:val="0"/>
        </w:rPr>
        <w:t xml:space="preserve"> </w:t>
      </w:r>
    </w:p>
    <w:p w:rsidR="00E56BFB" w:rsidRPr="00E92E1B" w:rsidRDefault="00E56BFB" w:rsidP="00E56BFB">
      <w:pPr>
        <w:pStyle w:val="a8"/>
        <w:tabs>
          <w:tab w:val="left" w:pos="0"/>
        </w:tabs>
        <w:ind w:right="141" w:firstLine="720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E56BFB" w:rsidRPr="008A476B" w:rsidRDefault="00E56BFB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VІ. 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661E9" w:rsidRPr="008A476B" w:rsidRDefault="001661E9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Тест малого підприємництва (М-Тест)</w:t>
      </w:r>
    </w:p>
    <w:p w:rsidR="00E56BFB" w:rsidRPr="008A476B" w:rsidRDefault="00E56BFB" w:rsidP="00E56BFB">
      <w:pPr>
        <w:pStyle w:val="a3"/>
        <w:numPr>
          <w:ilvl w:val="0"/>
          <w:numId w:val="2"/>
        </w:numPr>
        <w:tabs>
          <w:tab w:val="clear" w:pos="1725"/>
          <w:tab w:val="left" w:pos="0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Консультації з учасниками фондового ринку щодо оцінки впливу регулювання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Консультації щодо визначення впливу запропонованого регулювання на суб’єктів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C96379">
        <w:rPr>
          <w:b w:val="0"/>
          <w:szCs w:val="28"/>
        </w:rPr>
        <w:t>28</w:t>
      </w:r>
      <w:r w:rsidR="002876ED">
        <w:rPr>
          <w:b w:val="0"/>
          <w:szCs w:val="28"/>
        </w:rPr>
        <w:t>.09</w:t>
      </w:r>
      <w:r w:rsidR="00357A97" w:rsidRPr="00357A97">
        <w:rPr>
          <w:b w:val="0"/>
          <w:szCs w:val="28"/>
        </w:rPr>
        <w:t>.201</w:t>
      </w:r>
      <w:r w:rsidR="00B55E80">
        <w:rPr>
          <w:b w:val="0"/>
          <w:szCs w:val="28"/>
        </w:rPr>
        <w:t>8</w:t>
      </w:r>
      <w:r w:rsidR="00357A97" w:rsidRPr="008A476B">
        <w:rPr>
          <w:b w:val="0"/>
          <w:sz w:val="24"/>
          <w:szCs w:val="24"/>
        </w:rPr>
        <w:t xml:space="preserve"> </w:t>
      </w:r>
      <w:r w:rsidRPr="008A476B">
        <w:rPr>
          <w:b w:val="0"/>
          <w:szCs w:val="28"/>
        </w:rPr>
        <w:t xml:space="preserve">по </w:t>
      </w:r>
      <w:r w:rsidR="00C96379">
        <w:rPr>
          <w:b w:val="0"/>
          <w:szCs w:val="28"/>
        </w:rPr>
        <w:t>30.11</w:t>
      </w:r>
      <w:r w:rsidR="00711144">
        <w:rPr>
          <w:b w:val="0"/>
          <w:szCs w:val="28"/>
        </w:rPr>
        <w:t>.2018</w:t>
      </w:r>
      <w:r w:rsidRPr="008A476B">
        <w:rPr>
          <w:b w:val="0"/>
          <w:szCs w:val="28"/>
        </w:rPr>
        <w:t>.</w:t>
      </w:r>
    </w:p>
    <w:p w:rsidR="00E56BFB" w:rsidRPr="008A476B" w:rsidRDefault="00E56BFB" w:rsidP="00E56BFB">
      <w:pPr>
        <w:rPr>
          <w:lang w:val="uk-UA"/>
        </w:rPr>
      </w:pPr>
    </w:p>
    <w:p w:rsidR="00E56BFB" w:rsidRPr="00E92E1B" w:rsidRDefault="00E56BFB" w:rsidP="00E56BFB">
      <w:pPr>
        <w:rPr>
          <w:sz w:val="16"/>
          <w:szCs w:val="16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052"/>
        <w:gridCol w:w="2988"/>
      </w:tblGrid>
      <w:tr w:rsidR="008E0398" w:rsidRPr="008E0398" w:rsidTr="008E0398">
        <w:tc>
          <w:tcPr>
            <w:tcW w:w="1620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960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Вид консультації</w:t>
            </w:r>
          </w:p>
        </w:tc>
        <w:tc>
          <w:tcPr>
            <w:tcW w:w="2052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988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Основні результати консультацій</w:t>
            </w:r>
          </w:p>
        </w:tc>
      </w:tr>
      <w:tr w:rsidR="008E0398" w:rsidRPr="008E0398" w:rsidTr="008E0398">
        <w:tc>
          <w:tcPr>
            <w:tcW w:w="1620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C96379" w:rsidRPr="008E0398" w:rsidRDefault="000C567E" w:rsidP="008E039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E0398">
              <w:rPr>
                <w:sz w:val="24"/>
                <w:szCs w:val="24"/>
              </w:rPr>
              <w:t>28</w:t>
            </w:r>
            <w:r w:rsidR="00966922" w:rsidRPr="008E0398">
              <w:rPr>
                <w:sz w:val="24"/>
                <w:szCs w:val="24"/>
              </w:rPr>
              <w:t>.09.201</w:t>
            </w:r>
            <w:r w:rsidR="00B55E80" w:rsidRPr="008E0398">
              <w:rPr>
                <w:sz w:val="24"/>
                <w:szCs w:val="24"/>
              </w:rPr>
              <w:t>8</w:t>
            </w:r>
            <w:r w:rsidR="00966922" w:rsidRPr="008E0398">
              <w:rPr>
                <w:sz w:val="24"/>
                <w:szCs w:val="24"/>
              </w:rPr>
              <w:t xml:space="preserve"> Засідання Комітету </w:t>
            </w:r>
            <w:r w:rsidR="00C96379" w:rsidRPr="008E0398">
              <w:rPr>
                <w:color w:val="222222"/>
                <w:sz w:val="24"/>
                <w:szCs w:val="24"/>
                <w:shd w:val="clear" w:color="auto" w:fill="FFFFFF"/>
              </w:rPr>
              <w:t>з питань функціонування торговців фондового ринку та бірж</w:t>
            </w:r>
          </w:p>
          <w:p w:rsidR="00E56BFB" w:rsidRPr="008E0398" w:rsidRDefault="00966922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E56BFB" w:rsidRPr="008E0398" w:rsidRDefault="00B55E80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1</w:t>
            </w:r>
            <w:r w:rsidR="00A87616" w:rsidRPr="008E039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0C567E" w:rsidRPr="008E0398" w:rsidRDefault="00C96098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В ц</w:t>
            </w:r>
            <w:r w:rsidR="00085B9A" w:rsidRPr="008E0398">
              <w:rPr>
                <w:b w:val="0"/>
                <w:sz w:val="24"/>
                <w:szCs w:val="24"/>
              </w:rPr>
              <w:t xml:space="preserve">ілому регулювання сприймається. </w:t>
            </w:r>
            <w:r w:rsidR="000C567E" w:rsidRPr="008E0398">
              <w:rPr>
                <w:b w:val="0"/>
                <w:sz w:val="24"/>
                <w:szCs w:val="24"/>
              </w:rPr>
              <w:t>Розглядалися пропозиції, надані представниками СРО, щодо можливості їх врахування у проекті регуляторного акта.</w:t>
            </w:r>
          </w:p>
          <w:p w:rsidR="00EA3BE1" w:rsidRPr="008E0398" w:rsidRDefault="000C567E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Вирішили</w:t>
            </w:r>
            <w:r w:rsidR="00EA3BE1" w:rsidRPr="008E0398">
              <w:rPr>
                <w:b w:val="0"/>
                <w:sz w:val="24"/>
                <w:szCs w:val="24"/>
              </w:rPr>
              <w:t xml:space="preserve"> схвалити проект з подальшим його</w:t>
            </w:r>
            <w:r w:rsidRPr="008E0398">
              <w:rPr>
                <w:b w:val="0"/>
                <w:sz w:val="24"/>
                <w:szCs w:val="24"/>
              </w:rPr>
              <w:t xml:space="preserve"> доопра</w:t>
            </w:r>
            <w:r w:rsidR="00EA3BE1" w:rsidRPr="008E0398">
              <w:rPr>
                <w:b w:val="0"/>
                <w:sz w:val="24"/>
                <w:szCs w:val="24"/>
              </w:rPr>
              <w:t>цюванням, зокрема, із врахуванням</w:t>
            </w:r>
          </w:p>
          <w:p w:rsidR="00E56BFB" w:rsidRPr="008E0398" w:rsidRDefault="000C567E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запропонованих змін.</w:t>
            </w:r>
          </w:p>
        </w:tc>
      </w:tr>
      <w:tr w:rsidR="00BD7597" w:rsidRPr="008E0398" w:rsidTr="008E0398">
        <w:trPr>
          <w:trHeight w:val="115"/>
        </w:trPr>
        <w:tc>
          <w:tcPr>
            <w:tcW w:w="1620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 xml:space="preserve">30.11.2018 Засідання Комітету </w:t>
            </w:r>
            <w:r w:rsidRPr="008E0398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з питань функціонування торговців фондового ринку та бірж</w:t>
            </w:r>
          </w:p>
        </w:tc>
        <w:tc>
          <w:tcPr>
            <w:tcW w:w="2052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88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 xml:space="preserve">Схвалення доопрацьованого проекту та рекомендація розглянути його  на </w:t>
            </w:r>
            <w:r w:rsidRPr="008E0398">
              <w:rPr>
                <w:b w:val="0"/>
                <w:sz w:val="24"/>
                <w:szCs w:val="24"/>
              </w:rPr>
              <w:lastRenderedPageBreak/>
              <w:t>засіданні НКЦПФР.</w:t>
            </w:r>
          </w:p>
        </w:tc>
      </w:tr>
      <w:tr w:rsidR="008E0398" w:rsidRPr="008E0398" w:rsidTr="008E0398">
        <w:trPr>
          <w:trHeight w:val="115"/>
        </w:trPr>
        <w:tc>
          <w:tcPr>
            <w:tcW w:w="1620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27.02.2019 спільне засідання Комітету з питань функціонування торговців фондового ринку та бірж та Комітету з питань функціонування депозитарних установ та пост-трейдингової інфраструктури</w:t>
            </w:r>
          </w:p>
        </w:tc>
        <w:tc>
          <w:tcPr>
            <w:tcW w:w="2052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В цілому регулювання сприймається. Вирішено взяти доопрацьований проект за основу та рекомендувати для розгляду на засіданні Комітету з управління змінами та ризиками</w:t>
            </w:r>
          </w:p>
        </w:tc>
      </w:tr>
      <w:tr w:rsidR="008E0398" w:rsidRPr="008E0398" w:rsidTr="008E0398">
        <w:trPr>
          <w:trHeight w:val="115"/>
        </w:trPr>
        <w:tc>
          <w:tcPr>
            <w:tcW w:w="1620" w:type="dxa"/>
            <w:shd w:val="clear" w:color="auto" w:fill="auto"/>
          </w:tcPr>
          <w:p w:rsidR="00BD7597" w:rsidRPr="008E0398" w:rsidRDefault="00157E1B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4</w:t>
            </w:r>
            <w:r w:rsidR="00BD7597" w:rsidRPr="008E0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01.03.2019 засідання Комітету з управління змінами та ризиками</w:t>
            </w:r>
          </w:p>
        </w:tc>
        <w:tc>
          <w:tcPr>
            <w:tcW w:w="2052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88" w:type="dxa"/>
            <w:shd w:val="clear" w:color="auto" w:fill="auto"/>
          </w:tcPr>
          <w:p w:rsidR="00BD7597" w:rsidRPr="008E0398" w:rsidRDefault="00BD7597" w:rsidP="008E039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Вирішено доопрацьований проект рішення розглянути на засіданні Комісії.</w:t>
            </w:r>
          </w:p>
        </w:tc>
      </w:tr>
    </w:tbl>
    <w:p w:rsidR="00BF6F2D" w:rsidRPr="008A476B" w:rsidRDefault="00BF6F2D" w:rsidP="00E56BFB">
      <w:pPr>
        <w:rPr>
          <w:lang w:val="uk-UA"/>
        </w:rPr>
      </w:pPr>
    </w:p>
    <w:p w:rsidR="00E56BFB" w:rsidRPr="008A476B" w:rsidRDefault="00E56BFB" w:rsidP="00E56BFB">
      <w:pPr>
        <w:pStyle w:val="a3"/>
        <w:numPr>
          <w:ilvl w:val="0"/>
          <w:numId w:val="2"/>
        </w:numPr>
        <w:tabs>
          <w:tab w:val="clear" w:pos="1725"/>
          <w:tab w:val="left" w:pos="0"/>
          <w:tab w:val="num" w:pos="1440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Вимірювання впливу регулювання на суб’єктів малого підприємництва: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кількість суб’єктів, на яких поширюється регулювання: </w:t>
      </w:r>
      <w:r w:rsidR="001F45FE">
        <w:rPr>
          <w:b w:val="0"/>
          <w:szCs w:val="28"/>
        </w:rPr>
        <w:t>19</w:t>
      </w:r>
      <w:r w:rsidR="00B55E80">
        <w:rPr>
          <w:b w:val="0"/>
          <w:szCs w:val="28"/>
        </w:rPr>
        <w:t>2</w:t>
      </w:r>
      <w:r w:rsidR="000B5D95">
        <w:rPr>
          <w:b w:val="0"/>
          <w:szCs w:val="28"/>
        </w:rPr>
        <w:t xml:space="preserve"> </w:t>
      </w:r>
      <w:r w:rsidR="00357741">
        <w:rPr>
          <w:b w:val="0"/>
          <w:szCs w:val="28"/>
        </w:rPr>
        <w:t>торговців цінними паперами</w:t>
      </w:r>
      <w:r w:rsidRPr="008A476B">
        <w:rPr>
          <w:b w:val="0"/>
          <w:szCs w:val="28"/>
        </w:rPr>
        <w:t xml:space="preserve">, у тому числі малого підприємництва – </w:t>
      </w:r>
      <w:r w:rsidR="000B5D95">
        <w:rPr>
          <w:b w:val="0"/>
          <w:szCs w:val="28"/>
        </w:rPr>
        <w:t>31</w:t>
      </w:r>
      <w:r w:rsidRPr="008A476B">
        <w:rPr>
          <w:b w:val="0"/>
          <w:szCs w:val="28"/>
        </w:rPr>
        <w:t xml:space="preserve"> та мікропідприємництва – </w:t>
      </w:r>
      <w:r w:rsidR="001F45FE">
        <w:rPr>
          <w:b w:val="0"/>
          <w:szCs w:val="28"/>
        </w:rPr>
        <w:t>16</w:t>
      </w:r>
      <w:r w:rsidR="00B55E80">
        <w:rPr>
          <w:b w:val="0"/>
          <w:szCs w:val="28"/>
        </w:rPr>
        <w:t>1</w:t>
      </w:r>
      <w:r w:rsidRPr="008A476B">
        <w:rPr>
          <w:b w:val="0"/>
          <w:szCs w:val="28"/>
        </w:rPr>
        <w:t>.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Питома вага суб’єктів малого підприємництва у загальній кількості суб’єктів господарювання, </w:t>
      </w:r>
      <w:r w:rsidR="00F34F9D">
        <w:rPr>
          <w:b w:val="0"/>
          <w:szCs w:val="28"/>
        </w:rPr>
        <w:t>на яких проблема справляє вплив</w:t>
      </w:r>
      <w:r w:rsidRPr="008A476B">
        <w:rPr>
          <w:b w:val="0"/>
          <w:szCs w:val="28"/>
        </w:rPr>
        <w:t xml:space="preserve"> </w:t>
      </w:r>
      <w:r w:rsidR="00F34F9D">
        <w:rPr>
          <w:b w:val="0"/>
          <w:szCs w:val="28"/>
        </w:rPr>
        <w:t>–</w:t>
      </w:r>
      <w:r w:rsidRPr="008A476B">
        <w:rPr>
          <w:b w:val="0"/>
          <w:szCs w:val="28"/>
        </w:rPr>
        <w:t xml:space="preserve"> </w:t>
      </w:r>
      <w:r w:rsidR="001F45FE">
        <w:rPr>
          <w:b w:val="0"/>
          <w:szCs w:val="28"/>
        </w:rPr>
        <w:t>78</w:t>
      </w:r>
      <w:r w:rsidR="001F45FE">
        <w:rPr>
          <w:b w:val="0"/>
          <w:szCs w:val="28"/>
          <w:lang w:val="ru-RU"/>
        </w:rPr>
        <w:t>,9</w:t>
      </w:r>
      <w:r w:rsidRPr="008A476B">
        <w:rPr>
          <w:b w:val="0"/>
          <w:szCs w:val="28"/>
        </w:rPr>
        <w:t>%.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Розрахунок витрат суб’єктів малого підприємництва на виконання вимог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00"/>
        <w:gridCol w:w="1337"/>
        <w:gridCol w:w="1180"/>
        <w:gridCol w:w="1204"/>
      </w:tblGrid>
      <w:tr w:rsidR="008E0398" w:rsidRPr="008E0398" w:rsidTr="008E0398">
        <w:tc>
          <w:tcPr>
            <w:tcW w:w="1548" w:type="dxa"/>
            <w:shd w:val="clear" w:color="auto" w:fill="auto"/>
          </w:tcPr>
          <w:p w:rsidR="00E56BFB" w:rsidRPr="008E0398" w:rsidRDefault="00E56BFB" w:rsidP="008E0398">
            <w:pPr>
              <w:pStyle w:val="a3"/>
              <w:tabs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E0398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4500" w:type="dxa"/>
            <w:shd w:val="clear" w:color="auto" w:fill="auto"/>
          </w:tcPr>
          <w:p w:rsidR="00E56BFB" w:rsidRPr="008E0398" w:rsidRDefault="00E56BFB" w:rsidP="008E0398">
            <w:pPr>
              <w:pStyle w:val="a7"/>
              <w:jc w:val="center"/>
              <w:rPr>
                <w:b/>
              </w:rPr>
            </w:pPr>
            <w:r w:rsidRPr="008E0398">
              <w:rPr>
                <w:b/>
              </w:rPr>
              <w:t>Найменування оцінки</w:t>
            </w:r>
          </w:p>
        </w:tc>
        <w:tc>
          <w:tcPr>
            <w:tcW w:w="1337" w:type="dxa"/>
            <w:shd w:val="clear" w:color="auto" w:fill="auto"/>
          </w:tcPr>
          <w:p w:rsidR="00E56BFB" w:rsidRPr="008E0398" w:rsidRDefault="00E56BFB" w:rsidP="008E039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E0398">
              <w:rPr>
                <w:b/>
                <w:sz w:val="20"/>
                <w:szCs w:val="20"/>
              </w:rPr>
              <w:t xml:space="preserve">У перший рік </w:t>
            </w:r>
            <w:r w:rsidRPr="008E0398">
              <w:rPr>
                <w:b/>
                <w:sz w:val="16"/>
                <w:szCs w:val="16"/>
              </w:rPr>
              <w:t>(стартовий рік впровадження регулювання</w:t>
            </w:r>
            <w:r w:rsidRPr="008E03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E56BFB" w:rsidRPr="008E0398" w:rsidRDefault="00E56BFB" w:rsidP="008E039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E0398">
              <w:rPr>
                <w:b/>
                <w:sz w:val="20"/>
                <w:szCs w:val="20"/>
              </w:rPr>
              <w:t>Періодичні (за наступний рік)</w:t>
            </w:r>
          </w:p>
        </w:tc>
        <w:tc>
          <w:tcPr>
            <w:tcW w:w="1204" w:type="dxa"/>
            <w:shd w:val="clear" w:color="auto" w:fill="auto"/>
          </w:tcPr>
          <w:p w:rsidR="00E56BFB" w:rsidRPr="008E0398" w:rsidRDefault="00E56BFB" w:rsidP="008E039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E0398">
              <w:rPr>
                <w:b/>
                <w:sz w:val="20"/>
                <w:szCs w:val="20"/>
              </w:rPr>
              <w:t>Витрати за п'ять років</w:t>
            </w:r>
          </w:p>
        </w:tc>
      </w:tr>
      <w:tr w:rsidR="00E56BFB" w:rsidRPr="008E0398" w:rsidTr="008E0398">
        <w:tc>
          <w:tcPr>
            <w:tcW w:w="9769" w:type="dxa"/>
            <w:gridSpan w:val="5"/>
            <w:shd w:val="clear" w:color="auto" w:fill="auto"/>
          </w:tcPr>
          <w:p w:rsidR="00E56BFB" w:rsidRPr="008E0398" w:rsidRDefault="00E56BFB" w:rsidP="008E0398">
            <w:pPr>
              <w:jc w:val="center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 xml:space="preserve">Придбання необхідного обладнання </w:t>
            </w:r>
            <w:r w:rsidR="00B259AD">
              <w:t>*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8A30D6" w:rsidP="008E0398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8A30D6" w:rsidP="008E0398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4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обслуговування обладнання (технічне обслуговування)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5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Інші процедури (уточнити)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6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Разом, гривень</w:t>
            </w:r>
            <w:r w:rsidRPr="008A476B">
              <w:br/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AD1C67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AD1C67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7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259AD" w:rsidP="008E0398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E0398">
              <w:rPr>
                <w:szCs w:val="28"/>
              </w:rPr>
              <w:t>192</w:t>
            </w:r>
          </w:p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BF5FC9" w:rsidRPr="008E0398" w:rsidRDefault="00AD1C67" w:rsidP="008E0398">
            <w:pPr>
              <w:jc w:val="center"/>
              <w:rPr>
                <w:lang w:val="uk-UA"/>
              </w:rPr>
            </w:pPr>
            <w:r w:rsidRPr="008E0398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259AD" w:rsidP="008E0398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E0398">
              <w:rPr>
                <w:szCs w:val="28"/>
              </w:rPr>
              <w:t>192</w:t>
            </w:r>
          </w:p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8</w:t>
            </w:r>
          </w:p>
        </w:tc>
        <w:tc>
          <w:tcPr>
            <w:tcW w:w="4500" w:type="dxa"/>
            <w:shd w:val="clear" w:color="auto" w:fill="auto"/>
          </w:tcPr>
          <w:p w:rsidR="00BF5FC9" w:rsidRPr="008E0398" w:rsidRDefault="00BF5FC9" w:rsidP="008E039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Сумарно, гривень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AD1C67" w:rsidP="008E039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8E0398">
              <w:rPr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8A30D6" w:rsidP="008E039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-</w:t>
            </w:r>
          </w:p>
        </w:tc>
      </w:tr>
      <w:tr w:rsidR="00BF5FC9" w:rsidRPr="008E0398" w:rsidTr="008E0398">
        <w:tc>
          <w:tcPr>
            <w:tcW w:w="9769" w:type="dxa"/>
            <w:gridSpan w:val="5"/>
            <w:shd w:val="clear" w:color="auto" w:fill="auto"/>
          </w:tcPr>
          <w:p w:rsidR="00BF5FC9" w:rsidRPr="008E0398" w:rsidRDefault="00BF5FC9" w:rsidP="008E0398">
            <w:pPr>
              <w:jc w:val="center"/>
              <w:rPr>
                <w:b/>
                <w:lang w:val="uk-UA"/>
              </w:rPr>
            </w:pPr>
            <w:r w:rsidRPr="008E0398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375971" w:rsidRPr="008A476B" w:rsidRDefault="00375971" w:rsidP="008E0398">
            <w:pPr>
              <w:pStyle w:val="a7"/>
              <w:jc w:val="center"/>
            </w:pPr>
            <w:r w:rsidRPr="008A476B">
              <w:t>9</w:t>
            </w:r>
          </w:p>
        </w:tc>
        <w:tc>
          <w:tcPr>
            <w:tcW w:w="4500" w:type="dxa"/>
            <w:shd w:val="clear" w:color="auto" w:fill="auto"/>
          </w:tcPr>
          <w:p w:rsidR="00375971" w:rsidRPr="008A476B" w:rsidRDefault="00375971" w:rsidP="00E56BFB">
            <w:pPr>
              <w:pStyle w:val="a7"/>
            </w:pPr>
            <w:r w:rsidRPr="008A476B">
              <w:t>Процедури отримання первинної інформації про вимоги регулювання</w:t>
            </w:r>
          </w:p>
        </w:tc>
        <w:tc>
          <w:tcPr>
            <w:tcW w:w="1337" w:type="dxa"/>
            <w:shd w:val="clear" w:color="auto" w:fill="auto"/>
          </w:tcPr>
          <w:p w:rsidR="00375971" w:rsidRPr="005A54EA" w:rsidRDefault="00375971" w:rsidP="008E0398">
            <w:pPr>
              <w:pStyle w:val="a7"/>
              <w:jc w:val="center"/>
            </w:pPr>
            <w:r w:rsidRPr="008E0398">
              <w:rPr>
                <w:sz w:val="22"/>
                <w:szCs w:val="22"/>
                <w:highlight w:val="white"/>
              </w:rPr>
              <w:t xml:space="preserve">1 год. (час, який витрачається суб’єктами на пошук </w:t>
            </w:r>
            <w:r w:rsidRPr="008E0398">
              <w:rPr>
                <w:sz w:val="22"/>
                <w:szCs w:val="22"/>
                <w:highlight w:val="white"/>
              </w:rPr>
              <w:lastRenderedPageBreak/>
              <w:t xml:space="preserve">нпа в Інтернет; за результатами консультацій) Х 60,60 грн. (вартість 1 години роботи, виходячи з розрахунку 12000 грн на міс.) Х 1  нпа (кількість нпа, з якими необхідно ознайомитись)  = </w:t>
            </w:r>
            <w:r w:rsidRPr="008E0398">
              <w:rPr>
                <w:b/>
                <w:sz w:val="22"/>
                <w:szCs w:val="22"/>
                <w:highlight w:val="white"/>
              </w:rPr>
              <w:t>60,60</w:t>
            </w:r>
            <w:r w:rsidRPr="008E0398">
              <w:rPr>
                <w:sz w:val="22"/>
                <w:szCs w:val="22"/>
                <w:highlight w:val="white"/>
              </w:rPr>
              <w:t> грн.</w:t>
            </w:r>
            <w:r w:rsidRPr="005A54EA">
              <w:t>  </w:t>
            </w:r>
          </w:p>
        </w:tc>
        <w:tc>
          <w:tcPr>
            <w:tcW w:w="1180" w:type="dxa"/>
            <w:shd w:val="clear" w:color="auto" w:fill="auto"/>
          </w:tcPr>
          <w:p w:rsidR="00375971" w:rsidRDefault="00375971" w:rsidP="008E0398">
            <w:pPr>
              <w:pStyle w:val="a7"/>
              <w:jc w:val="center"/>
            </w:pPr>
            <w:r w:rsidRPr="005A54EA">
              <w:lastRenderedPageBreak/>
              <w:t>-</w:t>
            </w:r>
          </w:p>
          <w:p w:rsidR="00375971" w:rsidRPr="008E0398" w:rsidRDefault="00375971" w:rsidP="008E0398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8E0398">
              <w:rPr>
                <w:sz w:val="22"/>
                <w:szCs w:val="22"/>
                <w:highlight w:val="white"/>
                <w:lang w:val="uk-UA"/>
              </w:rPr>
              <w:t>(отримання інформаці</w:t>
            </w:r>
            <w:r w:rsidRPr="008E0398">
              <w:rPr>
                <w:sz w:val="22"/>
                <w:szCs w:val="22"/>
                <w:highlight w:val="white"/>
                <w:lang w:val="uk-UA"/>
              </w:rPr>
              <w:lastRenderedPageBreak/>
              <w:t xml:space="preserve">ї про вимоги регулювання необхідне один раз після прийняття проекту змін до положень) </w:t>
            </w:r>
          </w:p>
          <w:p w:rsidR="00375971" w:rsidRPr="005A54EA" w:rsidRDefault="00375971" w:rsidP="008E0398">
            <w:pPr>
              <w:pStyle w:val="a7"/>
              <w:jc w:val="center"/>
            </w:pPr>
            <w:r w:rsidRPr="005A54EA">
              <w:t> </w:t>
            </w:r>
          </w:p>
        </w:tc>
        <w:tc>
          <w:tcPr>
            <w:tcW w:w="1204" w:type="dxa"/>
            <w:shd w:val="clear" w:color="auto" w:fill="auto"/>
          </w:tcPr>
          <w:p w:rsidR="00375971" w:rsidRPr="005A54EA" w:rsidRDefault="00375971" w:rsidP="008E0398">
            <w:pPr>
              <w:pStyle w:val="a7"/>
              <w:jc w:val="center"/>
            </w:pPr>
            <w:r w:rsidRPr="008E0398">
              <w:rPr>
                <w:sz w:val="22"/>
                <w:szCs w:val="22"/>
                <w:highlight w:val="white"/>
              </w:rPr>
              <w:lastRenderedPageBreak/>
              <w:t xml:space="preserve">1 год. (час, який витрачається суб’єктами на </w:t>
            </w:r>
            <w:r w:rsidRPr="008E0398">
              <w:rPr>
                <w:sz w:val="22"/>
                <w:szCs w:val="22"/>
                <w:highlight w:val="white"/>
              </w:rPr>
              <w:lastRenderedPageBreak/>
              <w:t xml:space="preserve">пошук нпа в Інтернет; за результатами консультацій) Х 60,60 грн. (вартість 1 години роботи, виходячи з розрахунку 12000 грн на міс.) Х 1  нпа (кількість нпа, з якими необхідно ознайомитись)  = </w:t>
            </w:r>
            <w:r w:rsidRPr="008E0398">
              <w:rPr>
                <w:b/>
                <w:sz w:val="22"/>
                <w:szCs w:val="22"/>
                <w:highlight w:val="white"/>
              </w:rPr>
              <w:t>60,60</w:t>
            </w:r>
            <w:r w:rsidRPr="008E0398">
              <w:rPr>
                <w:sz w:val="22"/>
                <w:szCs w:val="22"/>
                <w:highlight w:val="white"/>
              </w:rPr>
              <w:t> грн.</w:t>
            </w:r>
            <w:r w:rsidRPr="005A54EA">
              <w:t> 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1206DC" w:rsidRPr="008A476B" w:rsidRDefault="001206DC" w:rsidP="008E0398">
            <w:pPr>
              <w:pStyle w:val="a7"/>
              <w:jc w:val="center"/>
            </w:pPr>
            <w:r w:rsidRPr="008A476B">
              <w:t>10</w:t>
            </w:r>
          </w:p>
        </w:tc>
        <w:tc>
          <w:tcPr>
            <w:tcW w:w="4500" w:type="dxa"/>
            <w:shd w:val="clear" w:color="auto" w:fill="auto"/>
          </w:tcPr>
          <w:p w:rsidR="001206DC" w:rsidRPr="008A476B" w:rsidRDefault="001206DC" w:rsidP="00E56BFB">
            <w:pPr>
              <w:pStyle w:val="a7"/>
            </w:pPr>
            <w:r w:rsidRPr="008A476B">
              <w:t>Процедури організації виконання вимог регулювання</w:t>
            </w:r>
            <w:r>
              <w:t xml:space="preserve"> (середня заробітна плата працівника)</w:t>
            </w:r>
          </w:p>
        </w:tc>
        <w:tc>
          <w:tcPr>
            <w:tcW w:w="1337" w:type="dxa"/>
            <w:shd w:val="clear" w:color="auto" w:fill="auto"/>
          </w:tcPr>
          <w:p w:rsidR="001206DC" w:rsidRPr="008E0398" w:rsidRDefault="001206DC" w:rsidP="00746833">
            <w:pPr>
              <w:rPr>
                <w:lang w:val="uk-UA"/>
              </w:rPr>
            </w:pPr>
            <w:r w:rsidRPr="008E0398">
              <w:rPr>
                <w:sz w:val="22"/>
                <w:szCs w:val="22"/>
                <w:highlight w:val="white"/>
                <w:lang w:val="uk-UA"/>
              </w:rPr>
              <w:t xml:space="preserve">45 год. (час, який витрачається суб’єктами на впровадження вимог, процедур) Х 60,60 грн. (вартість 1 години роботи, виходячи з розрахунку 12000 грн на міс.)  = </w:t>
            </w:r>
            <w:r w:rsidRPr="008E0398">
              <w:rPr>
                <w:b/>
                <w:sz w:val="22"/>
                <w:szCs w:val="22"/>
                <w:lang w:val="uk-UA"/>
              </w:rPr>
              <w:t>2727</w:t>
            </w:r>
            <w:r w:rsidRPr="008E0398">
              <w:rPr>
                <w:sz w:val="22"/>
                <w:szCs w:val="22"/>
                <w:highlight w:val="white"/>
                <w:lang w:val="uk-UA"/>
              </w:rPr>
              <w:t> грн</w:t>
            </w:r>
          </w:p>
        </w:tc>
        <w:tc>
          <w:tcPr>
            <w:tcW w:w="1180" w:type="dxa"/>
            <w:shd w:val="clear" w:color="auto" w:fill="auto"/>
          </w:tcPr>
          <w:p w:rsidR="001206DC" w:rsidRPr="005A54EA" w:rsidRDefault="001206DC" w:rsidP="008E0398">
            <w:pPr>
              <w:pStyle w:val="a7"/>
              <w:jc w:val="center"/>
            </w:pPr>
            <w:r>
              <w:t>-</w:t>
            </w:r>
          </w:p>
        </w:tc>
        <w:tc>
          <w:tcPr>
            <w:tcW w:w="1204" w:type="dxa"/>
            <w:shd w:val="clear" w:color="auto" w:fill="auto"/>
          </w:tcPr>
          <w:p w:rsidR="001206DC" w:rsidRPr="008E0398" w:rsidRDefault="001206DC" w:rsidP="008E0398">
            <w:pPr>
              <w:jc w:val="center"/>
              <w:rPr>
                <w:lang w:val="uk-UA"/>
              </w:rPr>
            </w:pPr>
            <w:r w:rsidRPr="008E0398">
              <w:rPr>
                <w:sz w:val="22"/>
                <w:szCs w:val="22"/>
                <w:highlight w:val="white"/>
                <w:lang w:val="uk-UA"/>
              </w:rPr>
              <w:t xml:space="preserve">45 год. (час, який витрачається суб’єктами на впровадження вимог, процедур) Х 60,60 грн. (вартість 1 години роботи, виходячи з розрахунку 12000 грн на міс.)  = </w:t>
            </w:r>
            <w:r w:rsidRPr="008E0398">
              <w:rPr>
                <w:b/>
                <w:sz w:val="22"/>
                <w:szCs w:val="22"/>
                <w:lang w:val="uk-UA"/>
              </w:rPr>
              <w:t>2727</w:t>
            </w:r>
            <w:r w:rsidRPr="008E0398">
              <w:rPr>
                <w:sz w:val="22"/>
                <w:szCs w:val="22"/>
                <w:highlight w:val="white"/>
                <w:lang w:val="uk-UA"/>
              </w:rPr>
              <w:t> грн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11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офіційного звітування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D3DB8" w:rsidP="008E0398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12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щодо забезпечення процесу перевірок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D87719" w:rsidP="008E0398">
            <w:pPr>
              <w:pStyle w:val="a7"/>
              <w:jc w:val="center"/>
            </w:pPr>
            <w:r>
              <w:t>-</w:t>
            </w:r>
            <w:r w:rsidRPr="008A476B">
              <w:t> 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- 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13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Інші процедури</w:t>
            </w:r>
            <w:r w:rsidRPr="008E0398">
              <w:rPr>
                <w:szCs w:val="28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A476B">
              <w:t> </w:t>
            </w:r>
            <w:r w:rsidR="004E7AA1" w:rsidRPr="008E0398">
              <w:rPr>
                <w:szCs w:val="28"/>
              </w:rPr>
              <w:t>-</w:t>
            </w:r>
          </w:p>
          <w:p w:rsidR="00BF5FC9" w:rsidRPr="008A476B" w:rsidRDefault="00BF5FC9" w:rsidP="008E0398">
            <w:pPr>
              <w:pStyle w:val="a7"/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 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8E0398">
              <w:rPr>
                <w:b/>
                <w:szCs w:val="28"/>
              </w:rPr>
              <w:t>-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14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Разом, гривень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1206DC" w:rsidP="008E0398">
            <w:pPr>
              <w:pStyle w:val="a7"/>
              <w:jc w:val="center"/>
            </w:pPr>
            <w:r>
              <w:t>2787,6 грн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1206DC" w:rsidP="008E0398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>
              <w:t>2787,6 грн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15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 xml:space="preserve">Кількість суб'єктів малого підприємництва, що повинні виконати </w:t>
            </w:r>
            <w:r w:rsidRPr="008A476B">
              <w:lastRenderedPageBreak/>
              <w:t>вимоги регулювання, одиниць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046EC" w:rsidP="008E0398">
            <w:pPr>
              <w:pStyle w:val="a7"/>
              <w:jc w:val="center"/>
            </w:pPr>
            <w:r>
              <w:lastRenderedPageBreak/>
              <w:t>192</w:t>
            </w:r>
          </w:p>
          <w:p w:rsidR="00BF5FC9" w:rsidRPr="008E0398" w:rsidRDefault="00BF5FC9" w:rsidP="008E0398">
            <w:pPr>
              <w:pStyle w:val="a7"/>
              <w:tabs>
                <w:tab w:val="left" w:pos="1875"/>
              </w:tabs>
              <w:jc w:val="both"/>
              <w:rPr>
                <w:b/>
                <w:szCs w:val="28"/>
              </w:rPr>
            </w:pPr>
            <w:r w:rsidRPr="008A476B">
              <w:lastRenderedPageBreak/>
              <w:t> </w:t>
            </w:r>
          </w:p>
        </w:tc>
        <w:tc>
          <w:tcPr>
            <w:tcW w:w="1180" w:type="dxa"/>
            <w:shd w:val="clear" w:color="auto" w:fill="auto"/>
          </w:tcPr>
          <w:p w:rsidR="00BF5FC9" w:rsidRPr="008E0398" w:rsidRDefault="00BF5FC9" w:rsidP="00E56BFB">
            <w:pPr>
              <w:rPr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BF5FC9" w:rsidRPr="008E0398" w:rsidRDefault="006046EC" w:rsidP="008E0398">
            <w:pPr>
              <w:jc w:val="center"/>
              <w:rPr>
                <w:sz w:val="24"/>
                <w:szCs w:val="24"/>
                <w:lang w:val="uk-UA"/>
              </w:rPr>
            </w:pPr>
            <w:r w:rsidRPr="008E0398">
              <w:rPr>
                <w:sz w:val="24"/>
                <w:szCs w:val="24"/>
                <w:lang w:val="uk-UA"/>
              </w:rPr>
              <w:t>192</w:t>
            </w:r>
          </w:p>
        </w:tc>
      </w:tr>
      <w:tr w:rsidR="008E0398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16</w:t>
            </w:r>
          </w:p>
        </w:tc>
        <w:tc>
          <w:tcPr>
            <w:tcW w:w="4500" w:type="dxa"/>
            <w:shd w:val="clear" w:color="auto" w:fill="auto"/>
          </w:tcPr>
          <w:p w:rsidR="00BF5FC9" w:rsidRPr="008E0398" w:rsidRDefault="00BF5FC9" w:rsidP="008E039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Сумарно, гривень</w:t>
            </w:r>
            <w:r w:rsidRPr="008E0398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337" w:type="dxa"/>
            <w:shd w:val="clear" w:color="auto" w:fill="auto"/>
          </w:tcPr>
          <w:p w:rsidR="00BF5FC9" w:rsidRPr="008E0398" w:rsidRDefault="00BD2875" w:rsidP="00E56BFB">
            <w:pPr>
              <w:pStyle w:val="a3"/>
              <w:rPr>
                <w:b w:val="0"/>
                <w:sz w:val="24"/>
                <w:szCs w:val="24"/>
              </w:rPr>
            </w:pPr>
            <w:r w:rsidRPr="008E0398">
              <w:rPr>
                <w:b w:val="0"/>
                <w:sz w:val="24"/>
                <w:szCs w:val="24"/>
              </w:rPr>
              <w:t>535219,2</w:t>
            </w:r>
            <w:r w:rsidR="00582ADA" w:rsidRPr="008E0398">
              <w:rPr>
                <w:b w:val="0"/>
                <w:sz w:val="24"/>
                <w:szCs w:val="24"/>
              </w:rPr>
              <w:t xml:space="preserve"> грн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E56BFB">
            <w:pPr>
              <w:pStyle w:val="a3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8E0398" w:rsidRDefault="00BD2875" w:rsidP="008E0398">
            <w:pPr>
              <w:pStyle w:val="a3"/>
              <w:tabs>
                <w:tab w:val="left" w:pos="1875"/>
              </w:tabs>
              <w:rPr>
                <w:szCs w:val="28"/>
              </w:rPr>
            </w:pPr>
            <w:r w:rsidRPr="008E0398">
              <w:rPr>
                <w:b w:val="0"/>
                <w:sz w:val="24"/>
                <w:szCs w:val="24"/>
              </w:rPr>
              <w:t>535219,2</w:t>
            </w:r>
            <w:r w:rsidR="00582ADA" w:rsidRPr="008E0398">
              <w:rPr>
                <w:b w:val="0"/>
                <w:sz w:val="24"/>
                <w:szCs w:val="24"/>
              </w:rPr>
              <w:t xml:space="preserve"> грн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203DB7" w:rsidRPr="005D5993" w:rsidRDefault="00203DB7" w:rsidP="00203DB7">
      <w:pPr>
        <w:jc w:val="both"/>
        <w:rPr>
          <w:lang w:val="uk-UA"/>
        </w:rPr>
      </w:pPr>
      <w:r w:rsidRPr="00B66E23">
        <w:rPr>
          <w:lang w:val="uk-UA"/>
        </w:rPr>
        <w:t>*</w:t>
      </w:r>
      <w:r>
        <w:rPr>
          <w:lang w:val="uk-UA"/>
        </w:rPr>
        <w:t xml:space="preserve"> Враховуючи те, що відповідно до Ліцензійних умов провадження професійної діяльності на фондовому ринку (ринку цінних паперів) – </w:t>
      </w:r>
      <w:r w:rsidR="00D577D9">
        <w:rPr>
          <w:lang w:val="uk-UA"/>
        </w:rPr>
        <w:t>діяльності з торгівлі цінними паперами</w:t>
      </w:r>
      <w:r>
        <w:rPr>
          <w:lang w:val="uk-UA"/>
        </w:rPr>
        <w:t xml:space="preserve">, затверджених рішенням Комісії від </w:t>
      </w:r>
      <w:r w:rsidR="00C8005D" w:rsidRPr="007F3EB2">
        <w:rPr>
          <w:rStyle w:val="rvts9"/>
          <w:lang w:val="uk-UA"/>
        </w:rPr>
        <w:t>14.05.2013</w:t>
      </w:r>
      <w:r w:rsidR="00C8005D">
        <w:rPr>
          <w:rStyle w:val="rvts9"/>
        </w:rPr>
        <w:t> </w:t>
      </w:r>
      <w:r w:rsidR="00C8005D" w:rsidRPr="007F3EB2">
        <w:rPr>
          <w:rStyle w:val="rvts9"/>
          <w:lang w:val="uk-UA"/>
        </w:rPr>
        <w:t xml:space="preserve"> № 819</w:t>
      </w:r>
      <w:r>
        <w:rPr>
          <w:lang w:val="uk-UA"/>
        </w:rPr>
        <w:t>, зареєстрованих в Міністерстві юстиції Украї</w:t>
      </w:r>
      <w:r w:rsidR="007F3EB2">
        <w:rPr>
          <w:lang w:val="uk-UA"/>
        </w:rPr>
        <w:t>ни 01.06.2013 за № 857/23389</w:t>
      </w:r>
      <w:r>
        <w:rPr>
          <w:lang w:val="uk-UA"/>
        </w:rPr>
        <w:t xml:space="preserve"> (зі змінами), </w:t>
      </w:r>
      <w:r w:rsidR="005D5993">
        <w:rPr>
          <w:rStyle w:val="rvts0"/>
          <w:lang w:val="uk-UA"/>
        </w:rPr>
        <w:t>Торговець цінними паперами</w:t>
      </w:r>
      <w:r w:rsidR="005D5993" w:rsidRPr="005D5993">
        <w:rPr>
          <w:rStyle w:val="rvts0"/>
          <w:lang w:val="uk-UA"/>
        </w:rPr>
        <w:t xml:space="preserve"> зобов'язаний мати обладнання, у тому числі не менше двох комп'ютерів з пристроєм для безперебійного електроживлення, а також засоби зв'язку (електронна пошта, телефон, факс) та програмно-технічний комплекс, який забезпечить виконання вимог, установлених Комісією для цієї діяльності, зокрема установлених нормативно-правовим актом Комісії, що встановлює правила (умови) здійснення діяльності з торгівлі цінними паперами: брокерської діяльності, дилерської діяльності, андеррайтингу, управління цінними паперами, та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підпису.</w:t>
      </w:r>
    </w:p>
    <w:p w:rsidR="00203DB7" w:rsidRPr="00E92E1B" w:rsidRDefault="00203DB7" w:rsidP="00203DB7">
      <w:pPr>
        <w:pStyle w:val="a3"/>
        <w:tabs>
          <w:tab w:val="left" w:pos="1875"/>
        </w:tabs>
        <w:jc w:val="both"/>
        <w:rPr>
          <w:b w:val="0"/>
          <w:sz w:val="16"/>
          <w:szCs w:val="16"/>
        </w:rPr>
      </w:pPr>
    </w:p>
    <w:p w:rsidR="001C61FE" w:rsidRPr="008A476B" w:rsidRDefault="000B2B67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5A54EA">
        <w:rPr>
          <w:b w:val="0"/>
          <w:szCs w:val="28"/>
        </w:rPr>
        <w:t>Бюджетні витрати на адміністрування регулювання суб’єктів малого підприємництва здійснюються в межах фінансування НКЦПФР без залучення додаткових штатних одиниць.</w:t>
      </w:r>
    </w:p>
    <w:p w:rsidR="00E56BFB" w:rsidRPr="008A476B" w:rsidRDefault="008E5D46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4. </w:t>
      </w:r>
      <w:r w:rsidR="00E56BFB" w:rsidRPr="008A476B">
        <w:rPr>
          <w:b w:val="0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E56BFB" w:rsidRPr="008A476B" w:rsidRDefault="00E56BFB" w:rsidP="00E56BF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856"/>
        <w:gridCol w:w="1440"/>
      </w:tblGrid>
      <w:tr w:rsidR="00E56BFB" w:rsidRPr="008E0398" w:rsidTr="008E0398">
        <w:tc>
          <w:tcPr>
            <w:tcW w:w="1548" w:type="dxa"/>
            <w:shd w:val="clear" w:color="auto" w:fill="auto"/>
          </w:tcPr>
          <w:p w:rsidR="00E56BFB" w:rsidRPr="008A476B" w:rsidRDefault="00E56BFB" w:rsidP="008E0398">
            <w:pPr>
              <w:pStyle w:val="a7"/>
              <w:jc w:val="center"/>
            </w:pPr>
            <w:r w:rsidRPr="008A476B">
              <w:t>Порядковий номер</w:t>
            </w:r>
          </w:p>
        </w:tc>
        <w:tc>
          <w:tcPr>
            <w:tcW w:w="4860" w:type="dxa"/>
            <w:shd w:val="clear" w:color="auto" w:fill="auto"/>
          </w:tcPr>
          <w:p w:rsidR="00E56BFB" w:rsidRPr="008A476B" w:rsidRDefault="00E56BFB" w:rsidP="008E0398">
            <w:pPr>
              <w:pStyle w:val="a7"/>
              <w:jc w:val="center"/>
            </w:pPr>
            <w:r w:rsidRPr="008A476B">
              <w:t>Показник</w:t>
            </w:r>
          </w:p>
        </w:tc>
        <w:tc>
          <w:tcPr>
            <w:tcW w:w="1856" w:type="dxa"/>
            <w:shd w:val="clear" w:color="auto" w:fill="auto"/>
          </w:tcPr>
          <w:p w:rsidR="00E56BFB" w:rsidRPr="008A476B" w:rsidRDefault="00E56BFB" w:rsidP="008E0398">
            <w:pPr>
              <w:pStyle w:val="a7"/>
              <w:jc w:val="center"/>
            </w:pPr>
            <w:r w:rsidRPr="008A476B">
              <w:t>Перший рік регулювання (стартовий)</w:t>
            </w:r>
          </w:p>
        </w:tc>
        <w:tc>
          <w:tcPr>
            <w:tcW w:w="1440" w:type="dxa"/>
            <w:shd w:val="clear" w:color="auto" w:fill="auto"/>
          </w:tcPr>
          <w:p w:rsidR="00E56BFB" w:rsidRPr="008A476B" w:rsidRDefault="00E56BFB" w:rsidP="008E0398">
            <w:pPr>
              <w:pStyle w:val="a7"/>
              <w:jc w:val="center"/>
            </w:pPr>
            <w:r w:rsidRPr="008A476B">
              <w:t>За п'ять років</w:t>
            </w:r>
          </w:p>
        </w:tc>
      </w:tr>
      <w:tr w:rsidR="00BF5FC9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86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856" w:type="dxa"/>
            <w:shd w:val="clear" w:color="auto" w:fill="auto"/>
          </w:tcPr>
          <w:p w:rsidR="00BF5FC9" w:rsidRPr="008A476B" w:rsidRDefault="004C67E7" w:rsidP="008E0398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F5FC9" w:rsidRPr="008A476B" w:rsidRDefault="004C67E7" w:rsidP="008E0398">
            <w:pPr>
              <w:pStyle w:val="a7"/>
              <w:jc w:val="center"/>
            </w:pPr>
            <w:r>
              <w:t>-</w:t>
            </w:r>
          </w:p>
        </w:tc>
      </w:tr>
      <w:tr w:rsidR="00BF5FC9" w:rsidRPr="008E0398" w:rsidTr="008E0398">
        <w:tc>
          <w:tcPr>
            <w:tcW w:w="1548" w:type="dxa"/>
            <w:shd w:val="clear" w:color="auto" w:fill="auto"/>
          </w:tcPr>
          <w:p w:rsidR="00BF5FC9" w:rsidRPr="008A476B" w:rsidRDefault="00BF5FC9" w:rsidP="008E0398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86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856" w:type="dxa"/>
            <w:shd w:val="clear" w:color="auto" w:fill="auto"/>
          </w:tcPr>
          <w:p w:rsidR="00BF5FC9" w:rsidRPr="00582ADA" w:rsidRDefault="00582ADA" w:rsidP="008E0398">
            <w:pPr>
              <w:pStyle w:val="a7"/>
              <w:jc w:val="center"/>
            </w:pPr>
            <w:r w:rsidRPr="00582ADA">
              <w:t>535219,2 грн</w:t>
            </w:r>
          </w:p>
        </w:tc>
        <w:tc>
          <w:tcPr>
            <w:tcW w:w="1440" w:type="dxa"/>
            <w:shd w:val="clear" w:color="auto" w:fill="auto"/>
          </w:tcPr>
          <w:p w:rsidR="00BF5FC9" w:rsidRPr="00582ADA" w:rsidRDefault="00582ADA" w:rsidP="008E0398">
            <w:pPr>
              <w:pStyle w:val="a7"/>
              <w:jc w:val="center"/>
            </w:pPr>
            <w:r w:rsidRPr="00582ADA">
              <w:t>535219,2 грн</w:t>
            </w:r>
          </w:p>
        </w:tc>
      </w:tr>
      <w:tr w:rsidR="00582ADA" w:rsidRPr="008A476B" w:rsidTr="008E0398">
        <w:tc>
          <w:tcPr>
            <w:tcW w:w="1548" w:type="dxa"/>
            <w:shd w:val="clear" w:color="auto" w:fill="auto"/>
          </w:tcPr>
          <w:p w:rsidR="00582ADA" w:rsidRPr="008A476B" w:rsidRDefault="00582ADA" w:rsidP="008E0398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860" w:type="dxa"/>
            <w:shd w:val="clear" w:color="auto" w:fill="auto"/>
          </w:tcPr>
          <w:p w:rsidR="00582ADA" w:rsidRPr="008A476B" w:rsidRDefault="00582ADA" w:rsidP="00746833">
            <w:pPr>
              <w:pStyle w:val="a7"/>
            </w:pPr>
            <w:r w:rsidRPr="008A476B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</w:tcPr>
          <w:p w:rsidR="00582ADA" w:rsidRPr="00582ADA" w:rsidRDefault="00582ADA" w:rsidP="008E0398">
            <w:pPr>
              <w:pStyle w:val="a7"/>
              <w:jc w:val="center"/>
            </w:pPr>
            <w:r w:rsidRPr="00582ADA">
              <w:t>535219,2 грн</w:t>
            </w:r>
          </w:p>
        </w:tc>
        <w:tc>
          <w:tcPr>
            <w:tcW w:w="1440" w:type="dxa"/>
            <w:shd w:val="clear" w:color="auto" w:fill="auto"/>
          </w:tcPr>
          <w:p w:rsidR="00582ADA" w:rsidRPr="00582ADA" w:rsidRDefault="00582ADA" w:rsidP="008E0398">
            <w:pPr>
              <w:pStyle w:val="a7"/>
              <w:ind w:left="-164" w:right="-232"/>
              <w:jc w:val="center"/>
            </w:pPr>
            <w:r w:rsidRPr="00582ADA">
              <w:t>535219,2 грн</w:t>
            </w:r>
          </w:p>
        </w:tc>
      </w:tr>
      <w:tr w:rsidR="00582ADA" w:rsidRPr="008A476B" w:rsidTr="008E0398">
        <w:tc>
          <w:tcPr>
            <w:tcW w:w="1548" w:type="dxa"/>
            <w:shd w:val="clear" w:color="auto" w:fill="auto"/>
          </w:tcPr>
          <w:p w:rsidR="00582ADA" w:rsidRPr="005A54EA" w:rsidRDefault="00582ADA" w:rsidP="008E0398">
            <w:pPr>
              <w:pStyle w:val="a7"/>
              <w:jc w:val="center"/>
            </w:pPr>
            <w:r w:rsidRPr="005A54EA">
              <w:t>4</w:t>
            </w:r>
          </w:p>
        </w:tc>
        <w:tc>
          <w:tcPr>
            <w:tcW w:w="4860" w:type="dxa"/>
            <w:shd w:val="clear" w:color="auto" w:fill="auto"/>
          </w:tcPr>
          <w:p w:rsidR="00582ADA" w:rsidRPr="005A54EA" w:rsidRDefault="00582ADA" w:rsidP="00746833">
            <w:pPr>
              <w:pStyle w:val="a7"/>
            </w:pPr>
            <w:r w:rsidRPr="005A54EA"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856" w:type="dxa"/>
            <w:shd w:val="clear" w:color="auto" w:fill="auto"/>
          </w:tcPr>
          <w:p w:rsidR="00582ADA" w:rsidRPr="00582ADA" w:rsidRDefault="00582ADA" w:rsidP="008E0398">
            <w:pPr>
              <w:pStyle w:val="a7"/>
              <w:jc w:val="center"/>
            </w:pPr>
            <w:r w:rsidRPr="00582ADA">
              <w:t>-</w:t>
            </w:r>
          </w:p>
        </w:tc>
        <w:tc>
          <w:tcPr>
            <w:tcW w:w="1440" w:type="dxa"/>
            <w:shd w:val="clear" w:color="auto" w:fill="auto"/>
          </w:tcPr>
          <w:p w:rsidR="00582ADA" w:rsidRPr="00582ADA" w:rsidRDefault="00582ADA" w:rsidP="008E0398">
            <w:pPr>
              <w:pStyle w:val="a7"/>
              <w:ind w:left="-164" w:right="-232"/>
              <w:jc w:val="center"/>
            </w:pPr>
            <w:r w:rsidRPr="00582ADA">
              <w:t>-</w:t>
            </w:r>
          </w:p>
        </w:tc>
      </w:tr>
      <w:tr w:rsidR="00582ADA" w:rsidRPr="008E0398" w:rsidTr="008E0398">
        <w:tc>
          <w:tcPr>
            <w:tcW w:w="1548" w:type="dxa"/>
            <w:shd w:val="clear" w:color="auto" w:fill="auto"/>
          </w:tcPr>
          <w:p w:rsidR="00582ADA" w:rsidRPr="005A54EA" w:rsidRDefault="00582ADA" w:rsidP="008E0398">
            <w:pPr>
              <w:pStyle w:val="a7"/>
              <w:jc w:val="center"/>
            </w:pPr>
            <w:r w:rsidRPr="005A54EA">
              <w:t>5</w:t>
            </w:r>
          </w:p>
        </w:tc>
        <w:tc>
          <w:tcPr>
            <w:tcW w:w="4860" w:type="dxa"/>
            <w:shd w:val="clear" w:color="auto" w:fill="auto"/>
          </w:tcPr>
          <w:p w:rsidR="00582ADA" w:rsidRPr="005A54EA" w:rsidRDefault="00582ADA" w:rsidP="00746833">
            <w:pPr>
              <w:pStyle w:val="a7"/>
            </w:pPr>
            <w:r w:rsidRPr="005A54EA">
              <w:t>Сумарні витрати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</w:tcPr>
          <w:p w:rsidR="00582ADA" w:rsidRPr="00582ADA" w:rsidRDefault="00582ADA" w:rsidP="008E0398">
            <w:pPr>
              <w:pStyle w:val="a7"/>
              <w:jc w:val="center"/>
            </w:pPr>
            <w:r w:rsidRPr="00582ADA">
              <w:t> 535219,2 грн</w:t>
            </w:r>
          </w:p>
        </w:tc>
        <w:tc>
          <w:tcPr>
            <w:tcW w:w="1440" w:type="dxa"/>
            <w:shd w:val="clear" w:color="auto" w:fill="auto"/>
          </w:tcPr>
          <w:p w:rsidR="00582ADA" w:rsidRPr="00582ADA" w:rsidRDefault="00582ADA" w:rsidP="008E0398">
            <w:pPr>
              <w:pStyle w:val="a7"/>
              <w:ind w:left="-164" w:right="-232"/>
              <w:jc w:val="center"/>
            </w:pPr>
            <w:r w:rsidRPr="00582ADA">
              <w:t>535219,2 грн</w:t>
            </w:r>
          </w:p>
        </w:tc>
      </w:tr>
    </w:tbl>
    <w:p w:rsidR="003A5A20" w:rsidRPr="00E92E1B" w:rsidRDefault="003A5A20" w:rsidP="00232A1A">
      <w:pPr>
        <w:pStyle w:val="a3"/>
        <w:jc w:val="left"/>
        <w:rPr>
          <w:sz w:val="16"/>
          <w:szCs w:val="16"/>
        </w:rPr>
      </w:pPr>
    </w:p>
    <w:p w:rsidR="00E56BFB" w:rsidRPr="00BF7913" w:rsidRDefault="00E56BFB" w:rsidP="00E56BFB">
      <w:pPr>
        <w:pStyle w:val="a3"/>
        <w:ind w:firstLine="720"/>
        <w:rPr>
          <w:szCs w:val="28"/>
        </w:rPr>
      </w:pPr>
      <w:r w:rsidRPr="00BF7913">
        <w:rPr>
          <w:szCs w:val="28"/>
        </w:rPr>
        <w:t>VІІ.  Обґрунтування запропонованого строку дії регуляторного акта</w:t>
      </w:r>
    </w:p>
    <w:p w:rsidR="001F5C92" w:rsidRPr="00BF7913" w:rsidRDefault="00E56BFB" w:rsidP="00BF7913">
      <w:pPr>
        <w:pStyle w:val="a4"/>
        <w:ind w:firstLine="708"/>
        <w:rPr>
          <w:b w:val="0"/>
          <w:szCs w:val="28"/>
        </w:rPr>
      </w:pPr>
      <w:r w:rsidRPr="00BF7913">
        <w:rPr>
          <w:b w:val="0"/>
          <w:szCs w:val="28"/>
        </w:rPr>
        <w:t xml:space="preserve">Строк дії регуляторного акта необмежений у часі, оскільки дія </w:t>
      </w:r>
      <w:r w:rsidR="00827389" w:rsidRPr="00BF7913">
        <w:rPr>
          <w:b w:val="0"/>
          <w:szCs w:val="28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BF7913">
        <w:rPr>
          <w:b w:val="0"/>
          <w:szCs w:val="28"/>
        </w:rPr>
        <w:t xml:space="preserve"> розрахована на необмежений час. </w:t>
      </w:r>
    </w:p>
    <w:p w:rsidR="003A5A20" w:rsidRPr="00E92E1B" w:rsidRDefault="003A5A20" w:rsidP="00232A1A">
      <w:pPr>
        <w:pStyle w:val="a3"/>
        <w:jc w:val="left"/>
        <w:rPr>
          <w:sz w:val="16"/>
          <w:szCs w:val="16"/>
        </w:rPr>
      </w:pPr>
    </w:p>
    <w:p w:rsidR="00E56BFB" w:rsidRPr="008A476B" w:rsidRDefault="00E56BFB" w:rsidP="00E56BFB">
      <w:pPr>
        <w:pStyle w:val="a3"/>
        <w:ind w:firstLine="720"/>
      </w:pPr>
      <w:r w:rsidRPr="008A476B">
        <w:rPr>
          <w:szCs w:val="28"/>
        </w:rPr>
        <w:t>VІІІ.  Визначення показників результативності дії регуляторного акта</w:t>
      </w:r>
    </w:p>
    <w:p w:rsidR="00E56BFB" w:rsidRPr="008A476B" w:rsidRDefault="00E56BFB" w:rsidP="00AE4359">
      <w:pPr>
        <w:ind w:firstLine="540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 впливу регуляторного акта, для відстеження результативності акта обрано такі показники:</w:t>
      </w:r>
    </w:p>
    <w:p w:rsidR="00E56BFB" w:rsidRPr="008A476B" w:rsidRDefault="00E56BFB" w:rsidP="00E56BFB">
      <w:pPr>
        <w:pStyle w:val="2"/>
        <w:spacing w:after="0" w:line="240" w:lineRule="auto"/>
        <w:ind w:left="0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8A476B">
        <w:rPr>
          <w:bCs/>
          <w:color w:val="000000"/>
          <w:sz w:val="28"/>
          <w:szCs w:val="28"/>
          <w:lang w:val="uk-UA"/>
        </w:rPr>
        <w:t xml:space="preserve">1) </w:t>
      </w:r>
      <w:r w:rsidRPr="008A476B">
        <w:rPr>
          <w:bCs/>
          <w:i/>
          <w:color w:val="000000"/>
          <w:sz w:val="28"/>
          <w:szCs w:val="28"/>
          <w:lang w:val="uk-UA"/>
        </w:rPr>
        <w:t>Р</w:t>
      </w:r>
      <w:r w:rsidRPr="008A476B">
        <w:rPr>
          <w:i/>
          <w:color w:val="000000"/>
          <w:sz w:val="28"/>
          <w:szCs w:val="28"/>
          <w:lang w:val="uk-UA"/>
        </w:rPr>
        <w:t xml:space="preserve">озмір надходжень до державного та місцевих бюджетів і державних цільових фондів, пов’язаних з дією акта </w:t>
      </w:r>
      <w:r w:rsidRPr="008A476B">
        <w:rPr>
          <w:color w:val="000000"/>
          <w:spacing w:val="-1"/>
          <w:sz w:val="28"/>
          <w:szCs w:val="28"/>
          <w:lang w:val="uk-UA"/>
        </w:rPr>
        <w:t xml:space="preserve"> – не зміниться.</w:t>
      </w:r>
    </w:p>
    <w:p w:rsidR="00E56BFB" w:rsidRPr="008A476B" w:rsidRDefault="00E56BFB" w:rsidP="00E56BFB">
      <w:pPr>
        <w:pStyle w:val="a5"/>
        <w:ind w:firstLine="567"/>
        <w:jc w:val="both"/>
        <w:rPr>
          <w:color w:val="000000"/>
          <w:spacing w:val="-1"/>
          <w:sz w:val="28"/>
          <w:szCs w:val="28"/>
        </w:rPr>
      </w:pPr>
      <w:r w:rsidRPr="008A476B">
        <w:rPr>
          <w:color w:val="000000"/>
          <w:sz w:val="28"/>
          <w:szCs w:val="28"/>
        </w:rPr>
        <w:t xml:space="preserve">2) </w:t>
      </w:r>
      <w:r w:rsidRPr="008A476B">
        <w:rPr>
          <w:i/>
          <w:color w:val="000000"/>
          <w:sz w:val="28"/>
          <w:szCs w:val="28"/>
        </w:rPr>
        <w:t>Кількість суб’єктів господарювання та/або фізичних осіб, на яких поширюватиметься дія акта</w:t>
      </w:r>
      <w:r w:rsidRPr="008A476B">
        <w:rPr>
          <w:color w:val="000000"/>
          <w:sz w:val="28"/>
          <w:szCs w:val="28"/>
        </w:rPr>
        <w:t xml:space="preserve"> - дія акту поширюється на</w:t>
      </w:r>
      <w:r w:rsidR="00584C92" w:rsidRPr="008A476B">
        <w:rPr>
          <w:color w:val="000000"/>
          <w:sz w:val="28"/>
          <w:szCs w:val="28"/>
        </w:rPr>
        <w:t xml:space="preserve"> </w:t>
      </w:r>
      <w:r w:rsidR="00192AFD">
        <w:rPr>
          <w:color w:val="000000"/>
          <w:sz w:val="28"/>
          <w:szCs w:val="28"/>
        </w:rPr>
        <w:t>2</w:t>
      </w:r>
      <w:r w:rsidR="00E12DCD">
        <w:rPr>
          <w:color w:val="000000"/>
          <w:sz w:val="28"/>
          <w:szCs w:val="28"/>
        </w:rPr>
        <w:t>42</w:t>
      </w:r>
      <w:r w:rsidR="00312013">
        <w:rPr>
          <w:color w:val="000000"/>
          <w:sz w:val="28"/>
          <w:szCs w:val="28"/>
        </w:rPr>
        <w:t xml:space="preserve"> торговців цінними паперами</w:t>
      </w:r>
      <w:r w:rsidRPr="008A476B">
        <w:rPr>
          <w:color w:val="000000"/>
          <w:sz w:val="28"/>
          <w:szCs w:val="28"/>
        </w:rPr>
        <w:t xml:space="preserve">, які здійснюють діяльність з торгівлі на фондовому ринку згідно </w:t>
      </w:r>
      <w:r w:rsidRPr="008A476B">
        <w:rPr>
          <w:color w:val="000000"/>
          <w:sz w:val="28"/>
          <w:szCs w:val="28"/>
        </w:rPr>
        <w:lastRenderedPageBreak/>
        <w:t>ліценції, виданої Національною комісією з цінних паперів та фондового ринку</w:t>
      </w:r>
      <w:r w:rsidR="00C04A44" w:rsidRPr="008A476B">
        <w:rPr>
          <w:color w:val="000000"/>
          <w:sz w:val="28"/>
          <w:szCs w:val="28"/>
        </w:rPr>
        <w:t xml:space="preserve"> (або Державною комісією з цінних паперів та фондового ринку)</w:t>
      </w:r>
      <w:r w:rsidRPr="008A476B">
        <w:rPr>
          <w:color w:val="000000"/>
          <w:sz w:val="28"/>
          <w:szCs w:val="28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3) </w:t>
      </w:r>
      <w:r w:rsidRPr="008A476B">
        <w:rPr>
          <w:i/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пов'язаними з виконанням вимог регуляторного акта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>Розмір часу, які витрат</w:t>
      </w:r>
      <w:r w:rsidR="000B0760" w:rsidRPr="008A476B">
        <w:rPr>
          <w:color w:val="000000"/>
          <w:sz w:val="28"/>
          <w:szCs w:val="28"/>
          <w:lang w:val="uk-UA"/>
        </w:rPr>
        <w:t>ять</w:t>
      </w:r>
      <w:r w:rsidRPr="008A476B">
        <w:rPr>
          <w:color w:val="000000"/>
          <w:sz w:val="28"/>
          <w:szCs w:val="28"/>
          <w:lang w:val="uk-UA"/>
        </w:rPr>
        <w:t xml:space="preserve"> суб’єкти господарювання на виконання вимог даного регуляторного акту </w:t>
      </w:r>
      <w:r w:rsidR="00E12DCD">
        <w:rPr>
          <w:color w:val="000000"/>
          <w:sz w:val="28"/>
          <w:szCs w:val="28"/>
          <w:lang w:val="uk-UA"/>
        </w:rPr>
        <w:t>збільшит</w:t>
      </w:r>
      <w:r w:rsidR="00ED31AF">
        <w:rPr>
          <w:color w:val="000000"/>
          <w:sz w:val="28"/>
          <w:szCs w:val="28"/>
          <w:lang w:val="uk-UA"/>
        </w:rPr>
        <w:t>ь</w:t>
      </w:r>
      <w:r w:rsidR="00E12DCD">
        <w:rPr>
          <w:color w:val="000000"/>
          <w:sz w:val="28"/>
          <w:szCs w:val="28"/>
          <w:lang w:val="uk-UA"/>
        </w:rPr>
        <w:t>ся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4) </w:t>
      </w:r>
      <w:r w:rsidRPr="008A476B">
        <w:rPr>
          <w:i/>
          <w:color w:val="000000"/>
          <w:sz w:val="28"/>
          <w:szCs w:val="28"/>
          <w:lang w:val="uk-UA"/>
        </w:rPr>
        <w:t>Рівень поінформованості суб’єктів господарювання та/або фізичних осіб з основних положень акта</w:t>
      </w:r>
      <w:r w:rsidRPr="008A476B">
        <w:rPr>
          <w:color w:val="000000"/>
          <w:sz w:val="28"/>
          <w:szCs w:val="28"/>
          <w:lang w:val="uk-UA"/>
        </w:rPr>
        <w:t xml:space="preserve"> – середній. Даний проект регуляторного акта, з метою громадського обговорення, </w:t>
      </w:r>
      <w:r w:rsidRPr="008A476B">
        <w:rPr>
          <w:rStyle w:val="spelle"/>
          <w:color w:val="000000"/>
          <w:sz w:val="28"/>
          <w:szCs w:val="28"/>
          <w:lang w:val="uk-UA"/>
        </w:rPr>
        <w:t>оприлюднено</w:t>
      </w:r>
      <w:r w:rsidRPr="008A476B">
        <w:rPr>
          <w:color w:val="000000"/>
          <w:sz w:val="28"/>
          <w:szCs w:val="28"/>
          <w:lang w:val="uk-UA"/>
        </w:rPr>
        <w:t xml:space="preserve"> на офіційному </w:t>
      </w:r>
      <w:r w:rsidRPr="008A476B">
        <w:rPr>
          <w:rStyle w:val="spelle"/>
          <w:color w:val="000000"/>
          <w:sz w:val="28"/>
          <w:szCs w:val="28"/>
          <w:lang w:val="uk-UA"/>
        </w:rPr>
        <w:t>веб-сайті</w:t>
      </w:r>
      <w:r w:rsidRPr="008A476B">
        <w:rPr>
          <w:color w:val="000000"/>
          <w:sz w:val="28"/>
          <w:szCs w:val="28"/>
          <w:lang w:val="uk-UA"/>
        </w:rPr>
        <w:t xml:space="preserve"> Національної комісії з цінних паперів та фондового ринку.</w:t>
      </w:r>
    </w:p>
    <w:p w:rsidR="00C91558" w:rsidRPr="008A476B" w:rsidRDefault="00192AFD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91558">
        <w:rPr>
          <w:color w:val="000000"/>
          <w:sz w:val="28"/>
          <w:szCs w:val="28"/>
          <w:lang w:val="uk-UA"/>
        </w:rPr>
        <w:t>) Кількість звернень, скарг від фізичних та юридичних осіб на діяльність торговців цінними паперами та щодо порушення прав інвесторів – зменшиться.</w:t>
      </w:r>
    </w:p>
    <w:p w:rsidR="00037CB6" w:rsidRDefault="00037CB6" w:rsidP="00037C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Обсяг торгів цінними паперами на фондовому ринку – </w:t>
      </w:r>
      <w:r>
        <w:rPr>
          <w:color w:val="000000"/>
          <w:spacing w:val="-1"/>
          <w:sz w:val="28"/>
          <w:szCs w:val="28"/>
          <w:lang w:val="uk-UA"/>
        </w:rPr>
        <w:t>збільшиться</w:t>
      </w:r>
      <w:r>
        <w:rPr>
          <w:color w:val="000000"/>
          <w:sz w:val="28"/>
          <w:szCs w:val="28"/>
          <w:lang w:val="uk-UA"/>
        </w:rPr>
        <w:t>.</w:t>
      </w:r>
    </w:p>
    <w:p w:rsidR="00037CB6" w:rsidRDefault="00037CB6" w:rsidP="00037C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Обсяг інвесторів у цінні папери на фондовому ринку – </w:t>
      </w:r>
      <w:r>
        <w:rPr>
          <w:color w:val="000000"/>
          <w:spacing w:val="-1"/>
          <w:sz w:val="28"/>
          <w:szCs w:val="28"/>
          <w:lang w:val="uk-UA"/>
        </w:rPr>
        <w:t>збільшиться</w:t>
      </w:r>
      <w:r>
        <w:rPr>
          <w:color w:val="000000"/>
          <w:sz w:val="28"/>
          <w:szCs w:val="28"/>
          <w:lang w:val="uk-UA"/>
        </w:rPr>
        <w:t>.</w:t>
      </w:r>
    </w:p>
    <w:p w:rsidR="003A5A20" w:rsidRPr="00CD5EE6" w:rsidRDefault="003A5A20" w:rsidP="00232A1A">
      <w:pPr>
        <w:pStyle w:val="a3"/>
        <w:jc w:val="both"/>
        <w:rPr>
          <w:sz w:val="16"/>
          <w:szCs w:val="16"/>
        </w:rPr>
      </w:pPr>
    </w:p>
    <w:p w:rsidR="00E56BFB" w:rsidRPr="008A476B" w:rsidRDefault="00E56BFB" w:rsidP="00E56BFB">
      <w:pPr>
        <w:pStyle w:val="a3"/>
        <w:ind w:firstLine="720"/>
      </w:pPr>
      <w:r w:rsidRPr="008A476B">
        <w:t>ІХ. Визначення заходів, за допомогою яких здійснюватиметься відстеження результативності дії регуляторного акта</w:t>
      </w:r>
    </w:p>
    <w:p w:rsidR="00E56BFB" w:rsidRPr="00E92E1B" w:rsidRDefault="00E56BFB" w:rsidP="00E56BFB">
      <w:pPr>
        <w:pStyle w:val="a3"/>
        <w:ind w:firstLine="720"/>
        <w:jc w:val="both"/>
        <w:rPr>
          <w:sz w:val="16"/>
          <w:szCs w:val="16"/>
        </w:rPr>
      </w:pP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щодо розміру надходжень до державного бюджету, пов’язаних з дією акта, кількості </w:t>
      </w:r>
      <w:r w:rsidR="009B57ED">
        <w:rPr>
          <w:b w:val="0"/>
        </w:rPr>
        <w:t>торговців</w:t>
      </w:r>
      <w:r w:rsidRPr="008A476B">
        <w:rPr>
          <w:b w:val="0"/>
        </w:rPr>
        <w:t>, на які поширюватиметься дія акта, обробки зведених даних щодо кількості скарг та пропозицій від професійних учасників фондового ринку</w:t>
      </w:r>
      <w:r w:rsidR="009B57ED">
        <w:rPr>
          <w:b w:val="0"/>
        </w:rPr>
        <w:t>, фізичних та юридичних осіб</w:t>
      </w:r>
      <w:r w:rsidRPr="008A476B">
        <w:rPr>
          <w:b w:val="0"/>
        </w:rPr>
        <w:t>.</w:t>
      </w:r>
    </w:p>
    <w:p w:rsidR="00E56BFB" w:rsidRPr="008A476B" w:rsidRDefault="00E56BFB" w:rsidP="00D72848">
      <w:pPr>
        <w:pStyle w:val="a5"/>
        <w:ind w:right="141"/>
        <w:jc w:val="both"/>
        <w:rPr>
          <w:sz w:val="28"/>
          <w:szCs w:val="28"/>
        </w:rPr>
      </w:pPr>
      <w:r w:rsidRPr="008A476B">
        <w:rPr>
          <w:sz w:val="28"/>
          <w:szCs w:val="28"/>
        </w:rPr>
        <w:t>Базове відстеження результативності вищезазначеного регуляторного акта буде здійснюватись до дати набрання чинності більшості його положень шляхом збору пропозицій і зауважень та їх аналізу.</w:t>
      </w: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>Повторне відстеження планується здійснити не пізніше двох років з дня набрання чинності більшістю положень регуляторного акта, в результаті якого відбудеться порівняння показників базового та повторного обстеження.</w:t>
      </w:r>
      <w:r w:rsidR="007141FA">
        <w:rPr>
          <w:b w:val="0"/>
        </w:rPr>
        <w:t xml:space="preserve"> У разі надходження пропозицій </w:t>
      </w:r>
      <w:r w:rsidRPr="008A476B">
        <w:rPr>
          <w:b w:val="0"/>
        </w:rPr>
        <w:t>та зауважень, які заслуговують на увагу, або виявлення неврегульованих та проблемних питань, у разі необхідності вони будуть обговорені та винесені на засідання НКЦПФР, з метою  внесення відповідних змін до цього рішення.</w:t>
      </w:r>
    </w:p>
    <w:p w:rsidR="00E56BFB" w:rsidRPr="008A476B" w:rsidRDefault="00E56BFB" w:rsidP="00D72848">
      <w:pPr>
        <w:pStyle w:val="a4"/>
        <w:ind w:firstLine="720"/>
        <w:rPr>
          <w:b w:val="0"/>
        </w:rPr>
      </w:pPr>
      <w:r w:rsidRPr="008A476B">
        <w:rPr>
          <w:b w:val="0"/>
          <w:szCs w:val="28"/>
        </w:rPr>
        <w:t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акта.</w:t>
      </w:r>
    </w:p>
    <w:p w:rsidR="0042223D" w:rsidRDefault="0042223D" w:rsidP="0042223D">
      <w:pPr>
        <w:pStyle w:val="a4"/>
      </w:pPr>
      <w:bookmarkStart w:id="1" w:name="34"/>
      <w:bookmarkEnd w:id="1"/>
    </w:p>
    <w:p w:rsidR="00014FF2" w:rsidRDefault="00014FF2" w:rsidP="0042223D">
      <w:pPr>
        <w:pStyle w:val="a4"/>
      </w:pPr>
    </w:p>
    <w:p w:rsidR="00014FF2" w:rsidRDefault="00014FF2" w:rsidP="0042223D">
      <w:pPr>
        <w:pStyle w:val="a4"/>
      </w:pPr>
    </w:p>
    <w:p w:rsidR="003C5D36" w:rsidRDefault="00E56BFB" w:rsidP="0042223D">
      <w:pPr>
        <w:pStyle w:val="a4"/>
      </w:pPr>
      <w:r w:rsidRPr="008A476B">
        <w:t xml:space="preserve">Голова </w:t>
      </w:r>
      <w:r w:rsidR="003C5D36">
        <w:t>Національної к</w:t>
      </w:r>
      <w:r w:rsidRPr="008A476B">
        <w:t>омісії</w:t>
      </w:r>
      <w:r w:rsidR="003C5D36">
        <w:t xml:space="preserve"> з</w:t>
      </w:r>
    </w:p>
    <w:p w:rsidR="00E56BFB" w:rsidRPr="008A476B" w:rsidRDefault="003C5D36" w:rsidP="0042223D">
      <w:pPr>
        <w:pStyle w:val="a4"/>
      </w:pPr>
      <w:r>
        <w:t>цінних</w:t>
      </w:r>
      <w:r w:rsidR="00E56BFB" w:rsidRPr="008A476B">
        <w:t xml:space="preserve"> </w:t>
      </w:r>
      <w:r>
        <w:t xml:space="preserve">паперів та фондового ринку            </w:t>
      </w:r>
      <w:r>
        <w:tab/>
      </w:r>
      <w:r>
        <w:tab/>
      </w:r>
      <w:r>
        <w:tab/>
      </w:r>
      <w:r w:rsidR="00DE317B">
        <w:t xml:space="preserve">       </w:t>
      </w:r>
      <w:r>
        <w:t xml:space="preserve">       </w:t>
      </w:r>
      <w:r w:rsidR="00E56BFB" w:rsidRPr="008A476B">
        <w:t>Т. Хромаєв</w:t>
      </w:r>
    </w:p>
    <w:p w:rsidR="000213E3" w:rsidRDefault="000213E3" w:rsidP="0042223D">
      <w:pPr>
        <w:pStyle w:val="a4"/>
      </w:pPr>
    </w:p>
    <w:p w:rsidR="000213E3" w:rsidRDefault="000213E3" w:rsidP="00E56BFB">
      <w:pPr>
        <w:pStyle w:val="a4"/>
        <w:ind w:firstLine="720"/>
      </w:pPr>
    </w:p>
    <w:p w:rsidR="000213E3" w:rsidRPr="008A476B" w:rsidRDefault="000213E3" w:rsidP="00E56BFB">
      <w:pPr>
        <w:pStyle w:val="a4"/>
        <w:ind w:firstLine="720"/>
      </w:pPr>
    </w:p>
    <w:sectPr w:rsidR="000213E3" w:rsidRPr="008A476B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98" w:rsidRDefault="008E0398">
      <w:r>
        <w:separator/>
      </w:r>
    </w:p>
  </w:endnote>
  <w:endnote w:type="continuationSeparator" w:id="0">
    <w:p w:rsidR="008E0398" w:rsidRDefault="008E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F2" w:rsidRDefault="00014FF2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4FF2" w:rsidRDefault="00014FF2" w:rsidP="00E56B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F2" w:rsidRDefault="00014FF2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795E">
      <w:rPr>
        <w:rStyle w:val="aa"/>
        <w:noProof/>
      </w:rPr>
      <w:t>1</w:t>
    </w:r>
    <w:r>
      <w:rPr>
        <w:rStyle w:val="aa"/>
      </w:rPr>
      <w:fldChar w:fldCharType="end"/>
    </w:r>
  </w:p>
  <w:p w:rsidR="00014FF2" w:rsidRDefault="00014FF2" w:rsidP="00E56B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98" w:rsidRDefault="008E0398">
      <w:r>
        <w:separator/>
      </w:r>
    </w:p>
  </w:footnote>
  <w:footnote w:type="continuationSeparator" w:id="0">
    <w:p w:rsidR="008E0398" w:rsidRDefault="008E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FB"/>
    <w:rsid w:val="00001B78"/>
    <w:rsid w:val="00006ADC"/>
    <w:rsid w:val="0001220A"/>
    <w:rsid w:val="00014FF2"/>
    <w:rsid w:val="000213E3"/>
    <w:rsid w:val="00026CAB"/>
    <w:rsid w:val="00027AC5"/>
    <w:rsid w:val="0003500A"/>
    <w:rsid w:val="00037CB6"/>
    <w:rsid w:val="00040DA5"/>
    <w:rsid w:val="0004101E"/>
    <w:rsid w:val="0004678D"/>
    <w:rsid w:val="00067F3E"/>
    <w:rsid w:val="00070A67"/>
    <w:rsid w:val="00085B9A"/>
    <w:rsid w:val="00090393"/>
    <w:rsid w:val="0009106F"/>
    <w:rsid w:val="00094677"/>
    <w:rsid w:val="00095B8B"/>
    <w:rsid w:val="000A168B"/>
    <w:rsid w:val="000A1CA0"/>
    <w:rsid w:val="000A4880"/>
    <w:rsid w:val="000A7DF9"/>
    <w:rsid w:val="000B0760"/>
    <w:rsid w:val="000B10D1"/>
    <w:rsid w:val="000B2411"/>
    <w:rsid w:val="000B24DC"/>
    <w:rsid w:val="000B2B67"/>
    <w:rsid w:val="000B3728"/>
    <w:rsid w:val="000B48F7"/>
    <w:rsid w:val="000B5D95"/>
    <w:rsid w:val="000C567E"/>
    <w:rsid w:val="000D57FF"/>
    <w:rsid w:val="000E5D03"/>
    <w:rsid w:val="000F72BB"/>
    <w:rsid w:val="000F7C79"/>
    <w:rsid w:val="0010730D"/>
    <w:rsid w:val="00111CCA"/>
    <w:rsid w:val="001148E4"/>
    <w:rsid w:val="00115A02"/>
    <w:rsid w:val="00120380"/>
    <w:rsid w:val="001204D4"/>
    <w:rsid w:val="001206DC"/>
    <w:rsid w:val="00122EC8"/>
    <w:rsid w:val="00130226"/>
    <w:rsid w:val="00132FB5"/>
    <w:rsid w:val="00143AFC"/>
    <w:rsid w:val="00147C99"/>
    <w:rsid w:val="00147EFE"/>
    <w:rsid w:val="00151708"/>
    <w:rsid w:val="0015196C"/>
    <w:rsid w:val="00153511"/>
    <w:rsid w:val="00156B6D"/>
    <w:rsid w:val="00157399"/>
    <w:rsid w:val="00157E1B"/>
    <w:rsid w:val="001659B4"/>
    <w:rsid w:val="00165F03"/>
    <w:rsid w:val="001661E9"/>
    <w:rsid w:val="00174A67"/>
    <w:rsid w:val="00186115"/>
    <w:rsid w:val="00187438"/>
    <w:rsid w:val="00192AFD"/>
    <w:rsid w:val="00197096"/>
    <w:rsid w:val="001A2085"/>
    <w:rsid w:val="001A626C"/>
    <w:rsid w:val="001C61FE"/>
    <w:rsid w:val="001D0BE1"/>
    <w:rsid w:val="001D2036"/>
    <w:rsid w:val="001D2451"/>
    <w:rsid w:val="001D4BA8"/>
    <w:rsid w:val="001F3918"/>
    <w:rsid w:val="001F45FE"/>
    <w:rsid w:val="001F597E"/>
    <w:rsid w:val="001F5C92"/>
    <w:rsid w:val="00201D58"/>
    <w:rsid w:val="00203A6B"/>
    <w:rsid w:val="00203DB7"/>
    <w:rsid w:val="00206923"/>
    <w:rsid w:val="00207C79"/>
    <w:rsid w:val="00212312"/>
    <w:rsid w:val="002139D1"/>
    <w:rsid w:val="00215691"/>
    <w:rsid w:val="002172B2"/>
    <w:rsid w:val="00222AFB"/>
    <w:rsid w:val="00224FD3"/>
    <w:rsid w:val="00225A69"/>
    <w:rsid w:val="00231306"/>
    <w:rsid w:val="00232129"/>
    <w:rsid w:val="00232A1A"/>
    <w:rsid w:val="0023485E"/>
    <w:rsid w:val="002375AB"/>
    <w:rsid w:val="00241D7E"/>
    <w:rsid w:val="00242596"/>
    <w:rsid w:val="002467D6"/>
    <w:rsid w:val="00246D0F"/>
    <w:rsid w:val="00254D1E"/>
    <w:rsid w:val="00256457"/>
    <w:rsid w:val="00262568"/>
    <w:rsid w:val="00263CF5"/>
    <w:rsid w:val="00264E97"/>
    <w:rsid w:val="002675EA"/>
    <w:rsid w:val="00272F23"/>
    <w:rsid w:val="00273985"/>
    <w:rsid w:val="00280AB8"/>
    <w:rsid w:val="00282A92"/>
    <w:rsid w:val="002866F6"/>
    <w:rsid w:val="002876ED"/>
    <w:rsid w:val="002A1248"/>
    <w:rsid w:val="002A26A3"/>
    <w:rsid w:val="002A65DE"/>
    <w:rsid w:val="002B065F"/>
    <w:rsid w:val="002B09AC"/>
    <w:rsid w:val="002B2E2A"/>
    <w:rsid w:val="002B6F77"/>
    <w:rsid w:val="002C1002"/>
    <w:rsid w:val="002C38DE"/>
    <w:rsid w:val="002E0F1D"/>
    <w:rsid w:val="002E1B72"/>
    <w:rsid w:val="002E3ADD"/>
    <w:rsid w:val="002E7303"/>
    <w:rsid w:val="002F4E65"/>
    <w:rsid w:val="00306A73"/>
    <w:rsid w:val="00312013"/>
    <w:rsid w:val="00321172"/>
    <w:rsid w:val="00322878"/>
    <w:rsid w:val="003309E1"/>
    <w:rsid w:val="003318FD"/>
    <w:rsid w:val="0033195C"/>
    <w:rsid w:val="00337C3C"/>
    <w:rsid w:val="003403E4"/>
    <w:rsid w:val="0034240E"/>
    <w:rsid w:val="003448FE"/>
    <w:rsid w:val="00357741"/>
    <w:rsid w:val="00357A97"/>
    <w:rsid w:val="0036090A"/>
    <w:rsid w:val="00362966"/>
    <w:rsid w:val="00363686"/>
    <w:rsid w:val="0036728F"/>
    <w:rsid w:val="00375971"/>
    <w:rsid w:val="00391309"/>
    <w:rsid w:val="00392993"/>
    <w:rsid w:val="00392F97"/>
    <w:rsid w:val="00394569"/>
    <w:rsid w:val="00394D59"/>
    <w:rsid w:val="00397F76"/>
    <w:rsid w:val="003A28F7"/>
    <w:rsid w:val="003A4A00"/>
    <w:rsid w:val="003A523F"/>
    <w:rsid w:val="003A5A20"/>
    <w:rsid w:val="003B0A55"/>
    <w:rsid w:val="003B3850"/>
    <w:rsid w:val="003C2FAA"/>
    <w:rsid w:val="003C58FD"/>
    <w:rsid w:val="003C5D36"/>
    <w:rsid w:val="003D18C5"/>
    <w:rsid w:val="003D40F5"/>
    <w:rsid w:val="003D5CD5"/>
    <w:rsid w:val="003E1022"/>
    <w:rsid w:val="003E4045"/>
    <w:rsid w:val="003E4C02"/>
    <w:rsid w:val="003E5118"/>
    <w:rsid w:val="003E521F"/>
    <w:rsid w:val="003E582B"/>
    <w:rsid w:val="003F207F"/>
    <w:rsid w:val="003F4708"/>
    <w:rsid w:val="003F5953"/>
    <w:rsid w:val="003F5A5F"/>
    <w:rsid w:val="004048CF"/>
    <w:rsid w:val="004121FB"/>
    <w:rsid w:val="00413DAD"/>
    <w:rsid w:val="0042223D"/>
    <w:rsid w:val="004250F0"/>
    <w:rsid w:val="004259E0"/>
    <w:rsid w:val="00430FAC"/>
    <w:rsid w:val="0043542D"/>
    <w:rsid w:val="00436D4F"/>
    <w:rsid w:val="004409AB"/>
    <w:rsid w:val="004413E8"/>
    <w:rsid w:val="0044320D"/>
    <w:rsid w:val="00446FC3"/>
    <w:rsid w:val="00447A12"/>
    <w:rsid w:val="0045008B"/>
    <w:rsid w:val="00453C63"/>
    <w:rsid w:val="004562EE"/>
    <w:rsid w:val="00460D09"/>
    <w:rsid w:val="0046274B"/>
    <w:rsid w:val="00470B63"/>
    <w:rsid w:val="00471C0D"/>
    <w:rsid w:val="00475F27"/>
    <w:rsid w:val="00483A13"/>
    <w:rsid w:val="00490A20"/>
    <w:rsid w:val="00495D46"/>
    <w:rsid w:val="004A1668"/>
    <w:rsid w:val="004B10A7"/>
    <w:rsid w:val="004B47C1"/>
    <w:rsid w:val="004B7C2F"/>
    <w:rsid w:val="004C67E7"/>
    <w:rsid w:val="004D49B9"/>
    <w:rsid w:val="004D5E4E"/>
    <w:rsid w:val="004E220C"/>
    <w:rsid w:val="004E4291"/>
    <w:rsid w:val="004E66BE"/>
    <w:rsid w:val="004E7AA1"/>
    <w:rsid w:val="004F66BE"/>
    <w:rsid w:val="00501ED1"/>
    <w:rsid w:val="00504BA1"/>
    <w:rsid w:val="00505263"/>
    <w:rsid w:val="00514615"/>
    <w:rsid w:val="00517ACC"/>
    <w:rsid w:val="0052253E"/>
    <w:rsid w:val="0052618D"/>
    <w:rsid w:val="00536351"/>
    <w:rsid w:val="0053740C"/>
    <w:rsid w:val="0054461F"/>
    <w:rsid w:val="005521ED"/>
    <w:rsid w:val="00553051"/>
    <w:rsid w:val="0055330A"/>
    <w:rsid w:val="00554076"/>
    <w:rsid w:val="00567659"/>
    <w:rsid w:val="00572501"/>
    <w:rsid w:val="00572947"/>
    <w:rsid w:val="0057488D"/>
    <w:rsid w:val="0057641F"/>
    <w:rsid w:val="00577771"/>
    <w:rsid w:val="00582ADA"/>
    <w:rsid w:val="00584097"/>
    <w:rsid w:val="00584C92"/>
    <w:rsid w:val="00585C6C"/>
    <w:rsid w:val="0059096D"/>
    <w:rsid w:val="005909D3"/>
    <w:rsid w:val="00592A00"/>
    <w:rsid w:val="005A41BE"/>
    <w:rsid w:val="005A655D"/>
    <w:rsid w:val="005B14DB"/>
    <w:rsid w:val="005B59A1"/>
    <w:rsid w:val="005C6FB7"/>
    <w:rsid w:val="005C7880"/>
    <w:rsid w:val="005D5993"/>
    <w:rsid w:val="005E2420"/>
    <w:rsid w:val="005E5CBB"/>
    <w:rsid w:val="006046EC"/>
    <w:rsid w:val="006061A4"/>
    <w:rsid w:val="006138D7"/>
    <w:rsid w:val="00621816"/>
    <w:rsid w:val="00625DC5"/>
    <w:rsid w:val="006269CB"/>
    <w:rsid w:val="00631D82"/>
    <w:rsid w:val="006358A7"/>
    <w:rsid w:val="00644BE5"/>
    <w:rsid w:val="00645D51"/>
    <w:rsid w:val="006479B1"/>
    <w:rsid w:val="006514FB"/>
    <w:rsid w:val="006662EB"/>
    <w:rsid w:val="00666597"/>
    <w:rsid w:val="00672BF4"/>
    <w:rsid w:val="0067644F"/>
    <w:rsid w:val="006976B0"/>
    <w:rsid w:val="00697C00"/>
    <w:rsid w:val="006A0639"/>
    <w:rsid w:val="006A0BD5"/>
    <w:rsid w:val="006A781D"/>
    <w:rsid w:val="006B16BB"/>
    <w:rsid w:val="006B1C10"/>
    <w:rsid w:val="006B2480"/>
    <w:rsid w:val="006B519C"/>
    <w:rsid w:val="006B5FC8"/>
    <w:rsid w:val="006B7BDD"/>
    <w:rsid w:val="006C036C"/>
    <w:rsid w:val="006C282A"/>
    <w:rsid w:val="006C6912"/>
    <w:rsid w:val="006D1DF7"/>
    <w:rsid w:val="006D3DB8"/>
    <w:rsid w:val="006E0812"/>
    <w:rsid w:val="006E13EE"/>
    <w:rsid w:val="006E19D2"/>
    <w:rsid w:val="006E2ED5"/>
    <w:rsid w:val="006E3765"/>
    <w:rsid w:val="006E7E26"/>
    <w:rsid w:val="006F03DD"/>
    <w:rsid w:val="006F4904"/>
    <w:rsid w:val="006F5A4D"/>
    <w:rsid w:val="006F771C"/>
    <w:rsid w:val="00711144"/>
    <w:rsid w:val="00712CCA"/>
    <w:rsid w:val="007130E8"/>
    <w:rsid w:val="007141FA"/>
    <w:rsid w:val="00720510"/>
    <w:rsid w:val="007238C7"/>
    <w:rsid w:val="00727CBB"/>
    <w:rsid w:val="00736163"/>
    <w:rsid w:val="007409CC"/>
    <w:rsid w:val="00742EBB"/>
    <w:rsid w:val="00746833"/>
    <w:rsid w:val="00753853"/>
    <w:rsid w:val="0075641D"/>
    <w:rsid w:val="00756581"/>
    <w:rsid w:val="007574BE"/>
    <w:rsid w:val="00757F21"/>
    <w:rsid w:val="00761A15"/>
    <w:rsid w:val="00764E58"/>
    <w:rsid w:val="0077272C"/>
    <w:rsid w:val="00780F99"/>
    <w:rsid w:val="00781B54"/>
    <w:rsid w:val="00781FA5"/>
    <w:rsid w:val="00783864"/>
    <w:rsid w:val="007902E7"/>
    <w:rsid w:val="0079552F"/>
    <w:rsid w:val="007B23A3"/>
    <w:rsid w:val="007B27D8"/>
    <w:rsid w:val="007B27FF"/>
    <w:rsid w:val="007C3E5F"/>
    <w:rsid w:val="007D2DD4"/>
    <w:rsid w:val="007E21A3"/>
    <w:rsid w:val="007E581E"/>
    <w:rsid w:val="007F0D04"/>
    <w:rsid w:val="007F1CED"/>
    <w:rsid w:val="007F3EB2"/>
    <w:rsid w:val="007F4730"/>
    <w:rsid w:val="007F48D9"/>
    <w:rsid w:val="007F4C57"/>
    <w:rsid w:val="00800F68"/>
    <w:rsid w:val="008103DE"/>
    <w:rsid w:val="00810C2C"/>
    <w:rsid w:val="00811C91"/>
    <w:rsid w:val="00813E9E"/>
    <w:rsid w:val="0081490F"/>
    <w:rsid w:val="00820F32"/>
    <w:rsid w:val="00827389"/>
    <w:rsid w:val="00845653"/>
    <w:rsid w:val="008466D6"/>
    <w:rsid w:val="0085294C"/>
    <w:rsid w:val="0085469F"/>
    <w:rsid w:val="008551FC"/>
    <w:rsid w:val="00855AE9"/>
    <w:rsid w:val="00857FDC"/>
    <w:rsid w:val="00860AF0"/>
    <w:rsid w:val="00864328"/>
    <w:rsid w:val="00864F67"/>
    <w:rsid w:val="00870B13"/>
    <w:rsid w:val="0087693C"/>
    <w:rsid w:val="008818F2"/>
    <w:rsid w:val="00885D4C"/>
    <w:rsid w:val="00887161"/>
    <w:rsid w:val="008918AE"/>
    <w:rsid w:val="0089376C"/>
    <w:rsid w:val="008A16AB"/>
    <w:rsid w:val="008A30D6"/>
    <w:rsid w:val="008A476B"/>
    <w:rsid w:val="008B0582"/>
    <w:rsid w:val="008B0685"/>
    <w:rsid w:val="008B541C"/>
    <w:rsid w:val="008C5EDF"/>
    <w:rsid w:val="008C62D7"/>
    <w:rsid w:val="008D21B7"/>
    <w:rsid w:val="008E0398"/>
    <w:rsid w:val="008E1F66"/>
    <w:rsid w:val="008E5541"/>
    <w:rsid w:val="008E5A1F"/>
    <w:rsid w:val="008E5D46"/>
    <w:rsid w:val="008F22C1"/>
    <w:rsid w:val="008F6661"/>
    <w:rsid w:val="00902A2F"/>
    <w:rsid w:val="00912739"/>
    <w:rsid w:val="0091682B"/>
    <w:rsid w:val="00920584"/>
    <w:rsid w:val="00920CB1"/>
    <w:rsid w:val="0092451A"/>
    <w:rsid w:val="00926FE0"/>
    <w:rsid w:val="00940DBD"/>
    <w:rsid w:val="009446AD"/>
    <w:rsid w:val="009477A9"/>
    <w:rsid w:val="00951A68"/>
    <w:rsid w:val="00964D59"/>
    <w:rsid w:val="00965774"/>
    <w:rsid w:val="00966922"/>
    <w:rsid w:val="0097331B"/>
    <w:rsid w:val="00973F4A"/>
    <w:rsid w:val="00976F2A"/>
    <w:rsid w:val="009807DE"/>
    <w:rsid w:val="0098175B"/>
    <w:rsid w:val="00986310"/>
    <w:rsid w:val="009901DE"/>
    <w:rsid w:val="00995300"/>
    <w:rsid w:val="009A6394"/>
    <w:rsid w:val="009B0BC8"/>
    <w:rsid w:val="009B2783"/>
    <w:rsid w:val="009B57ED"/>
    <w:rsid w:val="009C74FC"/>
    <w:rsid w:val="009D16ED"/>
    <w:rsid w:val="009D1834"/>
    <w:rsid w:val="009D2139"/>
    <w:rsid w:val="009E01C1"/>
    <w:rsid w:val="009E31EC"/>
    <w:rsid w:val="009E4562"/>
    <w:rsid w:val="009E5A18"/>
    <w:rsid w:val="009E75F6"/>
    <w:rsid w:val="00A10F46"/>
    <w:rsid w:val="00A15D3D"/>
    <w:rsid w:val="00A21031"/>
    <w:rsid w:val="00A26BC1"/>
    <w:rsid w:val="00A4186E"/>
    <w:rsid w:val="00A54F66"/>
    <w:rsid w:val="00A618E8"/>
    <w:rsid w:val="00A7631E"/>
    <w:rsid w:val="00A84B03"/>
    <w:rsid w:val="00A87506"/>
    <w:rsid w:val="00A87616"/>
    <w:rsid w:val="00A97926"/>
    <w:rsid w:val="00AA45DD"/>
    <w:rsid w:val="00AB006B"/>
    <w:rsid w:val="00AB0640"/>
    <w:rsid w:val="00AB06EE"/>
    <w:rsid w:val="00AB3951"/>
    <w:rsid w:val="00AB48B6"/>
    <w:rsid w:val="00AC0E89"/>
    <w:rsid w:val="00AC5360"/>
    <w:rsid w:val="00AD172F"/>
    <w:rsid w:val="00AD1C67"/>
    <w:rsid w:val="00AD547C"/>
    <w:rsid w:val="00AE4359"/>
    <w:rsid w:val="00AE5B01"/>
    <w:rsid w:val="00B00A81"/>
    <w:rsid w:val="00B06CF2"/>
    <w:rsid w:val="00B16BEC"/>
    <w:rsid w:val="00B17444"/>
    <w:rsid w:val="00B259AD"/>
    <w:rsid w:val="00B2660E"/>
    <w:rsid w:val="00B318F2"/>
    <w:rsid w:val="00B31ABF"/>
    <w:rsid w:val="00B32453"/>
    <w:rsid w:val="00B34E6D"/>
    <w:rsid w:val="00B45E56"/>
    <w:rsid w:val="00B463A2"/>
    <w:rsid w:val="00B54DF2"/>
    <w:rsid w:val="00B5564A"/>
    <w:rsid w:val="00B557BB"/>
    <w:rsid w:val="00B55E80"/>
    <w:rsid w:val="00B61523"/>
    <w:rsid w:val="00B66148"/>
    <w:rsid w:val="00B709B4"/>
    <w:rsid w:val="00B72ED7"/>
    <w:rsid w:val="00B741A2"/>
    <w:rsid w:val="00B83162"/>
    <w:rsid w:val="00B84E74"/>
    <w:rsid w:val="00B9184E"/>
    <w:rsid w:val="00B96454"/>
    <w:rsid w:val="00B9708F"/>
    <w:rsid w:val="00B97CD5"/>
    <w:rsid w:val="00BA1830"/>
    <w:rsid w:val="00BB3B5C"/>
    <w:rsid w:val="00BB3CB8"/>
    <w:rsid w:val="00BB662C"/>
    <w:rsid w:val="00BC49B1"/>
    <w:rsid w:val="00BD2875"/>
    <w:rsid w:val="00BD3935"/>
    <w:rsid w:val="00BD3A11"/>
    <w:rsid w:val="00BD7597"/>
    <w:rsid w:val="00BE10AF"/>
    <w:rsid w:val="00BE20DC"/>
    <w:rsid w:val="00BE24C5"/>
    <w:rsid w:val="00BE3027"/>
    <w:rsid w:val="00BE3BD9"/>
    <w:rsid w:val="00BF5FC9"/>
    <w:rsid w:val="00BF6F2D"/>
    <w:rsid w:val="00BF755E"/>
    <w:rsid w:val="00BF7913"/>
    <w:rsid w:val="00BF7E9C"/>
    <w:rsid w:val="00C0496D"/>
    <w:rsid w:val="00C04A44"/>
    <w:rsid w:val="00C04E24"/>
    <w:rsid w:val="00C058A7"/>
    <w:rsid w:val="00C07644"/>
    <w:rsid w:val="00C170F7"/>
    <w:rsid w:val="00C17F58"/>
    <w:rsid w:val="00C17F6E"/>
    <w:rsid w:val="00C210C5"/>
    <w:rsid w:val="00C21E56"/>
    <w:rsid w:val="00C315A4"/>
    <w:rsid w:val="00C32F69"/>
    <w:rsid w:val="00C36DD8"/>
    <w:rsid w:val="00C37CE9"/>
    <w:rsid w:val="00C43305"/>
    <w:rsid w:val="00C50814"/>
    <w:rsid w:val="00C53694"/>
    <w:rsid w:val="00C61993"/>
    <w:rsid w:val="00C63A7D"/>
    <w:rsid w:val="00C65406"/>
    <w:rsid w:val="00C65A66"/>
    <w:rsid w:val="00C748C7"/>
    <w:rsid w:val="00C755A4"/>
    <w:rsid w:val="00C775F4"/>
    <w:rsid w:val="00C8005D"/>
    <w:rsid w:val="00C83C5A"/>
    <w:rsid w:val="00C86B29"/>
    <w:rsid w:val="00C91558"/>
    <w:rsid w:val="00C96098"/>
    <w:rsid w:val="00C96379"/>
    <w:rsid w:val="00CA5DDB"/>
    <w:rsid w:val="00CB0AB5"/>
    <w:rsid w:val="00CB1562"/>
    <w:rsid w:val="00CB50D9"/>
    <w:rsid w:val="00CB5423"/>
    <w:rsid w:val="00CB6E44"/>
    <w:rsid w:val="00CC170B"/>
    <w:rsid w:val="00CC7C8F"/>
    <w:rsid w:val="00CD0A1F"/>
    <w:rsid w:val="00CD2BA8"/>
    <w:rsid w:val="00CD5EE6"/>
    <w:rsid w:val="00CD6234"/>
    <w:rsid w:val="00CE7ED3"/>
    <w:rsid w:val="00CF60EA"/>
    <w:rsid w:val="00CF6D95"/>
    <w:rsid w:val="00D035BF"/>
    <w:rsid w:val="00D0600E"/>
    <w:rsid w:val="00D148E4"/>
    <w:rsid w:val="00D16ED2"/>
    <w:rsid w:val="00D21E48"/>
    <w:rsid w:val="00D35C7F"/>
    <w:rsid w:val="00D4638E"/>
    <w:rsid w:val="00D51215"/>
    <w:rsid w:val="00D523C5"/>
    <w:rsid w:val="00D539DA"/>
    <w:rsid w:val="00D55DF0"/>
    <w:rsid w:val="00D577D9"/>
    <w:rsid w:val="00D647F6"/>
    <w:rsid w:val="00D65FF4"/>
    <w:rsid w:val="00D72848"/>
    <w:rsid w:val="00D74B64"/>
    <w:rsid w:val="00D80771"/>
    <w:rsid w:val="00D84A67"/>
    <w:rsid w:val="00D87719"/>
    <w:rsid w:val="00D9000F"/>
    <w:rsid w:val="00DA0E98"/>
    <w:rsid w:val="00DA5EF7"/>
    <w:rsid w:val="00DB69FA"/>
    <w:rsid w:val="00DB7A37"/>
    <w:rsid w:val="00DC4808"/>
    <w:rsid w:val="00DC7BBA"/>
    <w:rsid w:val="00DD0F2C"/>
    <w:rsid w:val="00DE2998"/>
    <w:rsid w:val="00DE2DC2"/>
    <w:rsid w:val="00DE317B"/>
    <w:rsid w:val="00DE3625"/>
    <w:rsid w:val="00DE4A79"/>
    <w:rsid w:val="00DE58E0"/>
    <w:rsid w:val="00DE5DD4"/>
    <w:rsid w:val="00DF3265"/>
    <w:rsid w:val="00DF3906"/>
    <w:rsid w:val="00E100E7"/>
    <w:rsid w:val="00E12DCD"/>
    <w:rsid w:val="00E14D66"/>
    <w:rsid w:val="00E27825"/>
    <w:rsid w:val="00E31275"/>
    <w:rsid w:val="00E35770"/>
    <w:rsid w:val="00E358FC"/>
    <w:rsid w:val="00E458C3"/>
    <w:rsid w:val="00E458D7"/>
    <w:rsid w:val="00E46241"/>
    <w:rsid w:val="00E463D6"/>
    <w:rsid w:val="00E5247C"/>
    <w:rsid w:val="00E53134"/>
    <w:rsid w:val="00E53DEA"/>
    <w:rsid w:val="00E54980"/>
    <w:rsid w:val="00E5650D"/>
    <w:rsid w:val="00E56BFB"/>
    <w:rsid w:val="00E615F9"/>
    <w:rsid w:val="00E62502"/>
    <w:rsid w:val="00E630C5"/>
    <w:rsid w:val="00E649F9"/>
    <w:rsid w:val="00E668D7"/>
    <w:rsid w:val="00E6795E"/>
    <w:rsid w:val="00E67B21"/>
    <w:rsid w:val="00E816B8"/>
    <w:rsid w:val="00E81BB0"/>
    <w:rsid w:val="00E85F93"/>
    <w:rsid w:val="00E863D1"/>
    <w:rsid w:val="00E92E1B"/>
    <w:rsid w:val="00EA1B75"/>
    <w:rsid w:val="00EA3BCB"/>
    <w:rsid w:val="00EA3BE1"/>
    <w:rsid w:val="00EA54DE"/>
    <w:rsid w:val="00EA5B0A"/>
    <w:rsid w:val="00EB5CDD"/>
    <w:rsid w:val="00EC0EFC"/>
    <w:rsid w:val="00ED13B5"/>
    <w:rsid w:val="00ED21FA"/>
    <w:rsid w:val="00ED31AF"/>
    <w:rsid w:val="00ED3D04"/>
    <w:rsid w:val="00ED627D"/>
    <w:rsid w:val="00ED78D2"/>
    <w:rsid w:val="00EE404C"/>
    <w:rsid w:val="00EE49D7"/>
    <w:rsid w:val="00EF09A5"/>
    <w:rsid w:val="00EF611F"/>
    <w:rsid w:val="00F113A4"/>
    <w:rsid w:val="00F177A9"/>
    <w:rsid w:val="00F20D1E"/>
    <w:rsid w:val="00F21469"/>
    <w:rsid w:val="00F22F12"/>
    <w:rsid w:val="00F31A93"/>
    <w:rsid w:val="00F33839"/>
    <w:rsid w:val="00F34F1C"/>
    <w:rsid w:val="00F34F9D"/>
    <w:rsid w:val="00F43D52"/>
    <w:rsid w:val="00F51E10"/>
    <w:rsid w:val="00F56692"/>
    <w:rsid w:val="00F701FB"/>
    <w:rsid w:val="00F7190B"/>
    <w:rsid w:val="00F71D09"/>
    <w:rsid w:val="00F7338F"/>
    <w:rsid w:val="00F744DB"/>
    <w:rsid w:val="00F77573"/>
    <w:rsid w:val="00F82E95"/>
    <w:rsid w:val="00F86342"/>
    <w:rsid w:val="00F90AA1"/>
    <w:rsid w:val="00F95ED0"/>
    <w:rsid w:val="00FA48F5"/>
    <w:rsid w:val="00FA7EF3"/>
    <w:rsid w:val="00FB1D07"/>
    <w:rsid w:val="00FB5491"/>
    <w:rsid w:val="00FB6109"/>
    <w:rsid w:val="00FB6BEB"/>
    <w:rsid w:val="00FB6FD7"/>
    <w:rsid w:val="00FB72A3"/>
    <w:rsid w:val="00FC5D7D"/>
    <w:rsid w:val="00FD0C6B"/>
    <w:rsid w:val="00FD0CFA"/>
    <w:rsid w:val="00FD1328"/>
    <w:rsid w:val="00FD1E0C"/>
    <w:rsid w:val="00FD7628"/>
    <w:rsid w:val="00FE380D"/>
    <w:rsid w:val="00FF0C4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2DAD-3B8F-441D-A60B-21252F4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B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6BFB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E56BFB"/>
    <w:pPr>
      <w:jc w:val="both"/>
    </w:pPr>
    <w:rPr>
      <w:b/>
      <w:bCs/>
      <w:sz w:val="28"/>
      <w:szCs w:val="24"/>
      <w:lang w:val="uk-UA"/>
    </w:rPr>
  </w:style>
  <w:style w:type="paragraph" w:styleId="a5">
    <w:name w:val="Body Text Indent"/>
    <w:basedOn w:val="a"/>
    <w:rsid w:val="00E56BFB"/>
    <w:pPr>
      <w:ind w:firstLine="720"/>
      <w:jc w:val="center"/>
    </w:pPr>
    <w:rPr>
      <w:sz w:val="24"/>
      <w:szCs w:val="24"/>
      <w:lang w:val="uk-UA"/>
    </w:rPr>
  </w:style>
  <w:style w:type="paragraph" w:styleId="2">
    <w:name w:val="Body Text Indent 2"/>
    <w:basedOn w:val="a"/>
    <w:rsid w:val="00E56BFB"/>
    <w:pPr>
      <w:spacing w:after="120" w:line="480" w:lineRule="auto"/>
      <w:ind w:left="283"/>
    </w:pPr>
  </w:style>
  <w:style w:type="table" w:styleId="a6">
    <w:name w:val="Table Grid"/>
    <w:basedOn w:val="a1"/>
    <w:rsid w:val="00E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5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vts9">
    <w:name w:val="rvts9"/>
    <w:basedOn w:val="a0"/>
    <w:rsid w:val="00E56BFB"/>
  </w:style>
  <w:style w:type="character" w:customStyle="1" w:styleId="highlightselected">
    <w:name w:val="highlight selected"/>
    <w:basedOn w:val="a0"/>
    <w:rsid w:val="00E56BFB"/>
  </w:style>
  <w:style w:type="character" w:customStyle="1" w:styleId="rvts0">
    <w:name w:val="rvts0"/>
    <w:basedOn w:val="a0"/>
    <w:rsid w:val="00E56BFB"/>
  </w:style>
  <w:style w:type="paragraph" w:styleId="3">
    <w:name w:val="Body Text Indent 3"/>
    <w:basedOn w:val="a"/>
    <w:rsid w:val="00E56BFB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E56B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Plain Text"/>
    <w:basedOn w:val="a"/>
    <w:rsid w:val="00E56BF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pelle">
    <w:name w:val="spelle"/>
    <w:basedOn w:val="a0"/>
    <w:rsid w:val="00E56BFB"/>
  </w:style>
  <w:style w:type="paragraph" w:styleId="a9">
    <w:name w:val="footer"/>
    <w:basedOn w:val="a"/>
    <w:rsid w:val="00E56BFB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E56BFB"/>
  </w:style>
  <w:style w:type="character" w:styleId="ab">
    <w:name w:val="Emphasis"/>
    <w:qFormat/>
    <w:rsid w:val="001C61FE"/>
    <w:rPr>
      <w:i/>
      <w:iCs/>
    </w:rPr>
  </w:style>
  <w:style w:type="character" w:styleId="ac">
    <w:name w:val="Hyperlink"/>
    <w:rsid w:val="001C61FE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"/>
    <w:basedOn w:val="a"/>
    <w:rsid w:val="000B48F7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48C7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44320D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44320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впливу регуляторного акта </vt:lpstr>
    </vt:vector>
  </TitlesOfParts>
  <Company>SSMSC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kozlovska</dc:creator>
  <cp:keywords/>
  <dc:description/>
  <cp:lastModifiedBy>Руслан Кисляк</cp:lastModifiedBy>
  <cp:revision>2</cp:revision>
  <cp:lastPrinted>2016-06-02T11:43:00Z</cp:lastPrinted>
  <dcterms:created xsi:type="dcterms:W3CDTF">2019-03-25T10:49:00Z</dcterms:created>
  <dcterms:modified xsi:type="dcterms:W3CDTF">2019-03-25T10:49:00Z</dcterms:modified>
</cp:coreProperties>
</file>