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6F" w:rsidRPr="00B92A48" w:rsidRDefault="0029016F">
      <w:pPr>
        <w:rPr>
          <w:sz w:val="24"/>
          <w:szCs w:val="24"/>
        </w:rPr>
      </w:pPr>
      <w:bookmarkStart w:id="0" w:name="_GoBack"/>
      <w:bookmarkEnd w:id="0"/>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Pr="0029016F">
        <w:rPr>
          <w:sz w:val="24"/>
          <w:szCs w:val="24"/>
        </w:rPr>
        <w:tab/>
      </w:r>
      <w:r w:rsidR="00437309">
        <w:rPr>
          <w:sz w:val="24"/>
          <w:szCs w:val="24"/>
        </w:rPr>
        <w:tab/>
      </w:r>
      <w:r w:rsidR="00437309">
        <w:rPr>
          <w:sz w:val="24"/>
          <w:szCs w:val="24"/>
        </w:rPr>
        <w:tab/>
      </w:r>
    </w:p>
    <w:p w:rsidR="0029016F" w:rsidRDefault="0029016F">
      <w:pPr>
        <w:rPr>
          <w:sz w:val="24"/>
          <w:szCs w:val="24"/>
        </w:rPr>
      </w:pPr>
    </w:p>
    <w:p w:rsidR="00294B2A" w:rsidRPr="002E374E" w:rsidRDefault="00294B2A">
      <w:pPr>
        <w:rPr>
          <w:sz w:val="24"/>
          <w:szCs w:val="24"/>
          <w:lang w:val="en-US"/>
        </w:rPr>
      </w:pPr>
    </w:p>
    <w:p w:rsidR="0029016F" w:rsidRPr="00B92A48" w:rsidRDefault="0029016F">
      <w:pPr>
        <w:rPr>
          <w:sz w:val="24"/>
          <w:szCs w:val="24"/>
        </w:rPr>
      </w:pPr>
    </w:p>
    <w:p w:rsidR="0029016F" w:rsidRPr="00B92A48" w:rsidRDefault="0029016F" w:rsidP="0029016F">
      <w:pPr>
        <w:jc w:val="center"/>
        <w:rPr>
          <w:b/>
          <w:sz w:val="24"/>
          <w:szCs w:val="24"/>
        </w:rPr>
      </w:pPr>
      <w:r w:rsidRPr="00B92A48">
        <w:rPr>
          <w:b/>
          <w:sz w:val="24"/>
          <w:szCs w:val="24"/>
        </w:rPr>
        <w:t xml:space="preserve">Порівняльна таблиця </w:t>
      </w:r>
      <w:r w:rsidR="009C6659">
        <w:rPr>
          <w:b/>
          <w:sz w:val="24"/>
          <w:szCs w:val="24"/>
        </w:rPr>
        <w:t>внесення змін</w:t>
      </w:r>
      <w:r w:rsidR="00BA68F7">
        <w:rPr>
          <w:b/>
          <w:sz w:val="24"/>
          <w:szCs w:val="24"/>
        </w:rPr>
        <w:t xml:space="preserve"> </w:t>
      </w:r>
      <w:r w:rsidRPr="00B92A48">
        <w:rPr>
          <w:b/>
          <w:sz w:val="24"/>
          <w:szCs w:val="24"/>
        </w:rPr>
        <w:t xml:space="preserve">до Системи довідників та класифікаторів </w:t>
      </w:r>
      <w:r w:rsidR="00F60707" w:rsidRPr="00B92A48">
        <w:rPr>
          <w:b/>
          <w:sz w:val="24"/>
          <w:szCs w:val="24"/>
        </w:rPr>
        <w:t>Комісії</w:t>
      </w:r>
    </w:p>
    <w:p w:rsidR="00294B2A" w:rsidRPr="00B92A48" w:rsidRDefault="00294B2A" w:rsidP="0029016F">
      <w:pPr>
        <w:jc w:val="center"/>
        <w:rPr>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85"/>
        <w:gridCol w:w="5245"/>
        <w:gridCol w:w="5245"/>
      </w:tblGrid>
      <w:tr w:rsidR="00F60707" w:rsidRPr="00B8797D" w:rsidTr="00291D9B">
        <w:tc>
          <w:tcPr>
            <w:tcW w:w="468" w:type="dxa"/>
          </w:tcPr>
          <w:p w:rsidR="00F60707" w:rsidRPr="00B8797D" w:rsidRDefault="00F60707" w:rsidP="00B8797D">
            <w:pPr>
              <w:jc w:val="center"/>
              <w:rPr>
                <w:b/>
                <w:sz w:val="24"/>
                <w:szCs w:val="24"/>
              </w:rPr>
            </w:pPr>
            <w:r w:rsidRPr="00B8797D">
              <w:rPr>
                <w:b/>
                <w:sz w:val="24"/>
                <w:szCs w:val="24"/>
              </w:rPr>
              <w:t>№</w:t>
            </w:r>
          </w:p>
          <w:p w:rsidR="00F60707" w:rsidRPr="00B8797D" w:rsidRDefault="00F60707" w:rsidP="00B8797D">
            <w:pPr>
              <w:jc w:val="center"/>
              <w:rPr>
                <w:b/>
                <w:sz w:val="24"/>
                <w:szCs w:val="24"/>
              </w:rPr>
            </w:pPr>
            <w:r w:rsidRPr="00B8797D">
              <w:rPr>
                <w:b/>
                <w:sz w:val="24"/>
                <w:szCs w:val="24"/>
              </w:rPr>
              <w:t>з/п</w:t>
            </w:r>
          </w:p>
        </w:tc>
        <w:tc>
          <w:tcPr>
            <w:tcW w:w="4885" w:type="dxa"/>
          </w:tcPr>
          <w:p w:rsidR="00F60707" w:rsidRPr="00B8797D" w:rsidRDefault="00C1619A" w:rsidP="00B8797D">
            <w:pPr>
              <w:jc w:val="center"/>
              <w:rPr>
                <w:b/>
                <w:sz w:val="24"/>
                <w:szCs w:val="24"/>
              </w:rPr>
            </w:pPr>
            <w:r w:rsidRPr="00B8797D">
              <w:rPr>
                <w:b/>
                <w:sz w:val="24"/>
                <w:szCs w:val="24"/>
              </w:rPr>
              <w:t>Діюча р</w:t>
            </w:r>
            <w:r w:rsidR="00F60707" w:rsidRPr="00B8797D">
              <w:rPr>
                <w:b/>
                <w:sz w:val="24"/>
                <w:szCs w:val="24"/>
              </w:rPr>
              <w:t>едакція</w:t>
            </w:r>
            <w:r w:rsidR="003B21CD" w:rsidRPr="00B8797D">
              <w:rPr>
                <w:b/>
                <w:sz w:val="24"/>
                <w:szCs w:val="24"/>
              </w:rPr>
              <w:t xml:space="preserve"> </w:t>
            </w:r>
            <w:r w:rsidRPr="00B8797D">
              <w:rPr>
                <w:b/>
                <w:sz w:val="24"/>
                <w:szCs w:val="24"/>
              </w:rPr>
              <w:t xml:space="preserve">    </w:t>
            </w:r>
          </w:p>
        </w:tc>
        <w:tc>
          <w:tcPr>
            <w:tcW w:w="5245" w:type="dxa"/>
          </w:tcPr>
          <w:p w:rsidR="00F60707" w:rsidRPr="00FB309F" w:rsidRDefault="00CD7654" w:rsidP="00FB309F">
            <w:pPr>
              <w:jc w:val="center"/>
              <w:rPr>
                <w:b/>
                <w:sz w:val="24"/>
                <w:szCs w:val="24"/>
              </w:rPr>
            </w:pPr>
            <w:r>
              <w:rPr>
                <w:b/>
                <w:sz w:val="24"/>
                <w:szCs w:val="24"/>
              </w:rPr>
              <w:t xml:space="preserve">Запропоновані </w:t>
            </w:r>
            <w:r w:rsidR="00F60707" w:rsidRPr="00B8797D">
              <w:rPr>
                <w:b/>
                <w:sz w:val="24"/>
                <w:szCs w:val="24"/>
              </w:rPr>
              <w:t>Зміни</w:t>
            </w:r>
            <w:r w:rsidR="00EB07CF" w:rsidRPr="00B8797D">
              <w:rPr>
                <w:b/>
                <w:sz w:val="24"/>
                <w:szCs w:val="24"/>
              </w:rPr>
              <w:t xml:space="preserve"> </w:t>
            </w:r>
            <w:r w:rsidR="001424BB">
              <w:rPr>
                <w:b/>
                <w:sz w:val="24"/>
                <w:szCs w:val="24"/>
              </w:rPr>
              <w:t xml:space="preserve">та </w:t>
            </w:r>
            <w:proofErr w:type="spellStart"/>
            <w:r w:rsidR="00FB309F">
              <w:rPr>
                <w:b/>
                <w:sz w:val="24"/>
                <w:szCs w:val="24"/>
                <w:lang w:val="en-US"/>
              </w:rPr>
              <w:t>коментарі</w:t>
            </w:r>
            <w:proofErr w:type="spellEnd"/>
          </w:p>
        </w:tc>
        <w:tc>
          <w:tcPr>
            <w:tcW w:w="5245" w:type="dxa"/>
          </w:tcPr>
          <w:p w:rsidR="00F60707" w:rsidRPr="00B8797D" w:rsidRDefault="00562B21" w:rsidP="00CF291C">
            <w:pPr>
              <w:jc w:val="center"/>
              <w:rPr>
                <w:b/>
                <w:sz w:val="24"/>
                <w:szCs w:val="24"/>
              </w:rPr>
            </w:pPr>
            <w:r w:rsidRPr="00B8797D">
              <w:rPr>
                <w:b/>
                <w:sz w:val="24"/>
                <w:szCs w:val="24"/>
              </w:rPr>
              <w:t>О</w:t>
            </w:r>
            <w:r w:rsidR="00CF291C">
              <w:rPr>
                <w:b/>
                <w:sz w:val="24"/>
                <w:szCs w:val="24"/>
              </w:rPr>
              <w:t>новлена</w:t>
            </w:r>
            <w:r w:rsidRPr="00B8797D">
              <w:rPr>
                <w:b/>
                <w:sz w:val="24"/>
                <w:szCs w:val="24"/>
              </w:rPr>
              <w:t xml:space="preserve"> р</w:t>
            </w:r>
            <w:r w:rsidR="00F60707" w:rsidRPr="00B8797D">
              <w:rPr>
                <w:b/>
                <w:sz w:val="24"/>
                <w:szCs w:val="24"/>
              </w:rPr>
              <w:t>едакція</w:t>
            </w:r>
          </w:p>
        </w:tc>
      </w:tr>
      <w:tr w:rsidR="00F60707" w:rsidRPr="00B8797D" w:rsidTr="00291D9B">
        <w:tc>
          <w:tcPr>
            <w:tcW w:w="468" w:type="dxa"/>
          </w:tcPr>
          <w:p w:rsidR="00F60707" w:rsidRPr="00B8797D" w:rsidRDefault="009C7BD5" w:rsidP="00B8797D">
            <w:pPr>
              <w:jc w:val="center"/>
              <w:rPr>
                <w:sz w:val="20"/>
                <w:szCs w:val="20"/>
              </w:rPr>
            </w:pPr>
            <w:r w:rsidRPr="00B8797D">
              <w:rPr>
                <w:sz w:val="20"/>
                <w:szCs w:val="20"/>
              </w:rPr>
              <w:t>1</w:t>
            </w:r>
          </w:p>
        </w:tc>
        <w:tc>
          <w:tcPr>
            <w:tcW w:w="4885" w:type="dxa"/>
          </w:tcPr>
          <w:p w:rsidR="00F60707" w:rsidRPr="00B8797D" w:rsidRDefault="00F45DC1" w:rsidP="00B8797D">
            <w:pPr>
              <w:jc w:val="center"/>
              <w:rPr>
                <w:sz w:val="20"/>
                <w:szCs w:val="20"/>
              </w:rPr>
            </w:pPr>
            <w:r w:rsidRPr="00B8797D">
              <w:rPr>
                <w:b/>
                <w:sz w:val="20"/>
                <w:szCs w:val="20"/>
              </w:rPr>
              <w:t xml:space="preserve">СИСТЕМА ДОВІДНИКІВ ТА КЛАСИФІКАТОРІВ Національної комісії з цінних паперів та фондового ринку </w:t>
            </w:r>
          </w:p>
        </w:tc>
        <w:tc>
          <w:tcPr>
            <w:tcW w:w="5245" w:type="dxa"/>
          </w:tcPr>
          <w:p w:rsidR="00F60707" w:rsidRPr="00B8797D" w:rsidRDefault="00F60707" w:rsidP="00B8797D">
            <w:pPr>
              <w:jc w:val="right"/>
              <w:rPr>
                <w:sz w:val="20"/>
                <w:szCs w:val="20"/>
              </w:rPr>
            </w:pPr>
          </w:p>
        </w:tc>
        <w:tc>
          <w:tcPr>
            <w:tcW w:w="5245" w:type="dxa"/>
          </w:tcPr>
          <w:p w:rsidR="00F60707" w:rsidRPr="00B8797D" w:rsidRDefault="00386637" w:rsidP="00B8797D">
            <w:pPr>
              <w:jc w:val="center"/>
              <w:rPr>
                <w:sz w:val="20"/>
                <w:szCs w:val="20"/>
              </w:rPr>
            </w:pPr>
            <w:r w:rsidRPr="00B8797D">
              <w:rPr>
                <w:b/>
                <w:sz w:val="20"/>
                <w:szCs w:val="20"/>
              </w:rPr>
              <w:t>СИСТЕМА ДОВІДНИКІВ ТА КЛАСИФІКАТОРІВ Національної комісії з цінних паперів та фондового ринку</w:t>
            </w:r>
          </w:p>
        </w:tc>
      </w:tr>
      <w:tr w:rsidR="00A95BF7" w:rsidRPr="00B8797D" w:rsidTr="004F6A78">
        <w:tc>
          <w:tcPr>
            <w:tcW w:w="468" w:type="dxa"/>
          </w:tcPr>
          <w:p w:rsidR="00A95BF7" w:rsidRPr="00B8797D" w:rsidRDefault="00A95BF7" w:rsidP="00B8797D">
            <w:pPr>
              <w:jc w:val="center"/>
              <w:rPr>
                <w:sz w:val="20"/>
                <w:szCs w:val="20"/>
              </w:rPr>
            </w:pPr>
          </w:p>
        </w:tc>
        <w:tc>
          <w:tcPr>
            <w:tcW w:w="4885" w:type="dxa"/>
          </w:tcPr>
          <w:p w:rsidR="004F6A78" w:rsidRPr="004F6A78" w:rsidRDefault="004F6A78" w:rsidP="004F6A78">
            <w:pPr>
              <w:shd w:val="clear" w:color="auto" w:fill="FFFFFF"/>
              <w:jc w:val="both"/>
              <w:rPr>
                <w:color w:val="000000"/>
                <w:sz w:val="24"/>
                <w:szCs w:val="24"/>
              </w:rPr>
            </w:pPr>
            <w:r>
              <w:rPr>
                <w:b/>
                <w:color w:val="000000"/>
                <w:sz w:val="24"/>
                <w:szCs w:val="24"/>
              </w:rPr>
              <w:t>. . .</w:t>
            </w:r>
          </w:p>
          <w:p w:rsidR="004F6A78" w:rsidRDefault="004F6A78" w:rsidP="004F6A78">
            <w:pPr>
              <w:shd w:val="clear" w:color="auto" w:fill="FFFFFF"/>
              <w:jc w:val="both"/>
              <w:rPr>
                <w:color w:val="000000"/>
                <w:sz w:val="24"/>
                <w:szCs w:val="24"/>
              </w:rPr>
            </w:pPr>
            <w:r w:rsidRPr="00512145">
              <w:rPr>
                <w:color w:val="000000"/>
                <w:sz w:val="24"/>
                <w:szCs w:val="24"/>
              </w:rPr>
              <w:t>19. Довідник «Дати вчинення дій»</w:t>
            </w:r>
          </w:p>
          <w:p w:rsidR="004F6A78" w:rsidRPr="00512145" w:rsidRDefault="004F6A78" w:rsidP="004F6A78">
            <w:pPr>
              <w:shd w:val="clear" w:color="auto" w:fill="FFFFFF"/>
              <w:jc w:val="both"/>
              <w:rPr>
                <w:color w:val="000000"/>
                <w:sz w:val="24"/>
                <w:szCs w:val="24"/>
              </w:rPr>
            </w:pPr>
          </w:p>
          <w:tbl>
            <w:tblPr>
              <w:tblW w:w="4776"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223"/>
              <w:gridCol w:w="3218"/>
            </w:tblGrid>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jc w:val="center"/>
                    <w:rPr>
                      <w:sz w:val="24"/>
                      <w:szCs w:val="24"/>
                    </w:rPr>
                  </w:pPr>
                  <w:bookmarkStart w:id="1" w:name="n60"/>
                  <w:bookmarkEnd w:id="1"/>
                  <w:r w:rsidRPr="00512145">
                    <w:rPr>
                      <w:sz w:val="24"/>
                      <w:szCs w:val="24"/>
                    </w:rPr>
                    <w:t>Код показника</w:t>
                  </w: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jc w:val="center"/>
                    <w:rPr>
                      <w:sz w:val="24"/>
                      <w:szCs w:val="24"/>
                    </w:rPr>
                  </w:pPr>
                  <w:r w:rsidRPr="00512145">
                    <w:rPr>
                      <w:sz w:val="24"/>
                      <w:szCs w:val="24"/>
                    </w:rPr>
                    <w:t>Зміст показника</w:t>
                  </w:r>
                </w:p>
              </w:tc>
            </w:tr>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DD38CE" w:rsidP="00DD38CE">
                  <w:pPr>
                    <w:rPr>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Вчинення дії про проведення загальних зборів</w:t>
                  </w:r>
                </w:p>
              </w:tc>
            </w:tr>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11</w:t>
                  </w: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Дата прийняття рішення про проведення загальних зборів</w:t>
                  </w:r>
                </w:p>
              </w:tc>
            </w:tr>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DD38CE" w:rsidP="00DD38CE">
                  <w:pPr>
                    <w:rPr>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Вчинення дії про факти лістингу/</w:t>
                  </w:r>
                  <w:proofErr w:type="spellStart"/>
                  <w:r w:rsidRPr="00512145">
                    <w:rPr>
                      <w:sz w:val="24"/>
                      <w:szCs w:val="24"/>
                    </w:rPr>
                    <w:t>делістингу</w:t>
                  </w:r>
                  <w:proofErr w:type="spellEnd"/>
                  <w:r w:rsidRPr="00512145">
                    <w:rPr>
                      <w:sz w:val="24"/>
                      <w:szCs w:val="24"/>
                    </w:rPr>
                    <w:t xml:space="preserve"> цінних паперів</w:t>
                  </w:r>
                </w:p>
              </w:tc>
            </w:tr>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12</w:t>
                  </w: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Дата включення цінних паперів емітента у лістинг фондової біржі</w:t>
                  </w:r>
                </w:p>
              </w:tc>
            </w:tr>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13</w:t>
                  </w: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Дата, коли емітенту стало відомо чи коли він мав дізнатися про зміну рівня лістингу його цінних паперів</w:t>
                  </w:r>
                </w:p>
              </w:tc>
            </w:tr>
            <w:tr w:rsidR="004F6A78" w:rsidRPr="00512145" w:rsidTr="002D2059">
              <w:trPr>
                <w:trHeight w:val="15"/>
              </w:trPr>
              <w:tc>
                <w:tcPr>
                  <w:tcW w:w="1223"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14</w:t>
                  </w:r>
                </w:p>
              </w:tc>
              <w:tc>
                <w:tcPr>
                  <w:tcW w:w="321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 xml:space="preserve">Дата, коли емітенту стало відомо чи коли він мав </w:t>
                  </w:r>
                  <w:r w:rsidRPr="00512145">
                    <w:rPr>
                      <w:sz w:val="24"/>
                      <w:szCs w:val="24"/>
                    </w:rPr>
                    <w:lastRenderedPageBreak/>
                    <w:t xml:space="preserve">дізнатися про </w:t>
                  </w:r>
                  <w:proofErr w:type="spellStart"/>
                  <w:r w:rsidRPr="00512145">
                    <w:rPr>
                      <w:sz w:val="24"/>
                      <w:szCs w:val="24"/>
                    </w:rPr>
                    <w:t>делістинг</w:t>
                  </w:r>
                  <w:proofErr w:type="spellEnd"/>
                  <w:r w:rsidRPr="00512145">
                    <w:rPr>
                      <w:sz w:val="24"/>
                      <w:szCs w:val="24"/>
                    </w:rPr>
                    <w:t xml:space="preserve"> його цінних паперів</w:t>
                  </w:r>
                </w:p>
              </w:tc>
            </w:tr>
          </w:tbl>
          <w:p w:rsidR="00A95BF7" w:rsidRPr="004F6A78" w:rsidRDefault="004F6A78" w:rsidP="004F6A78">
            <w:pPr>
              <w:rPr>
                <w:b/>
                <w:sz w:val="24"/>
                <w:szCs w:val="24"/>
              </w:rPr>
            </w:pPr>
            <w:r>
              <w:rPr>
                <w:b/>
                <w:sz w:val="24"/>
                <w:szCs w:val="24"/>
              </w:rPr>
              <w:lastRenderedPageBreak/>
              <w:t xml:space="preserve"> . . . </w:t>
            </w:r>
          </w:p>
        </w:tc>
        <w:tc>
          <w:tcPr>
            <w:tcW w:w="5245" w:type="dxa"/>
          </w:tcPr>
          <w:p w:rsidR="00A95BF7" w:rsidRPr="00D6751F" w:rsidRDefault="00D6751F" w:rsidP="004F6A78">
            <w:pPr>
              <w:rPr>
                <w:b/>
                <w:sz w:val="24"/>
                <w:szCs w:val="24"/>
              </w:rPr>
            </w:pPr>
            <w:r>
              <w:rPr>
                <w:b/>
                <w:sz w:val="24"/>
                <w:szCs w:val="24"/>
              </w:rPr>
              <w:lastRenderedPageBreak/>
              <w:t xml:space="preserve">Пропозиції департаменту нагляду за станом корпоративного управління та корпоративних </w:t>
            </w:r>
            <w:proofErr w:type="spellStart"/>
            <w:r>
              <w:rPr>
                <w:b/>
                <w:sz w:val="24"/>
                <w:szCs w:val="24"/>
              </w:rPr>
              <w:t>фінасів</w:t>
            </w:r>
            <w:proofErr w:type="spellEnd"/>
          </w:p>
          <w:p w:rsidR="002D4C00" w:rsidRDefault="002D4C00" w:rsidP="004F6A78">
            <w:pPr>
              <w:rPr>
                <w:sz w:val="24"/>
                <w:szCs w:val="24"/>
              </w:rPr>
            </w:pPr>
          </w:p>
          <w:p w:rsidR="00E232E6" w:rsidRDefault="00D6751F" w:rsidP="00E232E6">
            <w:pPr>
              <w:tabs>
                <w:tab w:val="left" w:pos="1134"/>
              </w:tabs>
              <w:jc w:val="both"/>
              <w:rPr>
                <w:sz w:val="24"/>
                <w:szCs w:val="24"/>
              </w:rPr>
            </w:pPr>
            <w:r w:rsidRPr="00E232E6">
              <w:rPr>
                <w:sz w:val="24"/>
                <w:szCs w:val="24"/>
              </w:rPr>
              <w:t>У довіднику 19</w:t>
            </w:r>
            <w:r w:rsidR="00E232E6">
              <w:rPr>
                <w:sz w:val="24"/>
                <w:szCs w:val="24"/>
              </w:rPr>
              <w:t>:</w:t>
            </w:r>
            <w:r w:rsidRPr="00E232E6">
              <w:rPr>
                <w:sz w:val="24"/>
                <w:szCs w:val="24"/>
              </w:rPr>
              <w:t xml:space="preserve"> </w:t>
            </w:r>
          </w:p>
          <w:p w:rsidR="00D6751F" w:rsidRDefault="00D6751F" w:rsidP="00E232E6">
            <w:pPr>
              <w:tabs>
                <w:tab w:val="left" w:pos="1134"/>
              </w:tabs>
              <w:jc w:val="both"/>
              <w:rPr>
                <w:noProof/>
                <w:sz w:val="24"/>
                <w:szCs w:val="24"/>
              </w:rPr>
            </w:pPr>
            <w:r w:rsidRPr="00E232E6">
              <w:rPr>
                <w:sz w:val="24"/>
                <w:szCs w:val="24"/>
              </w:rPr>
              <w:t xml:space="preserve">зміст показника «Дата вчинення дії» зміст показника  </w:t>
            </w:r>
            <w:r w:rsidRPr="00E232E6">
              <w:rPr>
                <w:noProof/>
                <w:sz w:val="24"/>
                <w:szCs w:val="24"/>
              </w:rPr>
              <w:t>«Вчинення дії про факти лістингу/делістингу цінних паперів» викласти у редакції: «Вчинення дії про факти включення/виключення цінних паперів до б</w:t>
            </w:r>
            <w:r w:rsidR="00E232E6">
              <w:rPr>
                <w:noProof/>
                <w:sz w:val="24"/>
                <w:szCs w:val="24"/>
              </w:rPr>
              <w:t>іржового реєстру фондових бірж»;</w:t>
            </w:r>
          </w:p>
          <w:p w:rsidR="00E232E6" w:rsidRPr="00E232E6" w:rsidRDefault="00E232E6" w:rsidP="00E232E6">
            <w:pPr>
              <w:tabs>
                <w:tab w:val="left" w:pos="1134"/>
              </w:tabs>
              <w:jc w:val="both"/>
              <w:rPr>
                <w:sz w:val="24"/>
                <w:szCs w:val="24"/>
              </w:rPr>
            </w:pPr>
            <w:r w:rsidRPr="00E232E6">
              <w:rPr>
                <w:sz w:val="24"/>
                <w:szCs w:val="24"/>
              </w:rPr>
              <w:t>зміст показника коду показника 12 викласти у редакції:</w:t>
            </w:r>
            <w:r>
              <w:rPr>
                <w:sz w:val="24"/>
                <w:szCs w:val="24"/>
              </w:rPr>
              <w:t xml:space="preserve"> </w:t>
            </w:r>
            <w:r w:rsidRPr="00E232E6">
              <w:rPr>
                <w:noProof/>
                <w:sz w:val="24"/>
                <w:szCs w:val="24"/>
              </w:rPr>
              <w:t>«Дата включення цінних паперів емітента до біржового реєстру фондової біржі»;</w:t>
            </w:r>
          </w:p>
          <w:p w:rsidR="000C4B79" w:rsidRPr="000C4B79" w:rsidRDefault="000C4B79" w:rsidP="000C4B79">
            <w:pPr>
              <w:tabs>
                <w:tab w:val="left" w:pos="1134"/>
              </w:tabs>
              <w:jc w:val="both"/>
              <w:rPr>
                <w:noProof/>
                <w:sz w:val="24"/>
                <w:szCs w:val="24"/>
              </w:rPr>
            </w:pPr>
            <w:proofErr w:type="spellStart"/>
            <w:r w:rsidRPr="000C4B79">
              <w:rPr>
                <w:sz w:val="24"/>
                <w:szCs w:val="24"/>
                <w:lang w:val="ru-RU"/>
              </w:rPr>
              <w:t>зміст</w:t>
            </w:r>
            <w:proofErr w:type="spellEnd"/>
            <w:r w:rsidRPr="000C4B79">
              <w:rPr>
                <w:sz w:val="24"/>
                <w:szCs w:val="24"/>
                <w:lang w:val="ru-RU"/>
              </w:rPr>
              <w:t xml:space="preserve"> </w:t>
            </w:r>
            <w:proofErr w:type="spellStart"/>
            <w:r w:rsidRPr="000C4B79">
              <w:rPr>
                <w:sz w:val="24"/>
                <w:szCs w:val="24"/>
                <w:lang w:val="ru-RU"/>
              </w:rPr>
              <w:t>показника</w:t>
            </w:r>
            <w:proofErr w:type="spellEnd"/>
            <w:r w:rsidRPr="000C4B79">
              <w:rPr>
                <w:sz w:val="24"/>
                <w:szCs w:val="24"/>
                <w:lang w:val="ru-RU"/>
              </w:rPr>
              <w:t xml:space="preserve"> коду </w:t>
            </w:r>
            <w:proofErr w:type="spellStart"/>
            <w:r w:rsidRPr="000C4B79">
              <w:rPr>
                <w:sz w:val="24"/>
                <w:szCs w:val="24"/>
                <w:lang w:val="ru-RU"/>
              </w:rPr>
              <w:t>показника</w:t>
            </w:r>
            <w:proofErr w:type="spellEnd"/>
            <w:r w:rsidRPr="000C4B79">
              <w:rPr>
                <w:sz w:val="24"/>
                <w:szCs w:val="24"/>
                <w:lang w:val="ru-RU"/>
              </w:rPr>
              <w:t xml:space="preserve"> 14 </w:t>
            </w:r>
            <w:proofErr w:type="spellStart"/>
            <w:r w:rsidRPr="000C4B79">
              <w:rPr>
                <w:sz w:val="24"/>
                <w:szCs w:val="24"/>
                <w:lang w:val="ru-RU"/>
              </w:rPr>
              <w:t>викласти</w:t>
            </w:r>
            <w:proofErr w:type="spellEnd"/>
            <w:r w:rsidRPr="000C4B79">
              <w:rPr>
                <w:sz w:val="24"/>
                <w:szCs w:val="24"/>
                <w:lang w:val="ru-RU"/>
              </w:rPr>
              <w:t xml:space="preserve"> у </w:t>
            </w:r>
            <w:proofErr w:type="spellStart"/>
            <w:r w:rsidRPr="000C4B79">
              <w:rPr>
                <w:sz w:val="24"/>
                <w:szCs w:val="24"/>
                <w:lang w:val="ru-RU"/>
              </w:rPr>
              <w:t>редакції</w:t>
            </w:r>
            <w:proofErr w:type="spellEnd"/>
            <w:r w:rsidRPr="000C4B79">
              <w:rPr>
                <w:sz w:val="24"/>
                <w:szCs w:val="24"/>
                <w:lang w:val="ru-RU"/>
              </w:rPr>
              <w:t xml:space="preserve">: </w:t>
            </w:r>
            <w:r w:rsidRPr="000C4B79">
              <w:rPr>
                <w:noProof/>
                <w:sz w:val="24"/>
                <w:szCs w:val="24"/>
              </w:rPr>
              <w:t xml:space="preserve">«Дата, коли емітенту стало відомо чи коли він мав дізнатися про виключення його цінних паперів з біржового реєстру фондової біржі». </w:t>
            </w:r>
          </w:p>
          <w:p w:rsidR="002D4C00" w:rsidRDefault="002D4C00" w:rsidP="004F6A78">
            <w:pPr>
              <w:rPr>
                <w:sz w:val="24"/>
                <w:szCs w:val="24"/>
              </w:rPr>
            </w:pPr>
          </w:p>
          <w:p w:rsidR="000C4B79" w:rsidRDefault="000C4B79" w:rsidP="000C4B79">
            <w:pPr>
              <w:tabs>
                <w:tab w:val="left" w:pos="1090"/>
              </w:tabs>
              <w:ind w:right="172"/>
              <w:jc w:val="both"/>
              <w:rPr>
                <w:sz w:val="24"/>
                <w:szCs w:val="24"/>
              </w:rPr>
            </w:pPr>
            <w:r>
              <w:rPr>
                <w:b/>
                <w:sz w:val="24"/>
                <w:szCs w:val="24"/>
              </w:rPr>
              <w:t>Коментар департаменту ІТ:</w:t>
            </w:r>
          </w:p>
          <w:p w:rsidR="002D4C00" w:rsidRDefault="002D4C00" w:rsidP="004F6A78">
            <w:pPr>
              <w:rPr>
                <w:sz w:val="24"/>
                <w:szCs w:val="24"/>
              </w:rPr>
            </w:pPr>
          </w:p>
          <w:p w:rsidR="000C4B79" w:rsidRPr="000C4B79" w:rsidRDefault="00987F8F" w:rsidP="00987F8F">
            <w:pPr>
              <w:pStyle w:val="normal"/>
              <w:keepNext w:val="0"/>
              <w:tabs>
                <w:tab w:val="left" w:pos="1134"/>
              </w:tabs>
              <w:spacing w:before="120" w:line="240" w:lineRule="auto"/>
              <w:ind w:left="34" w:hanging="34"/>
              <w:jc w:val="both"/>
              <w:rPr>
                <w:rFonts w:ascii="Times New Roman" w:hAnsi="Times New Roman" w:cs="Times New Roman"/>
                <w:sz w:val="24"/>
                <w:szCs w:val="24"/>
              </w:rPr>
            </w:pPr>
            <w:r>
              <w:rPr>
                <w:rFonts w:ascii="Times New Roman" w:hAnsi="Times New Roman" w:cs="Times New Roman"/>
                <w:sz w:val="24"/>
                <w:szCs w:val="24"/>
              </w:rPr>
              <w:t>П</w:t>
            </w:r>
            <w:r w:rsidR="000C4B79" w:rsidRPr="000C4B79">
              <w:rPr>
                <w:rFonts w:ascii="Times New Roman" w:hAnsi="Times New Roman" w:cs="Times New Roman"/>
                <w:sz w:val="24"/>
                <w:szCs w:val="24"/>
              </w:rPr>
              <w:t>риведення змісту показника «Вчинення дії про факти лістингу/</w:t>
            </w:r>
            <w:proofErr w:type="spellStart"/>
            <w:r w:rsidR="000C4B79" w:rsidRPr="000C4B79">
              <w:rPr>
                <w:rFonts w:ascii="Times New Roman" w:hAnsi="Times New Roman" w:cs="Times New Roman"/>
                <w:sz w:val="24"/>
                <w:szCs w:val="24"/>
              </w:rPr>
              <w:t>делістингу</w:t>
            </w:r>
            <w:proofErr w:type="spellEnd"/>
            <w:r w:rsidR="000C4B79" w:rsidRPr="000C4B79">
              <w:rPr>
                <w:rFonts w:ascii="Times New Roman" w:hAnsi="Times New Roman" w:cs="Times New Roman"/>
                <w:sz w:val="24"/>
                <w:szCs w:val="24"/>
              </w:rPr>
              <w:t xml:space="preserve"> цінних паперів» </w:t>
            </w:r>
            <w:r w:rsidR="000C4B79" w:rsidRPr="000C4B79">
              <w:rPr>
                <w:rFonts w:ascii="Times New Roman" w:hAnsi="Times New Roman" w:cs="Times New Roman"/>
                <w:sz w:val="24"/>
                <w:szCs w:val="24"/>
              </w:rPr>
              <w:lastRenderedPageBreak/>
              <w:t>довідника 19 «Дата вчинення дії»</w:t>
            </w:r>
            <w:r>
              <w:rPr>
                <w:rFonts w:ascii="Times New Roman" w:hAnsi="Times New Roman" w:cs="Times New Roman"/>
                <w:sz w:val="24"/>
                <w:szCs w:val="24"/>
              </w:rPr>
              <w:t xml:space="preserve"> здійснено</w:t>
            </w:r>
            <w:r w:rsidR="000C4B79" w:rsidRPr="000C4B79">
              <w:rPr>
                <w:rFonts w:ascii="Times New Roman" w:hAnsi="Times New Roman" w:cs="Times New Roman"/>
                <w:sz w:val="24"/>
                <w:szCs w:val="24"/>
              </w:rPr>
              <w:t xml:space="preserve"> у відповідність до підпункту 4 розділу 1 глави 1 розділу ІІІ Положення про розкриття інформації емітентами цінних паперів затвердженого рішенням Комісії від 03.12.2013 № 2826, (далі – Положення про розкриття інформації емітентами цінних паперів</w:t>
            </w:r>
            <w:r>
              <w:rPr>
                <w:rFonts w:ascii="Times New Roman" w:hAnsi="Times New Roman" w:cs="Times New Roman"/>
                <w:sz w:val="24"/>
                <w:szCs w:val="24"/>
              </w:rPr>
              <w:t>).</w:t>
            </w:r>
          </w:p>
          <w:p w:rsidR="002D4C00" w:rsidRDefault="00987F8F" w:rsidP="00987F8F">
            <w:pPr>
              <w:ind w:left="34" w:hanging="34"/>
              <w:jc w:val="both"/>
              <w:rPr>
                <w:sz w:val="24"/>
                <w:szCs w:val="24"/>
              </w:rPr>
            </w:pPr>
            <w:r>
              <w:rPr>
                <w:sz w:val="24"/>
                <w:szCs w:val="24"/>
              </w:rPr>
              <w:t>П</w:t>
            </w:r>
            <w:r w:rsidR="000C4B79" w:rsidRPr="000C4B79">
              <w:rPr>
                <w:sz w:val="24"/>
                <w:szCs w:val="24"/>
              </w:rPr>
              <w:t>риведення змісту показників кодів показників 12, 14 довідника 19 «Дата вчинення дії»</w:t>
            </w:r>
            <w:r>
              <w:rPr>
                <w:sz w:val="24"/>
                <w:szCs w:val="24"/>
              </w:rPr>
              <w:t xml:space="preserve"> здійснено</w:t>
            </w:r>
            <w:r w:rsidR="000C4B79" w:rsidRPr="000C4B79">
              <w:rPr>
                <w:sz w:val="24"/>
                <w:szCs w:val="24"/>
              </w:rPr>
              <w:t xml:space="preserve"> у відповідність до абзаців другого третього пункту 5 глави 1 розділу ІІІ Положення про розкриття інформації емітентами цінних паперів</w:t>
            </w:r>
            <w:r>
              <w:rPr>
                <w:sz w:val="24"/>
                <w:szCs w:val="24"/>
              </w:rPr>
              <w:t xml:space="preserve">. </w:t>
            </w:r>
          </w:p>
          <w:p w:rsidR="00987F8F" w:rsidRDefault="00987F8F" w:rsidP="00987F8F">
            <w:pPr>
              <w:ind w:left="34" w:hanging="34"/>
              <w:jc w:val="both"/>
              <w:rPr>
                <w:sz w:val="24"/>
                <w:szCs w:val="24"/>
              </w:rPr>
            </w:pPr>
          </w:p>
          <w:p w:rsidR="00987F8F" w:rsidRDefault="00987F8F" w:rsidP="00987F8F">
            <w:pPr>
              <w:ind w:left="34" w:hanging="34"/>
              <w:jc w:val="both"/>
              <w:rPr>
                <w:sz w:val="24"/>
                <w:szCs w:val="24"/>
              </w:rPr>
            </w:pPr>
            <w:r w:rsidRPr="00490095">
              <w:rPr>
                <w:b/>
                <w:sz w:val="24"/>
                <w:szCs w:val="24"/>
              </w:rPr>
              <w:t>Пропозиції департаменту є слушними та враховані із внесенням редакційних правок</w:t>
            </w:r>
            <w:r>
              <w:rPr>
                <w:b/>
                <w:sz w:val="24"/>
                <w:szCs w:val="24"/>
              </w:rPr>
              <w:t>.</w:t>
            </w:r>
          </w:p>
          <w:p w:rsidR="002D4C00" w:rsidRDefault="002D4C00" w:rsidP="004F6A78">
            <w:pPr>
              <w:rPr>
                <w:sz w:val="24"/>
                <w:szCs w:val="24"/>
              </w:rPr>
            </w:pPr>
          </w:p>
          <w:p w:rsidR="00960BD1" w:rsidRDefault="00960BD1" w:rsidP="00960BD1">
            <w:pPr>
              <w:tabs>
                <w:tab w:val="left" w:pos="1090"/>
              </w:tabs>
              <w:ind w:right="172"/>
              <w:jc w:val="both"/>
              <w:rPr>
                <w:b/>
                <w:sz w:val="24"/>
                <w:szCs w:val="24"/>
              </w:rPr>
            </w:pPr>
            <w:r w:rsidRPr="0088637A">
              <w:rPr>
                <w:b/>
                <w:sz w:val="24"/>
                <w:szCs w:val="24"/>
              </w:rPr>
              <w:t xml:space="preserve">Пропозиції </w:t>
            </w:r>
            <w:r>
              <w:rPr>
                <w:b/>
                <w:sz w:val="24"/>
                <w:szCs w:val="24"/>
              </w:rPr>
              <w:t>департаменту методології регулювання професійних учасників ринку цінних паперів:</w:t>
            </w:r>
          </w:p>
          <w:p w:rsidR="00960BD1" w:rsidRDefault="00960BD1" w:rsidP="004F6A78">
            <w:pPr>
              <w:rPr>
                <w:sz w:val="24"/>
                <w:szCs w:val="24"/>
              </w:rPr>
            </w:pPr>
          </w:p>
          <w:p w:rsidR="00960BD1" w:rsidRPr="00960BD1" w:rsidRDefault="00960BD1" w:rsidP="00960BD1">
            <w:pPr>
              <w:jc w:val="both"/>
              <w:rPr>
                <w:sz w:val="24"/>
                <w:szCs w:val="24"/>
              </w:rPr>
            </w:pPr>
            <w:r w:rsidRPr="00960BD1">
              <w:rPr>
                <w:sz w:val="24"/>
                <w:szCs w:val="24"/>
              </w:rPr>
              <w:t>За результатами розгляду проекту рішення Комісії «</w:t>
            </w:r>
            <w:r w:rsidRPr="00960BD1">
              <w:rPr>
                <w:color w:val="000000"/>
                <w:sz w:val="24"/>
                <w:szCs w:val="24"/>
              </w:rPr>
              <w:t>Про затвердження Змін до Системи довідників та класифікаторів Національної комісії з цінних паперів та фондового ринку</w:t>
            </w:r>
            <w:r w:rsidRPr="00960BD1">
              <w:rPr>
                <w:sz w:val="24"/>
                <w:szCs w:val="24"/>
              </w:rPr>
              <w:t>» на засіданні Комітету НКЦПФР</w:t>
            </w:r>
            <w:r w:rsidRPr="00960BD1">
              <w:rPr>
                <w:b/>
                <w:sz w:val="24"/>
                <w:szCs w:val="24"/>
              </w:rPr>
              <w:t xml:space="preserve"> </w:t>
            </w:r>
            <w:r w:rsidRPr="00960BD1">
              <w:rPr>
                <w:rStyle w:val="a9"/>
                <w:b w:val="0"/>
                <w:sz w:val="24"/>
                <w:szCs w:val="24"/>
              </w:rPr>
              <w:t xml:space="preserve">з питань ІТ технологій та захисту інформації 26.02.2018, департамент </w:t>
            </w:r>
            <w:r w:rsidRPr="00960BD1">
              <w:rPr>
                <w:bCs/>
                <w:sz w:val="24"/>
                <w:szCs w:val="24"/>
              </w:rPr>
              <w:t>методології регулювання професійних учасників ринку цінних паперів</w:t>
            </w:r>
            <w:r w:rsidRPr="00960BD1">
              <w:rPr>
                <w:rStyle w:val="a9"/>
                <w:b w:val="0"/>
                <w:sz w:val="24"/>
                <w:szCs w:val="24"/>
              </w:rPr>
              <w:t xml:space="preserve"> надає додаткові пропозиції </w:t>
            </w:r>
            <w:r w:rsidRPr="00960BD1">
              <w:rPr>
                <w:sz w:val="24"/>
                <w:szCs w:val="24"/>
              </w:rPr>
              <w:t>щодо внесення змін до Системи довідників, а саме:</w:t>
            </w:r>
          </w:p>
          <w:p w:rsidR="00960BD1" w:rsidRDefault="00960BD1" w:rsidP="00960BD1">
            <w:pPr>
              <w:ind w:firstLine="34"/>
              <w:jc w:val="both"/>
              <w:rPr>
                <w:sz w:val="24"/>
                <w:szCs w:val="24"/>
              </w:rPr>
            </w:pPr>
            <w:r w:rsidRPr="00960BD1">
              <w:rPr>
                <w:sz w:val="24"/>
                <w:szCs w:val="24"/>
              </w:rPr>
              <w:t xml:space="preserve">19. </w:t>
            </w:r>
            <w:r w:rsidRPr="00960BD1">
              <w:rPr>
                <w:bCs/>
                <w:sz w:val="24"/>
                <w:szCs w:val="24"/>
              </w:rPr>
              <w:t xml:space="preserve">Довідник «Дати вчинення дій» </w:t>
            </w:r>
            <w:r w:rsidRPr="00960BD1">
              <w:rPr>
                <w:sz w:val="24"/>
                <w:szCs w:val="24"/>
              </w:rPr>
              <w:t>показник 13 виключити</w:t>
            </w:r>
            <w:r>
              <w:rPr>
                <w:sz w:val="24"/>
                <w:szCs w:val="24"/>
              </w:rPr>
              <w:t>.</w:t>
            </w:r>
          </w:p>
          <w:p w:rsidR="00960BD1" w:rsidRDefault="00960BD1" w:rsidP="00960BD1">
            <w:pPr>
              <w:ind w:firstLine="34"/>
              <w:jc w:val="both"/>
              <w:rPr>
                <w:sz w:val="24"/>
                <w:szCs w:val="24"/>
              </w:rPr>
            </w:pPr>
          </w:p>
          <w:p w:rsidR="00960BD1" w:rsidRDefault="00960BD1" w:rsidP="00960BD1">
            <w:pPr>
              <w:tabs>
                <w:tab w:val="left" w:pos="1090"/>
              </w:tabs>
              <w:ind w:right="172"/>
              <w:jc w:val="both"/>
              <w:rPr>
                <w:sz w:val="24"/>
                <w:szCs w:val="24"/>
              </w:rPr>
            </w:pPr>
            <w:r>
              <w:rPr>
                <w:b/>
                <w:sz w:val="24"/>
                <w:szCs w:val="24"/>
              </w:rPr>
              <w:t>Коментар департаменту ІТ:</w:t>
            </w:r>
          </w:p>
          <w:p w:rsidR="00960BD1" w:rsidRDefault="00960BD1" w:rsidP="00960BD1">
            <w:pPr>
              <w:ind w:firstLine="34"/>
              <w:jc w:val="both"/>
              <w:rPr>
                <w:sz w:val="24"/>
                <w:szCs w:val="24"/>
              </w:rPr>
            </w:pPr>
          </w:p>
          <w:p w:rsidR="00F81C27" w:rsidRPr="00F81C27" w:rsidRDefault="00F81C27" w:rsidP="00960BD1">
            <w:pPr>
              <w:ind w:firstLine="34"/>
              <w:jc w:val="both"/>
              <w:rPr>
                <w:sz w:val="24"/>
                <w:szCs w:val="24"/>
              </w:rPr>
            </w:pPr>
            <w:r>
              <w:rPr>
                <w:sz w:val="24"/>
                <w:szCs w:val="24"/>
              </w:rPr>
              <w:lastRenderedPageBreak/>
              <w:t>Д</w:t>
            </w:r>
            <w:r w:rsidRPr="00F81C27">
              <w:rPr>
                <w:sz w:val="24"/>
                <w:szCs w:val="24"/>
              </w:rPr>
              <w:t>овідник 19 «Дати вчинення дій»</w:t>
            </w:r>
            <w:r>
              <w:rPr>
                <w:sz w:val="24"/>
                <w:szCs w:val="24"/>
              </w:rPr>
              <w:t xml:space="preserve"> приведено</w:t>
            </w:r>
            <w:r w:rsidRPr="00F81C27">
              <w:rPr>
                <w:sz w:val="24"/>
                <w:szCs w:val="24"/>
              </w:rPr>
              <w:t xml:space="preserve"> у відповідність до підпунктів 7, 8, 9 пункту 7  Змін до Положення про функціонування фондових бірж, зокрема, щодо спрощення вимог до лістингу шляхом скасування норми щодо поділу біржового реєстру на два рівні лістингу, затвердженого рішенн</w:t>
            </w:r>
            <w:r>
              <w:rPr>
                <w:sz w:val="24"/>
                <w:szCs w:val="24"/>
              </w:rPr>
              <w:t>ям Комісії від 03.08.2018 № 546.</w:t>
            </w:r>
          </w:p>
          <w:p w:rsidR="00960BD1" w:rsidRDefault="00960BD1" w:rsidP="00960BD1">
            <w:pPr>
              <w:ind w:firstLine="34"/>
              <w:jc w:val="both"/>
              <w:rPr>
                <w:sz w:val="24"/>
                <w:szCs w:val="24"/>
              </w:rPr>
            </w:pPr>
          </w:p>
          <w:p w:rsidR="00960BD1" w:rsidRPr="004F6A78" w:rsidRDefault="00960BD1" w:rsidP="00960BD1">
            <w:pPr>
              <w:ind w:firstLine="34"/>
              <w:jc w:val="both"/>
              <w:rPr>
                <w:sz w:val="24"/>
                <w:szCs w:val="24"/>
              </w:rPr>
            </w:pPr>
            <w:r w:rsidRPr="00490095">
              <w:rPr>
                <w:b/>
                <w:sz w:val="24"/>
                <w:szCs w:val="24"/>
              </w:rPr>
              <w:t>Пропозиції департаменту МРПУ РЦП є  слушними та враховані із внесенням редакційних правок</w:t>
            </w:r>
          </w:p>
        </w:tc>
        <w:tc>
          <w:tcPr>
            <w:tcW w:w="5245" w:type="dxa"/>
          </w:tcPr>
          <w:p w:rsidR="00A95BF7" w:rsidRDefault="004F6A78" w:rsidP="004F6A78">
            <w:pPr>
              <w:rPr>
                <w:b/>
                <w:sz w:val="24"/>
                <w:szCs w:val="24"/>
              </w:rPr>
            </w:pPr>
            <w:r>
              <w:rPr>
                <w:b/>
                <w:sz w:val="24"/>
                <w:szCs w:val="24"/>
              </w:rPr>
              <w:lastRenderedPageBreak/>
              <w:t>. . .</w:t>
            </w:r>
          </w:p>
          <w:p w:rsidR="004F6A78" w:rsidRDefault="004F6A78" w:rsidP="004F6A78">
            <w:pPr>
              <w:shd w:val="clear" w:color="auto" w:fill="FFFFFF"/>
              <w:jc w:val="both"/>
              <w:rPr>
                <w:color w:val="000000"/>
                <w:sz w:val="24"/>
                <w:szCs w:val="24"/>
              </w:rPr>
            </w:pPr>
            <w:r w:rsidRPr="00512145">
              <w:rPr>
                <w:color w:val="000000"/>
                <w:sz w:val="24"/>
                <w:szCs w:val="24"/>
              </w:rPr>
              <w:t>19. Довідник «Дати вчинення дій»</w:t>
            </w:r>
          </w:p>
          <w:p w:rsidR="004F6A78" w:rsidRPr="00512145" w:rsidRDefault="004F6A78" w:rsidP="004F6A78">
            <w:pPr>
              <w:shd w:val="clear" w:color="auto" w:fill="FFFFFF"/>
              <w:jc w:val="both"/>
              <w:rPr>
                <w:color w:val="000000"/>
                <w:sz w:val="24"/>
                <w:szCs w:val="24"/>
              </w:rPr>
            </w:pPr>
          </w:p>
          <w:tbl>
            <w:tblPr>
              <w:tblW w:w="483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158"/>
              <w:gridCol w:w="3685"/>
            </w:tblGrid>
            <w:tr w:rsidR="004F6A78" w:rsidRPr="00512145" w:rsidTr="002D2059">
              <w:trPr>
                <w:trHeight w:val="15"/>
              </w:trPr>
              <w:tc>
                <w:tcPr>
                  <w:tcW w:w="115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jc w:val="center"/>
                    <w:rPr>
                      <w:sz w:val="24"/>
                      <w:szCs w:val="24"/>
                    </w:rPr>
                  </w:pPr>
                  <w:r w:rsidRPr="00512145">
                    <w:rPr>
                      <w:sz w:val="24"/>
                      <w:szCs w:val="24"/>
                    </w:rPr>
                    <w:t>Код показника</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jc w:val="center"/>
                    <w:rPr>
                      <w:sz w:val="24"/>
                      <w:szCs w:val="24"/>
                    </w:rPr>
                  </w:pPr>
                  <w:r w:rsidRPr="00512145">
                    <w:rPr>
                      <w:sz w:val="24"/>
                      <w:szCs w:val="24"/>
                    </w:rPr>
                    <w:t>Зміст показника</w:t>
                  </w:r>
                </w:p>
              </w:tc>
            </w:tr>
            <w:tr w:rsidR="004F6A78" w:rsidRPr="00512145" w:rsidTr="002D2059">
              <w:trPr>
                <w:trHeight w:val="15"/>
              </w:trPr>
              <w:tc>
                <w:tcPr>
                  <w:tcW w:w="115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DD38CE" w:rsidP="00DD38CE">
                  <w:pPr>
                    <w:rPr>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Вчинення дії про проведення загальних зборів</w:t>
                  </w:r>
                </w:p>
              </w:tc>
            </w:tr>
            <w:tr w:rsidR="004F6A78" w:rsidRPr="00512145" w:rsidTr="002D2059">
              <w:trPr>
                <w:trHeight w:val="15"/>
              </w:trPr>
              <w:tc>
                <w:tcPr>
                  <w:tcW w:w="115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11</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Дата прийняття рішення про проведення загальних зборів</w:t>
                  </w:r>
                </w:p>
              </w:tc>
            </w:tr>
            <w:tr w:rsidR="004F6A78" w:rsidRPr="00512145" w:rsidTr="002D2059">
              <w:trPr>
                <w:trHeight w:val="15"/>
              </w:trPr>
              <w:tc>
                <w:tcPr>
                  <w:tcW w:w="115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DD38CE" w:rsidP="00DD38CE">
                  <w:pPr>
                    <w:rPr>
                      <w:sz w:val="24"/>
                      <w:szCs w:val="24"/>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0C4B79" w:rsidP="000C4B79">
                  <w:pPr>
                    <w:spacing w:line="15" w:lineRule="atLeast"/>
                    <w:jc w:val="both"/>
                    <w:rPr>
                      <w:sz w:val="24"/>
                      <w:szCs w:val="24"/>
                    </w:rPr>
                  </w:pPr>
                  <w:r w:rsidRPr="00E232E6">
                    <w:rPr>
                      <w:noProof/>
                      <w:sz w:val="24"/>
                      <w:szCs w:val="24"/>
                    </w:rPr>
                    <w:t>Вчинення дії про факти включення/виключення цінних паперів до б</w:t>
                  </w:r>
                  <w:r>
                    <w:rPr>
                      <w:noProof/>
                      <w:sz w:val="24"/>
                      <w:szCs w:val="24"/>
                    </w:rPr>
                    <w:t>іржового реєстру фондових бірж</w:t>
                  </w:r>
                </w:p>
              </w:tc>
            </w:tr>
            <w:tr w:rsidR="004F6A78" w:rsidRPr="00512145" w:rsidTr="002D2059">
              <w:trPr>
                <w:trHeight w:val="15"/>
              </w:trPr>
              <w:tc>
                <w:tcPr>
                  <w:tcW w:w="115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12</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0C4B79">
                  <w:pPr>
                    <w:spacing w:line="15" w:lineRule="atLeast"/>
                    <w:jc w:val="both"/>
                    <w:rPr>
                      <w:sz w:val="24"/>
                      <w:szCs w:val="24"/>
                    </w:rPr>
                  </w:pPr>
                  <w:r w:rsidRPr="00512145">
                    <w:rPr>
                      <w:sz w:val="24"/>
                      <w:szCs w:val="24"/>
                    </w:rPr>
                    <w:t xml:space="preserve">Дата включення цінних паперів емітента </w:t>
                  </w:r>
                  <w:r w:rsidR="000C4B79" w:rsidRPr="00E232E6">
                    <w:rPr>
                      <w:noProof/>
                      <w:sz w:val="24"/>
                      <w:szCs w:val="24"/>
                    </w:rPr>
                    <w:t>до біржового реєстру фондової біржі</w:t>
                  </w:r>
                </w:p>
              </w:tc>
            </w:tr>
            <w:tr w:rsidR="004F6A78" w:rsidRPr="00512145" w:rsidTr="002D2059">
              <w:trPr>
                <w:trHeight w:val="15"/>
              </w:trPr>
              <w:tc>
                <w:tcPr>
                  <w:tcW w:w="1158"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4F6A78" w:rsidP="00DD38CE">
                  <w:pPr>
                    <w:spacing w:line="15" w:lineRule="atLeast"/>
                    <w:rPr>
                      <w:sz w:val="24"/>
                      <w:szCs w:val="24"/>
                    </w:rPr>
                  </w:pPr>
                  <w:r w:rsidRPr="00512145">
                    <w:rPr>
                      <w:sz w:val="24"/>
                      <w:szCs w:val="24"/>
                    </w:rPr>
                    <w:t>14</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DD38CE" w:rsidRPr="00512145" w:rsidRDefault="00987F8F" w:rsidP="000C4B79">
                  <w:pPr>
                    <w:spacing w:line="15" w:lineRule="atLeast"/>
                    <w:jc w:val="both"/>
                    <w:rPr>
                      <w:sz w:val="24"/>
                      <w:szCs w:val="24"/>
                    </w:rPr>
                  </w:pPr>
                  <w:r w:rsidRPr="000C4B79">
                    <w:rPr>
                      <w:noProof/>
                      <w:sz w:val="24"/>
                      <w:szCs w:val="24"/>
                    </w:rPr>
                    <w:t>Дата, коли емітенту стало відомо чи коли він мав дізнатися про виключення його цінних паперів з біржового реєстру фондової біржі</w:t>
                  </w:r>
                </w:p>
              </w:tc>
            </w:tr>
          </w:tbl>
          <w:p w:rsidR="004F6A78" w:rsidRPr="004F6A78" w:rsidRDefault="004F6A78" w:rsidP="004F6A78">
            <w:pPr>
              <w:rPr>
                <w:sz w:val="24"/>
                <w:szCs w:val="24"/>
              </w:rPr>
            </w:pPr>
            <w:r>
              <w:rPr>
                <w:b/>
                <w:sz w:val="24"/>
                <w:szCs w:val="24"/>
              </w:rPr>
              <w:t>. . .</w:t>
            </w:r>
          </w:p>
          <w:p w:rsidR="004F6A78" w:rsidRPr="004F6A78" w:rsidRDefault="004F6A78" w:rsidP="004F6A78">
            <w:pPr>
              <w:rPr>
                <w:b/>
                <w:sz w:val="24"/>
                <w:szCs w:val="24"/>
              </w:rPr>
            </w:pPr>
          </w:p>
        </w:tc>
      </w:tr>
      <w:tr w:rsidR="00A95BF7" w:rsidRPr="00B8797D" w:rsidTr="004F6A78">
        <w:tc>
          <w:tcPr>
            <w:tcW w:w="468" w:type="dxa"/>
          </w:tcPr>
          <w:p w:rsidR="00A95BF7" w:rsidRPr="00B8797D" w:rsidRDefault="00A95BF7" w:rsidP="00B8797D">
            <w:pPr>
              <w:jc w:val="center"/>
              <w:rPr>
                <w:sz w:val="20"/>
                <w:szCs w:val="20"/>
              </w:rPr>
            </w:pPr>
          </w:p>
        </w:tc>
        <w:tc>
          <w:tcPr>
            <w:tcW w:w="4885" w:type="dxa"/>
          </w:tcPr>
          <w:p w:rsidR="00A95BF7" w:rsidRDefault="00F81C27" w:rsidP="004F6A78">
            <w:pPr>
              <w:rPr>
                <w:b/>
                <w:sz w:val="24"/>
                <w:szCs w:val="24"/>
                <w:lang w:val="en-US"/>
              </w:rPr>
            </w:pPr>
            <w:r>
              <w:rPr>
                <w:b/>
                <w:sz w:val="24"/>
                <w:szCs w:val="24"/>
              </w:rPr>
              <w:t>. . .</w:t>
            </w:r>
          </w:p>
          <w:p w:rsidR="006D302F" w:rsidRDefault="006D302F" w:rsidP="004F6A78">
            <w:pPr>
              <w:rPr>
                <w:b/>
                <w:sz w:val="24"/>
                <w:szCs w:val="24"/>
                <w:lang w:val="en-US"/>
              </w:rPr>
            </w:pPr>
          </w:p>
          <w:p w:rsidR="006D302F" w:rsidRDefault="006D302F" w:rsidP="004F6A78">
            <w:pPr>
              <w:rPr>
                <w:b/>
                <w:sz w:val="24"/>
                <w:szCs w:val="24"/>
                <w:lang w:val="en-US"/>
              </w:rPr>
            </w:pPr>
          </w:p>
          <w:p w:rsidR="006D302F" w:rsidRDefault="006D302F" w:rsidP="004F6A78">
            <w:pPr>
              <w:rPr>
                <w:b/>
                <w:sz w:val="24"/>
                <w:szCs w:val="24"/>
                <w:lang w:val="en-US"/>
              </w:rPr>
            </w:pPr>
          </w:p>
          <w:p w:rsidR="006D302F" w:rsidRDefault="006D302F" w:rsidP="004F6A78">
            <w:pPr>
              <w:rPr>
                <w:b/>
                <w:sz w:val="24"/>
                <w:szCs w:val="24"/>
                <w:lang w:val="en-US"/>
              </w:rPr>
            </w:pPr>
          </w:p>
          <w:p w:rsidR="006D302F" w:rsidRPr="006D302F" w:rsidRDefault="006D302F" w:rsidP="004F6A78">
            <w:pPr>
              <w:rPr>
                <w:b/>
                <w:sz w:val="24"/>
                <w:szCs w:val="24"/>
                <w:lang w:val="en-US"/>
              </w:rPr>
            </w:pPr>
          </w:p>
          <w:p w:rsidR="00F81C27" w:rsidRDefault="00F81C27" w:rsidP="00F81C27">
            <w:pPr>
              <w:shd w:val="clear" w:color="auto" w:fill="FFFFFF"/>
              <w:ind w:firstLine="376"/>
              <w:jc w:val="both"/>
              <w:rPr>
                <w:color w:val="000000"/>
                <w:sz w:val="24"/>
                <w:szCs w:val="24"/>
              </w:rPr>
            </w:pPr>
            <w:r w:rsidRPr="00E74ABA">
              <w:rPr>
                <w:color w:val="000000"/>
                <w:sz w:val="24"/>
                <w:szCs w:val="24"/>
              </w:rPr>
              <w:t>26. Довідник «Біржовий список»</w:t>
            </w:r>
          </w:p>
          <w:p w:rsidR="00F81C27" w:rsidRPr="00E74ABA" w:rsidRDefault="00F81C27" w:rsidP="00F81C27">
            <w:pPr>
              <w:shd w:val="clear" w:color="auto" w:fill="FFFFFF"/>
              <w:ind w:firstLine="376"/>
              <w:jc w:val="both"/>
              <w:rPr>
                <w:color w:val="000000"/>
                <w:sz w:val="24"/>
                <w:szCs w:val="24"/>
              </w:rPr>
            </w:pPr>
          </w:p>
          <w:tbl>
            <w:tblPr>
              <w:tblW w:w="4513"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45"/>
              <w:gridCol w:w="3260"/>
            </w:tblGrid>
            <w:tr w:rsidR="00F81C27" w:rsidRPr="00E74ABA" w:rsidTr="00F81C27">
              <w:tc>
                <w:tcPr>
                  <w:tcW w:w="945"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jc w:val="center"/>
                    <w:rPr>
                      <w:sz w:val="24"/>
                      <w:szCs w:val="24"/>
                    </w:rPr>
                  </w:pPr>
                  <w:bookmarkStart w:id="2" w:name="n74"/>
                  <w:bookmarkEnd w:id="2"/>
                  <w:r w:rsidRPr="00E74ABA">
                    <w:rPr>
                      <w:sz w:val="24"/>
                      <w:szCs w:val="24"/>
                    </w:rPr>
                    <w:t>Код показника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jc w:val="center"/>
                    <w:rPr>
                      <w:sz w:val="24"/>
                      <w:szCs w:val="24"/>
                    </w:rPr>
                  </w:pPr>
                  <w:r w:rsidRPr="00E74ABA">
                    <w:rPr>
                      <w:sz w:val="24"/>
                      <w:szCs w:val="24"/>
                    </w:rPr>
                    <w:t>Зміст показника</w:t>
                  </w:r>
                </w:p>
              </w:tc>
            </w:tr>
            <w:tr w:rsidR="00F81C27" w:rsidRPr="00E74ABA" w:rsidTr="00F81C27">
              <w:tc>
                <w:tcPr>
                  <w:tcW w:w="945"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rPr>
                      <w:sz w:val="24"/>
                      <w:szCs w:val="24"/>
                    </w:rPr>
                  </w:pPr>
                  <w:r w:rsidRPr="00E74ABA">
                    <w:rPr>
                      <w:sz w:val="24"/>
                      <w:szCs w:val="24"/>
                    </w:rPr>
                    <w:t>01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6D302F">
                  <w:pPr>
                    <w:jc w:val="both"/>
                    <w:rPr>
                      <w:sz w:val="24"/>
                      <w:szCs w:val="24"/>
                    </w:rPr>
                  </w:pPr>
                  <w:r w:rsidRPr="00E74ABA">
                    <w:rPr>
                      <w:sz w:val="24"/>
                      <w:szCs w:val="24"/>
                    </w:rPr>
                    <w:t xml:space="preserve">Категорія </w:t>
                  </w:r>
                  <w:proofErr w:type="spellStart"/>
                  <w:r w:rsidRPr="00E74ABA">
                    <w:rPr>
                      <w:sz w:val="24"/>
                      <w:szCs w:val="24"/>
                    </w:rPr>
                    <w:t>лістингових</w:t>
                  </w:r>
                  <w:proofErr w:type="spellEnd"/>
                  <w:r w:rsidRPr="00E74ABA">
                    <w:rPr>
                      <w:sz w:val="24"/>
                      <w:szCs w:val="24"/>
                    </w:rPr>
                    <w:t xml:space="preserve"> цінних паперів. Перший рівень лістингу</w:t>
                  </w:r>
                </w:p>
              </w:tc>
            </w:tr>
            <w:tr w:rsidR="00F81C27" w:rsidRPr="00E74ABA" w:rsidTr="00F81C27">
              <w:tc>
                <w:tcPr>
                  <w:tcW w:w="945"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rPr>
                      <w:sz w:val="24"/>
                      <w:szCs w:val="24"/>
                    </w:rPr>
                  </w:pPr>
                  <w:r w:rsidRPr="00E74ABA">
                    <w:rPr>
                      <w:sz w:val="24"/>
                      <w:szCs w:val="24"/>
                    </w:rPr>
                    <w:t>02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6D302F">
                  <w:pPr>
                    <w:jc w:val="both"/>
                    <w:rPr>
                      <w:sz w:val="24"/>
                      <w:szCs w:val="24"/>
                    </w:rPr>
                  </w:pPr>
                  <w:r w:rsidRPr="00E74ABA">
                    <w:rPr>
                      <w:sz w:val="24"/>
                      <w:szCs w:val="24"/>
                    </w:rPr>
                    <w:t xml:space="preserve">Категорія </w:t>
                  </w:r>
                  <w:proofErr w:type="spellStart"/>
                  <w:r w:rsidRPr="00E74ABA">
                    <w:rPr>
                      <w:sz w:val="24"/>
                      <w:szCs w:val="24"/>
                    </w:rPr>
                    <w:t>лістингових</w:t>
                  </w:r>
                  <w:proofErr w:type="spellEnd"/>
                  <w:r w:rsidRPr="00E74ABA">
                    <w:rPr>
                      <w:sz w:val="24"/>
                      <w:szCs w:val="24"/>
                    </w:rPr>
                    <w:t xml:space="preserve"> цінних паперів. Другий рівень лістингу</w:t>
                  </w:r>
                </w:p>
              </w:tc>
            </w:tr>
            <w:tr w:rsidR="00F81C27" w:rsidRPr="00E74ABA" w:rsidTr="00F81C27">
              <w:tc>
                <w:tcPr>
                  <w:tcW w:w="945"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rPr>
                      <w:sz w:val="24"/>
                      <w:szCs w:val="24"/>
                    </w:rPr>
                  </w:pPr>
                  <w:r w:rsidRPr="00E74ABA">
                    <w:rPr>
                      <w:sz w:val="24"/>
                      <w:szCs w:val="24"/>
                    </w:rPr>
                    <w:t>03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6D302F">
                  <w:pPr>
                    <w:jc w:val="both"/>
                    <w:rPr>
                      <w:sz w:val="24"/>
                      <w:szCs w:val="24"/>
                    </w:rPr>
                  </w:pPr>
                  <w:r w:rsidRPr="00E74ABA">
                    <w:rPr>
                      <w:sz w:val="24"/>
                      <w:szCs w:val="24"/>
                    </w:rPr>
                    <w:t>Цінні папери виключені з біржового списку. Припинення торгівлі</w:t>
                  </w:r>
                </w:p>
              </w:tc>
            </w:tr>
            <w:tr w:rsidR="00F81C27" w:rsidRPr="00E74ABA" w:rsidTr="00F81C27">
              <w:tc>
                <w:tcPr>
                  <w:tcW w:w="945"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rPr>
                      <w:sz w:val="24"/>
                      <w:szCs w:val="24"/>
                    </w:rPr>
                  </w:pPr>
                  <w:r w:rsidRPr="00E74ABA">
                    <w:rPr>
                      <w:sz w:val="24"/>
                      <w:szCs w:val="24"/>
                    </w:rPr>
                    <w:t>04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6D302F">
                  <w:pPr>
                    <w:jc w:val="both"/>
                    <w:rPr>
                      <w:sz w:val="24"/>
                      <w:szCs w:val="24"/>
                    </w:rPr>
                  </w:pPr>
                  <w:r w:rsidRPr="00E74ABA">
                    <w:rPr>
                      <w:sz w:val="24"/>
                      <w:szCs w:val="24"/>
                    </w:rPr>
                    <w:t xml:space="preserve">Цінні папери знаходяться у біржовому списку. </w:t>
                  </w:r>
                  <w:r w:rsidRPr="00E74ABA">
                    <w:rPr>
                      <w:sz w:val="24"/>
                      <w:szCs w:val="24"/>
                    </w:rPr>
                    <w:lastRenderedPageBreak/>
                    <w:t>Призупинення торгівлі</w:t>
                  </w:r>
                </w:p>
              </w:tc>
            </w:tr>
            <w:tr w:rsidR="00F81C27" w:rsidRPr="00E74ABA" w:rsidTr="00F81C27">
              <w:tc>
                <w:tcPr>
                  <w:tcW w:w="945"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DD38CE">
                  <w:pPr>
                    <w:rPr>
                      <w:sz w:val="24"/>
                      <w:szCs w:val="24"/>
                    </w:rPr>
                  </w:pPr>
                  <w:r w:rsidRPr="00E74ABA">
                    <w:rPr>
                      <w:sz w:val="24"/>
                      <w:szCs w:val="24"/>
                    </w:rPr>
                    <w:lastRenderedPageBreak/>
                    <w:t>05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D38CE" w:rsidRPr="00E74ABA" w:rsidRDefault="00F81C27" w:rsidP="006D302F">
                  <w:pPr>
                    <w:jc w:val="both"/>
                    <w:rPr>
                      <w:sz w:val="24"/>
                      <w:szCs w:val="24"/>
                    </w:rPr>
                  </w:pPr>
                  <w:r w:rsidRPr="00E74ABA">
                    <w:rPr>
                      <w:sz w:val="24"/>
                      <w:szCs w:val="24"/>
                    </w:rPr>
                    <w:t xml:space="preserve">Категорія </w:t>
                  </w:r>
                  <w:proofErr w:type="spellStart"/>
                  <w:r w:rsidRPr="00E74ABA">
                    <w:rPr>
                      <w:sz w:val="24"/>
                      <w:szCs w:val="24"/>
                    </w:rPr>
                    <w:t>позалістингових</w:t>
                  </w:r>
                  <w:proofErr w:type="spellEnd"/>
                  <w:r w:rsidRPr="00E74ABA">
                    <w:rPr>
                      <w:sz w:val="24"/>
                      <w:szCs w:val="24"/>
                    </w:rPr>
                    <w:t xml:space="preserve"> цінних паперів. </w:t>
                  </w:r>
                  <w:proofErr w:type="spellStart"/>
                  <w:r w:rsidRPr="00E74ABA">
                    <w:rPr>
                      <w:sz w:val="24"/>
                      <w:szCs w:val="24"/>
                    </w:rPr>
                    <w:t>Позалістингові</w:t>
                  </w:r>
                  <w:proofErr w:type="spellEnd"/>
                  <w:r w:rsidRPr="00E74ABA">
                    <w:rPr>
                      <w:sz w:val="24"/>
                      <w:szCs w:val="24"/>
                    </w:rPr>
                    <w:t xml:space="preserve"> цінні папери</w:t>
                  </w:r>
                </w:p>
              </w:tc>
            </w:tr>
          </w:tbl>
          <w:p w:rsidR="00F81C27" w:rsidRPr="00F81C27" w:rsidRDefault="00F81C27" w:rsidP="004F6A78">
            <w:pPr>
              <w:rPr>
                <w:sz w:val="24"/>
                <w:szCs w:val="24"/>
              </w:rPr>
            </w:pPr>
            <w:r>
              <w:rPr>
                <w:b/>
                <w:sz w:val="24"/>
                <w:szCs w:val="24"/>
              </w:rPr>
              <w:t>. . .</w:t>
            </w:r>
          </w:p>
        </w:tc>
        <w:tc>
          <w:tcPr>
            <w:tcW w:w="5245" w:type="dxa"/>
          </w:tcPr>
          <w:p w:rsidR="006D302F" w:rsidRDefault="006D302F" w:rsidP="006D302F">
            <w:pPr>
              <w:tabs>
                <w:tab w:val="left" w:pos="1090"/>
              </w:tabs>
              <w:ind w:right="172"/>
              <w:jc w:val="both"/>
              <w:rPr>
                <w:b/>
                <w:sz w:val="24"/>
                <w:szCs w:val="24"/>
              </w:rPr>
            </w:pPr>
            <w:r w:rsidRPr="0088637A">
              <w:rPr>
                <w:b/>
                <w:sz w:val="24"/>
                <w:szCs w:val="24"/>
              </w:rPr>
              <w:lastRenderedPageBreak/>
              <w:t xml:space="preserve">Пропозиції </w:t>
            </w:r>
            <w:r>
              <w:rPr>
                <w:b/>
                <w:sz w:val="24"/>
                <w:szCs w:val="24"/>
              </w:rPr>
              <w:t>департаменту методології регулювання професійних учасників ринку цінних паперів:</w:t>
            </w:r>
          </w:p>
          <w:p w:rsidR="006D302F" w:rsidRPr="006D302F" w:rsidRDefault="006D302F" w:rsidP="004F6A78">
            <w:pPr>
              <w:rPr>
                <w:sz w:val="24"/>
                <w:szCs w:val="24"/>
              </w:rPr>
            </w:pPr>
          </w:p>
          <w:p w:rsidR="006D302F" w:rsidRPr="000C5342" w:rsidRDefault="006D302F" w:rsidP="006D302F">
            <w:pPr>
              <w:shd w:val="clear" w:color="auto" w:fill="FFFFFF"/>
              <w:jc w:val="both"/>
              <w:textAlignment w:val="baseline"/>
              <w:rPr>
                <w:color w:val="000000"/>
                <w:sz w:val="24"/>
                <w:szCs w:val="24"/>
              </w:rPr>
            </w:pPr>
            <w:r w:rsidRPr="000C5342">
              <w:rPr>
                <w:color w:val="000000"/>
                <w:sz w:val="24"/>
                <w:szCs w:val="24"/>
              </w:rPr>
              <w:t>26. Довідник «</w:t>
            </w:r>
            <w:r w:rsidRPr="000C5342">
              <w:rPr>
                <w:sz w:val="24"/>
                <w:szCs w:val="24"/>
              </w:rPr>
              <w:t>Біржовий список</w:t>
            </w:r>
            <w:r w:rsidRPr="000C5342">
              <w:rPr>
                <w:color w:val="000000"/>
                <w:sz w:val="24"/>
                <w:szCs w:val="24"/>
              </w:rPr>
              <w:t>»</w:t>
            </w:r>
            <w:r w:rsidRPr="00BB2F57">
              <w:rPr>
                <w:color w:val="000000"/>
                <w:sz w:val="24"/>
                <w:szCs w:val="24"/>
                <w:lang w:val="ru-RU"/>
              </w:rPr>
              <w:t xml:space="preserve"> </w:t>
            </w:r>
            <w:r w:rsidRPr="000C5342">
              <w:rPr>
                <w:color w:val="000000"/>
                <w:sz w:val="24"/>
                <w:szCs w:val="24"/>
              </w:rPr>
              <w:t>зміст показників пропонуємо викласти у наступній редакції:</w:t>
            </w:r>
          </w:p>
          <w:p w:rsidR="006D302F" w:rsidRPr="000C5342" w:rsidRDefault="006D302F" w:rsidP="006D302F">
            <w:pPr>
              <w:ind w:firstLine="709"/>
              <w:rPr>
                <w:rFonts w:ascii="Calibri" w:hAnsi="Calibri"/>
                <w:sz w:val="24"/>
                <w:szCs w:val="24"/>
              </w:rPr>
            </w:pPr>
          </w:p>
          <w:tbl>
            <w:tblPr>
              <w:tblW w:w="4974"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02"/>
              <w:gridCol w:w="3685"/>
            </w:tblGrid>
            <w:tr w:rsidR="006D302F" w:rsidRPr="000C5342" w:rsidTr="006D302F">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Код показника</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Зміст показника</w:t>
                  </w:r>
                </w:p>
              </w:tc>
            </w:tr>
            <w:tr w:rsidR="006D302F" w:rsidRPr="000C5342" w:rsidTr="006D302F">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01</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6D302F">
                  <w:pPr>
                    <w:spacing w:before="100" w:beforeAutospacing="1" w:after="100" w:afterAutospacing="1"/>
                    <w:ind w:firstLine="142"/>
                    <w:jc w:val="both"/>
                    <w:rPr>
                      <w:sz w:val="24"/>
                      <w:szCs w:val="24"/>
                    </w:rPr>
                  </w:pPr>
                  <w:r w:rsidRPr="000C5342">
                    <w:rPr>
                      <w:sz w:val="24"/>
                      <w:szCs w:val="24"/>
                    </w:rPr>
                    <w:t xml:space="preserve">Категорія </w:t>
                  </w:r>
                  <w:proofErr w:type="spellStart"/>
                  <w:r w:rsidRPr="000C5342">
                    <w:rPr>
                      <w:sz w:val="24"/>
                      <w:szCs w:val="24"/>
                    </w:rPr>
                    <w:t>лістингових</w:t>
                  </w:r>
                  <w:proofErr w:type="spellEnd"/>
                  <w:r w:rsidRPr="000C5342">
                    <w:rPr>
                      <w:sz w:val="24"/>
                      <w:szCs w:val="24"/>
                    </w:rPr>
                    <w:t xml:space="preserve"> цінних паперів. </w:t>
                  </w:r>
                </w:p>
              </w:tc>
            </w:tr>
            <w:tr w:rsidR="006D302F" w:rsidRPr="000C5342" w:rsidTr="006D302F">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02</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6D302F">
                  <w:pPr>
                    <w:spacing w:before="100" w:beforeAutospacing="1" w:after="100" w:afterAutospacing="1"/>
                    <w:ind w:firstLine="142"/>
                    <w:jc w:val="both"/>
                    <w:rPr>
                      <w:sz w:val="24"/>
                      <w:szCs w:val="24"/>
                    </w:rPr>
                  </w:pPr>
                  <w:r w:rsidRPr="000C5342">
                    <w:rPr>
                      <w:sz w:val="24"/>
                      <w:szCs w:val="24"/>
                    </w:rPr>
                    <w:t>Цінні папери виключені з біржового списку. Припинення торгівлі</w:t>
                  </w:r>
                </w:p>
              </w:tc>
            </w:tr>
            <w:tr w:rsidR="006D302F" w:rsidRPr="000C5342" w:rsidTr="006D302F">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03</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6D302F">
                  <w:pPr>
                    <w:spacing w:before="100" w:beforeAutospacing="1" w:after="100" w:afterAutospacing="1"/>
                    <w:ind w:firstLine="142"/>
                    <w:jc w:val="both"/>
                    <w:rPr>
                      <w:sz w:val="24"/>
                      <w:szCs w:val="24"/>
                    </w:rPr>
                  </w:pPr>
                  <w:r w:rsidRPr="000C5342">
                    <w:rPr>
                      <w:sz w:val="24"/>
                      <w:szCs w:val="24"/>
                    </w:rPr>
                    <w:t>Цінні папери знаходяться у біржовому списку. Призупинення торгівлі</w:t>
                  </w:r>
                </w:p>
              </w:tc>
            </w:tr>
            <w:tr w:rsidR="006D302F" w:rsidRPr="000C5342" w:rsidTr="006D302F">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04</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6D302F">
                  <w:pPr>
                    <w:spacing w:before="100" w:beforeAutospacing="1" w:after="100" w:afterAutospacing="1"/>
                    <w:ind w:firstLine="142"/>
                    <w:jc w:val="both"/>
                    <w:rPr>
                      <w:sz w:val="24"/>
                      <w:szCs w:val="24"/>
                    </w:rPr>
                  </w:pPr>
                  <w:r w:rsidRPr="000C5342">
                    <w:rPr>
                      <w:sz w:val="24"/>
                      <w:szCs w:val="24"/>
                    </w:rPr>
                    <w:t xml:space="preserve">Категорія </w:t>
                  </w:r>
                  <w:proofErr w:type="spellStart"/>
                  <w:r w:rsidRPr="000C5342">
                    <w:rPr>
                      <w:sz w:val="24"/>
                      <w:szCs w:val="24"/>
                    </w:rPr>
                    <w:t>позалістингових</w:t>
                  </w:r>
                  <w:proofErr w:type="spellEnd"/>
                  <w:r w:rsidRPr="000C5342">
                    <w:rPr>
                      <w:sz w:val="24"/>
                      <w:szCs w:val="24"/>
                    </w:rPr>
                    <w:t xml:space="preserve"> цінних паперів. </w:t>
                  </w:r>
                </w:p>
              </w:tc>
            </w:tr>
          </w:tbl>
          <w:p w:rsidR="006D302F" w:rsidRDefault="006D302F" w:rsidP="004F6A78">
            <w:pPr>
              <w:rPr>
                <w:sz w:val="24"/>
                <w:szCs w:val="24"/>
              </w:rPr>
            </w:pPr>
          </w:p>
          <w:p w:rsidR="006D302F" w:rsidRDefault="006D302F" w:rsidP="006D302F">
            <w:pPr>
              <w:tabs>
                <w:tab w:val="left" w:pos="1090"/>
              </w:tabs>
              <w:ind w:right="172"/>
              <w:jc w:val="both"/>
              <w:rPr>
                <w:sz w:val="24"/>
                <w:szCs w:val="24"/>
              </w:rPr>
            </w:pPr>
            <w:r>
              <w:rPr>
                <w:b/>
                <w:sz w:val="24"/>
                <w:szCs w:val="24"/>
              </w:rPr>
              <w:t>Коментар департаменту ІТ:</w:t>
            </w:r>
          </w:p>
          <w:p w:rsidR="006D302F" w:rsidRDefault="006D302F" w:rsidP="004F6A78">
            <w:pPr>
              <w:rPr>
                <w:sz w:val="24"/>
                <w:szCs w:val="24"/>
              </w:rPr>
            </w:pPr>
          </w:p>
          <w:p w:rsidR="00C674C4" w:rsidRDefault="00C674C4" w:rsidP="004F6A78">
            <w:pPr>
              <w:rPr>
                <w:sz w:val="24"/>
                <w:szCs w:val="24"/>
              </w:rPr>
            </w:pPr>
            <w:r>
              <w:t>Приведення</w:t>
            </w:r>
            <w:r w:rsidRPr="00A0359E">
              <w:t xml:space="preserve"> </w:t>
            </w:r>
            <w:r>
              <w:t xml:space="preserve">довідника 26 «Біржовий список» у відповідність до підпунктів 7, 8, 9 пункту 7 </w:t>
            </w:r>
            <w:r w:rsidRPr="00A0359E">
              <w:t xml:space="preserve"> </w:t>
            </w:r>
            <w:r>
              <w:t>З</w:t>
            </w:r>
            <w:r w:rsidRPr="00A0359E">
              <w:t>мін до Положення про функціонування фондових бірж, зокрема, щодо спрощення вимог до лістингу шляхом скасування норми щодо поділу біржового реєстру на два рівні лістингу</w:t>
            </w:r>
            <w:r>
              <w:t>,</w:t>
            </w:r>
            <w:r w:rsidRPr="00A0359E">
              <w:t xml:space="preserve"> затвердженого рішенн</w:t>
            </w:r>
            <w:r>
              <w:t>ям Комісії від 03.08.2018 № 546.</w:t>
            </w:r>
          </w:p>
          <w:p w:rsidR="006D302F" w:rsidRDefault="006D302F" w:rsidP="004F6A78">
            <w:pPr>
              <w:rPr>
                <w:sz w:val="24"/>
                <w:szCs w:val="24"/>
              </w:rPr>
            </w:pPr>
          </w:p>
          <w:p w:rsidR="006D302F" w:rsidRPr="006D302F" w:rsidRDefault="006D302F" w:rsidP="004F6A78">
            <w:pPr>
              <w:rPr>
                <w:sz w:val="24"/>
                <w:szCs w:val="24"/>
              </w:rPr>
            </w:pPr>
            <w:r w:rsidRPr="00490095">
              <w:rPr>
                <w:b/>
                <w:sz w:val="24"/>
                <w:szCs w:val="24"/>
              </w:rPr>
              <w:t>Пропозиції департаменту МРПУ РЦП є  слушними та враховані із внесенням редакційних правок</w:t>
            </w:r>
          </w:p>
        </w:tc>
        <w:tc>
          <w:tcPr>
            <w:tcW w:w="5245" w:type="dxa"/>
          </w:tcPr>
          <w:p w:rsidR="00A95BF7" w:rsidRPr="006D302F" w:rsidRDefault="006D302F" w:rsidP="004F6A78">
            <w:pPr>
              <w:rPr>
                <w:b/>
                <w:sz w:val="24"/>
                <w:szCs w:val="24"/>
              </w:rPr>
            </w:pPr>
            <w:r w:rsidRPr="006D302F">
              <w:rPr>
                <w:b/>
                <w:sz w:val="24"/>
                <w:szCs w:val="24"/>
              </w:rPr>
              <w:lastRenderedPageBreak/>
              <w:t xml:space="preserve">. </w:t>
            </w:r>
            <w:r>
              <w:rPr>
                <w:b/>
                <w:sz w:val="24"/>
                <w:szCs w:val="24"/>
              </w:rPr>
              <w:t>. .</w:t>
            </w:r>
          </w:p>
          <w:p w:rsidR="006D302F" w:rsidRPr="006D302F" w:rsidRDefault="006D302F" w:rsidP="004F6A78">
            <w:pPr>
              <w:rPr>
                <w:b/>
                <w:sz w:val="24"/>
                <w:szCs w:val="24"/>
              </w:rPr>
            </w:pPr>
          </w:p>
          <w:p w:rsidR="006D302F" w:rsidRPr="006D302F" w:rsidRDefault="006D302F" w:rsidP="004F6A78">
            <w:pPr>
              <w:rPr>
                <w:b/>
                <w:sz w:val="24"/>
                <w:szCs w:val="24"/>
              </w:rPr>
            </w:pPr>
          </w:p>
          <w:p w:rsidR="006D302F" w:rsidRPr="006D302F" w:rsidRDefault="006D302F" w:rsidP="004F6A78">
            <w:pPr>
              <w:rPr>
                <w:b/>
                <w:sz w:val="24"/>
                <w:szCs w:val="24"/>
              </w:rPr>
            </w:pPr>
          </w:p>
          <w:p w:rsidR="006D302F" w:rsidRPr="006D302F" w:rsidRDefault="006D302F" w:rsidP="004F6A78">
            <w:pPr>
              <w:rPr>
                <w:b/>
                <w:sz w:val="24"/>
                <w:szCs w:val="24"/>
              </w:rPr>
            </w:pPr>
          </w:p>
          <w:p w:rsidR="006D302F" w:rsidRPr="006D302F" w:rsidRDefault="006D302F" w:rsidP="004F6A78">
            <w:pPr>
              <w:rPr>
                <w:b/>
                <w:sz w:val="24"/>
                <w:szCs w:val="24"/>
              </w:rPr>
            </w:pPr>
          </w:p>
          <w:p w:rsidR="006D302F" w:rsidRDefault="006D302F" w:rsidP="006D302F">
            <w:pPr>
              <w:shd w:val="clear" w:color="auto" w:fill="FFFFFF"/>
              <w:ind w:firstLine="376"/>
              <w:jc w:val="both"/>
              <w:rPr>
                <w:color w:val="000000"/>
                <w:sz w:val="24"/>
                <w:szCs w:val="24"/>
              </w:rPr>
            </w:pPr>
            <w:r w:rsidRPr="00E74ABA">
              <w:rPr>
                <w:color w:val="000000"/>
                <w:sz w:val="24"/>
                <w:szCs w:val="24"/>
              </w:rPr>
              <w:t>26. Довідник «Біржовий список»</w:t>
            </w:r>
          </w:p>
          <w:p w:rsidR="006D302F" w:rsidRPr="006D302F" w:rsidRDefault="006D302F" w:rsidP="004F6A78">
            <w:pPr>
              <w:rPr>
                <w:b/>
                <w:sz w:val="24"/>
                <w:szCs w:val="24"/>
              </w:rPr>
            </w:pPr>
          </w:p>
          <w:tbl>
            <w:tblPr>
              <w:tblW w:w="4974"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02"/>
              <w:gridCol w:w="3685"/>
            </w:tblGrid>
            <w:tr w:rsidR="006D302F" w:rsidRPr="000C5342" w:rsidTr="00DD38CE">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Код показника</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Зміст показника</w:t>
                  </w:r>
                </w:p>
              </w:tc>
            </w:tr>
            <w:tr w:rsidR="006D302F" w:rsidRPr="000C5342" w:rsidTr="00DD38CE">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rPr>
                      <w:sz w:val="24"/>
                      <w:szCs w:val="24"/>
                    </w:rPr>
                  </w:pPr>
                  <w:r w:rsidRPr="000C5342">
                    <w:rPr>
                      <w:sz w:val="24"/>
                      <w:szCs w:val="24"/>
                    </w:rPr>
                    <w:t>01</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jc w:val="both"/>
                    <w:rPr>
                      <w:sz w:val="24"/>
                      <w:szCs w:val="24"/>
                    </w:rPr>
                  </w:pPr>
                  <w:r w:rsidRPr="000C5342">
                    <w:rPr>
                      <w:sz w:val="24"/>
                      <w:szCs w:val="24"/>
                    </w:rPr>
                    <w:t xml:space="preserve">Категорія </w:t>
                  </w:r>
                  <w:proofErr w:type="spellStart"/>
                  <w:r w:rsidRPr="000C5342">
                    <w:rPr>
                      <w:sz w:val="24"/>
                      <w:szCs w:val="24"/>
                    </w:rPr>
                    <w:t>лістингових</w:t>
                  </w:r>
                  <w:proofErr w:type="spellEnd"/>
                  <w:r w:rsidRPr="000C5342">
                    <w:rPr>
                      <w:sz w:val="24"/>
                      <w:szCs w:val="24"/>
                    </w:rPr>
                    <w:t xml:space="preserve"> цінних паперів. </w:t>
                  </w:r>
                </w:p>
              </w:tc>
            </w:tr>
            <w:tr w:rsidR="006D302F" w:rsidRPr="000C5342" w:rsidTr="00DD38CE">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73425F">
                  <w:pPr>
                    <w:spacing w:before="100" w:beforeAutospacing="1" w:after="100" w:afterAutospacing="1"/>
                    <w:ind w:firstLine="142"/>
                    <w:rPr>
                      <w:sz w:val="24"/>
                      <w:szCs w:val="24"/>
                    </w:rPr>
                  </w:pPr>
                  <w:r w:rsidRPr="000C5342">
                    <w:rPr>
                      <w:sz w:val="24"/>
                      <w:szCs w:val="24"/>
                    </w:rPr>
                    <w:t>0</w:t>
                  </w:r>
                  <w:r w:rsidR="0073425F">
                    <w:rPr>
                      <w:sz w:val="24"/>
                      <w:szCs w:val="24"/>
                    </w:rPr>
                    <w:t>3</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jc w:val="both"/>
                    <w:rPr>
                      <w:sz w:val="24"/>
                      <w:szCs w:val="24"/>
                    </w:rPr>
                  </w:pPr>
                  <w:r w:rsidRPr="000C5342">
                    <w:rPr>
                      <w:sz w:val="24"/>
                      <w:szCs w:val="24"/>
                    </w:rPr>
                    <w:t>Цінні папери виключені з біржового списку. Припинення торгівлі</w:t>
                  </w:r>
                </w:p>
              </w:tc>
            </w:tr>
            <w:tr w:rsidR="006D302F" w:rsidRPr="000C5342" w:rsidTr="00DD38CE">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73425F">
                  <w:pPr>
                    <w:spacing w:before="100" w:beforeAutospacing="1" w:after="100" w:afterAutospacing="1"/>
                    <w:ind w:firstLine="142"/>
                    <w:rPr>
                      <w:sz w:val="24"/>
                      <w:szCs w:val="24"/>
                    </w:rPr>
                  </w:pPr>
                  <w:r w:rsidRPr="000C5342">
                    <w:rPr>
                      <w:sz w:val="24"/>
                      <w:szCs w:val="24"/>
                    </w:rPr>
                    <w:t>0</w:t>
                  </w:r>
                  <w:r w:rsidR="0073425F">
                    <w:rPr>
                      <w:sz w:val="24"/>
                      <w:szCs w:val="24"/>
                    </w:rPr>
                    <w:t>4</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jc w:val="both"/>
                    <w:rPr>
                      <w:sz w:val="24"/>
                      <w:szCs w:val="24"/>
                    </w:rPr>
                  </w:pPr>
                  <w:r w:rsidRPr="000C5342">
                    <w:rPr>
                      <w:sz w:val="24"/>
                      <w:szCs w:val="24"/>
                    </w:rPr>
                    <w:t>Цінні папери знаходяться у біржовому списку. Призупинення торгівлі</w:t>
                  </w:r>
                </w:p>
              </w:tc>
            </w:tr>
            <w:tr w:rsidR="006D302F" w:rsidRPr="000C5342" w:rsidTr="00DD38CE">
              <w:trPr>
                <w:tblCellSpacing w:w="22" w:type="dxa"/>
              </w:trPr>
              <w:tc>
                <w:tcPr>
                  <w:tcW w:w="1239" w:type="pct"/>
                  <w:tcBorders>
                    <w:top w:val="outset" w:sz="6" w:space="0" w:color="auto"/>
                    <w:left w:val="outset" w:sz="6" w:space="0" w:color="auto"/>
                    <w:bottom w:val="outset" w:sz="6" w:space="0" w:color="auto"/>
                    <w:right w:val="outset" w:sz="6" w:space="0" w:color="auto"/>
                  </w:tcBorders>
                  <w:hideMark/>
                </w:tcPr>
                <w:p w:rsidR="006D302F" w:rsidRPr="000C5342" w:rsidRDefault="006D302F" w:rsidP="0073425F">
                  <w:pPr>
                    <w:spacing w:before="100" w:beforeAutospacing="1" w:after="100" w:afterAutospacing="1"/>
                    <w:ind w:firstLine="142"/>
                    <w:rPr>
                      <w:sz w:val="24"/>
                      <w:szCs w:val="24"/>
                    </w:rPr>
                  </w:pPr>
                  <w:r w:rsidRPr="000C5342">
                    <w:rPr>
                      <w:sz w:val="24"/>
                      <w:szCs w:val="24"/>
                    </w:rPr>
                    <w:t>0</w:t>
                  </w:r>
                  <w:r w:rsidR="0073425F">
                    <w:rPr>
                      <w:sz w:val="24"/>
                      <w:szCs w:val="24"/>
                    </w:rPr>
                    <w:t>5</w:t>
                  </w:r>
                </w:p>
              </w:tc>
              <w:tc>
                <w:tcPr>
                  <w:tcW w:w="3628" w:type="pct"/>
                  <w:tcBorders>
                    <w:top w:val="outset" w:sz="6" w:space="0" w:color="auto"/>
                    <w:left w:val="outset" w:sz="6" w:space="0" w:color="auto"/>
                    <w:bottom w:val="outset" w:sz="6" w:space="0" w:color="auto"/>
                    <w:right w:val="outset" w:sz="6" w:space="0" w:color="auto"/>
                  </w:tcBorders>
                  <w:hideMark/>
                </w:tcPr>
                <w:p w:rsidR="006D302F" w:rsidRPr="000C5342" w:rsidRDefault="006D302F" w:rsidP="00DD38CE">
                  <w:pPr>
                    <w:spacing w:before="100" w:beforeAutospacing="1" w:after="100" w:afterAutospacing="1"/>
                    <w:ind w:firstLine="142"/>
                    <w:jc w:val="both"/>
                    <w:rPr>
                      <w:sz w:val="24"/>
                      <w:szCs w:val="24"/>
                    </w:rPr>
                  </w:pPr>
                  <w:r w:rsidRPr="000C5342">
                    <w:rPr>
                      <w:sz w:val="24"/>
                      <w:szCs w:val="24"/>
                    </w:rPr>
                    <w:t xml:space="preserve">Категорія </w:t>
                  </w:r>
                  <w:proofErr w:type="spellStart"/>
                  <w:r w:rsidRPr="000C5342">
                    <w:rPr>
                      <w:sz w:val="24"/>
                      <w:szCs w:val="24"/>
                    </w:rPr>
                    <w:t>позалістингових</w:t>
                  </w:r>
                  <w:proofErr w:type="spellEnd"/>
                  <w:r w:rsidRPr="000C5342">
                    <w:rPr>
                      <w:sz w:val="24"/>
                      <w:szCs w:val="24"/>
                    </w:rPr>
                    <w:t xml:space="preserve"> цінних паперів. </w:t>
                  </w:r>
                </w:p>
              </w:tc>
            </w:tr>
          </w:tbl>
          <w:p w:rsidR="006D302F" w:rsidRPr="006D302F" w:rsidRDefault="006D302F" w:rsidP="004F6A78">
            <w:pPr>
              <w:rPr>
                <w:b/>
                <w:sz w:val="24"/>
                <w:szCs w:val="24"/>
              </w:rPr>
            </w:pPr>
            <w:r>
              <w:rPr>
                <w:b/>
                <w:sz w:val="24"/>
                <w:szCs w:val="24"/>
              </w:rPr>
              <w:t>. . .</w:t>
            </w:r>
          </w:p>
        </w:tc>
      </w:tr>
      <w:tr w:rsidR="00F60707" w:rsidRPr="00B8797D" w:rsidTr="003975F5">
        <w:trPr>
          <w:trHeight w:val="6016"/>
        </w:trPr>
        <w:tc>
          <w:tcPr>
            <w:tcW w:w="468" w:type="dxa"/>
          </w:tcPr>
          <w:p w:rsidR="00F60707" w:rsidRPr="00B8797D" w:rsidRDefault="009C7BD5" w:rsidP="00B8797D">
            <w:pPr>
              <w:jc w:val="center"/>
              <w:rPr>
                <w:sz w:val="20"/>
                <w:szCs w:val="20"/>
              </w:rPr>
            </w:pPr>
            <w:r w:rsidRPr="00B8797D">
              <w:rPr>
                <w:sz w:val="20"/>
                <w:szCs w:val="20"/>
              </w:rPr>
              <w:lastRenderedPageBreak/>
              <w:t>2</w:t>
            </w:r>
          </w:p>
        </w:tc>
        <w:tc>
          <w:tcPr>
            <w:tcW w:w="4885" w:type="dxa"/>
          </w:tcPr>
          <w:p w:rsidR="002E374E" w:rsidRDefault="002E374E" w:rsidP="002E374E">
            <w:pPr>
              <w:shd w:val="clear" w:color="auto" w:fill="FFFFFF"/>
              <w:tabs>
                <w:tab w:val="left" w:pos="3402"/>
                <w:tab w:val="left" w:pos="4635"/>
              </w:tabs>
              <w:rPr>
                <w:b/>
                <w:color w:val="000000"/>
                <w:sz w:val="24"/>
                <w:szCs w:val="24"/>
              </w:rPr>
            </w:pPr>
            <w:r>
              <w:rPr>
                <w:b/>
                <w:color w:val="000000"/>
                <w:sz w:val="24"/>
                <w:szCs w:val="24"/>
              </w:rPr>
              <w:t>. . .</w:t>
            </w: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Default="0088637A" w:rsidP="002E374E">
            <w:pPr>
              <w:shd w:val="clear" w:color="auto" w:fill="FFFFFF"/>
              <w:tabs>
                <w:tab w:val="left" w:pos="3402"/>
                <w:tab w:val="left" w:pos="4635"/>
              </w:tabs>
              <w:rPr>
                <w:b/>
                <w:color w:val="000000"/>
                <w:sz w:val="24"/>
                <w:szCs w:val="24"/>
              </w:rPr>
            </w:pPr>
          </w:p>
          <w:p w:rsidR="0088637A" w:rsidRPr="002E374E" w:rsidRDefault="0088637A" w:rsidP="002E374E">
            <w:pPr>
              <w:shd w:val="clear" w:color="auto" w:fill="FFFFFF"/>
              <w:tabs>
                <w:tab w:val="left" w:pos="3402"/>
                <w:tab w:val="left" w:pos="4635"/>
              </w:tabs>
              <w:rPr>
                <w:b/>
                <w:color w:val="000000"/>
                <w:sz w:val="24"/>
                <w:szCs w:val="24"/>
              </w:rPr>
            </w:pPr>
          </w:p>
          <w:p w:rsidR="002E374E" w:rsidRDefault="002E374E" w:rsidP="002E374E">
            <w:pPr>
              <w:shd w:val="clear" w:color="auto" w:fill="FFFFFF"/>
              <w:tabs>
                <w:tab w:val="left" w:pos="3402"/>
              </w:tabs>
              <w:ind w:right="176"/>
              <w:jc w:val="both"/>
              <w:rPr>
                <w:color w:val="000000"/>
                <w:sz w:val="24"/>
                <w:szCs w:val="24"/>
              </w:rPr>
            </w:pPr>
            <w:r w:rsidRPr="00EF4609">
              <w:rPr>
                <w:color w:val="000000"/>
                <w:sz w:val="24"/>
                <w:szCs w:val="24"/>
              </w:rPr>
              <w:t>27. Довідник «Види змін на рахунку в цінних паперах депонента в депозитарній установі»</w:t>
            </w:r>
          </w:p>
          <w:p w:rsidR="002E374E" w:rsidRDefault="002E374E" w:rsidP="002E374E">
            <w:pPr>
              <w:shd w:val="clear" w:color="auto" w:fill="FFFFFF"/>
              <w:tabs>
                <w:tab w:val="left" w:pos="3402"/>
                <w:tab w:val="left" w:pos="4635"/>
              </w:tabs>
              <w:rPr>
                <w:color w:val="000000"/>
                <w:sz w:val="24"/>
                <w:szCs w:val="24"/>
              </w:rPr>
            </w:pPr>
          </w:p>
          <w:p w:rsidR="0088637A" w:rsidRDefault="0088637A" w:rsidP="002E374E">
            <w:pPr>
              <w:shd w:val="clear" w:color="auto" w:fill="FFFFFF"/>
              <w:tabs>
                <w:tab w:val="left" w:pos="3402"/>
                <w:tab w:val="left" w:pos="4635"/>
              </w:tabs>
              <w:rPr>
                <w:color w:val="000000"/>
                <w:sz w:val="24"/>
                <w:szCs w:val="24"/>
              </w:rPr>
            </w:pPr>
          </w:p>
          <w:p w:rsidR="0088637A" w:rsidRPr="00EF4609" w:rsidRDefault="0088637A" w:rsidP="002E374E">
            <w:pPr>
              <w:shd w:val="clear" w:color="auto" w:fill="FFFFFF"/>
              <w:tabs>
                <w:tab w:val="left" w:pos="3402"/>
                <w:tab w:val="left" w:pos="4635"/>
              </w:tabs>
              <w:rPr>
                <w:color w:val="000000"/>
                <w:sz w:val="24"/>
                <w:szCs w:val="24"/>
              </w:rPr>
            </w:pPr>
          </w:p>
          <w:tbl>
            <w:tblPr>
              <w:tblW w:w="462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40"/>
              <w:gridCol w:w="3685"/>
            </w:tblGrid>
            <w:tr w:rsidR="002E374E" w:rsidRPr="00EF4609" w:rsidTr="00031382">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rPr>
                      <w:sz w:val="24"/>
                      <w:szCs w:val="24"/>
                    </w:rPr>
                  </w:pPr>
                  <w:bookmarkStart w:id="3" w:name="n178"/>
                  <w:bookmarkEnd w:id="3"/>
                  <w:r w:rsidRPr="00EF4609">
                    <w:rPr>
                      <w:sz w:val="24"/>
                      <w:szCs w:val="24"/>
                    </w:rPr>
                    <w:t>Код показника</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rPr>
                      <w:sz w:val="24"/>
                      <w:szCs w:val="24"/>
                    </w:rPr>
                  </w:pPr>
                  <w:r w:rsidRPr="00EF4609">
                    <w:rPr>
                      <w:sz w:val="24"/>
                      <w:szCs w:val="24"/>
                    </w:rPr>
                    <w:t>Зміст показника</w:t>
                  </w:r>
                </w:p>
              </w:tc>
            </w:tr>
            <w:tr w:rsidR="002E374E" w:rsidRPr="00EF4609" w:rsidTr="00031382">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rPr>
                      <w:sz w:val="24"/>
                      <w:szCs w:val="24"/>
                    </w:rPr>
                  </w:pPr>
                  <w:r w:rsidRPr="00EF4609">
                    <w:rPr>
                      <w:sz w:val="24"/>
                      <w:szCs w:val="24"/>
                    </w:rPr>
                    <w:t>021</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jc w:val="both"/>
                    <w:rPr>
                      <w:sz w:val="24"/>
                      <w:szCs w:val="24"/>
                    </w:rPr>
                  </w:pPr>
                  <w:r w:rsidRPr="00EF4609">
                    <w:rPr>
                      <w:sz w:val="24"/>
                      <w:szCs w:val="24"/>
                    </w:rPr>
                    <w:t xml:space="preserve">Збільшення кількості прав на акції на рахунку у цінних паперах власника цінних паперів - власника пакета акцій, внаслідок чого пакет акцій збільшується від 10 % до 100 % (включно) статутного капіталу емітента, а якщо емітентом є </w:t>
                  </w:r>
                  <w:r w:rsidRPr="00EF4609">
                    <w:rPr>
                      <w:sz w:val="24"/>
                      <w:szCs w:val="24"/>
                    </w:rPr>
                    <w:lastRenderedPageBreak/>
                    <w:t>публічне акціонерне товариство - від 5 % до 100 % (включно) статутного капіталу такого емітента</w:t>
                  </w:r>
                </w:p>
              </w:tc>
            </w:tr>
            <w:tr w:rsidR="002E374E" w:rsidRPr="00EF4609" w:rsidTr="00031382">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rPr>
                      <w:sz w:val="24"/>
                      <w:szCs w:val="24"/>
                    </w:rPr>
                  </w:pPr>
                  <w:r w:rsidRPr="00EF4609">
                    <w:rPr>
                      <w:sz w:val="24"/>
                      <w:szCs w:val="24"/>
                    </w:rPr>
                    <w:lastRenderedPageBreak/>
                    <w:t>022</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jc w:val="both"/>
                    <w:rPr>
                      <w:sz w:val="24"/>
                      <w:szCs w:val="24"/>
                    </w:rPr>
                  </w:pPr>
                  <w:r w:rsidRPr="00EF4609">
                    <w:rPr>
                      <w:sz w:val="24"/>
                      <w:szCs w:val="24"/>
                    </w:rPr>
                    <w:t>Зменшення кількості прав на акції на рахунку в цінних паперах власника цінних паперів - власника пакета акцій, внаслідок чого пакет акцій зменшується від 100 % до 10 % (включно) статутного капіталу емітента, а якщо емітентом є публічне акціонерне товариство - від 100 % до 5 % (включно) статутного капіталу такого емітента</w:t>
                  </w:r>
                </w:p>
              </w:tc>
            </w:tr>
            <w:tr w:rsidR="002E374E" w:rsidRPr="00EF4609" w:rsidTr="00031382">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rPr>
                      <w:sz w:val="24"/>
                      <w:szCs w:val="24"/>
                    </w:rPr>
                  </w:pPr>
                  <w:r w:rsidRPr="00EF4609">
                    <w:rPr>
                      <w:sz w:val="24"/>
                      <w:szCs w:val="24"/>
                    </w:rPr>
                    <w:t>621</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jc w:val="both"/>
                    <w:rPr>
                      <w:sz w:val="24"/>
                      <w:szCs w:val="24"/>
                    </w:rPr>
                  </w:pPr>
                  <w:r w:rsidRPr="00EF4609">
                    <w:rPr>
                      <w:sz w:val="24"/>
                      <w:szCs w:val="24"/>
                    </w:rPr>
                    <w:t>Збільшення за наслідками операцій емітента кількості прав на акції на рахунку у цінних паперах власника цінних паперів - власника пакета акцій, внаслідок чого пакет акцій збільшується від 10 % до 100 % (включно) статутного капіталу емітента, а якщо емітентом є публічне акціонерне товариство - від 5 % до 100 % (включно) статутного капіталу такого емітента</w:t>
                  </w:r>
                </w:p>
              </w:tc>
            </w:tr>
            <w:tr w:rsidR="002E374E" w:rsidRPr="00EF4609" w:rsidTr="00031382">
              <w:trPr>
                <w:trHeight w:val="3376"/>
              </w:trPr>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rPr>
                      <w:sz w:val="24"/>
                      <w:szCs w:val="24"/>
                    </w:rPr>
                  </w:pPr>
                  <w:r w:rsidRPr="00EF4609">
                    <w:rPr>
                      <w:sz w:val="24"/>
                      <w:szCs w:val="24"/>
                    </w:rPr>
                    <w:lastRenderedPageBreak/>
                    <w:t>622</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835AC" w:rsidRPr="00EF4609" w:rsidRDefault="002E374E" w:rsidP="00031382">
                  <w:pPr>
                    <w:spacing w:after="120"/>
                    <w:jc w:val="both"/>
                    <w:rPr>
                      <w:sz w:val="24"/>
                      <w:szCs w:val="24"/>
                    </w:rPr>
                  </w:pPr>
                  <w:r w:rsidRPr="00EF4609">
                    <w:rPr>
                      <w:sz w:val="24"/>
                      <w:szCs w:val="24"/>
                    </w:rPr>
                    <w:t>Зменшення за наслідками операцій емітента кількості прав на акції на рахунку в цінних паперах власника цінних паперів - власника пакета акцій, внаслідок чого пакет акцій зменшується від 100 % до 10 % (включно) статутного капіталу емітента, а якщо емітентом є публічне акціонерне товариство - від 100 % до 5 % (включно) статутного капіталу такого емітента</w:t>
                  </w:r>
                  <w:r w:rsidR="00031382">
                    <w:rPr>
                      <w:sz w:val="24"/>
                      <w:szCs w:val="24"/>
                    </w:rPr>
                    <w:t xml:space="preserve"> </w:t>
                  </w:r>
                </w:p>
              </w:tc>
            </w:tr>
          </w:tbl>
          <w:p w:rsidR="0022369E" w:rsidRDefault="0022369E" w:rsidP="002E374E">
            <w:pPr>
              <w:rPr>
                <w:b/>
                <w:sz w:val="20"/>
                <w:szCs w:val="20"/>
              </w:rPr>
            </w:pPr>
          </w:p>
          <w:p w:rsidR="00031382" w:rsidRDefault="00DE59C8" w:rsidP="002E374E">
            <w:pPr>
              <w:rPr>
                <w:b/>
                <w:sz w:val="20"/>
                <w:szCs w:val="20"/>
              </w:rPr>
            </w:pPr>
            <w:r>
              <w:rPr>
                <w:b/>
                <w:sz w:val="20"/>
                <w:szCs w:val="20"/>
              </w:rPr>
              <w:t>. . .</w:t>
            </w:r>
          </w:p>
          <w:p w:rsidR="00031382" w:rsidRDefault="00031382" w:rsidP="002E374E">
            <w:pPr>
              <w:rPr>
                <w:b/>
                <w:sz w:val="20"/>
                <w:szCs w:val="20"/>
              </w:rPr>
            </w:pPr>
          </w:p>
          <w:p w:rsidR="00031382" w:rsidRPr="00B8797D" w:rsidRDefault="00031382" w:rsidP="002E374E">
            <w:pPr>
              <w:rPr>
                <w:b/>
                <w:sz w:val="20"/>
                <w:szCs w:val="20"/>
              </w:rPr>
            </w:pPr>
          </w:p>
        </w:tc>
        <w:tc>
          <w:tcPr>
            <w:tcW w:w="5245" w:type="dxa"/>
          </w:tcPr>
          <w:p w:rsidR="002E5BCB" w:rsidRDefault="002E5BCB" w:rsidP="00CB196B">
            <w:pPr>
              <w:tabs>
                <w:tab w:val="left" w:pos="1090"/>
              </w:tabs>
              <w:ind w:right="172"/>
              <w:rPr>
                <w:sz w:val="24"/>
                <w:szCs w:val="24"/>
              </w:rPr>
            </w:pPr>
          </w:p>
          <w:p w:rsidR="0088637A" w:rsidRDefault="0088637A" w:rsidP="0088637A">
            <w:pPr>
              <w:tabs>
                <w:tab w:val="left" w:pos="1090"/>
              </w:tabs>
              <w:ind w:right="172"/>
              <w:jc w:val="both"/>
              <w:rPr>
                <w:b/>
                <w:sz w:val="24"/>
                <w:szCs w:val="24"/>
              </w:rPr>
            </w:pPr>
            <w:r w:rsidRPr="0088637A">
              <w:rPr>
                <w:b/>
                <w:sz w:val="24"/>
                <w:szCs w:val="24"/>
              </w:rPr>
              <w:t xml:space="preserve">Пропозиції </w:t>
            </w:r>
            <w:r>
              <w:rPr>
                <w:b/>
                <w:sz w:val="24"/>
                <w:szCs w:val="24"/>
              </w:rPr>
              <w:t>департаменту методології регулювання професійних учасників ринку цінних паперів</w:t>
            </w:r>
            <w:r w:rsidR="00F905DC">
              <w:rPr>
                <w:b/>
                <w:sz w:val="24"/>
                <w:szCs w:val="24"/>
              </w:rPr>
              <w:t>:</w:t>
            </w:r>
          </w:p>
          <w:p w:rsidR="0088637A" w:rsidRDefault="0088637A" w:rsidP="0088637A">
            <w:pPr>
              <w:tabs>
                <w:tab w:val="left" w:pos="1090"/>
              </w:tabs>
              <w:ind w:right="172"/>
              <w:jc w:val="both"/>
              <w:rPr>
                <w:b/>
                <w:sz w:val="24"/>
                <w:szCs w:val="24"/>
              </w:rPr>
            </w:pPr>
          </w:p>
          <w:p w:rsidR="0088637A" w:rsidRPr="0088637A" w:rsidRDefault="0088637A" w:rsidP="0088637A">
            <w:pPr>
              <w:ind w:firstLine="176"/>
              <w:jc w:val="both"/>
              <w:rPr>
                <w:sz w:val="24"/>
                <w:szCs w:val="24"/>
              </w:rPr>
            </w:pPr>
            <w:r w:rsidRPr="0088637A">
              <w:rPr>
                <w:sz w:val="24"/>
                <w:szCs w:val="24"/>
              </w:rPr>
              <w:t>Відповідно до пункту 3 рішення Національної комісії з цінних паперів та фондового ринку від 08.05.2012 № 646, зареєстрованого в Міністерстві юстиції України 25 травня 2012 р. за № 831/21143, структурні підрозділи Комісії в межах своєї компетенції з метою актуалізації та оновлення Системи довідників мають своєчасно надавати пропозиції до департаменту інформаційних технологій щодо внесення відповідних змін до Системи довідників.</w:t>
            </w:r>
          </w:p>
          <w:p w:rsidR="0088637A" w:rsidRPr="0088637A" w:rsidRDefault="0088637A" w:rsidP="0088637A">
            <w:pPr>
              <w:ind w:firstLine="176"/>
              <w:jc w:val="both"/>
              <w:rPr>
                <w:sz w:val="24"/>
                <w:szCs w:val="24"/>
              </w:rPr>
            </w:pPr>
            <w:r w:rsidRPr="0088637A">
              <w:rPr>
                <w:sz w:val="24"/>
                <w:szCs w:val="24"/>
              </w:rPr>
              <w:t>Зважаючи на приведене, звертаємось з пропозицією щодо внесення відповідних змін до Системи довідників, а саме:</w:t>
            </w:r>
          </w:p>
          <w:p w:rsidR="0088637A" w:rsidRDefault="0088637A" w:rsidP="0088637A">
            <w:pPr>
              <w:tabs>
                <w:tab w:val="left" w:pos="1090"/>
              </w:tabs>
              <w:ind w:right="172"/>
              <w:jc w:val="both"/>
              <w:rPr>
                <w:b/>
                <w:sz w:val="24"/>
                <w:szCs w:val="24"/>
              </w:rPr>
            </w:pPr>
          </w:p>
          <w:p w:rsidR="0088637A" w:rsidRDefault="0088637A" w:rsidP="0088637A">
            <w:pPr>
              <w:shd w:val="clear" w:color="auto" w:fill="FFFFFF"/>
              <w:ind w:firstLine="450"/>
              <w:jc w:val="both"/>
              <w:textAlignment w:val="baseline"/>
              <w:rPr>
                <w:color w:val="000000"/>
                <w:sz w:val="24"/>
                <w:szCs w:val="24"/>
              </w:rPr>
            </w:pPr>
            <w:r w:rsidRPr="0052583F">
              <w:rPr>
                <w:color w:val="000000"/>
                <w:sz w:val="24"/>
                <w:szCs w:val="24"/>
              </w:rPr>
              <w:t>27. Довідник «Види змін на рахунку в цінних паперах депонента в депозитарній установі»</w:t>
            </w:r>
          </w:p>
          <w:p w:rsidR="0088637A" w:rsidRDefault="0088637A" w:rsidP="0088637A">
            <w:pPr>
              <w:shd w:val="clear" w:color="auto" w:fill="FFFFFF"/>
              <w:ind w:firstLine="450"/>
              <w:jc w:val="both"/>
              <w:textAlignment w:val="baseline"/>
              <w:rPr>
                <w:color w:val="000000"/>
                <w:sz w:val="24"/>
                <w:szCs w:val="24"/>
              </w:rPr>
            </w:pPr>
          </w:p>
          <w:p w:rsidR="0088637A" w:rsidRDefault="0088637A" w:rsidP="0088637A">
            <w:pPr>
              <w:shd w:val="clear" w:color="auto" w:fill="FFFFFF"/>
              <w:ind w:firstLine="450"/>
              <w:jc w:val="both"/>
              <w:textAlignment w:val="baseline"/>
              <w:rPr>
                <w:color w:val="000000"/>
                <w:sz w:val="24"/>
                <w:szCs w:val="24"/>
              </w:rPr>
            </w:pPr>
            <w:r>
              <w:rPr>
                <w:color w:val="000000"/>
                <w:sz w:val="24"/>
                <w:szCs w:val="24"/>
              </w:rPr>
              <w:t>Зміст показників пропонуємо викласти у наступній редакції:</w:t>
            </w:r>
          </w:p>
          <w:p w:rsidR="0088637A" w:rsidRPr="0052583F" w:rsidRDefault="0088637A" w:rsidP="0088637A">
            <w:pPr>
              <w:shd w:val="clear" w:color="auto" w:fill="FFFFFF"/>
              <w:ind w:firstLine="450"/>
              <w:jc w:val="both"/>
              <w:textAlignment w:val="baseline"/>
              <w:rPr>
                <w:color w:val="000000"/>
                <w:sz w:val="24"/>
                <w:szCs w:val="24"/>
              </w:rPr>
            </w:pPr>
          </w:p>
          <w:tbl>
            <w:tblPr>
              <w:tblW w:w="4832"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876"/>
              <w:gridCol w:w="3969"/>
            </w:tblGrid>
            <w:tr w:rsidR="0088637A" w:rsidRPr="00DC0227" w:rsidTr="0088637A">
              <w:tc>
                <w:tcPr>
                  <w:tcW w:w="876"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3835AC">
                  <w:pPr>
                    <w:jc w:val="center"/>
                    <w:textAlignment w:val="baseline"/>
                    <w:rPr>
                      <w:sz w:val="24"/>
                      <w:szCs w:val="24"/>
                    </w:rPr>
                  </w:pPr>
                  <w:r w:rsidRPr="008E04AE">
                    <w:rPr>
                      <w:sz w:val="24"/>
                      <w:szCs w:val="24"/>
                    </w:rPr>
                    <w:t>Код показника</w:t>
                  </w:r>
                </w:p>
              </w:tc>
              <w:tc>
                <w:tcPr>
                  <w:tcW w:w="3969"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3835AC">
                  <w:pPr>
                    <w:jc w:val="center"/>
                    <w:textAlignment w:val="baseline"/>
                    <w:rPr>
                      <w:sz w:val="24"/>
                      <w:szCs w:val="24"/>
                    </w:rPr>
                  </w:pPr>
                  <w:r w:rsidRPr="008E04AE">
                    <w:rPr>
                      <w:sz w:val="24"/>
                      <w:szCs w:val="24"/>
                    </w:rPr>
                    <w:t>Зміст показника</w:t>
                  </w:r>
                </w:p>
              </w:tc>
            </w:tr>
            <w:tr w:rsidR="0088637A" w:rsidRPr="00DC0227" w:rsidTr="0088637A">
              <w:tc>
                <w:tcPr>
                  <w:tcW w:w="876"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3835AC">
                  <w:pPr>
                    <w:jc w:val="center"/>
                    <w:textAlignment w:val="baseline"/>
                    <w:rPr>
                      <w:sz w:val="24"/>
                      <w:szCs w:val="24"/>
                    </w:rPr>
                  </w:pPr>
                  <w:r w:rsidRPr="008E04AE">
                    <w:rPr>
                      <w:sz w:val="24"/>
                      <w:szCs w:val="24"/>
                    </w:rPr>
                    <w:t>021</w:t>
                  </w:r>
                </w:p>
              </w:tc>
              <w:tc>
                <w:tcPr>
                  <w:tcW w:w="3969"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2D2059">
                  <w:pPr>
                    <w:jc w:val="both"/>
                    <w:textAlignment w:val="baseline"/>
                    <w:rPr>
                      <w:sz w:val="24"/>
                      <w:szCs w:val="24"/>
                    </w:rPr>
                  </w:pPr>
                  <w:r w:rsidRPr="008E04AE">
                    <w:rPr>
                      <w:sz w:val="24"/>
                      <w:szCs w:val="24"/>
                    </w:rPr>
                    <w:t xml:space="preserve">Збільшення кількості прав на голосуючі акції на рахунку у цінних паперах власника цінних паперів – власника пакета голосуючих акцій, внаслідок чого пакет голосуючих акцій збільшується від 5 % до 100 % (включно) статутного капіталу </w:t>
                  </w:r>
                  <w:r w:rsidRPr="008E04AE">
                    <w:rPr>
                      <w:sz w:val="24"/>
                      <w:szCs w:val="24"/>
                    </w:rPr>
                    <w:lastRenderedPageBreak/>
                    <w:t>емітента</w:t>
                  </w:r>
                </w:p>
              </w:tc>
            </w:tr>
            <w:tr w:rsidR="0088637A" w:rsidRPr="00DC0227" w:rsidTr="0088637A">
              <w:tc>
                <w:tcPr>
                  <w:tcW w:w="876"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3835AC">
                  <w:pPr>
                    <w:jc w:val="center"/>
                    <w:textAlignment w:val="baseline"/>
                    <w:rPr>
                      <w:sz w:val="24"/>
                      <w:szCs w:val="24"/>
                    </w:rPr>
                  </w:pPr>
                  <w:r w:rsidRPr="008E04AE">
                    <w:rPr>
                      <w:sz w:val="24"/>
                      <w:szCs w:val="24"/>
                    </w:rPr>
                    <w:lastRenderedPageBreak/>
                    <w:t>022</w:t>
                  </w:r>
                </w:p>
              </w:tc>
              <w:tc>
                <w:tcPr>
                  <w:tcW w:w="3969"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2D2059">
                  <w:pPr>
                    <w:jc w:val="both"/>
                    <w:textAlignment w:val="baseline"/>
                    <w:rPr>
                      <w:sz w:val="24"/>
                      <w:szCs w:val="24"/>
                    </w:rPr>
                  </w:pPr>
                  <w:r w:rsidRPr="008E04AE">
                    <w:rPr>
                      <w:sz w:val="24"/>
                      <w:szCs w:val="24"/>
                    </w:rPr>
                    <w:t>Зменшення кількості прав на голосуючі акції на рахунку в цінних паперах власника цінних паперів – власника пакета голосуючих акцій, внаслідок чого пакет голосуючих акцій зменшується від 100 % до 5 % (включно) статутного капіталу емітента;</w:t>
                  </w:r>
                </w:p>
              </w:tc>
            </w:tr>
            <w:tr w:rsidR="0088637A" w:rsidRPr="00DC0227" w:rsidTr="0088637A">
              <w:tc>
                <w:tcPr>
                  <w:tcW w:w="876"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3835AC">
                  <w:pPr>
                    <w:jc w:val="center"/>
                    <w:textAlignment w:val="baseline"/>
                    <w:rPr>
                      <w:sz w:val="24"/>
                      <w:szCs w:val="24"/>
                    </w:rPr>
                  </w:pPr>
                  <w:r w:rsidRPr="008E04AE">
                    <w:rPr>
                      <w:sz w:val="24"/>
                      <w:szCs w:val="24"/>
                    </w:rPr>
                    <w:t>621</w:t>
                  </w:r>
                </w:p>
              </w:tc>
              <w:tc>
                <w:tcPr>
                  <w:tcW w:w="3969"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2D2059">
                  <w:pPr>
                    <w:jc w:val="both"/>
                    <w:textAlignment w:val="baseline"/>
                    <w:rPr>
                      <w:sz w:val="24"/>
                      <w:szCs w:val="24"/>
                    </w:rPr>
                  </w:pPr>
                  <w:r w:rsidRPr="008E04AE">
                    <w:rPr>
                      <w:sz w:val="24"/>
                      <w:szCs w:val="24"/>
                    </w:rPr>
                    <w:t>Збільшення за наслідками операцій емітента кількості прав на голосуючі акції на рахунку у цінних паперах власника цінних паперів – власника пакета голосуючих акцій, внаслідок чого пакет голосуючих акцій збільшується від 5 % до 100 % (включно) статутного капіталу емітента</w:t>
                  </w:r>
                </w:p>
              </w:tc>
            </w:tr>
            <w:tr w:rsidR="0088637A" w:rsidRPr="00DC0227" w:rsidTr="0088637A">
              <w:tc>
                <w:tcPr>
                  <w:tcW w:w="876"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3835AC">
                  <w:pPr>
                    <w:jc w:val="center"/>
                    <w:textAlignment w:val="baseline"/>
                    <w:rPr>
                      <w:sz w:val="24"/>
                      <w:szCs w:val="24"/>
                    </w:rPr>
                  </w:pPr>
                  <w:r w:rsidRPr="008E04AE">
                    <w:rPr>
                      <w:sz w:val="24"/>
                      <w:szCs w:val="24"/>
                    </w:rPr>
                    <w:t>622</w:t>
                  </w:r>
                </w:p>
              </w:tc>
              <w:tc>
                <w:tcPr>
                  <w:tcW w:w="3969" w:type="dxa"/>
                  <w:tcBorders>
                    <w:top w:val="single" w:sz="6" w:space="0" w:color="000000"/>
                    <w:left w:val="single" w:sz="6" w:space="0" w:color="000000"/>
                    <w:bottom w:val="single" w:sz="6" w:space="0" w:color="000000"/>
                    <w:right w:val="single" w:sz="6" w:space="0" w:color="000000"/>
                  </w:tcBorders>
                  <w:hideMark/>
                </w:tcPr>
                <w:p w:rsidR="0088637A" w:rsidRPr="008E04AE" w:rsidRDefault="0088637A" w:rsidP="002D2059">
                  <w:pPr>
                    <w:jc w:val="both"/>
                    <w:textAlignment w:val="baseline"/>
                    <w:rPr>
                      <w:sz w:val="24"/>
                      <w:szCs w:val="24"/>
                    </w:rPr>
                  </w:pPr>
                  <w:r w:rsidRPr="008E04AE">
                    <w:rPr>
                      <w:sz w:val="24"/>
                      <w:szCs w:val="24"/>
                    </w:rPr>
                    <w:t>Зменшення за наслідками операцій емітента кількості прав на голосуючі акції на рахунку в цінних паперах власника цінних паперів – власника пакета голосуючих акцій, внаслідок чого пакет голосуючих акцій зменшується від 100 % до 5 % (включно) статутного капіталу емітента;</w:t>
                  </w:r>
                </w:p>
              </w:tc>
            </w:tr>
          </w:tbl>
          <w:p w:rsidR="0088637A" w:rsidRDefault="0088637A" w:rsidP="0088637A">
            <w:pPr>
              <w:tabs>
                <w:tab w:val="left" w:pos="1090"/>
              </w:tabs>
              <w:ind w:right="172"/>
              <w:jc w:val="both"/>
              <w:rPr>
                <w:b/>
                <w:sz w:val="24"/>
                <w:szCs w:val="24"/>
              </w:rPr>
            </w:pPr>
          </w:p>
          <w:p w:rsidR="000C7496" w:rsidRDefault="00763E1E" w:rsidP="0088637A">
            <w:pPr>
              <w:tabs>
                <w:tab w:val="left" w:pos="1090"/>
              </w:tabs>
              <w:ind w:right="172"/>
              <w:jc w:val="both"/>
              <w:rPr>
                <w:sz w:val="24"/>
                <w:szCs w:val="24"/>
              </w:rPr>
            </w:pPr>
            <w:r>
              <w:rPr>
                <w:b/>
                <w:sz w:val="24"/>
                <w:szCs w:val="24"/>
              </w:rPr>
              <w:t>Коментар департаменту ІТ:</w:t>
            </w:r>
          </w:p>
          <w:p w:rsidR="009F269C" w:rsidRDefault="009F269C" w:rsidP="002D2059">
            <w:pPr>
              <w:jc w:val="both"/>
              <w:rPr>
                <w:sz w:val="24"/>
                <w:szCs w:val="24"/>
              </w:rPr>
            </w:pPr>
          </w:p>
          <w:p w:rsidR="00C674C4" w:rsidRPr="00C674C4" w:rsidRDefault="00C674C4" w:rsidP="002D2059">
            <w:pPr>
              <w:pStyle w:val="normal"/>
              <w:keepNext w:val="0"/>
              <w:tabs>
                <w:tab w:val="left" w:pos="1156"/>
              </w:tab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C674C4">
              <w:rPr>
                <w:rFonts w:ascii="Times New Roman" w:hAnsi="Times New Roman" w:cs="Times New Roman"/>
                <w:sz w:val="24"/>
                <w:szCs w:val="24"/>
              </w:rPr>
              <w:t xml:space="preserve">риведення довідника 27 «Види змін на рахунку в цінних паперах депонента в депозитарній установі» у відповідність до змін внесених підпунктом 5 пункту 3 Закону України від 15 травня 2018 року № 2418-VIII «Про внесення змін до деяких законодавчих актів </w:t>
            </w:r>
            <w:r w:rsidRPr="00C674C4">
              <w:rPr>
                <w:rFonts w:ascii="Times New Roman" w:hAnsi="Times New Roman" w:cs="Times New Roman"/>
                <w:sz w:val="24"/>
                <w:szCs w:val="24"/>
              </w:rPr>
              <w:lastRenderedPageBreak/>
              <w:t xml:space="preserve">України щодо сприяння залученню іноземних інвестицій» до частини другої статті 42 Закону України «Про цінні папери та фондовий ринок» в частині розкриття інформації про власників пакетів голосуючих акцій (5 відсотків і більше) акціонерних товариств, викладенням показників за кодами: 021, 022, 621, 622 у новій редакції; </w:t>
            </w:r>
          </w:p>
          <w:p w:rsidR="00C674C4" w:rsidRPr="00C674C4" w:rsidRDefault="00C674C4" w:rsidP="002D2059">
            <w:pPr>
              <w:pStyle w:val="normal"/>
              <w:keepNext w:val="0"/>
              <w:tabs>
                <w:tab w:val="left" w:pos="1156"/>
              </w:tabs>
              <w:spacing w:line="240" w:lineRule="auto"/>
              <w:ind w:firstLine="34"/>
              <w:jc w:val="both"/>
              <w:rPr>
                <w:rFonts w:ascii="Times New Roman" w:hAnsi="Times New Roman" w:cs="Times New Roman"/>
                <w:sz w:val="24"/>
                <w:szCs w:val="24"/>
              </w:rPr>
            </w:pPr>
          </w:p>
          <w:p w:rsidR="00763E1E" w:rsidRPr="00490095" w:rsidRDefault="00B9024B" w:rsidP="002D2059">
            <w:pPr>
              <w:jc w:val="both"/>
              <w:rPr>
                <w:b/>
                <w:sz w:val="24"/>
                <w:szCs w:val="24"/>
              </w:rPr>
            </w:pPr>
            <w:r w:rsidRPr="00490095">
              <w:rPr>
                <w:b/>
                <w:sz w:val="24"/>
                <w:szCs w:val="24"/>
              </w:rPr>
              <w:t xml:space="preserve">Пропозиції департаменту </w:t>
            </w:r>
            <w:r w:rsidR="00490095" w:rsidRPr="00490095">
              <w:rPr>
                <w:b/>
                <w:sz w:val="24"/>
                <w:szCs w:val="24"/>
              </w:rPr>
              <w:t>МРПУ РЦП</w:t>
            </w:r>
            <w:r w:rsidRPr="00490095">
              <w:rPr>
                <w:b/>
                <w:sz w:val="24"/>
                <w:szCs w:val="24"/>
              </w:rPr>
              <w:t xml:space="preserve"> є  </w:t>
            </w:r>
            <w:r w:rsidR="00490095" w:rsidRPr="00490095">
              <w:rPr>
                <w:b/>
                <w:sz w:val="24"/>
                <w:szCs w:val="24"/>
              </w:rPr>
              <w:t xml:space="preserve">слушними та враховані із внесенням редакційних правок </w:t>
            </w:r>
          </w:p>
        </w:tc>
        <w:tc>
          <w:tcPr>
            <w:tcW w:w="5245" w:type="dxa"/>
          </w:tcPr>
          <w:p w:rsidR="00952EAA" w:rsidRDefault="00952EAA"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CB196B">
            <w:pPr>
              <w:rPr>
                <w:b/>
                <w:sz w:val="20"/>
                <w:szCs w:val="20"/>
              </w:rPr>
            </w:pPr>
          </w:p>
          <w:p w:rsidR="002C2F85" w:rsidRDefault="002C2F85" w:rsidP="002C2F85">
            <w:pPr>
              <w:shd w:val="clear" w:color="auto" w:fill="FFFFFF"/>
              <w:tabs>
                <w:tab w:val="left" w:pos="3402"/>
              </w:tabs>
              <w:ind w:right="176"/>
              <w:jc w:val="both"/>
              <w:rPr>
                <w:color w:val="000000"/>
                <w:sz w:val="24"/>
                <w:szCs w:val="24"/>
              </w:rPr>
            </w:pPr>
            <w:r w:rsidRPr="00EF4609">
              <w:rPr>
                <w:color w:val="000000"/>
                <w:sz w:val="24"/>
                <w:szCs w:val="24"/>
              </w:rPr>
              <w:t>27. Довідник «Види змін на рахунку в цінних паперах депонента в депозитарній установі»</w:t>
            </w:r>
          </w:p>
          <w:p w:rsidR="002C2F85" w:rsidRDefault="002C2F85" w:rsidP="002C2F85">
            <w:pPr>
              <w:shd w:val="clear" w:color="auto" w:fill="FFFFFF"/>
              <w:tabs>
                <w:tab w:val="left" w:pos="3402"/>
                <w:tab w:val="left" w:pos="4635"/>
              </w:tabs>
              <w:rPr>
                <w:color w:val="000000"/>
                <w:sz w:val="24"/>
                <w:szCs w:val="24"/>
              </w:rPr>
            </w:pPr>
          </w:p>
          <w:p w:rsidR="002C2F85" w:rsidRDefault="002C2F85" w:rsidP="002C2F85">
            <w:pPr>
              <w:shd w:val="clear" w:color="auto" w:fill="FFFFFF"/>
              <w:tabs>
                <w:tab w:val="left" w:pos="3402"/>
                <w:tab w:val="left" w:pos="4635"/>
              </w:tabs>
              <w:rPr>
                <w:color w:val="000000"/>
                <w:sz w:val="24"/>
                <w:szCs w:val="24"/>
              </w:rPr>
            </w:pPr>
          </w:p>
          <w:p w:rsidR="002C2F85" w:rsidRDefault="002C2F85" w:rsidP="002C2F85">
            <w:pPr>
              <w:shd w:val="clear" w:color="auto" w:fill="FFFFFF"/>
              <w:tabs>
                <w:tab w:val="left" w:pos="3402"/>
                <w:tab w:val="left" w:pos="4635"/>
              </w:tabs>
              <w:rPr>
                <w:color w:val="000000"/>
                <w:sz w:val="24"/>
                <w:szCs w:val="24"/>
              </w:rPr>
            </w:pPr>
          </w:p>
          <w:p w:rsidR="002C2F85" w:rsidRPr="00EF4609" w:rsidRDefault="002C2F85" w:rsidP="002C2F85">
            <w:pPr>
              <w:shd w:val="clear" w:color="auto" w:fill="FFFFFF"/>
              <w:tabs>
                <w:tab w:val="left" w:pos="3402"/>
                <w:tab w:val="left" w:pos="4635"/>
              </w:tabs>
              <w:rPr>
                <w:color w:val="000000"/>
                <w:sz w:val="24"/>
                <w:szCs w:val="24"/>
              </w:rPr>
            </w:pPr>
          </w:p>
          <w:tbl>
            <w:tblPr>
              <w:tblW w:w="462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40"/>
              <w:gridCol w:w="3685"/>
            </w:tblGrid>
            <w:tr w:rsidR="002C2F85" w:rsidRPr="00EF4609" w:rsidTr="00901DB6">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2C2F85" w:rsidRPr="00EF4609" w:rsidRDefault="002C2F85" w:rsidP="00901DB6">
                  <w:pPr>
                    <w:spacing w:after="120"/>
                    <w:rPr>
                      <w:sz w:val="24"/>
                      <w:szCs w:val="24"/>
                    </w:rPr>
                  </w:pPr>
                  <w:r w:rsidRPr="00EF4609">
                    <w:rPr>
                      <w:sz w:val="24"/>
                      <w:szCs w:val="24"/>
                    </w:rPr>
                    <w:t>Код показника</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2C2F85" w:rsidRPr="00EF4609" w:rsidRDefault="002C2F85" w:rsidP="00901DB6">
                  <w:pPr>
                    <w:spacing w:after="120"/>
                    <w:rPr>
                      <w:sz w:val="24"/>
                      <w:szCs w:val="24"/>
                    </w:rPr>
                  </w:pPr>
                  <w:r w:rsidRPr="00EF4609">
                    <w:rPr>
                      <w:sz w:val="24"/>
                      <w:szCs w:val="24"/>
                    </w:rPr>
                    <w:t>Зміст показника</w:t>
                  </w:r>
                </w:p>
              </w:tc>
            </w:tr>
            <w:tr w:rsidR="002C2F85" w:rsidRPr="00EF4609" w:rsidTr="00901DB6">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2C2F85" w:rsidRPr="00EF4609" w:rsidRDefault="002C2F85" w:rsidP="00901DB6">
                  <w:pPr>
                    <w:spacing w:after="120"/>
                    <w:rPr>
                      <w:sz w:val="24"/>
                      <w:szCs w:val="24"/>
                    </w:rPr>
                  </w:pPr>
                  <w:r>
                    <w:rPr>
                      <w:sz w:val="24"/>
                      <w:szCs w:val="24"/>
                    </w:rPr>
                    <w:t>02</w:t>
                  </w:r>
                  <w:r w:rsidR="00C674C4">
                    <w:rPr>
                      <w:sz w:val="24"/>
                      <w:szCs w:val="24"/>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2C2F85" w:rsidRPr="00EF4609" w:rsidRDefault="002C2F85" w:rsidP="003975F5">
                  <w:pPr>
                    <w:jc w:val="both"/>
                    <w:rPr>
                      <w:sz w:val="24"/>
                      <w:szCs w:val="24"/>
                    </w:rPr>
                  </w:pPr>
                  <w:r w:rsidRPr="00C82E9B">
                    <w:rPr>
                      <w:sz w:val="24"/>
                      <w:szCs w:val="24"/>
                    </w:rPr>
                    <w:t xml:space="preserve">Збільшення кількості прав на голосуючі акції на рахунку у цінних паперах власника цінних паперів – власника пакета голосуючих акцій, внаслідок чого пакет голосуючих акцій збільшується від 5 % до 100 % </w:t>
                  </w:r>
                  <w:r w:rsidRPr="00C82E9B">
                    <w:rPr>
                      <w:sz w:val="24"/>
                      <w:szCs w:val="24"/>
                    </w:rPr>
                    <w:lastRenderedPageBreak/>
                    <w:t xml:space="preserve">(включно) статутного капіталу емітента </w:t>
                  </w:r>
                  <w:r w:rsidR="003975F5">
                    <w:rPr>
                      <w:sz w:val="24"/>
                      <w:szCs w:val="24"/>
                    </w:rPr>
                    <w:t xml:space="preserve"> </w:t>
                  </w:r>
                </w:p>
              </w:tc>
            </w:tr>
            <w:tr w:rsidR="002C2F85" w:rsidRPr="00EF4609" w:rsidTr="00901DB6">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2C2F85" w:rsidRPr="00EF4609" w:rsidRDefault="002C2F85" w:rsidP="00901DB6">
                  <w:pPr>
                    <w:spacing w:after="120"/>
                    <w:rPr>
                      <w:sz w:val="24"/>
                      <w:szCs w:val="24"/>
                    </w:rPr>
                  </w:pPr>
                  <w:r>
                    <w:rPr>
                      <w:sz w:val="24"/>
                      <w:szCs w:val="24"/>
                    </w:rPr>
                    <w:lastRenderedPageBreak/>
                    <w:t>02</w:t>
                  </w:r>
                  <w:r w:rsidR="00C674C4">
                    <w:rPr>
                      <w:sz w:val="24"/>
                      <w:szCs w:val="24"/>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2C2F85" w:rsidRPr="00EF4609" w:rsidRDefault="003975F5" w:rsidP="003975F5">
                  <w:pPr>
                    <w:jc w:val="both"/>
                    <w:rPr>
                      <w:sz w:val="24"/>
                      <w:szCs w:val="24"/>
                    </w:rPr>
                  </w:pPr>
                  <w:r w:rsidRPr="00C82E9B">
                    <w:rPr>
                      <w:sz w:val="24"/>
                      <w:szCs w:val="24"/>
                    </w:rPr>
                    <w:t>Зменшення кількості прав на голосуючі акції на рахунку в цінних паперах власника цінних паперів – власника пакета голосуючих акцій, внаслідок чого пакет голосуючих акцій зменшується від 100 % до 5 % (включно) статутного капіталу емітента</w:t>
                  </w:r>
                  <w:r>
                    <w:rPr>
                      <w:sz w:val="24"/>
                      <w:szCs w:val="24"/>
                    </w:rPr>
                    <w:t xml:space="preserve"> </w:t>
                  </w:r>
                </w:p>
              </w:tc>
            </w:tr>
            <w:tr w:rsidR="003975F5" w:rsidRPr="00EF4609" w:rsidTr="003975F5">
              <w:trPr>
                <w:trHeight w:val="2872"/>
              </w:trPr>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975F5" w:rsidRPr="00EF4609" w:rsidRDefault="003975F5" w:rsidP="00901DB6">
                  <w:pPr>
                    <w:spacing w:after="120"/>
                    <w:rPr>
                      <w:sz w:val="24"/>
                      <w:szCs w:val="24"/>
                    </w:rPr>
                  </w:pPr>
                  <w:r>
                    <w:rPr>
                      <w:sz w:val="24"/>
                      <w:szCs w:val="24"/>
                    </w:rPr>
                    <w:t>62</w:t>
                  </w:r>
                  <w:r w:rsidR="00C674C4">
                    <w:rPr>
                      <w:sz w:val="24"/>
                      <w:szCs w:val="24"/>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975F5" w:rsidRPr="00EF4609" w:rsidRDefault="003975F5" w:rsidP="003975F5">
                  <w:pPr>
                    <w:jc w:val="both"/>
                    <w:rPr>
                      <w:sz w:val="24"/>
                      <w:szCs w:val="24"/>
                    </w:rPr>
                  </w:pPr>
                  <w:r w:rsidRPr="00C82E9B">
                    <w:rPr>
                      <w:sz w:val="24"/>
                      <w:szCs w:val="24"/>
                    </w:rPr>
                    <w:t>Збільшення за наслідками операцій емітента кількості прав на голосуючі акції на рахунку у цінних паперах власника цінних паперів – власника пакета голосуючих акцій, внаслідок чого пакет голосуючих акцій збільшується від 5 % до 100 % (включно) статутного капіталу емітента</w:t>
                  </w:r>
                  <w:r>
                    <w:rPr>
                      <w:sz w:val="24"/>
                      <w:szCs w:val="24"/>
                    </w:rPr>
                    <w:t xml:space="preserve">  </w:t>
                  </w:r>
                </w:p>
              </w:tc>
            </w:tr>
            <w:tr w:rsidR="003975F5" w:rsidRPr="00EF4609" w:rsidTr="003975F5">
              <w:trPr>
                <w:trHeight w:val="2772"/>
              </w:trPr>
              <w:tc>
                <w:tcPr>
                  <w:tcW w:w="940" w:type="dxa"/>
                  <w:tcBorders>
                    <w:top w:val="single" w:sz="8" w:space="0" w:color="000000"/>
                    <w:left w:val="single" w:sz="8" w:space="0" w:color="000000"/>
                    <w:bottom w:val="single" w:sz="8" w:space="0" w:color="000000"/>
                    <w:right w:val="single" w:sz="8" w:space="0" w:color="000000"/>
                  </w:tcBorders>
                  <w:shd w:val="clear" w:color="auto" w:fill="auto"/>
                  <w:hideMark/>
                </w:tcPr>
                <w:p w:rsidR="003975F5" w:rsidRPr="00EF4609" w:rsidRDefault="003975F5" w:rsidP="00901DB6">
                  <w:pPr>
                    <w:spacing w:after="120"/>
                    <w:rPr>
                      <w:sz w:val="24"/>
                      <w:szCs w:val="24"/>
                    </w:rPr>
                  </w:pPr>
                  <w:r>
                    <w:rPr>
                      <w:sz w:val="24"/>
                      <w:szCs w:val="24"/>
                    </w:rPr>
                    <w:t>62</w:t>
                  </w:r>
                  <w:r w:rsidR="00C674C4">
                    <w:rPr>
                      <w:sz w:val="24"/>
                      <w:szCs w:val="24"/>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auto"/>
                  <w:hideMark/>
                </w:tcPr>
                <w:p w:rsidR="003975F5" w:rsidRPr="00EF4609" w:rsidRDefault="003975F5" w:rsidP="003975F5">
                  <w:pPr>
                    <w:jc w:val="both"/>
                    <w:rPr>
                      <w:sz w:val="24"/>
                      <w:szCs w:val="24"/>
                    </w:rPr>
                  </w:pPr>
                  <w:r w:rsidRPr="00C82E9B">
                    <w:rPr>
                      <w:sz w:val="24"/>
                      <w:szCs w:val="24"/>
                    </w:rPr>
                    <w:t>Зменшення за наслідками операцій емітента кількості прав на голосуючі акції на рахунку в цінних паперах власника цінних паперів – власника пакета голосуючих акцій, внаслідок чого пакет голосуючих акцій зменшується від 100 % до 5 % (включно) статутного капіталу емітента</w:t>
                  </w:r>
                  <w:r>
                    <w:rPr>
                      <w:sz w:val="24"/>
                      <w:szCs w:val="24"/>
                    </w:rPr>
                    <w:t xml:space="preserve"> </w:t>
                  </w:r>
                </w:p>
              </w:tc>
            </w:tr>
          </w:tbl>
          <w:p w:rsidR="002C2F85" w:rsidRPr="00B8797D" w:rsidRDefault="002C2F85" w:rsidP="00CB196B">
            <w:pPr>
              <w:rPr>
                <w:b/>
                <w:sz w:val="20"/>
                <w:szCs w:val="20"/>
              </w:rPr>
            </w:pPr>
          </w:p>
        </w:tc>
      </w:tr>
      <w:tr w:rsidR="006062D2" w:rsidRPr="00B8797D" w:rsidTr="00291D9B">
        <w:tc>
          <w:tcPr>
            <w:tcW w:w="468" w:type="dxa"/>
          </w:tcPr>
          <w:p w:rsidR="006062D2" w:rsidRPr="00CF2BAD" w:rsidRDefault="006062D2" w:rsidP="00B8797D">
            <w:pPr>
              <w:jc w:val="center"/>
              <w:rPr>
                <w:sz w:val="24"/>
                <w:szCs w:val="24"/>
              </w:rPr>
            </w:pPr>
            <w:r w:rsidRPr="00CF2BAD">
              <w:rPr>
                <w:sz w:val="24"/>
                <w:szCs w:val="24"/>
              </w:rPr>
              <w:lastRenderedPageBreak/>
              <w:t>3</w:t>
            </w:r>
          </w:p>
        </w:tc>
        <w:tc>
          <w:tcPr>
            <w:tcW w:w="4885" w:type="dxa"/>
          </w:tcPr>
          <w:p w:rsidR="00A96A80" w:rsidRDefault="00DE59C8" w:rsidP="00CF2BAD">
            <w:pPr>
              <w:rPr>
                <w:b/>
                <w:sz w:val="24"/>
                <w:szCs w:val="24"/>
              </w:rPr>
            </w:pPr>
            <w:r>
              <w:rPr>
                <w:b/>
                <w:sz w:val="24"/>
                <w:szCs w:val="24"/>
              </w:rPr>
              <w:t>. . .</w:t>
            </w:r>
          </w:p>
          <w:p w:rsidR="00DE59C8" w:rsidRPr="00CB5C2D" w:rsidRDefault="00DE59C8" w:rsidP="002E0AD2">
            <w:pPr>
              <w:jc w:val="both"/>
              <w:rPr>
                <w:sz w:val="24"/>
                <w:szCs w:val="24"/>
              </w:rPr>
            </w:pPr>
            <w:r w:rsidRPr="00CB5C2D">
              <w:rPr>
                <w:color w:val="000000"/>
                <w:sz w:val="24"/>
                <w:szCs w:val="24"/>
                <w:shd w:val="clear" w:color="auto" w:fill="FFFFFF"/>
              </w:rPr>
              <w:t>34. Довідник «Перелік депозитарних операцій та послуг депозитарних установ»</w:t>
            </w:r>
          </w:p>
          <w:p w:rsidR="00DE59C8" w:rsidRDefault="00DE59C8" w:rsidP="00CF2BAD">
            <w:pPr>
              <w:rPr>
                <w:b/>
                <w:sz w:val="24"/>
                <w:szCs w:val="24"/>
              </w:rPr>
            </w:pPr>
          </w:p>
          <w:p w:rsidR="00F905DC" w:rsidRDefault="00F905DC" w:rsidP="00CF2BAD">
            <w:pPr>
              <w:rPr>
                <w:b/>
                <w:sz w:val="24"/>
                <w:szCs w:val="24"/>
              </w:rPr>
            </w:pPr>
          </w:p>
          <w:p w:rsidR="000C7496" w:rsidRDefault="000C7496" w:rsidP="00CF2BAD">
            <w:pPr>
              <w:rPr>
                <w:b/>
                <w:sz w:val="24"/>
                <w:szCs w:val="24"/>
              </w:rPr>
            </w:pPr>
          </w:p>
          <w:p w:rsidR="00EE2FAD" w:rsidRDefault="00EE2FAD" w:rsidP="00CF2BAD">
            <w:pPr>
              <w:rPr>
                <w:b/>
                <w:sz w:val="24"/>
                <w:szCs w:val="24"/>
              </w:rPr>
            </w:pPr>
          </w:p>
          <w:tbl>
            <w:tblPr>
              <w:tblW w:w="4827" w:type="pct"/>
              <w:tblBorders>
                <w:top w:val="outset" w:sz="2" w:space="0" w:color="auto"/>
                <w:left w:val="outset" w:sz="2" w:space="0" w:color="auto"/>
                <w:bottom w:val="outset" w:sz="2" w:space="0" w:color="auto"/>
                <w:right w:val="outset" w:sz="2"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915"/>
              <w:gridCol w:w="3573"/>
            </w:tblGrid>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pPr>
                    <w:spacing w:before="187" w:after="187"/>
                    <w:jc w:val="center"/>
                    <w:rPr>
                      <w:color w:val="000000"/>
                      <w:sz w:val="24"/>
                      <w:szCs w:val="24"/>
                    </w:rPr>
                  </w:pPr>
                  <w:r>
                    <w:rPr>
                      <w:color w:val="000000"/>
                      <w:sz w:val="24"/>
                      <w:szCs w:val="24"/>
                    </w:rPr>
                    <w:t>Код показника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pPr>
                    <w:spacing w:before="187" w:after="187"/>
                    <w:jc w:val="center"/>
                    <w:rPr>
                      <w:color w:val="000000"/>
                      <w:sz w:val="24"/>
                      <w:szCs w:val="24"/>
                    </w:rPr>
                  </w:pPr>
                  <w:r>
                    <w:rPr>
                      <w:color w:val="000000"/>
                      <w:sz w:val="24"/>
                      <w:szCs w:val="24"/>
                    </w:rPr>
                    <w:t>Зміст показника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 xml:space="preserve">Відкриття рахунку в цінних паперах на підставі договору про </w:t>
                  </w:r>
                  <w:r>
                    <w:rPr>
                      <w:color w:val="000000"/>
                      <w:sz w:val="24"/>
                      <w:szCs w:val="24"/>
                    </w:rPr>
                    <w:lastRenderedPageBreak/>
                    <w:t>обслуговування рахунку в цінних паперах, укладеного з депонентом</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lastRenderedPageBreak/>
                    <w:t>02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 xml:space="preserve">Відкриття рахунку в цінних паперах на підставі договору про відкриття/обслуговування рахунків власникам з емітентом щодо </w:t>
                  </w:r>
                  <w:proofErr w:type="spellStart"/>
                  <w:r>
                    <w:rPr>
                      <w:color w:val="000000"/>
                      <w:sz w:val="24"/>
                      <w:szCs w:val="24"/>
                    </w:rPr>
                    <w:t>дематеріалізованих</w:t>
                  </w:r>
                  <w:proofErr w:type="spellEnd"/>
                  <w:r>
                    <w:rPr>
                      <w:color w:val="000000"/>
                      <w:sz w:val="24"/>
                      <w:szCs w:val="24"/>
                    </w:rPr>
                    <w:t xml:space="preserve"> іменних цінних паперів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Закриття рахунку в цінних паперах</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04</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Внесення змін до анкети рахунку в цінних паперах</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Видача виписки про стан рахунку в цінних паперах</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06</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Видача виписки про операції з цінними паперами депонента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07</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 xml:space="preserve">Зарахування прав на цінні папери при </w:t>
                  </w:r>
                  <w:proofErr w:type="spellStart"/>
                  <w:r>
                    <w:rPr>
                      <w:color w:val="000000"/>
                      <w:sz w:val="24"/>
                      <w:szCs w:val="24"/>
                    </w:rPr>
                    <w:t>знерухомленні</w:t>
                  </w:r>
                  <w:proofErr w:type="spellEnd"/>
                  <w:r>
                    <w:rPr>
                      <w:color w:val="000000"/>
                      <w:sz w:val="24"/>
                      <w:szCs w:val="24"/>
                    </w:rPr>
                    <w:t xml:space="preserve"> цінних паперів на пред’явника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09</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Зарахування прав на цінні папери внаслідок розміщення цінних паперів та проведення інших корпоративних операцій емітента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10</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Списання прав на цінні папери внаслідок проведення корпоративних операцій емітента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 xml:space="preserve">Внесення змін до системи депозитарного обліку за </w:t>
                  </w:r>
                  <w:r>
                    <w:rPr>
                      <w:color w:val="000000"/>
                      <w:sz w:val="24"/>
                      <w:szCs w:val="24"/>
                    </w:rPr>
                    <w:lastRenderedPageBreak/>
                    <w:t>наслідками виконання рішення суду, рішення Національної комісії з цінних паперів та фондового ринку, постанови або розпорядження її уповноваженої особи</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lastRenderedPageBreak/>
                    <w:t>12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Списання прав на цінні папери внаслідок скасування реєстрації випуску цінних паперів, виконання рішення суду</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Зарахування прав на цінні папери за операціями, пов’язаними з обігом цінних паперів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Списання прав на цінні папери за операціями, пов’язаними з обігом цінних паперів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17</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Переказ прав на цінні папери, що призводить до зменшення кількості прав на цінні папери на рахунку в цінних паперах депонента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18</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Переказ прав на цінні папери, що призводить до збільшення кількості прав на цінні папери на рахунку в цінних паперах депонента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19</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Переказ прав на цінні папери в межах рахунку в цінних паперах, пов'язаний із встановленням обмежень щодо обігу цінних паперів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lastRenderedPageBreak/>
                    <w:t>20</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Переказ прав на цінні папери в межах рахунку в цінних паперах, пов'язаний із зняттям обмежень щодо обігу цінних паперів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28</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Конвертація цінних паперів внаслідок проведення корпоративних операцій емітента</w:t>
                  </w:r>
                </w:p>
              </w:tc>
            </w:tr>
            <w:tr w:rsidR="00DE59C8" w:rsidTr="00DE59C8">
              <w:trPr>
                <w:trHeight w:val="570"/>
              </w:trPr>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29</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Списання прав на цінні папери з рахунку в цінних паперах, відкритого емітентом власнику, внаслідок переведення їх до іншої обраної власником депозитарної установи</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30</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Зарахування прав на цінні папери на рахунок в цінних паперах власника внаслідок переведення їх з рахунку в цінних паперах, відкритого емітентом власнику в іншій депозитарній установі</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31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Облік прав на цінні папери на рахунку в цінних паперах депонента</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32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Складання облікового реєстру власників цінних паперів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33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Надання послуг щодо обслуговування операцій з активами інституційних інвесторів (інститутів спільного інвестування та недержавних пенсійних фондів)</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lastRenderedPageBreak/>
                    <w:t>34</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Надання реєстру власників іменних цінних паперів відповідно до Законів України </w:t>
                  </w:r>
                  <w:hyperlink r:id="rId6" w:tgtFrame="_blank" w:history="1">
                    <w:r>
                      <w:rPr>
                        <w:rStyle w:val="a5"/>
                        <w:color w:val="000099"/>
                        <w:sz w:val="24"/>
                        <w:szCs w:val="24"/>
                      </w:rPr>
                      <w:t>«Про депозитарну систему України»</w:t>
                    </w:r>
                  </w:hyperlink>
                  <w:r>
                    <w:rPr>
                      <w:color w:val="000000"/>
                      <w:sz w:val="24"/>
                      <w:szCs w:val="24"/>
                    </w:rPr>
                    <w:t>, </w:t>
                  </w:r>
                  <w:hyperlink r:id="rId7" w:tgtFrame="_blank" w:history="1">
                    <w:r>
                      <w:rPr>
                        <w:rStyle w:val="a5"/>
                        <w:color w:val="000099"/>
                        <w:sz w:val="24"/>
                        <w:szCs w:val="24"/>
                      </w:rPr>
                      <w:t>«Про акціонерні товариства»</w:t>
                    </w:r>
                  </w:hyperlink>
                  <w:r>
                    <w:rPr>
                      <w:color w:val="000000"/>
                      <w:sz w:val="24"/>
                      <w:szCs w:val="24"/>
                    </w:rPr>
                    <w:t> на підставі відповідного договору з емітентом</w:t>
                  </w:r>
                </w:p>
              </w:tc>
            </w:tr>
            <w:tr w:rsidR="00DE59C8" w:rsidTr="00DE59C8">
              <w:tc>
                <w:tcPr>
                  <w:tcW w:w="940"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35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rsidR="00DE59C8" w:rsidRDefault="00DE59C8" w:rsidP="00150681">
                  <w:pPr>
                    <w:jc w:val="both"/>
                    <w:rPr>
                      <w:color w:val="000000"/>
                      <w:sz w:val="24"/>
                      <w:szCs w:val="24"/>
                    </w:rPr>
                  </w:pPr>
                  <w:r>
                    <w:rPr>
                      <w:color w:val="000000"/>
                      <w:sz w:val="24"/>
                      <w:szCs w:val="24"/>
                    </w:rPr>
                    <w:t>Надання додаткових послуг, визначених законом, на підставі договору з емітентом</w:t>
                  </w:r>
                </w:p>
              </w:tc>
            </w:tr>
          </w:tbl>
          <w:p w:rsidR="00C20250" w:rsidRDefault="00C20250" w:rsidP="00CF2BAD">
            <w:pPr>
              <w:rPr>
                <w:b/>
                <w:sz w:val="24"/>
                <w:szCs w:val="24"/>
              </w:rPr>
            </w:pPr>
          </w:p>
          <w:p w:rsidR="00C20250" w:rsidRPr="00B8797D" w:rsidRDefault="00C20250" w:rsidP="00CB196B">
            <w:pPr>
              <w:rPr>
                <w:b/>
                <w:sz w:val="24"/>
                <w:szCs w:val="24"/>
              </w:rPr>
            </w:pPr>
          </w:p>
        </w:tc>
        <w:tc>
          <w:tcPr>
            <w:tcW w:w="5245" w:type="dxa"/>
          </w:tcPr>
          <w:p w:rsidR="00D74109" w:rsidRDefault="00D74109" w:rsidP="00CB196B">
            <w:pPr>
              <w:tabs>
                <w:tab w:val="left" w:pos="1090"/>
              </w:tabs>
              <w:ind w:right="172"/>
              <w:rPr>
                <w:b/>
                <w:sz w:val="24"/>
                <w:szCs w:val="24"/>
              </w:rPr>
            </w:pPr>
          </w:p>
          <w:p w:rsidR="00F905DC" w:rsidRDefault="00F905DC" w:rsidP="00F905DC">
            <w:pPr>
              <w:tabs>
                <w:tab w:val="left" w:pos="1090"/>
              </w:tabs>
              <w:ind w:right="172"/>
              <w:jc w:val="both"/>
              <w:rPr>
                <w:b/>
                <w:sz w:val="24"/>
                <w:szCs w:val="24"/>
              </w:rPr>
            </w:pPr>
            <w:r w:rsidRPr="0088637A">
              <w:rPr>
                <w:b/>
                <w:sz w:val="24"/>
                <w:szCs w:val="24"/>
              </w:rPr>
              <w:t xml:space="preserve">Пропозиції </w:t>
            </w:r>
            <w:r>
              <w:rPr>
                <w:b/>
                <w:sz w:val="24"/>
                <w:szCs w:val="24"/>
              </w:rPr>
              <w:t>департаменту МРПУ РЦП:</w:t>
            </w:r>
          </w:p>
          <w:p w:rsidR="00F905DC" w:rsidRDefault="00F905DC" w:rsidP="000C7496">
            <w:pPr>
              <w:shd w:val="clear" w:color="auto" w:fill="FFFFFF"/>
              <w:jc w:val="both"/>
              <w:textAlignment w:val="baseline"/>
              <w:rPr>
                <w:color w:val="000000"/>
                <w:sz w:val="24"/>
                <w:szCs w:val="24"/>
              </w:rPr>
            </w:pPr>
          </w:p>
          <w:p w:rsidR="000C7496" w:rsidRPr="008E04AE" w:rsidRDefault="000C7496" w:rsidP="000C7496">
            <w:pPr>
              <w:shd w:val="clear" w:color="auto" w:fill="FFFFFF"/>
              <w:jc w:val="both"/>
              <w:textAlignment w:val="baseline"/>
              <w:rPr>
                <w:color w:val="000000"/>
                <w:sz w:val="24"/>
                <w:szCs w:val="24"/>
              </w:rPr>
            </w:pPr>
            <w:r w:rsidRPr="008E04AE">
              <w:rPr>
                <w:color w:val="000000"/>
                <w:sz w:val="24"/>
                <w:szCs w:val="24"/>
              </w:rPr>
              <w:t>34. Довідник «Перелік депозитарних операцій та послуг депозитарних установ»</w:t>
            </w:r>
            <w:r>
              <w:rPr>
                <w:color w:val="000000"/>
                <w:sz w:val="24"/>
                <w:szCs w:val="24"/>
              </w:rPr>
              <w:t>.</w:t>
            </w:r>
          </w:p>
          <w:p w:rsidR="000C7496" w:rsidRPr="008E04AE" w:rsidRDefault="000C7496" w:rsidP="000C7496">
            <w:pPr>
              <w:shd w:val="clear" w:color="auto" w:fill="FFFFFF"/>
              <w:jc w:val="both"/>
              <w:textAlignment w:val="baseline"/>
              <w:rPr>
                <w:color w:val="000000"/>
                <w:sz w:val="24"/>
                <w:szCs w:val="24"/>
              </w:rPr>
            </w:pPr>
            <w:r w:rsidRPr="008E04AE">
              <w:rPr>
                <w:color w:val="000000"/>
                <w:sz w:val="24"/>
                <w:szCs w:val="24"/>
              </w:rPr>
              <w:t>Викласти довідник в наступній редакції:</w:t>
            </w:r>
          </w:p>
          <w:p w:rsidR="00F905DC" w:rsidRPr="008E04AE" w:rsidRDefault="00F905DC" w:rsidP="000C7496">
            <w:pPr>
              <w:shd w:val="clear" w:color="auto" w:fill="FFFFFF"/>
              <w:ind w:firstLine="450"/>
              <w:jc w:val="both"/>
              <w:textAlignment w:val="baseline"/>
              <w:rPr>
                <w:color w:val="000000"/>
                <w:sz w:val="24"/>
                <w:szCs w:val="24"/>
              </w:rPr>
            </w:pPr>
          </w:p>
          <w:tbl>
            <w:tblPr>
              <w:tblW w:w="4974"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876"/>
              <w:gridCol w:w="4111"/>
            </w:tblGrid>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Default="000C7496" w:rsidP="003835AC">
                  <w:pPr>
                    <w:jc w:val="center"/>
                    <w:textAlignment w:val="baseline"/>
                    <w:rPr>
                      <w:sz w:val="24"/>
                      <w:szCs w:val="24"/>
                    </w:rPr>
                  </w:pPr>
                  <w:bookmarkStart w:id="4" w:name="n152"/>
                  <w:bookmarkEnd w:id="4"/>
                  <w:r w:rsidRPr="008E04AE">
                    <w:rPr>
                      <w:sz w:val="24"/>
                      <w:szCs w:val="24"/>
                    </w:rPr>
                    <w:t>Код показника</w:t>
                  </w:r>
                </w:p>
                <w:p w:rsidR="000C7496" w:rsidRDefault="000C7496" w:rsidP="003835AC">
                  <w:pPr>
                    <w:jc w:val="center"/>
                    <w:textAlignment w:val="baseline"/>
                    <w:rPr>
                      <w:sz w:val="24"/>
                      <w:szCs w:val="24"/>
                    </w:rPr>
                  </w:pPr>
                </w:p>
                <w:p w:rsidR="00C84A78" w:rsidRPr="008E04AE" w:rsidRDefault="00C84A78" w:rsidP="003835AC">
                  <w:pPr>
                    <w:jc w:val="center"/>
                    <w:textAlignment w:val="baseline"/>
                    <w:rPr>
                      <w:sz w:val="24"/>
                      <w:szCs w:val="24"/>
                    </w:rPr>
                  </w:pP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Зміст показника</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01</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lang w:val="ru-RU"/>
                    </w:rPr>
                  </w:pPr>
                  <w:r w:rsidRPr="008E04AE">
                    <w:rPr>
                      <w:sz w:val="24"/>
                      <w:szCs w:val="24"/>
                    </w:rPr>
                    <w:t xml:space="preserve">Відкриття рахунку в цінних паперах на підставі: договору про обслуговування </w:t>
                  </w:r>
                  <w:r w:rsidRPr="008E04AE">
                    <w:rPr>
                      <w:sz w:val="24"/>
                      <w:szCs w:val="24"/>
                    </w:rPr>
                    <w:lastRenderedPageBreak/>
                    <w:t>рахунку в цінних паперах, укладеного з депонентом</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lastRenderedPageBreak/>
                    <w:t>02</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Відкриття рахунку в цінних паперах на підставі договору про відкриття/обслуговування рахунків власникам з емітентом щодо </w:t>
                  </w:r>
                  <w:proofErr w:type="spellStart"/>
                  <w:r w:rsidRPr="008E04AE">
                    <w:rPr>
                      <w:sz w:val="24"/>
                      <w:szCs w:val="24"/>
                    </w:rPr>
                    <w:t>дематеріалізованих</w:t>
                  </w:r>
                  <w:proofErr w:type="spellEnd"/>
                  <w:r w:rsidRPr="008E04AE">
                    <w:rPr>
                      <w:sz w:val="24"/>
                      <w:szCs w:val="24"/>
                    </w:rPr>
                    <w:t xml:space="preserve"> іменних цінних паперів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03</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Закриття рахунку в цінних паперах</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04</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Внесення змін до анкети рахунку в цінних паперах</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05</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Видача виписки про стан рахунку в цінних паперах</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06</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Видача виписки про операції з цінними паперами </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07</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Зарахування прав на цінні папери на рахунок у цінних паперах при </w:t>
                  </w:r>
                  <w:proofErr w:type="spellStart"/>
                  <w:r w:rsidRPr="008E04AE">
                    <w:rPr>
                      <w:sz w:val="24"/>
                      <w:szCs w:val="24"/>
                    </w:rPr>
                    <w:t>знерухомленні</w:t>
                  </w:r>
                  <w:proofErr w:type="spellEnd"/>
                  <w:r w:rsidRPr="008E04AE">
                    <w:rPr>
                      <w:sz w:val="24"/>
                      <w:szCs w:val="24"/>
                    </w:rPr>
                    <w:t xml:space="preserve"> цінних паперів на пред’явника</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09</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Зарахування прав на цінні папери на рахунок у цінних паперах внаслідок розміщення цінних паперів та проведення інших корпоративних операцій емітента</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10</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Списання прав на цінні папери з рахунку у цінних паперах внаслідок проведення корпоративних операцій емітента</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11</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Default="000C7496" w:rsidP="00670A15">
                  <w:pPr>
                    <w:jc w:val="both"/>
                    <w:textAlignment w:val="baseline"/>
                    <w:rPr>
                      <w:sz w:val="24"/>
                      <w:szCs w:val="24"/>
                    </w:rPr>
                  </w:pPr>
                  <w:r w:rsidRPr="008E04AE">
                    <w:rPr>
                      <w:sz w:val="24"/>
                      <w:szCs w:val="24"/>
                    </w:rPr>
                    <w:t>Внесення змін до системи депозитарного обліку за наслідками виконання судового рішення, рішення Національної комісії з цінних паперів та фондового ринку, постанови або розпорядження її уповноваженої особи</w:t>
                  </w:r>
                </w:p>
                <w:p w:rsidR="003975F5" w:rsidRPr="008E04AE" w:rsidRDefault="003975F5" w:rsidP="00670A15">
                  <w:pPr>
                    <w:jc w:val="both"/>
                    <w:textAlignment w:val="baseline"/>
                    <w:rPr>
                      <w:sz w:val="24"/>
                      <w:szCs w:val="24"/>
                    </w:rPr>
                  </w:pP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12</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Списання прав на цінні папери з </w:t>
                  </w:r>
                  <w:r w:rsidRPr="008E04AE">
                    <w:rPr>
                      <w:sz w:val="24"/>
                      <w:szCs w:val="24"/>
                    </w:rPr>
                    <w:lastRenderedPageBreak/>
                    <w:t>рахунку у цінних паперах внаслідок скасування реєстрації випуску цінних паперів, виконання судового рішення</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lastRenderedPageBreak/>
                    <w:t>13</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Зарахування прав на цінні папери на рахунок у цінних паперах за операціями, пов’язаними з обігом цінних паперів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15</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Списання прав на цінні папери з рахунку у цінних паперах за операціями, пов’язаними з обігом цінних паперів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17</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Переказ прав на цінні папери, що призводить до зменшення кількості прав на цінні папери на рахунку в цінних паперах </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18</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Переказ прав на цінні папери, що призводить до збільшення кількості прав на цінні папери на рахунку в цінних паперах </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19</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Переказ прав на цінні папери в межах рахунку в цінних паперах, пов'язаний із встановленням обмежень щодо обігу цінних паперів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20</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Переказ прав на цінні папери в межах рахунку в цінних паперах, пов'язаний із зняттям обмежень щодо обігу цінних паперів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28</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Конвертація цінних паперів внаслідок проведення корпоративних операцій емітента</w:t>
                  </w:r>
                </w:p>
              </w:tc>
            </w:tr>
            <w:tr w:rsidR="000C7496" w:rsidRPr="008E04AE" w:rsidTr="000C7496">
              <w:trPr>
                <w:trHeight w:val="570"/>
              </w:trPr>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29</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Списання прав на цінні папери з рахунку в цінних паперах, відкритого емітентом власнику, внаслідок переведення їх до іншої обраної власником депозитарної установи</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30</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Зарахування прав на цінні папери на </w:t>
                  </w:r>
                  <w:r w:rsidRPr="008E04AE">
                    <w:rPr>
                      <w:sz w:val="24"/>
                      <w:szCs w:val="24"/>
                    </w:rPr>
                    <w:lastRenderedPageBreak/>
                    <w:t>рахунок в цінних паперах власника внаслідок переведення їх з рахунку в цінних паперах, відкритого емітентом власнику в іншій депозитарній установі</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lastRenderedPageBreak/>
                    <w:t>31</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Облік прав на цінні папери на рахунку в цінних паперах </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32</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Складання облікового реєстру власників цінних паперів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33</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Надання послуг щодо обслуговування операцій з активами інституційних інвесторів (інститутів спільного інвестування та недержавних пенсійних фондів)</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34</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 xml:space="preserve">Надання реєстру власників іменних цінних паперів відповідно до Законів </w:t>
                  </w:r>
                  <w:r w:rsidRPr="00670A15">
                    <w:rPr>
                      <w:sz w:val="24"/>
                      <w:szCs w:val="24"/>
                    </w:rPr>
                    <w:t>України </w:t>
                  </w:r>
                  <w:hyperlink r:id="rId8" w:tgtFrame="_blank" w:history="1">
                    <w:r w:rsidRPr="00670A15">
                      <w:rPr>
                        <w:sz w:val="24"/>
                        <w:szCs w:val="24"/>
                        <w:u w:val="single"/>
                        <w:bdr w:val="none" w:sz="0" w:space="0" w:color="auto" w:frame="1"/>
                      </w:rPr>
                      <w:t>«Про депозитарну систему України»</w:t>
                    </w:r>
                  </w:hyperlink>
                  <w:r w:rsidRPr="00670A15">
                    <w:rPr>
                      <w:sz w:val="24"/>
                      <w:szCs w:val="24"/>
                    </w:rPr>
                    <w:t>, </w:t>
                  </w:r>
                  <w:hyperlink r:id="rId9" w:tgtFrame="_blank" w:history="1">
                    <w:r w:rsidRPr="00670A15">
                      <w:rPr>
                        <w:sz w:val="24"/>
                        <w:szCs w:val="24"/>
                        <w:u w:val="single"/>
                        <w:bdr w:val="none" w:sz="0" w:space="0" w:color="auto" w:frame="1"/>
                      </w:rPr>
                      <w:t>«Про акціонерні товариства»</w:t>
                    </w:r>
                  </w:hyperlink>
                  <w:r w:rsidRPr="008E04AE">
                    <w:rPr>
                      <w:sz w:val="24"/>
                      <w:szCs w:val="24"/>
                    </w:rPr>
                    <w:t> на підставі відповідного договору з емітентом</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3835AC">
                  <w:pPr>
                    <w:jc w:val="center"/>
                    <w:textAlignment w:val="baseline"/>
                    <w:rPr>
                      <w:sz w:val="24"/>
                      <w:szCs w:val="24"/>
                    </w:rPr>
                  </w:pPr>
                  <w:r w:rsidRPr="008E04AE">
                    <w:rPr>
                      <w:sz w:val="24"/>
                      <w:szCs w:val="24"/>
                    </w:rPr>
                    <w:t>35</w:t>
                  </w:r>
                </w:p>
              </w:tc>
              <w:tc>
                <w:tcPr>
                  <w:tcW w:w="4111" w:type="dxa"/>
                  <w:tcBorders>
                    <w:top w:val="single" w:sz="6" w:space="0" w:color="000000"/>
                    <w:left w:val="single" w:sz="6" w:space="0" w:color="000000"/>
                    <w:bottom w:val="single" w:sz="6" w:space="0" w:color="000000"/>
                    <w:right w:val="single" w:sz="6" w:space="0" w:color="000000"/>
                  </w:tcBorders>
                  <w:hideMark/>
                </w:tcPr>
                <w:p w:rsidR="000C7496" w:rsidRPr="008E04AE" w:rsidRDefault="000C7496" w:rsidP="00670A15">
                  <w:pPr>
                    <w:jc w:val="both"/>
                    <w:textAlignment w:val="baseline"/>
                    <w:rPr>
                      <w:sz w:val="24"/>
                      <w:szCs w:val="24"/>
                    </w:rPr>
                  </w:pPr>
                  <w:r w:rsidRPr="008E04AE">
                    <w:rPr>
                      <w:sz w:val="24"/>
                      <w:szCs w:val="24"/>
                    </w:rPr>
                    <w:t>Надання додаткових послуг, визначених законом, на підставі договору з емітентом</w:t>
                  </w:r>
                </w:p>
              </w:tc>
            </w:tr>
            <w:tr w:rsidR="000C7496" w:rsidRPr="008E04AE" w:rsidTr="000C7496">
              <w:tc>
                <w:tcPr>
                  <w:tcW w:w="876" w:type="dxa"/>
                  <w:tcBorders>
                    <w:top w:val="single" w:sz="6" w:space="0" w:color="000000"/>
                    <w:left w:val="single" w:sz="6" w:space="0" w:color="000000"/>
                    <w:bottom w:val="single" w:sz="6" w:space="0" w:color="000000"/>
                    <w:right w:val="single" w:sz="6" w:space="0" w:color="000000"/>
                  </w:tcBorders>
                </w:tcPr>
                <w:p w:rsidR="000C7496" w:rsidRPr="008E04AE" w:rsidRDefault="000C7496" w:rsidP="003835AC">
                  <w:pPr>
                    <w:jc w:val="center"/>
                    <w:textAlignment w:val="baseline"/>
                    <w:rPr>
                      <w:sz w:val="24"/>
                      <w:szCs w:val="24"/>
                    </w:rPr>
                  </w:pPr>
                  <w:r w:rsidRPr="008E04AE">
                    <w:rPr>
                      <w:sz w:val="24"/>
                      <w:szCs w:val="24"/>
                    </w:rPr>
                    <w:t>40</w:t>
                  </w:r>
                </w:p>
              </w:tc>
              <w:tc>
                <w:tcPr>
                  <w:tcW w:w="4111" w:type="dxa"/>
                  <w:tcBorders>
                    <w:top w:val="single" w:sz="6" w:space="0" w:color="000000"/>
                    <w:left w:val="single" w:sz="6" w:space="0" w:color="000000"/>
                    <w:bottom w:val="single" w:sz="6" w:space="0" w:color="000000"/>
                    <w:right w:val="single" w:sz="6" w:space="0" w:color="000000"/>
                  </w:tcBorders>
                </w:tcPr>
                <w:p w:rsidR="000C7496" w:rsidRPr="008E04AE" w:rsidRDefault="000C7496" w:rsidP="00670A15">
                  <w:pPr>
                    <w:jc w:val="both"/>
                    <w:textAlignment w:val="baseline"/>
                    <w:rPr>
                      <w:sz w:val="24"/>
                      <w:szCs w:val="24"/>
                    </w:rPr>
                  </w:pPr>
                  <w:r w:rsidRPr="008E04AE">
                    <w:rPr>
                      <w:sz w:val="24"/>
                      <w:szCs w:val="24"/>
                    </w:rPr>
                    <w:t>Відкриття рахунку в цінних паперах на підставі договору про надання послуг з обслуговування рахунка в цінних паперах номінального утримувача</w:t>
                  </w:r>
                </w:p>
              </w:tc>
            </w:tr>
          </w:tbl>
          <w:p w:rsidR="000C7496" w:rsidRDefault="000C7496" w:rsidP="00CB196B">
            <w:pPr>
              <w:tabs>
                <w:tab w:val="left" w:pos="1090"/>
              </w:tabs>
              <w:ind w:right="172"/>
              <w:rPr>
                <w:b/>
                <w:sz w:val="24"/>
                <w:szCs w:val="24"/>
              </w:rPr>
            </w:pPr>
          </w:p>
          <w:p w:rsidR="00490095" w:rsidRDefault="00490095" w:rsidP="00490095">
            <w:pPr>
              <w:tabs>
                <w:tab w:val="left" w:pos="1090"/>
              </w:tabs>
              <w:ind w:right="172"/>
              <w:jc w:val="both"/>
              <w:rPr>
                <w:sz w:val="24"/>
                <w:szCs w:val="24"/>
              </w:rPr>
            </w:pPr>
            <w:r>
              <w:rPr>
                <w:b/>
                <w:sz w:val="24"/>
                <w:szCs w:val="24"/>
              </w:rPr>
              <w:t>Коментар департаменту ІТ:</w:t>
            </w:r>
          </w:p>
          <w:p w:rsidR="002B65D5" w:rsidRDefault="002B65D5" w:rsidP="005B2731">
            <w:pPr>
              <w:pStyle w:val="normal"/>
              <w:keepNext w:val="0"/>
              <w:tabs>
                <w:tab w:val="left" w:pos="1125"/>
              </w:tabs>
              <w:spacing w:line="240" w:lineRule="auto"/>
              <w:ind w:left="34"/>
              <w:jc w:val="both"/>
              <w:rPr>
                <w:rFonts w:ascii="Times New Roman" w:hAnsi="Times New Roman" w:cs="Times New Roman"/>
                <w:sz w:val="24"/>
                <w:szCs w:val="24"/>
              </w:rPr>
            </w:pPr>
          </w:p>
          <w:p w:rsidR="00670A15" w:rsidRPr="00670A15" w:rsidRDefault="00670A15" w:rsidP="00670A15">
            <w:pPr>
              <w:pStyle w:val="normal"/>
              <w:keepNext w:val="0"/>
              <w:tabs>
                <w:tab w:val="left" w:pos="1125"/>
              </w:tabs>
              <w:spacing w:line="240" w:lineRule="auto"/>
              <w:ind w:left="34"/>
              <w:jc w:val="both"/>
              <w:rPr>
                <w:rFonts w:ascii="Times New Roman" w:hAnsi="Times New Roman" w:cs="Times New Roman"/>
                <w:sz w:val="24"/>
                <w:szCs w:val="24"/>
              </w:rPr>
            </w:pPr>
            <w:r w:rsidRPr="00670A15">
              <w:rPr>
                <w:rFonts w:ascii="Times New Roman" w:hAnsi="Times New Roman" w:cs="Times New Roman"/>
                <w:sz w:val="24"/>
                <w:szCs w:val="24"/>
              </w:rPr>
              <w:t xml:space="preserve">Приведення довідника 34 «Перелік депозитарних операцій та послуг депозитарних установ» у відповідність до змін внесених підпунктом 6 пункту 4 Закону України від 15 травня 2018 року № 2418-VIII «Про внесення змін до деяких законодавчих актів України щодо сприяння залученню іноземних </w:t>
            </w:r>
            <w:r w:rsidRPr="00670A15">
              <w:rPr>
                <w:rFonts w:ascii="Times New Roman" w:hAnsi="Times New Roman" w:cs="Times New Roman"/>
                <w:sz w:val="24"/>
                <w:szCs w:val="24"/>
              </w:rPr>
              <w:lastRenderedPageBreak/>
              <w:t>інвестицій» до статті 7 Закону України «Про депозитарну систему України» в частині заміни слова «рішення суду» словами «судового рішення або рішення», що спричинило викладення в новій редакції змісту показників за кодами 11, 12;</w:t>
            </w:r>
          </w:p>
          <w:p w:rsidR="00670A15" w:rsidRPr="00670A15" w:rsidRDefault="00670A15" w:rsidP="00670A15">
            <w:pPr>
              <w:pStyle w:val="normal"/>
              <w:keepNext w:val="0"/>
              <w:tabs>
                <w:tab w:val="left" w:pos="1172"/>
              </w:tabs>
              <w:spacing w:after="120" w:line="240" w:lineRule="auto"/>
              <w:ind w:left="34"/>
              <w:jc w:val="both"/>
              <w:rPr>
                <w:rFonts w:ascii="Times New Roman" w:hAnsi="Times New Roman" w:cs="Times New Roman"/>
                <w:sz w:val="24"/>
                <w:szCs w:val="24"/>
              </w:rPr>
            </w:pPr>
            <w:r w:rsidRPr="00670A15">
              <w:rPr>
                <w:rFonts w:ascii="Times New Roman" w:hAnsi="Times New Roman" w:cs="Times New Roman"/>
                <w:sz w:val="24"/>
                <w:szCs w:val="24"/>
              </w:rPr>
              <w:t>приведення довідника 34 у відповідність у відповідність до змін внесених підпунктом 5 пункту 4 Закону України від 15 травня 2018 року № 2418-VIII «Про внесення змін до деяких законодавчих актів України щодо сприяння залученню іноземних інвестицій» до статті 5 Закону України «Про депозитарну систему України» в частині розкриття інформації номінальним утримувачем про власників та належним їм цінних паперів, операцій з цінними паперами у випадках, встановлених законодавством; що спричинило викладення в новій редакції змісту показників за кодами 17, 18, 31 та внесення нового змісту показника за кодом 40. Із змісту показн</w:t>
            </w:r>
            <w:r>
              <w:rPr>
                <w:rFonts w:ascii="Times New Roman" w:hAnsi="Times New Roman" w:cs="Times New Roman"/>
                <w:sz w:val="24"/>
                <w:szCs w:val="24"/>
              </w:rPr>
              <w:t>иків видалено слово «депонента».</w:t>
            </w:r>
          </w:p>
          <w:p w:rsidR="00670A15" w:rsidRDefault="00670A15" w:rsidP="005B2731">
            <w:pPr>
              <w:pStyle w:val="normal"/>
              <w:keepNext w:val="0"/>
              <w:tabs>
                <w:tab w:val="left" w:pos="1172"/>
              </w:tabs>
              <w:spacing w:line="240" w:lineRule="auto"/>
              <w:jc w:val="both"/>
              <w:rPr>
                <w:rFonts w:ascii="Times New Roman" w:hAnsi="Times New Roman" w:cs="Times New Roman"/>
                <w:sz w:val="24"/>
                <w:szCs w:val="24"/>
              </w:rPr>
            </w:pPr>
          </w:p>
          <w:p w:rsidR="00490095" w:rsidRPr="00B8797D" w:rsidRDefault="005B2731" w:rsidP="005B2731">
            <w:pPr>
              <w:pStyle w:val="normal"/>
              <w:keepNext w:val="0"/>
              <w:tabs>
                <w:tab w:val="left" w:pos="1172"/>
              </w:tabs>
              <w:spacing w:line="240" w:lineRule="auto"/>
              <w:jc w:val="both"/>
              <w:rPr>
                <w:b/>
                <w:sz w:val="24"/>
                <w:szCs w:val="24"/>
              </w:rPr>
            </w:pPr>
            <w:r w:rsidRPr="005B2731">
              <w:rPr>
                <w:rFonts w:ascii="Times New Roman" w:hAnsi="Times New Roman" w:cs="Times New Roman"/>
                <w:b/>
                <w:sz w:val="24"/>
                <w:szCs w:val="24"/>
              </w:rPr>
              <w:t>Пропозиції департаменту МРПУ РЦП є  слушними та враховані</w:t>
            </w:r>
            <w:r>
              <w:rPr>
                <w:rFonts w:ascii="Times New Roman" w:hAnsi="Times New Roman" w:cs="Times New Roman"/>
                <w:b/>
                <w:sz w:val="24"/>
                <w:szCs w:val="24"/>
              </w:rPr>
              <w:t xml:space="preserve">. </w:t>
            </w:r>
          </w:p>
        </w:tc>
        <w:tc>
          <w:tcPr>
            <w:tcW w:w="5245" w:type="dxa"/>
          </w:tcPr>
          <w:p w:rsidR="00E40160" w:rsidRDefault="00E40160" w:rsidP="00CB196B">
            <w:pPr>
              <w:rPr>
                <w:b/>
                <w:sz w:val="24"/>
                <w:szCs w:val="24"/>
              </w:rPr>
            </w:pPr>
          </w:p>
          <w:p w:rsidR="003975F5" w:rsidRDefault="003975F5" w:rsidP="00CB196B">
            <w:pPr>
              <w:rPr>
                <w:b/>
                <w:sz w:val="24"/>
                <w:szCs w:val="24"/>
              </w:rPr>
            </w:pPr>
          </w:p>
          <w:p w:rsidR="003975F5" w:rsidRDefault="003975F5" w:rsidP="00CB196B">
            <w:pPr>
              <w:rPr>
                <w:b/>
                <w:sz w:val="24"/>
                <w:szCs w:val="24"/>
              </w:rPr>
            </w:pPr>
          </w:p>
          <w:p w:rsidR="003975F5" w:rsidRPr="008E04AE" w:rsidRDefault="003975F5" w:rsidP="003975F5">
            <w:pPr>
              <w:shd w:val="clear" w:color="auto" w:fill="FFFFFF"/>
              <w:jc w:val="both"/>
              <w:textAlignment w:val="baseline"/>
              <w:rPr>
                <w:color w:val="000000"/>
                <w:sz w:val="24"/>
                <w:szCs w:val="24"/>
              </w:rPr>
            </w:pPr>
            <w:r w:rsidRPr="008E04AE">
              <w:rPr>
                <w:color w:val="000000"/>
                <w:sz w:val="24"/>
                <w:szCs w:val="24"/>
              </w:rPr>
              <w:t>34. Довідник «Перелік депозитарних операцій та послуг депозитарних установ»</w:t>
            </w:r>
            <w:r>
              <w:rPr>
                <w:color w:val="000000"/>
                <w:sz w:val="24"/>
                <w:szCs w:val="24"/>
              </w:rPr>
              <w:t>.</w:t>
            </w:r>
          </w:p>
          <w:p w:rsidR="003975F5" w:rsidRPr="008E04AE" w:rsidRDefault="003975F5" w:rsidP="003975F5">
            <w:pPr>
              <w:shd w:val="clear" w:color="auto" w:fill="FFFFFF"/>
              <w:jc w:val="both"/>
              <w:textAlignment w:val="baseline"/>
              <w:rPr>
                <w:color w:val="000000"/>
                <w:sz w:val="24"/>
                <w:szCs w:val="24"/>
              </w:rPr>
            </w:pPr>
            <w:r w:rsidRPr="008E04AE">
              <w:rPr>
                <w:color w:val="000000"/>
                <w:sz w:val="24"/>
                <w:szCs w:val="24"/>
              </w:rPr>
              <w:t>Викласти  довідник в наступній редакції:</w:t>
            </w:r>
          </w:p>
          <w:p w:rsidR="003975F5" w:rsidRPr="008E04AE" w:rsidRDefault="003975F5" w:rsidP="003975F5">
            <w:pPr>
              <w:shd w:val="clear" w:color="auto" w:fill="FFFFFF"/>
              <w:ind w:firstLine="450"/>
              <w:jc w:val="both"/>
              <w:textAlignment w:val="baseline"/>
              <w:rPr>
                <w:color w:val="000000"/>
                <w:sz w:val="24"/>
                <w:szCs w:val="24"/>
              </w:rPr>
            </w:pPr>
          </w:p>
          <w:tbl>
            <w:tblPr>
              <w:tblW w:w="4974"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876"/>
              <w:gridCol w:w="4111"/>
            </w:tblGrid>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Default="003975F5" w:rsidP="00901DB6">
                  <w:pPr>
                    <w:jc w:val="center"/>
                    <w:textAlignment w:val="baseline"/>
                    <w:rPr>
                      <w:sz w:val="24"/>
                      <w:szCs w:val="24"/>
                    </w:rPr>
                  </w:pPr>
                  <w:r w:rsidRPr="008E04AE">
                    <w:rPr>
                      <w:sz w:val="24"/>
                      <w:szCs w:val="24"/>
                    </w:rPr>
                    <w:t>Код показника</w:t>
                  </w:r>
                </w:p>
                <w:p w:rsidR="003975F5" w:rsidRDefault="003975F5" w:rsidP="00901DB6">
                  <w:pPr>
                    <w:jc w:val="center"/>
                    <w:textAlignment w:val="baseline"/>
                    <w:rPr>
                      <w:sz w:val="24"/>
                      <w:szCs w:val="24"/>
                    </w:rPr>
                  </w:pPr>
                </w:p>
                <w:p w:rsidR="003975F5" w:rsidRPr="008E04AE" w:rsidRDefault="003975F5" w:rsidP="00901DB6">
                  <w:pPr>
                    <w:jc w:val="center"/>
                    <w:textAlignment w:val="baseline"/>
                    <w:rPr>
                      <w:sz w:val="24"/>
                      <w:szCs w:val="24"/>
                    </w:rPr>
                  </w:pP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Зміст показника</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01</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lang w:val="ru-RU"/>
                    </w:rPr>
                  </w:pPr>
                  <w:r w:rsidRPr="008E04AE">
                    <w:rPr>
                      <w:sz w:val="24"/>
                      <w:szCs w:val="24"/>
                    </w:rPr>
                    <w:t xml:space="preserve">Відкриття рахунку в цінних паперах на підставі: договору про обслуговування </w:t>
                  </w:r>
                  <w:r w:rsidRPr="008E04AE">
                    <w:rPr>
                      <w:sz w:val="24"/>
                      <w:szCs w:val="24"/>
                    </w:rPr>
                    <w:lastRenderedPageBreak/>
                    <w:t>рахунку в цінних паперах, укладеного з депонентом</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lastRenderedPageBreak/>
                    <w:t>02</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Відкриття рахунку в цінних паперах на підставі договору про відкриття/обслуговування рахунків власникам з емітентом щодо </w:t>
                  </w:r>
                  <w:proofErr w:type="spellStart"/>
                  <w:r w:rsidRPr="008E04AE">
                    <w:rPr>
                      <w:sz w:val="24"/>
                      <w:szCs w:val="24"/>
                    </w:rPr>
                    <w:t>дематеріалізованих</w:t>
                  </w:r>
                  <w:proofErr w:type="spellEnd"/>
                  <w:r w:rsidRPr="008E04AE">
                    <w:rPr>
                      <w:sz w:val="24"/>
                      <w:szCs w:val="24"/>
                    </w:rPr>
                    <w:t xml:space="preserve"> іменних цінних паперів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03</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Закриття рахунку в цінних паперах</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04</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Внесення змін до анкети рахунку в цінних паперах</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05</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Видача виписки про стан рахунку в цінних паперах</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06</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Видача виписки про операції з цінними паперами </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07</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Зарахування прав на цінні папери на рахунок у цінних паперах при </w:t>
                  </w:r>
                  <w:proofErr w:type="spellStart"/>
                  <w:r w:rsidRPr="008E04AE">
                    <w:rPr>
                      <w:sz w:val="24"/>
                      <w:szCs w:val="24"/>
                    </w:rPr>
                    <w:t>знерухомленні</w:t>
                  </w:r>
                  <w:proofErr w:type="spellEnd"/>
                  <w:r w:rsidRPr="008E04AE">
                    <w:rPr>
                      <w:sz w:val="24"/>
                      <w:szCs w:val="24"/>
                    </w:rPr>
                    <w:t xml:space="preserve"> цінних паперів на пред’явника</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09</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Зарахування прав на цінні папери на рахунок у цінних паперах внаслідок розміщення цінних паперів та проведення інших корпоративних операцій емітента</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10</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Списання прав на цінні папери з рахунку у цінних паперах внаслідок проведення корпоративних операцій емітента</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11</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Default="003975F5" w:rsidP="00670A15">
                  <w:pPr>
                    <w:jc w:val="both"/>
                    <w:textAlignment w:val="baseline"/>
                    <w:rPr>
                      <w:sz w:val="24"/>
                      <w:szCs w:val="24"/>
                    </w:rPr>
                  </w:pPr>
                  <w:r w:rsidRPr="008E04AE">
                    <w:rPr>
                      <w:sz w:val="24"/>
                      <w:szCs w:val="24"/>
                    </w:rPr>
                    <w:t>Внесення змін до системи депозитарного обліку за наслідками виконання судового рішення, рішення Національної комісії з цінних паперів та фондового ринку, постанови або розпорядження її уповноваженої особи</w:t>
                  </w:r>
                </w:p>
                <w:p w:rsidR="003975F5" w:rsidRPr="008E04AE" w:rsidRDefault="003975F5" w:rsidP="00670A15">
                  <w:pPr>
                    <w:jc w:val="both"/>
                    <w:textAlignment w:val="baseline"/>
                    <w:rPr>
                      <w:sz w:val="24"/>
                      <w:szCs w:val="24"/>
                    </w:rPr>
                  </w:pP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12</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Списання прав на цінні папери з </w:t>
                  </w:r>
                  <w:r w:rsidRPr="008E04AE">
                    <w:rPr>
                      <w:sz w:val="24"/>
                      <w:szCs w:val="24"/>
                    </w:rPr>
                    <w:lastRenderedPageBreak/>
                    <w:t>рахунку у цінних паперах внаслідок скасування реєстрації випуску цінних паперів, виконання судового рішення</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lastRenderedPageBreak/>
                    <w:t>13</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Зарахування прав на цінні папери на рахунок у цінних паперах за операціями, пов’язаними з обігом цінних паперів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15</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Списання прав на цінні папери з рахунку у цінних паперах за операціями, пов’язаними з обігом цінних паперів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17</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Переказ прав на цінні папери, що призводить до зменшення кількості прав на цінні папери на рахунку в цінних паперах </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18</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Переказ прав на цінні папери, що призводить до збільшення кількості прав на цінні папери на рахунку в цінних паперах </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19</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Переказ прав на цінні папери в межах рахунку в цінних паперах, пов'язаний із встановленням обмежень щодо обігу цінних паперів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20</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Переказ прав на цінні папери в межах рахунку в цінних паперах, пов'язаний із зняттям обмежень щодо обігу цінних паперів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28</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Конвертація цінних паперів внаслідок проведення корпоративних операцій емітента</w:t>
                  </w:r>
                </w:p>
              </w:tc>
            </w:tr>
            <w:tr w:rsidR="003975F5" w:rsidRPr="008E04AE" w:rsidTr="00901DB6">
              <w:trPr>
                <w:trHeight w:val="570"/>
              </w:trPr>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29</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Списання прав на цінні папери з рахунку в цінних паперах, відкритого емітентом власнику, внаслідок переведення їх до іншої обраної власником депозитарної установи</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30</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Зарахування прав на цінні папери на </w:t>
                  </w:r>
                  <w:r w:rsidRPr="008E04AE">
                    <w:rPr>
                      <w:sz w:val="24"/>
                      <w:szCs w:val="24"/>
                    </w:rPr>
                    <w:lastRenderedPageBreak/>
                    <w:t>рахунок в цінних паперах власника внаслідок переведення їх з рахунку в цінних паперах, відкритого емітентом власнику в іншій депозитарній установі</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lastRenderedPageBreak/>
                    <w:t>31</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Облік прав на цінні папери на рахунку в цінних паперах </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32</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Складання облікового реєстру власників цінних паперів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33</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Надання послуг щодо обслуговування операцій з активами інституційних інвесторів (інститутів спільного інвестування та недержавних пенсійних фондів)</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34</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 xml:space="preserve">Надання реєстру власників іменних цінних паперів відповідно до Законів </w:t>
                  </w:r>
                  <w:r w:rsidRPr="00670A15">
                    <w:rPr>
                      <w:sz w:val="24"/>
                      <w:szCs w:val="24"/>
                    </w:rPr>
                    <w:t>України </w:t>
                  </w:r>
                  <w:hyperlink r:id="rId10" w:tgtFrame="_blank" w:history="1">
                    <w:r w:rsidRPr="00670A15">
                      <w:rPr>
                        <w:sz w:val="24"/>
                        <w:szCs w:val="24"/>
                        <w:u w:val="single"/>
                        <w:bdr w:val="none" w:sz="0" w:space="0" w:color="auto" w:frame="1"/>
                      </w:rPr>
                      <w:t>«Про депозитарну систему України»</w:t>
                    </w:r>
                  </w:hyperlink>
                  <w:r w:rsidRPr="00670A15">
                    <w:rPr>
                      <w:sz w:val="24"/>
                      <w:szCs w:val="24"/>
                    </w:rPr>
                    <w:t>, </w:t>
                  </w:r>
                  <w:hyperlink r:id="rId11" w:tgtFrame="_blank" w:history="1">
                    <w:r w:rsidRPr="00670A15">
                      <w:rPr>
                        <w:sz w:val="24"/>
                        <w:szCs w:val="24"/>
                        <w:u w:val="single"/>
                        <w:bdr w:val="none" w:sz="0" w:space="0" w:color="auto" w:frame="1"/>
                      </w:rPr>
                      <w:t>«Про акціонерні товариства»</w:t>
                    </w:r>
                  </w:hyperlink>
                  <w:r w:rsidRPr="008E04AE">
                    <w:rPr>
                      <w:sz w:val="24"/>
                      <w:szCs w:val="24"/>
                    </w:rPr>
                    <w:t> на підставі відповідного договору з емітентом</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901DB6">
                  <w:pPr>
                    <w:jc w:val="center"/>
                    <w:textAlignment w:val="baseline"/>
                    <w:rPr>
                      <w:sz w:val="24"/>
                      <w:szCs w:val="24"/>
                    </w:rPr>
                  </w:pPr>
                  <w:r w:rsidRPr="008E04AE">
                    <w:rPr>
                      <w:sz w:val="24"/>
                      <w:szCs w:val="24"/>
                    </w:rPr>
                    <w:t>35</w:t>
                  </w:r>
                </w:p>
              </w:tc>
              <w:tc>
                <w:tcPr>
                  <w:tcW w:w="4111" w:type="dxa"/>
                  <w:tcBorders>
                    <w:top w:val="single" w:sz="6" w:space="0" w:color="000000"/>
                    <w:left w:val="single" w:sz="6" w:space="0" w:color="000000"/>
                    <w:bottom w:val="single" w:sz="6" w:space="0" w:color="000000"/>
                    <w:right w:val="single" w:sz="6" w:space="0" w:color="000000"/>
                  </w:tcBorders>
                  <w:hideMark/>
                </w:tcPr>
                <w:p w:rsidR="003975F5" w:rsidRPr="008E04AE" w:rsidRDefault="003975F5" w:rsidP="00670A15">
                  <w:pPr>
                    <w:jc w:val="both"/>
                    <w:textAlignment w:val="baseline"/>
                    <w:rPr>
                      <w:sz w:val="24"/>
                      <w:szCs w:val="24"/>
                    </w:rPr>
                  </w:pPr>
                  <w:r w:rsidRPr="008E04AE">
                    <w:rPr>
                      <w:sz w:val="24"/>
                      <w:szCs w:val="24"/>
                    </w:rPr>
                    <w:t>Надання додаткових послуг, визначених законом, на підставі договору з емітентом</w:t>
                  </w:r>
                </w:p>
              </w:tc>
            </w:tr>
            <w:tr w:rsidR="003975F5" w:rsidRPr="008E04AE" w:rsidTr="00901DB6">
              <w:tc>
                <w:tcPr>
                  <w:tcW w:w="876" w:type="dxa"/>
                  <w:tcBorders>
                    <w:top w:val="single" w:sz="6" w:space="0" w:color="000000"/>
                    <w:left w:val="single" w:sz="6" w:space="0" w:color="000000"/>
                    <w:bottom w:val="single" w:sz="6" w:space="0" w:color="000000"/>
                    <w:right w:val="single" w:sz="6" w:space="0" w:color="000000"/>
                  </w:tcBorders>
                </w:tcPr>
                <w:p w:rsidR="003975F5" w:rsidRPr="008E04AE" w:rsidRDefault="003975F5" w:rsidP="00901DB6">
                  <w:pPr>
                    <w:jc w:val="center"/>
                    <w:textAlignment w:val="baseline"/>
                    <w:rPr>
                      <w:sz w:val="24"/>
                      <w:szCs w:val="24"/>
                    </w:rPr>
                  </w:pPr>
                  <w:r w:rsidRPr="008E04AE">
                    <w:rPr>
                      <w:sz w:val="24"/>
                      <w:szCs w:val="24"/>
                    </w:rPr>
                    <w:t>40</w:t>
                  </w:r>
                </w:p>
              </w:tc>
              <w:tc>
                <w:tcPr>
                  <w:tcW w:w="4111" w:type="dxa"/>
                  <w:tcBorders>
                    <w:top w:val="single" w:sz="6" w:space="0" w:color="000000"/>
                    <w:left w:val="single" w:sz="6" w:space="0" w:color="000000"/>
                    <w:bottom w:val="single" w:sz="6" w:space="0" w:color="000000"/>
                    <w:right w:val="single" w:sz="6" w:space="0" w:color="000000"/>
                  </w:tcBorders>
                </w:tcPr>
                <w:p w:rsidR="003975F5" w:rsidRPr="008E04AE" w:rsidRDefault="003975F5" w:rsidP="00670A15">
                  <w:pPr>
                    <w:jc w:val="both"/>
                    <w:textAlignment w:val="baseline"/>
                    <w:rPr>
                      <w:sz w:val="24"/>
                      <w:szCs w:val="24"/>
                    </w:rPr>
                  </w:pPr>
                  <w:r w:rsidRPr="008E04AE">
                    <w:rPr>
                      <w:sz w:val="24"/>
                      <w:szCs w:val="24"/>
                    </w:rPr>
                    <w:t>Відкриття рахунку в цінних паперах на підставі договору про надання послуг з обслуговування рахунка в цінних паперах номінального утримувача</w:t>
                  </w:r>
                </w:p>
              </w:tc>
            </w:tr>
          </w:tbl>
          <w:p w:rsidR="003975F5" w:rsidRDefault="003975F5" w:rsidP="00CB196B">
            <w:pPr>
              <w:rPr>
                <w:b/>
                <w:sz w:val="24"/>
                <w:szCs w:val="24"/>
              </w:rPr>
            </w:pPr>
          </w:p>
          <w:p w:rsidR="003975F5" w:rsidRPr="00B8797D" w:rsidRDefault="003975F5" w:rsidP="00CB196B">
            <w:pPr>
              <w:rPr>
                <w:b/>
                <w:sz w:val="24"/>
                <w:szCs w:val="24"/>
              </w:rPr>
            </w:pPr>
          </w:p>
        </w:tc>
      </w:tr>
      <w:tr w:rsidR="00EA3466" w:rsidRPr="00B8797D" w:rsidTr="00291D9B">
        <w:tc>
          <w:tcPr>
            <w:tcW w:w="468" w:type="dxa"/>
          </w:tcPr>
          <w:p w:rsidR="00EA3466" w:rsidRPr="00EC42B1" w:rsidRDefault="00EC42B1" w:rsidP="00B8797D">
            <w:pPr>
              <w:jc w:val="center"/>
              <w:rPr>
                <w:sz w:val="20"/>
                <w:szCs w:val="20"/>
                <w:lang w:val="en-US"/>
              </w:rPr>
            </w:pPr>
            <w:r>
              <w:rPr>
                <w:sz w:val="20"/>
                <w:szCs w:val="20"/>
                <w:lang w:val="en-US"/>
              </w:rPr>
              <w:lastRenderedPageBreak/>
              <w:t>4</w:t>
            </w:r>
          </w:p>
        </w:tc>
        <w:tc>
          <w:tcPr>
            <w:tcW w:w="4885" w:type="dxa"/>
          </w:tcPr>
          <w:p w:rsidR="00143D6C" w:rsidRDefault="00143D6C" w:rsidP="00291D9B">
            <w:pPr>
              <w:shd w:val="clear" w:color="auto" w:fill="FFFFFF"/>
              <w:tabs>
                <w:tab w:val="left" w:pos="4635"/>
              </w:tabs>
              <w:ind w:right="317"/>
              <w:jc w:val="both"/>
              <w:rPr>
                <w:color w:val="000000"/>
                <w:sz w:val="24"/>
                <w:szCs w:val="24"/>
              </w:rPr>
            </w:pPr>
          </w:p>
          <w:p w:rsidR="002B65D5" w:rsidRDefault="002B65D5" w:rsidP="00291D9B">
            <w:pPr>
              <w:shd w:val="clear" w:color="auto" w:fill="FFFFFF"/>
              <w:tabs>
                <w:tab w:val="left" w:pos="4635"/>
              </w:tabs>
              <w:ind w:right="317"/>
              <w:jc w:val="both"/>
              <w:rPr>
                <w:color w:val="000000"/>
                <w:sz w:val="24"/>
                <w:szCs w:val="24"/>
              </w:rPr>
            </w:pPr>
          </w:p>
          <w:p w:rsidR="002B65D5" w:rsidRDefault="002B65D5" w:rsidP="00291D9B">
            <w:pPr>
              <w:shd w:val="clear" w:color="auto" w:fill="FFFFFF"/>
              <w:tabs>
                <w:tab w:val="left" w:pos="4635"/>
              </w:tabs>
              <w:ind w:right="317"/>
              <w:jc w:val="both"/>
              <w:rPr>
                <w:color w:val="000000"/>
                <w:sz w:val="24"/>
                <w:szCs w:val="24"/>
              </w:rPr>
            </w:pPr>
          </w:p>
          <w:p w:rsidR="00291D9B" w:rsidRDefault="00291D9B" w:rsidP="00291D9B">
            <w:pPr>
              <w:shd w:val="clear" w:color="auto" w:fill="FFFFFF"/>
              <w:tabs>
                <w:tab w:val="left" w:pos="4635"/>
              </w:tabs>
              <w:ind w:right="317"/>
              <w:jc w:val="both"/>
              <w:rPr>
                <w:color w:val="000000"/>
                <w:sz w:val="24"/>
                <w:szCs w:val="24"/>
              </w:rPr>
            </w:pPr>
            <w:r w:rsidRPr="00291D9B">
              <w:rPr>
                <w:color w:val="000000"/>
                <w:sz w:val="24"/>
                <w:szCs w:val="24"/>
              </w:rPr>
              <w:t>35. Довідник «Вид інформації, що передається від депозитарної установи до уповноваженого на зберігання (Центрального депозитарію цінних паперів та/або Національного банку України) при припиненні нею здійснення депозитарної діяльності депозитарної установи»</w:t>
            </w:r>
          </w:p>
          <w:p w:rsidR="00143D6C" w:rsidRDefault="00143D6C" w:rsidP="00291D9B">
            <w:pPr>
              <w:shd w:val="clear" w:color="auto" w:fill="FFFFFF"/>
              <w:tabs>
                <w:tab w:val="left" w:pos="4635"/>
              </w:tabs>
              <w:ind w:right="317"/>
              <w:jc w:val="both"/>
              <w:rPr>
                <w:color w:val="000000"/>
                <w:sz w:val="24"/>
                <w:szCs w:val="24"/>
              </w:rPr>
            </w:pPr>
          </w:p>
          <w:p w:rsidR="00143D6C" w:rsidRPr="00291D9B" w:rsidRDefault="00143D6C" w:rsidP="00291D9B">
            <w:pPr>
              <w:shd w:val="clear" w:color="auto" w:fill="FFFFFF"/>
              <w:tabs>
                <w:tab w:val="left" w:pos="4635"/>
              </w:tabs>
              <w:ind w:right="317"/>
              <w:jc w:val="both"/>
              <w:rPr>
                <w:color w:val="000000"/>
                <w:sz w:val="24"/>
                <w:szCs w:val="24"/>
              </w:rPr>
            </w:pPr>
          </w:p>
          <w:tbl>
            <w:tblPr>
              <w:tblW w:w="4486"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42"/>
              <w:gridCol w:w="3544"/>
            </w:tblGrid>
            <w:tr w:rsidR="00291D9B" w:rsidRPr="00291D9B" w:rsidTr="008A35CB">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3835AC">
                  <w:pPr>
                    <w:tabs>
                      <w:tab w:val="left" w:pos="4635"/>
                    </w:tabs>
                    <w:ind w:hanging="11"/>
                    <w:jc w:val="center"/>
                    <w:rPr>
                      <w:sz w:val="24"/>
                      <w:szCs w:val="24"/>
                    </w:rPr>
                  </w:pPr>
                  <w:bookmarkStart w:id="5" w:name="n154"/>
                  <w:bookmarkEnd w:id="5"/>
                  <w:r w:rsidRPr="00291D9B">
                    <w:rPr>
                      <w:sz w:val="24"/>
                      <w:szCs w:val="24"/>
                    </w:rPr>
                    <w:t>Код показника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3835AC">
                  <w:pPr>
                    <w:tabs>
                      <w:tab w:val="left" w:pos="4635"/>
                    </w:tabs>
                    <w:ind w:left="-110" w:firstLine="99"/>
                    <w:jc w:val="center"/>
                    <w:rPr>
                      <w:sz w:val="24"/>
                      <w:szCs w:val="24"/>
                    </w:rPr>
                  </w:pPr>
                  <w:r w:rsidRPr="00291D9B">
                    <w:rPr>
                      <w:sz w:val="24"/>
                      <w:szCs w:val="24"/>
                    </w:rPr>
                    <w:t>Зміст показника</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01</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Перелік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цінних паперів, та належних їм прав на цінні папери, та загальної кількості цінних паперів/прав на цінні папери (далі - Перелік)</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02</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Договори про відкриття/обслуговування рахунку в цінних паперах власникам цінних паперів та документи, на підставі яких цим власникам були відкриті рахунки в цінних паперах у депозитарній установі та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lastRenderedPageBreak/>
                    <w:t>04</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Архіви баз даних за останні 5 років (за наявності) до дати припинення діяльності</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05</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Бази даних депозитарної установи станом на кінець операційного дня, що передує даті припинення діяльності</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07</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Default="00291D9B" w:rsidP="006B3124">
                  <w:pPr>
                    <w:tabs>
                      <w:tab w:val="left" w:pos="4635"/>
                    </w:tabs>
                    <w:ind w:left="-108" w:firstLine="96"/>
                    <w:jc w:val="both"/>
                    <w:rPr>
                      <w:sz w:val="24"/>
                      <w:szCs w:val="24"/>
                    </w:rPr>
                  </w:pPr>
                  <w:r w:rsidRPr="00291D9B">
                    <w:rPr>
                      <w:sz w:val="24"/>
                      <w:szCs w:val="24"/>
                    </w:rPr>
                    <w:t>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уповноваженого на зберігання, складений станом на кінець операційного дня, що передує даті припинення діяльності, засвідчений підписом керівника або уповноваженої ним особи та печаткою депозитарної установи)</w:t>
                  </w:r>
                </w:p>
                <w:p w:rsidR="00291D9B" w:rsidRDefault="00291D9B" w:rsidP="006B3124">
                  <w:pPr>
                    <w:tabs>
                      <w:tab w:val="left" w:pos="4635"/>
                    </w:tabs>
                    <w:ind w:left="-108" w:firstLine="96"/>
                    <w:jc w:val="both"/>
                    <w:rPr>
                      <w:sz w:val="24"/>
                      <w:szCs w:val="24"/>
                    </w:rPr>
                  </w:pPr>
                </w:p>
                <w:p w:rsidR="00291D9B" w:rsidRDefault="00291D9B" w:rsidP="006B3124">
                  <w:pPr>
                    <w:tabs>
                      <w:tab w:val="left" w:pos="4635"/>
                    </w:tabs>
                    <w:ind w:left="-108" w:firstLine="96"/>
                    <w:jc w:val="both"/>
                    <w:rPr>
                      <w:sz w:val="24"/>
                      <w:szCs w:val="24"/>
                    </w:rPr>
                  </w:pPr>
                </w:p>
                <w:p w:rsidR="00291D9B" w:rsidRDefault="00291D9B" w:rsidP="006B3124">
                  <w:pPr>
                    <w:tabs>
                      <w:tab w:val="left" w:pos="4635"/>
                    </w:tabs>
                    <w:ind w:left="-108" w:firstLine="96"/>
                    <w:jc w:val="both"/>
                    <w:rPr>
                      <w:sz w:val="24"/>
                      <w:szCs w:val="24"/>
                    </w:rPr>
                  </w:pPr>
                </w:p>
                <w:p w:rsidR="00291D9B" w:rsidRDefault="00291D9B" w:rsidP="006B3124">
                  <w:pPr>
                    <w:tabs>
                      <w:tab w:val="left" w:pos="4635"/>
                    </w:tabs>
                    <w:ind w:left="-108" w:firstLine="96"/>
                    <w:jc w:val="both"/>
                    <w:rPr>
                      <w:sz w:val="24"/>
                      <w:szCs w:val="24"/>
                    </w:rPr>
                  </w:pPr>
                </w:p>
                <w:p w:rsidR="00291D9B" w:rsidRDefault="00291D9B" w:rsidP="006B3124">
                  <w:pPr>
                    <w:tabs>
                      <w:tab w:val="left" w:pos="4635"/>
                    </w:tabs>
                    <w:ind w:left="-108" w:firstLine="96"/>
                    <w:jc w:val="both"/>
                    <w:rPr>
                      <w:sz w:val="24"/>
                      <w:szCs w:val="24"/>
                    </w:rPr>
                  </w:pPr>
                </w:p>
                <w:p w:rsidR="00291D9B" w:rsidRPr="00291D9B" w:rsidRDefault="00291D9B" w:rsidP="006B3124">
                  <w:pPr>
                    <w:tabs>
                      <w:tab w:val="left" w:pos="4635"/>
                    </w:tabs>
                    <w:ind w:left="-108" w:firstLine="96"/>
                    <w:jc w:val="both"/>
                    <w:rPr>
                      <w:sz w:val="24"/>
                      <w:szCs w:val="24"/>
                    </w:rPr>
                  </w:pP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08</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Копія рішення органу ліцензування про анулювання ліцензії</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09</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Копія постанови про відкриття ліквідаційної процедури (за наявності)</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lastRenderedPageBreak/>
                    <w:t>10</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Копія баз даних станом на кінець операційного дня, що передує даті початку припинення діяльності</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12</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Виписки про стан рахунків у цінних паперах станом на кінець операційного дня, що передує даті припинення діяльності</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13</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Облікові регістри (журнали), що визначені нормативно-правовими актами України як обов'язкові при здійсненні діяльності депозитарної установи</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15</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Обліковий реєстр власників цінних паперів, рахунки яких обслуговуються депозитарною установою відповідно до договору з емітентом, складений станом на кінець операційного дня, що передує даті припинення діяльності</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16</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Документи, що є підставою для приймання уповноваженим на зберігання документів, архівів, баз даних депозитарної установи: </w:t>
                  </w:r>
                  <w:r w:rsidRPr="00291D9B">
                    <w:rPr>
                      <w:sz w:val="24"/>
                      <w:szCs w:val="24"/>
                    </w:rPr>
                    <w:br/>
                    <w:t>рішення уповноваженого органу депозитарної установи про припинення ним провадження депозитарної діяльності або припинення депозитарної установи як юридичної особи; </w:t>
                  </w:r>
                  <w:r w:rsidRPr="00291D9B">
                    <w:rPr>
                      <w:sz w:val="24"/>
                      <w:szCs w:val="24"/>
                    </w:rPr>
                    <w:br/>
                    <w:t xml:space="preserve">постанови господарського суду про визнання боржника банкрутом і відкриття </w:t>
                  </w:r>
                  <w:r w:rsidRPr="00291D9B">
                    <w:rPr>
                      <w:sz w:val="24"/>
                      <w:szCs w:val="24"/>
                    </w:rPr>
                    <w:lastRenderedPageBreak/>
                    <w:t>ліквідаційної процедури; </w:t>
                  </w:r>
                  <w:r w:rsidRPr="00291D9B">
                    <w:rPr>
                      <w:sz w:val="24"/>
                      <w:szCs w:val="24"/>
                    </w:rPr>
                    <w:br/>
                    <w:t>рішення органу ліцензування про анулювання ліцензії, крім випадку анулювання ліцензії за відповідною заявою ліцензіата</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lastRenderedPageBreak/>
                    <w:t>17</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Договори про обслуговування зберігачем активів інститутів спільного інвестування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інститутів спільного інвестування</w:t>
                  </w:r>
                </w:p>
              </w:tc>
            </w:tr>
            <w:tr w:rsidR="00291D9B" w:rsidRPr="00291D9B" w:rsidTr="006B3124">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center"/>
                    <w:rPr>
                      <w:sz w:val="24"/>
                      <w:szCs w:val="24"/>
                    </w:rPr>
                  </w:pPr>
                  <w:r w:rsidRPr="00291D9B">
                    <w:rPr>
                      <w:sz w:val="24"/>
                      <w:szCs w:val="24"/>
                    </w:rPr>
                    <w:t>18</w:t>
                  </w:r>
                </w:p>
              </w:tc>
              <w:tc>
                <w:tcPr>
                  <w:tcW w:w="3544" w:type="dxa"/>
                  <w:tcBorders>
                    <w:top w:val="single" w:sz="6" w:space="0" w:color="000000"/>
                    <w:left w:val="single" w:sz="6" w:space="0" w:color="000000"/>
                    <w:bottom w:val="single" w:sz="6" w:space="0" w:color="000000"/>
                    <w:right w:val="single" w:sz="6" w:space="0" w:color="000000"/>
                  </w:tcBorders>
                  <w:shd w:val="clear" w:color="auto" w:fill="auto"/>
                  <w:hideMark/>
                </w:tcPr>
                <w:p w:rsidR="00291D9B" w:rsidRPr="00291D9B" w:rsidRDefault="00291D9B" w:rsidP="006B3124">
                  <w:pPr>
                    <w:tabs>
                      <w:tab w:val="left" w:pos="4635"/>
                    </w:tabs>
                    <w:ind w:left="-108" w:firstLine="96"/>
                    <w:jc w:val="both"/>
                    <w:rPr>
                      <w:sz w:val="24"/>
                      <w:szCs w:val="24"/>
                    </w:rPr>
                  </w:pPr>
                  <w:r w:rsidRPr="00291D9B">
                    <w:rPr>
                      <w:sz w:val="24"/>
                      <w:szCs w:val="24"/>
                    </w:rPr>
                    <w:t>Договори про обслуговування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tc>
            </w:tr>
          </w:tbl>
          <w:p w:rsidR="00291D9B" w:rsidRDefault="00291D9B"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291D9B" w:rsidRPr="00FD4825" w:rsidRDefault="00291D9B" w:rsidP="00CB196B">
            <w:pPr>
              <w:shd w:val="clear" w:color="auto" w:fill="FFFFFF"/>
              <w:textAlignment w:val="baseline"/>
              <w:rPr>
                <w:b/>
                <w:color w:val="000000"/>
                <w:sz w:val="24"/>
                <w:szCs w:val="24"/>
              </w:rPr>
            </w:pPr>
          </w:p>
        </w:tc>
        <w:tc>
          <w:tcPr>
            <w:tcW w:w="5245" w:type="dxa"/>
          </w:tcPr>
          <w:p w:rsidR="002912C0" w:rsidRDefault="002912C0" w:rsidP="00CB196B">
            <w:pPr>
              <w:tabs>
                <w:tab w:val="left" w:pos="1090"/>
              </w:tabs>
              <w:ind w:right="172"/>
              <w:rPr>
                <w:b/>
                <w:sz w:val="24"/>
                <w:szCs w:val="24"/>
              </w:rPr>
            </w:pPr>
          </w:p>
          <w:p w:rsidR="00F905DC" w:rsidRDefault="00F905DC" w:rsidP="00F905DC">
            <w:pPr>
              <w:tabs>
                <w:tab w:val="left" w:pos="1090"/>
              </w:tabs>
              <w:ind w:right="172"/>
              <w:jc w:val="both"/>
              <w:rPr>
                <w:b/>
                <w:sz w:val="24"/>
                <w:szCs w:val="24"/>
              </w:rPr>
            </w:pPr>
            <w:r w:rsidRPr="0088637A">
              <w:rPr>
                <w:b/>
                <w:sz w:val="24"/>
                <w:szCs w:val="24"/>
              </w:rPr>
              <w:t xml:space="preserve">Пропозиції </w:t>
            </w:r>
            <w:r>
              <w:rPr>
                <w:b/>
                <w:sz w:val="24"/>
                <w:szCs w:val="24"/>
              </w:rPr>
              <w:t>департаменту МРПУ РЦП:</w:t>
            </w:r>
          </w:p>
          <w:p w:rsidR="00F905DC" w:rsidRDefault="00F905DC" w:rsidP="00CB196B">
            <w:pPr>
              <w:tabs>
                <w:tab w:val="left" w:pos="1090"/>
              </w:tabs>
              <w:ind w:right="172"/>
              <w:rPr>
                <w:b/>
                <w:sz w:val="24"/>
                <w:szCs w:val="24"/>
              </w:rPr>
            </w:pPr>
          </w:p>
          <w:p w:rsidR="00143D6C" w:rsidRPr="00143D6C" w:rsidRDefault="00143D6C" w:rsidP="00143D6C">
            <w:pPr>
              <w:shd w:val="clear" w:color="auto" w:fill="FFFFFF"/>
              <w:ind w:right="176"/>
              <w:jc w:val="both"/>
              <w:textAlignment w:val="baseline"/>
              <w:rPr>
                <w:color w:val="000000"/>
                <w:sz w:val="24"/>
                <w:szCs w:val="24"/>
              </w:rPr>
            </w:pPr>
            <w:r w:rsidRPr="00143D6C">
              <w:rPr>
                <w:color w:val="000000"/>
                <w:sz w:val="24"/>
                <w:szCs w:val="24"/>
              </w:rPr>
              <w:t>35. Довідник «Вид інформації, що передається від депозитарної установи до уповноваженого на зберігання (Центрального депозитарію цінних паперів та/або Національного банку України) при припиненні нею здійснення депозитарної діяльності депозитарної установи».</w:t>
            </w:r>
          </w:p>
          <w:p w:rsidR="00143D6C" w:rsidRPr="00143D6C" w:rsidRDefault="00143D6C" w:rsidP="00143D6C">
            <w:pPr>
              <w:shd w:val="clear" w:color="auto" w:fill="FFFFFF"/>
              <w:ind w:right="176"/>
              <w:jc w:val="both"/>
              <w:textAlignment w:val="baseline"/>
              <w:rPr>
                <w:color w:val="000000"/>
                <w:sz w:val="24"/>
                <w:szCs w:val="24"/>
              </w:rPr>
            </w:pPr>
          </w:p>
          <w:p w:rsidR="00F905DC" w:rsidRPr="00127B35" w:rsidRDefault="00143D6C" w:rsidP="002B65D5">
            <w:pPr>
              <w:shd w:val="clear" w:color="auto" w:fill="FFFFFF"/>
              <w:ind w:right="176"/>
              <w:jc w:val="both"/>
              <w:textAlignment w:val="baseline"/>
              <w:rPr>
                <w:color w:val="000000"/>
                <w:sz w:val="24"/>
                <w:szCs w:val="24"/>
              </w:rPr>
            </w:pPr>
            <w:r w:rsidRPr="00143D6C">
              <w:rPr>
                <w:color w:val="000000"/>
                <w:sz w:val="24"/>
                <w:szCs w:val="24"/>
              </w:rPr>
              <w:lastRenderedPageBreak/>
              <w:t>Доповнити довідник наступни</w:t>
            </w:r>
            <w:r w:rsidRPr="00127B35">
              <w:rPr>
                <w:color w:val="000000"/>
                <w:sz w:val="24"/>
                <w:szCs w:val="24"/>
              </w:rPr>
              <w:t>ми показниками:</w:t>
            </w:r>
            <w:r w:rsidR="002B65D5">
              <w:rPr>
                <w:color w:val="000000"/>
                <w:sz w:val="24"/>
                <w:szCs w:val="24"/>
              </w:rPr>
              <w:t xml:space="preserve">   </w:t>
            </w:r>
          </w:p>
          <w:tbl>
            <w:tblPr>
              <w:tblW w:w="4832"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35"/>
              <w:gridCol w:w="4110"/>
            </w:tblGrid>
            <w:tr w:rsidR="00143D6C" w:rsidRPr="00127B35" w:rsidTr="00143D6C">
              <w:tc>
                <w:tcPr>
                  <w:tcW w:w="735" w:type="dxa"/>
                  <w:tcBorders>
                    <w:top w:val="single" w:sz="6" w:space="0" w:color="000000"/>
                    <w:left w:val="single" w:sz="6" w:space="0" w:color="000000"/>
                    <w:bottom w:val="single" w:sz="6" w:space="0" w:color="000000"/>
                    <w:right w:val="single" w:sz="6" w:space="0" w:color="000000"/>
                  </w:tcBorders>
                  <w:hideMark/>
                </w:tcPr>
                <w:p w:rsidR="00143D6C" w:rsidRPr="00127B35" w:rsidRDefault="00143D6C" w:rsidP="003835AC">
                  <w:pPr>
                    <w:jc w:val="center"/>
                    <w:textAlignment w:val="baseline"/>
                    <w:rPr>
                      <w:sz w:val="24"/>
                      <w:szCs w:val="24"/>
                    </w:rPr>
                  </w:pPr>
                  <w:r w:rsidRPr="00127B35">
                    <w:rPr>
                      <w:sz w:val="24"/>
                      <w:szCs w:val="24"/>
                    </w:rPr>
                    <w:t>Код показника</w:t>
                  </w:r>
                </w:p>
              </w:tc>
              <w:tc>
                <w:tcPr>
                  <w:tcW w:w="4110" w:type="dxa"/>
                  <w:tcBorders>
                    <w:top w:val="single" w:sz="6" w:space="0" w:color="000000"/>
                    <w:left w:val="single" w:sz="6" w:space="0" w:color="000000"/>
                    <w:bottom w:val="single" w:sz="6" w:space="0" w:color="000000"/>
                    <w:right w:val="single" w:sz="6" w:space="0" w:color="000000"/>
                  </w:tcBorders>
                  <w:hideMark/>
                </w:tcPr>
                <w:p w:rsidR="00143D6C" w:rsidRPr="00127B35" w:rsidRDefault="00143D6C" w:rsidP="003835AC">
                  <w:pPr>
                    <w:jc w:val="center"/>
                    <w:textAlignment w:val="baseline"/>
                    <w:rPr>
                      <w:sz w:val="24"/>
                      <w:szCs w:val="24"/>
                    </w:rPr>
                  </w:pPr>
                  <w:r w:rsidRPr="00127B35">
                    <w:rPr>
                      <w:sz w:val="24"/>
                      <w:szCs w:val="24"/>
                    </w:rPr>
                    <w:t>Зміст показника</w:t>
                  </w:r>
                </w:p>
              </w:tc>
            </w:tr>
            <w:tr w:rsidR="00143D6C" w:rsidRPr="00127B35" w:rsidTr="00143D6C">
              <w:tc>
                <w:tcPr>
                  <w:tcW w:w="735" w:type="dxa"/>
                  <w:tcBorders>
                    <w:top w:val="single" w:sz="6" w:space="0" w:color="000000"/>
                    <w:left w:val="single" w:sz="6" w:space="0" w:color="000000"/>
                    <w:bottom w:val="single" w:sz="6" w:space="0" w:color="000000"/>
                    <w:right w:val="single" w:sz="6" w:space="0" w:color="000000"/>
                  </w:tcBorders>
                </w:tcPr>
                <w:p w:rsidR="00143D6C" w:rsidRPr="00127B35" w:rsidRDefault="00143D6C" w:rsidP="003835AC">
                  <w:pPr>
                    <w:jc w:val="center"/>
                    <w:textAlignment w:val="baseline"/>
                    <w:rPr>
                      <w:sz w:val="24"/>
                      <w:szCs w:val="24"/>
                    </w:rPr>
                  </w:pPr>
                  <w:r w:rsidRPr="00127B35">
                    <w:rPr>
                      <w:sz w:val="24"/>
                      <w:szCs w:val="24"/>
                    </w:rPr>
                    <w:t>03</w:t>
                  </w:r>
                </w:p>
              </w:tc>
              <w:tc>
                <w:tcPr>
                  <w:tcW w:w="4110" w:type="dxa"/>
                  <w:tcBorders>
                    <w:top w:val="single" w:sz="6" w:space="0" w:color="000000"/>
                    <w:left w:val="single" w:sz="6" w:space="0" w:color="000000"/>
                    <w:bottom w:val="single" w:sz="6" w:space="0" w:color="000000"/>
                    <w:right w:val="single" w:sz="6" w:space="0" w:color="000000"/>
                  </w:tcBorders>
                </w:tcPr>
                <w:p w:rsidR="00143D6C" w:rsidRPr="00127B35" w:rsidRDefault="00143D6C" w:rsidP="003835AC">
                  <w:pPr>
                    <w:textAlignment w:val="baseline"/>
                    <w:rPr>
                      <w:sz w:val="24"/>
                      <w:szCs w:val="24"/>
                    </w:rPr>
                  </w:pPr>
                  <w:r w:rsidRPr="00127B35">
                    <w:rPr>
                      <w:sz w:val="24"/>
                      <w:szCs w:val="24"/>
                    </w:rPr>
                    <w:t>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w:t>
                  </w:r>
                </w:p>
              </w:tc>
            </w:tr>
            <w:tr w:rsidR="00143D6C" w:rsidRPr="00127B35" w:rsidTr="00143D6C">
              <w:tc>
                <w:tcPr>
                  <w:tcW w:w="735" w:type="dxa"/>
                  <w:tcBorders>
                    <w:top w:val="single" w:sz="6" w:space="0" w:color="000000"/>
                    <w:left w:val="single" w:sz="6" w:space="0" w:color="000000"/>
                    <w:bottom w:val="single" w:sz="6" w:space="0" w:color="000000"/>
                    <w:right w:val="single" w:sz="6" w:space="0" w:color="000000"/>
                  </w:tcBorders>
                </w:tcPr>
                <w:p w:rsidR="00143D6C" w:rsidRPr="00127B35" w:rsidRDefault="00143D6C" w:rsidP="003835AC">
                  <w:pPr>
                    <w:jc w:val="center"/>
                    <w:textAlignment w:val="baseline"/>
                    <w:rPr>
                      <w:sz w:val="24"/>
                      <w:szCs w:val="24"/>
                    </w:rPr>
                  </w:pPr>
                  <w:r w:rsidRPr="00127B35">
                    <w:rPr>
                      <w:sz w:val="24"/>
                      <w:szCs w:val="24"/>
                    </w:rPr>
                    <w:t>06</w:t>
                  </w:r>
                </w:p>
              </w:tc>
              <w:tc>
                <w:tcPr>
                  <w:tcW w:w="4110" w:type="dxa"/>
                  <w:tcBorders>
                    <w:top w:val="single" w:sz="6" w:space="0" w:color="000000"/>
                    <w:left w:val="single" w:sz="6" w:space="0" w:color="000000"/>
                    <w:bottom w:val="single" w:sz="6" w:space="0" w:color="000000"/>
                    <w:right w:val="single" w:sz="6" w:space="0" w:color="000000"/>
                  </w:tcBorders>
                </w:tcPr>
                <w:p w:rsidR="00143D6C" w:rsidRPr="00127B35" w:rsidRDefault="00143D6C" w:rsidP="003835AC">
                  <w:pPr>
                    <w:pStyle w:val="a7"/>
                    <w:spacing w:before="0" w:beforeAutospacing="0" w:after="0" w:afterAutospacing="0"/>
                    <w:ind w:left="47" w:right="133"/>
                    <w:jc w:val="both"/>
                  </w:pPr>
                  <w:r w:rsidRPr="00127B35">
                    <w:t xml:space="preserve">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складений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w:t>
                  </w:r>
                </w:p>
              </w:tc>
            </w:tr>
          </w:tbl>
          <w:p w:rsidR="00150681" w:rsidRDefault="00150681" w:rsidP="00143D6C"/>
          <w:p w:rsidR="00150681" w:rsidRDefault="00150681" w:rsidP="00143D6C"/>
          <w:p w:rsidR="00150681" w:rsidRDefault="00150681" w:rsidP="00143D6C"/>
          <w:p w:rsidR="00150681" w:rsidRDefault="00150681" w:rsidP="00143D6C"/>
          <w:p w:rsidR="00150681" w:rsidRPr="00127B35" w:rsidRDefault="00150681" w:rsidP="00143D6C"/>
          <w:p w:rsidR="00143D6C" w:rsidRPr="00127B35" w:rsidRDefault="00143D6C" w:rsidP="00143D6C">
            <w:pPr>
              <w:rPr>
                <w:sz w:val="24"/>
                <w:szCs w:val="24"/>
              </w:rPr>
            </w:pPr>
            <w:r w:rsidRPr="00127B35">
              <w:rPr>
                <w:sz w:val="24"/>
                <w:szCs w:val="24"/>
              </w:rPr>
              <w:t>Зміст показника 07 викласти в наступній редакції:</w:t>
            </w:r>
          </w:p>
          <w:p w:rsidR="00143D6C" w:rsidRPr="00127B35" w:rsidRDefault="00143D6C" w:rsidP="00143D6C"/>
          <w:tbl>
            <w:tblPr>
              <w:tblW w:w="4832"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735"/>
              <w:gridCol w:w="4110"/>
            </w:tblGrid>
            <w:tr w:rsidR="00143D6C" w:rsidRPr="00127B35" w:rsidTr="00150681">
              <w:tc>
                <w:tcPr>
                  <w:tcW w:w="735" w:type="dxa"/>
                  <w:tcBorders>
                    <w:top w:val="single" w:sz="6" w:space="0" w:color="000000"/>
                    <w:left w:val="single" w:sz="6" w:space="0" w:color="000000"/>
                    <w:bottom w:val="single" w:sz="6" w:space="0" w:color="000000"/>
                    <w:right w:val="single" w:sz="6" w:space="0" w:color="000000"/>
                  </w:tcBorders>
                  <w:hideMark/>
                </w:tcPr>
                <w:p w:rsidR="00143D6C" w:rsidRPr="00127B35" w:rsidRDefault="00143D6C" w:rsidP="003835AC">
                  <w:pPr>
                    <w:jc w:val="center"/>
                    <w:textAlignment w:val="baseline"/>
                    <w:rPr>
                      <w:sz w:val="24"/>
                      <w:szCs w:val="24"/>
                    </w:rPr>
                  </w:pPr>
                  <w:r w:rsidRPr="00127B35">
                    <w:rPr>
                      <w:sz w:val="24"/>
                      <w:szCs w:val="24"/>
                    </w:rPr>
                    <w:t>07</w:t>
                  </w:r>
                </w:p>
              </w:tc>
              <w:tc>
                <w:tcPr>
                  <w:tcW w:w="4110" w:type="dxa"/>
                  <w:tcBorders>
                    <w:top w:val="single" w:sz="6" w:space="0" w:color="000000"/>
                    <w:left w:val="single" w:sz="6" w:space="0" w:color="000000"/>
                    <w:bottom w:val="single" w:sz="6" w:space="0" w:color="000000"/>
                    <w:right w:val="single" w:sz="6" w:space="0" w:color="000000"/>
                  </w:tcBorders>
                  <w:hideMark/>
                </w:tcPr>
                <w:p w:rsidR="00143D6C" w:rsidRPr="00127B35" w:rsidRDefault="00143D6C" w:rsidP="003835AC">
                  <w:pPr>
                    <w:pStyle w:val="a7"/>
                    <w:spacing w:before="0" w:beforeAutospacing="0" w:after="0" w:afterAutospacing="0"/>
                    <w:ind w:left="47" w:right="133"/>
                    <w:jc w:val="both"/>
                  </w:pPr>
                  <w:r w:rsidRPr="00127B35">
                    <w:t xml:space="preserve">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Національному банку України відповідно до компетенції щодо обліку цінних паперів, визначеної Законом України "Про депозитарну систему України"), складений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засвідчений Національним банком України; </w:t>
                  </w:r>
                </w:p>
              </w:tc>
            </w:tr>
          </w:tbl>
          <w:p w:rsidR="00143D6C" w:rsidRDefault="00143D6C" w:rsidP="00CB196B">
            <w:pPr>
              <w:tabs>
                <w:tab w:val="left" w:pos="1090"/>
              </w:tabs>
              <w:ind w:right="172"/>
              <w:rPr>
                <w:b/>
                <w:sz w:val="24"/>
                <w:szCs w:val="24"/>
              </w:rPr>
            </w:pPr>
          </w:p>
          <w:p w:rsidR="002B65D5" w:rsidRDefault="002B65D5" w:rsidP="002B65D5">
            <w:pPr>
              <w:tabs>
                <w:tab w:val="left" w:pos="1090"/>
              </w:tabs>
              <w:ind w:right="172"/>
              <w:jc w:val="both"/>
              <w:rPr>
                <w:sz w:val="24"/>
                <w:szCs w:val="24"/>
              </w:rPr>
            </w:pPr>
            <w:r>
              <w:rPr>
                <w:b/>
                <w:sz w:val="24"/>
                <w:szCs w:val="24"/>
              </w:rPr>
              <w:t>Коментар департаменту ІТ:</w:t>
            </w:r>
          </w:p>
          <w:p w:rsidR="002B65D5" w:rsidRDefault="002B65D5" w:rsidP="00CB196B">
            <w:pPr>
              <w:tabs>
                <w:tab w:val="left" w:pos="1090"/>
              </w:tabs>
              <w:ind w:right="172"/>
              <w:rPr>
                <w:b/>
                <w:sz w:val="24"/>
                <w:szCs w:val="24"/>
              </w:rPr>
            </w:pPr>
          </w:p>
          <w:p w:rsidR="00DD38CE" w:rsidRPr="00A21F0D" w:rsidRDefault="00DD38CE" w:rsidP="00DD38CE">
            <w:pPr>
              <w:pStyle w:val="normal"/>
              <w:keepNext w:val="0"/>
              <w:tabs>
                <w:tab w:val="left" w:pos="1156"/>
              </w:tabs>
              <w:spacing w:after="120" w:line="240" w:lineRule="auto"/>
              <w:jc w:val="both"/>
              <w:rPr>
                <w:rFonts w:ascii="Times New Roman" w:hAnsi="Times New Roman" w:cs="Times New Roman"/>
                <w:sz w:val="24"/>
                <w:szCs w:val="24"/>
              </w:rPr>
            </w:pPr>
            <w:r w:rsidRPr="00A21F0D">
              <w:rPr>
                <w:rFonts w:ascii="Times New Roman" w:hAnsi="Times New Roman" w:cs="Times New Roman"/>
                <w:sz w:val="24"/>
                <w:szCs w:val="24"/>
              </w:rPr>
              <w:t xml:space="preserve">Приведення довідника 35 «Вид інформації, що передається від депозитарної установи до уповноваженого на зберігання (Центрального депозитарію цінних паперів та/або Національного банку України) при припиненні нею здійснення депозитарної діяльності депозитарної установи» у відповідність до абзаців другого, третього підпункту 1 пункту 1 глави 3 розділу IV та абзацу восьмого підпункту </w:t>
            </w:r>
            <w:r w:rsidRPr="00A21F0D">
              <w:rPr>
                <w:rFonts w:ascii="Times New Roman" w:hAnsi="Times New Roman" w:cs="Times New Roman"/>
                <w:sz w:val="24"/>
                <w:szCs w:val="24"/>
              </w:rPr>
              <w:lastRenderedPageBreak/>
              <w:t>2 пункту 3 глави 3 розділу IV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рішення Комісії від 08.04.2014 № 431 (далі – Положення про припинення).</w:t>
            </w:r>
          </w:p>
          <w:p w:rsidR="00DD38CE" w:rsidRPr="00A21F0D" w:rsidRDefault="00DD38CE" w:rsidP="00DD38CE">
            <w:pPr>
              <w:pStyle w:val="normal"/>
              <w:keepNext w:val="0"/>
              <w:tabs>
                <w:tab w:val="left" w:pos="1156"/>
              </w:tabs>
              <w:spacing w:after="120" w:line="240" w:lineRule="auto"/>
              <w:ind w:firstLine="567"/>
              <w:jc w:val="both"/>
              <w:rPr>
                <w:rFonts w:ascii="Times New Roman" w:hAnsi="Times New Roman" w:cs="Times New Roman"/>
                <w:sz w:val="24"/>
                <w:szCs w:val="24"/>
              </w:rPr>
            </w:pPr>
            <w:r w:rsidRPr="00A21F0D">
              <w:rPr>
                <w:rFonts w:ascii="Times New Roman" w:hAnsi="Times New Roman" w:cs="Times New Roman"/>
                <w:sz w:val="24"/>
                <w:szCs w:val="24"/>
              </w:rPr>
              <w:t>Департаментом методології регулювання професійних учасників ринку цінних паперів запропоновано доповнити довідник новими показниками за кодами: 03, 06, зміст показника 07 викласти у новій редакції.</w:t>
            </w:r>
          </w:p>
          <w:p w:rsidR="00DD38CE" w:rsidRPr="00A21F0D" w:rsidRDefault="00DD38CE" w:rsidP="00DD38CE">
            <w:pPr>
              <w:pStyle w:val="normal"/>
              <w:keepNext w:val="0"/>
              <w:tabs>
                <w:tab w:val="left" w:pos="1156"/>
              </w:tabs>
              <w:spacing w:line="240" w:lineRule="auto"/>
              <w:ind w:right="176" w:firstLine="567"/>
              <w:jc w:val="both"/>
              <w:rPr>
                <w:rFonts w:ascii="Times New Roman" w:hAnsi="Times New Roman" w:cs="Times New Roman"/>
                <w:sz w:val="24"/>
                <w:szCs w:val="24"/>
              </w:rPr>
            </w:pPr>
            <w:r w:rsidRPr="00A21F0D">
              <w:rPr>
                <w:rFonts w:ascii="Times New Roman" w:hAnsi="Times New Roman" w:cs="Times New Roman"/>
                <w:sz w:val="24"/>
                <w:szCs w:val="24"/>
              </w:rPr>
              <w:t>Департаментом ІТ запропоновано замість доповнення довідника новими показниками за кодами 03, 06 та викладення показника 07 у новій редакції, пропонується не використовувати зміст показника за кодом 07 внесенням відмітки – «не використовується» для виключення подальшого внесення змін в зміст цього показника, для подальшого спрощення вибірки інформації за різні періоди подання звітності. Показники за кодами 03, 06 цього довідника вже використовувались у попередніх редакціях довідника.</w:t>
            </w:r>
          </w:p>
          <w:p w:rsidR="00DD38CE" w:rsidRPr="00A21F0D" w:rsidRDefault="00DD38CE" w:rsidP="00DD38CE">
            <w:pPr>
              <w:ind w:firstLine="567"/>
              <w:jc w:val="both"/>
              <w:rPr>
                <w:sz w:val="24"/>
                <w:szCs w:val="24"/>
              </w:rPr>
            </w:pPr>
            <w:r w:rsidRPr="00A21F0D">
              <w:rPr>
                <w:sz w:val="24"/>
                <w:szCs w:val="24"/>
              </w:rPr>
              <w:t>Пропонується внести відповідно нові показники за кодами 19, 20, 21.</w:t>
            </w:r>
          </w:p>
          <w:p w:rsidR="00DD38CE" w:rsidRPr="00A21F0D" w:rsidRDefault="00DD38CE" w:rsidP="00DD38CE">
            <w:pPr>
              <w:pStyle w:val="normal"/>
              <w:keepNext w:val="0"/>
              <w:tabs>
                <w:tab w:val="left" w:pos="1156"/>
              </w:tabs>
              <w:spacing w:line="240" w:lineRule="auto"/>
              <w:ind w:firstLine="567"/>
              <w:jc w:val="both"/>
              <w:rPr>
                <w:rFonts w:ascii="Times New Roman" w:hAnsi="Times New Roman" w:cs="Times New Roman"/>
                <w:sz w:val="24"/>
                <w:szCs w:val="24"/>
              </w:rPr>
            </w:pPr>
            <w:r w:rsidRPr="00A21F0D">
              <w:rPr>
                <w:rFonts w:ascii="Times New Roman" w:hAnsi="Times New Roman" w:cs="Times New Roman"/>
                <w:sz w:val="24"/>
                <w:szCs w:val="24"/>
              </w:rPr>
              <w:t>Доповнення довідника показником за кодом 19 пов’язано з викладенням абзаців другого, третього підпункту 1 пункту 1 глави 3 розділу IV Положення про припинення в редакції:</w:t>
            </w:r>
          </w:p>
          <w:p w:rsidR="00DD38CE" w:rsidRPr="00A21F0D" w:rsidRDefault="00DD38CE" w:rsidP="00DD38CE">
            <w:pPr>
              <w:pStyle w:val="rvps2"/>
              <w:shd w:val="clear" w:color="auto" w:fill="FFFFFF"/>
              <w:spacing w:before="0" w:beforeAutospacing="0" w:after="0" w:afterAutospacing="0"/>
              <w:ind w:firstLine="448"/>
              <w:jc w:val="both"/>
              <w:rPr>
                <w:color w:val="000000"/>
              </w:rPr>
            </w:pPr>
            <w:r w:rsidRPr="00A21F0D">
              <w:t>«</w:t>
            </w:r>
            <w:r w:rsidRPr="00A21F0D">
              <w:rPr>
                <w:color w:val="000000"/>
              </w:rPr>
              <w:t xml:space="preserve">за рахунками у цінних паперах, на яких обліковувалися права на </w:t>
            </w:r>
            <w:proofErr w:type="spellStart"/>
            <w:r w:rsidRPr="00A21F0D">
              <w:rPr>
                <w:color w:val="000000"/>
              </w:rPr>
              <w:t>дематеріалізовані</w:t>
            </w:r>
            <w:proofErr w:type="spellEnd"/>
            <w:r w:rsidRPr="00A21F0D">
              <w:rPr>
                <w:color w:val="000000"/>
              </w:rPr>
              <w:t xml:space="preserve"> цінні папери на підставі укладеного з емітентом договору про відкриття/обслуговування рахунків власників: сформувати у формі </w:t>
            </w:r>
            <w:r w:rsidRPr="00A21F0D">
              <w:rPr>
                <w:color w:val="000000"/>
              </w:rPr>
              <w:lastRenderedPageBreak/>
              <w:t>електронного документа відповідно до внутрішніх документів уповноваженого на зберігання відповідно до вимог законодавства - обліковий реєстр власників цінних паперів, рахунки яких обслуговуються Депозитарною установою відповідно до договору з емітентом, та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уповноваженому на зберігання).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DD38CE" w:rsidRPr="00A21F0D" w:rsidRDefault="00DD38CE" w:rsidP="00DD38CE">
            <w:pPr>
              <w:pStyle w:val="rvps2"/>
              <w:shd w:val="clear" w:color="auto" w:fill="FFFFFF"/>
              <w:spacing w:before="0" w:beforeAutospacing="0" w:after="120" w:afterAutospacing="0"/>
              <w:ind w:firstLine="448"/>
              <w:jc w:val="both"/>
            </w:pPr>
            <w:bookmarkStart w:id="6" w:name="n256"/>
            <w:bookmarkEnd w:id="6"/>
            <w:r w:rsidRPr="00A21F0D">
              <w:rPr>
                <w:color w:val="000000"/>
              </w:rPr>
              <w:t>скласти у формі електронного документа відповідно до внутрішніх документів уповноваженого на зберігання відповідно до вимог законодавства Переліки осіб, які мають право на отримання коштів.</w:t>
            </w:r>
            <w:r w:rsidRPr="00A21F0D">
              <w:t>».</w:t>
            </w:r>
          </w:p>
          <w:p w:rsidR="00DD38CE" w:rsidRPr="00A21F0D" w:rsidRDefault="00DD38CE" w:rsidP="00DD38CE">
            <w:pPr>
              <w:pStyle w:val="normal"/>
              <w:keepNext w:val="0"/>
              <w:tabs>
                <w:tab w:val="left" w:pos="1156"/>
              </w:tabs>
              <w:spacing w:line="240" w:lineRule="auto"/>
              <w:ind w:firstLine="567"/>
              <w:jc w:val="both"/>
              <w:rPr>
                <w:rFonts w:ascii="Times New Roman" w:hAnsi="Times New Roman" w:cs="Times New Roman"/>
                <w:sz w:val="24"/>
                <w:szCs w:val="24"/>
              </w:rPr>
            </w:pPr>
            <w:r w:rsidRPr="00A21F0D">
              <w:rPr>
                <w:rFonts w:ascii="Times New Roman" w:hAnsi="Times New Roman" w:cs="Times New Roman"/>
                <w:sz w:val="24"/>
                <w:szCs w:val="24"/>
              </w:rPr>
              <w:t>Доповнення довідника показниками за кодами 20, 21 пов’язано з викладенням абзацу восьмого підпункту 2 пункту 3 глави 3 розділу IV Положення про припинення в редакції:</w:t>
            </w:r>
          </w:p>
          <w:p w:rsidR="00DD38CE" w:rsidRPr="00A21F0D" w:rsidRDefault="00DD38CE" w:rsidP="00DD38CE">
            <w:pPr>
              <w:pStyle w:val="normal"/>
              <w:keepNext w:val="0"/>
              <w:tabs>
                <w:tab w:val="left" w:pos="1156"/>
              </w:tabs>
              <w:spacing w:after="120" w:line="240" w:lineRule="auto"/>
              <w:ind w:firstLine="567"/>
              <w:jc w:val="both"/>
              <w:rPr>
                <w:rFonts w:ascii="Times New Roman" w:hAnsi="Times New Roman" w:cs="Times New Roman"/>
                <w:sz w:val="24"/>
                <w:szCs w:val="24"/>
              </w:rPr>
            </w:pPr>
            <w:r w:rsidRPr="00A21F0D">
              <w:rPr>
                <w:rFonts w:ascii="Times New Roman" w:hAnsi="Times New Roman" w:cs="Times New Roman"/>
                <w:sz w:val="24"/>
                <w:szCs w:val="24"/>
              </w:rPr>
              <w:t>«</w:t>
            </w:r>
            <w:r w:rsidRPr="00A21F0D">
              <w:rPr>
                <w:rFonts w:ascii="Times New Roman" w:hAnsi="Times New Roman" w:cs="Times New Roman"/>
                <w:sz w:val="24"/>
                <w:szCs w:val="24"/>
                <w:shd w:val="clear" w:color="auto" w:fill="FFFFFF"/>
              </w:rPr>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та/або в </w:t>
            </w:r>
            <w:r w:rsidRPr="00A21F0D">
              <w:rPr>
                <w:rFonts w:ascii="Times New Roman" w:hAnsi="Times New Roman" w:cs="Times New Roman"/>
                <w:sz w:val="24"/>
                <w:szCs w:val="24"/>
                <w:shd w:val="clear" w:color="auto" w:fill="FFFFFF"/>
              </w:rPr>
              <w:lastRenderedPageBreak/>
              <w:t xml:space="preserve">Національному банку України відповідно до компетенції щодо обліку цінних паперів, визначеної </w:t>
            </w:r>
            <w:hyperlink r:id="rId12" w:tgtFrame="_blank" w:history="1">
              <w:r w:rsidRPr="00DD38CE">
                <w:rPr>
                  <w:rStyle w:val="a5"/>
                  <w:rFonts w:ascii="Times New Roman" w:hAnsi="Times New Roman" w:cs="Times New Roman"/>
                  <w:color w:val="auto"/>
                  <w:sz w:val="24"/>
                  <w:szCs w:val="24"/>
                  <w:u w:val="none"/>
                  <w:shd w:val="clear" w:color="auto" w:fill="FFFFFF"/>
                </w:rPr>
                <w:t>Законом України</w:t>
              </w:r>
            </w:hyperlink>
            <w:r w:rsidRPr="00A21F0D">
              <w:rPr>
                <w:rFonts w:ascii="Times New Roman" w:hAnsi="Times New Roman" w:cs="Times New Roman"/>
                <w:sz w:val="24"/>
                <w:szCs w:val="24"/>
                <w:shd w:val="clear" w:color="auto" w:fill="FFFFFF"/>
              </w:rPr>
              <w:t xml:space="preserve"> «Про депозитарну систему України»), складений(і)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Закону України «Про депозитарну систему України» здійснюється Національним банком України, такий баланс має бути засвідчений Національним банком України;</w:t>
            </w:r>
            <w:r w:rsidRPr="00A21F0D">
              <w:rPr>
                <w:rFonts w:ascii="Times New Roman" w:hAnsi="Times New Roman" w:cs="Times New Roman"/>
                <w:sz w:val="24"/>
                <w:szCs w:val="24"/>
              </w:rPr>
              <w:t>».</w:t>
            </w:r>
          </w:p>
          <w:p w:rsidR="00146F26" w:rsidRDefault="00146F26" w:rsidP="00146F26">
            <w:pPr>
              <w:jc w:val="both"/>
              <w:rPr>
                <w:sz w:val="24"/>
                <w:szCs w:val="24"/>
              </w:rPr>
            </w:pPr>
          </w:p>
          <w:p w:rsidR="00DD38CE" w:rsidRPr="00820ACC" w:rsidRDefault="00DD38CE" w:rsidP="00146F26">
            <w:pPr>
              <w:jc w:val="both"/>
              <w:rPr>
                <w:sz w:val="24"/>
                <w:szCs w:val="24"/>
              </w:rPr>
            </w:pPr>
          </w:p>
          <w:p w:rsidR="002B65D5" w:rsidRPr="00B8797D" w:rsidRDefault="002858B1" w:rsidP="002B65D5">
            <w:pPr>
              <w:tabs>
                <w:tab w:val="left" w:pos="1090"/>
              </w:tabs>
              <w:ind w:right="172"/>
              <w:jc w:val="both"/>
              <w:rPr>
                <w:b/>
                <w:sz w:val="24"/>
                <w:szCs w:val="24"/>
              </w:rPr>
            </w:pPr>
            <w:r w:rsidRPr="00490095">
              <w:rPr>
                <w:b/>
                <w:sz w:val="24"/>
                <w:szCs w:val="24"/>
              </w:rPr>
              <w:t>Пропозиції департаменту МРПУ РЦП є  слушними та враховані із внесенням редакційних правок</w:t>
            </w:r>
          </w:p>
        </w:tc>
        <w:tc>
          <w:tcPr>
            <w:tcW w:w="5245" w:type="dxa"/>
          </w:tcPr>
          <w:p w:rsidR="00633854" w:rsidRDefault="00633854"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CB196B">
            <w:pPr>
              <w:shd w:val="clear" w:color="auto" w:fill="FFFFFF"/>
              <w:textAlignment w:val="baseline"/>
              <w:rPr>
                <w:b/>
                <w:color w:val="000000"/>
                <w:sz w:val="24"/>
                <w:szCs w:val="24"/>
              </w:rPr>
            </w:pPr>
          </w:p>
          <w:p w:rsidR="008F470E" w:rsidRDefault="008F470E" w:rsidP="008F470E">
            <w:pPr>
              <w:shd w:val="clear" w:color="auto" w:fill="FFFFFF"/>
              <w:tabs>
                <w:tab w:val="left" w:pos="4635"/>
              </w:tabs>
              <w:ind w:right="317"/>
              <w:jc w:val="both"/>
              <w:rPr>
                <w:color w:val="000000"/>
                <w:sz w:val="24"/>
                <w:szCs w:val="24"/>
              </w:rPr>
            </w:pPr>
            <w:r w:rsidRPr="00291D9B">
              <w:rPr>
                <w:color w:val="000000"/>
                <w:sz w:val="24"/>
                <w:szCs w:val="24"/>
              </w:rPr>
              <w:t>35. Довідник «Вид інформації, що передається від депозитарної установи до уповноваженого на зберігання (Центрального депозитарію цінних паперів та/або Національного банку України) при припиненні нею здійснення депозитарної діяльності депозитарної установи»</w:t>
            </w:r>
          </w:p>
          <w:p w:rsidR="008F470E" w:rsidRDefault="008F470E" w:rsidP="008F470E">
            <w:pPr>
              <w:shd w:val="clear" w:color="auto" w:fill="FFFFFF"/>
              <w:tabs>
                <w:tab w:val="left" w:pos="4635"/>
              </w:tabs>
              <w:ind w:right="317"/>
              <w:jc w:val="both"/>
              <w:rPr>
                <w:color w:val="000000"/>
                <w:sz w:val="24"/>
                <w:szCs w:val="24"/>
              </w:rPr>
            </w:pPr>
          </w:p>
          <w:p w:rsidR="008F470E" w:rsidRPr="00291D9B" w:rsidRDefault="008F470E" w:rsidP="008F470E">
            <w:pPr>
              <w:shd w:val="clear" w:color="auto" w:fill="FFFFFF"/>
              <w:tabs>
                <w:tab w:val="left" w:pos="4635"/>
              </w:tabs>
              <w:ind w:right="317"/>
              <w:jc w:val="both"/>
              <w:rPr>
                <w:color w:val="000000"/>
                <w:sz w:val="24"/>
                <w:szCs w:val="24"/>
              </w:rPr>
            </w:pPr>
          </w:p>
          <w:tbl>
            <w:tblPr>
              <w:tblW w:w="4987"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42"/>
              <w:gridCol w:w="4045"/>
            </w:tblGrid>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hanging="11"/>
                    <w:jc w:val="center"/>
                    <w:rPr>
                      <w:sz w:val="24"/>
                      <w:szCs w:val="24"/>
                    </w:rPr>
                  </w:pPr>
                  <w:r w:rsidRPr="00291D9B">
                    <w:rPr>
                      <w:sz w:val="24"/>
                      <w:szCs w:val="24"/>
                    </w:rPr>
                    <w:t>Код показника</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10" w:firstLine="99"/>
                    <w:jc w:val="center"/>
                    <w:rPr>
                      <w:sz w:val="24"/>
                      <w:szCs w:val="24"/>
                    </w:rPr>
                  </w:pPr>
                  <w:r w:rsidRPr="00291D9B">
                    <w:rPr>
                      <w:sz w:val="24"/>
                      <w:szCs w:val="24"/>
                    </w:rPr>
                    <w:t>Зміст показника</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01</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Перелік власників цінних паперів, які не закрили рахунки в цінних паперах, окремо за кожним випуском цінних паперів із зазначенням інформації, необхідної для ідентифікації цих власників, та належних їм цінних паперів, та належних їм прав на цінні папери, та загальної кількості цінних паперів/прав на цінні папери (далі - Перелік)</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02</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Договори про відкриття/обслуговування рахунку в цінних паперах власникам цінних паперів та документи, на підставі яких цим власникам були відкриті рахунки в цінних паперах у депозитарній установі та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04</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Архіви баз даних за останні 5 років (за наявності) до дати припинення діяльності</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05</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 xml:space="preserve">Бази даних депозитарної установи </w:t>
                  </w:r>
                  <w:r w:rsidRPr="00291D9B">
                    <w:rPr>
                      <w:sz w:val="24"/>
                      <w:szCs w:val="24"/>
                    </w:rPr>
                    <w:lastRenderedPageBreak/>
                    <w:t>станом на кінець операційного дня, що передує даті припинення діяльності</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lastRenderedPageBreak/>
                    <w:t>07</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8F470E">
                  <w:pPr>
                    <w:tabs>
                      <w:tab w:val="left" w:pos="4635"/>
                    </w:tabs>
                    <w:ind w:left="-108" w:firstLine="96"/>
                    <w:jc w:val="both"/>
                    <w:rPr>
                      <w:sz w:val="24"/>
                      <w:szCs w:val="24"/>
                    </w:rPr>
                  </w:pPr>
                  <w:r w:rsidRPr="00291D9B">
                    <w:rPr>
                      <w:sz w:val="24"/>
                      <w:szCs w:val="24"/>
                    </w:rPr>
                    <w:t>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уповноваженого на зберігання, складений станом на кінець операційного дня, що передує даті припинення діяльності, засвідчений підписом керівника або уповноваженої ним особи та печаткою депозитарної установи)</w:t>
                  </w:r>
                  <w:r>
                    <w:rPr>
                      <w:sz w:val="24"/>
                      <w:szCs w:val="24"/>
                    </w:rPr>
                    <w:t xml:space="preserve"> (не використовується)  </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08</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Копія рішення органу ліцензування про анулювання ліцензії</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09</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Копія постанови про відкриття ліквідаційної процедури (за наявності)</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10</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Копія баз даних станом на кінець операційного дня, що передує даті початку припинення діяльності</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12</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Виписки про стан рахунків у цінних паперах станом на кінець операційного дня, що передує даті припинення діяльності</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13</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Облікові регістри (журнали), що визначені нормативно-правовими актами України як обов'язкові при здійсненні діяльності депозитарної установи</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15</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 xml:space="preserve">Обліковий реєстр власників цінних </w:t>
                  </w:r>
                  <w:r w:rsidRPr="00291D9B">
                    <w:rPr>
                      <w:sz w:val="24"/>
                      <w:szCs w:val="24"/>
                    </w:rPr>
                    <w:lastRenderedPageBreak/>
                    <w:t>паперів, рахунки яких обслуговуються депозитарною установою відповідно до договору з емітентом, складений станом на кінець операційного дня, що передує даті припинення діяльності</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lastRenderedPageBreak/>
                    <w:t>16</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Документи, що є підставою для приймання уповноваженим на зберігання документів, архівів, баз даних депозитарної установи: </w:t>
                  </w:r>
                  <w:r w:rsidRPr="00291D9B">
                    <w:rPr>
                      <w:sz w:val="24"/>
                      <w:szCs w:val="24"/>
                    </w:rPr>
                    <w:br/>
                    <w:t>рішення уповноваженого органу депозитарної установи про припинення ним провадження депозитарної діяльності або припинення депозитарної установи як юридичної особи; </w:t>
                  </w:r>
                  <w:r w:rsidRPr="00291D9B">
                    <w:rPr>
                      <w:sz w:val="24"/>
                      <w:szCs w:val="24"/>
                    </w:rPr>
                    <w:br/>
                    <w:t>постанови господарського суду про визнання боржника банкрутом і відкриття ліквідаційної процедури; </w:t>
                  </w:r>
                  <w:r w:rsidRPr="00291D9B">
                    <w:rPr>
                      <w:sz w:val="24"/>
                      <w:szCs w:val="24"/>
                    </w:rPr>
                    <w:br/>
                    <w:t>рішення органу ліцензування про анулювання ліцензії, крім випадку анулювання ліцензії за відповідною заявою ліцензіата</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17</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Договори про обслуговування зберігачем активів інститутів спільного інвестування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інститутів спільного інвестування</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sidRPr="00291D9B">
                    <w:rPr>
                      <w:sz w:val="24"/>
                      <w:szCs w:val="24"/>
                    </w:rPr>
                    <w:t>18</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both"/>
                    <w:rPr>
                      <w:sz w:val="24"/>
                      <w:szCs w:val="24"/>
                    </w:rPr>
                  </w:pPr>
                  <w:r w:rsidRPr="00291D9B">
                    <w:rPr>
                      <w:sz w:val="24"/>
                      <w:szCs w:val="24"/>
                    </w:rPr>
                    <w:t xml:space="preserve">Договори про обслуговування </w:t>
                  </w:r>
                  <w:r w:rsidRPr="00291D9B">
                    <w:rPr>
                      <w:sz w:val="24"/>
                      <w:szCs w:val="24"/>
                    </w:rPr>
                    <w:lastRenderedPageBreak/>
                    <w:t>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Pr>
                      <w:sz w:val="24"/>
                      <w:szCs w:val="24"/>
                    </w:rPr>
                    <w:lastRenderedPageBreak/>
                    <w:t>19</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8F470E">
                  <w:pPr>
                    <w:pStyle w:val="a7"/>
                    <w:spacing w:before="0" w:beforeAutospacing="0" w:after="0" w:afterAutospacing="0"/>
                    <w:jc w:val="both"/>
                  </w:pPr>
                  <w:r w:rsidRPr="007E1B1D">
                    <w:t>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w:t>
                  </w:r>
                  <w:r>
                    <w:t xml:space="preserve"> </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901DB6">
                  <w:pPr>
                    <w:tabs>
                      <w:tab w:val="left" w:pos="4635"/>
                    </w:tabs>
                    <w:ind w:left="-108" w:firstLine="96"/>
                    <w:jc w:val="center"/>
                    <w:rPr>
                      <w:sz w:val="24"/>
                      <w:szCs w:val="24"/>
                    </w:rPr>
                  </w:pPr>
                  <w:r>
                    <w:rPr>
                      <w:sz w:val="24"/>
                      <w:szCs w:val="24"/>
                    </w:rPr>
                    <w:t>20</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291D9B" w:rsidRDefault="008F470E" w:rsidP="008F470E">
                  <w:pPr>
                    <w:jc w:val="both"/>
                    <w:rPr>
                      <w:sz w:val="24"/>
                      <w:szCs w:val="24"/>
                    </w:rPr>
                  </w:pPr>
                  <w:r w:rsidRPr="008F470E">
                    <w:rPr>
                      <w:sz w:val="24"/>
                      <w:szCs w:val="24"/>
                    </w:rPr>
                    <w:t xml:space="preserve">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Центральному депозитарії цінних паперів), складений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w:t>
                  </w:r>
                  <w:r w:rsidRPr="008F470E">
                    <w:rPr>
                      <w:sz w:val="24"/>
                      <w:szCs w:val="24"/>
                    </w:rPr>
                    <w:lastRenderedPageBreak/>
                    <w:t>з вимогами законодавства</w:t>
                  </w:r>
                  <w:r>
                    <w:rPr>
                      <w:sz w:val="24"/>
                      <w:szCs w:val="24"/>
                    </w:rPr>
                    <w:t xml:space="preserve"> </w:t>
                  </w:r>
                </w:p>
              </w:tc>
            </w:tr>
            <w:tr w:rsidR="008F470E" w:rsidRPr="00291D9B" w:rsidTr="008F470E">
              <w:tc>
                <w:tcPr>
                  <w:tcW w:w="942"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Default="008F470E" w:rsidP="00901DB6">
                  <w:pPr>
                    <w:tabs>
                      <w:tab w:val="left" w:pos="4635"/>
                    </w:tabs>
                    <w:ind w:left="-108" w:firstLine="96"/>
                    <w:jc w:val="center"/>
                    <w:rPr>
                      <w:sz w:val="24"/>
                      <w:szCs w:val="24"/>
                    </w:rPr>
                  </w:pPr>
                  <w:r>
                    <w:rPr>
                      <w:sz w:val="24"/>
                      <w:szCs w:val="24"/>
                    </w:rPr>
                    <w:lastRenderedPageBreak/>
                    <w:t>21</w:t>
                  </w:r>
                </w:p>
              </w:tc>
              <w:tc>
                <w:tcPr>
                  <w:tcW w:w="4045" w:type="dxa"/>
                  <w:tcBorders>
                    <w:top w:val="single" w:sz="6" w:space="0" w:color="000000"/>
                    <w:left w:val="single" w:sz="6" w:space="0" w:color="000000"/>
                    <w:bottom w:val="single" w:sz="6" w:space="0" w:color="000000"/>
                    <w:right w:val="single" w:sz="6" w:space="0" w:color="000000"/>
                  </w:tcBorders>
                  <w:shd w:val="clear" w:color="auto" w:fill="auto"/>
                  <w:hideMark/>
                </w:tcPr>
                <w:p w:rsidR="008F470E" w:rsidRPr="008F470E" w:rsidRDefault="00901DB6" w:rsidP="00901DB6">
                  <w:pPr>
                    <w:jc w:val="both"/>
                    <w:rPr>
                      <w:sz w:val="24"/>
                      <w:szCs w:val="24"/>
                    </w:rPr>
                  </w:pPr>
                  <w:r w:rsidRPr="007E1B1D">
                    <w:rPr>
                      <w:sz w:val="24"/>
                      <w:szCs w:val="24"/>
                    </w:rPr>
                    <w:t>Консолідований баланс (баланс за всіма цінними паперами, що обліковуються у депозитарній установі на рахунках у цінних паперах депонентів і на рахунку в цінних паперах депозитарної установи в Національному банку України відповідно до компетенції щодо обліку цінних паперів, визначеної Законом України "Про депозитарну систему України"), складений станом на кінець операційного дня, що передує даті припинення діяльності, у формі електронного документа відповідно до внутрішніх документів уповноваженого на зберігання згідно з вимогами законодавства, засвідчений Національним банком України</w:t>
                  </w:r>
                  <w:r>
                    <w:rPr>
                      <w:sz w:val="24"/>
                      <w:szCs w:val="24"/>
                    </w:rPr>
                    <w:t xml:space="preserve"> </w:t>
                  </w:r>
                </w:p>
              </w:tc>
            </w:tr>
          </w:tbl>
          <w:p w:rsidR="00901DB6" w:rsidRDefault="00901DB6" w:rsidP="00CB196B">
            <w:pPr>
              <w:shd w:val="clear" w:color="auto" w:fill="FFFFFF"/>
              <w:textAlignment w:val="baseline"/>
              <w:rPr>
                <w:b/>
                <w:color w:val="000000"/>
                <w:sz w:val="24"/>
                <w:szCs w:val="24"/>
              </w:rPr>
            </w:pPr>
          </w:p>
          <w:p w:rsidR="00901DB6" w:rsidRPr="00FD4825" w:rsidRDefault="00901DB6" w:rsidP="00CB196B">
            <w:pPr>
              <w:shd w:val="clear" w:color="auto" w:fill="FFFFFF"/>
              <w:textAlignment w:val="baseline"/>
              <w:rPr>
                <w:b/>
                <w:color w:val="000000"/>
                <w:sz w:val="24"/>
                <w:szCs w:val="24"/>
              </w:rPr>
            </w:pPr>
          </w:p>
        </w:tc>
      </w:tr>
    </w:tbl>
    <w:p w:rsidR="00F60707" w:rsidRPr="00291D9B" w:rsidRDefault="00F60707" w:rsidP="0029016F">
      <w:pPr>
        <w:jc w:val="center"/>
        <w:rPr>
          <w:sz w:val="24"/>
          <w:szCs w:val="24"/>
        </w:rPr>
      </w:pPr>
    </w:p>
    <w:p w:rsidR="0035691B" w:rsidRPr="00291D9B" w:rsidRDefault="0035691B" w:rsidP="0029016F">
      <w:pPr>
        <w:jc w:val="center"/>
        <w:rPr>
          <w:sz w:val="24"/>
          <w:szCs w:val="24"/>
        </w:rPr>
      </w:pPr>
    </w:p>
    <w:p w:rsidR="0035691B" w:rsidRPr="00291D9B" w:rsidRDefault="0035691B" w:rsidP="0029016F">
      <w:pPr>
        <w:jc w:val="center"/>
        <w:rPr>
          <w:sz w:val="24"/>
          <w:szCs w:val="24"/>
        </w:rPr>
      </w:pPr>
    </w:p>
    <w:p w:rsidR="0035691B" w:rsidRPr="0035691B" w:rsidRDefault="0035691B" w:rsidP="0035691B">
      <w:pPr>
        <w:rPr>
          <w:b/>
        </w:rPr>
      </w:pPr>
      <w:r w:rsidRPr="0035691B">
        <w:rPr>
          <w:b/>
          <w:lang w:val="ru-RU"/>
        </w:rPr>
        <w:t>Директор департаменту</w:t>
      </w:r>
      <w:r>
        <w:rPr>
          <w:b/>
        </w:rPr>
        <w:t xml:space="preserve"> інформаційних технологій</w:t>
      </w:r>
      <w:r>
        <w:rPr>
          <w:b/>
        </w:rPr>
        <w:tab/>
      </w:r>
      <w:r>
        <w:rPr>
          <w:b/>
        </w:rPr>
        <w:tab/>
      </w:r>
      <w:r>
        <w:rPr>
          <w:b/>
        </w:rPr>
        <w:tab/>
      </w:r>
      <w:r>
        <w:rPr>
          <w:b/>
        </w:rPr>
        <w:tab/>
      </w:r>
      <w:r>
        <w:rPr>
          <w:b/>
        </w:rPr>
        <w:tab/>
      </w:r>
      <w:r>
        <w:rPr>
          <w:b/>
        </w:rPr>
        <w:tab/>
      </w:r>
      <w:r>
        <w:rPr>
          <w:b/>
        </w:rPr>
        <w:tab/>
      </w:r>
      <w:r>
        <w:rPr>
          <w:b/>
        </w:rPr>
        <w:tab/>
        <w:t>Є. Фоменко</w:t>
      </w:r>
    </w:p>
    <w:sectPr w:rsidR="0035691B" w:rsidRPr="0035691B" w:rsidSect="00CF2BAD">
      <w:type w:val="continuous"/>
      <w:pgSz w:w="16840" w:h="11907" w:orient="landscape" w:code="9"/>
      <w:pgMar w:top="1134"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3355"/>
    <w:multiLevelType w:val="hybridMultilevel"/>
    <w:tmpl w:val="CF58E4DC"/>
    <w:lvl w:ilvl="0" w:tplc="46E675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0924AE0"/>
    <w:multiLevelType w:val="hybridMultilevel"/>
    <w:tmpl w:val="957C2A40"/>
    <w:lvl w:ilvl="0" w:tplc="8F425DB6">
      <w:start w:val="3"/>
      <w:numFmt w:val="decimal"/>
      <w:lvlText w:val="%1)"/>
      <w:lvlJc w:val="left"/>
      <w:pPr>
        <w:tabs>
          <w:tab w:val="num" w:pos="1639"/>
        </w:tabs>
        <w:ind w:left="1639" w:hanging="1095"/>
      </w:pPr>
      <w:rPr>
        <w:rFonts w:hint="default"/>
        <w:color w:val="000000"/>
      </w:rPr>
    </w:lvl>
    <w:lvl w:ilvl="1" w:tplc="04220019" w:tentative="1">
      <w:start w:val="1"/>
      <w:numFmt w:val="lowerLetter"/>
      <w:lvlText w:val="%2."/>
      <w:lvlJc w:val="left"/>
      <w:pPr>
        <w:tabs>
          <w:tab w:val="num" w:pos="1624"/>
        </w:tabs>
        <w:ind w:left="1624" w:hanging="360"/>
      </w:pPr>
    </w:lvl>
    <w:lvl w:ilvl="2" w:tplc="0422001B" w:tentative="1">
      <w:start w:val="1"/>
      <w:numFmt w:val="lowerRoman"/>
      <w:lvlText w:val="%3."/>
      <w:lvlJc w:val="right"/>
      <w:pPr>
        <w:tabs>
          <w:tab w:val="num" w:pos="2344"/>
        </w:tabs>
        <w:ind w:left="2344" w:hanging="180"/>
      </w:pPr>
    </w:lvl>
    <w:lvl w:ilvl="3" w:tplc="0422000F" w:tentative="1">
      <w:start w:val="1"/>
      <w:numFmt w:val="decimal"/>
      <w:lvlText w:val="%4."/>
      <w:lvlJc w:val="left"/>
      <w:pPr>
        <w:tabs>
          <w:tab w:val="num" w:pos="3064"/>
        </w:tabs>
        <w:ind w:left="3064" w:hanging="360"/>
      </w:pPr>
    </w:lvl>
    <w:lvl w:ilvl="4" w:tplc="04220019" w:tentative="1">
      <w:start w:val="1"/>
      <w:numFmt w:val="lowerLetter"/>
      <w:lvlText w:val="%5."/>
      <w:lvlJc w:val="left"/>
      <w:pPr>
        <w:tabs>
          <w:tab w:val="num" w:pos="3784"/>
        </w:tabs>
        <w:ind w:left="3784" w:hanging="360"/>
      </w:pPr>
    </w:lvl>
    <w:lvl w:ilvl="5" w:tplc="0422001B" w:tentative="1">
      <w:start w:val="1"/>
      <w:numFmt w:val="lowerRoman"/>
      <w:lvlText w:val="%6."/>
      <w:lvlJc w:val="right"/>
      <w:pPr>
        <w:tabs>
          <w:tab w:val="num" w:pos="4504"/>
        </w:tabs>
        <w:ind w:left="4504" w:hanging="180"/>
      </w:pPr>
    </w:lvl>
    <w:lvl w:ilvl="6" w:tplc="0422000F" w:tentative="1">
      <w:start w:val="1"/>
      <w:numFmt w:val="decimal"/>
      <w:lvlText w:val="%7."/>
      <w:lvlJc w:val="left"/>
      <w:pPr>
        <w:tabs>
          <w:tab w:val="num" w:pos="5224"/>
        </w:tabs>
        <w:ind w:left="5224" w:hanging="360"/>
      </w:pPr>
    </w:lvl>
    <w:lvl w:ilvl="7" w:tplc="04220019" w:tentative="1">
      <w:start w:val="1"/>
      <w:numFmt w:val="lowerLetter"/>
      <w:lvlText w:val="%8."/>
      <w:lvlJc w:val="left"/>
      <w:pPr>
        <w:tabs>
          <w:tab w:val="num" w:pos="5944"/>
        </w:tabs>
        <w:ind w:left="5944" w:hanging="360"/>
      </w:pPr>
    </w:lvl>
    <w:lvl w:ilvl="8" w:tplc="0422001B" w:tentative="1">
      <w:start w:val="1"/>
      <w:numFmt w:val="lowerRoman"/>
      <w:lvlText w:val="%9."/>
      <w:lvlJc w:val="right"/>
      <w:pPr>
        <w:tabs>
          <w:tab w:val="num" w:pos="6664"/>
        </w:tabs>
        <w:ind w:left="6664" w:hanging="180"/>
      </w:pPr>
    </w:lvl>
  </w:abstractNum>
  <w:abstractNum w:abstractNumId="2" w15:restartNumberingAfterBreak="0">
    <w:nsid w:val="37723F41"/>
    <w:multiLevelType w:val="hybridMultilevel"/>
    <w:tmpl w:val="0F00C650"/>
    <w:lvl w:ilvl="0" w:tplc="BC8A744C">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8703F73"/>
    <w:multiLevelType w:val="hybridMultilevel"/>
    <w:tmpl w:val="0316C3BE"/>
    <w:lvl w:ilvl="0" w:tplc="BC8A744C">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8BD1D5A"/>
    <w:multiLevelType w:val="hybridMultilevel"/>
    <w:tmpl w:val="0316C3BE"/>
    <w:lvl w:ilvl="0" w:tplc="BC8A744C">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2535ECF"/>
    <w:multiLevelType w:val="hybridMultilevel"/>
    <w:tmpl w:val="0316C3BE"/>
    <w:lvl w:ilvl="0" w:tplc="BC8A744C">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DDD1512"/>
    <w:multiLevelType w:val="hybridMultilevel"/>
    <w:tmpl w:val="0316C3BE"/>
    <w:lvl w:ilvl="0" w:tplc="BC8A744C">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2171DDA"/>
    <w:multiLevelType w:val="hybridMultilevel"/>
    <w:tmpl w:val="BD6C8F2C"/>
    <w:lvl w:ilvl="0" w:tplc="86CA9B3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8" w15:restartNumberingAfterBreak="0">
    <w:nsid w:val="7BF23757"/>
    <w:multiLevelType w:val="hybridMultilevel"/>
    <w:tmpl w:val="AD6A6F2C"/>
    <w:lvl w:ilvl="0" w:tplc="D7D8FD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16F"/>
    <w:rsid w:val="00007816"/>
    <w:rsid w:val="00023692"/>
    <w:rsid w:val="00031382"/>
    <w:rsid w:val="00037E59"/>
    <w:rsid w:val="00040606"/>
    <w:rsid w:val="00056D0B"/>
    <w:rsid w:val="0007744F"/>
    <w:rsid w:val="0008233C"/>
    <w:rsid w:val="000A24B4"/>
    <w:rsid w:val="000B017B"/>
    <w:rsid w:val="000B1901"/>
    <w:rsid w:val="000C4B79"/>
    <w:rsid w:val="000C7496"/>
    <w:rsid w:val="000D5EF8"/>
    <w:rsid w:val="000E670B"/>
    <w:rsid w:val="000F1E69"/>
    <w:rsid w:val="000F3FA6"/>
    <w:rsid w:val="00133AE9"/>
    <w:rsid w:val="0013544E"/>
    <w:rsid w:val="001424BB"/>
    <w:rsid w:val="00142993"/>
    <w:rsid w:val="00143D6C"/>
    <w:rsid w:val="0014532C"/>
    <w:rsid w:val="00146674"/>
    <w:rsid w:val="00146F26"/>
    <w:rsid w:val="00150681"/>
    <w:rsid w:val="001539EA"/>
    <w:rsid w:val="001558DA"/>
    <w:rsid w:val="00156276"/>
    <w:rsid w:val="001634E4"/>
    <w:rsid w:val="00170C42"/>
    <w:rsid w:val="001925A6"/>
    <w:rsid w:val="001A2DBD"/>
    <w:rsid w:val="001B5E08"/>
    <w:rsid w:val="001C0B42"/>
    <w:rsid w:val="001F0674"/>
    <w:rsid w:val="0021227A"/>
    <w:rsid w:val="0022369E"/>
    <w:rsid w:val="002354DF"/>
    <w:rsid w:val="00257115"/>
    <w:rsid w:val="00283A81"/>
    <w:rsid w:val="002858B1"/>
    <w:rsid w:val="0028679B"/>
    <w:rsid w:val="0029016F"/>
    <w:rsid w:val="002912C0"/>
    <w:rsid w:val="00291D9B"/>
    <w:rsid w:val="00294B2A"/>
    <w:rsid w:val="002B442F"/>
    <w:rsid w:val="002B65D5"/>
    <w:rsid w:val="002C260A"/>
    <w:rsid w:val="002C2DE2"/>
    <w:rsid w:val="002C2F85"/>
    <w:rsid w:val="002D2059"/>
    <w:rsid w:val="002D4C00"/>
    <w:rsid w:val="002D6367"/>
    <w:rsid w:val="002D7D3D"/>
    <w:rsid w:val="002E0AD2"/>
    <w:rsid w:val="002E374E"/>
    <w:rsid w:val="002E5BCB"/>
    <w:rsid w:val="002E7CE2"/>
    <w:rsid w:val="0031000C"/>
    <w:rsid w:val="00316736"/>
    <w:rsid w:val="0032236D"/>
    <w:rsid w:val="00322C4B"/>
    <w:rsid w:val="0035691B"/>
    <w:rsid w:val="00381C9A"/>
    <w:rsid w:val="00383146"/>
    <w:rsid w:val="003835AC"/>
    <w:rsid w:val="00386637"/>
    <w:rsid w:val="003975F5"/>
    <w:rsid w:val="003A4C17"/>
    <w:rsid w:val="003B21CD"/>
    <w:rsid w:val="003C1D44"/>
    <w:rsid w:val="003D14F6"/>
    <w:rsid w:val="003E3A02"/>
    <w:rsid w:val="0041586C"/>
    <w:rsid w:val="00423A10"/>
    <w:rsid w:val="00437309"/>
    <w:rsid w:val="004523A8"/>
    <w:rsid w:val="0045591D"/>
    <w:rsid w:val="00462395"/>
    <w:rsid w:val="00472F07"/>
    <w:rsid w:val="00481AFF"/>
    <w:rsid w:val="00490095"/>
    <w:rsid w:val="004A113B"/>
    <w:rsid w:val="004B17B7"/>
    <w:rsid w:val="004C340D"/>
    <w:rsid w:val="004D254C"/>
    <w:rsid w:val="004D39C5"/>
    <w:rsid w:val="004F570E"/>
    <w:rsid w:val="004F6A78"/>
    <w:rsid w:val="00522304"/>
    <w:rsid w:val="0052711B"/>
    <w:rsid w:val="005320C1"/>
    <w:rsid w:val="00562B21"/>
    <w:rsid w:val="00572A2D"/>
    <w:rsid w:val="005759E0"/>
    <w:rsid w:val="0059350F"/>
    <w:rsid w:val="005B2731"/>
    <w:rsid w:val="005B46B3"/>
    <w:rsid w:val="005C16C6"/>
    <w:rsid w:val="005D1C90"/>
    <w:rsid w:val="005D7AC0"/>
    <w:rsid w:val="005D7AE7"/>
    <w:rsid w:val="005F6824"/>
    <w:rsid w:val="006001D6"/>
    <w:rsid w:val="006062D2"/>
    <w:rsid w:val="006220A3"/>
    <w:rsid w:val="00623625"/>
    <w:rsid w:val="00624C92"/>
    <w:rsid w:val="00633854"/>
    <w:rsid w:val="0064194D"/>
    <w:rsid w:val="00646D57"/>
    <w:rsid w:val="00656CB6"/>
    <w:rsid w:val="00670A15"/>
    <w:rsid w:val="006717E2"/>
    <w:rsid w:val="00673C0C"/>
    <w:rsid w:val="00677716"/>
    <w:rsid w:val="006B11AE"/>
    <w:rsid w:val="006B3004"/>
    <w:rsid w:val="006B3124"/>
    <w:rsid w:val="006C27DC"/>
    <w:rsid w:val="006C5F9B"/>
    <w:rsid w:val="006D302F"/>
    <w:rsid w:val="006E4E9C"/>
    <w:rsid w:val="006E7B50"/>
    <w:rsid w:val="006F3F39"/>
    <w:rsid w:val="006F6E15"/>
    <w:rsid w:val="0073425F"/>
    <w:rsid w:val="00763E1E"/>
    <w:rsid w:val="00780E3F"/>
    <w:rsid w:val="00784198"/>
    <w:rsid w:val="00784EE9"/>
    <w:rsid w:val="00785036"/>
    <w:rsid w:val="007B4CBC"/>
    <w:rsid w:val="007C0A2A"/>
    <w:rsid w:val="007D6F69"/>
    <w:rsid w:val="007F0CBB"/>
    <w:rsid w:val="007F1EBF"/>
    <w:rsid w:val="007F52DB"/>
    <w:rsid w:val="007F5757"/>
    <w:rsid w:val="00807AF2"/>
    <w:rsid w:val="00812E82"/>
    <w:rsid w:val="0083707F"/>
    <w:rsid w:val="00842C77"/>
    <w:rsid w:val="00860530"/>
    <w:rsid w:val="0086758E"/>
    <w:rsid w:val="0088089D"/>
    <w:rsid w:val="0088637A"/>
    <w:rsid w:val="008A35CB"/>
    <w:rsid w:val="008A6310"/>
    <w:rsid w:val="008C24E4"/>
    <w:rsid w:val="008C46B7"/>
    <w:rsid w:val="008D400B"/>
    <w:rsid w:val="008F470E"/>
    <w:rsid w:val="008F7B8C"/>
    <w:rsid w:val="00901DB6"/>
    <w:rsid w:val="00904D05"/>
    <w:rsid w:val="0091363A"/>
    <w:rsid w:val="00913D04"/>
    <w:rsid w:val="009222C2"/>
    <w:rsid w:val="0093153F"/>
    <w:rsid w:val="00934DE8"/>
    <w:rsid w:val="00937805"/>
    <w:rsid w:val="00952EAA"/>
    <w:rsid w:val="00956640"/>
    <w:rsid w:val="00960BD1"/>
    <w:rsid w:val="0098021A"/>
    <w:rsid w:val="00983BD9"/>
    <w:rsid w:val="009873CB"/>
    <w:rsid w:val="00987F8F"/>
    <w:rsid w:val="009A2DBA"/>
    <w:rsid w:val="009A3A54"/>
    <w:rsid w:val="009A47B0"/>
    <w:rsid w:val="009C6659"/>
    <w:rsid w:val="009C7BD5"/>
    <w:rsid w:val="009D381B"/>
    <w:rsid w:val="009F18C6"/>
    <w:rsid w:val="009F269C"/>
    <w:rsid w:val="00A05DCD"/>
    <w:rsid w:val="00A14422"/>
    <w:rsid w:val="00A379B7"/>
    <w:rsid w:val="00A55FBE"/>
    <w:rsid w:val="00A64F9A"/>
    <w:rsid w:val="00A66524"/>
    <w:rsid w:val="00A70465"/>
    <w:rsid w:val="00A7763F"/>
    <w:rsid w:val="00A95BF7"/>
    <w:rsid w:val="00A96A80"/>
    <w:rsid w:val="00AA3993"/>
    <w:rsid w:val="00AA6DD4"/>
    <w:rsid w:val="00AC20F1"/>
    <w:rsid w:val="00AC535B"/>
    <w:rsid w:val="00AE381B"/>
    <w:rsid w:val="00B07E39"/>
    <w:rsid w:val="00B109C8"/>
    <w:rsid w:val="00B10E67"/>
    <w:rsid w:val="00B310EC"/>
    <w:rsid w:val="00B60BD8"/>
    <w:rsid w:val="00B64F5A"/>
    <w:rsid w:val="00B66324"/>
    <w:rsid w:val="00B701EF"/>
    <w:rsid w:val="00B8159F"/>
    <w:rsid w:val="00B8797D"/>
    <w:rsid w:val="00B9004C"/>
    <w:rsid w:val="00B9024B"/>
    <w:rsid w:val="00B92A48"/>
    <w:rsid w:val="00BA68F7"/>
    <w:rsid w:val="00BC04E7"/>
    <w:rsid w:val="00BD57FA"/>
    <w:rsid w:val="00BE3A0B"/>
    <w:rsid w:val="00BE65B6"/>
    <w:rsid w:val="00BE6C5F"/>
    <w:rsid w:val="00BF3CFE"/>
    <w:rsid w:val="00C13AA5"/>
    <w:rsid w:val="00C1619A"/>
    <w:rsid w:val="00C20250"/>
    <w:rsid w:val="00C31024"/>
    <w:rsid w:val="00C33966"/>
    <w:rsid w:val="00C46316"/>
    <w:rsid w:val="00C47699"/>
    <w:rsid w:val="00C674C4"/>
    <w:rsid w:val="00C84A78"/>
    <w:rsid w:val="00C874E3"/>
    <w:rsid w:val="00CB196B"/>
    <w:rsid w:val="00CD163F"/>
    <w:rsid w:val="00CD5686"/>
    <w:rsid w:val="00CD7654"/>
    <w:rsid w:val="00CF291C"/>
    <w:rsid w:val="00CF2BAD"/>
    <w:rsid w:val="00D0286F"/>
    <w:rsid w:val="00D11A6C"/>
    <w:rsid w:val="00D14483"/>
    <w:rsid w:val="00D235ED"/>
    <w:rsid w:val="00D41755"/>
    <w:rsid w:val="00D5306B"/>
    <w:rsid w:val="00D6751F"/>
    <w:rsid w:val="00D72152"/>
    <w:rsid w:val="00D74109"/>
    <w:rsid w:val="00D94C27"/>
    <w:rsid w:val="00DA042B"/>
    <w:rsid w:val="00DC0D5C"/>
    <w:rsid w:val="00DD38CE"/>
    <w:rsid w:val="00DE2657"/>
    <w:rsid w:val="00DE59C8"/>
    <w:rsid w:val="00E0314F"/>
    <w:rsid w:val="00E136EC"/>
    <w:rsid w:val="00E17BF2"/>
    <w:rsid w:val="00E20BCC"/>
    <w:rsid w:val="00E232E6"/>
    <w:rsid w:val="00E40160"/>
    <w:rsid w:val="00E40982"/>
    <w:rsid w:val="00E66103"/>
    <w:rsid w:val="00E71158"/>
    <w:rsid w:val="00E74460"/>
    <w:rsid w:val="00E76247"/>
    <w:rsid w:val="00E83B04"/>
    <w:rsid w:val="00E93B0D"/>
    <w:rsid w:val="00E944F7"/>
    <w:rsid w:val="00E960ED"/>
    <w:rsid w:val="00EA3466"/>
    <w:rsid w:val="00EB07CF"/>
    <w:rsid w:val="00EC1B63"/>
    <w:rsid w:val="00EC42B1"/>
    <w:rsid w:val="00EC6D76"/>
    <w:rsid w:val="00EE1CE3"/>
    <w:rsid w:val="00EE2FAD"/>
    <w:rsid w:val="00EF2459"/>
    <w:rsid w:val="00F03ACE"/>
    <w:rsid w:val="00F05AB4"/>
    <w:rsid w:val="00F05DD9"/>
    <w:rsid w:val="00F141BC"/>
    <w:rsid w:val="00F164BB"/>
    <w:rsid w:val="00F368F0"/>
    <w:rsid w:val="00F40A6E"/>
    <w:rsid w:val="00F4251A"/>
    <w:rsid w:val="00F44553"/>
    <w:rsid w:val="00F45DC1"/>
    <w:rsid w:val="00F53662"/>
    <w:rsid w:val="00F537A7"/>
    <w:rsid w:val="00F54C52"/>
    <w:rsid w:val="00F604BA"/>
    <w:rsid w:val="00F60707"/>
    <w:rsid w:val="00F771D7"/>
    <w:rsid w:val="00F81C27"/>
    <w:rsid w:val="00F8228D"/>
    <w:rsid w:val="00F905DC"/>
    <w:rsid w:val="00F92700"/>
    <w:rsid w:val="00F94A8A"/>
    <w:rsid w:val="00FB309F"/>
    <w:rsid w:val="00FF041C"/>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51723A-1CBC-411C-BF45-38B27A02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Знак"/>
    <w:basedOn w:val="a"/>
    <w:rsid w:val="00386637"/>
    <w:pPr>
      <w:tabs>
        <w:tab w:val="left" w:pos="567"/>
      </w:tabs>
    </w:pPr>
    <w:rPr>
      <w:sz w:val="24"/>
      <w:szCs w:val="24"/>
      <w:lang w:val="en-US" w:eastAsia="en-US"/>
    </w:rPr>
  </w:style>
  <w:style w:type="paragraph" w:customStyle="1" w:styleId="normal">
    <w:name w:val="normal"/>
    <w:rsid w:val="00257115"/>
    <w:pPr>
      <w:keepNext/>
      <w:spacing w:line="276" w:lineRule="auto"/>
    </w:pPr>
    <w:rPr>
      <w:rFonts w:ascii="Arial" w:hAnsi="Arial" w:cs="Arial"/>
      <w:color w:val="000000"/>
      <w:sz w:val="22"/>
      <w:szCs w:val="22"/>
      <w:lang w:val="uk-UA" w:eastAsia="uk-UA"/>
    </w:rPr>
  </w:style>
  <w:style w:type="character" w:styleId="a5">
    <w:name w:val="Hyperlink"/>
    <w:uiPriority w:val="99"/>
    <w:rsid w:val="000F1E69"/>
    <w:rPr>
      <w:color w:val="0000FF"/>
      <w:u w:val="single"/>
    </w:rPr>
  </w:style>
  <w:style w:type="character" w:customStyle="1" w:styleId="rvts0">
    <w:name w:val="rvts0"/>
    <w:basedOn w:val="a0"/>
    <w:rsid w:val="00E0314F"/>
  </w:style>
  <w:style w:type="paragraph" w:styleId="a6">
    <w:name w:val="Body Text"/>
    <w:basedOn w:val="a"/>
    <w:rsid w:val="0031000C"/>
    <w:pPr>
      <w:spacing w:after="120"/>
    </w:pPr>
    <w:rPr>
      <w:sz w:val="24"/>
      <w:szCs w:val="24"/>
    </w:rPr>
  </w:style>
  <w:style w:type="paragraph" w:styleId="3">
    <w:name w:val="Body Text Indent 3"/>
    <w:basedOn w:val="a"/>
    <w:rsid w:val="00E93B0D"/>
    <w:pPr>
      <w:ind w:firstLine="851"/>
      <w:jc w:val="both"/>
    </w:pPr>
    <w:rPr>
      <w:szCs w:val="20"/>
      <w:lang w:eastAsia="ru-RU"/>
    </w:rPr>
  </w:style>
  <w:style w:type="paragraph" w:customStyle="1" w:styleId="rvps12">
    <w:name w:val="rvps12"/>
    <w:basedOn w:val="a"/>
    <w:rsid w:val="00B701EF"/>
    <w:pPr>
      <w:spacing w:before="100" w:beforeAutospacing="1" w:after="100" w:afterAutospacing="1"/>
    </w:pPr>
    <w:rPr>
      <w:sz w:val="24"/>
      <w:szCs w:val="24"/>
    </w:rPr>
  </w:style>
  <w:style w:type="paragraph" w:styleId="a7">
    <w:name w:val="Normal (Web)"/>
    <w:basedOn w:val="a"/>
    <w:rsid w:val="009F18C6"/>
    <w:pPr>
      <w:spacing w:before="100" w:beforeAutospacing="1" w:after="100" w:afterAutospacing="1"/>
    </w:pPr>
    <w:rPr>
      <w:sz w:val="24"/>
      <w:szCs w:val="24"/>
    </w:rPr>
  </w:style>
  <w:style w:type="paragraph" w:customStyle="1" w:styleId="tj">
    <w:name w:val="tj"/>
    <w:basedOn w:val="a"/>
    <w:rsid w:val="008C46B7"/>
    <w:pPr>
      <w:spacing w:before="100" w:beforeAutospacing="1" w:after="100" w:afterAutospacing="1"/>
    </w:pPr>
    <w:rPr>
      <w:sz w:val="24"/>
      <w:szCs w:val="24"/>
    </w:rPr>
  </w:style>
  <w:style w:type="paragraph" w:customStyle="1" w:styleId="StyleZakonu">
    <w:name w:val="StyleZakonu"/>
    <w:basedOn w:val="a"/>
    <w:link w:val="StyleZakonu0"/>
    <w:rsid w:val="00D41755"/>
    <w:pPr>
      <w:spacing w:after="60" w:line="220" w:lineRule="exact"/>
      <w:ind w:firstLine="284"/>
      <w:jc w:val="both"/>
    </w:pPr>
    <w:rPr>
      <w:sz w:val="20"/>
      <w:szCs w:val="20"/>
      <w:lang w:val="x-none" w:eastAsia="ru-RU"/>
    </w:rPr>
  </w:style>
  <w:style w:type="character" w:customStyle="1" w:styleId="StyleZakonu0">
    <w:name w:val="StyleZakonu Знак"/>
    <w:link w:val="StyleZakonu"/>
    <w:locked/>
    <w:rsid w:val="00D41755"/>
    <w:rPr>
      <w:lang w:eastAsia="ru-RU"/>
    </w:rPr>
  </w:style>
  <w:style w:type="paragraph" w:styleId="a8">
    <w:name w:val="List Paragraph"/>
    <w:basedOn w:val="a"/>
    <w:uiPriority w:val="34"/>
    <w:qFormat/>
    <w:rsid w:val="001558DA"/>
    <w:pPr>
      <w:spacing w:line="276" w:lineRule="auto"/>
      <w:ind w:left="720"/>
      <w:contextualSpacing/>
    </w:pPr>
    <w:rPr>
      <w:rFonts w:eastAsia="Calibri"/>
      <w:szCs w:val="22"/>
      <w:lang w:eastAsia="en-US"/>
    </w:rPr>
  </w:style>
  <w:style w:type="paragraph" w:customStyle="1" w:styleId="rvps2">
    <w:name w:val="rvps2"/>
    <w:basedOn w:val="a"/>
    <w:rsid w:val="00291D9B"/>
    <w:pPr>
      <w:spacing w:before="100" w:beforeAutospacing="1" w:after="100" w:afterAutospacing="1"/>
    </w:pPr>
    <w:rPr>
      <w:sz w:val="24"/>
      <w:szCs w:val="24"/>
    </w:rPr>
  </w:style>
  <w:style w:type="paragraph" w:customStyle="1" w:styleId="rvps14">
    <w:name w:val="rvps14"/>
    <w:basedOn w:val="a"/>
    <w:rsid w:val="00291D9B"/>
    <w:pPr>
      <w:spacing w:before="100" w:beforeAutospacing="1" w:after="100" w:afterAutospacing="1"/>
    </w:pPr>
    <w:rPr>
      <w:sz w:val="24"/>
      <w:szCs w:val="24"/>
    </w:rPr>
  </w:style>
  <w:style w:type="character" w:styleId="a9">
    <w:name w:val="Strong"/>
    <w:qFormat/>
    <w:rsid w:val="00960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4698">
      <w:bodyDiv w:val="1"/>
      <w:marLeft w:val="0"/>
      <w:marRight w:val="0"/>
      <w:marTop w:val="0"/>
      <w:marBottom w:val="0"/>
      <w:divBdr>
        <w:top w:val="none" w:sz="0" w:space="0" w:color="auto"/>
        <w:left w:val="none" w:sz="0" w:space="0" w:color="auto"/>
        <w:bottom w:val="none" w:sz="0" w:space="0" w:color="auto"/>
        <w:right w:val="none" w:sz="0" w:space="0" w:color="auto"/>
      </w:divBdr>
      <w:divsChild>
        <w:div w:id="1435901981">
          <w:marLeft w:val="0"/>
          <w:marRight w:val="0"/>
          <w:marTop w:val="0"/>
          <w:marBottom w:val="0"/>
          <w:divBdr>
            <w:top w:val="none" w:sz="0" w:space="0" w:color="auto"/>
            <w:left w:val="none" w:sz="0" w:space="0" w:color="auto"/>
            <w:bottom w:val="none" w:sz="0" w:space="0" w:color="auto"/>
            <w:right w:val="none" w:sz="0" w:space="0" w:color="auto"/>
          </w:divBdr>
        </w:div>
      </w:divsChild>
    </w:div>
    <w:div w:id="1788890891">
      <w:bodyDiv w:val="1"/>
      <w:marLeft w:val="0"/>
      <w:marRight w:val="0"/>
      <w:marTop w:val="0"/>
      <w:marBottom w:val="0"/>
      <w:divBdr>
        <w:top w:val="none" w:sz="0" w:space="0" w:color="auto"/>
        <w:left w:val="none" w:sz="0" w:space="0" w:color="auto"/>
        <w:bottom w:val="none" w:sz="0" w:space="0" w:color="auto"/>
        <w:right w:val="none" w:sz="0" w:space="0" w:color="auto"/>
      </w:divBdr>
      <w:divsChild>
        <w:div w:id="1515993762">
          <w:marLeft w:val="0"/>
          <w:marRight w:val="0"/>
          <w:marTop w:val="150"/>
          <w:marBottom w:val="150"/>
          <w:divBdr>
            <w:top w:val="none" w:sz="0" w:space="0" w:color="auto"/>
            <w:left w:val="none" w:sz="0" w:space="0" w:color="auto"/>
            <w:bottom w:val="none" w:sz="0" w:space="0" w:color="auto"/>
            <w:right w:val="none" w:sz="0" w:space="0" w:color="auto"/>
          </w:divBdr>
        </w:div>
      </w:divsChild>
    </w:div>
    <w:div w:id="1943222780">
      <w:bodyDiv w:val="1"/>
      <w:marLeft w:val="0"/>
      <w:marRight w:val="0"/>
      <w:marTop w:val="0"/>
      <w:marBottom w:val="0"/>
      <w:divBdr>
        <w:top w:val="none" w:sz="0" w:space="0" w:color="auto"/>
        <w:left w:val="none" w:sz="0" w:space="0" w:color="auto"/>
        <w:bottom w:val="none" w:sz="0" w:space="0" w:color="auto"/>
        <w:right w:val="none" w:sz="0" w:space="0" w:color="auto"/>
      </w:divBdr>
      <w:divsChild>
        <w:div w:id="1094398876">
          <w:marLeft w:val="0"/>
          <w:marRight w:val="0"/>
          <w:marTop w:val="0"/>
          <w:marBottom w:val="0"/>
          <w:divBdr>
            <w:top w:val="none" w:sz="0" w:space="0" w:color="auto"/>
            <w:left w:val="none" w:sz="0" w:space="0" w:color="auto"/>
            <w:bottom w:val="none" w:sz="0" w:space="0" w:color="auto"/>
            <w:right w:val="none" w:sz="0" w:space="0" w:color="auto"/>
          </w:divBdr>
          <w:divsChild>
            <w:div w:id="1142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178-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514-17" TargetMode="External"/><Relationship Id="rId12" Type="http://schemas.openxmlformats.org/officeDocument/2006/relationships/hyperlink" Target="https://zakon.rada.gov.ua/laws/show/517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5178-17" TargetMode="External"/><Relationship Id="rId11" Type="http://schemas.openxmlformats.org/officeDocument/2006/relationships/hyperlink" Target="http://zakon2.rada.gov.ua/laws/show/514-17" TargetMode="External"/><Relationship Id="rId5" Type="http://schemas.openxmlformats.org/officeDocument/2006/relationships/webSettings" Target="webSettings.xml"/><Relationship Id="rId10" Type="http://schemas.openxmlformats.org/officeDocument/2006/relationships/hyperlink" Target="http://zakon2.rada.gov.ua/laws/show/5178-17" TargetMode="External"/><Relationship Id="rId4" Type="http://schemas.openxmlformats.org/officeDocument/2006/relationships/settings" Target="settings.xml"/><Relationship Id="rId9" Type="http://schemas.openxmlformats.org/officeDocument/2006/relationships/hyperlink" Target="http://zakon2.rada.gov.ua/laws/show/514-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8709C-0CAD-46C2-BFE9-5566FFB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5466</Words>
  <Characters>31157</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Національна комісія</Company>
  <LinksUpToDate>false</LinksUpToDate>
  <CharactersWithSpaces>36550</CharactersWithSpaces>
  <SharedDoc>false</SharedDoc>
  <HLinks>
    <vt:vector size="42" baseType="variant">
      <vt:variant>
        <vt:i4>6488099</vt:i4>
      </vt:variant>
      <vt:variant>
        <vt:i4>18</vt:i4>
      </vt:variant>
      <vt:variant>
        <vt:i4>0</vt:i4>
      </vt:variant>
      <vt:variant>
        <vt:i4>5</vt:i4>
      </vt:variant>
      <vt:variant>
        <vt:lpwstr>https://zakon.rada.gov.ua/laws/show/5178-17</vt:lpwstr>
      </vt:variant>
      <vt:variant>
        <vt:lpwstr/>
      </vt:variant>
      <vt:variant>
        <vt:i4>3866678</vt:i4>
      </vt:variant>
      <vt:variant>
        <vt:i4>15</vt:i4>
      </vt:variant>
      <vt:variant>
        <vt:i4>0</vt:i4>
      </vt:variant>
      <vt:variant>
        <vt:i4>5</vt:i4>
      </vt:variant>
      <vt:variant>
        <vt:lpwstr>http://zakon2.rada.gov.ua/laws/show/514-17</vt:lpwstr>
      </vt:variant>
      <vt:variant>
        <vt:lpwstr/>
      </vt:variant>
      <vt:variant>
        <vt:i4>2621481</vt:i4>
      </vt:variant>
      <vt:variant>
        <vt:i4>12</vt:i4>
      </vt:variant>
      <vt:variant>
        <vt:i4>0</vt:i4>
      </vt:variant>
      <vt:variant>
        <vt:i4>5</vt:i4>
      </vt:variant>
      <vt:variant>
        <vt:lpwstr>http://zakon2.rada.gov.ua/laws/show/5178-17</vt:lpwstr>
      </vt:variant>
      <vt:variant>
        <vt:lpwstr/>
      </vt:variant>
      <vt:variant>
        <vt:i4>3866678</vt:i4>
      </vt:variant>
      <vt:variant>
        <vt:i4>9</vt:i4>
      </vt:variant>
      <vt:variant>
        <vt:i4>0</vt:i4>
      </vt:variant>
      <vt:variant>
        <vt:i4>5</vt:i4>
      </vt:variant>
      <vt:variant>
        <vt:lpwstr>http://zakon2.rada.gov.ua/laws/show/514-17</vt:lpwstr>
      </vt:variant>
      <vt:variant>
        <vt:lpwstr/>
      </vt:variant>
      <vt:variant>
        <vt:i4>2621481</vt:i4>
      </vt:variant>
      <vt:variant>
        <vt:i4>6</vt:i4>
      </vt:variant>
      <vt:variant>
        <vt:i4>0</vt:i4>
      </vt:variant>
      <vt:variant>
        <vt:i4>5</vt:i4>
      </vt:variant>
      <vt:variant>
        <vt:lpwstr>http://zakon2.rada.gov.ua/laws/show/5178-17</vt:lpwstr>
      </vt:variant>
      <vt:variant>
        <vt:lpwstr/>
      </vt:variant>
      <vt:variant>
        <vt:i4>7340092</vt:i4>
      </vt:variant>
      <vt:variant>
        <vt:i4>3</vt:i4>
      </vt:variant>
      <vt:variant>
        <vt:i4>0</vt:i4>
      </vt:variant>
      <vt:variant>
        <vt:i4>5</vt:i4>
      </vt:variant>
      <vt:variant>
        <vt:lpwstr>https://zakon.rada.gov.ua/laws/show/514-17</vt:lpwstr>
      </vt:variant>
      <vt:variant>
        <vt:lpwstr/>
      </vt:variant>
      <vt:variant>
        <vt:i4>6488099</vt:i4>
      </vt:variant>
      <vt:variant>
        <vt:i4>0</vt:i4>
      </vt:variant>
      <vt:variant>
        <vt:i4>0</vt:i4>
      </vt:variant>
      <vt:variant>
        <vt:i4>5</vt:i4>
      </vt:variant>
      <vt:variant>
        <vt:lpwstr>https://zakon.rada.gov.ua/laws/show/5178-17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Руслан Кисляк</cp:lastModifiedBy>
  <cp:revision>2</cp:revision>
  <dcterms:created xsi:type="dcterms:W3CDTF">2019-03-22T10:44:00Z</dcterms:created>
  <dcterms:modified xsi:type="dcterms:W3CDTF">2019-03-22T10:44:00Z</dcterms:modified>
</cp:coreProperties>
</file>