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293" w:rsidRDefault="00DB78CA" w:rsidP="000009E0">
      <w:pPr>
        <w:jc w:val="center"/>
        <w:rPr>
          <w:b/>
        </w:rPr>
      </w:pPr>
      <w:r w:rsidRPr="000009E0">
        <w:rPr>
          <w:b/>
        </w:rPr>
        <w:t xml:space="preserve">Інформація про результати розгляду зауважень та пропозицій, </w:t>
      </w:r>
    </w:p>
    <w:p w:rsidR="00DB78CA" w:rsidRDefault="00DB78CA" w:rsidP="000009E0">
      <w:pPr>
        <w:jc w:val="center"/>
        <w:rPr>
          <w:b/>
        </w:rPr>
      </w:pPr>
      <w:r w:rsidRPr="000009E0">
        <w:rPr>
          <w:b/>
        </w:rPr>
        <w:t xml:space="preserve">наданих до </w:t>
      </w:r>
      <w:r w:rsidR="000009E0" w:rsidRPr="000009E0">
        <w:rPr>
          <w:b/>
        </w:rPr>
        <w:t xml:space="preserve">проекту рішення Національної комісії з цінних паперів та фондового ринку </w:t>
      </w:r>
      <w:r w:rsidR="000009E0" w:rsidRPr="000B07F1">
        <w:rPr>
          <w:b/>
        </w:rPr>
        <w:t>«</w:t>
      </w:r>
      <w:bookmarkStart w:id="0" w:name="_GoBack"/>
      <w:r w:rsidR="004E1D38" w:rsidRPr="004E1D38">
        <w:rPr>
          <w:b/>
        </w:rPr>
        <w:t>Про затвердження Порядку розрахунку кількості голосуючих акцій</w:t>
      </w:r>
      <w:bookmarkEnd w:id="0"/>
      <w:r w:rsidR="00681D88">
        <w:rPr>
          <w:b/>
        </w:rPr>
        <w:t xml:space="preserve"> </w:t>
      </w:r>
      <w:r w:rsidR="00681D88" w:rsidRPr="00681D88">
        <w:rPr>
          <w:b/>
        </w:rPr>
        <w:t>(прав голосу за акціями)</w:t>
      </w:r>
      <w:r w:rsidR="004E1D38" w:rsidRPr="004E1D38">
        <w:rPr>
          <w:b/>
        </w:rPr>
        <w:t>, що належать фізичній особі або юридичній особі відповідно до фінансових інструментів, передбачених частиною 10 статті 64</w:t>
      </w:r>
      <w:r w:rsidR="00151293">
        <w:rPr>
          <w:b/>
        </w:rPr>
        <w:t>-</w:t>
      </w:r>
      <w:r w:rsidR="004E1D38" w:rsidRPr="004E1D38">
        <w:rPr>
          <w:b/>
        </w:rPr>
        <w:t>1 Закону України «Про акціонерні товариства</w:t>
      </w:r>
      <w:r w:rsidR="000009E0" w:rsidRPr="000B07F1">
        <w:rPr>
          <w:b/>
        </w:rPr>
        <w:t>»</w:t>
      </w:r>
      <w:r w:rsidR="00FD4198" w:rsidRPr="000B07F1">
        <w:rPr>
          <w:b/>
        </w:rPr>
        <w:t>,</w:t>
      </w:r>
      <w:r w:rsidR="000009E0" w:rsidRPr="000B07F1">
        <w:rPr>
          <w:b/>
        </w:rPr>
        <w:t xml:space="preserve"> схваленого рішенням Комісії від </w:t>
      </w:r>
      <w:r w:rsidR="00657DD1" w:rsidRPr="000B07F1">
        <w:rPr>
          <w:b/>
        </w:rPr>
        <w:t>20</w:t>
      </w:r>
      <w:r w:rsidR="000009E0" w:rsidRPr="000B07F1">
        <w:rPr>
          <w:b/>
        </w:rPr>
        <w:t>.</w:t>
      </w:r>
      <w:r w:rsidR="00657DD1" w:rsidRPr="000B07F1">
        <w:rPr>
          <w:b/>
        </w:rPr>
        <w:t>12</w:t>
      </w:r>
      <w:r w:rsidR="000009E0" w:rsidRPr="000B07F1">
        <w:rPr>
          <w:b/>
        </w:rPr>
        <w:t>.2018 № </w:t>
      </w:r>
      <w:r w:rsidR="00657DD1" w:rsidRPr="000B07F1">
        <w:rPr>
          <w:b/>
        </w:rPr>
        <w:t>90</w:t>
      </w:r>
      <w:r w:rsidR="004E1D38">
        <w:rPr>
          <w:b/>
        </w:rPr>
        <w:t>5</w:t>
      </w:r>
    </w:p>
    <w:tbl>
      <w:tblPr>
        <w:tblW w:w="508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
        <w:gridCol w:w="5012"/>
        <w:gridCol w:w="5190"/>
        <w:gridCol w:w="5579"/>
      </w:tblGrid>
      <w:tr w:rsidR="007D60A7" w:rsidRPr="00681D88" w:rsidTr="000E4928">
        <w:tc>
          <w:tcPr>
            <w:tcW w:w="129" w:type="pct"/>
            <w:shd w:val="clear" w:color="auto" w:fill="auto"/>
            <w:vAlign w:val="center"/>
          </w:tcPr>
          <w:p w:rsidR="00397F5F" w:rsidRPr="000E4928" w:rsidRDefault="00397F5F" w:rsidP="000E4928">
            <w:pPr>
              <w:ind w:left="-28"/>
              <w:jc w:val="center"/>
              <w:rPr>
                <w:b/>
                <w:sz w:val="16"/>
                <w:szCs w:val="16"/>
              </w:rPr>
            </w:pPr>
            <w:r w:rsidRPr="000E4928">
              <w:rPr>
                <w:b/>
                <w:sz w:val="16"/>
                <w:szCs w:val="16"/>
              </w:rPr>
              <w:t>№ з/п</w:t>
            </w:r>
          </w:p>
        </w:tc>
        <w:tc>
          <w:tcPr>
            <w:tcW w:w="1547" w:type="pct"/>
            <w:shd w:val="clear" w:color="auto" w:fill="auto"/>
            <w:vAlign w:val="center"/>
          </w:tcPr>
          <w:p w:rsidR="00397F5F" w:rsidRPr="000E4928" w:rsidRDefault="00397F5F" w:rsidP="000E4928">
            <w:pPr>
              <w:jc w:val="center"/>
              <w:rPr>
                <w:b/>
              </w:rPr>
            </w:pPr>
            <w:r w:rsidRPr="000E4928">
              <w:rPr>
                <w:b/>
              </w:rPr>
              <w:t>Редакція рішенням НКЦПФР</w:t>
            </w:r>
          </w:p>
          <w:p w:rsidR="00397F5F" w:rsidRPr="000E4928" w:rsidRDefault="00397F5F" w:rsidP="000E4928">
            <w:pPr>
              <w:jc w:val="center"/>
              <w:rPr>
                <w:b/>
              </w:rPr>
            </w:pPr>
            <w:r w:rsidRPr="000E4928">
              <w:rPr>
                <w:b/>
              </w:rPr>
              <w:t>від 20.12.2018 № 905</w:t>
            </w:r>
          </w:p>
        </w:tc>
        <w:tc>
          <w:tcPr>
            <w:tcW w:w="1602" w:type="pct"/>
            <w:shd w:val="clear" w:color="auto" w:fill="auto"/>
            <w:vAlign w:val="center"/>
          </w:tcPr>
          <w:p w:rsidR="00397F5F" w:rsidRPr="000E4928" w:rsidRDefault="00397F5F" w:rsidP="000E4928">
            <w:pPr>
              <w:jc w:val="center"/>
              <w:rPr>
                <w:b/>
              </w:rPr>
            </w:pPr>
            <w:r w:rsidRPr="000E4928">
              <w:rPr>
                <w:b/>
              </w:rPr>
              <w:t>Пропозиції та зауваження</w:t>
            </w:r>
          </w:p>
          <w:p w:rsidR="00397F5F" w:rsidRPr="000E4928" w:rsidRDefault="00397F5F" w:rsidP="000E4928">
            <w:pPr>
              <w:jc w:val="center"/>
              <w:rPr>
                <w:b/>
              </w:rPr>
            </w:pPr>
            <w:r w:rsidRPr="000E4928">
              <w:rPr>
                <w:b/>
              </w:rPr>
              <w:t>від зацікавлених осіб</w:t>
            </w:r>
          </w:p>
        </w:tc>
        <w:tc>
          <w:tcPr>
            <w:tcW w:w="1722" w:type="pct"/>
            <w:shd w:val="clear" w:color="auto" w:fill="auto"/>
            <w:vAlign w:val="center"/>
          </w:tcPr>
          <w:p w:rsidR="00397F5F" w:rsidRPr="000E4928" w:rsidRDefault="00397F5F" w:rsidP="000E4928">
            <w:pPr>
              <w:jc w:val="center"/>
              <w:rPr>
                <w:b/>
              </w:rPr>
            </w:pPr>
            <w:r w:rsidRPr="000E4928">
              <w:rPr>
                <w:b/>
              </w:rPr>
              <w:t>Остаточна редакція</w:t>
            </w:r>
          </w:p>
        </w:tc>
      </w:tr>
      <w:tr w:rsidR="00397F5F" w:rsidRPr="00681D88" w:rsidTr="000E4928">
        <w:tc>
          <w:tcPr>
            <w:tcW w:w="129" w:type="pct"/>
            <w:shd w:val="clear" w:color="auto" w:fill="auto"/>
            <w:vAlign w:val="center"/>
          </w:tcPr>
          <w:p w:rsidR="00397F5F" w:rsidRPr="000E4928" w:rsidRDefault="00397F5F" w:rsidP="000E4928">
            <w:pPr>
              <w:ind w:left="-28"/>
              <w:jc w:val="center"/>
              <w:rPr>
                <w:b/>
              </w:rPr>
            </w:pPr>
          </w:p>
        </w:tc>
        <w:tc>
          <w:tcPr>
            <w:tcW w:w="4871" w:type="pct"/>
            <w:gridSpan w:val="3"/>
            <w:shd w:val="clear" w:color="auto" w:fill="auto"/>
            <w:vAlign w:val="center"/>
          </w:tcPr>
          <w:p w:rsidR="00397F5F" w:rsidRPr="000E4928" w:rsidRDefault="00397F5F" w:rsidP="000E4928">
            <w:pPr>
              <w:jc w:val="center"/>
              <w:rPr>
                <w:b/>
              </w:rPr>
            </w:pPr>
            <w:r w:rsidRPr="000E4928">
              <w:rPr>
                <w:b/>
              </w:rPr>
              <w:t>I. Загальні положення</w:t>
            </w:r>
          </w:p>
        </w:tc>
      </w:tr>
      <w:tr w:rsidR="007D60A7" w:rsidRPr="00681D88" w:rsidTr="000E4928">
        <w:tc>
          <w:tcPr>
            <w:tcW w:w="129" w:type="pct"/>
            <w:shd w:val="clear" w:color="auto" w:fill="auto"/>
            <w:vAlign w:val="center"/>
          </w:tcPr>
          <w:p w:rsidR="00397F5F" w:rsidRPr="000E4928" w:rsidRDefault="00397F5F" w:rsidP="000E4928">
            <w:pPr>
              <w:ind w:left="-28"/>
              <w:jc w:val="center"/>
              <w:rPr>
                <w:b/>
              </w:rPr>
            </w:pPr>
          </w:p>
        </w:tc>
        <w:tc>
          <w:tcPr>
            <w:tcW w:w="1547" w:type="pct"/>
            <w:shd w:val="clear" w:color="auto" w:fill="auto"/>
          </w:tcPr>
          <w:p w:rsidR="00397F5F" w:rsidRPr="000E4928" w:rsidRDefault="00397F5F" w:rsidP="000E4928">
            <w:pPr>
              <w:ind w:firstLine="13"/>
              <w:jc w:val="both"/>
              <w:rPr>
                <w:b/>
              </w:rPr>
            </w:pPr>
            <w:r w:rsidRPr="00681D88">
              <w:t xml:space="preserve">1. Цей Порядок встановлює </w:t>
            </w:r>
            <w:r w:rsidRPr="00681D88">
              <w:rPr>
                <w:rStyle w:val="rvts0"/>
              </w:rPr>
              <w:t xml:space="preserve">процедуру розрахунку кількості голосуючих акцій </w:t>
            </w:r>
            <w:r w:rsidRPr="00681D88">
              <w:t>(прав голосу за акціями)</w:t>
            </w:r>
            <w:r w:rsidRPr="00681D88">
              <w:rPr>
                <w:rStyle w:val="rvts0"/>
              </w:rPr>
              <w:t xml:space="preserve">, які прямо або опосередковано </w:t>
            </w:r>
            <w:r w:rsidRPr="00681D88">
              <w:t xml:space="preserve">належать фізичній або </w:t>
            </w:r>
            <w:r w:rsidRPr="00681D88">
              <w:rPr>
                <w:rStyle w:val="rvts0"/>
              </w:rPr>
              <w:t>юридичній особі (далі – особа) відповідно до фінансових інструментів, що на дату їх виконання надають своєму власнику право набути голосуючі акції публічного акціонерного товариства (далі – товариство) шляхом їх поставки та фінансових інструментів, які мають подібну економічну природу, але на дату їх виконання не передбачають поставки акцій товариства своєму власнику.</w:t>
            </w:r>
          </w:p>
        </w:tc>
        <w:tc>
          <w:tcPr>
            <w:tcW w:w="1602" w:type="pct"/>
            <w:shd w:val="clear" w:color="auto" w:fill="auto"/>
            <w:vAlign w:val="center"/>
          </w:tcPr>
          <w:p w:rsidR="00397F5F" w:rsidRPr="00681D88" w:rsidRDefault="00397F5F" w:rsidP="000E4928">
            <w:pPr>
              <w:jc w:val="center"/>
            </w:pPr>
          </w:p>
        </w:tc>
        <w:tc>
          <w:tcPr>
            <w:tcW w:w="1722" w:type="pct"/>
            <w:shd w:val="clear" w:color="auto" w:fill="auto"/>
          </w:tcPr>
          <w:p w:rsidR="00397F5F" w:rsidRPr="00681D88" w:rsidRDefault="00397F5F" w:rsidP="000E4928">
            <w:pPr>
              <w:pStyle w:val="a5"/>
              <w:spacing w:before="0" w:beforeAutospacing="0" w:after="0" w:afterAutospacing="0"/>
              <w:jc w:val="both"/>
            </w:pPr>
            <w:r w:rsidRPr="00681D88">
              <w:t>1. Вимоги цього Порядку поширюються виключно на голосуюч</w:t>
            </w:r>
            <w:r w:rsidR="007D60A7">
              <w:t>і</w:t>
            </w:r>
            <w:r w:rsidRPr="00681D88">
              <w:t xml:space="preserve"> акції (права голосу за акціями) публічних акціонерних товариств.</w:t>
            </w:r>
          </w:p>
          <w:p w:rsidR="00397F5F" w:rsidRPr="00681D88" w:rsidRDefault="00397F5F" w:rsidP="000E4928">
            <w:pPr>
              <w:pStyle w:val="a5"/>
              <w:spacing w:before="0" w:beforeAutospacing="0" w:after="0" w:afterAutospacing="0"/>
              <w:jc w:val="both"/>
            </w:pPr>
            <w:r w:rsidRPr="00681D88">
              <w:t xml:space="preserve">2. Цей Порядок встановлює </w:t>
            </w:r>
            <w:r w:rsidRPr="00681D88">
              <w:rPr>
                <w:rStyle w:val="rvts0"/>
              </w:rPr>
              <w:t xml:space="preserve">процедуру розрахунку кількості голосуючих акцій </w:t>
            </w:r>
            <w:r w:rsidRPr="00681D88">
              <w:t>(прав голосу за акціями)</w:t>
            </w:r>
            <w:r w:rsidRPr="00681D88">
              <w:rPr>
                <w:rStyle w:val="rvts0"/>
              </w:rPr>
              <w:t xml:space="preserve">, які прямо або опосередковано </w:t>
            </w:r>
            <w:r w:rsidRPr="00681D88">
              <w:t xml:space="preserve">належать фізичній або </w:t>
            </w:r>
            <w:r w:rsidRPr="00681D88">
              <w:rPr>
                <w:rStyle w:val="rvts0"/>
              </w:rPr>
              <w:t xml:space="preserve">юридичній особі (далі – особа) відповідно до фінансових інструментів, що на дату їх виконання надають своєму власнику право набути голосуючі акції публічного акціонерного товариства (далі – товариство) шляхом їх поставки та фінансових інструментів, які мають подібну економічну природу, але на дату їх виконання не передбачають поставки акцій товариства своєму власнику </w:t>
            </w:r>
            <w:r w:rsidRPr="00681D88">
              <w:t>(далі – фінансові інструменти)</w:t>
            </w:r>
            <w:r w:rsidRPr="00681D88">
              <w:rPr>
                <w:rStyle w:val="rvts0"/>
              </w:rPr>
              <w:t>.</w:t>
            </w:r>
          </w:p>
        </w:tc>
      </w:tr>
      <w:tr w:rsidR="007D60A7" w:rsidRPr="00681D88" w:rsidTr="000E4928">
        <w:trPr>
          <w:trHeight w:val="3047"/>
        </w:trPr>
        <w:tc>
          <w:tcPr>
            <w:tcW w:w="129" w:type="pct"/>
            <w:shd w:val="clear" w:color="auto" w:fill="auto"/>
            <w:vAlign w:val="center"/>
          </w:tcPr>
          <w:p w:rsidR="00397F5F" w:rsidRPr="000E4928" w:rsidRDefault="00397F5F" w:rsidP="000E4928">
            <w:pPr>
              <w:ind w:left="-28"/>
              <w:jc w:val="center"/>
              <w:rPr>
                <w:b/>
              </w:rPr>
            </w:pPr>
          </w:p>
        </w:tc>
        <w:tc>
          <w:tcPr>
            <w:tcW w:w="1547" w:type="pct"/>
            <w:shd w:val="clear" w:color="auto" w:fill="auto"/>
          </w:tcPr>
          <w:p w:rsidR="00397F5F" w:rsidRPr="00681D88" w:rsidRDefault="007D60A7" w:rsidP="000E4928">
            <w:pPr>
              <w:jc w:val="both"/>
            </w:pPr>
            <w:r w:rsidRPr="00681D88">
              <w:t xml:space="preserve">2. Орієнтовний (невиключний) перелік фінансових інструментів, </w:t>
            </w:r>
            <w:r w:rsidRPr="000E4928">
              <w:rPr>
                <w:b/>
              </w:rPr>
              <w:t xml:space="preserve">що на дату їх виконання надають своєму власнику право набути голосуючі акції  товариства шляхом їх поставки та фінансових інструментів, </w:t>
            </w:r>
            <w:r w:rsidRPr="000E4928">
              <w:rPr>
                <w:rStyle w:val="rvts0"/>
                <w:b/>
              </w:rPr>
              <w:t>які мають подібну економічну природу, але не передбачають поставки акцій товариства своєму власнику</w:t>
            </w:r>
            <w:r w:rsidRPr="000E4928">
              <w:rPr>
                <w:b/>
              </w:rPr>
              <w:t xml:space="preserve"> (далі – фінансові інструменти) </w:t>
            </w:r>
            <w:r w:rsidRPr="00681D88">
              <w:t>розміщений на офіційному веб-сайті Національної комісії з цінних паперів та фондового ринку (далі – Комісія).</w:t>
            </w:r>
          </w:p>
        </w:tc>
        <w:tc>
          <w:tcPr>
            <w:tcW w:w="1602" w:type="pct"/>
            <w:shd w:val="clear" w:color="auto" w:fill="auto"/>
          </w:tcPr>
          <w:p w:rsidR="00397F5F" w:rsidRPr="00681D88" w:rsidRDefault="00397F5F"/>
        </w:tc>
        <w:tc>
          <w:tcPr>
            <w:tcW w:w="1722" w:type="pct"/>
            <w:shd w:val="clear" w:color="auto" w:fill="auto"/>
          </w:tcPr>
          <w:p w:rsidR="00397F5F" w:rsidRPr="00681D88" w:rsidRDefault="00397F5F" w:rsidP="000E4928">
            <w:pPr>
              <w:pStyle w:val="a5"/>
              <w:spacing w:before="0" w:beforeAutospacing="0" w:after="0" w:afterAutospacing="0"/>
              <w:ind w:firstLine="540"/>
              <w:jc w:val="both"/>
            </w:pPr>
            <w:r w:rsidRPr="00681D88">
              <w:t xml:space="preserve">3. Орієнтовний (невиключний) перелік фінансових інструментів, </w:t>
            </w:r>
            <w:r w:rsidRPr="000E4928">
              <w:rPr>
                <w:b/>
              </w:rPr>
              <w:t>передбачених частиною 10 статті 64</w:t>
            </w:r>
            <w:r w:rsidRPr="000E4928">
              <w:rPr>
                <w:b/>
                <w:vertAlign w:val="superscript"/>
              </w:rPr>
              <w:t>1</w:t>
            </w:r>
            <w:r w:rsidRPr="000E4928">
              <w:rPr>
                <w:b/>
              </w:rPr>
              <w:t xml:space="preserve"> Закону України «Про акціонерні товариства»</w:t>
            </w:r>
            <w:r w:rsidR="00D672B8" w:rsidRPr="000E4928">
              <w:rPr>
                <w:b/>
              </w:rPr>
              <w:t>,</w:t>
            </w:r>
            <w:r w:rsidRPr="00681D88">
              <w:t xml:space="preserve"> розміщений на офіційному веб-сайті Національної комісії з цінних паперів та фондового ринку (далі – Комісія).</w:t>
            </w:r>
          </w:p>
          <w:p w:rsidR="00397F5F" w:rsidRPr="00681D88" w:rsidRDefault="00397F5F" w:rsidP="000E4928">
            <w:pPr>
              <w:pStyle w:val="a5"/>
              <w:spacing w:before="0" w:beforeAutospacing="0" w:after="0" w:afterAutospacing="0"/>
              <w:ind w:firstLine="540"/>
              <w:jc w:val="both"/>
            </w:pPr>
          </w:p>
        </w:tc>
      </w:tr>
      <w:tr w:rsidR="007D60A7" w:rsidRPr="00681D88" w:rsidTr="000E4928">
        <w:trPr>
          <w:trHeight w:val="1248"/>
        </w:trPr>
        <w:tc>
          <w:tcPr>
            <w:tcW w:w="129" w:type="pct"/>
            <w:shd w:val="clear" w:color="auto" w:fill="auto"/>
            <w:vAlign w:val="center"/>
          </w:tcPr>
          <w:p w:rsidR="00397F5F" w:rsidRPr="000E4928" w:rsidRDefault="00397F5F" w:rsidP="000E4928">
            <w:pPr>
              <w:ind w:left="-28"/>
              <w:jc w:val="center"/>
              <w:rPr>
                <w:b/>
              </w:rPr>
            </w:pPr>
          </w:p>
        </w:tc>
        <w:tc>
          <w:tcPr>
            <w:tcW w:w="1547" w:type="pct"/>
            <w:shd w:val="clear" w:color="auto" w:fill="auto"/>
          </w:tcPr>
          <w:p w:rsidR="00397F5F" w:rsidRPr="000E4928" w:rsidRDefault="00397F5F" w:rsidP="000E4928">
            <w:pPr>
              <w:pStyle w:val="normal"/>
              <w:ind w:firstLine="13"/>
              <w:jc w:val="both"/>
              <w:rPr>
                <w:color w:val="000000"/>
                <w:sz w:val="24"/>
                <w:szCs w:val="24"/>
              </w:rPr>
            </w:pPr>
            <w:r w:rsidRPr="000E4928">
              <w:rPr>
                <w:sz w:val="24"/>
                <w:szCs w:val="24"/>
              </w:rPr>
              <w:t>3.</w:t>
            </w:r>
            <w:r w:rsidRPr="000E4928">
              <w:rPr>
                <w:rStyle w:val="rvts0"/>
                <w:sz w:val="24"/>
                <w:szCs w:val="24"/>
              </w:rPr>
              <w:t xml:space="preserve"> Під фінансовими інструментами, які на дату їх виконання не передбачають поставки акцій товариства своєму власнику</w:t>
            </w:r>
            <w:r w:rsidRPr="000E4928">
              <w:rPr>
                <w:color w:val="000000"/>
                <w:sz w:val="24"/>
                <w:szCs w:val="24"/>
              </w:rPr>
              <w:t xml:space="preserve"> розуміються  фінансові інструменти </w:t>
            </w:r>
            <w:r w:rsidRPr="000E4928">
              <w:rPr>
                <w:sz w:val="24"/>
                <w:szCs w:val="24"/>
              </w:rPr>
              <w:t>базовим активом яких є право голосу за акціями</w:t>
            </w:r>
            <w:r w:rsidRPr="000E4928">
              <w:rPr>
                <w:color w:val="000000"/>
                <w:sz w:val="24"/>
                <w:szCs w:val="24"/>
              </w:rPr>
              <w:t>.</w:t>
            </w:r>
          </w:p>
          <w:p w:rsidR="00397F5F" w:rsidRPr="00681D88" w:rsidRDefault="00397F5F" w:rsidP="000E4928">
            <w:pPr>
              <w:pStyle w:val="a5"/>
              <w:spacing w:before="0" w:beforeAutospacing="0" w:after="0" w:afterAutospacing="0"/>
              <w:ind w:left="57" w:firstLine="13"/>
              <w:jc w:val="both"/>
            </w:pPr>
          </w:p>
          <w:p w:rsidR="00397F5F" w:rsidRPr="000E4928" w:rsidRDefault="00397F5F" w:rsidP="000E4928">
            <w:pPr>
              <w:ind w:firstLine="13"/>
              <w:jc w:val="both"/>
              <w:rPr>
                <w:b/>
              </w:rPr>
            </w:pPr>
          </w:p>
        </w:tc>
        <w:tc>
          <w:tcPr>
            <w:tcW w:w="1602" w:type="pct"/>
            <w:shd w:val="clear" w:color="auto" w:fill="auto"/>
            <w:vAlign w:val="center"/>
          </w:tcPr>
          <w:p w:rsidR="00397F5F" w:rsidRPr="000E4928" w:rsidRDefault="00397F5F" w:rsidP="000E4928">
            <w:pPr>
              <w:ind w:firstLine="13"/>
              <w:jc w:val="center"/>
              <w:rPr>
                <w:b/>
              </w:rPr>
            </w:pPr>
          </w:p>
        </w:tc>
        <w:tc>
          <w:tcPr>
            <w:tcW w:w="1722" w:type="pct"/>
            <w:shd w:val="clear" w:color="auto" w:fill="auto"/>
            <w:vAlign w:val="center"/>
          </w:tcPr>
          <w:p w:rsidR="00397F5F" w:rsidRPr="000E4928" w:rsidRDefault="00397F5F" w:rsidP="000E4928">
            <w:pPr>
              <w:pStyle w:val="normal"/>
              <w:ind w:firstLine="13"/>
              <w:jc w:val="both"/>
              <w:rPr>
                <w:color w:val="000000"/>
                <w:sz w:val="24"/>
                <w:szCs w:val="24"/>
              </w:rPr>
            </w:pPr>
            <w:r w:rsidRPr="000E4928">
              <w:rPr>
                <w:sz w:val="24"/>
                <w:szCs w:val="24"/>
              </w:rPr>
              <w:t>4.</w:t>
            </w:r>
            <w:r w:rsidRPr="000E4928">
              <w:rPr>
                <w:rStyle w:val="rvts0"/>
                <w:sz w:val="24"/>
                <w:szCs w:val="24"/>
              </w:rPr>
              <w:t xml:space="preserve"> Під фінансовими інструментами, які на дату їх виконання не передбачають поставки акцій товариства своєму власнику</w:t>
            </w:r>
            <w:r w:rsidRPr="000E4928">
              <w:rPr>
                <w:color w:val="000000"/>
                <w:sz w:val="24"/>
                <w:szCs w:val="24"/>
              </w:rPr>
              <w:t xml:space="preserve"> розуміються  фінансові інструменти </w:t>
            </w:r>
            <w:r w:rsidRPr="000E4928">
              <w:rPr>
                <w:sz w:val="24"/>
                <w:szCs w:val="24"/>
              </w:rPr>
              <w:t>базовим активом яких, в тому числі, є право голосу за акціями</w:t>
            </w:r>
            <w:r w:rsidRPr="000E4928">
              <w:rPr>
                <w:color w:val="000000"/>
                <w:sz w:val="24"/>
                <w:szCs w:val="24"/>
              </w:rPr>
              <w:t>.</w:t>
            </w:r>
          </w:p>
          <w:p w:rsidR="00397F5F" w:rsidRPr="000E4928" w:rsidRDefault="00397F5F" w:rsidP="000E4928">
            <w:pPr>
              <w:pStyle w:val="normal"/>
              <w:ind w:firstLine="13"/>
              <w:jc w:val="both"/>
              <w:rPr>
                <w:b/>
                <w:sz w:val="24"/>
                <w:szCs w:val="24"/>
              </w:rPr>
            </w:pPr>
            <w:r w:rsidRPr="000E4928">
              <w:rPr>
                <w:b/>
                <w:sz w:val="24"/>
                <w:szCs w:val="24"/>
              </w:rPr>
              <w:lastRenderedPageBreak/>
              <w:t>Особа самостійно оцінює чи відносяться фінансові інструменти за своєю економічною природою до групи</w:t>
            </w:r>
            <w:r w:rsidRPr="000E4928">
              <w:rPr>
                <w:rStyle w:val="rvts0"/>
                <w:b/>
                <w:sz w:val="24"/>
                <w:szCs w:val="24"/>
              </w:rPr>
              <w:t xml:space="preserve"> фінансових інструментів, які на дату їх виконання не передбачають поставки акцій товариства своєму власнику</w:t>
            </w:r>
            <w:r w:rsidRPr="000E4928">
              <w:rPr>
                <w:b/>
                <w:sz w:val="24"/>
                <w:szCs w:val="24"/>
              </w:rPr>
              <w:t>.</w:t>
            </w:r>
          </w:p>
        </w:tc>
      </w:tr>
      <w:tr w:rsidR="007D60A7" w:rsidRPr="00681D88" w:rsidTr="000E4928">
        <w:tc>
          <w:tcPr>
            <w:tcW w:w="129" w:type="pct"/>
            <w:shd w:val="clear" w:color="auto" w:fill="auto"/>
            <w:vAlign w:val="center"/>
          </w:tcPr>
          <w:p w:rsidR="00397F5F" w:rsidRPr="000E4928" w:rsidRDefault="00397F5F" w:rsidP="000E4928">
            <w:pPr>
              <w:ind w:left="-28"/>
              <w:jc w:val="center"/>
              <w:rPr>
                <w:b/>
              </w:rPr>
            </w:pPr>
          </w:p>
        </w:tc>
        <w:tc>
          <w:tcPr>
            <w:tcW w:w="1547" w:type="pct"/>
            <w:shd w:val="clear" w:color="auto" w:fill="auto"/>
            <w:vAlign w:val="center"/>
          </w:tcPr>
          <w:p w:rsidR="00397F5F" w:rsidRPr="000E4928" w:rsidRDefault="00397F5F" w:rsidP="000E4928">
            <w:pPr>
              <w:jc w:val="center"/>
              <w:rPr>
                <w:b/>
              </w:rPr>
            </w:pPr>
          </w:p>
        </w:tc>
        <w:tc>
          <w:tcPr>
            <w:tcW w:w="1602" w:type="pct"/>
            <w:shd w:val="clear" w:color="auto" w:fill="auto"/>
            <w:vAlign w:val="center"/>
          </w:tcPr>
          <w:p w:rsidR="00151293" w:rsidRPr="000E4928" w:rsidRDefault="00151293" w:rsidP="000E4928">
            <w:pPr>
              <w:jc w:val="both"/>
              <w:rPr>
                <w:b/>
              </w:rPr>
            </w:pPr>
            <w:r w:rsidRPr="000E4928">
              <w:rPr>
                <w:b/>
              </w:rPr>
              <w:t>Українська асоціація інвестиційного бізнесу</w:t>
            </w:r>
          </w:p>
          <w:p w:rsidR="00397F5F" w:rsidRPr="000E4928" w:rsidRDefault="00151293" w:rsidP="000E4928">
            <w:pPr>
              <w:jc w:val="both"/>
              <w:rPr>
                <w:b/>
              </w:rPr>
            </w:pPr>
            <w:r w:rsidRPr="007D60A7">
              <w:t>Запропонований проектом порядок розрахунку кількості голосуючих акцій (прав голосу за акціями), що належать фізичній особі або юридичній особі відповідно до фінансових інструментів, передбачених частиною 10 статті 64</w:t>
            </w:r>
            <w:r>
              <w:t>-</w:t>
            </w:r>
            <w:r w:rsidRPr="007D60A7">
              <w:t>1 Закону України «Про акціонерні товариства»</w:t>
            </w:r>
            <w:r>
              <w:t xml:space="preserve"> алгоритм розрахунку видає невірний результат, який перевищує 100%.</w:t>
            </w:r>
          </w:p>
        </w:tc>
        <w:tc>
          <w:tcPr>
            <w:tcW w:w="1722" w:type="pct"/>
            <w:shd w:val="clear" w:color="auto" w:fill="auto"/>
          </w:tcPr>
          <w:p w:rsidR="00151293" w:rsidRPr="000E4928" w:rsidRDefault="00151293" w:rsidP="000E4928">
            <w:pPr>
              <w:pStyle w:val="rvps2"/>
              <w:spacing w:before="0" w:beforeAutospacing="0" w:after="0" w:afterAutospacing="0"/>
              <w:jc w:val="both"/>
              <w:rPr>
                <w:b/>
              </w:rPr>
            </w:pPr>
            <w:r w:rsidRPr="000E4928">
              <w:rPr>
                <w:b/>
              </w:rPr>
              <w:t>Враховано</w:t>
            </w:r>
          </w:p>
          <w:p w:rsidR="00397F5F" w:rsidRPr="000E4928" w:rsidRDefault="00397F5F" w:rsidP="000E4928">
            <w:pPr>
              <w:jc w:val="both"/>
              <w:rPr>
                <w:b/>
              </w:rPr>
            </w:pPr>
            <w:r w:rsidRPr="000E4928">
              <w:rPr>
                <w:b/>
              </w:rPr>
              <w:t>5. Цей Порядок не застосовується для фінансових інструментів, що на дату їх виконання надають своєму власнику право набути голосуючі акції (право голосу на акції) додаткової емісії.</w:t>
            </w:r>
          </w:p>
        </w:tc>
      </w:tr>
      <w:tr w:rsidR="00397F5F" w:rsidRPr="00681D88" w:rsidTr="000E4928">
        <w:tc>
          <w:tcPr>
            <w:tcW w:w="129" w:type="pct"/>
            <w:shd w:val="clear" w:color="auto" w:fill="auto"/>
            <w:vAlign w:val="center"/>
          </w:tcPr>
          <w:p w:rsidR="00397F5F" w:rsidRPr="000E4928" w:rsidRDefault="00397F5F" w:rsidP="000E4928">
            <w:pPr>
              <w:ind w:left="-28"/>
              <w:jc w:val="center"/>
              <w:rPr>
                <w:b/>
              </w:rPr>
            </w:pPr>
          </w:p>
        </w:tc>
        <w:tc>
          <w:tcPr>
            <w:tcW w:w="4871" w:type="pct"/>
            <w:gridSpan w:val="3"/>
            <w:shd w:val="clear" w:color="auto" w:fill="auto"/>
            <w:vAlign w:val="center"/>
          </w:tcPr>
          <w:p w:rsidR="00397F5F" w:rsidRPr="000E4928" w:rsidRDefault="00397F5F" w:rsidP="000E4928">
            <w:pPr>
              <w:jc w:val="center"/>
              <w:rPr>
                <w:b/>
              </w:rPr>
            </w:pPr>
            <w:r w:rsidRPr="000E4928">
              <w:rPr>
                <w:b/>
              </w:rPr>
              <w:t xml:space="preserve">II. Порядок </w:t>
            </w:r>
            <w:r w:rsidRPr="000E4928">
              <w:rPr>
                <w:rStyle w:val="rvts0"/>
                <w:b/>
              </w:rPr>
              <w:t xml:space="preserve">розрахунку кількості голосуючих акцій товариства </w:t>
            </w:r>
            <w:r w:rsidRPr="000E4928">
              <w:rPr>
                <w:b/>
              </w:rPr>
              <w:t>(прав голосу за акціями)</w:t>
            </w:r>
          </w:p>
        </w:tc>
      </w:tr>
      <w:tr w:rsidR="007D60A7" w:rsidRPr="00681D88" w:rsidTr="000E4928">
        <w:trPr>
          <w:trHeight w:val="1261"/>
        </w:trPr>
        <w:tc>
          <w:tcPr>
            <w:tcW w:w="129" w:type="pct"/>
            <w:shd w:val="clear" w:color="auto" w:fill="auto"/>
            <w:vAlign w:val="center"/>
          </w:tcPr>
          <w:p w:rsidR="00397F5F" w:rsidRPr="000E4928" w:rsidRDefault="00397F5F" w:rsidP="000E4928">
            <w:pPr>
              <w:ind w:left="-28"/>
              <w:jc w:val="center"/>
              <w:rPr>
                <w:b/>
              </w:rPr>
            </w:pPr>
          </w:p>
        </w:tc>
        <w:tc>
          <w:tcPr>
            <w:tcW w:w="1547" w:type="pct"/>
            <w:shd w:val="clear" w:color="auto" w:fill="auto"/>
            <w:vAlign w:val="center"/>
          </w:tcPr>
          <w:p w:rsidR="00397F5F" w:rsidRPr="00151293" w:rsidRDefault="00397F5F" w:rsidP="000E4928">
            <w:pPr>
              <w:pStyle w:val="rvps2"/>
              <w:spacing w:before="0" w:beforeAutospacing="0" w:after="0" w:afterAutospacing="0"/>
              <w:jc w:val="both"/>
            </w:pPr>
            <w:r w:rsidRPr="00681D88">
              <w:t>4. Розрахунок кількості голосуючих акцій товариства (прав голосу за акціями), що належать особі відповідно до окремого фінансового інструменту здійснюється шляхом множення кількості таких фінансових інструментів на кількість голосуючих акції товариства (прав голосу за акціями) які є базовим активом такого фінансового інструменту.</w:t>
            </w:r>
          </w:p>
        </w:tc>
        <w:tc>
          <w:tcPr>
            <w:tcW w:w="1602" w:type="pct"/>
            <w:shd w:val="clear" w:color="auto" w:fill="auto"/>
          </w:tcPr>
          <w:p w:rsidR="00397F5F" w:rsidRPr="007D60A7" w:rsidRDefault="00397F5F" w:rsidP="000E4928">
            <w:pPr>
              <w:jc w:val="both"/>
            </w:pPr>
          </w:p>
        </w:tc>
        <w:tc>
          <w:tcPr>
            <w:tcW w:w="1722" w:type="pct"/>
            <w:shd w:val="clear" w:color="auto" w:fill="auto"/>
          </w:tcPr>
          <w:p w:rsidR="00397F5F" w:rsidRPr="00397F5F" w:rsidRDefault="00397F5F" w:rsidP="000E4928">
            <w:pPr>
              <w:pStyle w:val="rvps2"/>
              <w:spacing w:before="0" w:beforeAutospacing="0" w:after="0" w:afterAutospacing="0"/>
              <w:jc w:val="both"/>
            </w:pPr>
            <w:bookmarkStart w:id="1" w:name="n147"/>
            <w:bookmarkStart w:id="2" w:name="n148"/>
            <w:bookmarkEnd w:id="1"/>
            <w:bookmarkEnd w:id="2"/>
            <w:r w:rsidRPr="00681D88">
              <w:t xml:space="preserve">4. Розрахунок кількості голосуючих акцій товариства (прав голосу за акціями), що належать особі відповідно до кожного окремого фінансового інструменту здійснюється шляхом множення кількості таких фінансових інструментів на кількість голосуючих акції </w:t>
            </w:r>
            <w:r w:rsidRPr="000E4928">
              <w:rPr>
                <w:b/>
              </w:rPr>
              <w:t>кожного окремого</w:t>
            </w:r>
            <w:r w:rsidRPr="00681D88">
              <w:t xml:space="preserve"> товариства (прав голосу за акціями), які є базовим активом такого фінансового інструменту.</w:t>
            </w:r>
          </w:p>
        </w:tc>
      </w:tr>
      <w:tr w:rsidR="007D60A7" w:rsidRPr="00681D88" w:rsidTr="000E4928">
        <w:trPr>
          <w:trHeight w:val="1290"/>
        </w:trPr>
        <w:tc>
          <w:tcPr>
            <w:tcW w:w="129" w:type="pct"/>
            <w:shd w:val="clear" w:color="auto" w:fill="auto"/>
            <w:vAlign w:val="center"/>
          </w:tcPr>
          <w:p w:rsidR="00397F5F" w:rsidRPr="000E4928" w:rsidRDefault="00397F5F" w:rsidP="000E4928">
            <w:pPr>
              <w:ind w:left="-28"/>
              <w:jc w:val="center"/>
              <w:rPr>
                <w:b/>
              </w:rPr>
            </w:pPr>
          </w:p>
        </w:tc>
        <w:tc>
          <w:tcPr>
            <w:tcW w:w="1547" w:type="pct"/>
            <w:shd w:val="clear" w:color="auto" w:fill="auto"/>
          </w:tcPr>
          <w:p w:rsidR="00397F5F" w:rsidRPr="00397F5F" w:rsidRDefault="00397F5F" w:rsidP="000E4928">
            <w:pPr>
              <w:pStyle w:val="rvps2"/>
              <w:spacing w:before="0" w:beforeAutospacing="0" w:after="0" w:afterAutospacing="0"/>
              <w:jc w:val="both"/>
            </w:pPr>
            <w:r w:rsidRPr="00681D88">
              <w:t xml:space="preserve">5. При розрахунку підсумкового пакету голосуючих акцій товариства (сумарної кількості голосів за акціями), до кількості голосуючих акції товариства (прав голосу за акціями), які належать особі на правах власності, додається кількість голосуючих акції товариства (прав голосу за акціями), що належать особі </w:t>
            </w:r>
            <w:r w:rsidRPr="000E4928">
              <w:rPr>
                <w:b/>
              </w:rPr>
              <w:t>відповідно до</w:t>
            </w:r>
            <w:r w:rsidRPr="00681D88">
              <w:t xml:space="preserve"> </w:t>
            </w:r>
            <w:r w:rsidRPr="000E4928">
              <w:rPr>
                <w:b/>
              </w:rPr>
              <w:t>фінансових інструментів.</w:t>
            </w:r>
          </w:p>
        </w:tc>
        <w:tc>
          <w:tcPr>
            <w:tcW w:w="1602" w:type="pct"/>
            <w:shd w:val="clear" w:color="auto" w:fill="auto"/>
          </w:tcPr>
          <w:p w:rsidR="007D60A7" w:rsidRPr="000E4928" w:rsidRDefault="007D60A7" w:rsidP="000E4928">
            <w:pPr>
              <w:jc w:val="both"/>
              <w:rPr>
                <w:b/>
              </w:rPr>
            </w:pPr>
            <w:r w:rsidRPr="000E4928">
              <w:rPr>
                <w:b/>
              </w:rPr>
              <w:t>Українська асоціація інвестиційного бізнесу</w:t>
            </w:r>
          </w:p>
          <w:p w:rsidR="00397F5F" w:rsidRPr="000E4928" w:rsidRDefault="007D60A7" w:rsidP="000E4928">
            <w:pPr>
              <w:jc w:val="both"/>
              <w:rPr>
                <w:b/>
              </w:rPr>
            </w:pPr>
            <w:r w:rsidRPr="007D60A7">
              <w:t>Запропонований проектом порядок розрахунку кількості голосуючих акцій (прав голосу за акціями), що належать фізичній особі або юридичній особі відповідно до фінансових інструментів, передбачених частиною 10 статті 64</w:t>
            </w:r>
            <w:r>
              <w:t>-</w:t>
            </w:r>
            <w:r w:rsidRPr="007D60A7">
              <w:t>1 Закону України «Про акціонерні товариства»</w:t>
            </w:r>
            <w:r>
              <w:t xml:space="preserve"> алгоритм розрахунку видає невірний результат, який перевищує 100%</w:t>
            </w:r>
            <w:r w:rsidR="00151293">
              <w:t>.</w:t>
            </w:r>
          </w:p>
        </w:tc>
        <w:tc>
          <w:tcPr>
            <w:tcW w:w="1722" w:type="pct"/>
            <w:shd w:val="clear" w:color="auto" w:fill="auto"/>
          </w:tcPr>
          <w:p w:rsidR="0069270A" w:rsidRPr="000E4928" w:rsidRDefault="00397F5F" w:rsidP="000E4928">
            <w:pPr>
              <w:pStyle w:val="rvps2"/>
              <w:spacing w:before="0" w:beforeAutospacing="0" w:after="0" w:afterAutospacing="0"/>
              <w:jc w:val="both"/>
              <w:rPr>
                <w:b/>
              </w:rPr>
            </w:pPr>
            <w:r w:rsidRPr="000E4928">
              <w:rPr>
                <w:b/>
              </w:rPr>
              <w:t>Враховано</w:t>
            </w:r>
          </w:p>
          <w:p w:rsidR="00397F5F" w:rsidRPr="000E4928" w:rsidRDefault="0069270A" w:rsidP="000E4928">
            <w:pPr>
              <w:pStyle w:val="rvps2"/>
              <w:spacing w:before="0" w:beforeAutospacing="0" w:after="0" w:afterAutospacing="0"/>
              <w:jc w:val="both"/>
              <w:rPr>
                <w:b/>
              </w:rPr>
            </w:pPr>
            <w:r w:rsidRPr="0069270A">
              <w:t xml:space="preserve">5. При розрахунку підсумкового пакету голосуючих акцій товариства (сумарної кількості голосів за акціями), до кількості голосуючих акцій товариства (прав голосу за акціями), що належать особі на правах власності, додається кількість голосуючих акцій товариства (прав голосу за акціями),  що належать </w:t>
            </w:r>
            <w:r w:rsidRPr="000E4928">
              <w:rPr>
                <w:b/>
              </w:rPr>
              <w:t>такій</w:t>
            </w:r>
            <w:r w:rsidRPr="0069270A">
              <w:t xml:space="preserve"> особі, </w:t>
            </w:r>
            <w:r w:rsidRPr="000E4928">
              <w:rPr>
                <w:b/>
              </w:rPr>
              <w:t>та які є базовим активом кожного окремого фінансового інструменту.</w:t>
            </w:r>
          </w:p>
        </w:tc>
      </w:tr>
      <w:tr w:rsidR="0069270A" w:rsidRPr="00681D88" w:rsidTr="000E4928">
        <w:trPr>
          <w:trHeight w:val="1290"/>
        </w:trPr>
        <w:tc>
          <w:tcPr>
            <w:tcW w:w="129" w:type="pct"/>
            <w:shd w:val="clear" w:color="auto" w:fill="auto"/>
            <w:vAlign w:val="center"/>
          </w:tcPr>
          <w:p w:rsidR="0069270A" w:rsidRPr="000E4928" w:rsidRDefault="0069270A" w:rsidP="000E4928">
            <w:pPr>
              <w:ind w:left="-28"/>
              <w:jc w:val="center"/>
              <w:rPr>
                <w:b/>
              </w:rPr>
            </w:pPr>
          </w:p>
        </w:tc>
        <w:tc>
          <w:tcPr>
            <w:tcW w:w="1547" w:type="pct"/>
            <w:shd w:val="clear" w:color="auto" w:fill="auto"/>
          </w:tcPr>
          <w:p w:rsidR="0069270A" w:rsidRPr="00681D88" w:rsidRDefault="0069270A" w:rsidP="000E4928">
            <w:pPr>
              <w:pStyle w:val="rvps2"/>
              <w:spacing w:before="0" w:beforeAutospacing="0" w:after="0" w:afterAutospacing="0"/>
              <w:jc w:val="both"/>
            </w:pPr>
            <w:r w:rsidRPr="0069270A">
              <w:t>6. Особа, яка набуває або відчужує фінансові інструменти, якщо в результаті такого набуття або відчуження підсумковий пакет голосуючих акцій товариства (сумарна кількості голосів за акціями) стане більшим, меншим або дорівнюватиме пороговому значенню у 5, 10, 15, 20, 25, 30, 50, 75, 95 відсотків голосуючих акцій товариства (прав голосу за акціями), повинна повідомити таке товариство про зміну порогового значення підсумкового пакету голосуючих акцій товариства (сумарної кількості голосів за акціями).</w:t>
            </w:r>
          </w:p>
        </w:tc>
        <w:tc>
          <w:tcPr>
            <w:tcW w:w="1602" w:type="pct"/>
            <w:shd w:val="clear" w:color="auto" w:fill="auto"/>
            <w:vAlign w:val="center"/>
          </w:tcPr>
          <w:p w:rsidR="0069270A" w:rsidRPr="000E4928" w:rsidRDefault="0069270A" w:rsidP="000E4928">
            <w:pPr>
              <w:jc w:val="both"/>
              <w:rPr>
                <w:b/>
              </w:rPr>
            </w:pPr>
          </w:p>
        </w:tc>
        <w:tc>
          <w:tcPr>
            <w:tcW w:w="1722" w:type="pct"/>
            <w:shd w:val="clear" w:color="auto" w:fill="auto"/>
          </w:tcPr>
          <w:p w:rsidR="0069270A" w:rsidRPr="000E4928" w:rsidRDefault="0069270A" w:rsidP="000E4928">
            <w:pPr>
              <w:pStyle w:val="rvps2"/>
              <w:spacing w:before="0" w:beforeAutospacing="0" w:after="0" w:afterAutospacing="0"/>
              <w:jc w:val="both"/>
              <w:rPr>
                <w:b/>
              </w:rPr>
            </w:pPr>
            <w:r w:rsidRPr="0069270A">
              <w:t xml:space="preserve">6. Особа, яка набуває або відчужує фінансові інструменти </w:t>
            </w:r>
            <w:r w:rsidRPr="000E4928">
              <w:rPr>
                <w:b/>
              </w:rPr>
              <w:t>(стає або перестає бути стороною контракту)</w:t>
            </w:r>
            <w:r w:rsidRPr="0069270A">
              <w:t>, якщо в результаті такого набуття або відчуження підсумковий пакет голосуючих акцій товариства (сумарна кількості голосів за акціями) стане більшим, меншим або дорівнюватиме пороговому значенню у 5, 10, 15, 20, 25, 30, 50, 75, 95 відсотків голосуючих акцій товариства (прав голосу за акціями), повинна повідомити таке товариство про зміну порогового значення підсумкового пакету голосуючих акцій товариства (сумарної кількості голосів за акціями).</w:t>
            </w:r>
          </w:p>
        </w:tc>
      </w:tr>
    </w:tbl>
    <w:p w:rsidR="00DB78CA" w:rsidRPr="0088450F" w:rsidRDefault="00DB78CA" w:rsidP="00DB78CA">
      <w:pPr>
        <w:jc w:val="center"/>
        <w:rPr>
          <w:sz w:val="8"/>
          <w:szCs w:val="8"/>
        </w:rPr>
      </w:pPr>
    </w:p>
    <w:sectPr w:rsidR="00DB78CA" w:rsidRPr="0088450F" w:rsidSect="0088450F">
      <w:footerReference w:type="even" r:id="rId7"/>
      <w:footerReference w:type="default" r:id="rId8"/>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928" w:rsidRDefault="000E4928">
      <w:r>
        <w:separator/>
      </w:r>
    </w:p>
  </w:endnote>
  <w:endnote w:type="continuationSeparator" w:id="0">
    <w:p w:rsidR="000E4928" w:rsidRDefault="000E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0F" w:rsidRDefault="0088450F" w:rsidP="00427E2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450F" w:rsidRDefault="0088450F" w:rsidP="00717A8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50F" w:rsidRDefault="0088450F" w:rsidP="00076CD9">
    <w:pPr>
      <w:pStyle w:val="a7"/>
      <w:framePr w:wrap="around" w:vAnchor="text" w:hAnchor="margin" w:xAlign="right" w:y="1"/>
    </w:pPr>
    <w:r w:rsidRPr="00076CD9">
      <w:rPr>
        <w:rStyle w:val="a8"/>
        <w:sz w:val="16"/>
        <w:szCs w:val="16"/>
      </w:rPr>
      <w:fldChar w:fldCharType="begin"/>
    </w:r>
    <w:r w:rsidRPr="00076CD9">
      <w:rPr>
        <w:rStyle w:val="a8"/>
        <w:sz w:val="16"/>
        <w:szCs w:val="16"/>
      </w:rPr>
      <w:instrText xml:space="preserve">PAGE  </w:instrText>
    </w:r>
    <w:r w:rsidRPr="00076CD9">
      <w:rPr>
        <w:rStyle w:val="a8"/>
        <w:sz w:val="16"/>
        <w:szCs w:val="16"/>
      </w:rPr>
      <w:fldChar w:fldCharType="separate"/>
    </w:r>
    <w:r w:rsidR="004669F7">
      <w:rPr>
        <w:rStyle w:val="a8"/>
        <w:noProof/>
        <w:sz w:val="16"/>
        <w:szCs w:val="16"/>
      </w:rPr>
      <w:t>1</w:t>
    </w:r>
    <w:r w:rsidRPr="00076CD9">
      <w:rPr>
        <w:rStyle w:val="a8"/>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928" w:rsidRDefault="000E4928">
      <w:r>
        <w:separator/>
      </w:r>
    </w:p>
  </w:footnote>
  <w:footnote w:type="continuationSeparator" w:id="0">
    <w:p w:rsidR="000E4928" w:rsidRDefault="000E4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CD6"/>
    <w:multiLevelType w:val="hybridMultilevel"/>
    <w:tmpl w:val="A27E532C"/>
    <w:lvl w:ilvl="0" w:tplc="4DF28E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7597374"/>
    <w:multiLevelType w:val="hybridMultilevel"/>
    <w:tmpl w:val="D0E8034E"/>
    <w:lvl w:ilvl="0" w:tplc="2D86D642">
      <w:start w:val="1"/>
      <w:numFmt w:val="decimal"/>
      <w:lvlText w:val="%1."/>
      <w:lvlJc w:val="left"/>
      <w:pPr>
        <w:tabs>
          <w:tab w:val="num" w:pos="1080"/>
        </w:tabs>
        <w:ind w:left="417" w:hanging="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88B4671"/>
    <w:multiLevelType w:val="hybridMultilevel"/>
    <w:tmpl w:val="264E0AA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200C17E3"/>
    <w:multiLevelType w:val="multilevel"/>
    <w:tmpl w:val="7B46B05A"/>
    <w:lvl w:ilvl="0">
      <w:start w:val="1"/>
      <w:numFmt w:val="decimal"/>
      <w:lvlText w:val="%1."/>
      <w:lvlJc w:val="left"/>
      <w:pPr>
        <w:tabs>
          <w:tab w:val="num" w:pos="1408"/>
        </w:tabs>
        <w:ind w:left="745" w:hanging="57"/>
      </w:pPr>
      <w:rPr>
        <w:rFonts w:hint="default"/>
      </w:rPr>
    </w:lvl>
    <w:lvl w:ilvl="1">
      <w:start w:val="1"/>
      <w:numFmt w:val="lowerLetter"/>
      <w:lvlText w:val="%2."/>
      <w:lvlJc w:val="left"/>
      <w:pPr>
        <w:tabs>
          <w:tab w:val="num" w:pos="1768"/>
        </w:tabs>
        <w:ind w:left="1768" w:hanging="360"/>
      </w:pPr>
    </w:lvl>
    <w:lvl w:ilvl="2">
      <w:start w:val="1"/>
      <w:numFmt w:val="lowerRoman"/>
      <w:lvlText w:val="%3."/>
      <w:lvlJc w:val="right"/>
      <w:pPr>
        <w:tabs>
          <w:tab w:val="num" w:pos="2488"/>
        </w:tabs>
        <w:ind w:left="2488" w:hanging="180"/>
      </w:pPr>
    </w:lvl>
    <w:lvl w:ilvl="3">
      <w:start w:val="1"/>
      <w:numFmt w:val="decimal"/>
      <w:lvlText w:val="%4."/>
      <w:lvlJc w:val="left"/>
      <w:pPr>
        <w:tabs>
          <w:tab w:val="num" w:pos="3208"/>
        </w:tabs>
        <w:ind w:left="3208" w:hanging="360"/>
      </w:pPr>
    </w:lvl>
    <w:lvl w:ilvl="4">
      <w:start w:val="1"/>
      <w:numFmt w:val="lowerLetter"/>
      <w:lvlText w:val="%5."/>
      <w:lvlJc w:val="left"/>
      <w:pPr>
        <w:tabs>
          <w:tab w:val="num" w:pos="3928"/>
        </w:tabs>
        <w:ind w:left="3928" w:hanging="360"/>
      </w:pPr>
    </w:lvl>
    <w:lvl w:ilvl="5">
      <w:start w:val="1"/>
      <w:numFmt w:val="lowerRoman"/>
      <w:lvlText w:val="%6."/>
      <w:lvlJc w:val="right"/>
      <w:pPr>
        <w:tabs>
          <w:tab w:val="num" w:pos="4648"/>
        </w:tabs>
        <w:ind w:left="4648" w:hanging="180"/>
      </w:pPr>
    </w:lvl>
    <w:lvl w:ilvl="6">
      <w:start w:val="1"/>
      <w:numFmt w:val="decimal"/>
      <w:lvlText w:val="%7."/>
      <w:lvlJc w:val="left"/>
      <w:pPr>
        <w:tabs>
          <w:tab w:val="num" w:pos="5368"/>
        </w:tabs>
        <w:ind w:left="5368" w:hanging="360"/>
      </w:pPr>
    </w:lvl>
    <w:lvl w:ilvl="7">
      <w:start w:val="1"/>
      <w:numFmt w:val="lowerLetter"/>
      <w:lvlText w:val="%8."/>
      <w:lvlJc w:val="left"/>
      <w:pPr>
        <w:tabs>
          <w:tab w:val="num" w:pos="6088"/>
        </w:tabs>
        <w:ind w:left="6088" w:hanging="360"/>
      </w:pPr>
    </w:lvl>
    <w:lvl w:ilvl="8">
      <w:start w:val="1"/>
      <w:numFmt w:val="lowerRoman"/>
      <w:lvlText w:val="%9."/>
      <w:lvlJc w:val="right"/>
      <w:pPr>
        <w:tabs>
          <w:tab w:val="num" w:pos="6808"/>
        </w:tabs>
        <w:ind w:left="6808" w:hanging="180"/>
      </w:pPr>
    </w:lvl>
  </w:abstractNum>
  <w:abstractNum w:abstractNumId="4" w15:restartNumberingAfterBreak="0">
    <w:nsid w:val="35AD781A"/>
    <w:multiLevelType w:val="hybridMultilevel"/>
    <w:tmpl w:val="325E91DA"/>
    <w:lvl w:ilvl="0" w:tplc="2D86D642">
      <w:start w:val="1"/>
      <w:numFmt w:val="decimal"/>
      <w:lvlText w:val="%1."/>
      <w:lvlJc w:val="left"/>
      <w:pPr>
        <w:tabs>
          <w:tab w:val="num" w:pos="1080"/>
        </w:tabs>
        <w:ind w:left="417" w:hanging="57"/>
      </w:pPr>
      <w:rPr>
        <w:rFonts w:hint="default"/>
      </w:rPr>
    </w:lvl>
    <w:lvl w:ilvl="1" w:tplc="04220019">
      <w:start w:val="1"/>
      <w:numFmt w:val="lowerLetter"/>
      <w:lvlText w:val="%2."/>
      <w:lvlJc w:val="left"/>
      <w:pPr>
        <w:tabs>
          <w:tab w:val="num" w:pos="1768"/>
        </w:tabs>
        <w:ind w:left="1768" w:hanging="360"/>
      </w:pPr>
    </w:lvl>
    <w:lvl w:ilvl="2" w:tplc="0422001B" w:tentative="1">
      <w:start w:val="1"/>
      <w:numFmt w:val="lowerRoman"/>
      <w:lvlText w:val="%3."/>
      <w:lvlJc w:val="right"/>
      <w:pPr>
        <w:tabs>
          <w:tab w:val="num" w:pos="2488"/>
        </w:tabs>
        <w:ind w:left="2488" w:hanging="180"/>
      </w:pPr>
    </w:lvl>
    <w:lvl w:ilvl="3" w:tplc="0422000F" w:tentative="1">
      <w:start w:val="1"/>
      <w:numFmt w:val="decimal"/>
      <w:lvlText w:val="%4."/>
      <w:lvlJc w:val="left"/>
      <w:pPr>
        <w:tabs>
          <w:tab w:val="num" w:pos="3208"/>
        </w:tabs>
        <w:ind w:left="3208" w:hanging="360"/>
      </w:pPr>
    </w:lvl>
    <w:lvl w:ilvl="4" w:tplc="04220019" w:tentative="1">
      <w:start w:val="1"/>
      <w:numFmt w:val="lowerLetter"/>
      <w:lvlText w:val="%5."/>
      <w:lvlJc w:val="left"/>
      <w:pPr>
        <w:tabs>
          <w:tab w:val="num" w:pos="3928"/>
        </w:tabs>
        <w:ind w:left="3928" w:hanging="360"/>
      </w:pPr>
    </w:lvl>
    <w:lvl w:ilvl="5" w:tplc="0422001B" w:tentative="1">
      <w:start w:val="1"/>
      <w:numFmt w:val="lowerRoman"/>
      <w:lvlText w:val="%6."/>
      <w:lvlJc w:val="right"/>
      <w:pPr>
        <w:tabs>
          <w:tab w:val="num" w:pos="4648"/>
        </w:tabs>
        <w:ind w:left="4648" w:hanging="180"/>
      </w:pPr>
    </w:lvl>
    <w:lvl w:ilvl="6" w:tplc="0422000F" w:tentative="1">
      <w:start w:val="1"/>
      <w:numFmt w:val="decimal"/>
      <w:lvlText w:val="%7."/>
      <w:lvlJc w:val="left"/>
      <w:pPr>
        <w:tabs>
          <w:tab w:val="num" w:pos="5368"/>
        </w:tabs>
        <w:ind w:left="5368" w:hanging="360"/>
      </w:pPr>
    </w:lvl>
    <w:lvl w:ilvl="7" w:tplc="04220019" w:tentative="1">
      <w:start w:val="1"/>
      <w:numFmt w:val="lowerLetter"/>
      <w:lvlText w:val="%8."/>
      <w:lvlJc w:val="left"/>
      <w:pPr>
        <w:tabs>
          <w:tab w:val="num" w:pos="6088"/>
        </w:tabs>
        <w:ind w:left="6088" w:hanging="360"/>
      </w:pPr>
    </w:lvl>
    <w:lvl w:ilvl="8" w:tplc="0422001B" w:tentative="1">
      <w:start w:val="1"/>
      <w:numFmt w:val="lowerRoman"/>
      <w:lvlText w:val="%9."/>
      <w:lvlJc w:val="right"/>
      <w:pPr>
        <w:tabs>
          <w:tab w:val="num" w:pos="6808"/>
        </w:tabs>
        <w:ind w:left="6808" w:hanging="180"/>
      </w:pPr>
    </w:lvl>
  </w:abstractNum>
  <w:abstractNum w:abstractNumId="5" w15:restartNumberingAfterBreak="0">
    <w:nsid w:val="40146F3B"/>
    <w:multiLevelType w:val="hybridMultilevel"/>
    <w:tmpl w:val="80942F14"/>
    <w:lvl w:ilvl="0" w:tplc="2640E430">
      <w:start w:val="4"/>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4D1D0D9F"/>
    <w:multiLevelType w:val="hybridMultilevel"/>
    <w:tmpl w:val="2F5ADEB0"/>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4DD34FAA"/>
    <w:multiLevelType w:val="hybridMultilevel"/>
    <w:tmpl w:val="CACC8A46"/>
    <w:lvl w:ilvl="0" w:tplc="2D86D642">
      <w:start w:val="1"/>
      <w:numFmt w:val="decimal"/>
      <w:lvlText w:val="%1."/>
      <w:lvlJc w:val="left"/>
      <w:pPr>
        <w:tabs>
          <w:tab w:val="num" w:pos="1080"/>
        </w:tabs>
        <w:ind w:left="417" w:hanging="57"/>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56CD4632"/>
    <w:multiLevelType w:val="hybridMultilevel"/>
    <w:tmpl w:val="63702618"/>
    <w:lvl w:ilvl="0" w:tplc="0422000F">
      <w:start w:val="1"/>
      <w:numFmt w:val="decimal"/>
      <w:lvlText w:val="%1."/>
      <w:lvlJc w:val="left"/>
      <w:pPr>
        <w:tabs>
          <w:tab w:val="num" w:pos="1048"/>
        </w:tabs>
        <w:ind w:left="1048" w:hanging="360"/>
      </w:pPr>
    </w:lvl>
    <w:lvl w:ilvl="1" w:tplc="04220019" w:tentative="1">
      <w:start w:val="1"/>
      <w:numFmt w:val="lowerLetter"/>
      <w:lvlText w:val="%2."/>
      <w:lvlJc w:val="left"/>
      <w:pPr>
        <w:tabs>
          <w:tab w:val="num" w:pos="1768"/>
        </w:tabs>
        <w:ind w:left="1768" w:hanging="360"/>
      </w:pPr>
    </w:lvl>
    <w:lvl w:ilvl="2" w:tplc="0422001B" w:tentative="1">
      <w:start w:val="1"/>
      <w:numFmt w:val="lowerRoman"/>
      <w:lvlText w:val="%3."/>
      <w:lvlJc w:val="right"/>
      <w:pPr>
        <w:tabs>
          <w:tab w:val="num" w:pos="2488"/>
        </w:tabs>
        <w:ind w:left="2488" w:hanging="180"/>
      </w:pPr>
    </w:lvl>
    <w:lvl w:ilvl="3" w:tplc="0422000F" w:tentative="1">
      <w:start w:val="1"/>
      <w:numFmt w:val="decimal"/>
      <w:lvlText w:val="%4."/>
      <w:lvlJc w:val="left"/>
      <w:pPr>
        <w:tabs>
          <w:tab w:val="num" w:pos="3208"/>
        </w:tabs>
        <w:ind w:left="3208" w:hanging="360"/>
      </w:pPr>
    </w:lvl>
    <w:lvl w:ilvl="4" w:tplc="04220019" w:tentative="1">
      <w:start w:val="1"/>
      <w:numFmt w:val="lowerLetter"/>
      <w:lvlText w:val="%5."/>
      <w:lvlJc w:val="left"/>
      <w:pPr>
        <w:tabs>
          <w:tab w:val="num" w:pos="3928"/>
        </w:tabs>
        <w:ind w:left="3928" w:hanging="360"/>
      </w:pPr>
    </w:lvl>
    <w:lvl w:ilvl="5" w:tplc="0422001B" w:tentative="1">
      <w:start w:val="1"/>
      <w:numFmt w:val="lowerRoman"/>
      <w:lvlText w:val="%6."/>
      <w:lvlJc w:val="right"/>
      <w:pPr>
        <w:tabs>
          <w:tab w:val="num" w:pos="4648"/>
        </w:tabs>
        <w:ind w:left="4648" w:hanging="180"/>
      </w:pPr>
    </w:lvl>
    <w:lvl w:ilvl="6" w:tplc="0422000F" w:tentative="1">
      <w:start w:val="1"/>
      <w:numFmt w:val="decimal"/>
      <w:lvlText w:val="%7."/>
      <w:lvlJc w:val="left"/>
      <w:pPr>
        <w:tabs>
          <w:tab w:val="num" w:pos="5368"/>
        </w:tabs>
        <w:ind w:left="5368" w:hanging="360"/>
      </w:pPr>
    </w:lvl>
    <w:lvl w:ilvl="7" w:tplc="04220019" w:tentative="1">
      <w:start w:val="1"/>
      <w:numFmt w:val="lowerLetter"/>
      <w:lvlText w:val="%8."/>
      <w:lvlJc w:val="left"/>
      <w:pPr>
        <w:tabs>
          <w:tab w:val="num" w:pos="6088"/>
        </w:tabs>
        <w:ind w:left="6088" w:hanging="360"/>
      </w:pPr>
    </w:lvl>
    <w:lvl w:ilvl="8" w:tplc="0422001B" w:tentative="1">
      <w:start w:val="1"/>
      <w:numFmt w:val="lowerRoman"/>
      <w:lvlText w:val="%9."/>
      <w:lvlJc w:val="right"/>
      <w:pPr>
        <w:tabs>
          <w:tab w:val="num" w:pos="6808"/>
        </w:tabs>
        <w:ind w:left="6808" w:hanging="180"/>
      </w:pPr>
    </w:lvl>
  </w:abstractNum>
  <w:abstractNum w:abstractNumId="9" w15:restartNumberingAfterBreak="0">
    <w:nsid w:val="621930E3"/>
    <w:multiLevelType w:val="hybridMultilevel"/>
    <w:tmpl w:val="BFBE9142"/>
    <w:lvl w:ilvl="0" w:tplc="136EDDFC">
      <w:start w:val="1"/>
      <w:numFmt w:val="decimal"/>
      <w:lvlText w:val="%1."/>
      <w:lvlJc w:val="left"/>
      <w:pPr>
        <w:tabs>
          <w:tab w:val="num" w:pos="1080"/>
        </w:tabs>
        <w:ind w:left="417" w:hanging="57"/>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6EDD621B"/>
    <w:multiLevelType w:val="hybridMultilevel"/>
    <w:tmpl w:val="6A42BD8C"/>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08"/>
        </w:tabs>
        <w:ind w:left="1408" w:hanging="360"/>
      </w:pPr>
    </w:lvl>
    <w:lvl w:ilvl="2" w:tplc="0422001B" w:tentative="1">
      <w:start w:val="1"/>
      <w:numFmt w:val="lowerRoman"/>
      <w:lvlText w:val="%3."/>
      <w:lvlJc w:val="right"/>
      <w:pPr>
        <w:tabs>
          <w:tab w:val="num" w:pos="2128"/>
        </w:tabs>
        <w:ind w:left="2128" w:hanging="180"/>
      </w:pPr>
    </w:lvl>
    <w:lvl w:ilvl="3" w:tplc="0422000F" w:tentative="1">
      <w:start w:val="1"/>
      <w:numFmt w:val="decimal"/>
      <w:lvlText w:val="%4."/>
      <w:lvlJc w:val="left"/>
      <w:pPr>
        <w:tabs>
          <w:tab w:val="num" w:pos="2848"/>
        </w:tabs>
        <w:ind w:left="2848" w:hanging="360"/>
      </w:pPr>
    </w:lvl>
    <w:lvl w:ilvl="4" w:tplc="04220019" w:tentative="1">
      <w:start w:val="1"/>
      <w:numFmt w:val="lowerLetter"/>
      <w:lvlText w:val="%5."/>
      <w:lvlJc w:val="left"/>
      <w:pPr>
        <w:tabs>
          <w:tab w:val="num" w:pos="3568"/>
        </w:tabs>
        <w:ind w:left="3568" w:hanging="360"/>
      </w:pPr>
    </w:lvl>
    <w:lvl w:ilvl="5" w:tplc="0422001B" w:tentative="1">
      <w:start w:val="1"/>
      <w:numFmt w:val="lowerRoman"/>
      <w:lvlText w:val="%6."/>
      <w:lvlJc w:val="right"/>
      <w:pPr>
        <w:tabs>
          <w:tab w:val="num" w:pos="4288"/>
        </w:tabs>
        <w:ind w:left="4288" w:hanging="180"/>
      </w:pPr>
    </w:lvl>
    <w:lvl w:ilvl="6" w:tplc="0422000F" w:tentative="1">
      <w:start w:val="1"/>
      <w:numFmt w:val="decimal"/>
      <w:lvlText w:val="%7."/>
      <w:lvlJc w:val="left"/>
      <w:pPr>
        <w:tabs>
          <w:tab w:val="num" w:pos="5008"/>
        </w:tabs>
        <w:ind w:left="5008" w:hanging="360"/>
      </w:pPr>
    </w:lvl>
    <w:lvl w:ilvl="7" w:tplc="04220019" w:tentative="1">
      <w:start w:val="1"/>
      <w:numFmt w:val="lowerLetter"/>
      <w:lvlText w:val="%8."/>
      <w:lvlJc w:val="left"/>
      <w:pPr>
        <w:tabs>
          <w:tab w:val="num" w:pos="5728"/>
        </w:tabs>
        <w:ind w:left="5728" w:hanging="360"/>
      </w:pPr>
    </w:lvl>
    <w:lvl w:ilvl="8" w:tplc="0422001B" w:tentative="1">
      <w:start w:val="1"/>
      <w:numFmt w:val="lowerRoman"/>
      <w:lvlText w:val="%9."/>
      <w:lvlJc w:val="right"/>
      <w:pPr>
        <w:tabs>
          <w:tab w:val="num" w:pos="6448"/>
        </w:tabs>
        <w:ind w:left="6448" w:hanging="180"/>
      </w:pPr>
    </w:lvl>
  </w:abstractNum>
  <w:abstractNum w:abstractNumId="11" w15:restartNumberingAfterBreak="0">
    <w:nsid w:val="727C5327"/>
    <w:multiLevelType w:val="hybridMultilevel"/>
    <w:tmpl w:val="6EFADF04"/>
    <w:lvl w:ilvl="0" w:tplc="15CCAAA2">
      <w:start w:val="1"/>
      <w:numFmt w:val="decimal"/>
      <w:lvlText w:val="%1)"/>
      <w:lvlJc w:val="left"/>
      <w:pPr>
        <w:tabs>
          <w:tab w:val="num" w:pos="1288"/>
        </w:tabs>
        <w:ind w:left="1288" w:hanging="960"/>
      </w:pPr>
      <w:rPr>
        <w:rFonts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76F90475"/>
    <w:multiLevelType w:val="hybridMultilevel"/>
    <w:tmpl w:val="15EA2A96"/>
    <w:lvl w:ilvl="0" w:tplc="15CCAAA2">
      <w:start w:val="1"/>
      <w:numFmt w:val="decimal"/>
      <w:lvlText w:val="%1)"/>
      <w:lvlJc w:val="left"/>
      <w:pPr>
        <w:tabs>
          <w:tab w:val="num" w:pos="1288"/>
        </w:tabs>
        <w:ind w:left="1288" w:hanging="960"/>
      </w:pPr>
      <w:rPr>
        <w:rFonts w:hint="default"/>
        <w:sz w:val="24"/>
        <w:szCs w:val="24"/>
      </w:rPr>
    </w:lvl>
    <w:lvl w:ilvl="1" w:tplc="32BCAD10">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0"/>
  </w:num>
  <w:num w:numId="4">
    <w:abstractNumId w:val="12"/>
  </w:num>
  <w:num w:numId="5">
    <w:abstractNumId w:val="6"/>
  </w:num>
  <w:num w:numId="6">
    <w:abstractNumId w:val="11"/>
  </w:num>
  <w:num w:numId="7">
    <w:abstractNumId w:val="4"/>
  </w:num>
  <w:num w:numId="8">
    <w:abstractNumId w:val="3"/>
  </w:num>
  <w:num w:numId="9">
    <w:abstractNumId w:val="9"/>
  </w:num>
  <w:num w:numId="10">
    <w:abstractNumId w:val="7"/>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8CA"/>
    <w:rsid w:val="000009E0"/>
    <w:rsid w:val="000030AD"/>
    <w:rsid w:val="000050EA"/>
    <w:rsid w:val="000124C2"/>
    <w:rsid w:val="00023623"/>
    <w:rsid w:val="00025A0F"/>
    <w:rsid w:val="00035FBB"/>
    <w:rsid w:val="00044CCD"/>
    <w:rsid w:val="00076CD9"/>
    <w:rsid w:val="00083DFA"/>
    <w:rsid w:val="000905E5"/>
    <w:rsid w:val="00092C97"/>
    <w:rsid w:val="000A2757"/>
    <w:rsid w:val="000A61E8"/>
    <w:rsid w:val="000B07F1"/>
    <w:rsid w:val="000C027B"/>
    <w:rsid w:val="000E4928"/>
    <w:rsid w:val="000F08B6"/>
    <w:rsid w:val="000F311E"/>
    <w:rsid w:val="000F41C2"/>
    <w:rsid w:val="00114402"/>
    <w:rsid w:val="0011711A"/>
    <w:rsid w:val="00144361"/>
    <w:rsid w:val="00151293"/>
    <w:rsid w:val="001607EA"/>
    <w:rsid w:val="00167220"/>
    <w:rsid w:val="001702C1"/>
    <w:rsid w:val="0018317A"/>
    <w:rsid w:val="00194563"/>
    <w:rsid w:val="001A2193"/>
    <w:rsid w:val="001B3C2A"/>
    <w:rsid w:val="001B5F09"/>
    <w:rsid w:val="001C0260"/>
    <w:rsid w:val="001D3C17"/>
    <w:rsid w:val="001E56B9"/>
    <w:rsid w:val="00227643"/>
    <w:rsid w:val="002307E1"/>
    <w:rsid w:val="00235F86"/>
    <w:rsid w:val="00253234"/>
    <w:rsid w:val="002668BE"/>
    <w:rsid w:val="00293B66"/>
    <w:rsid w:val="002A38E6"/>
    <w:rsid w:val="002B5C62"/>
    <w:rsid w:val="002D067D"/>
    <w:rsid w:val="002D13AC"/>
    <w:rsid w:val="002D2D1C"/>
    <w:rsid w:val="002D7EB7"/>
    <w:rsid w:val="002E7C61"/>
    <w:rsid w:val="002F318C"/>
    <w:rsid w:val="00320DE8"/>
    <w:rsid w:val="003217F2"/>
    <w:rsid w:val="00322440"/>
    <w:rsid w:val="00331921"/>
    <w:rsid w:val="003500A8"/>
    <w:rsid w:val="00365733"/>
    <w:rsid w:val="00371978"/>
    <w:rsid w:val="00376814"/>
    <w:rsid w:val="00387E9E"/>
    <w:rsid w:val="00397F5F"/>
    <w:rsid w:val="003A3BD1"/>
    <w:rsid w:val="003D36BA"/>
    <w:rsid w:val="003D73F9"/>
    <w:rsid w:val="003F2297"/>
    <w:rsid w:val="003F660E"/>
    <w:rsid w:val="004136C5"/>
    <w:rsid w:val="00416A44"/>
    <w:rsid w:val="00427E22"/>
    <w:rsid w:val="004415BF"/>
    <w:rsid w:val="00447002"/>
    <w:rsid w:val="004555DB"/>
    <w:rsid w:val="0045592B"/>
    <w:rsid w:val="0046255D"/>
    <w:rsid w:val="004669F7"/>
    <w:rsid w:val="0047282C"/>
    <w:rsid w:val="00490751"/>
    <w:rsid w:val="00494F57"/>
    <w:rsid w:val="00496052"/>
    <w:rsid w:val="004A2C34"/>
    <w:rsid w:val="004A37C2"/>
    <w:rsid w:val="004A7B6E"/>
    <w:rsid w:val="004B1F89"/>
    <w:rsid w:val="004B3CFB"/>
    <w:rsid w:val="004C02C3"/>
    <w:rsid w:val="004C54C0"/>
    <w:rsid w:val="004D60A6"/>
    <w:rsid w:val="004E1D38"/>
    <w:rsid w:val="004E6A85"/>
    <w:rsid w:val="004E6F34"/>
    <w:rsid w:val="004F6669"/>
    <w:rsid w:val="00510316"/>
    <w:rsid w:val="00512254"/>
    <w:rsid w:val="0051511C"/>
    <w:rsid w:val="00524DE6"/>
    <w:rsid w:val="0053249F"/>
    <w:rsid w:val="0054224A"/>
    <w:rsid w:val="0054659C"/>
    <w:rsid w:val="00550F47"/>
    <w:rsid w:val="00552F98"/>
    <w:rsid w:val="00573B8C"/>
    <w:rsid w:val="005741B2"/>
    <w:rsid w:val="00580864"/>
    <w:rsid w:val="005954EC"/>
    <w:rsid w:val="005B1866"/>
    <w:rsid w:val="005B5C18"/>
    <w:rsid w:val="005B6946"/>
    <w:rsid w:val="005C15F8"/>
    <w:rsid w:val="005C5051"/>
    <w:rsid w:val="005E5806"/>
    <w:rsid w:val="005E6B2C"/>
    <w:rsid w:val="005F1700"/>
    <w:rsid w:val="005F4EC3"/>
    <w:rsid w:val="005F6F94"/>
    <w:rsid w:val="006260DF"/>
    <w:rsid w:val="00650EB1"/>
    <w:rsid w:val="00653598"/>
    <w:rsid w:val="006539CE"/>
    <w:rsid w:val="00657DD1"/>
    <w:rsid w:val="00662D41"/>
    <w:rsid w:val="006717E6"/>
    <w:rsid w:val="00681D88"/>
    <w:rsid w:val="0069270A"/>
    <w:rsid w:val="00693808"/>
    <w:rsid w:val="006A16BF"/>
    <w:rsid w:val="006B492F"/>
    <w:rsid w:val="006B610B"/>
    <w:rsid w:val="006D0B9B"/>
    <w:rsid w:val="006D2750"/>
    <w:rsid w:val="006D2FD9"/>
    <w:rsid w:val="006F2C0F"/>
    <w:rsid w:val="006F73C6"/>
    <w:rsid w:val="00717A85"/>
    <w:rsid w:val="00725600"/>
    <w:rsid w:val="007406BA"/>
    <w:rsid w:val="007640DE"/>
    <w:rsid w:val="0077017B"/>
    <w:rsid w:val="00774601"/>
    <w:rsid w:val="00780AF8"/>
    <w:rsid w:val="00782C46"/>
    <w:rsid w:val="0079521A"/>
    <w:rsid w:val="007A18C8"/>
    <w:rsid w:val="007B3C45"/>
    <w:rsid w:val="007B45CC"/>
    <w:rsid w:val="007D3C1D"/>
    <w:rsid w:val="007D5A5E"/>
    <w:rsid w:val="007D60A7"/>
    <w:rsid w:val="00821A67"/>
    <w:rsid w:val="00836C7D"/>
    <w:rsid w:val="008735EA"/>
    <w:rsid w:val="0088450F"/>
    <w:rsid w:val="008B05A6"/>
    <w:rsid w:val="008D210A"/>
    <w:rsid w:val="008E6BCD"/>
    <w:rsid w:val="008F58DC"/>
    <w:rsid w:val="00904A0E"/>
    <w:rsid w:val="0091202E"/>
    <w:rsid w:val="00990D43"/>
    <w:rsid w:val="00991448"/>
    <w:rsid w:val="009945F3"/>
    <w:rsid w:val="009950EA"/>
    <w:rsid w:val="009956CA"/>
    <w:rsid w:val="009A36FF"/>
    <w:rsid w:val="009D0F9D"/>
    <w:rsid w:val="009F0D9A"/>
    <w:rsid w:val="009F48FF"/>
    <w:rsid w:val="00A028D2"/>
    <w:rsid w:val="00A07BCB"/>
    <w:rsid w:val="00A14B15"/>
    <w:rsid w:val="00A500B7"/>
    <w:rsid w:val="00A53ABA"/>
    <w:rsid w:val="00AB0521"/>
    <w:rsid w:val="00AB0BC8"/>
    <w:rsid w:val="00AD068C"/>
    <w:rsid w:val="00AD68E6"/>
    <w:rsid w:val="00AE10E8"/>
    <w:rsid w:val="00AE354F"/>
    <w:rsid w:val="00B145C3"/>
    <w:rsid w:val="00B17730"/>
    <w:rsid w:val="00B23C15"/>
    <w:rsid w:val="00B2433F"/>
    <w:rsid w:val="00B27FA1"/>
    <w:rsid w:val="00B3658E"/>
    <w:rsid w:val="00B44C2E"/>
    <w:rsid w:val="00B80AEA"/>
    <w:rsid w:val="00B8352F"/>
    <w:rsid w:val="00B92173"/>
    <w:rsid w:val="00B97749"/>
    <w:rsid w:val="00BB20D3"/>
    <w:rsid w:val="00BC4C46"/>
    <w:rsid w:val="00BD0E62"/>
    <w:rsid w:val="00BE3967"/>
    <w:rsid w:val="00C05936"/>
    <w:rsid w:val="00C217C0"/>
    <w:rsid w:val="00C22407"/>
    <w:rsid w:val="00C34048"/>
    <w:rsid w:val="00C35202"/>
    <w:rsid w:val="00C52DDE"/>
    <w:rsid w:val="00C56EAD"/>
    <w:rsid w:val="00C93EEA"/>
    <w:rsid w:val="00CA094D"/>
    <w:rsid w:val="00CA5C17"/>
    <w:rsid w:val="00CD638A"/>
    <w:rsid w:val="00CD7F7E"/>
    <w:rsid w:val="00CE318F"/>
    <w:rsid w:val="00CE3E25"/>
    <w:rsid w:val="00D04D78"/>
    <w:rsid w:val="00D51F8D"/>
    <w:rsid w:val="00D54C99"/>
    <w:rsid w:val="00D672B8"/>
    <w:rsid w:val="00D744D7"/>
    <w:rsid w:val="00DB4BDE"/>
    <w:rsid w:val="00DB78CA"/>
    <w:rsid w:val="00DD3678"/>
    <w:rsid w:val="00DD44B4"/>
    <w:rsid w:val="00DE3190"/>
    <w:rsid w:val="00DE544E"/>
    <w:rsid w:val="00DF480B"/>
    <w:rsid w:val="00E05105"/>
    <w:rsid w:val="00E32B91"/>
    <w:rsid w:val="00E419CE"/>
    <w:rsid w:val="00E4243B"/>
    <w:rsid w:val="00E43A40"/>
    <w:rsid w:val="00E570AC"/>
    <w:rsid w:val="00E6346B"/>
    <w:rsid w:val="00E70E41"/>
    <w:rsid w:val="00E772DE"/>
    <w:rsid w:val="00E84DC2"/>
    <w:rsid w:val="00E91A2A"/>
    <w:rsid w:val="00E97DFC"/>
    <w:rsid w:val="00EB0858"/>
    <w:rsid w:val="00EC17F8"/>
    <w:rsid w:val="00EC4562"/>
    <w:rsid w:val="00EC570A"/>
    <w:rsid w:val="00ED71E8"/>
    <w:rsid w:val="00EE4B3C"/>
    <w:rsid w:val="00F026E8"/>
    <w:rsid w:val="00F10D18"/>
    <w:rsid w:val="00F325A0"/>
    <w:rsid w:val="00F37439"/>
    <w:rsid w:val="00F52D67"/>
    <w:rsid w:val="00F54AD7"/>
    <w:rsid w:val="00F55F14"/>
    <w:rsid w:val="00F6700A"/>
    <w:rsid w:val="00F8347E"/>
    <w:rsid w:val="00F960D1"/>
    <w:rsid w:val="00F97C97"/>
    <w:rsid w:val="00FA47B9"/>
    <w:rsid w:val="00FB658F"/>
    <w:rsid w:val="00FD40EA"/>
    <w:rsid w:val="00FD4198"/>
    <w:rsid w:val="00FF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48C4E7-EDB2-4FB4-896C-954156C14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3">
    <w:name w:val="heading 3"/>
    <w:basedOn w:val="a"/>
    <w:next w:val="a"/>
    <w:qFormat/>
    <w:rsid w:val="00AB0521"/>
    <w:pPr>
      <w:keepNext/>
      <w:spacing w:before="180"/>
      <w:jc w:val="center"/>
      <w:outlineLvl w:val="2"/>
    </w:pPr>
    <w:rPr>
      <w:b/>
      <w:sz w:val="26"/>
      <w:szCs w:val="20"/>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DB78CA"/>
    <w:pPr>
      <w:shd w:val="clear" w:color="auto" w:fill="000080"/>
    </w:pPr>
    <w:rPr>
      <w:rFonts w:ascii="Tahoma" w:hAnsi="Tahoma" w:cs="Tahoma"/>
      <w:sz w:val="20"/>
      <w:szCs w:val="20"/>
    </w:rPr>
  </w:style>
  <w:style w:type="table" w:styleId="a4">
    <w:name w:val="Table Grid"/>
    <w:basedOn w:val="a1"/>
    <w:rsid w:val="00DB7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0F311E"/>
    <w:pPr>
      <w:spacing w:before="100" w:beforeAutospacing="1" w:after="100" w:afterAutospacing="1"/>
    </w:pPr>
  </w:style>
  <w:style w:type="paragraph" w:styleId="a6">
    <w:name w:val="Balloon Text"/>
    <w:basedOn w:val="a"/>
    <w:semiHidden/>
    <w:rsid w:val="00E570AC"/>
    <w:rPr>
      <w:rFonts w:ascii="Tahoma" w:hAnsi="Tahoma" w:cs="Tahoma"/>
      <w:sz w:val="16"/>
      <w:szCs w:val="16"/>
    </w:rPr>
  </w:style>
  <w:style w:type="paragraph" w:styleId="a7">
    <w:name w:val="footer"/>
    <w:basedOn w:val="a"/>
    <w:rsid w:val="00717A85"/>
    <w:pPr>
      <w:tabs>
        <w:tab w:val="center" w:pos="4819"/>
        <w:tab w:val="right" w:pos="9639"/>
      </w:tabs>
    </w:pPr>
  </w:style>
  <w:style w:type="character" w:styleId="a8">
    <w:name w:val="page number"/>
    <w:basedOn w:val="a0"/>
    <w:rsid w:val="00717A85"/>
  </w:style>
  <w:style w:type="paragraph" w:styleId="a9">
    <w:name w:val="annotation text"/>
    <w:basedOn w:val="a"/>
    <w:link w:val="aa"/>
    <w:rsid w:val="00AB0BC8"/>
    <w:rPr>
      <w:rFonts w:eastAsia="Calibri"/>
      <w:sz w:val="20"/>
      <w:szCs w:val="20"/>
    </w:rPr>
  </w:style>
  <w:style w:type="character" w:customStyle="1" w:styleId="aa">
    <w:name w:val="Текст примечания Знак"/>
    <w:link w:val="a9"/>
    <w:locked/>
    <w:rsid w:val="00AB0BC8"/>
    <w:rPr>
      <w:rFonts w:eastAsia="Calibri"/>
      <w:lang w:val="uk-UA" w:eastAsia="uk-UA" w:bidi="ar-SA"/>
    </w:rPr>
  </w:style>
  <w:style w:type="paragraph" w:styleId="ab">
    <w:name w:val="header"/>
    <w:basedOn w:val="a"/>
    <w:rsid w:val="00076CD9"/>
    <w:pPr>
      <w:tabs>
        <w:tab w:val="center" w:pos="4819"/>
        <w:tab w:val="right" w:pos="9639"/>
      </w:tabs>
    </w:pPr>
  </w:style>
  <w:style w:type="paragraph" w:customStyle="1" w:styleId="rvps2">
    <w:name w:val="rvps2"/>
    <w:basedOn w:val="a"/>
    <w:rsid w:val="00387E9E"/>
    <w:pPr>
      <w:spacing w:before="100" w:beforeAutospacing="1" w:after="100" w:afterAutospacing="1"/>
    </w:pPr>
  </w:style>
  <w:style w:type="character" w:customStyle="1" w:styleId="rvts9">
    <w:name w:val="rvts9"/>
    <w:basedOn w:val="a0"/>
    <w:rsid w:val="00E84DC2"/>
  </w:style>
  <w:style w:type="character" w:customStyle="1" w:styleId="rvts0">
    <w:name w:val="rvts0"/>
    <w:basedOn w:val="a0"/>
    <w:rsid w:val="00E84DC2"/>
  </w:style>
  <w:style w:type="paragraph" w:customStyle="1" w:styleId="ListParagraph">
    <w:name w:val="List Paragraph"/>
    <w:basedOn w:val="a"/>
    <w:rsid w:val="00D04D78"/>
    <w:pPr>
      <w:spacing w:after="160" w:line="259" w:lineRule="auto"/>
      <w:ind w:left="720"/>
      <w:contextualSpacing/>
    </w:pPr>
    <w:rPr>
      <w:rFonts w:ascii="Calibri" w:hAnsi="Calibri"/>
      <w:sz w:val="22"/>
      <w:szCs w:val="22"/>
      <w:lang w:eastAsia="en-US"/>
    </w:rPr>
  </w:style>
  <w:style w:type="character" w:styleId="ac">
    <w:name w:val="annotation reference"/>
    <w:rsid w:val="004B3CFB"/>
    <w:rPr>
      <w:sz w:val="16"/>
    </w:rPr>
  </w:style>
  <w:style w:type="paragraph" w:styleId="HTML">
    <w:name w:val="HTML Preformatted"/>
    <w:basedOn w:val="a"/>
    <w:rsid w:val="0018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d">
    <w:name w:val="Hyperlink"/>
    <w:rsid w:val="0018317A"/>
    <w:rPr>
      <w:color w:val="0000FF"/>
      <w:u w:val="single"/>
    </w:rPr>
  </w:style>
  <w:style w:type="character" w:customStyle="1" w:styleId="rvts37">
    <w:name w:val="rvts37"/>
    <w:basedOn w:val="a0"/>
    <w:rsid w:val="0018317A"/>
  </w:style>
  <w:style w:type="character" w:customStyle="1" w:styleId="rvts46">
    <w:name w:val="rvts46"/>
    <w:basedOn w:val="a0"/>
    <w:rsid w:val="00023623"/>
  </w:style>
  <w:style w:type="character" w:customStyle="1" w:styleId="rvts23">
    <w:name w:val="rvts23"/>
    <w:basedOn w:val="a0"/>
    <w:rsid w:val="00023623"/>
  </w:style>
  <w:style w:type="character" w:customStyle="1" w:styleId="rvts48">
    <w:name w:val="rvts48"/>
    <w:basedOn w:val="a0"/>
    <w:rsid w:val="00023623"/>
  </w:style>
  <w:style w:type="paragraph" w:customStyle="1" w:styleId="title-article-norm">
    <w:name w:val="title-article-norm"/>
    <w:basedOn w:val="a"/>
    <w:rsid w:val="00693808"/>
    <w:pPr>
      <w:spacing w:before="100" w:beforeAutospacing="1" w:after="100" w:afterAutospacing="1"/>
    </w:pPr>
  </w:style>
  <w:style w:type="paragraph" w:customStyle="1" w:styleId="norm">
    <w:name w:val="norm"/>
    <w:basedOn w:val="a"/>
    <w:rsid w:val="009F0D9A"/>
    <w:pPr>
      <w:spacing w:before="100" w:beforeAutospacing="1" w:after="100" w:afterAutospacing="1"/>
    </w:pPr>
  </w:style>
  <w:style w:type="paragraph" w:customStyle="1" w:styleId="normal">
    <w:name w:val="normal"/>
    <w:rsid w:val="00657DD1"/>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0321">
      <w:bodyDiv w:val="1"/>
      <w:marLeft w:val="0"/>
      <w:marRight w:val="0"/>
      <w:marTop w:val="0"/>
      <w:marBottom w:val="0"/>
      <w:divBdr>
        <w:top w:val="none" w:sz="0" w:space="0" w:color="auto"/>
        <w:left w:val="none" w:sz="0" w:space="0" w:color="auto"/>
        <w:bottom w:val="none" w:sz="0" w:space="0" w:color="auto"/>
        <w:right w:val="none" w:sz="0" w:space="0" w:color="auto"/>
      </w:divBdr>
    </w:div>
    <w:div w:id="241762870">
      <w:bodyDiv w:val="1"/>
      <w:marLeft w:val="0"/>
      <w:marRight w:val="0"/>
      <w:marTop w:val="0"/>
      <w:marBottom w:val="0"/>
      <w:divBdr>
        <w:top w:val="none" w:sz="0" w:space="0" w:color="auto"/>
        <w:left w:val="none" w:sz="0" w:space="0" w:color="auto"/>
        <w:bottom w:val="none" w:sz="0" w:space="0" w:color="auto"/>
        <w:right w:val="none" w:sz="0" w:space="0" w:color="auto"/>
      </w:divBdr>
    </w:div>
    <w:div w:id="244732777">
      <w:bodyDiv w:val="1"/>
      <w:marLeft w:val="0"/>
      <w:marRight w:val="0"/>
      <w:marTop w:val="0"/>
      <w:marBottom w:val="0"/>
      <w:divBdr>
        <w:top w:val="none" w:sz="0" w:space="0" w:color="auto"/>
        <w:left w:val="none" w:sz="0" w:space="0" w:color="auto"/>
        <w:bottom w:val="none" w:sz="0" w:space="0" w:color="auto"/>
        <w:right w:val="none" w:sz="0" w:space="0" w:color="auto"/>
      </w:divBdr>
    </w:div>
    <w:div w:id="386075869">
      <w:bodyDiv w:val="1"/>
      <w:marLeft w:val="0"/>
      <w:marRight w:val="0"/>
      <w:marTop w:val="0"/>
      <w:marBottom w:val="0"/>
      <w:divBdr>
        <w:top w:val="none" w:sz="0" w:space="0" w:color="auto"/>
        <w:left w:val="none" w:sz="0" w:space="0" w:color="auto"/>
        <w:bottom w:val="none" w:sz="0" w:space="0" w:color="auto"/>
        <w:right w:val="none" w:sz="0" w:space="0" w:color="auto"/>
      </w:divBdr>
    </w:div>
    <w:div w:id="960108212">
      <w:bodyDiv w:val="1"/>
      <w:marLeft w:val="0"/>
      <w:marRight w:val="0"/>
      <w:marTop w:val="0"/>
      <w:marBottom w:val="0"/>
      <w:divBdr>
        <w:top w:val="none" w:sz="0" w:space="0" w:color="auto"/>
        <w:left w:val="none" w:sz="0" w:space="0" w:color="auto"/>
        <w:bottom w:val="none" w:sz="0" w:space="0" w:color="auto"/>
        <w:right w:val="none" w:sz="0" w:space="0" w:color="auto"/>
      </w:divBdr>
    </w:div>
    <w:div w:id="103777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vt:lpstr>
    </vt:vector>
  </TitlesOfParts>
  <Company>SSMSC</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 про результати розгляду зауважень та пропозицій, наданих до проекту Змін до Положення щодо пруденційних нормативів професійної діяльності на фондовому ринку та вимог до системи управління ризиками</dc:title>
  <dc:subject/>
  <dc:creator>lyudmila.onoprienko</dc:creator>
  <cp:keywords/>
  <dc:description/>
  <cp:lastModifiedBy>Руслан Кисляк</cp:lastModifiedBy>
  <cp:revision>2</cp:revision>
  <cp:lastPrinted>2019-04-02T14:58:00Z</cp:lastPrinted>
  <dcterms:created xsi:type="dcterms:W3CDTF">2019-04-12T10:02:00Z</dcterms:created>
  <dcterms:modified xsi:type="dcterms:W3CDTF">2019-04-12T10:02:00Z</dcterms:modified>
</cp:coreProperties>
</file>