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09" w:rsidRDefault="000A6409" w:rsidP="00E56BFB">
      <w:pPr>
        <w:jc w:val="center"/>
        <w:rPr>
          <w:b/>
          <w:sz w:val="28"/>
          <w:szCs w:val="28"/>
          <w:lang w:val="uk-UA"/>
        </w:rPr>
      </w:pPr>
      <w:bookmarkStart w:id="0" w:name="_GoBack"/>
      <w:bookmarkEnd w:id="0"/>
    </w:p>
    <w:p w:rsidR="00E56BFB" w:rsidRPr="005A54EA" w:rsidRDefault="00E56BFB" w:rsidP="00E56BFB">
      <w:pPr>
        <w:jc w:val="center"/>
        <w:rPr>
          <w:b/>
          <w:sz w:val="28"/>
          <w:szCs w:val="28"/>
          <w:lang w:val="uk-UA"/>
        </w:rPr>
      </w:pPr>
      <w:r w:rsidRPr="005A54EA">
        <w:rPr>
          <w:b/>
          <w:sz w:val="28"/>
          <w:szCs w:val="28"/>
          <w:lang w:val="uk-UA"/>
        </w:rPr>
        <w:t xml:space="preserve">Аналіз впливу регуляторного акта </w:t>
      </w:r>
    </w:p>
    <w:p w:rsidR="00E56BFB" w:rsidRPr="0011531E" w:rsidRDefault="00E56BFB" w:rsidP="00E56BFB">
      <w:pPr>
        <w:jc w:val="center"/>
        <w:rPr>
          <w:b/>
          <w:sz w:val="28"/>
          <w:szCs w:val="28"/>
          <w:lang w:val="uk-UA"/>
        </w:rPr>
      </w:pPr>
      <w:r w:rsidRPr="0011531E">
        <w:rPr>
          <w:b/>
          <w:sz w:val="28"/>
          <w:szCs w:val="28"/>
          <w:lang w:val="uk-UA" w:eastAsia="uk-UA"/>
        </w:rPr>
        <w:t>до проекту рішення НКЦПФР «</w:t>
      </w:r>
      <w:r w:rsidRPr="0011531E">
        <w:rPr>
          <w:b/>
          <w:sz w:val="28"/>
          <w:szCs w:val="28"/>
          <w:lang w:val="uk-UA"/>
        </w:rPr>
        <w:t xml:space="preserve">Про </w:t>
      </w:r>
      <w:r w:rsidR="000D6C50">
        <w:rPr>
          <w:b/>
          <w:sz w:val="28"/>
          <w:szCs w:val="28"/>
          <w:lang w:val="uk-UA"/>
        </w:rPr>
        <w:t>внес</w:t>
      </w:r>
      <w:r w:rsidR="007E1896" w:rsidRPr="0011531E">
        <w:rPr>
          <w:b/>
          <w:sz w:val="28"/>
          <w:szCs w:val="28"/>
          <w:lang w:val="uk-UA"/>
        </w:rPr>
        <w:t xml:space="preserve">ення </w:t>
      </w:r>
      <w:r w:rsidR="000D6C50">
        <w:rPr>
          <w:b/>
          <w:sz w:val="28"/>
          <w:szCs w:val="28"/>
          <w:lang w:val="uk-UA"/>
        </w:rPr>
        <w:t>з</w:t>
      </w:r>
      <w:r w:rsidRPr="0011531E">
        <w:rPr>
          <w:b/>
          <w:sz w:val="28"/>
          <w:szCs w:val="28"/>
          <w:lang w:val="uk-UA"/>
        </w:rPr>
        <w:t>мін до Положення</w:t>
      </w:r>
    </w:p>
    <w:p w:rsidR="00E56BFB" w:rsidRPr="0011531E" w:rsidRDefault="00E56BFB" w:rsidP="00E56BFB">
      <w:pPr>
        <w:jc w:val="center"/>
        <w:rPr>
          <w:b/>
          <w:sz w:val="28"/>
          <w:szCs w:val="28"/>
          <w:lang w:val="uk-UA"/>
        </w:rPr>
      </w:pPr>
      <w:r w:rsidRPr="0011531E">
        <w:rPr>
          <w:b/>
          <w:sz w:val="28"/>
          <w:szCs w:val="28"/>
          <w:lang w:val="uk-UA"/>
        </w:rPr>
        <w:t>про функціонування фондових бірж»</w:t>
      </w:r>
    </w:p>
    <w:p w:rsidR="000A6409" w:rsidRPr="005A54EA" w:rsidRDefault="000A6409" w:rsidP="00E56BFB">
      <w:pPr>
        <w:jc w:val="center"/>
        <w:rPr>
          <w:b/>
          <w:sz w:val="28"/>
          <w:szCs w:val="28"/>
          <w:lang w:val="uk-UA"/>
        </w:rPr>
      </w:pPr>
    </w:p>
    <w:p w:rsidR="00E56BFB" w:rsidRDefault="00E56BFB" w:rsidP="00E56BFB">
      <w:pPr>
        <w:ind w:firstLine="720"/>
        <w:jc w:val="center"/>
        <w:rPr>
          <w:b/>
          <w:sz w:val="28"/>
          <w:szCs w:val="28"/>
          <w:lang w:val="uk-UA"/>
        </w:rPr>
      </w:pPr>
      <w:r w:rsidRPr="005A54EA">
        <w:rPr>
          <w:b/>
          <w:sz w:val="28"/>
          <w:szCs w:val="28"/>
          <w:lang w:val="uk-UA"/>
        </w:rPr>
        <w:t>І. Визначення проблеми</w:t>
      </w:r>
    </w:p>
    <w:p w:rsidR="0011531E" w:rsidRPr="005A54EA" w:rsidRDefault="0011531E" w:rsidP="00E56BFB">
      <w:pPr>
        <w:ind w:firstLine="720"/>
        <w:jc w:val="center"/>
        <w:rPr>
          <w:sz w:val="28"/>
          <w:szCs w:val="28"/>
          <w:lang w:val="uk-UA"/>
        </w:rPr>
      </w:pPr>
    </w:p>
    <w:p w:rsidR="00EC40BB" w:rsidRDefault="00EC40BB" w:rsidP="00D544EE">
      <w:pPr>
        <w:ind w:firstLine="709"/>
        <w:jc w:val="both"/>
        <w:rPr>
          <w:sz w:val="28"/>
          <w:szCs w:val="28"/>
          <w:lang w:val="uk-UA"/>
        </w:rPr>
      </w:pPr>
      <w:r>
        <w:rPr>
          <w:sz w:val="28"/>
          <w:szCs w:val="28"/>
          <w:lang w:val="uk-UA"/>
        </w:rPr>
        <w:t>Фондовий ринок є одним із найважливіших інструментів фінансування економіки країни, оскільки він покликаний трансформувати заощадження окремих громадян та підприємств в інвестиції. Фондові біржі в усьому світі є центральною ланкою інфраструктури фондового ринку.</w:t>
      </w:r>
    </w:p>
    <w:p w:rsidR="00EC40BB" w:rsidRDefault="00EC40BB" w:rsidP="00D544EE">
      <w:pPr>
        <w:ind w:firstLine="709"/>
        <w:jc w:val="both"/>
        <w:rPr>
          <w:sz w:val="28"/>
          <w:szCs w:val="28"/>
          <w:lang w:val="uk-UA"/>
        </w:rPr>
      </w:pPr>
      <w:r>
        <w:rPr>
          <w:sz w:val="28"/>
          <w:szCs w:val="28"/>
          <w:lang w:val="uk-UA"/>
        </w:rPr>
        <w:t xml:space="preserve">Одним із результатів якісного виконання фондовою </w:t>
      </w:r>
      <w:r w:rsidR="00996DF4">
        <w:rPr>
          <w:sz w:val="28"/>
          <w:szCs w:val="28"/>
          <w:lang w:val="uk-UA"/>
        </w:rPr>
        <w:t>біржою</w:t>
      </w:r>
      <w:r>
        <w:rPr>
          <w:sz w:val="28"/>
          <w:szCs w:val="28"/>
          <w:lang w:val="uk-UA"/>
        </w:rPr>
        <w:t xml:space="preserve"> своїх функцій є оптимізація процесів спрямування інвесторами своїх коштів у найбільш інвестиційно привабливі активи, </w:t>
      </w:r>
      <w:r w:rsidR="0003516A">
        <w:rPr>
          <w:sz w:val="28"/>
          <w:szCs w:val="28"/>
          <w:lang w:val="uk-UA"/>
        </w:rPr>
        <w:t>т</w:t>
      </w:r>
      <w:r>
        <w:rPr>
          <w:sz w:val="28"/>
          <w:szCs w:val="28"/>
          <w:lang w:val="uk-UA"/>
        </w:rPr>
        <w:t xml:space="preserve">а </w:t>
      </w:r>
      <w:r w:rsidR="0003516A">
        <w:rPr>
          <w:sz w:val="28"/>
          <w:szCs w:val="28"/>
          <w:lang w:val="uk-UA"/>
        </w:rPr>
        <w:t xml:space="preserve">можливість </w:t>
      </w:r>
      <w:r>
        <w:rPr>
          <w:sz w:val="28"/>
          <w:szCs w:val="28"/>
          <w:lang w:val="uk-UA"/>
        </w:rPr>
        <w:t>емітент</w:t>
      </w:r>
      <w:r w:rsidR="0003516A">
        <w:rPr>
          <w:sz w:val="28"/>
          <w:szCs w:val="28"/>
          <w:lang w:val="uk-UA"/>
        </w:rPr>
        <w:t>ів</w:t>
      </w:r>
      <w:r>
        <w:rPr>
          <w:sz w:val="28"/>
          <w:szCs w:val="28"/>
          <w:lang w:val="uk-UA"/>
        </w:rPr>
        <w:t xml:space="preserve"> таких фінансових активів оперативно залучити інвестиції. Наслідком цього є збільшення в біржовому обігу кількості привабливих фінансових інструментів, розширенн</w:t>
      </w:r>
      <w:r w:rsidR="0003516A">
        <w:rPr>
          <w:sz w:val="28"/>
          <w:szCs w:val="28"/>
          <w:lang w:val="uk-UA"/>
        </w:rPr>
        <w:t>я</w:t>
      </w:r>
      <w:r>
        <w:rPr>
          <w:sz w:val="28"/>
          <w:szCs w:val="28"/>
          <w:lang w:val="uk-UA"/>
        </w:rPr>
        <w:t xml:space="preserve"> кола інвесторів, у тому числі, безпосередніх учасників біржових торгів.</w:t>
      </w:r>
    </w:p>
    <w:p w:rsidR="00EC40BB" w:rsidRDefault="00EC40BB" w:rsidP="00D544EE">
      <w:pPr>
        <w:ind w:firstLine="709"/>
        <w:jc w:val="both"/>
        <w:rPr>
          <w:sz w:val="28"/>
          <w:szCs w:val="28"/>
          <w:lang w:val="uk-UA"/>
        </w:rPr>
      </w:pPr>
      <w:r>
        <w:rPr>
          <w:sz w:val="28"/>
          <w:szCs w:val="28"/>
          <w:lang w:val="uk-UA"/>
        </w:rPr>
        <w:t>Фондовий ринок в тій чи іншій країні характеризується, насамперед, обсягом біржової торгівлі цінними паперами, кількістю цінних паперів, що перебувають в обігу на фондових біржах.</w:t>
      </w:r>
    </w:p>
    <w:p w:rsidR="00996DF4" w:rsidRPr="0062135C" w:rsidRDefault="00996DF4" w:rsidP="00996DF4">
      <w:pPr>
        <w:ind w:firstLine="720"/>
        <w:jc w:val="both"/>
        <w:rPr>
          <w:sz w:val="28"/>
          <w:szCs w:val="28"/>
          <w:lang w:val="uk-UA"/>
        </w:rPr>
      </w:pPr>
      <w:r w:rsidRPr="0062135C">
        <w:rPr>
          <w:sz w:val="28"/>
          <w:szCs w:val="28"/>
          <w:lang w:val="uk-UA"/>
        </w:rPr>
        <w:t>Порівнюючи з 2017 роком, спостерігається зниження біржового сегменту фондового ринку України</w:t>
      </w:r>
      <w:r>
        <w:rPr>
          <w:sz w:val="28"/>
          <w:szCs w:val="28"/>
          <w:lang w:val="uk-UA"/>
        </w:rPr>
        <w:t>,</w:t>
      </w:r>
      <w:r w:rsidRPr="0062135C">
        <w:rPr>
          <w:sz w:val="28"/>
          <w:szCs w:val="28"/>
          <w:lang w:val="uk-UA"/>
        </w:rPr>
        <w:t xml:space="preserve"> обсяг біржових контрактів з цінними паперами на організаторах торгівлі у 201</w:t>
      </w:r>
      <w:r>
        <w:rPr>
          <w:sz w:val="28"/>
          <w:szCs w:val="28"/>
          <w:lang w:val="uk-UA"/>
        </w:rPr>
        <w:t>8</w:t>
      </w:r>
      <w:r w:rsidRPr="0062135C">
        <w:rPr>
          <w:sz w:val="28"/>
          <w:szCs w:val="28"/>
          <w:lang w:val="uk-UA"/>
        </w:rPr>
        <w:t xml:space="preserve"> році зменшився на 12,58% – до 205,79 млрд грн, що еквівалентне 8,46% ВВП України</w:t>
      </w:r>
      <w:r>
        <w:rPr>
          <w:sz w:val="28"/>
          <w:szCs w:val="28"/>
          <w:lang w:val="uk-UA"/>
        </w:rPr>
        <w:t>.</w:t>
      </w:r>
    </w:p>
    <w:p w:rsidR="00996DF4" w:rsidRPr="002437FF" w:rsidRDefault="00996DF4" w:rsidP="00996DF4">
      <w:pPr>
        <w:pStyle w:val="Default"/>
        <w:ind w:firstLine="720"/>
        <w:jc w:val="both"/>
        <w:rPr>
          <w:rFonts w:ascii="Times New Roman" w:hAnsi="Times New Roman" w:cs="Times New Roman"/>
          <w:sz w:val="28"/>
          <w:szCs w:val="28"/>
        </w:rPr>
      </w:pPr>
      <w:r>
        <w:rPr>
          <w:rStyle w:val="longtext"/>
          <w:rFonts w:ascii="Times New Roman" w:hAnsi="Times New Roman" w:cs="Times New Roman"/>
          <w:sz w:val="28"/>
          <w:szCs w:val="28"/>
        </w:rPr>
        <w:t>Кількість випусків акцій, які</w:t>
      </w:r>
      <w:r w:rsidRPr="00D02450">
        <w:rPr>
          <w:rStyle w:val="longtext"/>
          <w:rFonts w:ascii="Times New Roman" w:hAnsi="Times New Roman" w:cs="Times New Roman"/>
          <w:sz w:val="28"/>
          <w:szCs w:val="28"/>
        </w:rPr>
        <w:t xml:space="preserve"> допущен</w:t>
      </w:r>
      <w:r>
        <w:rPr>
          <w:rStyle w:val="longtext"/>
          <w:rFonts w:ascii="Times New Roman" w:hAnsi="Times New Roman" w:cs="Times New Roman"/>
          <w:sz w:val="28"/>
          <w:szCs w:val="28"/>
        </w:rPr>
        <w:t>і</w:t>
      </w:r>
      <w:r w:rsidRPr="00D02450">
        <w:rPr>
          <w:rStyle w:val="longtext"/>
          <w:rFonts w:ascii="Times New Roman" w:hAnsi="Times New Roman" w:cs="Times New Roman"/>
          <w:sz w:val="28"/>
          <w:szCs w:val="28"/>
        </w:rPr>
        <w:t xml:space="preserve"> до торгів на біржовому ринку</w:t>
      </w:r>
      <w:r>
        <w:rPr>
          <w:rStyle w:val="longtext"/>
          <w:rFonts w:ascii="Times New Roman" w:hAnsi="Times New Roman" w:cs="Times New Roman"/>
          <w:sz w:val="28"/>
          <w:szCs w:val="28"/>
        </w:rPr>
        <w:t>,</w:t>
      </w:r>
      <w:r w:rsidRPr="00D02450">
        <w:rPr>
          <w:rStyle w:val="longtext"/>
          <w:rFonts w:ascii="Times New Roman" w:hAnsi="Times New Roman" w:cs="Times New Roman"/>
          <w:sz w:val="28"/>
          <w:szCs w:val="28"/>
        </w:rPr>
        <w:t xml:space="preserve"> знижується, що пов’язано із загальними ринковими тенденціями, запровадження</w:t>
      </w:r>
      <w:r>
        <w:rPr>
          <w:rStyle w:val="longtext"/>
          <w:rFonts w:ascii="Times New Roman" w:hAnsi="Times New Roman" w:cs="Times New Roman"/>
          <w:sz w:val="28"/>
          <w:szCs w:val="28"/>
        </w:rPr>
        <w:t>м</w:t>
      </w:r>
      <w:r w:rsidRPr="00D02450">
        <w:rPr>
          <w:rStyle w:val="longtext"/>
          <w:rFonts w:ascii="Times New Roman" w:hAnsi="Times New Roman" w:cs="Times New Roman"/>
          <w:sz w:val="28"/>
          <w:szCs w:val="28"/>
        </w:rPr>
        <w:t xml:space="preserve"> нових вимог  для внесення та перебування цінних паперів у біржовому реєстрі організаторів торгівлі, а також</w:t>
      </w:r>
      <w:r w:rsidRPr="00D02450">
        <w:rPr>
          <w:rFonts w:ascii="Times New Roman" w:hAnsi="Times New Roman" w:cs="Times New Roman"/>
          <w:sz w:val="28"/>
          <w:szCs w:val="28"/>
        </w:rPr>
        <w:t xml:space="preserve"> у зв’язку із набуттям чинності нових вимог до перебування цінних паперів у біржовому реєстрі</w:t>
      </w:r>
      <w:r w:rsidRPr="002437FF">
        <w:rPr>
          <w:rFonts w:ascii="Times New Roman" w:hAnsi="Times New Roman" w:cs="Times New Roman"/>
          <w:sz w:val="28"/>
          <w:szCs w:val="28"/>
        </w:rPr>
        <w:t xml:space="preserve">. Наприкінці 2018 року у біржовому реєстрі перебувало 10 випусків акцій, у 2017 році -  12 випусків акцій. </w:t>
      </w:r>
    </w:p>
    <w:p w:rsidR="00996DF4" w:rsidRPr="002437FF" w:rsidRDefault="00996DF4" w:rsidP="00996DF4">
      <w:pPr>
        <w:spacing w:after="200"/>
        <w:ind w:firstLine="709"/>
        <w:jc w:val="both"/>
        <w:rPr>
          <w:rFonts w:ascii="Calibri" w:hAnsi="Calibri"/>
          <w:sz w:val="24"/>
          <w:szCs w:val="24"/>
          <w:lang w:val="uk-UA" w:eastAsia="uk-UA"/>
        </w:rPr>
      </w:pPr>
      <w:r w:rsidRPr="002437FF">
        <w:rPr>
          <w:sz w:val="28"/>
          <w:szCs w:val="28"/>
          <w:lang w:val="uk-UA" w:eastAsia="uk-UA"/>
        </w:rPr>
        <w:t>За підсумками 2018 року обсяг торгів акціями на біржовому ринку зменшився у 5 разів порівняно з 201</w:t>
      </w:r>
      <w:r w:rsidRPr="002437FF">
        <w:rPr>
          <w:sz w:val="28"/>
          <w:szCs w:val="28"/>
          <w:lang w:eastAsia="uk-UA"/>
        </w:rPr>
        <w:t>7</w:t>
      </w:r>
      <w:r w:rsidRPr="002437FF">
        <w:rPr>
          <w:sz w:val="28"/>
          <w:szCs w:val="28"/>
          <w:lang w:val="uk-UA" w:eastAsia="uk-UA"/>
        </w:rPr>
        <w:t xml:space="preserve"> роком та становив 1,18  млрд грн </w:t>
      </w:r>
      <w:r w:rsidR="002437FF">
        <w:rPr>
          <w:sz w:val="28"/>
          <w:szCs w:val="28"/>
          <w:lang w:val="uk-UA" w:eastAsia="uk-UA"/>
        </w:rPr>
        <w:t xml:space="preserve"> </w:t>
      </w:r>
      <w:r w:rsidRPr="002437FF">
        <w:rPr>
          <w:sz w:val="28"/>
          <w:szCs w:val="28"/>
          <w:lang w:val="uk-UA" w:eastAsia="uk-UA"/>
        </w:rPr>
        <w:t xml:space="preserve">(таблиця </w:t>
      </w:r>
      <w:r w:rsidRPr="002437FF">
        <w:rPr>
          <w:sz w:val="28"/>
          <w:szCs w:val="28"/>
          <w:lang w:eastAsia="uk-UA"/>
        </w:rPr>
        <w:t>1</w:t>
      </w:r>
      <w:r w:rsidRPr="002437FF">
        <w:rPr>
          <w:rFonts w:ascii="Calibri" w:hAnsi="Calibri"/>
          <w:sz w:val="24"/>
          <w:szCs w:val="24"/>
          <w:lang w:val="uk-UA" w:eastAsia="uk-UA"/>
        </w:rPr>
        <w:t>).</w:t>
      </w:r>
    </w:p>
    <w:p w:rsidR="00996DF4" w:rsidRPr="0054143A" w:rsidRDefault="00996DF4" w:rsidP="00996DF4">
      <w:pPr>
        <w:ind w:firstLine="709"/>
        <w:jc w:val="center"/>
        <w:rPr>
          <w:rFonts w:ascii="Calibri" w:hAnsi="Calibri"/>
          <w:b/>
          <w:sz w:val="24"/>
          <w:szCs w:val="24"/>
          <w:lang w:val="uk-UA" w:eastAsia="uk-UA"/>
        </w:rPr>
      </w:pPr>
      <w:r w:rsidRPr="0054143A">
        <w:rPr>
          <w:rFonts w:ascii="Calibri" w:hAnsi="Calibri"/>
          <w:b/>
          <w:sz w:val="24"/>
          <w:szCs w:val="24"/>
          <w:lang w:val="uk-UA" w:eastAsia="uk-UA"/>
        </w:rPr>
        <w:t xml:space="preserve">Таблиця </w:t>
      </w:r>
      <w:r w:rsidRPr="0054143A">
        <w:rPr>
          <w:rFonts w:ascii="Calibri" w:hAnsi="Calibri"/>
          <w:b/>
          <w:sz w:val="24"/>
          <w:szCs w:val="24"/>
          <w:lang w:eastAsia="uk-UA"/>
        </w:rPr>
        <w:t>1.</w:t>
      </w:r>
      <w:r w:rsidRPr="0054143A">
        <w:rPr>
          <w:rFonts w:ascii="Calibri" w:hAnsi="Calibri"/>
          <w:b/>
          <w:sz w:val="24"/>
          <w:szCs w:val="24"/>
          <w:lang w:val="uk-UA" w:eastAsia="uk-UA"/>
        </w:rPr>
        <w:t xml:space="preserve"> Обсяг торгів акціями на біржовому ринку та позабіржовому ринку </w:t>
      </w:r>
    </w:p>
    <w:p w:rsidR="00996DF4" w:rsidRDefault="00996DF4" w:rsidP="00996DF4">
      <w:pPr>
        <w:ind w:firstLine="709"/>
        <w:jc w:val="center"/>
        <w:rPr>
          <w:rFonts w:ascii="Calibri" w:hAnsi="Calibri"/>
          <w:b/>
          <w:color w:val="000000"/>
          <w:sz w:val="24"/>
          <w:szCs w:val="24"/>
          <w:lang w:val="uk-UA" w:eastAsia="uk-UA"/>
        </w:rPr>
      </w:pPr>
      <w:r w:rsidRPr="0054143A">
        <w:rPr>
          <w:rFonts w:ascii="Calibri" w:hAnsi="Calibri"/>
          <w:b/>
          <w:color w:val="000000"/>
          <w:sz w:val="24"/>
          <w:szCs w:val="24"/>
          <w:lang w:val="uk-UA" w:eastAsia="uk-UA"/>
        </w:rPr>
        <w:t xml:space="preserve">у 2014 </w:t>
      </w:r>
      <w:r w:rsidRPr="0054143A">
        <w:rPr>
          <w:rFonts w:ascii="Calibri" w:hAnsi="Calibri"/>
          <w:b/>
          <w:sz w:val="24"/>
          <w:szCs w:val="24"/>
          <w:lang w:val="uk-UA" w:eastAsia="uk-UA"/>
        </w:rPr>
        <w:t xml:space="preserve">– </w:t>
      </w:r>
      <w:r w:rsidRPr="0054143A">
        <w:rPr>
          <w:rFonts w:ascii="Calibri" w:hAnsi="Calibri"/>
          <w:b/>
          <w:color w:val="000000"/>
          <w:sz w:val="24"/>
          <w:szCs w:val="24"/>
          <w:lang w:val="uk-UA" w:eastAsia="uk-UA"/>
        </w:rPr>
        <w:t>2018 роках, млрд грн</w:t>
      </w:r>
    </w:p>
    <w:p w:rsidR="00996DF4" w:rsidRPr="00D06053" w:rsidRDefault="00996DF4" w:rsidP="00996DF4">
      <w:pPr>
        <w:ind w:firstLine="709"/>
        <w:jc w:val="center"/>
        <w:rPr>
          <w:rFonts w:ascii="Calibri" w:hAnsi="Calibri"/>
          <w:b/>
          <w:color w:val="000000"/>
          <w:sz w:val="24"/>
          <w:szCs w:val="24"/>
          <w:lang w:val="uk-UA" w:eastAsia="uk-UA"/>
        </w:rPr>
      </w:pPr>
    </w:p>
    <w:tbl>
      <w:tblPr>
        <w:tblW w:w="0" w:type="auto"/>
        <w:tblInd w:w="683" w:type="dxa"/>
        <w:tblBorders>
          <w:top w:val="thinThickThinSmallGap" w:sz="12" w:space="0" w:color="2F5496"/>
          <w:left w:val="thinThickThinSmallGap" w:sz="12" w:space="0" w:color="2F5496"/>
          <w:bottom w:val="thinThickThinSmallGap" w:sz="12" w:space="0" w:color="2F5496"/>
          <w:right w:val="thinThickThinSmallGap" w:sz="12" w:space="0" w:color="2F5496"/>
          <w:insideH w:val="thinThickThinSmallGap" w:sz="12" w:space="0" w:color="2F5496"/>
          <w:insideV w:val="thinThickThinSmallGap" w:sz="12" w:space="0" w:color="2F5496"/>
        </w:tblBorders>
        <w:shd w:val="clear" w:color="auto" w:fill="BDD6EE"/>
        <w:tblLook w:val="0000" w:firstRow="0" w:lastRow="0" w:firstColumn="0" w:lastColumn="0" w:noHBand="0" w:noVBand="0"/>
      </w:tblPr>
      <w:tblGrid>
        <w:gridCol w:w="1824"/>
        <w:gridCol w:w="718"/>
        <w:gridCol w:w="719"/>
        <w:gridCol w:w="719"/>
        <w:gridCol w:w="719"/>
        <w:gridCol w:w="2060"/>
      </w:tblGrid>
      <w:tr w:rsidR="00996DF4" w:rsidRPr="00D06053" w:rsidTr="00957211">
        <w:trPr>
          <w:trHeight w:val="315"/>
        </w:trPr>
        <w:tc>
          <w:tcPr>
            <w:tcW w:w="0" w:type="auto"/>
            <w:shd w:val="clear" w:color="auto" w:fill="BDD6EE"/>
            <w:vAlign w:val="center"/>
          </w:tcPr>
          <w:p w:rsidR="00996DF4" w:rsidRPr="00D06053" w:rsidRDefault="00996DF4" w:rsidP="00957211">
            <w:pPr>
              <w:jc w:val="center"/>
              <w:rPr>
                <w:rFonts w:ascii="Calibri" w:hAnsi="Calibri" w:cs="Arial CYR"/>
                <w:b/>
                <w:bCs/>
                <w:sz w:val="18"/>
                <w:szCs w:val="18"/>
                <w:lang w:val="uk-UA" w:eastAsia="uk-UA"/>
              </w:rPr>
            </w:pPr>
            <w:r w:rsidRPr="00D06053">
              <w:rPr>
                <w:rFonts w:ascii="Calibri" w:hAnsi="Calibri" w:cs="Arial CYR"/>
                <w:b/>
                <w:bCs/>
                <w:sz w:val="18"/>
                <w:szCs w:val="18"/>
                <w:lang w:val="uk-UA" w:eastAsia="uk-UA"/>
              </w:rPr>
              <w:t>Вид ринку</w:t>
            </w:r>
          </w:p>
        </w:tc>
        <w:tc>
          <w:tcPr>
            <w:tcW w:w="0" w:type="auto"/>
            <w:shd w:val="clear" w:color="auto" w:fill="BDD6EE"/>
            <w:vAlign w:val="center"/>
          </w:tcPr>
          <w:p w:rsidR="00996DF4" w:rsidRPr="00D06053" w:rsidRDefault="00996DF4" w:rsidP="00957211">
            <w:pPr>
              <w:jc w:val="center"/>
              <w:rPr>
                <w:rFonts w:ascii="Calibri" w:hAnsi="Calibri" w:cs="Arial CYR"/>
                <w:b/>
                <w:bCs/>
                <w:sz w:val="18"/>
                <w:szCs w:val="18"/>
                <w:lang w:val="uk-UA" w:eastAsia="uk-UA"/>
              </w:rPr>
            </w:pPr>
            <w:r w:rsidRPr="00D06053">
              <w:rPr>
                <w:rFonts w:ascii="Calibri" w:hAnsi="Calibri" w:cs="Arial CYR"/>
                <w:b/>
                <w:bCs/>
                <w:sz w:val="18"/>
                <w:szCs w:val="18"/>
                <w:lang w:val="uk-UA" w:eastAsia="uk-UA"/>
              </w:rPr>
              <w:t>2014</w:t>
            </w:r>
          </w:p>
        </w:tc>
        <w:tc>
          <w:tcPr>
            <w:tcW w:w="0" w:type="auto"/>
            <w:shd w:val="clear" w:color="auto" w:fill="BDD6EE"/>
            <w:vAlign w:val="center"/>
          </w:tcPr>
          <w:p w:rsidR="00996DF4" w:rsidRPr="00D06053" w:rsidRDefault="00996DF4" w:rsidP="00957211">
            <w:pPr>
              <w:jc w:val="center"/>
              <w:rPr>
                <w:rFonts w:ascii="Calibri" w:hAnsi="Calibri" w:cs="Arial CYR"/>
                <w:b/>
                <w:bCs/>
                <w:sz w:val="18"/>
                <w:szCs w:val="18"/>
                <w:lang w:val="uk-UA" w:eastAsia="uk-UA"/>
              </w:rPr>
            </w:pPr>
            <w:r w:rsidRPr="00D06053">
              <w:rPr>
                <w:rFonts w:ascii="Calibri" w:hAnsi="Calibri" w:cs="Arial CYR"/>
                <w:b/>
                <w:bCs/>
                <w:sz w:val="18"/>
                <w:szCs w:val="18"/>
                <w:lang w:val="uk-UA" w:eastAsia="uk-UA"/>
              </w:rPr>
              <w:t>2015</w:t>
            </w:r>
          </w:p>
        </w:tc>
        <w:tc>
          <w:tcPr>
            <w:tcW w:w="0" w:type="auto"/>
            <w:shd w:val="clear" w:color="auto" w:fill="BDD6EE"/>
            <w:noWrap/>
            <w:vAlign w:val="center"/>
          </w:tcPr>
          <w:p w:rsidR="00996DF4" w:rsidRPr="00996DF4" w:rsidRDefault="00996DF4" w:rsidP="00957211">
            <w:pPr>
              <w:jc w:val="center"/>
              <w:rPr>
                <w:rFonts w:ascii="Calibri" w:hAnsi="Calibri" w:cs="Arial CYR"/>
                <w:b/>
                <w:bCs/>
                <w:sz w:val="18"/>
                <w:szCs w:val="18"/>
                <w:lang w:eastAsia="uk-UA"/>
              </w:rPr>
            </w:pPr>
            <w:r w:rsidRPr="00D06053">
              <w:rPr>
                <w:rFonts w:ascii="Calibri" w:hAnsi="Calibri" w:cs="Arial CYR"/>
                <w:b/>
                <w:bCs/>
                <w:sz w:val="18"/>
                <w:szCs w:val="18"/>
                <w:lang w:val="uk-UA" w:eastAsia="uk-UA"/>
              </w:rPr>
              <w:t>201</w:t>
            </w:r>
            <w:r w:rsidRPr="00996DF4">
              <w:rPr>
                <w:rFonts w:ascii="Calibri" w:hAnsi="Calibri" w:cs="Arial CYR"/>
                <w:b/>
                <w:bCs/>
                <w:sz w:val="18"/>
                <w:szCs w:val="18"/>
                <w:lang w:eastAsia="uk-UA"/>
              </w:rPr>
              <w:t>6</w:t>
            </w:r>
          </w:p>
        </w:tc>
        <w:tc>
          <w:tcPr>
            <w:tcW w:w="0" w:type="auto"/>
            <w:shd w:val="clear" w:color="auto" w:fill="BDD6EE"/>
            <w:vAlign w:val="center"/>
          </w:tcPr>
          <w:p w:rsidR="00996DF4" w:rsidRPr="00D06053" w:rsidRDefault="00996DF4" w:rsidP="00957211">
            <w:pPr>
              <w:jc w:val="center"/>
              <w:rPr>
                <w:rFonts w:ascii="Calibri" w:hAnsi="Calibri" w:cs="Arial CYR"/>
                <w:b/>
                <w:bCs/>
                <w:sz w:val="18"/>
                <w:szCs w:val="18"/>
                <w:lang w:val="uk-UA" w:eastAsia="uk-UA"/>
              </w:rPr>
            </w:pPr>
            <w:r w:rsidRPr="00D06053">
              <w:rPr>
                <w:rFonts w:ascii="Calibri" w:hAnsi="Calibri" w:cs="Arial CYR"/>
                <w:b/>
                <w:bCs/>
                <w:sz w:val="18"/>
                <w:szCs w:val="18"/>
                <w:lang w:val="uk-UA" w:eastAsia="uk-UA"/>
              </w:rPr>
              <w:t>2017</w:t>
            </w:r>
          </w:p>
        </w:tc>
        <w:tc>
          <w:tcPr>
            <w:tcW w:w="2060" w:type="dxa"/>
            <w:shd w:val="clear" w:color="auto" w:fill="BDD6EE"/>
            <w:noWrap/>
            <w:vAlign w:val="center"/>
          </w:tcPr>
          <w:p w:rsidR="00996DF4" w:rsidRPr="00D06053" w:rsidRDefault="00996DF4" w:rsidP="00957211">
            <w:pPr>
              <w:jc w:val="center"/>
              <w:rPr>
                <w:rFonts w:ascii="Calibri" w:hAnsi="Calibri" w:cs="Arial CYR"/>
                <w:b/>
                <w:bCs/>
                <w:sz w:val="18"/>
                <w:szCs w:val="18"/>
                <w:lang w:val="uk-UA" w:eastAsia="uk-UA"/>
              </w:rPr>
            </w:pPr>
            <w:r w:rsidRPr="00D06053">
              <w:rPr>
                <w:rFonts w:ascii="Calibri" w:hAnsi="Calibri" w:cs="Arial CYR"/>
                <w:b/>
                <w:bCs/>
                <w:sz w:val="18"/>
                <w:szCs w:val="18"/>
                <w:lang w:val="uk-UA" w:eastAsia="uk-UA"/>
              </w:rPr>
              <w:t>2018</w:t>
            </w:r>
          </w:p>
        </w:tc>
      </w:tr>
      <w:tr w:rsidR="00996DF4" w:rsidRPr="00D06053" w:rsidTr="00957211">
        <w:trPr>
          <w:trHeight w:val="630"/>
        </w:trPr>
        <w:tc>
          <w:tcPr>
            <w:tcW w:w="0" w:type="auto"/>
            <w:shd w:val="clear" w:color="auto" w:fill="BDD6EE"/>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Позабіржовий ринок</w:t>
            </w:r>
          </w:p>
        </w:tc>
        <w:tc>
          <w:tcPr>
            <w:tcW w:w="0" w:type="auto"/>
            <w:shd w:val="clear" w:color="auto" w:fill="BDD6EE"/>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391,04</w:t>
            </w:r>
          </w:p>
        </w:tc>
        <w:tc>
          <w:tcPr>
            <w:tcW w:w="0" w:type="auto"/>
            <w:shd w:val="clear" w:color="auto" w:fill="BDD6EE"/>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457,06</w:t>
            </w:r>
          </w:p>
        </w:tc>
        <w:tc>
          <w:tcPr>
            <w:tcW w:w="0" w:type="auto"/>
            <w:shd w:val="clear" w:color="auto" w:fill="BDD6EE"/>
            <w:noWrap/>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480,38</w:t>
            </w:r>
          </w:p>
        </w:tc>
        <w:tc>
          <w:tcPr>
            <w:tcW w:w="0" w:type="auto"/>
            <w:shd w:val="clear" w:color="auto" w:fill="BDD6EE"/>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121,56</w:t>
            </w:r>
          </w:p>
        </w:tc>
        <w:tc>
          <w:tcPr>
            <w:tcW w:w="2060" w:type="dxa"/>
            <w:shd w:val="clear" w:color="auto" w:fill="BDD6EE"/>
            <w:noWrap/>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 xml:space="preserve">78,44 </w:t>
            </w:r>
          </w:p>
        </w:tc>
      </w:tr>
      <w:tr w:rsidR="00996DF4" w:rsidRPr="00D06053" w:rsidTr="00957211">
        <w:trPr>
          <w:trHeight w:val="315"/>
        </w:trPr>
        <w:tc>
          <w:tcPr>
            <w:tcW w:w="0" w:type="auto"/>
            <w:shd w:val="clear" w:color="auto" w:fill="BDD6EE"/>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Біржовий ринок</w:t>
            </w:r>
          </w:p>
        </w:tc>
        <w:tc>
          <w:tcPr>
            <w:tcW w:w="0" w:type="auto"/>
            <w:shd w:val="clear" w:color="auto" w:fill="BDD6EE"/>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24,46</w:t>
            </w:r>
          </w:p>
        </w:tc>
        <w:tc>
          <w:tcPr>
            <w:tcW w:w="0" w:type="auto"/>
            <w:shd w:val="clear" w:color="auto" w:fill="BDD6EE"/>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5,22</w:t>
            </w:r>
          </w:p>
        </w:tc>
        <w:tc>
          <w:tcPr>
            <w:tcW w:w="0" w:type="auto"/>
            <w:shd w:val="clear" w:color="auto" w:fill="BDD6EE"/>
            <w:noWrap/>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2,08</w:t>
            </w:r>
          </w:p>
        </w:tc>
        <w:tc>
          <w:tcPr>
            <w:tcW w:w="0" w:type="auto"/>
            <w:shd w:val="clear" w:color="auto" w:fill="BDD6EE"/>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5,02</w:t>
            </w:r>
          </w:p>
        </w:tc>
        <w:tc>
          <w:tcPr>
            <w:tcW w:w="2060" w:type="dxa"/>
            <w:shd w:val="clear" w:color="auto" w:fill="BDD6EE"/>
            <w:noWrap/>
            <w:vAlign w:val="center"/>
          </w:tcPr>
          <w:p w:rsidR="00996DF4" w:rsidRPr="00D06053" w:rsidRDefault="00996DF4" w:rsidP="00957211">
            <w:pPr>
              <w:jc w:val="center"/>
              <w:rPr>
                <w:rFonts w:ascii="Calibri" w:hAnsi="Calibri" w:cs="Arial CYR"/>
                <w:sz w:val="18"/>
                <w:szCs w:val="18"/>
                <w:lang w:val="uk-UA" w:eastAsia="uk-UA"/>
              </w:rPr>
            </w:pPr>
            <w:r w:rsidRPr="00D06053">
              <w:rPr>
                <w:rFonts w:ascii="Calibri" w:hAnsi="Calibri" w:cs="Arial CYR"/>
                <w:sz w:val="18"/>
                <w:szCs w:val="18"/>
                <w:lang w:val="uk-UA" w:eastAsia="uk-UA"/>
              </w:rPr>
              <w:t>1,18</w:t>
            </w:r>
          </w:p>
        </w:tc>
      </w:tr>
      <w:tr w:rsidR="00996DF4" w:rsidRPr="00D06053" w:rsidTr="00957211">
        <w:trPr>
          <w:trHeight w:val="315"/>
        </w:trPr>
        <w:tc>
          <w:tcPr>
            <w:tcW w:w="0" w:type="auto"/>
            <w:shd w:val="clear" w:color="auto" w:fill="BDD6EE"/>
            <w:vAlign w:val="center"/>
          </w:tcPr>
          <w:p w:rsidR="00996DF4" w:rsidRPr="00D06053" w:rsidRDefault="00996DF4" w:rsidP="00957211">
            <w:pPr>
              <w:jc w:val="center"/>
              <w:rPr>
                <w:rFonts w:ascii="Calibri" w:hAnsi="Calibri" w:cs="Arial CYR"/>
                <w:b/>
                <w:bCs/>
                <w:sz w:val="18"/>
                <w:szCs w:val="18"/>
                <w:lang w:val="uk-UA" w:eastAsia="uk-UA"/>
              </w:rPr>
            </w:pPr>
            <w:r w:rsidRPr="00D06053">
              <w:rPr>
                <w:rFonts w:ascii="Calibri" w:hAnsi="Calibri" w:cs="Arial CYR"/>
                <w:b/>
                <w:bCs/>
                <w:sz w:val="18"/>
                <w:szCs w:val="18"/>
                <w:lang w:val="uk-UA" w:eastAsia="uk-UA"/>
              </w:rPr>
              <w:t>Усього</w:t>
            </w:r>
          </w:p>
        </w:tc>
        <w:tc>
          <w:tcPr>
            <w:tcW w:w="0" w:type="auto"/>
            <w:shd w:val="clear" w:color="auto" w:fill="BDD6EE"/>
            <w:vAlign w:val="center"/>
          </w:tcPr>
          <w:p w:rsidR="00996DF4" w:rsidRPr="00D06053" w:rsidRDefault="00996DF4" w:rsidP="00957211">
            <w:pPr>
              <w:jc w:val="center"/>
              <w:rPr>
                <w:rFonts w:ascii="Calibri" w:hAnsi="Calibri" w:cs="Arial CYR"/>
                <w:b/>
                <w:bCs/>
                <w:sz w:val="18"/>
                <w:szCs w:val="18"/>
                <w:lang w:val="uk-UA" w:eastAsia="uk-UA"/>
              </w:rPr>
            </w:pPr>
            <w:r w:rsidRPr="00D06053">
              <w:rPr>
                <w:rFonts w:ascii="Calibri" w:hAnsi="Calibri" w:cs="Arial CYR"/>
                <w:b/>
                <w:bCs/>
                <w:sz w:val="18"/>
                <w:szCs w:val="18"/>
                <w:lang w:val="uk-UA" w:eastAsia="uk-UA"/>
              </w:rPr>
              <w:t>415,5</w:t>
            </w:r>
          </w:p>
        </w:tc>
        <w:tc>
          <w:tcPr>
            <w:tcW w:w="0" w:type="auto"/>
            <w:shd w:val="clear" w:color="auto" w:fill="BDD6EE"/>
            <w:vAlign w:val="center"/>
          </w:tcPr>
          <w:p w:rsidR="00996DF4" w:rsidRPr="00D06053" w:rsidRDefault="00996DF4" w:rsidP="00957211">
            <w:pPr>
              <w:jc w:val="center"/>
              <w:rPr>
                <w:rFonts w:ascii="Calibri" w:hAnsi="Calibri" w:cs="Arial CYR"/>
                <w:b/>
                <w:bCs/>
                <w:sz w:val="18"/>
                <w:szCs w:val="18"/>
                <w:lang w:val="uk-UA" w:eastAsia="uk-UA"/>
              </w:rPr>
            </w:pPr>
            <w:r w:rsidRPr="00D06053">
              <w:rPr>
                <w:rFonts w:ascii="Calibri" w:hAnsi="Calibri" w:cs="Arial CYR"/>
                <w:b/>
                <w:bCs/>
                <w:sz w:val="18"/>
                <w:szCs w:val="18"/>
                <w:lang w:val="uk-UA" w:eastAsia="uk-UA"/>
              </w:rPr>
              <w:t>462,28</w:t>
            </w:r>
          </w:p>
        </w:tc>
        <w:tc>
          <w:tcPr>
            <w:tcW w:w="0" w:type="auto"/>
            <w:shd w:val="clear" w:color="auto" w:fill="BDD6EE"/>
            <w:noWrap/>
            <w:vAlign w:val="center"/>
          </w:tcPr>
          <w:p w:rsidR="00996DF4" w:rsidRPr="00D06053" w:rsidRDefault="00996DF4" w:rsidP="00957211">
            <w:pPr>
              <w:jc w:val="center"/>
              <w:rPr>
                <w:rFonts w:ascii="Calibri" w:hAnsi="Calibri" w:cs="Arial CYR"/>
                <w:b/>
                <w:bCs/>
                <w:sz w:val="18"/>
                <w:szCs w:val="18"/>
                <w:lang w:val="uk-UA" w:eastAsia="uk-UA"/>
              </w:rPr>
            </w:pPr>
            <w:r w:rsidRPr="00D06053">
              <w:rPr>
                <w:rFonts w:ascii="Calibri" w:hAnsi="Calibri" w:cs="Arial CYR"/>
                <w:b/>
                <w:bCs/>
                <w:sz w:val="18"/>
                <w:szCs w:val="18"/>
                <w:lang w:val="uk-UA" w:eastAsia="uk-UA"/>
              </w:rPr>
              <w:t>482,46</w:t>
            </w:r>
          </w:p>
        </w:tc>
        <w:tc>
          <w:tcPr>
            <w:tcW w:w="0" w:type="auto"/>
            <w:shd w:val="clear" w:color="auto" w:fill="BDD6EE"/>
            <w:vAlign w:val="center"/>
          </w:tcPr>
          <w:p w:rsidR="00996DF4" w:rsidRPr="00D06053" w:rsidRDefault="00996DF4" w:rsidP="00957211">
            <w:pPr>
              <w:jc w:val="center"/>
              <w:rPr>
                <w:rFonts w:ascii="Calibri" w:hAnsi="Calibri" w:cs="Arial CYR"/>
                <w:b/>
                <w:bCs/>
                <w:sz w:val="18"/>
                <w:szCs w:val="18"/>
                <w:lang w:val="uk-UA" w:eastAsia="uk-UA"/>
              </w:rPr>
            </w:pPr>
            <w:r w:rsidRPr="00D06053">
              <w:rPr>
                <w:rFonts w:ascii="Calibri" w:hAnsi="Calibri" w:cs="Arial CYR"/>
                <w:b/>
                <w:bCs/>
                <w:sz w:val="18"/>
                <w:szCs w:val="18"/>
                <w:lang w:val="uk-UA" w:eastAsia="uk-UA"/>
              </w:rPr>
              <w:t>126,61</w:t>
            </w:r>
          </w:p>
        </w:tc>
        <w:tc>
          <w:tcPr>
            <w:tcW w:w="2060" w:type="dxa"/>
            <w:shd w:val="clear" w:color="auto" w:fill="BDD6EE"/>
            <w:noWrap/>
            <w:vAlign w:val="center"/>
          </w:tcPr>
          <w:p w:rsidR="00996DF4" w:rsidRPr="00D06053" w:rsidRDefault="00996DF4" w:rsidP="00957211">
            <w:pPr>
              <w:jc w:val="center"/>
              <w:rPr>
                <w:rFonts w:ascii="Calibri" w:hAnsi="Calibri" w:cs="Arial CYR"/>
                <w:b/>
                <w:sz w:val="18"/>
                <w:szCs w:val="18"/>
                <w:lang w:val="uk-UA" w:eastAsia="uk-UA"/>
              </w:rPr>
            </w:pPr>
            <w:r w:rsidRPr="00D06053">
              <w:rPr>
                <w:rFonts w:ascii="Calibri" w:hAnsi="Calibri" w:cs="Arial CYR"/>
                <w:b/>
                <w:sz w:val="18"/>
                <w:szCs w:val="18"/>
                <w:lang w:val="uk-UA" w:eastAsia="uk-UA"/>
              </w:rPr>
              <w:t xml:space="preserve">79,62 </w:t>
            </w:r>
          </w:p>
        </w:tc>
      </w:tr>
    </w:tbl>
    <w:p w:rsidR="00996DF4" w:rsidRDefault="00996DF4" w:rsidP="00996DF4">
      <w:pPr>
        <w:ind w:firstLine="720"/>
        <w:jc w:val="both"/>
        <w:rPr>
          <w:sz w:val="28"/>
          <w:szCs w:val="28"/>
          <w:lang w:val="uk-UA"/>
        </w:rPr>
      </w:pPr>
    </w:p>
    <w:p w:rsidR="002437FF" w:rsidRDefault="002437FF" w:rsidP="00996DF4">
      <w:pPr>
        <w:spacing w:after="200"/>
        <w:ind w:firstLine="709"/>
        <w:jc w:val="both"/>
        <w:rPr>
          <w:rFonts w:eastAsia="TimesNewRoman"/>
          <w:b/>
          <w:sz w:val="28"/>
          <w:szCs w:val="28"/>
          <w:lang w:val="uk-UA" w:eastAsia="uk-UA"/>
        </w:rPr>
      </w:pPr>
    </w:p>
    <w:p w:rsidR="00996DF4" w:rsidRPr="002437FF" w:rsidRDefault="00996DF4" w:rsidP="00996DF4">
      <w:pPr>
        <w:spacing w:after="200"/>
        <w:ind w:firstLine="709"/>
        <w:jc w:val="both"/>
        <w:rPr>
          <w:sz w:val="28"/>
          <w:szCs w:val="28"/>
          <w:lang w:val="uk-UA" w:eastAsia="uk-UA"/>
        </w:rPr>
      </w:pPr>
      <w:r w:rsidRPr="002437FF">
        <w:rPr>
          <w:rFonts w:eastAsia="TimesNewRoman"/>
          <w:sz w:val="28"/>
          <w:szCs w:val="28"/>
          <w:lang w:val="uk-UA" w:eastAsia="uk-UA"/>
        </w:rPr>
        <w:t xml:space="preserve">За останні три роки </w:t>
      </w:r>
      <w:r w:rsidR="002437FF" w:rsidRPr="002437FF">
        <w:rPr>
          <w:rFonts w:eastAsia="TimesNewRoman"/>
          <w:sz w:val="28"/>
          <w:szCs w:val="28"/>
          <w:lang w:val="uk-UA" w:eastAsia="uk-UA"/>
        </w:rPr>
        <w:t xml:space="preserve">також </w:t>
      </w:r>
      <w:r w:rsidRPr="002437FF">
        <w:rPr>
          <w:rFonts w:eastAsia="TimesNewRoman"/>
          <w:sz w:val="28"/>
          <w:szCs w:val="28"/>
          <w:lang w:val="uk-UA" w:eastAsia="uk-UA"/>
        </w:rPr>
        <w:t>спостерігається зменшення обсягів торгів облігаціями підприємств на ринку цінних паперів. Цей показник у 201</w:t>
      </w:r>
      <w:r w:rsidRPr="002437FF">
        <w:rPr>
          <w:rFonts w:eastAsia="TimesNewRoman"/>
          <w:sz w:val="28"/>
          <w:szCs w:val="28"/>
          <w:lang w:eastAsia="uk-UA"/>
        </w:rPr>
        <w:t>8</w:t>
      </w:r>
      <w:r w:rsidRPr="002437FF">
        <w:rPr>
          <w:rFonts w:eastAsia="TimesNewRoman"/>
          <w:sz w:val="28"/>
          <w:szCs w:val="28"/>
          <w:lang w:val="uk-UA" w:eastAsia="uk-UA"/>
        </w:rPr>
        <w:t xml:space="preserve"> році становив </w:t>
      </w:r>
      <w:r w:rsidRPr="002437FF">
        <w:rPr>
          <w:sz w:val="28"/>
          <w:szCs w:val="28"/>
          <w:lang w:eastAsia="uk-UA"/>
        </w:rPr>
        <w:t>33</w:t>
      </w:r>
      <w:r w:rsidRPr="002437FF">
        <w:rPr>
          <w:sz w:val="28"/>
          <w:szCs w:val="28"/>
          <w:lang w:val="uk-UA" w:eastAsia="uk-UA"/>
        </w:rPr>
        <w:t>,</w:t>
      </w:r>
      <w:r w:rsidRPr="002437FF">
        <w:rPr>
          <w:sz w:val="28"/>
          <w:szCs w:val="28"/>
          <w:lang w:eastAsia="uk-UA"/>
        </w:rPr>
        <w:t>6</w:t>
      </w:r>
      <w:r w:rsidRPr="002437FF">
        <w:rPr>
          <w:sz w:val="28"/>
          <w:szCs w:val="28"/>
          <w:lang w:val="uk-UA" w:eastAsia="uk-UA"/>
        </w:rPr>
        <w:t xml:space="preserve"> млрд грн</w:t>
      </w:r>
      <w:r w:rsidRPr="002437FF">
        <w:rPr>
          <w:sz w:val="28"/>
          <w:szCs w:val="28"/>
          <w:lang w:eastAsia="uk-UA"/>
        </w:rPr>
        <w:t xml:space="preserve">, </w:t>
      </w:r>
      <w:r w:rsidRPr="002437FF">
        <w:rPr>
          <w:sz w:val="28"/>
          <w:szCs w:val="28"/>
          <w:lang w:val="uk-UA" w:eastAsia="uk-UA"/>
        </w:rPr>
        <w:t xml:space="preserve">що на 12,7% більше ніж у 2017 </w:t>
      </w:r>
      <w:r w:rsidR="00C15F6B" w:rsidRPr="002437FF">
        <w:rPr>
          <w:sz w:val="28"/>
          <w:szCs w:val="28"/>
          <w:lang w:val="uk-UA" w:eastAsia="uk-UA"/>
        </w:rPr>
        <w:t xml:space="preserve">  </w:t>
      </w:r>
      <w:r w:rsidRPr="002437FF">
        <w:rPr>
          <w:sz w:val="28"/>
          <w:szCs w:val="28"/>
          <w:lang w:val="uk-UA" w:eastAsia="uk-UA"/>
        </w:rPr>
        <w:t>(д</w:t>
      </w:r>
      <w:r w:rsidR="00C15F6B" w:rsidRPr="002437FF">
        <w:rPr>
          <w:sz w:val="28"/>
          <w:szCs w:val="28"/>
          <w:lang w:val="uk-UA" w:eastAsia="uk-UA"/>
        </w:rPr>
        <w:t>іаграма 1</w:t>
      </w:r>
      <w:r w:rsidRPr="002437FF">
        <w:rPr>
          <w:sz w:val="28"/>
          <w:szCs w:val="28"/>
          <w:lang w:val="uk-UA" w:eastAsia="uk-UA"/>
        </w:rPr>
        <w:t xml:space="preserve">). </w:t>
      </w:r>
    </w:p>
    <w:p w:rsidR="00996DF4" w:rsidRPr="005A56D2" w:rsidRDefault="00996DF4" w:rsidP="00996DF4">
      <w:pPr>
        <w:jc w:val="both"/>
        <w:rPr>
          <w:rFonts w:ascii="Calibri" w:hAnsi="Calibri"/>
          <w:b/>
          <w:bCs/>
          <w:sz w:val="24"/>
          <w:szCs w:val="24"/>
          <w:lang w:val="uk-UA" w:eastAsia="uk-UA"/>
        </w:rPr>
      </w:pPr>
    </w:p>
    <w:p w:rsidR="00996DF4" w:rsidRPr="005A56D2" w:rsidRDefault="00C15F6B" w:rsidP="00996DF4">
      <w:pPr>
        <w:jc w:val="center"/>
        <w:rPr>
          <w:rFonts w:ascii="Calibri" w:hAnsi="Calibri"/>
          <w:b/>
          <w:sz w:val="24"/>
          <w:szCs w:val="24"/>
          <w:lang w:val="uk-UA" w:eastAsia="uk-UA"/>
        </w:rPr>
      </w:pPr>
      <w:r>
        <w:rPr>
          <w:rFonts w:ascii="Calibri" w:hAnsi="Calibri"/>
          <w:b/>
          <w:sz w:val="24"/>
          <w:szCs w:val="24"/>
          <w:lang w:val="uk-UA" w:eastAsia="uk-UA"/>
        </w:rPr>
        <w:t>Діаграма 1.</w:t>
      </w:r>
      <w:r w:rsidR="00996DF4" w:rsidRPr="005A56D2">
        <w:rPr>
          <w:rFonts w:ascii="Calibri" w:hAnsi="Calibri"/>
          <w:b/>
          <w:sz w:val="24"/>
          <w:szCs w:val="24"/>
          <w:lang w:val="uk-UA" w:eastAsia="uk-UA"/>
        </w:rPr>
        <w:t xml:space="preserve"> Обсяг торгів облігаціями підприємств на ринку цінних паперів</w:t>
      </w:r>
    </w:p>
    <w:p w:rsidR="00996DF4" w:rsidRPr="005A56D2" w:rsidRDefault="00996DF4" w:rsidP="00996DF4">
      <w:pPr>
        <w:jc w:val="center"/>
        <w:rPr>
          <w:rFonts w:ascii="Calibri" w:hAnsi="Calibri"/>
          <w:b/>
          <w:sz w:val="24"/>
          <w:szCs w:val="24"/>
          <w:lang w:val="uk-UA" w:eastAsia="uk-UA"/>
        </w:rPr>
      </w:pPr>
      <w:r w:rsidRPr="005A56D2">
        <w:rPr>
          <w:rFonts w:ascii="Calibri" w:hAnsi="Calibri"/>
          <w:b/>
          <w:sz w:val="24"/>
          <w:szCs w:val="24"/>
          <w:lang w:val="uk-UA" w:eastAsia="uk-UA"/>
        </w:rPr>
        <w:t xml:space="preserve"> у 2014 – 2018 роках, млрд грн</w:t>
      </w:r>
    </w:p>
    <w:p w:rsidR="00996DF4" w:rsidRPr="005A56D2" w:rsidRDefault="00996DF4" w:rsidP="00996DF4">
      <w:pPr>
        <w:spacing w:after="200"/>
        <w:jc w:val="center"/>
        <w:rPr>
          <w:rFonts w:ascii="Calibri" w:hAnsi="Calibri"/>
          <w:sz w:val="24"/>
          <w:szCs w:val="24"/>
          <w:lang w:val="uk-UA" w:eastAsia="uk-UA"/>
        </w:rPr>
      </w:pPr>
      <w:r w:rsidRPr="001E2778">
        <w:object w:dxaOrig="9562" w:dyaOrig="3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єкт 35" o:spid="_x0000_i1025" type="#_x0000_t75" style="width:478.2pt;height:181.8pt;visibility:visible" o:ole="">
            <v:imagedata r:id="rId8" o:title="" cropbottom="-36f"/>
            <o:lock v:ext="edit" aspectratio="f"/>
          </v:shape>
          <o:OLEObject Type="Embed" ProgID="Excel.Chart.8" ShapeID="Об'єкт 35" DrawAspect="Content" ObjectID="_1617520245" r:id="rId9">
            <o:FieldCodes>\s</o:FieldCodes>
          </o:OLEObject>
        </w:object>
      </w:r>
    </w:p>
    <w:p w:rsidR="00996DF4" w:rsidRPr="002437FF" w:rsidRDefault="00996DF4" w:rsidP="00996DF4">
      <w:pPr>
        <w:ind w:firstLine="851"/>
        <w:jc w:val="both"/>
        <w:rPr>
          <w:sz w:val="28"/>
          <w:szCs w:val="28"/>
          <w:lang w:val="uk-UA" w:eastAsia="uk-UA"/>
        </w:rPr>
      </w:pPr>
      <w:r w:rsidRPr="002437FF">
        <w:rPr>
          <w:sz w:val="28"/>
          <w:szCs w:val="28"/>
          <w:lang w:val="uk-UA" w:eastAsia="uk-UA"/>
        </w:rPr>
        <w:t xml:space="preserve">За підсумками 2018 року обсяг торгів </w:t>
      </w:r>
      <w:r w:rsidRPr="002437FF">
        <w:rPr>
          <w:rFonts w:eastAsia="TimesNewRoman"/>
          <w:sz w:val="28"/>
          <w:szCs w:val="28"/>
          <w:lang w:val="uk-UA" w:eastAsia="uk-UA"/>
        </w:rPr>
        <w:t>облігаціями підприємств на біржовому ринку становив 10,25 млрд грн, що більше на 67,5% порівняно з 201</w:t>
      </w:r>
      <w:r w:rsidRPr="002437FF">
        <w:rPr>
          <w:rFonts w:eastAsia="TimesNewRoman"/>
          <w:sz w:val="28"/>
          <w:szCs w:val="28"/>
          <w:lang w:eastAsia="uk-UA"/>
        </w:rPr>
        <w:t>7</w:t>
      </w:r>
      <w:r w:rsidRPr="002437FF">
        <w:rPr>
          <w:rFonts w:eastAsia="TimesNewRoman"/>
          <w:sz w:val="28"/>
          <w:szCs w:val="28"/>
          <w:lang w:val="uk-UA" w:eastAsia="uk-UA"/>
        </w:rPr>
        <w:t xml:space="preserve"> роком </w:t>
      </w:r>
      <w:r w:rsidRPr="002437FF">
        <w:rPr>
          <w:sz w:val="28"/>
          <w:szCs w:val="28"/>
          <w:lang w:val="uk-UA" w:eastAsia="uk-UA"/>
        </w:rPr>
        <w:t xml:space="preserve">(таблиця </w:t>
      </w:r>
      <w:r w:rsidRPr="002437FF">
        <w:rPr>
          <w:sz w:val="28"/>
          <w:szCs w:val="28"/>
          <w:lang w:eastAsia="uk-UA"/>
        </w:rPr>
        <w:t>2</w:t>
      </w:r>
      <w:r w:rsidRPr="002437FF">
        <w:rPr>
          <w:sz w:val="28"/>
          <w:szCs w:val="28"/>
          <w:lang w:val="uk-UA" w:eastAsia="uk-UA"/>
        </w:rPr>
        <w:t>).</w:t>
      </w:r>
    </w:p>
    <w:p w:rsidR="00996DF4" w:rsidRPr="00953490" w:rsidRDefault="00996DF4" w:rsidP="00996DF4">
      <w:pPr>
        <w:ind w:firstLine="851"/>
        <w:jc w:val="both"/>
        <w:rPr>
          <w:b/>
          <w:sz w:val="28"/>
          <w:szCs w:val="28"/>
          <w:lang w:val="uk-UA" w:eastAsia="uk-UA"/>
        </w:rPr>
      </w:pPr>
    </w:p>
    <w:p w:rsidR="00996DF4" w:rsidRDefault="00C15F6B" w:rsidP="00996DF4">
      <w:pPr>
        <w:spacing w:after="200"/>
        <w:jc w:val="center"/>
        <w:rPr>
          <w:rFonts w:ascii="Calibri" w:hAnsi="Calibri"/>
          <w:b/>
          <w:color w:val="000000"/>
          <w:sz w:val="24"/>
          <w:szCs w:val="24"/>
          <w:lang w:val="uk-UA" w:eastAsia="uk-UA"/>
        </w:rPr>
      </w:pPr>
      <w:r>
        <w:rPr>
          <w:rFonts w:ascii="Calibri" w:hAnsi="Calibri"/>
          <w:b/>
          <w:sz w:val="24"/>
          <w:szCs w:val="24"/>
          <w:lang w:val="uk-UA" w:eastAsia="uk-UA"/>
        </w:rPr>
        <w:t xml:space="preserve">Таблиця </w:t>
      </w:r>
      <w:r w:rsidR="00996DF4" w:rsidRPr="002D507F">
        <w:rPr>
          <w:rFonts w:ascii="Calibri" w:hAnsi="Calibri"/>
          <w:b/>
          <w:sz w:val="24"/>
          <w:szCs w:val="24"/>
          <w:lang w:val="uk-UA" w:eastAsia="uk-UA"/>
        </w:rPr>
        <w:t>2</w:t>
      </w:r>
      <w:r w:rsidR="002D507F">
        <w:rPr>
          <w:rFonts w:ascii="Calibri" w:hAnsi="Calibri"/>
          <w:b/>
          <w:sz w:val="24"/>
          <w:szCs w:val="24"/>
          <w:lang w:val="uk-UA" w:eastAsia="uk-UA"/>
        </w:rPr>
        <w:t>.</w:t>
      </w:r>
      <w:r w:rsidR="00996DF4" w:rsidRPr="00953490">
        <w:rPr>
          <w:rFonts w:ascii="Calibri" w:hAnsi="Calibri"/>
          <w:b/>
          <w:sz w:val="24"/>
          <w:szCs w:val="24"/>
          <w:lang w:val="uk-UA" w:eastAsia="uk-UA"/>
        </w:rPr>
        <w:t xml:space="preserve"> Обсяг торгів облігаціями підприємств на біржовому ринку та позабіржовому ринку </w:t>
      </w:r>
      <w:r w:rsidR="00996DF4" w:rsidRPr="00953490">
        <w:rPr>
          <w:rFonts w:ascii="Calibri" w:hAnsi="Calibri"/>
          <w:b/>
          <w:color w:val="000000"/>
          <w:sz w:val="24"/>
          <w:szCs w:val="24"/>
          <w:lang w:val="uk-UA" w:eastAsia="uk-UA"/>
        </w:rPr>
        <w:t>в 2014 – 2018 роках, млрд грн</w:t>
      </w:r>
      <w:r w:rsidR="002D507F">
        <w:rPr>
          <w:rFonts w:ascii="Calibri" w:hAnsi="Calibri"/>
          <w:b/>
          <w:color w:val="000000"/>
          <w:sz w:val="24"/>
          <w:szCs w:val="24"/>
          <w:lang w:val="uk-UA" w:eastAsia="uk-UA"/>
        </w:rPr>
        <w:t xml:space="preserve">  </w:t>
      </w:r>
    </w:p>
    <w:p w:rsidR="002D507F" w:rsidRPr="00953490" w:rsidRDefault="002D507F" w:rsidP="00996DF4">
      <w:pPr>
        <w:spacing w:after="200"/>
        <w:jc w:val="center"/>
        <w:rPr>
          <w:rFonts w:ascii="Calibri" w:hAnsi="Calibri"/>
          <w:b/>
          <w:color w:val="000000"/>
          <w:sz w:val="24"/>
          <w:szCs w:val="24"/>
          <w:lang w:val="uk-UA" w:eastAsia="uk-UA"/>
        </w:rPr>
      </w:pPr>
    </w:p>
    <w:tbl>
      <w:tblPr>
        <w:tblW w:w="7341" w:type="dxa"/>
        <w:jc w:val="center"/>
        <w:tblBorders>
          <w:top w:val="thinThickThinSmallGap" w:sz="12" w:space="0" w:color="2F5496"/>
          <w:left w:val="thinThickThinSmallGap" w:sz="12" w:space="0" w:color="2F5496"/>
          <w:bottom w:val="thinThickThinSmallGap" w:sz="12" w:space="0" w:color="2F5496"/>
          <w:right w:val="thinThickThinSmallGap" w:sz="12" w:space="0" w:color="2F5496"/>
          <w:insideH w:val="thinThickThinSmallGap" w:sz="12" w:space="0" w:color="2F5496"/>
          <w:insideV w:val="thinThickThinSmallGap" w:sz="12" w:space="0" w:color="2F5496"/>
        </w:tblBorders>
        <w:shd w:val="clear" w:color="auto" w:fill="BDD6EE"/>
        <w:tblLook w:val="0000" w:firstRow="0" w:lastRow="0" w:firstColumn="0" w:lastColumn="0" w:noHBand="0" w:noVBand="0"/>
      </w:tblPr>
      <w:tblGrid>
        <w:gridCol w:w="1941"/>
        <w:gridCol w:w="1080"/>
        <w:gridCol w:w="1080"/>
        <w:gridCol w:w="1080"/>
        <w:gridCol w:w="1080"/>
        <w:gridCol w:w="1080"/>
      </w:tblGrid>
      <w:tr w:rsidR="00996DF4" w:rsidRPr="00953490" w:rsidTr="00957211">
        <w:trPr>
          <w:trHeight w:val="510"/>
          <w:jc w:val="center"/>
        </w:trPr>
        <w:tc>
          <w:tcPr>
            <w:tcW w:w="1941" w:type="dxa"/>
            <w:shd w:val="clear" w:color="auto" w:fill="BDD6EE"/>
            <w:vAlign w:val="center"/>
          </w:tcPr>
          <w:p w:rsidR="00996DF4" w:rsidRPr="00953490" w:rsidRDefault="00996DF4" w:rsidP="00957211">
            <w:pPr>
              <w:jc w:val="center"/>
              <w:rPr>
                <w:rFonts w:ascii="Calibri" w:hAnsi="Calibri" w:cs="Arial CYR"/>
                <w:b/>
                <w:bCs/>
                <w:sz w:val="18"/>
                <w:szCs w:val="18"/>
                <w:lang w:val="uk-UA" w:eastAsia="uk-UA"/>
              </w:rPr>
            </w:pPr>
            <w:r w:rsidRPr="00953490">
              <w:rPr>
                <w:rFonts w:ascii="Calibri" w:hAnsi="Calibri" w:cs="Arial CYR"/>
                <w:b/>
                <w:bCs/>
                <w:sz w:val="18"/>
                <w:szCs w:val="18"/>
                <w:lang w:val="uk-UA" w:eastAsia="uk-UA"/>
              </w:rPr>
              <w:t>Вид ринку</w:t>
            </w:r>
          </w:p>
        </w:tc>
        <w:tc>
          <w:tcPr>
            <w:tcW w:w="1080" w:type="dxa"/>
            <w:shd w:val="clear" w:color="auto" w:fill="BDD6EE"/>
            <w:vAlign w:val="center"/>
          </w:tcPr>
          <w:p w:rsidR="00996DF4" w:rsidRPr="00953490" w:rsidRDefault="00996DF4" w:rsidP="00957211">
            <w:pPr>
              <w:jc w:val="center"/>
              <w:rPr>
                <w:rFonts w:ascii="Calibri" w:hAnsi="Calibri" w:cs="Arial CYR"/>
                <w:b/>
                <w:bCs/>
                <w:sz w:val="18"/>
                <w:szCs w:val="18"/>
                <w:lang w:val="uk-UA" w:eastAsia="uk-UA"/>
              </w:rPr>
            </w:pPr>
            <w:r w:rsidRPr="00953490">
              <w:rPr>
                <w:rFonts w:ascii="Calibri" w:hAnsi="Calibri" w:cs="Arial CYR"/>
                <w:b/>
                <w:bCs/>
                <w:sz w:val="18"/>
                <w:szCs w:val="18"/>
                <w:lang w:val="uk-UA" w:eastAsia="uk-UA"/>
              </w:rPr>
              <w:t>2014</w:t>
            </w:r>
          </w:p>
        </w:tc>
        <w:tc>
          <w:tcPr>
            <w:tcW w:w="1080" w:type="dxa"/>
            <w:shd w:val="clear" w:color="auto" w:fill="BDD6EE"/>
            <w:vAlign w:val="center"/>
          </w:tcPr>
          <w:p w:rsidR="00996DF4" w:rsidRPr="00953490" w:rsidRDefault="00996DF4" w:rsidP="00957211">
            <w:pPr>
              <w:jc w:val="center"/>
              <w:rPr>
                <w:rFonts w:ascii="Calibri" w:hAnsi="Calibri" w:cs="Arial CYR"/>
                <w:b/>
                <w:bCs/>
                <w:sz w:val="18"/>
                <w:szCs w:val="18"/>
                <w:lang w:val="uk-UA" w:eastAsia="uk-UA"/>
              </w:rPr>
            </w:pPr>
            <w:r w:rsidRPr="00953490">
              <w:rPr>
                <w:rFonts w:ascii="Calibri" w:hAnsi="Calibri" w:cs="Arial CYR"/>
                <w:b/>
                <w:bCs/>
                <w:sz w:val="18"/>
                <w:szCs w:val="18"/>
                <w:lang w:val="uk-UA" w:eastAsia="uk-UA"/>
              </w:rPr>
              <w:t>2015</w:t>
            </w:r>
          </w:p>
        </w:tc>
        <w:tc>
          <w:tcPr>
            <w:tcW w:w="1080" w:type="dxa"/>
            <w:shd w:val="clear" w:color="auto" w:fill="BDD6EE"/>
            <w:vAlign w:val="center"/>
          </w:tcPr>
          <w:p w:rsidR="00996DF4" w:rsidRPr="00953490" w:rsidRDefault="00996DF4" w:rsidP="00957211">
            <w:pPr>
              <w:jc w:val="center"/>
              <w:rPr>
                <w:rFonts w:ascii="Calibri" w:hAnsi="Calibri" w:cs="Arial CYR"/>
                <w:b/>
                <w:bCs/>
                <w:sz w:val="18"/>
                <w:szCs w:val="18"/>
                <w:lang w:val="uk-UA" w:eastAsia="uk-UA"/>
              </w:rPr>
            </w:pPr>
            <w:r w:rsidRPr="00953490">
              <w:rPr>
                <w:rFonts w:ascii="Calibri" w:hAnsi="Calibri" w:cs="Arial CYR"/>
                <w:b/>
                <w:bCs/>
                <w:sz w:val="18"/>
                <w:szCs w:val="18"/>
                <w:lang w:val="uk-UA" w:eastAsia="uk-UA"/>
              </w:rPr>
              <w:t>2016</w:t>
            </w:r>
          </w:p>
        </w:tc>
        <w:tc>
          <w:tcPr>
            <w:tcW w:w="1080" w:type="dxa"/>
            <w:shd w:val="clear" w:color="auto" w:fill="BDD6EE"/>
            <w:vAlign w:val="center"/>
          </w:tcPr>
          <w:p w:rsidR="00996DF4" w:rsidRPr="00953490" w:rsidRDefault="00996DF4" w:rsidP="00957211">
            <w:pPr>
              <w:jc w:val="center"/>
              <w:rPr>
                <w:rFonts w:ascii="Calibri" w:hAnsi="Calibri" w:cs="Arial CYR"/>
                <w:b/>
                <w:bCs/>
                <w:sz w:val="18"/>
                <w:szCs w:val="18"/>
                <w:lang w:val="uk-UA" w:eastAsia="uk-UA"/>
              </w:rPr>
            </w:pPr>
            <w:r w:rsidRPr="00953490">
              <w:rPr>
                <w:rFonts w:ascii="Calibri" w:hAnsi="Calibri" w:cs="Arial CYR"/>
                <w:b/>
                <w:bCs/>
                <w:sz w:val="18"/>
                <w:szCs w:val="18"/>
                <w:lang w:val="uk-UA" w:eastAsia="uk-UA"/>
              </w:rPr>
              <w:t>2017</w:t>
            </w:r>
          </w:p>
        </w:tc>
        <w:tc>
          <w:tcPr>
            <w:tcW w:w="1080" w:type="dxa"/>
            <w:shd w:val="clear" w:color="auto" w:fill="BDD6EE"/>
            <w:vAlign w:val="center"/>
          </w:tcPr>
          <w:p w:rsidR="00996DF4" w:rsidRPr="00953490" w:rsidRDefault="00996DF4" w:rsidP="00957211">
            <w:pPr>
              <w:jc w:val="center"/>
              <w:rPr>
                <w:rFonts w:ascii="Calibri" w:hAnsi="Calibri" w:cs="Arial CYR"/>
                <w:b/>
                <w:bCs/>
                <w:sz w:val="18"/>
                <w:szCs w:val="18"/>
                <w:lang w:val="uk-UA" w:eastAsia="uk-UA"/>
              </w:rPr>
            </w:pPr>
            <w:r w:rsidRPr="00953490">
              <w:rPr>
                <w:rFonts w:ascii="Calibri" w:hAnsi="Calibri" w:cs="Arial CYR"/>
                <w:b/>
                <w:bCs/>
                <w:sz w:val="18"/>
                <w:szCs w:val="18"/>
                <w:lang w:val="uk-UA" w:eastAsia="uk-UA"/>
              </w:rPr>
              <w:t>2018</w:t>
            </w:r>
          </w:p>
        </w:tc>
      </w:tr>
      <w:tr w:rsidR="00996DF4" w:rsidRPr="00953490" w:rsidTr="00957211">
        <w:trPr>
          <w:trHeight w:val="765"/>
          <w:jc w:val="center"/>
        </w:trPr>
        <w:tc>
          <w:tcPr>
            <w:tcW w:w="1941" w:type="dxa"/>
            <w:shd w:val="clear" w:color="auto" w:fill="BDD6EE"/>
            <w:vAlign w:val="center"/>
          </w:tcPr>
          <w:p w:rsidR="00996DF4" w:rsidRPr="00953490" w:rsidRDefault="00996DF4" w:rsidP="00957211">
            <w:pPr>
              <w:rPr>
                <w:rFonts w:ascii="Calibri" w:hAnsi="Calibri" w:cs="Arial CYR"/>
                <w:sz w:val="18"/>
                <w:szCs w:val="18"/>
                <w:lang w:val="uk-UA" w:eastAsia="uk-UA"/>
              </w:rPr>
            </w:pPr>
            <w:r w:rsidRPr="00953490">
              <w:rPr>
                <w:rFonts w:ascii="Calibri" w:hAnsi="Calibri" w:cs="Arial CYR"/>
                <w:sz w:val="18"/>
                <w:szCs w:val="18"/>
                <w:lang w:val="uk-UA"/>
              </w:rPr>
              <w:t>Позабіржовий ринок</w:t>
            </w:r>
          </w:p>
        </w:tc>
        <w:tc>
          <w:tcPr>
            <w:tcW w:w="1080" w:type="dxa"/>
            <w:shd w:val="clear" w:color="auto" w:fill="BDD6EE"/>
            <w:vAlign w:val="center"/>
          </w:tcPr>
          <w:p w:rsidR="00996DF4" w:rsidRPr="00953490" w:rsidRDefault="00996DF4" w:rsidP="00957211">
            <w:pPr>
              <w:jc w:val="center"/>
              <w:rPr>
                <w:rFonts w:ascii="Calibri" w:hAnsi="Calibri" w:cs="Arial CYR"/>
                <w:sz w:val="18"/>
                <w:szCs w:val="18"/>
                <w:lang w:val="uk-UA" w:eastAsia="uk-UA"/>
              </w:rPr>
            </w:pPr>
            <w:r w:rsidRPr="00953490">
              <w:rPr>
                <w:rFonts w:ascii="Calibri" w:hAnsi="Calibri" w:cs="Arial CYR"/>
                <w:sz w:val="18"/>
                <w:szCs w:val="18"/>
                <w:lang w:val="uk-UA" w:eastAsia="uk-UA"/>
              </w:rPr>
              <w:t>37,09</w:t>
            </w:r>
          </w:p>
        </w:tc>
        <w:tc>
          <w:tcPr>
            <w:tcW w:w="1080" w:type="dxa"/>
            <w:shd w:val="clear" w:color="auto" w:fill="BDD6EE"/>
            <w:vAlign w:val="center"/>
          </w:tcPr>
          <w:p w:rsidR="00996DF4" w:rsidRPr="00953490" w:rsidRDefault="00996DF4" w:rsidP="00957211">
            <w:pPr>
              <w:jc w:val="center"/>
              <w:rPr>
                <w:rFonts w:ascii="Calibri" w:hAnsi="Calibri" w:cs="Arial CYR"/>
                <w:sz w:val="18"/>
                <w:szCs w:val="18"/>
                <w:lang w:val="uk-UA" w:eastAsia="uk-UA"/>
              </w:rPr>
            </w:pPr>
            <w:r w:rsidRPr="00953490">
              <w:rPr>
                <w:rFonts w:ascii="Calibri" w:hAnsi="Calibri" w:cs="Arial CYR"/>
                <w:sz w:val="18"/>
                <w:szCs w:val="18"/>
                <w:lang w:val="uk-UA" w:eastAsia="uk-UA"/>
              </w:rPr>
              <w:t>40,24</w:t>
            </w:r>
          </w:p>
        </w:tc>
        <w:tc>
          <w:tcPr>
            <w:tcW w:w="1080" w:type="dxa"/>
            <w:shd w:val="clear" w:color="auto" w:fill="BDD6EE"/>
            <w:vAlign w:val="center"/>
          </w:tcPr>
          <w:p w:rsidR="00996DF4" w:rsidRPr="00953490" w:rsidRDefault="00996DF4" w:rsidP="00957211">
            <w:pPr>
              <w:jc w:val="center"/>
              <w:rPr>
                <w:rFonts w:ascii="Calibri" w:hAnsi="Calibri" w:cs="Arial CYR"/>
                <w:sz w:val="18"/>
                <w:szCs w:val="18"/>
                <w:lang w:val="uk-UA" w:eastAsia="uk-UA"/>
              </w:rPr>
            </w:pPr>
            <w:r w:rsidRPr="00953490">
              <w:rPr>
                <w:rFonts w:ascii="Calibri" w:hAnsi="Calibri" w:cs="Arial CYR"/>
                <w:sz w:val="18"/>
                <w:szCs w:val="18"/>
                <w:lang w:val="uk-UA" w:eastAsia="uk-UA"/>
              </w:rPr>
              <w:t>46,27</w:t>
            </w:r>
          </w:p>
        </w:tc>
        <w:tc>
          <w:tcPr>
            <w:tcW w:w="1080" w:type="dxa"/>
            <w:shd w:val="clear" w:color="auto" w:fill="BDD6EE"/>
            <w:vAlign w:val="center"/>
          </w:tcPr>
          <w:p w:rsidR="00996DF4" w:rsidRPr="00953490" w:rsidRDefault="00996DF4" w:rsidP="00957211">
            <w:pPr>
              <w:jc w:val="center"/>
              <w:rPr>
                <w:rFonts w:ascii="Calibri" w:hAnsi="Calibri" w:cs="Arial CYR"/>
                <w:sz w:val="18"/>
                <w:szCs w:val="18"/>
                <w:lang w:val="uk-UA" w:eastAsia="uk-UA"/>
              </w:rPr>
            </w:pPr>
            <w:r w:rsidRPr="00953490">
              <w:rPr>
                <w:rFonts w:ascii="Calibri" w:hAnsi="Calibri" w:cs="Arial CYR"/>
                <w:sz w:val="18"/>
                <w:szCs w:val="18"/>
                <w:lang w:val="uk-UA" w:eastAsia="uk-UA"/>
              </w:rPr>
              <w:t>23,70</w:t>
            </w:r>
          </w:p>
        </w:tc>
        <w:tc>
          <w:tcPr>
            <w:tcW w:w="1080" w:type="dxa"/>
            <w:shd w:val="clear" w:color="auto" w:fill="BDD6EE"/>
            <w:vAlign w:val="center"/>
          </w:tcPr>
          <w:p w:rsidR="00996DF4" w:rsidRPr="002D507F" w:rsidRDefault="00996DF4" w:rsidP="00957211">
            <w:pPr>
              <w:jc w:val="center"/>
              <w:rPr>
                <w:rFonts w:ascii="Calibri" w:hAnsi="Calibri" w:cs="Arial CYR"/>
                <w:sz w:val="18"/>
                <w:szCs w:val="18"/>
                <w:lang w:val="uk-UA" w:eastAsia="uk-UA"/>
              </w:rPr>
            </w:pPr>
            <w:r w:rsidRPr="002D507F">
              <w:rPr>
                <w:rFonts w:ascii="Calibri" w:hAnsi="Calibri" w:cs="Arial CYR"/>
                <w:sz w:val="18"/>
                <w:szCs w:val="18"/>
                <w:lang w:val="uk-UA" w:eastAsia="uk-UA"/>
              </w:rPr>
              <w:t>23,35</w:t>
            </w:r>
          </w:p>
        </w:tc>
      </w:tr>
      <w:tr w:rsidR="00996DF4" w:rsidRPr="00953490" w:rsidTr="00957211">
        <w:trPr>
          <w:trHeight w:val="595"/>
          <w:jc w:val="center"/>
        </w:trPr>
        <w:tc>
          <w:tcPr>
            <w:tcW w:w="1941" w:type="dxa"/>
            <w:shd w:val="clear" w:color="auto" w:fill="BDD6EE"/>
            <w:vAlign w:val="center"/>
          </w:tcPr>
          <w:p w:rsidR="00996DF4" w:rsidRPr="00953490" w:rsidRDefault="00996DF4" w:rsidP="00957211">
            <w:pPr>
              <w:rPr>
                <w:rFonts w:ascii="Calibri" w:hAnsi="Calibri" w:cs="Arial CYR"/>
                <w:sz w:val="18"/>
                <w:szCs w:val="18"/>
                <w:lang w:val="uk-UA" w:eastAsia="uk-UA"/>
              </w:rPr>
            </w:pPr>
            <w:r w:rsidRPr="00953490">
              <w:rPr>
                <w:rFonts w:ascii="Calibri" w:hAnsi="Calibri" w:cs="Arial CYR"/>
                <w:sz w:val="18"/>
                <w:szCs w:val="18"/>
                <w:lang w:val="uk-UA"/>
              </w:rPr>
              <w:t>Біржовий ринок</w:t>
            </w:r>
          </w:p>
        </w:tc>
        <w:tc>
          <w:tcPr>
            <w:tcW w:w="1080" w:type="dxa"/>
            <w:shd w:val="clear" w:color="auto" w:fill="BDD6EE"/>
            <w:vAlign w:val="center"/>
          </w:tcPr>
          <w:p w:rsidR="00996DF4" w:rsidRPr="00953490" w:rsidRDefault="00996DF4" w:rsidP="00957211">
            <w:pPr>
              <w:jc w:val="center"/>
              <w:rPr>
                <w:rFonts w:ascii="Calibri" w:hAnsi="Calibri" w:cs="Arial CYR"/>
                <w:sz w:val="18"/>
                <w:szCs w:val="18"/>
                <w:lang w:val="uk-UA" w:eastAsia="uk-UA"/>
              </w:rPr>
            </w:pPr>
            <w:r w:rsidRPr="00953490">
              <w:rPr>
                <w:rFonts w:ascii="Calibri" w:hAnsi="Calibri" w:cs="Arial CYR"/>
                <w:sz w:val="18"/>
                <w:szCs w:val="18"/>
                <w:lang w:val="uk-UA" w:eastAsia="uk-UA"/>
              </w:rPr>
              <w:t>32,82</w:t>
            </w:r>
          </w:p>
        </w:tc>
        <w:tc>
          <w:tcPr>
            <w:tcW w:w="1080" w:type="dxa"/>
            <w:shd w:val="clear" w:color="auto" w:fill="BDD6EE"/>
            <w:vAlign w:val="center"/>
          </w:tcPr>
          <w:p w:rsidR="00996DF4" w:rsidRPr="00953490" w:rsidRDefault="00996DF4" w:rsidP="00957211">
            <w:pPr>
              <w:jc w:val="center"/>
              <w:rPr>
                <w:rFonts w:ascii="Calibri" w:hAnsi="Calibri" w:cs="Arial CYR"/>
                <w:sz w:val="18"/>
                <w:szCs w:val="18"/>
                <w:lang w:val="uk-UA" w:eastAsia="uk-UA"/>
              </w:rPr>
            </w:pPr>
            <w:r w:rsidRPr="00953490">
              <w:rPr>
                <w:rFonts w:ascii="Calibri" w:hAnsi="Calibri" w:cs="Arial CYR"/>
                <w:sz w:val="18"/>
                <w:szCs w:val="18"/>
                <w:lang w:val="uk-UA" w:eastAsia="uk-UA"/>
              </w:rPr>
              <w:t>13,53</w:t>
            </w:r>
          </w:p>
        </w:tc>
        <w:tc>
          <w:tcPr>
            <w:tcW w:w="1080" w:type="dxa"/>
            <w:shd w:val="clear" w:color="auto" w:fill="BDD6EE"/>
            <w:vAlign w:val="center"/>
          </w:tcPr>
          <w:p w:rsidR="00996DF4" w:rsidRPr="00953490" w:rsidRDefault="00996DF4" w:rsidP="00957211">
            <w:pPr>
              <w:jc w:val="center"/>
              <w:rPr>
                <w:rFonts w:ascii="Calibri" w:hAnsi="Calibri" w:cs="Arial CYR"/>
                <w:sz w:val="18"/>
                <w:szCs w:val="18"/>
                <w:lang w:val="uk-UA" w:eastAsia="uk-UA"/>
              </w:rPr>
            </w:pPr>
            <w:r w:rsidRPr="00953490">
              <w:rPr>
                <w:rFonts w:ascii="Calibri" w:hAnsi="Calibri" w:cs="Arial CYR"/>
                <w:sz w:val="18"/>
                <w:szCs w:val="18"/>
                <w:lang w:val="uk-UA" w:eastAsia="uk-UA"/>
              </w:rPr>
              <w:t>9,17</w:t>
            </w:r>
          </w:p>
        </w:tc>
        <w:tc>
          <w:tcPr>
            <w:tcW w:w="1080" w:type="dxa"/>
            <w:shd w:val="clear" w:color="auto" w:fill="BDD6EE"/>
            <w:vAlign w:val="center"/>
          </w:tcPr>
          <w:p w:rsidR="00996DF4" w:rsidRPr="00953490" w:rsidRDefault="00996DF4" w:rsidP="00957211">
            <w:pPr>
              <w:jc w:val="center"/>
              <w:rPr>
                <w:rFonts w:ascii="Calibri" w:hAnsi="Calibri" w:cs="Arial CYR"/>
                <w:sz w:val="18"/>
                <w:szCs w:val="18"/>
                <w:lang w:val="uk-UA" w:eastAsia="uk-UA"/>
              </w:rPr>
            </w:pPr>
            <w:r w:rsidRPr="00953490">
              <w:rPr>
                <w:rFonts w:ascii="Calibri" w:hAnsi="Calibri" w:cs="Arial CYR"/>
                <w:sz w:val="18"/>
                <w:szCs w:val="18"/>
                <w:lang w:val="uk-UA" w:eastAsia="uk-UA"/>
              </w:rPr>
              <w:t>6,12</w:t>
            </w:r>
          </w:p>
        </w:tc>
        <w:tc>
          <w:tcPr>
            <w:tcW w:w="1080" w:type="dxa"/>
            <w:shd w:val="clear" w:color="auto" w:fill="BDD6EE"/>
            <w:vAlign w:val="center"/>
          </w:tcPr>
          <w:p w:rsidR="00996DF4" w:rsidRPr="00953490" w:rsidRDefault="00996DF4" w:rsidP="00957211">
            <w:pPr>
              <w:jc w:val="center"/>
              <w:rPr>
                <w:rFonts w:ascii="Calibri" w:hAnsi="Calibri" w:cs="Arial CYR"/>
                <w:sz w:val="18"/>
                <w:szCs w:val="18"/>
                <w:lang w:val="en-US" w:eastAsia="uk-UA"/>
              </w:rPr>
            </w:pPr>
            <w:r w:rsidRPr="002D507F">
              <w:rPr>
                <w:rFonts w:ascii="Calibri" w:hAnsi="Calibri" w:cs="Arial CYR"/>
                <w:sz w:val="18"/>
                <w:szCs w:val="18"/>
                <w:lang w:val="uk-UA" w:eastAsia="uk-UA"/>
              </w:rPr>
              <w:t>10,2</w:t>
            </w:r>
            <w:r w:rsidRPr="00953490">
              <w:rPr>
                <w:rFonts w:ascii="Calibri" w:hAnsi="Calibri" w:cs="Arial CYR"/>
                <w:sz w:val="18"/>
                <w:szCs w:val="18"/>
                <w:lang w:val="en-US" w:eastAsia="uk-UA"/>
              </w:rPr>
              <w:t>5</w:t>
            </w:r>
          </w:p>
        </w:tc>
      </w:tr>
      <w:tr w:rsidR="00996DF4" w:rsidRPr="00953490" w:rsidTr="00957211">
        <w:trPr>
          <w:trHeight w:val="255"/>
          <w:jc w:val="center"/>
        </w:trPr>
        <w:tc>
          <w:tcPr>
            <w:tcW w:w="1941" w:type="dxa"/>
            <w:shd w:val="clear" w:color="auto" w:fill="BDD6EE"/>
            <w:vAlign w:val="center"/>
          </w:tcPr>
          <w:p w:rsidR="00996DF4" w:rsidRPr="00953490" w:rsidRDefault="00996DF4" w:rsidP="00957211">
            <w:pPr>
              <w:jc w:val="center"/>
              <w:rPr>
                <w:rFonts w:ascii="Calibri" w:hAnsi="Calibri" w:cs="Arial CYR"/>
                <w:b/>
                <w:bCs/>
                <w:sz w:val="18"/>
                <w:szCs w:val="18"/>
                <w:lang w:val="uk-UA" w:eastAsia="uk-UA"/>
              </w:rPr>
            </w:pPr>
            <w:r w:rsidRPr="00953490">
              <w:rPr>
                <w:rFonts w:ascii="Calibri" w:hAnsi="Calibri" w:cs="Arial CYR"/>
                <w:b/>
                <w:bCs/>
                <w:sz w:val="18"/>
                <w:szCs w:val="18"/>
                <w:lang w:val="uk-UA"/>
              </w:rPr>
              <w:t>Усього</w:t>
            </w:r>
          </w:p>
        </w:tc>
        <w:tc>
          <w:tcPr>
            <w:tcW w:w="1080" w:type="dxa"/>
            <w:shd w:val="clear" w:color="auto" w:fill="BDD6EE"/>
            <w:vAlign w:val="center"/>
          </w:tcPr>
          <w:p w:rsidR="00996DF4" w:rsidRPr="00953490" w:rsidRDefault="00996DF4" w:rsidP="00957211">
            <w:pPr>
              <w:jc w:val="center"/>
              <w:rPr>
                <w:rFonts w:ascii="Calibri" w:hAnsi="Calibri" w:cs="Arial CYR"/>
                <w:b/>
                <w:bCs/>
                <w:sz w:val="18"/>
                <w:szCs w:val="18"/>
                <w:lang w:val="uk-UA" w:eastAsia="uk-UA"/>
              </w:rPr>
            </w:pPr>
            <w:r w:rsidRPr="00953490">
              <w:rPr>
                <w:rFonts w:ascii="Calibri" w:hAnsi="Calibri" w:cs="Arial CYR"/>
                <w:b/>
                <w:bCs/>
                <w:sz w:val="18"/>
                <w:szCs w:val="18"/>
                <w:lang w:eastAsia="uk-UA"/>
              </w:rPr>
              <w:t>69,92</w:t>
            </w:r>
          </w:p>
        </w:tc>
        <w:tc>
          <w:tcPr>
            <w:tcW w:w="1080" w:type="dxa"/>
            <w:shd w:val="clear" w:color="auto" w:fill="BDD6EE"/>
            <w:vAlign w:val="center"/>
          </w:tcPr>
          <w:p w:rsidR="00996DF4" w:rsidRPr="00953490" w:rsidRDefault="00996DF4" w:rsidP="00957211">
            <w:pPr>
              <w:jc w:val="center"/>
              <w:rPr>
                <w:rFonts w:ascii="Calibri" w:hAnsi="Calibri" w:cs="Arial CYR"/>
                <w:b/>
                <w:bCs/>
                <w:sz w:val="18"/>
                <w:szCs w:val="18"/>
                <w:lang w:val="uk-UA" w:eastAsia="uk-UA"/>
              </w:rPr>
            </w:pPr>
            <w:r w:rsidRPr="00953490">
              <w:rPr>
                <w:rFonts w:ascii="Calibri" w:hAnsi="Calibri" w:cs="Arial CYR"/>
                <w:b/>
                <w:bCs/>
                <w:sz w:val="18"/>
                <w:szCs w:val="18"/>
                <w:lang w:val="uk-UA" w:eastAsia="uk-UA"/>
              </w:rPr>
              <w:t>53,77</w:t>
            </w:r>
          </w:p>
        </w:tc>
        <w:tc>
          <w:tcPr>
            <w:tcW w:w="1080" w:type="dxa"/>
            <w:shd w:val="clear" w:color="auto" w:fill="BDD6EE"/>
            <w:vAlign w:val="center"/>
          </w:tcPr>
          <w:p w:rsidR="00996DF4" w:rsidRPr="00953490" w:rsidRDefault="00996DF4" w:rsidP="00957211">
            <w:pPr>
              <w:jc w:val="center"/>
              <w:rPr>
                <w:rFonts w:ascii="Calibri" w:hAnsi="Calibri" w:cs="Arial CYR"/>
                <w:b/>
                <w:sz w:val="18"/>
                <w:szCs w:val="18"/>
                <w:lang w:val="uk-UA" w:eastAsia="uk-UA"/>
              </w:rPr>
            </w:pPr>
            <w:r w:rsidRPr="00953490">
              <w:rPr>
                <w:rFonts w:ascii="Calibri" w:hAnsi="Calibri" w:cs="Arial CYR"/>
                <w:b/>
                <w:sz w:val="18"/>
                <w:szCs w:val="18"/>
                <w:lang w:val="uk-UA" w:eastAsia="uk-UA"/>
              </w:rPr>
              <w:t>55,44</w:t>
            </w:r>
          </w:p>
        </w:tc>
        <w:tc>
          <w:tcPr>
            <w:tcW w:w="1080" w:type="dxa"/>
            <w:shd w:val="clear" w:color="auto" w:fill="BDD6EE"/>
            <w:vAlign w:val="center"/>
          </w:tcPr>
          <w:p w:rsidR="00996DF4" w:rsidRPr="00953490" w:rsidRDefault="00996DF4" w:rsidP="00957211">
            <w:pPr>
              <w:jc w:val="center"/>
              <w:rPr>
                <w:rFonts w:ascii="Calibri" w:hAnsi="Calibri" w:cs="Arial CYR"/>
                <w:b/>
                <w:sz w:val="18"/>
                <w:szCs w:val="18"/>
                <w:lang w:val="uk-UA" w:eastAsia="uk-UA"/>
              </w:rPr>
            </w:pPr>
            <w:r w:rsidRPr="00953490">
              <w:rPr>
                <w:rFonts w:ascii="Calibri" w:hAnsi="Calibri" w:cs="Arial CYR"/>
                <w:b/>
                <w:sz w:val="18"/>
                <w:szCs w:val="18"/>
                <w:lang w:val="uk-UA" w:eastAsia="uk-UA"/>
              </w:rPr>
              <w:t>29,80</w:t>
            </w:r>
          </w:p>
        </w:tc>
        <w:tc>
          <w:tcPr>
            <w:tcW w:w="1080" w:type="dxa"/>
            <w:shd w:val="clear" w:color="auto" w:fill="BDD6EE"/>
            <w:vAlign w:val="center"/>
          </w:tcPr>
          <w:p w:rsidR="00996DF4" w:rsidRPr="00953490" w:rsidRDefault="00996DF4" w:rsidP="00957211">
            <w:pPr>
              <w:jc w:val="center"/>
              <w:rPr>
                <w:rFonts w:ascii="Calibri" w:hAnsi="Calibri" w:cs="Arial CYR"/>
                <w:b/>
                <w:sz w:val="18"/>
                <w:szCs w:val="18"/>
                <w:lang w:val="uk-UA" w:eastAsia="uk-UA"/>
              </w:rPr>
            </w:pPr>
            <w:r w:rsidRPr="00953490">
              <w:rPr>
                <w:rFonts w:ascii="Calibri" w:hAnsi="Calibri" w:cs="Arial CYR"/>
                <w:b/>
                <w:sz w:val="18"/>
                <w:szCs w:val="18"/>
                <w:lang w:val="uk-UA" w:eastAsia="uk-UA"/>
              </w:rPr>
              <w:t>33,60</w:t>
            </w:r>
          </w:p>
        </w:tc>
      </w:tr>
    </w:tbl>
    <w:p w:rsidR="00996DF4" w:rsidRDefault="00996DF4" w:rsidP="00996DF4">
      <w:pPr>
        <w:ind w:firstLine="720"/>
        <w:jc w:val="both"/>
        <w:rPr>
          <w:sz w:val="28"/>
          <w:szCs w:val="28"/>
          <w:lang w:val="uk-UA"/>
        </w:rPr>
      </w:pPr>
    </w:p>
    <w:p w:rsidR="00996DF4" w:rsidRPr="002437FF" w:rsidRDefault="00996DF4" w:rsidP="00996DF4">
      <w:pPr>
        <w:ind w:firstLine="720"/>
        <w:jc w:val="both"/>
        <w:rPr>
          <w:sz w:val="28"/>
          <w:szCs w:val="28"/>
          <w:lang w:val="uk-UA"/>
        </w:rPr>
      </w:pPr>
      <w:r w:rsidRPr="002437FF">
        <w:rPr>
          <w:sz w:val="28"/>
          <w:szCs w:val="28"/>
          <w:lang w:val="uk-UA"/>
        </w:rPr>
        <w:t xml:space="preserve">Таким чином, кризові явища на фондовому ринку України виражаються, зокрема, в дефіциті високоліквідних цінних паперів і домінуванні позабіржового сегмента (понад 73 % обсягів торгів). </w:t>
      </w:r>
    </w:p>
    <w:p w:rsidR="00E00BBC" w:rsidRDefault="00D544EE" w:rsidP="00D544EE">
      <w:pPr>
        <w:ind w:firstLine="709"/>
        <w:jc w:val="both"/>
        <w:rPr>
          <w:sz w:val="28"/>
          <w:szCs w:val="28"/>
          <w:lang w:val="uk-UA"/>
        </w:rPr>
      </w:pPr>
      <w:r w:rsidRPr="009724A8">
        <w:rPr>
          <w:sz w:val="28"/>
          <w:szCs w:val="28"/>
          <w:lang w:val="uk-UA"/>
        </w:rPr>
        <w:t>Законом України від 16 листопада 2017 року № 2210 - VIII «Про внесення змін до деяких законодавчих актів України щодо спрощення ведення бізнесу та залучення інвестицій емітентами цінних паперів»</w:t>
      </w:r>
      <w:r w:rsidR="002314E8">
        <w:rPr>
          <w:sz w:val="28"/>
          <w:szCs w:val="28"/>
          <w:lang w:val="uk-UA"/>
        </w:rPr>
        <w:t xml:space="preserve"> (далі – Закон 2210)</w:t>
      </w:r>
      <w:r w:rsidRPr="009724A8">
        <w:rPr>
          <w:sz w:val="28"/>
          <w:szCs w:val="28"/>
          <w:lang w:val="uk-UA"/>
        </w:rPr>
        <w:t xml:space="preserve"> </w:t>
      </w:r>
      <w:r>
        <w:rPr>
          <w:sz w:val="28"/>
          <w:szCs w:val="28"/>
          <w:lang w:val="uk-UA"/>
        </w:rPr>
        <w:t>було внесено зміни до Закону України «</w:t>
      </w:r>
      <w:r w:rsidRPr="009724A8">
        <w:rPr>
          <w:sz w:val="28"/>
          <w:szCs w:val="28"/>
          <w:lang w:val="uk-UA"/>
        </w:rPr>
        <w:t>Про цінні папери та фондовий ринок</w:t>
      </w:r>
      <w:r>
        <w:rPr>
          <w:sz w:val="28"/>
          <w:szCs w:val="28"/>
          <w:lang w:val="uk-UA"/>
        </w:rPr>
        <w:t>» (далі - Закон), зокрема, с</w:t>
      </w:r>
      <w:r w:rsidR="00E00BBC" w:rsidRPr="009724A8">
        <w:rPr>
          <w:sz w:val="28"/>
          <w:szCs w:val="28"/>
          <w:lang w:val="uk-UA"/>
        </w:rPr>
        <w:t xml:space="preserve">таттею 34 Закону визначено, що публічна пропозиція цінних </w:t>
      </w:r>
      <w:r w:rsidR="00E00BBC" w:rsidRPr="009724A8">
        <w:rPr>
          <w:sz w:val="28"/>
          <w:szCs w:val="28"/>
          <w:lang w:val="uk-UA"/>
        </w:rPr>
        <w:lastRenderedPageBreak/>
        <w:t xml:space="preserve">паперів </w:t>
      </w:r>
      <w:r w:rsidR="00E00BBC" w:rsidRPr="009724A8">
        <w:rPr>
          <w:color w:val="000000"/>
          <w:sz w:val="28"/>
          <w:szCs w:val="28"/>
          <w:lang w:val="uk-UA"/>
        </w:rPr>
        <w:t>–</w:t>
      </w:r>
      <w:r w:rsidR="00E00BBC" w:rsidRPr="009724A8">
        <w:rPr>
          <w:sz w:val="28"/>
          <w:szCs w:val="28"/>
          <w:lang w:val="uk-UA"/>
        </w:rPr>
        <w:t xml:space="preserve"> пропозиція (оферта), </w:t>
      </w:r>
      <w:r w:rsidR="00E00BBC" w:rsidRPr="009724A8">
        <w:rPr>
          <w:sz w:val="28"/>
          <w:szCs w:val="28"/>
          <w:u w:val="single"/>
          <w:lang w:val="uk-UA"/>
        </w:rPr>
        <w:t>звернена до невизначеного кола осіб</w:t>
      </w:r>
      <w:r w:rsidR="00E00BBC" w:rsidRPr="009724A8">
        <w:rPr>
          <w:sz w:val="28"/>
          <w:szCs w:val="28"/>
          <w:lang w:val="uk-UA"/>
        </w:rPr>
        <w:t>, про придбання цінних паперів за ціною та на умовах, визначених такою пропозицією, що здійснюється з урахуванням вимог, встановлених цим Законом.</w:t>
      </w:r>
    </w:p>
    <w:p w:rsidR="002314E8" w:rsidRDefault="002314E8" w:rsidP="00D544EE">
      <w:pPr>
        <w:ind w:firstLine="709"/>
        <w:jc w:val="both"/>
        <w:rPr>
          <w:sz w:val="28"/>
          <w:szCs w:val="28"/>
          <w:lang w:val="uk-UA"/>
        </w:rPr>
      </w:pPr>
      <w:r>
        <w:rPr>
          <w:sz w:val="28"/>
          <w:szCs w:val="28"/>
          <w:lang w:val="uk-UA"/>
        </w:rPr>
        <w:t>Також, Законом визначено, що подання заявки про допуск цінних паперів до торгів на фондовій біржі без включення до біржового реєстру не вважається публічною пропозицією.</w:t>
      </w:r>
    </w:p>
    <w:p w:rsidR="002314E8" w:rsidRPr="009724A8" w:rsidRDefault="002314E8" w:rsidP="00D544EE">
      <w:pPr>
        <w:ind w:firstLine="709"/>
        <w:jc w:val="both"/>
        <w:rPr>
          <w:sz w:val="28"/>
          <w:szCs w:val="28"/>
          <w:lang w:val="uk-UA"/>
        </w:rPr>
      </w:pPr>
      <w:r>
        <w:rPr>
          <w:sz w:val="28"/>
          <w:szCs w:val="28"/>
          <w:lang w:val="uk-UA"/>
        </w:rPr>
        <w:t>Отже, у разі</w:t>
      </w:r>
      <w:r w:rsidR="007671E3">
        <w:rPr>
          <w:sz w:val="28"/>
          <w:szCs w:val="28"/>
          <w:lang w:val="uk-UA"/>
        </w:rPr>
        <w:t>,</w:t>
      </w:r>
      <w:r>
        <w:rPr>
          <w:sz w:val="28"/>
          <w:szCs w:val="28"/>
          <w:lang w:val="uk-UA"/>
        </w:rPr>
        <w:t xml:space="preserve"> якщо щодо цінних паперів не було здійснено публічну пропозицію, вони можуть бути включені до біржового списку як позалістингові цінні папери.</w:t>
      </w:r>
    </w:p>
    <w:p w:rsidR="00E00BBC" w:rsidRPr="009724A8" w:rsidRDefault="00E00BBC" w:rsidP="00E00BBC">
      <w:pPr>
        <w:ind w:firstLine="720"/>
        <w:jc w:val="both"/>
        <w:rPr>
          <w:sz w:val="28"/>
          <w:szCs w:val="28"/>
          <w:lang w:val="uk-UA"/>
        </w:rPr>
      </w:pPr>
      <w:r w:rsidRPr="009724A8">
        <w:rPr>
          <w:sz w:val="28"/>
          <w:szCs w:val="28"/>
          <w:lang w:val="uk-UA"/>
        </w:rPr>
        <w:t xml:space="preserve">При цьому абзацом дванадцятим пункту 2 розділу І Положення </w:t>
      </w:r>
      <w:r w:rsidR="00DC1C2E" w:rsidRPr="009724A8">
        <w:rPr>
          <w:sz w:val="28"/>
          <w:szCs w:val="28"/>
          <w:lang w:val="uk-UA"/>
        </w:rPr>
        <w:t xml:space="preserve">про функціонування фондових бірж, затвердженого рішенням Комісії від 22.11.2012 № 1688 та зареєстрованого в Міністерстві юстиції України 14.12.2012 за </w:t>
      </w:r>
      <w:r w:rsidR="00F6639C">
        <w:rPr>
          <w:sz w:val="28"/>
          <w:szCs w:val="28"/>
          <w:lang w:val="uk-UA"/>
        </w:rPr>
        <w:t xml:space="preserve">         </w:t>
      </w:r>
      <w:r w:rsidR="00DC1C2E" w:rsidRPr="009724A8">
        <w:rPr>
          <w:sz w:val="28"/>
          <w:szCs w:val="28"/>
          <w:lang w:val="uk-UA"/>
        </w:rPr>
        <w:t>№ 2082/22394 (зі змінами) (далі – Положення)</w:t>
      </w:r>
      <w:r w:rsidR="00DC1C2E">
        <w:rPr>
          <w:sz w:val="28"/>
          <w:szCs w:val="28"/>
          <w:lang w:val="uk-UA"/>
        </w:rPr>
        <w:t xml:space="preserve">, </w:t>
      </w:r>
      <w:r w:rsidRPr="009724A8">
        <w:rPr>
          <w:sz w:val="28"/>
          <w:szCs w:val="28"/>
          <w:lang w:val="uk-UA"/>
        </w:rPr>
        <w:t xml:space="preserve">встановлено, що  заявка </w:t>
      </w:r>
      <w:r w:rsidRPr="009724A8">
        <w:rPr>
          <w:color w:val="000000"/>
          <w:sz w:val="28"/>
          <w:szCs w:val="28"/>
          <w:lang w:val="uk-UA"/>
        </w:rPr>
        <w:t>–</w:t>
      </w:r>
      <w:r w:rsidRPr="009724A8">
        <w:rPr>
          <w:sz w:val="28"/>
          <w:szCs w:val="28"/>
          <w:lang w:val="uk-UA"/>
        </w:rPr>
        <w:t xml:space="preserve"> подана учасником біржових торгів згідно з правилами фондової біржі пропозиція на купівлю чи продаж цінних паперів або інших фінансових інструментів, яка містить умови, на яких пропонується здійснити укладення біржового контракту (договору); зареєстрована фондовою бірж</w:t>
      </w:r>
      <w:r>
        <w:rPr>
          <w:sz w:val="28"/>
          <w:szCs w:val="28"/>
          <w:lang w:val="uk-UA"/>
        </w:rPr>
        <w:t>о</w:t>
      </w:r>
      <w:r w:rsidRPr="009724A8">
        <w:rPr>
          <w:sz w:val="28"/>
          <w:szCs w:val="28"/>
          <w:lang w:val="uk-UA"/>
        </w:rPr>
        <w:t>ю заявка учасника біржових торгів є пропозицією та згодою цього учасника укласти та виконати біржовий контракт (договір).</w:t>
      </w:r>
    </w:p>
    <w:p w:rsidR="00E00BBC" w:rsidRDefault="00E00BBC" w:rsidP="00E00BBC">
      <w:pPr>
        <w:ind w:firstLine="720"/>
        <w:jc w:val="both"/>
        <w:rPr>
          <w:sz w:val="28"/>
          <w:szCs w:val="28"/>
          <w:lang w:val="uk-UA"/>
        </w:rPr>
      </w:pPr>
      <w:r w:rsidRPr="009724A8">
        <w:rPr>
          <w:sz w:val="28"/>
          <w:szCs w:val="28"/>
          <w:lang w:val="uk-UA"/>
        </w:rPr>
        <w:t xml:space="preserve">Отже, подача </w:t>
      </w:r>
      <w:r w:rsidR="0088335D">
        <w:rPr>
          <w:sz w:val="28"/>
          <w:szCs w:val="28"/>
          <w:lang w:val="uk-UA"/>
        </w:rPr>
        <w:t xml:space="preserve">на фондовій біржі </w:t>
      </w:r>
      <w:r w:rsidRPr="009724A8">
        <w:rPr>
          <w:sz w:val="28"/>
          <w:szCs w:val="28"/>
          <w:lang w:val="uk-UA"/>
        </w:rPr>
        <w:t>безадресної заявки</w:t>
      </w:r>
      <w:r w:rsidR="00DC1C2E">
        <w:rPr>
          <w:sz w:val="28"/>
          <w:szCs w:val="28"/>
          <w:lang w:val="uk-UA"/>
        </w:rPr>
        <w:t xml:space="preserve"> щодо продажу цінних паперів</w:t>
      </w:r>
      <w:r w:rsidRPr="009724A8">
        <w:rPr>
          <w:sz w:val="28"/>
          <w:szCs w:val="28"/>
          <w:lang w:val="uk-UA"/>
        </w:rPr>
        <w:t xml:space="preserve"> учасником торгів, по суті, є здійсненням публічної пропозиції цінних паперів</w:t>
      </w:r>
      <w:r w:rsidR="00DC1C2E">
        <w:rPr>
          <w:sz w:val="28"/>
          <w:szCs w:val="28"/>
          <w:lang w:val="uk-UA"/>
        </w:rPr>
        <w:t xml:space="preserve">, оскільки така заявка адресована </w:t>
      </w:r>
      <w:r w:rsidR="007671E3">
        <w:rPr>
          <w:sz w:val="28"/>
          <w:szCs w:val="28"/>
          <w:lang w:val="uk-UA"/>
        </w:rPr>
        <w:t>всі</w:t>
      </w:r>
      <w:r w:rsidR="00DC1C2E">
        <w:rPr>
          <w:sz w:val="28"/>
          <w:szCs w:val="28"/>
          <w:lang w:val="uk-UA"/>
        </w:rPr>
        <w:t>м учасникам біржових торгів</w:t>
      </w:r>
      <w:r w:rsidRPr="009724A8">
        <w:rPr>
          <w:sz w:val="28"/>
          <w:szCs w:val="28"/>
          <w:lang w:val="uk-UA"/>
        </w:rPr>
        <w:t xml:space="preserve">. </w:t>
      </w:r>
    </w:p>
    <w:p w:rsidR="00D544EE" w:rsidRDefault="00E00BBC" w:rsidP="00D544EE">
      <w:pPr>
        <w:ind w:firstLine="720"/>
        <w:jc w:val="both"/>
        <w:rPr>
          <w:sz w:val="28"/>
          <w:szCs w:val="28"/>
          <w:lang w:val="uk-UA"/>
        </w:rPr>
      </w:pPr>
      <w:r>
        <w:rPr>
          <w:sz w:val="28"/>
          <w:szCs w:val="28"/>
          <w:lang w:val="uk-UA"/>
        </w:rPr>
        <w:t>Здійснення публічної пропозиції</w:t>
      </w:r>
      <w:r w:rsidR="00D544EE">
        <w:rPr>
          <w:sz w:val="28"/>
          <w:szCs w:val="28"/>
          <w:lang w:val="uk-UA"/>
        </w:rPr>
        <w:t xml:space="preserve"> на фондовій біржі є процесом затратним та клопітким для емітента чи оферента, оскільки вимагає здійснення низки заходів, визначених Законом</w:t>
      </w:r>
      <w:r w:rsidR="00DC1C2E">
        <w:rPr>
          <w:sz w:val="28"/>
          <w:szCs w:val="28"/>
          <w:lang w:val="uk-UA"/>
        </w:rPr>
        <w:t xml:space="preserve"> та відповідними нормативно-правовими актами Комісії</w:t>
      </w:r>
      <w:r w:rsidR="00D544EE">
        <w:rPr>
          <w:sz w:val="28"/>
          <w:szCs w:val="28"/>
          <w:lang w:val="uk-UA"/>
        </w:rPr>
        <w:t>, зокрема, підготовк</w:t>
      </w:r>
      <w:r w:rsidR="00DC1C2E">
        <w:rPr>
          <w:sz w:val="28"/>
          <w:szCs w:val="28"/>
          <w:lang w:val="uk-UA"/>
        </w:rPr>
        <w:t>и</w:t>
      </w:r>
      <w:r w:rsidR="00D544EE">
        <w:rPr>
          <w:sz w:val="28"/>
          <w:szCs w:val="28"/>
          <w:lang w:val="uk-UA"/>
        </w:rPr>
        <w:t xml:space="preserve">, </w:t>
      </w:r>
      <w:r w:rsidR="00DC1C2E">
        <w:rPr>
          <w:sz w:val="28"/>
          <w:szCs w:val="28"/>
          <w:lang w:val="uk-UA"/>
        </w:rPr>
        <w:t>затвердження Комісією</w:t>
      </w:r>
      <w:r w:rsidR="00D544EE">
        <w:rPr>
          <w:sz w:val="28"/>
          <w:szCs w:val="28"/>
          <w:lang w:val="uk-UA"/>
        </w:rPr>
        <w:t xml:space="preserve"> та оприлюднення проспекту цінних паперів, оприлюднення звітності тощо.</w:t>
      </w:r>
    </w:p>
    <w:p w:rsidR="00D544EE" w:rsidRDefault="00D544EE" w:rsidP="00D544EE">
      <w:pPr>
        <w:ind w:firstLine="720"/>
        <w:jc w:val="both"/>
        <w:rPr>
          <w:sz w:val="28"/>
          <w:szCs w:val="28"/>
          <w:lang w:val="uk-UA"/>
        </w:rPr>
      </w:pPr>
      <w:r>
        <w:rPr>
          <w:sz w:val="28"/>
          <w:szCs w:val="28"/>
          <w:lang w:val="uk-UA"/>
        </w:rPr>
        <w:t>Враховуючи зазначене, у такій ситуації обсяг торгів позалістинговими цінними паперами на фондових біржах значно знижується через складну процедуру здійснення публічної пропозиції відповідно до Закону.</w:t>
      </w:r>
    </w:p>
    <w:p w:rsidR="00996DF4" w:rsidRDefault="006F7132" w:rsidP="005E19AA">
      <w:pPr>
        <w:ind w:firstLine="720"/>
        <w:jc w:val="both"/>
        <w:rPr>
          <w:sz w:val="28"/>
          <w:szCs w:val="28"/>
          <w:lang w:val="uk-UA"/>
        </w:rPr>
      </w:pPr>
      <w:r>
        <w:rPr>
          <w:sz w:val="28"/>
          <w:szCs w:val="28"/>
          <w:lang w:val="uk-UA"/>
        </w:rPr>
        <w:t>Отже, наразі склалася ситуація, коли цінний папір, щодо якого не було здійснено публічну пропозицію, може торгуватися на фондовій біржі або у разі здійснення публічної пропозиції, або без здійснення публічної пропозиції при дотриманні умови, що заявка на продаж такого цінного папера буде звернена до визначеного кола осіб.</w:t>
      </w:r>
    </w:p>
    <w:p w:rsidR="005E19AA" w:rsidRDefault="005E19AA" w:rsidP="005E19AA">
      <w:pPr>
        <w:ind w:firstLine="720"/>
        <w:jc w:val="both"/>
        <w:rPr>
          <w:sz w:val="28"/>
          <w:szCs w:val="28"/>
          <w:lang w:val="uk-UA"/>
        </w:rPr>
      </w:pPr>
      <w:r w:rsidRPr="00121A4C">
        <w:rPr>
          <w:sz w:val="28"/>
          <w:szCs w:val="28"/>
          <w:lang w:val="uk-UA"/>
        </w:rPr>
        <w:t xml:space="preserve">З метою </w:t>
      </w:r>
      <w:r>
        <w:rPr>
          <w:sz w:val="28"/>
          <w:szCs w:val="28"/>
          <w:lang w:val="uk-UA"/>
        </w:rPr>
        <w:t xml:space="preserve">надання можливості </w:t>
      </w:r>
      <w:r w:rsidRPr="00121A4C">
        <w:rPr>
          <w:sz w:val="28"/>
          <w:szCs w:val="28"/>
          <w:lang w:val="uk-UA"/>
        </w:rPr>
        <w:t xml:space="preserve">торгівлі на фондовій біржі цінними паперами, щодо яких не здійснювалась публічна пропозиція, </w:t>
      </w:r>
      <w:r>
        <w:rPr>
          <w:sz w:val="28"/>
          <w:szCs w:val="28"/>
          <w:lang w:val="uk-UA"/>
        </w:rPr>
        <w:t>виникла необхідність встановлення умов, які б дозволили подання заявок на фондовій біржі визначеному колу осіб,</w:t>
      </w:r>
      <w:r w:rsidR="00B916FB">
        <w:rPr>
          <w:sz w:val="28"/>
          <w:szCs w:val="28"/>
          <w:lang w:val="uk-UA"/>
        </w:rPr>
        <w:t xml:space="preserve"> оскільки</w:t>
      </w:r>
      <w:r>
        <w:rPr>
          <w:sz w:val="28"/>
          <w:szCs w:val="28"/>
          <w:lang w:val="uk-UA"/>
        </w:rPr>
        <w:t xml:space="preserve"> подання заявок на фондовій біржі визначеному колу осіб</w:t>
      </w:r>
      <w:r w:rsidRPr="00121A4C">
        <w:rPr>
          <w:sz w:val="28"/>
          <w:szCs w:val="28"/>
          <w:lang w:val="uk-UA"/>
        </w:rPr>
        <w:t xml:space="preserve"> </w:t>
      </w:r>
      <w:r>
        <w:rPr>
          <w:sz w:val="28"/>
          <w:szCs w:val="28"/>
          <w:lang w:val="uk-UA"/>
        </w:rPr>
        <w:t>не вимагає здійснення публічної пропозиції.</w:t>
      </w:r>
    </w:p>
    <w:p w:rsidR="00B841AB" w:rsidRPr="006F7132" w:rsidRDefault="00B841AB" w:rsidP="00B841AB">
      <w:pPr>
        <w:pStyle w:val="a4"/>
        <w:ind w:firstLine="720"/>
        <w:rPr>
          <w:b w:val="0"/>
        </w:rPr>
      </w:pPr>
      <w:r w:rsidRPr="006F7132">
        <w:rPr>
          <w:b w:val="0"/>
          <w:szCs w:val="28"/>
        </w:rPr>
        <w:t xml:space="preserve">Таким чином буде також вирішена проблема щодо </w:t>
      </w:r>
      <w:r w:rsidRPr="006F7132">
        <w:rPr>
          <w:b w:val="0"/>
        </w:rPr>
        <w:t>підвищення обсягу торгівлі цінними паперами на фондових біржах.</w:t>
      </w:r>
    </w:p>
    <w:p w:rsidR="005E19AA" w:rsidRPr="00121A4C" w:rsidRDefault="005E19AA" w:rsidP="005E19AA">
      <w:pPr>
        <w:ind w:firstLine="720"/>
        <w:jc w:val="both"/>
        <w:rPr>
          <w:color w:val="000000"/>
          <w:sz w:val="28"/>
          <w:szCs w:val="28"/>
          <w:lang w:val="uk-UA" w:eastAsia="uk-UA"/>
        </w:rPr>
      </w:pPr>
      <w:r>
        <w:rPr>
          <w:sz w:val="28"/>
          <w:szCs w:val="28"/>
          <w:lang w:val="uk-UA"/>
        </w:rPr>
        <w:lastRenderedPageBreak/>
        <w:t xml:space="preserve">Враховуючи вимоги </w:t>
      </w:r>
      <w:r w:rsidRPr="009724A8">
        <w:rPr>
          <w:sz w:val="28"/>
          <w:szCs w:val="28"/>
          <w:lang w:val="uk-UA"/>
        </w:rPr>
        <w:t>пункт</w:t>
      </w:r>
      <w:r>
        <w:rPr>
          <w:sz w:val="28"/>
          <w:szCs w:val="28"/>
          <w:lang w:val="uk-UA"/>
        </w:rPr>
        <w:t>у</w:t>
      </w:r>
      <w:r w:rsidRPr="009724A8">
        <w:rPr>
          <w:sz w:val="28"/>
          <w:szCs w:val="28"/>
          <w:lang w:val="uk-UA"/>
        </w:rPr>
        <w:t xml:space="preserve"> 7¹ частини другої статті 7 Закону України «Про державне регулювання ринку цінних паперів в Україні»</w:t>
      </w:r>
      <w:r>
        <w:rPr>
          <w:sz w:val="28"/>
          <w:szCs w:val="28"/>
          <w:lang w:val="uk-UA"/>
        </w:rPr>
        <w:t xml:space="preserve">, яким </w:t>
      </w:r>
      <w:r w:rsidRPr="009724A8">
        <w:rPr>
          <w:sz w:val="28"/>
          <w:szCs w:val="28"/>
          <w:lang w:val="uk-UA"/>
        </w:rPr>
        <w:t>встановлено, що Національна комісія з цінних паперів та фондового ринку відповідно до покладених на неї завдань встановлює порядок допус</w:t>
      </w:r>
      <w:r>
        <w:rPr>
          <w:sz w:val="28"/>
          <w:szCs w:val="28"/>
          <w:lang w:val="uk-UA"/>
        </w:rPr>
        <w:t xml:space="preserve">ку цінних паперів до торгів на </w:t>
      </w:r>
      <w:r w:rsidRPr="009724A8">
        <w:rPr>
          <w:sz w:val="28"/>
          <w:szCs w:val="28"/>
          <w:lang w:val="uk-UA"/>
        </w:rPr>
        <w:t>фондовій  біржі, а також порядок укл</w:t>
      </w:r>
      <w:r>
        <w:rPr>
          <w:sz w:val="28"/>
          <w:szCs w:val="28"/>
          <w:lang w:val="uk-UA"/>
        </w:rPr>
        <w:t xml:space="preserve">адання та виконання правочинів </w:t>
      </w:r>
      <w:r w:rsidRPr="009724A8">
        <w:rPr>
          <w:sz w:val="28"/>
          <w:szCs w:val="28"/>
          <w:lang w:val="uk-UA"/>
        </w:rPr>
        <w:t>щодо таких цінних паперів</w:t>
      </w:r>
      <w:r>
        <w:rPr>
          <w:sz w:val="28"/>
          <w:szCs w:val="28"/>
          <w:lang w:val="uk-UA"/>
        </w:rPr>
        <w:t xml:space="preserve">, </w:t>
      </w:r>
      <w:r w:rsidRPr="00121A4C">
        <w:rPr>
          <w:sz w:val="28"/>
          <w:szCs w:val="28"/>
          <w:lang w:val="uk-UA"/>
        </w:rPr>
        <w:t>у Проекті передбачено встановлення вимог щодо забезпечення електронною торговельною системою</w:t>
      </w:r>
      <w:r w:rsidRPr="00121A4C">
        <w:rPr>
          <w:sz w:val="26"/>
          <w:szCs w:val="26"/>
          <w:lang w:val="uk-UA"/>
        </w:rPr>
        <w:t xml:space="preserve"> фондової біржі </w:t>
      </w:r>
      <w:r w:rsidRPr="00121A4C">
        <w:rPr>
          <w:color w:val="000000"/>
          <w:sz w:val="28"/>
          <w:szCs w:val="28"/>
          <w:lang w:val="uk-UA" w:eastAsia="uk-UA"/>
        </w:rPr>
        <w:t>доступу учасників біржових торгів протягом торгівельної сесії, в яку здійснюються біржові торги цінними паперами,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до інформації про учасників біржових торгів та клієнтів учасників біржових торгів, які користуються прямим електронним доступом та дали згоду щодо надання доступу до такої інформації, яка щонайменше має містити: прізвище, ім’я, по батькові – для фізичної особи; повне найменування, ідентифікаційний код – для юридичної особи.</w:t>
      </w:r>
    </w:p>
    <w:p w:rsidR="00B916FB" w:rsidRDefault="0088335D" w:rsidP="00C85193">
      <w:pPr>
        <w:ind w:firstLine="720"/>
        <w:jc w:val="both"/>
        <w:rPr>
          <w:sz w:val="28"/>
          <w:szCs w:val="28"/>
          <w:lang w:val="uk-UA"/>
        </w:rPr>
      </w:pPr>
      <w:r>
        <w:rPr>
          <w:sz w:val="28"/>
          <w:szCs w:val="28"/>
          <w:lang w:val="uk-UA"/>
        </w:rPr>
        <w:t>При дотриманні цієї вимоги учасникам біржових торгів будуть відомі всі особи, що прийматимуть участь у торгах відповідними цінними паперами</w:t>
      </w:r>
      <w:r w:rsidR="00B916FB">
        <w:rPr>
          <w:sz w:val="28"/>
          <w:szCs w:val="28"/>
          <w:lang w:val="uk-UA"/>
        </w:rPr>
        <w:t xml:space="preserve"> і таким чином торгівля на фондовій біржі цінними паперами не вимагатиме оформлення проспекту таких цінних паперів.</w:t>
      </w:r>
    </w:p>
    <w:p w:rsidR="00E00BBC" w:rsidRPr="00C85193" w:rsidRDefault="00B916FB" w:rsidP="00C85193">
      <w:pPr>
        <w:ind w:firstLine="720"/>
        <w:jc w:val="both"/>
        <w:rPr>
          <w:sz w:val="28"/>
          <w:szCs w:val="28"/>
          <w:lang w:val="uk-UA"/>
        </w:rPr>
      </w:pPr>
      <w:r>
        <w:rPr>
          <w:sz w:val="28"/>
          <w:szCs w:val="28"/>
          <w:lang w:val="uk-UA"/>
        </w:rPr>
        <w:t xml:space="preserve">Якщо не надати фондовим біржам </w:t>
      </w:r>
      <w:r w:rsidR="00133D43">
        <w:rPr>
          <w:sz w:val="28"/>
          <w:szCs w:val="28"/>
          <w:lang w:val="uk-UA"/>
        </w:rPr>
        <w:t xml:space="preserve">законодавчої можливості торгівлі цінними паперами, щодо яких не було здійснено публічну пропозицію, </w:t>
      </w:r>
      <w:r w:rsidR="00C264C0">
        <w:rPr>
          <w:sz w:val="28"/>
          <w:szCs w:val="28"/>
          <w:lang w:val="uk-UA"/>
        </w:rPr>
        <w:t>то торгівля на фондовій біржі буде можлива лише цінними паперами</w:t>
      </w:r>
      <w:r w:rsidR="00A12FDA">
        <w:rPr>
          <w:sz w:val="28"/>
          <w:szCs w:val="28"/>
          <w:lang w:val="uk-UA"/>
        </w:rPr>
        <w:t xml:space="preserve">, щодо яких здійснено публічну пропозицію, а </w:t>
      </w:r>
      <w:r w:rsidR="006F7132">
        <w:rPr>
          <w:sz w:val="28"/>
          <w:szCs w:val="28"/>
          <w:lang w:val="uk-UA"/>
        </w:rPr>
        <w:t>це звузить коло цінних паперів, які можуть торгуватися на фондовій біржі, що в свою чергу</w:t>
      </w:r>
      <w:r w:rsidR="00A12FDA">
        <w:rPr>
          <w:sz w:val="28"/>
          <w:szCs w:val="28"/>
          <w:lang w:val="uk-UA"/>
        </w:rPr>
        <w:t xml:space="preserve"> призведе до негативних наслідків </w:t>
      </w:r>
      <w:r w:rsidR="00BA5E7E">
        <w:rPr>
          <w:sz w:val="28"/>
          <w:szCs w:val="28"/>
          <w:lang w:val="uk-UA"/>
        </w:rPr>
        <w:t>для</w:t>
      </w:r>
      <w:r w:rsidR="00A12FDA">
        <w:rPr>
          <w:sz w:val="28"/>
          <w:szCs w:val="28"/>
          <w:lang w:val="uk-UA"/>
        </w:rPr>
        <w:t xml:space="preserve"> інвесторів, учасників біржових торгів та фондової біржі.</w:t>
      </w:r>
    </w:p>
    <w:p w:rsidR="0062106E" w:rsidRPr="00C85193" w:rsidRDefault="00C85193" w:rsidP="00C85193">
      <w:pPr>
        <w:pStyle w:val="a4"/>
        <w:ind w:firstLine="720"/>
        <w:rPr>
          <w:b w:val="0"/>
        </w:rPr>
      </w:pPr>
      <w:r>
        <w:rPr>
          <w:b w:val="0"/>
        </w:rPr>
        <w:t>Крім того, з</w:t>
      </w:r>
      <w:r w:rsidR="00075C1D" w:rsidRPr="005A54EA">
        <w:rPr>
          <w:b w:val="0"/>
        </w:rPr>
        <w:t xml:space="preserve"> метою </w:t>
      </w:r>
      <w:r w:rsidR="00075C1D" w:rsidRPr="005A54EA">
        <w:rPr>
          <w:b w:val="0"/>
          <w:szCs w:val="28"/>
        </w:rPr>
        <w:t>захисту прав інвесторів та</w:t>
      </w:r>
      <w:r w:rsidR="00075C1D" w:rsidRPr="005A54EA">
        <w:rPr>
          <w:szCs w:val="28"/>
        </w:rPr>
        <w:t xml:space="preserve"> </w:t>
      </w:r>
      <w:r w:rsidR="00075C1D" w:rsidRPr="005A54EA">
        <w:rPr>
          <w:b w:val="0"/>
        </w:rPr>
        <w:t xml:space="preserve">забезпечення подальшого здійснення </w:t>
      </w:r>
      <w:r w:rsidR="00A12FDA">
        <w:rPr>
          <w:b w:val="0"/>
        </w:rPr>
        <w:t xml:space="preserve">перебування цінних паперів у біржовому </w:t>
      </w:r>
      <w:r w:rsidR="00BA5E7E">
        <w:rPr>
          <w:b w:val="0"/>
        </w:rPr>
        <w:t>реєстрі відповідно до вимог Закону, є невідкладним питання</w:t>
      </w:r>
      <w:r w:rsidR="00A12FDA">
        <w:rPr>
          <w:b w:val="0"/>
        </w:rPr>
        <w:t xml:space="preserve"> щодо забезпечення розкриття емітентами таких цінних паперів інформації на фондовому ринку відповідно до вимог, встановлених статтями 40-4</w:t>
      </w:r>
      <w:r w:rsidR="00F6639C">
        <w:rPr>
          <w:b w:val="0"/>
        </w:rPr>
        <w:t>1</w:t>
      </w:r>
      <w:r w:rsidR="00BA5E7E">
        <w:rPr>
          <w:b w:val="0"/>
        </w:rPr>
        <w:t>¹</w:t>
      </w:r>
      <w:r w:rsidR="00A12FDA">
        <w:rPr>
          <w:b w:val="0"/>
        </w:rPr>
        <w:t xml:space="preserve"> Закону</w:t>
      </w:r>
      <w:r w:rsidR="0062106E" w:rsidRPr="00C85193">
        <w:rPr>
          <w:b w:val="0"/>
          <w:color w:val="000000"/>
          <w:szCs w:val="28"/>
        </w:rPr>
        <w:t>.</w:t>
      </w:r>
    </w:p>
    <w:p w:rsidR="009724A8" w:rsidRDefault="009724A8" w:rsidP="009724A8">
      <w:pPr>
        <w:ind w:firstLine="720"/>
        <w:jc w:val="both"/>
        <w:rPr>
          <w:sz w:val="28"/>
          <w:szCs w:val="28"/>
          <w:lang w:val="uk-UA"/>
        </w:rPr>
      </w:pPr>
      <w:r w:rsidRPr="009724A8">
        <w:rPr>
          <w:sz w:val="28"/>
          <w:szCs w:val="28"/>
          <w:lang w:val="uk-UA"/>
        </w:rPr>
        <w:t>Тому, з метою</w:t>
      </w:r>
      <w:r w:rsidR="006F7132">
        <w:rPr>
          <w:sz w:val="28"/>
          <w:szCs w:val="28"/>
          <w:lang w:val="uk-UA"/>
        </w:rPr>
        <w:t xml:space="preserve"> надання можливості торгівлі цінними паперами, щодо яких не було здійснено публічну пропозицію, та з метою</w:t>
      </w:r>
      <w:r w:rsidRPr="009724A8">
        <w:rPr>
          <w:sz w:val="28"/>
          <w:szCs w:val="28"/>
          <w:lang w:val="uk-UA"/>
        </w:rPr>
        <w:t xml:space="preserve"> приведення Положення у відповідність до Закону 2210 у частині перебування цінних паперів емітентів, що здійснили публічну пропозицію, у біржовому реєстрі фондової біржі, Комісією розроблено проект рішення </w:t>
      </w:r>
      <w:r w:rsidRPr="009724A8">
        <w:rPr>
          <w:sz w:val="28"/>
          <w:szCs w:val="28"/>
          <w:lang w:val="uk-UA" w:eastAsia="uk-UA"/>
        </w:rPr>
        <w:t>«</w:t>
      </w:r>
      <w:r w:rsidRPr="009724A8">
        <w:rPr>
          <w:sz w:val="28"/>
          <w:szCs w:val="28"/>
          <w:lang w:val="uk-UA"/>
        </w:rPr>
        <w:t>Про внесення змін до Положення про функціонування фондових бірж» (далі – Проект)</w:t>
      </w:r>
      <w:r>
        <w:rPr>
          <w:sz w:val="28"/>
          <w:szCs w:val="28"/>
          <w:lang w:val="uk-UA"/>
        </w:rPr>
        <w:t xml:space="preserve">. </w:t>
      </w:r>
    </w:p>
    <w:p w:rsidR="006B7830" w:rsidRPr="005A54EA" w:rsidRDefault="006B7830" w:rsidP="006B7830">
      <w:pPr>
        <w:pStyle w:val="3"/>
        <w:suppressAutoHyphens/>
        <w:spacing w:after="0"/>
        <w:ind w:left="0" w:firstLine="709"/>
        <w:jc w:val="both"/>
        <w:rPr>
          <w:sz w:val="28"/>
          <w:szCs w:val="28"/>
          <w:lang w:val="uk-UA"/>
        </w:rPr>
      </w:pPr>
      <w:r w:rsidRPr="005A54EA">
        <w:rPr>
          <w:color w:val="000000"/>
          <w:sz w:val="28"/>
          <w:szCs w:val="28"/>
          <w:lang w:val="uk-UA"/>
        </w:rPr>
        <w:t xml:space="preserve">Фондовий ринок самостійно неспроможний вирішити нагальні проблеми, ринковий механізм діє неефективно, тому існують підстави для державного втручання </w:t>
      </w:r>
      <w:r w:rsidRPr="005A54EA">
        <w:rPr>
          <w:sz w:val="28"/>
          <w:szCs w:val="28"/>
          <w:lang w:val="uk-UA"/>
        </w:rPr>
        <w:t>через прийняття нормативно-правов</w:t>
      </w:r>
      <w:r w:rsidR="007F460B">
        <w:rPr>
          <w:sz w:val="28"/>
          <w:szCs w:val="28"/>
          <w:lang w:val="uk-UA"/>
        </w:rPr>
        <w:t>ого акта</w:t>
      </w:r>
      <w:r w:rsidRPr="005A54EA">
        <w:rPr>
          <w:sz w:val="28"/>
          <w:szCs w:val="28"/>
          <w:lang w:val="uk-UA"/>
        </w:rPr>
        <w:t xml:space="preserve"> та активну політику, спрямовану на врегулювання проблемних питань функціонування фондового ринку.</w:t>
      </w:r>
    </w:p>
    <w:p w:rsidR="006B7830" w:rsidRPr="005A54EA" w:rsidRDefault="006B7830" w:rsidP="006B7830">
      <w:pPr>
        <w:pStyle w:val="a4"/>
        <w:ind w:firstLine="720"/>
        <w:rPr>
          <w:b w:val="0"/>
          <w:szCs w:val="28"/>
        </w:rPr>
      </w:pPr>
      <w:r w:rsidRPr="005A54EA">
        <w:rPr>
          <w:b w:val="0"/>
          <w:szCs w:val="28"/>
        </w:rPr>
        <w:t xml:space="preserve">Основною причиною наявності вищезазначених проблем є те, що </w:t>
      </w:r>
      <w:r w:rsidR="00EE2E38">
        <w:rPr>
          <w:b w:val="0"/>
          <w:szCs w:val="28"/>
        </w:rPr>
        <w:t xml:space="preserve">у </w:t>
      </w:r>
      <w:r w:rsidRPr="005A54EA">
        <w:rPr>
          <w:b w:val="0"/>
          <w:szCs w:val="28"/>
        </w:rPr>
        <w:t>діюч</w:t>
      </w:r>
      <w:r w:rsidR="00EE2E38">
        <w:rPr>
          <w:b w:val="0"/>
          <w:szCs w:val="28"/>
        </w:rPr>
        <w:t>ому</w:t>
      </w:r>
      <w:r w:rsidR="00E56BFB" w:rsidRPr="005A54EA">
        <w:rPr>
          <w:b w:val="0"/>
          <w:szCs w:val="28"/>
        </w:rPr>
        <w:t xml:space="preserve"> регуляторн</w:t>
      </w:r>
      <w:r w:rsidR="00EE2E38">
        <w:rPr>
          <w:b w:val="0"/>
          <w:szCs w:val="28"/>
        </w:rPr>
        <w:t>ому</w:t>
      </w:r>
      <w:r w:rsidR="00E56BFB" w:rsidRPr="005A54EA">
        <w:rPr>
          <w:b w:val="0"/>
          <w:szCs w:val="28"/>
        </w:rPr>
        <w:t xml:space="preserve"> акт</w:t>
      </w:r>
      <w:r w:rsidR="00EE2E38">
        <w:rPr>
          <w:b w:val="0"/>
          <w:szCs w:val="28"/>
        </w:rPr>
        <w:t>і</w:t>
      </w:r>
      <w:r w:rsidR="00E56BFB" w:rsidRPr="005A54EA">
        <w:rPr>
          <w:b w:val="0"/>
          <w:szCs w:val="28"/>
        </w:rPr>
        <w:t xml:space="preserve"> наразі</w:t>
      </w:r>
      <w:r w:rsidR="0010173B">
        <w:rPr>
          <w:b w:val="0"/>
          <w:szCs w:val="28"/>
        </w:rPr>
        <w:t xml:space="preserve"> не передбачена можливість </w:t>
      </w:r>
      <w:r w:rsidR="0010173B" w:rsidRPr="0010173B">
        <w:rPr>
          <w:b w:val="0"/>
          <w:szCs w:val="28"/>
        </w:rPr>
        <w:t xml:space="preserve">торгівлі </w:t>
      </w:r>
      <w:r w:rsidR="0010173B" w:rsidRPr="0010173B">
        <w:rPr>
          <w:b w:val="0"/>
          <w:szCs w:val="28"/>
        </w:rPr>
        <w:lastRenderedPageBreak/>
        <w:t>цінними паперами, щодо яких не було здійснено публічну пропозицію, та</w:t>
      </w:r>
      <w:r w:rsidR="00E56BFB" w:rsidRPr="005A54EA">
        <w:rPr>
          <w:b w:val="0"/>
          <w:szCs w:val="28"/>
        </w:rPr>
        <w:t xml:space="preserve"> повністю не</w:t>
      </w:r>
      <w:r w:rsidR="00C35A57">
        <w:rPr>
          <w:b w:val="0"/>
          <w:szCs w:val="28"/>
        </w:rPr>
        <w:t xml:space="preserve"> </w:t>
      </w:r>
      <w:r w:rsidR="00EE2E38">
        <w:rPr>
          <w:b w:val="0"/>
          <w:szCs w:val="28"/>
        </w:rPr>
        <w:t>реалізовано норми</w:t>
      </w:r>
      <w:r w:rsidR="00C35A57">
        <w:rPr>
          <w:b w:val="0"/>
          <w:szCs w:val="28"/>
        </w:rPr>
        <w:t xml:space="preserve"> </w:t>
      </w:r>
      <w:r w:rsidR="00EE2E38">
        <w:rPr>
          <w:b w:val="0"/>
          <w:szCs w:val="28"/>
        </w:rPr>
        <w:t>З</w:t>
      </w:r>
      <w:r w:rsidR="00C35A57">
        <w:rPr>
          <w:b w:val="0"/>
          <w:szCs w:val="28"/>
        </w:rPr>
        <w:t>акон</w:t>
      </w:r>
      <w:r w:rsidR="00940FBB">
        <w:rPr>
          <w:b w:val="0"/>
          <w:szCs w:val="28"/>
        </w:rPr>
        <w:t>у</w:t>
      </w:r>
      <w:r w:rsidR="00EE2E38">
        <w:rPr>
          <w:b w:val="0"/>
          <w:szCs w:val="28"/>
        </w:rPr>
        <w:t xml:space="preserve"> 2210</w:t>
      </w:r>
      <w:r w:rsidR="00C35A57">
        <w:rPr>
          <w:b w:val="0"/>
          <w:szCs w:val="28"/>
        </w:rPr>
        <w:t xml:space="preserve">, </w:t>
      </w:r>
      <w:r w:rsidR="00037F0A">
        <w:rPr>
          <w:b w:val="0"/>
          <w:szCs w:val="28"/>
        </w:rPr>
        <w:t>ринок цінних паперів</w:t>
      </w:r>
      <w:r w:rsidR="00940FBB">
        <w:rPr>
          <w:b w:val="0"/>
          <w:szCs w:val="28"/>
        </w:rPr>
        <w:t>, щодо яких не було здійснено публічну пропозицію,</w:t>
      </w:r>
      <w:r w:rsidR="00037F0A">
        <w:rPr>
          <w:b w:val="0"/>
          <w:szCs w:val="28"/>
        </w:rPr>
        <w:t xml:space="preserve"> потребує регул</w:t>
      </w:r>
      <w:r w:rsidR="00940FBB">
        <w:rPr>
          <w:b w:val="0"/>
          <w:szCs w:val="28"/>
        </w:rPr>
        <w:t>ювання</w:t>
      </w:r>
      <w:r w:rsidR="00037F0A">
        <w:rPr>
          <w:b w:val="0"/>
          <w:szCs w:val="28"/>
        </w:rPr>
        <w:t xml:space="preserve">, </w:t>
      </w:r>
      <w:r w:rsidR="00C35A57">
        <w:rPr>
          <w:b w:val="0"/>
          <w:szCs w:val="28"/>
        </w:rPr>
        <w:t>а діючі норми Положення</w:t>
      </w:r>
      <w:r w:rsidR="00B726E2">
        <w:rPr>
          <w:b w:val="0"/>
          <w:szCs w:val="28"/>
        </w:rPr>
        <w:t xml:space="preserve"> – </w:t>
      </w:r>
      <w:r w:rsidR="00C35A57">
        <w:rPr>
          <w:b w:val="0"/>
          <w:szCs w:val="28"/>
        </w:rPr>
        <w:t xml:space="preserve"> </w:t>
      </w:r>
      <w:r w:rsidR="00940FBB">
        <w:rPr>
          <w:b w:val="0"/>
          <w:szCs w:val="28"/>
        </w:rPr>
        <w:t>удосконалення</w:t>
      </w:r>
      <w:r w:rsidRPr="005A54EA">
        <w:rPr>
          <w:b w:val="0"/>
          <w:szCs w:val="28"/>
        </w:rPr>
        <w:t>.</w:t>
      </w:r>
    </w:p>
    <w:p w:rsidR="002555AE" w:rsidRPr="005A54EA" w:rsidRDefault="002555AE" w:rsidP="002555AE">
      <w:pPr>
        <w:ind w:firstLine="720"/>
        <w:jc w:val="both"/>
        <w:rPr>
          <w:sz w:val="28"/>
          <w:szCs w:val="28"/>
          <w:lang w:val="uk-UA"/>
        </w:rPr>
      </w:pPr>
      <w:r w:rsidRPr="005A54EA">
        <w:rPr>
          <w:sz w:val="28"/>
          <w:szCs w:val="28"/>
          <w:lang w:val="uk-UA"/>
        </w:rPr>
        <w:t>Основні групи (підгрупи), на які проблема справляє вплив:</w:t>
      </w:r>
    </w:p>
    <w:p w:rsidR="002555AE" w:rsidRPr="005A54EA" w:rsidRDefault="002555AE" w:rsidP="002555AE">
      <w:pPr>
        <w:ind w:firstLine="720"/>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270"/>
        <w:gridCol w:w="3263"/>
      </w:tblGrid>
      <w:tr w:rsidR="002555AE" w:rsidRPr="00163B46" w:rsidTr="00163B46">
        <w:tc>
          <w:tcPr>
            <w:tcW w:w="3322" w:type="dxa"/>
            <w:shd w:val="clear" w:color="auto" w:fill="auto"/>
          </w:tcPr>
          <w:p w:rsidR="002555AE" w:rsidRPr="00163B46" w:rsidRDefault="002555AE" w:rsidP="00163B46">
            <w:pPr>
              <w:jc w:val="center"/>
              <w:rPr>
                <w:b/>
                <w:sz w:val="24"/>
                <w:szCs w:val="24"/>
                <w:lang w:val="uk-UA"/>
              </w:rPr>
            </w:pPr>
            <w:r w:rsidRPr="00163B46">
              <w:rPr>
                <w:b/>
                <w:sz w:val="24"/>
                <w:szCs w:val="24"/>
                <w:lang w:val="uk-UA"/>
              </w:rPr>
              <w:t>Групи (підгрупи)</w:t>
            </w:r>
          </w:p>
        </w:tc>
        <w:tc>
          <w:tcPr>
            <w:tcW w:w="3270" w:type="dxa"/>
            <w:shd w:val="clear" w:color="auto" w:fill="auto"/>
          </w:tcPr>
          <w:p w:rsidR="002555AE" w:rsidRPr="00163B46" w:rsidRDefault="002555AE" w:rsidP="00163B46">
            <w:pPr>
              <w:jc w:val="center"/>
              <w:rPr>
                <w:b/>
                <w:sz w:val="24"/>
                <w:szCs w:val="24"/>
                <w:lang w:val="uk-UA"/>
              </w:rPr>
            </w:pPr>
            <w:r w:rsidRPr="00163B46">
              <w:rPr>
                <w:b/>
                <w:sz w:val="24"/>
                <w:szCs w:val="24"/>
                <w:lang w:val="uk-UA"/>
              </w:rPr>
              <w:t>Так</w:t>
            </w:r>
          </w:p>
        </w:tc>
        <w:tc>
          <w:tcPr>
            <w:tcW w:w="3263" w:type="dxa"/>
            <w:shd w:val="clear" w:color="auto" w:fill="auto"/>
          </w:tcPr>
          <w:p w:rsidR="002555AE" w:rsidRPr="00163B46" w:rsidRDefault="002555AE" w:rsidP="00163B46">
            <w:pPr>
              <w:jc w:val="center"/>
              <w:rPr>
                <w:b/>
                <w:sz w:val="24"/>
                <w:szCs w:val="24"/>
                <w:lang w:val="uk-UA"/>
              </w:rPr>
            </w:pPr>
            <w:r w:rsidRPr="00163B46">
              <w:rPr>
                <w:b/>
                <w:sz w:val="24"/>
                <w:szCs w:val="24"/>
                <w:lang w:val="uk-UA"/>
              </w:rPr>
              <w:t>Ні</w:t>
            </w:r>
          </w:p>
        </w:tc>
      </w:tr>
      <w:tr w:rsidR="002555AE" w:rsidRPr="00163B46" w:rsidTr="00163B46">
        <w:tc>
          <w:tcPr>
            <w:tcW w:w="3322" w:type="dxa"/>
            <w:shd w:val="clear" w:color="auto" w:fill="auto"/>
          </w:tcPr>
          <w:p w:rsidR="002555AE" w:rsidRPr="00163B46" w:rsidRDefault="002555AE" w:rsidP="00163B46">
            <w:pPr>
              <w:jc w:val="center"/>
              <w:rPr>
                <w:sz w:val="24"/>
                <w:szCs w:val="24"/>
                <w:lang w:val="uk-UA"/>
              </w:rPr>
            </w:pPr>
            <w:r w:rsidRPr="00163B46">
              <w:rPr>
                <w:sz w:val="24"/>
                <w:szCs w:val="24"/>
                <w:lang w:val="uk-UA"/>
              </w:rPr>
              <w:t>Громадян</w:t>
            </w:r>
            <w:r w:rsidR="000D1568" w:rsidRPr="00163B46">
              <w:rPr>
                <w:sz w:val="24"/>
                <w:szCs w:val="24"/>
                <w:lang w:val="uk-UA"/>
              </w:rPr>
              <w:t>и (інвестори)</w:t>
            </w:r>
            <w:r w:rsidRPr="00163B46">
              <w:rPr>
                <w:sz w:val="24"/>
                <w:szCs w:val="24"/>
                <w:lang w:val="uk-UA"/>
              </w:rPr>
              <w:t xml:space="preserve"> </w:t>
            </w:r>
          </w:p>
        </w:tc>
        <w:tc>
          <w:tcPr>
            <w:tcW w:w="3270" w:type="dxa"/>
            <w:shd w:val="clear" w:color="auto" w:fill="auto"/>
          </w:tcPr>
          <w:p w:rsidR="002555AE" w:rsidRPr="00163B46" w:rsidRDefault="002555AE" w:rsidP="00163B46">
            <w:pPr>
              <w:jc w:val="center"/>
              <w:rPr>
                <w:sz w:val="24"/>
                <w:szCs w:val="24"/>
                <w:lang w:val="uk-UA"/>
              </w:rPr>
            </w:pPr>
            <w:r w:rsidRPr="00163B46">
              <w:rPr>
                <w:sz w:val="24"/>
                <w:szCs w:val="24"/>
                <w:lang w:val="uk-UA"/>
              </w:rPr>
              <w:t>так</w:t>
            </w:r>
          </w:p>
        </w:tc>
        <w:tc>
          <w:tcPr>
            <w:tcW w:w="3263" w:type="dxa"/>
            <w:shd w:val="clear" w:color="auto" w:fill="auto"/>
          </w:tcPr>
          <w:p w:rsidR="002555AE" w:rsidRPr="00163B46" w:rsidRDefault="002555AE" w:rsidP="00163B46">
            <w:pPr>
              <w:jc w:val="center"/>
              <w:rPr>
                <w:sz w:val="24"/>
                <w:szCs w:val="24"/>
                <w:lang w:val="uk-UA"/>
              </w:rPr>
            </w:pPr>
          </w:p>
        </w:tc>
      </w:tr>
      <w:tr w:rsidR="002555AE" w:rsidRPr="00163B46" w:rsidTr="00163B46">
        <w:tc>
          <w:tcPr>
            <w:tcW w:w="3322" w:type="dxa"/>
            <w:shd w:val="clear" w:color="auto" w:fill="auto"/>
          </w:tcPr>
          <w:p w:rsidR="002555AE" w:rsidRPr="00163B46" w:rsidRDefault="002555AE" w:rsidP="00163B46">
            <w:pPr>
              <w:jc w:val="center"/>
              <w:rPr>
                <w:sz w:val="24"/>
                <w:szCs w:val="24"/>
                <w:lang w:val="uk-UA"/>
              </w:rPr>
            </w:pPr>
            <w:r w:rsidRPr="00163B46">
              <w:rPr>
                <w:sz w:val="24"/>
                <w:szCs w:val="24"/>
                <w:lang w:val="uk-UA"/>
              </w:rPr>
              <w:t>Держава</w:t>
            </w:r>
          </w:p>
        </w:tc>
        <w:tc>
          <w:tcPr>
            <w:tcW w:w="3270" w:type="dxa"/>
            <w:shd w:val="clear" w:color="auto" w:fill="auto"/>
          </w:tcPr>
          <w:p w:rsidR="002555AE" w:rsidRPr="00163B46" w:rsidRDefault="002555AE" w:rsidP="00163B46">
            <w:pPr>
              <w:jc w:val="center"/>
              <w:rPr>
                <w:sz w:val="24"/>
                <w:szCs w:val="24"/>
                <w:lang w:val="uk-UA"/>
              </w:rPr>
            </w:pPr>
            <w:r w:rsidRPr="00163B46">
              <w:rPr>
                <w:sz w:val="24"/>
                <w:szCs w:val="24"/>
                <w:lang w:val="uk-UA"/>
              </w:rPr>
              <w:t>так</w:t>
            </w:r>
          </w:p>
        </w:tc>
        <w:tc>
          <w:tcPr>
            <w:tcW w:w="3263" w:type="dxa"/>
            <w:shd w:val="clear" w:color="auto" w:fill="auto"/>
          </w:tcPr>
          <w:p w:rsidR="002555AE" w:rsidRPr="00163B46" w:rsidRDefault="002555AE" w:rsidP="00163B46">
            <w:pPr>
              <w:jc w:val="center"/>
              <w:rPr>
                <w:sz w:val="24"/>
                <w:szCs w:val="24"/>
                <w:lang w:val="uk-UA"/>
              </w:rPr>
            </w:pPr>
          </w:p>
        </w:tc>
      </w:tr>
      <w:tr w:rsidR="002555AE" w:rsidRPr="00163B46" w:rsidTr="00163B46">
        <w:tc>
          <w:tcPr>
            <w:tcW w:w="3322" w:type="dxa"/>
            <w:shd w:val="clear" w:color="auto" w:fill="auto"/>
          </w:tcPr>
          <w:p w:rsidR="002555AE" w:rsidRPr="00163B46" w:rsidRDefault="002555AE" w:rsidP="00163B46">
            <w:pPr>
              <w:jc w:val="center"/>
              <w:rPr>
                <w:sz w:val="24"/>
                <w:szCs w:val="24"/>
                <w:lang w:val="uk-UA"/>
              </w:rPr>
            </w:pPr>
            <w:r w:rsidRPr="00163B46">
              <w:rPr>
                <w:sz w:val="24"/>
                <w:szCs w:val="24"/>
                <w:lang w:val="uk-UA"/>
              </w:rPr>
              <w:t>Суб’єкти господарювання,</w:t>
            </w:r>
          </w:p>
        </w:tc>
        <w:tc>
          <w:tcPr>
            <w:tcW w:w="3270" w:type="dxa"/>
            <w:shd w:val="clear" w:color="auto" w:fill="auto"/>
          </w:tcPr>
          <w:p w:rsidR="002555AE" w:rsidRPr="00163B46" w:rsidRDefault="002555AE" w:rsidP="00163B46">
            <w:pPr>
              <w:jc w:val="center"/>
              <w:rPr>
                <w:sz w:val="24"/>
                <w:szCs w:val="24"/>
                <w:lang w:val="uk-UA"/>
              </w:rPr>
            </w:pPr>
            <w:r w:rsidRPr="00163B46">
              <w:rPr>
                <w:sz w:val="24"/>
                <w:szCs w:val="24"/>
                <w:lang w:val="uk-UA"/>
              </w:rPr>
              <w:t>так</w:t>
            </w:r>
          </w:p>
        </w:tc>
        <w:tc>
          <w:tcPr>
            <w:tcW w:w="3263" w:type="dxa"/>
            <w:shd w:val="clear" w:color="auto" w:fill="auto"/>
          </w:tcPr>
          <w:p w:rsidR="002555AE" w:rsidRPr="00163B46" w:rsidRDefault="002555AE" w:rsidP="00163B46">
            <w:pPr>
              <w:jc w:val="center"/>
              <w:rPr>
                <w:sz w:val="24"/>
                <w:szCs w:val="24"/>
                <w:lang w:val="uk-UA"/>
              </w:rPr>
            </w:pPr>
          </w:p>
        </w:tc>
      </w:tr>
      <w:tr w:rsidR="002555AE" w:rsidRPr="00163B46" w:rsidTr="00163B46">
        <w:tc>
          <w:tcPr>
            <w:tcW w:w="3322" w:type="dxa"/>
            <w:shd w:val="clear" w:color="auto" w:fill="auto"/>
          </w:tcPr>
          <w:p w:rsidR="002555AE" w:rsidRPr="00163B46" w:rsidRDefault="002555AE" w:rsidP="00163B46">
            <w:pPr>
              <w:jc w:val="center"/>
              <w:rPr>
                <w:sz w:val="24"/>
                <w:szCs w:val="24"/>
                <w:lang w:val="uk-UA"/>
              </w:rPr>
            </w:pPr>
            <w:r w:rsidRPr="00163B46">
              <w:rPr>
                <w:sz w:val="24"/>
                <w:szCs w:val="24"/>
                <w:lang w:val="uk-UA"/>
              </w:rPr>
              <w:t>у тому числі суб’єкти малого підприємництва</w:t>
            </w:r>
          </w:p>
        </w:tc>
        <w:tc>
          <w:tcPr>
            <w:tcW w:w="3270" w:type="dxa"/>
            <w:shd w:val="clear" w:color="auto" w:fill="auto"/>
          </w:tcPr>
          <w:p w:rsidR="002555AE" w:rsidRPr="00163B46" w:rsidRDefault="002555AE" w:rsidP="00163B46">
            <w:pPr>
              <w:jc w:val="center"/>
              <w:rPr>
                <w:sz w:val="24"/>
                <w:szCs w:val="24"/>
                <w:lang w:val="uk-UA"/>
              </w:rPr>
            </w:pPr>
            <w:r w:rsidRPr="00163B46">
              <w:rPr>
                <w:sz w:val="24"/>
                <w:szCs w:val="24"/>
                <w:lang w:val="uk-UA"/>
              </w:rPr>
              <w:t>так</w:t>
            </w:r>
          </w:p>
        </w:tc>
        <w:tc>
          <w:tcPr>
            <w:tcW w:w="3263" w:type="dxa"/>
            <w:shd w:val="clear" w:color="auto" w:fill="auto"/>
          </w:tcPr>
          <w:p w:rsidR="002555AE" w:rsidRPr="00163B46" w:rsidRDefault="002555AE" w:rsidP="00163B46">
            <w:pPr>
              <w:jc w:val="center"/>
              <w:rPr>
                <w:sz w:val="24"/>
                <w:szCs w:val="24"/>
                <w:lang w:val="uk-UA"/>
              </w:rPr>
            </w:pPr>
          </w:p>
        </w:tc>
      </w:tr>
    </w:tbl>
    <w:p w:rsidR="006A565B" w:rsidRDefault="006A565B" w:rsidP="00F61892">
      <w:pPr>
        <w:pStyle w:val="3"/>
        <w:suppressAutoHyphens/>
        <w:spacing w:after="0"/>
        <w:ind w:left="0" w:firstLine="709"/>
        <w:jc w:val="center"/>
        <w:rPr>
          <w:b/>
          <w:sz w:val="28"/>
          <w:szCs w:val="28"/>
          <w:lang w:val="uk-UA"/>
        </w:rPr>
      </w:pPr>
    </w:p>
    <w:p w:rsidR="00E56BFB" w:rsidRDefault="00E56BFB" w:rsidP="00F61892">
      <w:pPr>
        <w:pStyle w:val="3"/>
        <w:suppressAutoHyphens/>
        <w:spacing w:after="0"/>
        <w:ind w:left="0" w:firstLine="709"/>
        <w:jc w:val="center"/>
        <w:rPr>
          <w:b/>
          <w:sz w:val="28"/>
          <w:szCs w:val="28"/>
          <w:lang w:val="uk-UA"/>
        </w:rPr>
      </w:pPr>
      <w:r w:rsidRPr="005A54EA">
        <w:rPr>
          <w:b/>
          <w:sz w:val="28"/>
          <w:szCs w:val="28"/>
          <w:lang w:val="uk-UA"/>
        </w:rPr>
        <w:t>ІІ. Цілі державного регулювання</w:t>
      </w:r>
    </w:p>
    <w:p w:rsidR="004C44AD" w:rsidRPr="005A54EA" w:rsidRDefault="004C44AD" w:rsidP="00F61892">
      <w:pPr>
        <w:pStyle w:val="3"/>
        <w:suppressAutoHyphens/>
        <w:spacing w:after="0"/>
        <w:ind w:left="0" w:firstLine="709"/>
        <w:jc w:val="center"/>
        <w:rPr>
          <w:b/>
          <w:sz w:val="28"/>
          <w:szCs w:val="28"/>
          <w:lang w:val="uk-UA"/>
        </w:rPr>
      </w:pPr>
    </w:p>
    <w:p w:rsidR="001B5F53" w:rsidRDefault="001B5F53" w:rsidP="00F61892">
      <w:pPr>
        <w:ind w:firstLine="708"/>
        <w:jc w:val="both"/>
        <w:rPr>
          <w:sz w:val="28"/>
          <w:szCs w:val="28"/>
          <w:lang w:val="uk-UA"/>
        </w:rPr>
      </w:pPr>
      <w:r w:rsidRPr="005A54EA">
        <w:rPr>
          <w:sz w:val="28"/>
          <w:szCs w:val="28"/>
          <w:lang w:val="uk-UA"/>
        </w:rPr>
        <w:t>Проект даного регуляторного акта спрямований на вирішення проблем, визначених в попередньому розділі. Основними цілями прийняття проекту регуляторного акта є:</w:t>
      </w:r>
    </w:p>
    <w:p w:rsidR="006B73E3" w:rsidRDefault="007108FE" w:rsidP="00F61892">
      <w:pPr>
        <w:ind w:firstLine="708"/>
        <w:jc w:val="both"/>
        <w:rPr>
          <w:sz w:val="28"/>
          <w:szCs w:val="28"/>
          <w:lang w:val="uk-UA"/>
        </w:rPr>
      </w:pPr>
      <w:r>
        <w:rPr>
          <w:sz w:val="28"/>
          <w:szCs w:val="28"/>
          <w:lang w:val="uk-UA"/>
        </w:rPr>
        <w:t>н</w:t>
      </w:r>
      <w:r w:rsidR="006B73E3">
        <w:rPr>
          <w:sz w:val="28"/>
          <w:szCs w:val="28"/>
          <w:lang w:val="uk-UA"/>
        </w:rPr>
        <w:t xml:space="preserve">адання можливості </w:t>
      </w:r>
      <w:r w:rsidR="006E4AD7">
        <w:rPr>
          <w:sz w:val="28"/>
          <w:szCs w:val="28"/>
          <w:lang w:val="uk-UA"/>
        </w:rPr>
        <w:t>проведення біржових торгів цінними паперами</w:t>
      </w:r>
      <w:r w:rsidR="006B73E3">
        <w:rPr>
          <w:sz w:val="28"/>
          <w:szCs w:val="28"/>
          <w:lang w:val="uk-UA"/>
        </w:rPr>
        <w:t>,</w:t>
      </w:r>
      <w:r w:rsidR="006B73E3" w:rsidRPr="006B73E3">
        <w:rPr>
          <w:sz w:val="28"/>
          <w:szCs w:val="28"/>
          <w:lang w:val="uk-UA"/>
        </w:rPr>
        <w:t xml:space="preserve"> </w:t>
      </w:r>
      <w:r w:rsidR="006B73E3">
        <w:rPr>
          <w:sz w:val="28"/>
          <w:szCs w:val="28"/>
          <w:lang w:val="uk-UA"/>
        </w:rPr>
        <w:t xml:space="preserve">щодо яких не здійснена публічна пропозиція; </w:t>
      </w:r>
    </w:p>
    <w:p w:rsidR="00BD78AC" w:rsidRDefault="00BD78AC" w:rsidP="001B5F53">
      <w:pPr>
        <w:ind w:firstLine="708"/>
        <w:jc w:val="both"/>
        <w:rPr>
          <w:sz w:val="28"/>
          <w:szCs w:val="28"/>
          <w:lang w:val="uk-UA"/>
        </w:rPr>
      </w:pPr>
      <w:r>
        <w:rPr>
          <w:sz w:val="28"/>
          <w:szCs w:val="28"/>
          <w:lang w:val="uk-UA"/>
        </w:rPr>
        <w:t xml:space="preserve">встановлення вимог до </w:t>
      </w:r>
      <w:r w:rsidR="00F61892">
        <w:rPr>
          <w:sz w:val="28"/>
          <w:szCs w:val="28"/>
          <w:lang w:val="uk-UA"/>
        </w:rPr>
        <w:t xml:space="preserve">електронної торговельної системи </w:t>
      </w:r>
      <w:r w:rsidR="006B73E3">
        <w:rPr>
          <w:sz w:val="28"/>
          <w:szCs w:val="28"/>
          <w:lang w:val="uk-UA"/>
        </w:rPr>
        <w:t xml:space="preserve">фондової біржі </w:t>
      </w:r>
      <w:r w:rsidR="00F61892">
        <w:rPr>
          <w:sz w:val="28"/>
          <w:szCs w:val="28"/>
          <w:lang w:val="uk-UA"/>
        </w:rPr>
        <w:t xml:space="preserve">для забезпечення </w:t>
      </w:r>
      <w:r w:rsidR="006B73E3">
        <w:rPr>
          <w:sz w:val="28"/>
          <w:szCs w:val="28"/>
          <w:lang w:val="uk-UA"/>
        </w:rPr>
        <w:t xml:space="preserve">дотримання </w:t>
      </w:r>
      <w:r w:rsidR="00F61892">
        <w:rPr>
          <w:sz w:val="28"/>
          <w:szCs w:val="28"/>
          <w:lang w:val="uk-UA"/>
        </w:rPr>
        <w:t xml:space="preserve">норми Закону </w:t>
      </w:r>
      <w:r w:rsidR="006B73E3">
        <w:rPr>
          <w:sz w:val="28"/>
          <w:szCs w:val="28"/>
          <w:lang w:val="uk-UA"/>
        </w:rPr>
        <w:t xml:space="preserve">2210 </w:t>
      </w:r>
      <w:r w:rsidR="00F61892">
        <w:rPr>
          <w:sz w:val="28"/>
          <w:szCs w:val="28"/>
          <w:lang w:val="uk-UA"/>
        </w:rPr>
        <w:t>щодо торгівлі цінними паперами, щодо яких не здійснена публічна пропозиція, шляхом подання заявки, зверненої до визначеного кола осіб</w:t>
      </w:r>
      <w:r>
        <w:rPr>
          <w:sz w:val="28"/>
          <w:szCs w:val="28"/>
          <w:lang w:val="uk-UA"/>
        </w:rPr>
        <w:t>;</w:t>
      </w:r>
    </w:p>
    <w:p w:rsidR="00BD78AC" w:rsidRDefault="00BD78AC" w:rsidP="001B5F53">
      <w:pPr>
        <w:ind w:firstLine="708"/>
        <w:jc w:val="both"/>
        <w:rPr>
          <w:sz w:val="28"/>
          <w:szCs w:val="28"/>
          <w:lang w:val="uk-UA"/>
        </w:rPr>
      </w:pPr>
      <w:r>
        <w:rPr>
          <w:sz w:val="28"/>
          <w:szCs w:val="28"/>
          <w:lang w:val="uk-UA"/>
        </w:rPr>
        <w:t>перебування цінних паперів емітентів, що здійснили публічну пропозицію, у біржовому реєстрі з дотриманням вимог, встановлених законом;</w:t>
      </w:r>
    </w:p>
    <w:p w:rsidR="00CE120A" w:rsidRPr="000C105A" w:rsidRDefault="002556DC" w:rsidP="00CE120A">
      <w:pPr>
        <w:pStyle w:val="3"/>
        <w:suppressAutoHyphens/>
        <w:spacing w:after="0"/>
        <w:ind w:left="0" w:firstLine="709"/>
        <w:jc w:val="both"/>
        <w:rPr>
          <w:sz w:val="28"/>
          <w:szCs w:val="28"/>
          <w:lang w:val="uk-UA"/>
        </w:rPr>
      </w:pPr>
      <w:r w:rsidRPr="000C105A">
        <w:rPr>
          <w:color w:val="000000"/>
          <w:sz w:val="28"/>
          <w:szCs w:val="28"/>
          <w:lang w:val="uk-UA"/>
        </w:rPr>
        <w:t>збільшення обсягу торгів</w:t>
      </w:r>
      <w:r w:rsidR="0089364E" w:rsidRPr="000C105A">
        <w:rPr>
          <w:color w:val="000000"/>
          <w:sz w:val="28"/>
          <w:szCs w:val="28"/>
          <w:lang w:val="uk-UA"/>
        </w:rPr>
        <w:t xml:space="preserve"> цінними паперами</w:t>
      </w:r>
      <w:r w:rsidRPr="000C105A">
        <w:rPr>
          <w:color w:val="000000"/>
          <w:sz w:val="28"/>
          <w:szCs w:val="28"/>
          <w:lang w:val="uk-UA"/>
        </w:rPr>
        <w:t xml:space="preserve"> на організованому ринку</w:t>
      </w:r>
      <w:r w:rsidR="00CE120A" w:rsidRPr="000C105A">
        <w:rPr>
          <w:sz w:val="28"/>
          <w:szCs w:val="28"/>
          <w:lang w:val="uk-UA"/>
        </w:rPr>
        <w:t>.</w:t>
      </w:r>
    </w:p>
    <w:p w:rsidR="00C35400" w:rsidRDefault="00C35400" w:rsidP="00DD0F2C">
      <w:pPr>
        <w:ind w:firstLine="708"/>
        <w:jc w:val="both"/>
        <w:rPr>
          <w:sz w:val="28"/>
          <w:szCs w:val="28"/>
          <w:lang w:val="uk-UA"/>
        </w:rPr>
      </w:pPr>
    </w:p>
    <w:p w:rsidR="00E56BFB" w:rsidRPr="005A54EA" w:rsidRDefault="00E56BFB" w:rsidP="00E56BFB">
      <w:pPr>
        <w:ind w:firstLine="720"/>
        <w:jc w:val="center"/>
        <w:rPr>
          <w:b/>
          <w:sz w:val="28"/>
          <w:szCs w:val="28"/>
          <w:lang w:val="uk-UA"/>
        </w:rPr>
      </w:pPr>
      <w:r w:rsidRPr="005A54EA">
        <w:rPr>
          <w:b/>
          <w:sz w:val="28"/>
          <w:szCs w:val="28"/>
          <w:lang w:val="uk-UA"/>
        </w:rPr>
        <w:t>ІІІ. Визначення та оцінка альтернативних способів досягнення цілей</w:t>
      </w:r>
    </w:p>
    <w:p w:rsidR="005A655D" w:rsidRPr="005A54EA" w:rsidRDefault="005A655D" w:rsidP="00E56BFB">
      <w:pPr>
        <w:ind w:firstLine="720"/>
        <w:jc w:val="center"/>
        <w:rPr>
          <w:b/>
          <w:sz w:val="28"/>
          <w:szCs w:val="28"/>
          <w:lang w:val="uk-UA"/>
        </w:rPr>
      </w:pPr>
    </w:p>
    <w:p w:rsidR="00E56BFB" w:rsidRDefault="00E56BFB" w:rsidP="00E56BFB">
      <w:pPr>
        <w:numPr>
          <w:ilvl w:val="0"/>
          <w:numId w:val="1"/>
        </w:numPr>
        <w:jc w:val="both"/>
        <w:rPr>
          <w:sz w:val="28"/>
          <w:szCs w:val="28"/>
          <w:lang w:val="uk-UA"/>
        </w:rPr>
      </w:pPr>
      <w:r w:rsidRPr="005A54EA">
        <w:rPr>
          <w:sz w:val="28"/>
          <w:szCs w:val="28"/>
          <w:lang w:val="uk-UA"/>
        </w:rPr>
        <w:t>Визначення альтернативних способів</w:t>
      </w:r>
    </w:p>
    <w:p w:rsidR="004C44AD" w:rsidRPr="005A54EA" w:rsidRDefault="004C44AD" w:rsidP="004C44AD">
      <w:pPr>
        <w:jc w:val="both"/>
        <w:rPr>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120"/>
      </w:tblGrid>
      <w:tr w:rsidR="00E56BFB" w:rsidRPr="00163B46" w:rsidTr="00163B46">
        <w:tc>
          <w:tcPr>
            <w:tcW w:w="3528" w:type="dxa"/>
            <w:shd w:val="clear" w:color="auto" w:fill="auto"/>
          </w:tcPr>
          <w:p w:rsidR="00E56BFB" w:rsidRPr="00163B46" w:rsidRDefault="00E56BFB" w:rsidP="00163B46">
            <w:pPr>
              <w:spacing w:before="100" w:beforeAutospacing="1" w:after="100" w:afterAutospacing="1"/>
              <w:jc w:val="center"/>
              <w:rPr>
                <w:b/>
                <w:bCs/>
                <w:lang w:val="uk-UA"/>
              </w:rPr>
            </w:pPr>
            <w:r w:rsidRPr="00163B46">
              <w:rPr>
                <w:b/>
                <w:sz w:val="24"/>
                <w:szCs w:val="24"/>
                <w:lang w:val="uk-UA"/>
              </w:rPr>
              <w:t>Вид альтернативи</w:t>
            </w:r>
          </w:p>
        </w:tc>
        <w:tc>
          <w:tcPr>
            <w:tcW w:w="6120" w:type="dxa"/>
            <w:shd w:val="clear" w:color="auto" w:fill="auto"/>
          </w:tcPr>
          <w:p w:rsidR="00E56BFB" w:rsidRPr="00163B46" w:rsidRDefault="00E56BFB" w:rsidP="00163B46">
            <w:pPr>
              <w:jc w:val="center"/>
              <w:rPr>
                <w:b/>
                <w:sz w:val="24"/>
                <w:szCs w:val="24"/>
                <w:lang w:val="uk-UA"/>
              </w:rPr>
            </w:pPr>
            <w:r w:rsidRPr="00163B46">
              <w:rPr>
                <w:b/>
                <w:sz w:val="24"/>
                <w:szCs w:val="24"/>
                <w:lang w:val="uk-UA"/>
              </w:rPr>
              <w:t>Опис альтернативи</w:t>
            </w:r>
          </w:p>
        </w:tc>
      </w:tr>
      <w:tr w:rsidR="0061283A" w:rsidRPr="00163B46" w:rsidTr="00163B46">
        <w:tc>
          <w:tcPr>
            <w:tcW w:w="3528" w:type="dxa"/>
            <w:shd w:val="clear" w:color="auto" w:fill="auto"/>
          </w:tcPr>
          <w:p w:rsidR="0061283A" w:rsidRPr="00163B46" w:rsidRDefault="0061283A" w:rsidP="00B929EF">
            <w:pPr>
              <w:rPr>
                <w:b/>
                <w:lang w:val="uk-UA"/>
              </w:rPr>
            </w:pPr>
            <w:r w:rsidRPr="00163B46">
              <w:rPr>
                <w:b/>
                <w:sz w:val="24"/>
                <w:szCs w:val="24"/>
                <w:lang w:val="uk-UA"/>
              </w:rPr>
              <w:t>1. Відсутність регулювання</w:t>
            </w:r>
          </w:p>
        </w:tc>
        <w:tc>
          <w:tcPr>
            <w:tcW w:w="6120" w:type="dxa"/>
            <w:shd w:val="clear" w:color="auto" w:fill="auto"/>
          </w:tcPr>
          <w:p w:rsidR="0061283A" w:rsidRPr="00163B46" w:rsidRDefault="0061283A" w:rsidP="00163B46">
            <w:pPr>
              <w:ind w:firstLine="432"/>
              <w:jc w:val="both"/>
              <w:rPr>
                <w:sz w:val="24"/>
                <w:szCs w:val="24"/>
                <w:lang w:val="uk-UA"/>
              </w:rPr>
            </w:pPr>
            <w:r w:rsidRPr="00163B46">
              <w:rPr>
                <w:color w:val="000000"/>
                <w:sz w:val="24"/>
                <w:szCs w:val="24"/>
                <w:lang w:val="uk-UA"/>
              </w:rPr>
              <w:t>Залишити законодавче регулювання на існуючому  рівні і сподіватися на еволюційний розвиток ринку цінних паперів.</w:t>
            </w:r>
          </w:p>
        </w:tc>
      </w:tr>
      <w:tr w:rsidR="0061283A" w:rsidRPr="00163B46" w:rsidTr="00163B46">
        <w:tc>
          <w:tcPr>
            <w:tcW w:w="3528" w:type="dxa"/>
            <w:shd w:val="clear" w:color="auto" w:fill="auto"/>
          </w:tcPr>
          <w:p w:rsidR="0061283A" w:rsidRPr="00163B46" w:rsidRDefault="0061283A" w:rsidP="00B929EF">
            <w:pPr>
              <w:rPr>
                <w:b/>
                <w:sz w:val="24"/>
                <w:szCs w:val="24"/>
                <w:lang w:val="uk-UA"/>
              </w:rPr>
            </w:pPr>
            <w:r w:rsidRPr="00163B46">
              <w:rPr>
                <w:b/>
                <w:sz w:val="24"/>
                <w:szCs w:val="24"/>
                <w:lang w:val="uk-UA"/>
              </w:rPr>
              <w:t>2. Розробка проекту нормативно-правового акту</w:t>
            </w:r>
          </w:p>
        </w:tc>
        <w:tc>
          <w:tcPr>
            <w:tcW w:w="6120" w:type="dxa"/>
            <w:shd w:val="clear" w:color="auto" w:fill="auto"/>
          </w:tcPr>
          <w:p w:rsidR="0076293C" w:rsidRPr="00163B46" w:rsidRDefault="009F2CF7" w:rsidP="00F85E25">
            <w:pPr>
              <w:ind w:firstLine="432"/>
              <w:jc w:val="both"/>
              <w:rPr>
                <w:sz w:val="24"/>
                <w:szCs w:val="24"/>
                <w:lang w:val="uk-UA"/>
              </w:rPr>
            </w:pPr>
            <w:r>
              <w:rPr>
                <w:sz w:val="24"/>
                <w:szCs w:val="24"/>
                <w:lang w:val="uk-UA"/>
              </w:rPr>
              <w:t>Регулювання</w:t>
            </w:r>
            <w:r w:rsidR="0061283A" w:rsidRPr="00163B46">
              <w:rPr>
                <w:sz w:val="24"/>
                <w:szCs w:val="24"/>
                <w:lang w:val="uk-UA"/>
              </w:rPr>
              <w:t xml:space="preserve"> фондового ринку через прийняття нормативно-правового акту </w:t>
            </w:r>
            <w:r w:rsidR="000F35A3">
              <w:rPr>
                <w:sz w:val="24"/>
                <w:szCs w:val="24"/>
                <w:lang w:val="uk-UA"/>
              </w:rPr>
              <w:t>з метою надання можливості торгівлі на фондовій біржі</w:t>
            </w:r>
            <w:r w:rsidR="00F85E25" w:rsidRPr="00F85E25">
              <w:rPr>
                <w:color w:val="000000"/>
                <w:sz w:val="24"/>
                <w:szCs w:val="24"/>
                <w:lang w:val="uk-UA"/>
              </w:rPr>
              <w:t xml:space="preserve"> цінни</w:t>
            </w:r>
            <w:r w:rsidR="000F35A3">
              <w:rPr>
                <w:color w:val="000000"/>
                <w:sz w:val="24"/>
                <w:szCs w:val="24"/>
                <w:lang w:val="uk-UA"/>
              </w:rPr>
              <w:t>ми</w:t>
            </w:r>
            <w:r w:rsidR="00F85E25" w:rsidRPr="00F85E25">
              <w:rPr>
                <w:color w:val="000000"/>
                <w:sz w:val="24"/>
                <w:szCs w:val="24"/>
                <w:lang w:val="uk-UA"/>
              </w:rPr>
              <w:t xml:space="preserve"> папер</w:t>
            </w:r>
            <w:r w:rsidR="000F35A3">
              <w:rPr>
                <w:color w:val="000000"/>
                <w:sz w:val="24"/>
                <w:szCs w:val="24"/>
                <w:lang w:val="uk-UA"/>
              </w:rPr>
              <w:t>ами</w:t>
            </w:r>
            <w:r w:rsidR="00F85E25" w:rsidRPr="00F85E25">
              <w:rPr>
                <w:color w:val="000000"/>
                <w:sz w:val="24"/>
                <w:szCs w:val="24"/>
                <w:lang w:val="uk-UA"/>
              </w:rPr>
              <w:t>,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w:t>
            </w:r>
            <w:r w:rsidR="0076293C" w:rsidRPr="00163B46">
              <w:rPr>
                <w:sz w:val="24"/>
                <w:szCs w:val="24"/>
                <w:lang w:val="uk-UA"/>
              </w:rPr>
              <w:t>.</w:t>
            </w:r>
          </w:p>
          <w:p w:rsidR="0061283A" w:rsidRPr="00163B46" w:rsidRDefault="003B54A6" w:rsidP="00163B46">
            <w:pPr>
              <w:tabs>
                <w:tab w:val="left" w:pos="4005"/>
              </w:tabs>
              <w:ind w:firstLine="432"/>
              <w:jc w:val="both"/>
              <w:rPr>
                <w:sz w:val="24"/>
                <w:szCs w:val="24"/>
                <w:lang w:val="uk-UA"/>
              </w:rPr>
            </w:pPr>
            <w:r w:rsidRPr="00163B46">
              <w:rPr>
                <w:sz w:val="24"/>
                <w:szCs w:val="24"/>
                <w:lang w:val="uk-UA"/>
              </w:rPr>
              <w:tab/>
            </w:r>
          </w:p>
        </w:tc>
      </w:tr>
    </w:tbl>
    <w:p w:rsidR="00E56BFB" w:rsidRPr="005A54EA" w:rsidRDefault="00E56BFB" w:rsidP="00E56BFB">
      <w:pPr>
        <w:rPr>
          <w:lang w:val="uk-UA"/>
        </w:rPr>
      </w:pPr>
    </w:p>
    <w:p w:rsidR="0085294C" w:rsidRPr="005A54EA" w:rsidRDefault="0085294C" w:rsidP="00E56BFB">
      <w:pPr>
        <w:rPr>
          <w:lang w:val="uk-UA"/>
        </w:rPr>
      </w:pPr>
    </w:p>
    <w:p w:rsidR="00E56BFB" w:rsidRPr="005A54EA" w:rsidRDefault="00E56BFB" w:rsidP="00E56BFB">
      <w:pPr>
        <w:numPr>
          <w:ilvl w:val="0"/>
          <w:numId w:val="1"/>
        </w:numPr>
        <w:jc w:val="both"/>
        <w:rPr>
          <w:sz w:val="28"/>
          <w:szCs w:val="28"/>
          <w:lang w:val="uk-UA"/>
        </w:rPr>
      </w:pPr>
      <w:r w:rsidRPr="005A54EA">
        <w:rPr>
          <w:sz w:val="28"/>
          <w:szCs w:val="28"/>
          <w:lang w:val="uk-UA"/>
        </w:rPr>
        <w:t>Оцінка вибраних альтернативних способів досягнення цілей</w:t>
      </w:r>
    </w:p>
    <w:p w:rsidR="0085294C" w:rsidRPr="005A54EA" w:rsidRDefault="0085294C" w:rsidP="00E56BFB">
      <w:pPr>
        <w:ind w:firstLine="720"/>
        <w:jc w:val="both"/>
        <w:rPr>
          <w:sz w:val="28"/>
          <w:szCs w:val="28"/>
          <w:u w:val="single"/>
          <w:lang w:val="uk-UA"/>
        </w:rPr>
      </w:pPr>
    </w:p>
    <w:p w:rsidR="00E56BFB" w:rsidRDefault="00E56BFB" w:rsidP="00E56BFB">
      <w:pPr>
        <w:ind w:firstLine="720"/>
        <w:jc w:val="both"/>
        <w:rPr>
          <w:sz w:val="28"/>
          <w:szCs w:val="28"/>
          <w:u w:val="single"/>
          <w:lang w:val="en-US"/>
        </w:rPr>
      </w:pPr>
      <w:r w:rsidRPr="005A54EA">
        <w:rPr>
          <w:sz w:val="28"/>
          <w:szCs w:val="28"/>
          <w:u w:val="single"/>
          <w:lang w:val="uk-UA"/>
        </w:rPr>
        <w:lastRenderedPageBreak/>
        <w:t xml:space="preserve">Оцінка впливу на сферу інтересів держави </w:t>
      </w:r>
    </w:p>
    <w:p w:rsidR="000E524F" w:rsidRPr="000E524F" w:rsidRDefault="000E524F" w:rsidP="00E56BFB">
      <w:pPr>
        <w:ind w:firstLine="720"/>
        <w:jc w:val="both"/>
        <w:rPr>
          <w:sz w:val="28"/>
          <w:szCs w:val="28"/>
          <w:u w:val="single"/>
          <w:lang w:val="en-US"/>
        </w:rPr>
      </w:pPr>
    </w:p>
    <w:p w:rsidR="00E56BFB" w:rsidRPr="005A54EA" w:rsidRDefault="00E56BFB" w:rsidP="00E56BFB">
      <w:pPr>
        <w:ind w:firstLine="708"/>
        <w:rPr>
          <w:lang w:val="uk-UA"/>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12"/>
        <w:gridCol w:w="3960"/>
      </w:tblGrid>
      <w:tr w:rsidR="00E56BFB" w:rsidRPr="00163B46" w:rsidTr="00163B46">
        <w:tc>
          <w:tcPr>
            <w:tcW w:w="2448" w:type="dxa"/>
            <w:shd w:val="clear" w:color="auto" w:fill="auto"/>
          </w:tcPr>
          <w:p w:rsidR="00E56BFB" w:rsidRPr="00163B46" w:rsidRDefault="00E56BFB" w:rsidP="00163B46">
            <w:pPr>
              <w:jc w:val="center"/>
              <w:rPr>
                <w:sz w:val="28"/>
                <w:szCs w:val="28"/>
                <w:lang w:val="uk-UA"/>
              </w:rPr>
            </w:pPr>
            <w:r w:rsidRPr="00163B46">
              <w:rPr>
                <w:b/>
                <w:sz w:val="24"/>
                <w:szCs w:val="24"/>
                <w:lang w:val="uk-UA"/>
              </w:rPr>
              <w:t>Вид альтернативи</w:t>
            </w:r>
          </w:p>
        </w:tc>
        <w:tc>
          <w:tcPr>
            <w:tcW w:w="3312" w:type="dxa"/>
            <w:shd w:val="clear" w:color="auto" w:fill="auto"/>
          </w:tcPr>
          <w:p w:rsidR="00E56BFB" w:rsidRPr="00163B46" w:rsidRDefault="00E56BFB" w:rsidP="00163B46">
            <w:pPr>
              <w:jc w:val="center"/>
              <w:rPr>
                <w:b/>
                <w:sz w:val="24"/>
                <w:szCs w:val="24"/>
                <w:lang w:val="uk-UA"/>
              </w:rPr>
            </w:pPr>
            <w:r w:rsidRPr="00163B46">
              <w:rPr>
                <w:b/>
                <w:sz w:val="24"/>
                <w:szCs w:val="24"/>
                <w:lang w:val="uk-UA"/>
              </w:rPr>
              <w:t>Вигоди</w:t>
            </w:r>
          </w:p>
        </w:tc>
        <w:tc>
          <w:tcPr>
            <w:tcW w:w="3960" w:type="dxa"/>
            <w:shd w:val="clear" w:color="auto" w:fill="auto"/>
          </w:tcPr>
          <w:p w:rsidR="00E56BFB" w:rsidRPr="00163B46" w:rsidRDefault="00E56BFB" w:rsidP="00163B46">
            <w:pPr>
              <w:jc w:val="center"/>
              <w:rPr>
                <w:b/>
                <w:sz w:val="24"/>
                <w:szCs w:val="24"/>
                <w:lang w:val="uk-UA"/>
              </w:rPr>
            </w:pPr>
            <w:r w:rsidRPr="00163B46">
              <w:rPr>
                <w:b/>
                <w:sz w:val="24"/>
                <w:szCs w:val="24"/>
                <w:lang w:val="uk-UA"/>
              </w:rPr>
              <w:t>Витрати</w:t>
            </w:r>
          </w:p>
        </w:tc>
      </w:tr>
      <w:tr w:rsidR="00D944C8" w:rsidRPr="00163B46" w:rsidTr="00163B46">
        <w:tc>
          <w:tcPr>
            <w:tcW w:w="2448" w:type="dxa"/>
            <w:shd w:val="clear" w:color="auto" w:fill="auto"/>
          </w:tcPr>
          <w:p w:rsidR="00D944C8" w:rsidRPr="00163B46" w:rsidRDefault="00633962" w:rsidP="00163B46">
            <w:pPr>
              <w:jc w:val="both"/>
              <w:rPr>
                <w:b/>
                <w:lang w:val="uk-UA"/>
              </w:rPr>
            </w:pPr>
            <w:r w:rsidRPr="00163B46">
              <w:rPr>
                <w:b/>
                <w:sz w:val="24"/>
                <w:szCs w:val="24"/>
                <w:lang w:val="uk-UA"/>
              </w:rPr>
              <w:t>1. Відсутність регулювання</w:t>
            </w:r>
          </w:p>
        </w:tc>
        <w:tc>
          <w:tcPr>
            <w:tcW w:w="3312" w:type="dxa"/>
            <w:shd w:val="clear" w:color="auto" w:fill="auto"/>
          </w:tcPr>
          <w:p w:rsidR="00D944C8" w:rsidRPr="00163B46" w:rsidRDefault="00D103C6" w:rsidP="00D103C6">
            <w:pPr>
              <w:jc w:val="both"/>
              <w:rPr>
                <w:sz w:val="24"/>
                <w:szCs w:val="24"/>
                <w:lang w:val="uk-UA"/>
              </w:rPr>
            </w:pPr>
            <w:r>
              <w:rPr>
                <w:sz w:val="24"/>
                <w:szCs w:val="24"/>
                <w:lang w:val="uk-UA"/>
              </w:rPr>
              <w:t xml:space="preserve"> Відсутні</w:t>
            </w:r>
            <w:r w:rsidR="00D944C8" w:rsidRPr="00163B46">
              <w:rPr>
                <w:sz w:val="24"/>
                <w:szCs w:val="24"/>
                <w:lang w:val="uk-UA"/>
              </w:rPr>
              <w:t xml:space="preserve">. </w:t>
            </w:r>
          </w:p>
        </w:tc>
        <w:tc>
          <w:tcPr>
            <w:tcW w:w="3960" w:type="dxa"/>
            <w:shd w:val="clear" w:color="auto" w:fill="auto"/>
          </w:tcPr>
          <w:p w:rsidR="00D103C6" w:rsidRDefault="00D944C8" w:rsidP="00163B46">
            <w:pPr>
              <w:jc w:val="both"/>
              <w:rPr>
                <w:sz w:val="24"/>
                <w:szCs w:val="24"/>
                <w:lang w:val="uk-UA"/>
              </w:rPr>
            </w:pPr>
            <w:r w:rsidRPr="00163B46">
              <w:rPr>
                <w:sz w:val="24"/>
                <w:szCs w:val="24"/>
                <w:lang w:val="uk-UA"/>
              </w:rPr>
              <w:t xml:space="preserve">1. </w:t>
            </w:r>
            <w:r w:rsidR="0068573D">
              <w:rPr>
                <w:sz w:val="24"/>
                <w:szCs w:val="24"/>
                <w:lang w:val="uk-UA"/>
              </w:rPr>
              <w:t>Малий обсяг торгів на фондових біржах і як наслідок н</w:t>
            </w:r>
            <w:r w:rsidR="00D103C6" w:rsidRPr="00163B46">
              <w:rPr>
                <w:sz w:val="24"/>
                <w:szCs w:val="24"/>
                <w:lang w:val="uk-UA"/>
              </w:rPr>
              <w:t>еотримані інвестиції від фізичних та юридичних осіб.</w:t>
            </w:r>
          </w:p>
          <w:p w:rsidR="00D944C8" w:rsidRPr="00163B46" w:rsidRDefault="00D103C6" w:rsidP="00163B46">
            <w:pPr>
              <w:jc w:val="both"/>
              <w:rPr>
                <w:sz w:val="24"/>
                <w:szCs w:val="24"/>
                <w:lang w:val="uk-UA"/>
              </w:rPr>
            </w:pPr>
            <w:r>
              <w:rPr>
                <w:sz w:val="24"/>
                <w:szCs w:val="24"/>
                <w:lang w:val="uk-UA"/>
              </w:rPr>
              <w:t>2</w:t>
            </w:r>
            <w:r w:rsidR="00D944C8" w:rsidRPr="00163B46">
              <w:rPr>
                <w:sz w:val="24"/>
                <w:szCs w:val="24"/>
                <w:lang w:val="uk-UA"/>
              </w:rPr>
              <w:t xml:space="preserve">. </w:t>
            </w:r>
            <w:r>
              <w:rPr>
                <w:sz w:val="24"/>
                <w:szCs w:val="24"/>
                <w:lang w:val="uk-UA"/>
              </w:rPr>
              <w:t>Погіршення іміджу України на міжнародній арені</w:t>
            </w:r>
            <w:r w:rsidR="00D944C8" w:rsidRPr="00163B46">
              <w:rPr>
                <w:sz w:val="24"/>
                <w:szCs w:val="24"/>
                <w:lang w:val="uk-UA"/>
              </w:rPr>
              <w:t>.</w:t>
            </w:r>
          </w:p>
          <w:p w:rsidR="00D944C8" w:rsidRPr="00163B46" w:rsidRDefault="00D103C6" w:rsidP="00D103C6">
            <w:pPr>
              <w:jc w:val="both"/>
              <w:rPr>
                <w:sz w:val="24"/>
                <w:szCs w:val="24"/>
                <w:lang w:val="uk-UA"/>
              </w:rPr>
            </w:pPr>
            <w:r>
              <w:rPr>
                <w:sz w:val="24"/>
                <w:szCs w:val="24"/>
                <w:lang w:val="uk-UA"/>
              </w:rPr>
              <w:t>3</w:t>
            </w:r>
            <w:r w:rsidR="00D944C8" w:rsidRPr="00163B46">
              <w:rPr>
                <w:sz w:val="24"/>
                <w:szCs w:val="24"/>
                <w:lang w:val="uk-UA"/>
              </w:rPr>
              <w:t xml:space="preserve">. </w:t>
            </w:r>
            <w:r>
              <w:rPr>
                <w:sz w:val="24"/>
                <w:szCs w:val="24"/>
                <w:lang w:val="uk-UA"/>
              </w:rPr>
              <w:t>Зменшення інвестиційної привабливості ринку цінних паперів.</w:t>
            </w:r>
          </w:p>
        </w:tc>
      </w:tr>
      <w:tr w:rsidR="00D944C8" w:rsidRPr="00163B46" w:rsidTr="00163B46">
        <w:trPr>
          <w:trHeight w:val="115"/>
        </w:trPr>
        <w:tc>
          <w:tcPr>
            <w:tcW w:w="2448" w:type="dxa"/>
            <w:shd w:val="clear" w:color="auto" w:fill="auto"/>
          </w:tcPr>
          <w:p w:rsidR="00D944C8" w:rsidRPr="00163B46" w:rsidRDefault="00633962" w:rsidP="00163B46">
            <w:pPr>
              <w:jc w:val="both"/>
              <w:rPr>
                <w:b/>
                <w:sz w:val="24"/>
                <w:szCs w:val="24"/>
                <w:lang w:val="uk-UA"/>
              </w:rPr>
            </w:pPr>
            <w:r w:rsidRPr="00163B46">
              <w:rPr>
                <w:b/>
                <w:sz w:val="24"/>
                <w:szCs w:val="24"/>
                <w:lang w:val="uk-UA"/>
              </w:rPr>
              <w:t>2. Розробка проекту нормативно-правового акту</w:t>
            </w:r>
          </w:p>
        </w:tc>
        <w:tc>
          <w:tcPr>
            <w:tcW w:w="3312" w:type="dxa"/>
            <w:shd w:val="clear" w:color="auto" w:fill="auto"/>
          </w:tcPr>
          <w:p w:rsidR="0068573D" w:rsidRDefault="00D944C8" w:rsidP="00D103C6">
            <w:pPr>
              <w:ind w:firstLine="41"/>
              <w:jc w:val="both"/>
              <w:rPr>
                <w:sz w:val="24"/>
                <w:szCs w:val="24"/>
              </w:rPr>
            </w:pPr>
            <w:r w:rsidRPr="00163B46">
              <w:rPr>
                <w:sz w:val="24"/>
                <w:szCs w:val="24"/>
              </w:rPr>
              <w:t>1.</w:t>
            </w:r>
            <w:r w:rsidR="0068573D">
              <w:rPr>
                <w:sz w:val="24"/>
                <w:szCs w:val="24"/>
                <w:lang w:val="uk-UA"/>
              </w:rPr>
              <w:t xml:space="preserve"> Збільшення кількості цінних паперів у біржовому списку.</w:t>
            </w:r>
            <w:r w:rsidRPr="00163B46">
              <w:rPr>
                <w:sz w:val="24"/>
                <w:szCs w:val="24"/>
              </w:rPr>
              <w:t xml:space="preserve"> </w:t>
            </w:r>
          </w:p>
          <w:p w:rsidR="000A1BFD" w:rsidRPr="000A1BFD" w:rsidRDefault="0068573D" w:rsidP="00D103C6">
            <w:pPr>
              <w:ind w:firstLine="41"/>
              <w:jc w:val="both"/>
              <w:rPr>
                <w:sz w:val="24"/>
                <w:lang w:val="uk-UA"/>
              </w:rPr>
            </w:pPr>
            <w:r>
              <w:rPr>
                <w:sz w:val="24"/>
                <w:szCs w:val="24"/>
                <w:lang w:val="uk-UA"/>
              </w:rPr>
              <w:t xml:space="preserve">2. </w:t>
            </w:r>
            <w:r w:rsidR="00D103C6">
              <w:rPr>
                <w:sz w:val="24"/>
                <w:lang w:val="uk-UA"/>
              </w:rPr>
              <w:t>Привернення уваги інвесторів та збільшення притоку інвестицій в цінні папери, щодо яких не здійснювалась публічна пропозиція</w:t>
            </w:r>
            <w:r w:rsidR="000A1BFD" w:rsidRPr="000A1BFD">
              <w:rPr>
                <w:sz w:val="24"/>
                <w:lang w:val="uk-UA"/>
              </w:rPr>
              <w:t xml:space="preserve">. </w:t>
            </w:r>
          </w:p>
          <w:p w:rsidR="009F2CF7" w:rsidRPr="00163B46" w:rsidRDefault="0068573D" w:rsidP="00D103C6">
            <w:pPr>
              <w:ind w:firstLine="41"/>
              <w:jc w:val="both"/>
              <w:rPr>
                <w:sz w:val="24"/>
                <w:szCs w:val="24"/>
                <w:lang w:val="uk-UA"/>
              </w:rPr>
            </w:pPr>
            <w:r>
              <w:rPr>
                <w:sz w:val="24"/>
                <w:lang w:val="uk-UA"/>
              </w:rPr>
              <w:t>3</w:t>
            </w:r>
            <w:r w:rsidR="000A1BFD" w:rsidRPr="000A1BFD">
              <w:rPr>
                <w:sz w:val="24"/>
                <w:lang w:val="uk-UA"/>
              </w:rPr>
              <w:t xml:space="preserve">. </w:t>
            </w:r>
            <w:r w:rsidR="00D103C6">
              <w:rPr>
                <w:sz w:val="24"/>
                <w:szCs w:val="24"/>
                <w:lang w:val="uk-UA"/>
              </w:rPr>
              <w:t>Покращення іміджу України на міжнародній арені</w:t>
            </w:r>
            <w:r w:rsidR="009F2CF7" w:rsidRPr="00163B46">
              <w:rPr>
                <w:sz w:val="24"/>
                <w:szCs w:val="24"/>
                <w:lang w:val="uk-UA"/>
              </w:rPr>
              <w:t>.</w:t>
            </w:r>
          </w:p>
          <w:p w:rsidR="00D944C8" w:rsidRPr="00163B46" w:rsidRDefault="0068573D" w:rsidP="0033159C">
            <w:pPr>
              <w:pStyle w:val="a4"/>
              <w:rPr>
                <w:b w:val="0"/>
                <w:sz w:val="24"/>
              </w:rPr>
            </w:pPr>
            <w:r>
              <w:rPr>
                <w:b w:val="0"/>
                <w:sz w:val="24"/>
              </w:rPr>
              <w:t>4</w:t>
            </w:r>
            <w:r w:rsidR="00A609B7">
              <w:rPr>
                <w:b w:val="0"/>
                <w:sz w:val="24"/>
              </w:rPr>
              <w:t xml:space="preserve">. </w:t>
            </w:r>
            <w:r w:rsidR="0033159C" w:rsidRPr="0033159C">
              <w:rPr>
                <w:b w:val="0"/>
                <w:sz w:val="24"/>
              </w:rPr>
              <w:t>З</w:t>
            </w:r>
            <w:r w:rsidR="0033159C">
              <w:rPr>
                <w:b w:val="0"/>
                <w:sz w:val="24"/>
              </w:rPr>
              <w:t>біль</w:t>
            </w:r>
            <w:r w:rsidR="0033159C" w:rsidRPr="0033159C">
              <w:rPr>
                <w:b w:val="0"/>
                <w:sz w:val="24"/>
              </w:rPr>
              <w:t>шення інвестиційної привабливості ринку цінних паперів</w:t>
            </w:r>
            <w:r w:rsidR="00A609B7" w:rsidRPr="0033159C">
              <w:rPr>
                <w:b w:val="0"/>
                <w:sz w:val="24"/>
              </w:rPr>
              <w:t>.</w:t>
            </w:r>
          </w:p>
        </w:tc>
        <w:tc>
          <w:tcPr>
            <w:tcW w:w="3960" w:type="dxa"/>
            <w:shd w:val="clear" w:color="auto" w:fill="auto"/>
          </w:tcPr>
          <w:p w:rsidR="005B4DCC" w:rsidRPr="00163B46" w:rsidRDefault="009F2CF7" w:rsidP="00163B46">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Відсутні</w:t>
            </w:r>
          </w:p>
          <w:p w:rsidR="00D944C8" w:rsidRPr="00163B46" w:rsidRDefault="00D944C8" w:rsidP="00163B46">
            <w:pPr>
              <w:pStyle w:val="a4"/>
              <w:ind w:firstLine="324"/>
              <w:rPr>
                <w:b w:val="0"/>
                <w:sz w:val="24"/>
              </w:rPr>
            </w:pPr>
          </w:p>
        </w:tc>
      </w:tr>
    </w:tbl>
    <w:p w:rsidR="00E56BFB" w:rsidRPr="005A54EA" w:rsidRDefault="00E56BFB" w:rsidP="00E56BFB">
      <w:pPr>
        <w:rPr>
          <w:lang w:val="uk-UA"/>
        </w:rPr>
      </w:pPr>
    </w:p>
    <w:p w:rsidR="00E56BFB" w:rsidRPr="005A54EA" w:rsidRDefault="00E56BFB" w:rsidP="00E56BFB">
      <w:pPr>
        <w:ind w:firstLine="720"/>
        <w:jc w:val="both"/>
        <w:rPr>
          <w:sz w:val="28"/>
          <w:szCs w:val="28"/>
          <w:u w:val="single"/>
          <w:lang w:val="uk-UA"/>
        </w:rPr>
      </w:pPr>
      <w:r w:rsidRPr="002E6C53">
        <w:rPr>
          <w:sz w:val="28"/>
          <w:szCs w:val="28"/>
          <w:u w:val="single"/>
          <w:lang w:val="uk-UA"/>
        </w:rPr>
        <w:t>Оцінка впливу на сферу інтересів громадян</w:t>
      </w:r>
      <w:r w:rsidR="00EA0933" w:rsidRPr="002E6C53">
        <w:rPr>
          <w:sz w:val="28"/>
          <w:szCs w:val="28"/>
          <w:u w:val="single"/>
          <w:lang w:val="uk-UA"/>
        </w:rPr>
        <w:t xml:space="preserve"> (інвесторів)</w:t>
      </w:r>
    </w:p>
    <w:p w:rsidR="00E56BFB" w:rsidRPr="005A54EA" w:rsidRDefault="00E56BFB" w:rsidP="00E56BFB">
      <w:pPr>
        <w:ind w:firstLine="720"/>
        <w:jc w:val="both"/>
        <w:rPr>
          <w:sz w:val="28"/>
          <w:szCs w:val="28"/>
          <w:u w:val="single"/>
          <w:lang w:val="uk-UA"/>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780"/>
        <w:gridCol w:w="4212"/>
      </w:tblGrid>
      <w:tr w:rsidR="00E56BFB" w:rsidRPr="00163B46" w:rsidTr="00163B46">
        <w:tc>
          <w:tcPr>
            <w:tcW w:w="2448" w:type="dxa"/>
            <w:shd w:val="clear" w:color="auto" w:fill="auto"/>
          </w:tcPr>
          <w:p w:rsidR="00E56BFB" w:rsidRPr="00163B46" w:rsidRDefault="00E56BFB" w:rsidP="00163B46">
            <w:pPr>
              <w:jc w:val="center"/>
              <w:rPr>
                <w:sz w:val="28"/>
                <w:szCs w:val="28"/>
                <w:lang w:val="uk-UA"/>
              </w:rPr>
            </w:pPr>
            <w:r w:rsidRPr="00163B46">
              <w:rPr>
                <w:b/>
                <w:sz w:val="24"/>
                <w:szCs w:val="24"/>
                <w:lang w:val="uk-UA"/>
              </w:rPr>
              <w:t>Вид альтернативи</w:t>
            </w:r>
          </w:p>
        </w:tc>
        <w:tc>
          <w:tcPr>
            <w:tcW w:w="3780" w:type="dxa"/>
            <w:shd w:val="clear" w:color="auto" w:fill="auto"/>
          </w:tcPr>
          <w:p w:rsidR="00E56BFB" w:rsidRPr="00163B46" w:rsidRDefault="00E56BFB" w:rsidP="00163B46">
            <w:pPr>
              <w:jc w:val="center"/>
              <w:rPr>
                <w:b/>
                <w:sz w:val="24"/>
                <w:szCs w:val="24"/>
                <w:lang w:val="uk-UA"/>
              </w:rPr>
            </w:pPr>
            <w:r w:rsidRPr="00163B46">
              <w:rPr>
                <w:b/>
                <w:sz w:val="24"/>
                <w:szCs w:val="24"/>
                <w:lang w:val="uk-UA"/>
              </w:rPr>
              <w:t>Вигоди</w:t>
            </w:r>
          </w:p>
        </w:tc>
        <w:tc>
          <w:tcPr>
            <w:tcW w:w="4212" w:type="dxa"/>
            <w:shd w:val="clear" w:color="auto" w:fill="auto"/>
          </w:tcPr>
          <w:p w:rsidR="00E56BFB" w:rsidRPr="00163B46" w:rsidRDefault="00E56BFB" w:rsidP="00163B46">
            <w:pPr>
              <w:jc w:val="center"/>
              <w:rPr>
                <w:b/>
                <w:sz w:val="24"/>
                <w:szCs w:val="24"/>
                <w:lang w:val="uk-UA"/>
              </w:rPr>
            </w:pPr>
            <w:r w:rsidRPr="00163B46">
              <w:rPr>
                <w:b/>
                <w:sz w:val="24"/>
                <w:szCs w:val="24"/>
                <w:lang w:val="uk-UA"/>
              </w:rPr>
              <w:t>Витрати</w:t>
            </w:r>
          </w:p>
        </w:tc>
      </w:tr>
      <w:tr w:rsidR="00D944C8" w:rsidRPr="00163B46" w:rsidTr="00163B46">
        <w:tc>
          <w:tcPr>
            <w:tcW w:w="2448" w:type="dxa"/>
            <w:shd w:val="clear" w:color="auto" w:fill="auto"/>
          </w:tcPr>
          <w:p w:rsidR="00D944C8" w:rsidRPr="00163B46" w:rsidRDefault="00633962" w:rsidP="00163B46">
            <w:pPr>
              <w:jc w:val="both"/>
              <w:rPr>
                <w:b/>
                <w:lang w:val="uk-UA"/>
              </w:rPr>
            </w:pPr>
            <w:r w:rsidRPr="00163B46">
              <w:rPr>
                <w:b/>
                <w:sz w:val="24"/>
                <w:szCs w:val="24"/>
                <w:lang w:val="uk-UA"/>
              </w:rPr>
              <w:t>1. Відсутність регулювання</w:t>
            </w:r>
          </w:p>
        </w:tc>
        <w:tc>
          <w:tcPr>
            <w:tcW w:w="3780" w:type="dxa"/>
            <w:shd w:val="clear" w:color="auto" w:fill="auto"/>
          </w:tcPr>
          <w:p w:rsidR="00D944C8" w:rsidRPr="00163B46" w:rsidRDefault="00D944C8" w:rsidP="00163B46">
            <w:pPr>
              <w:jc w:val="both"/>
              <w:rPr>
                <w:sz w:val="24"/>
                <w:szCs w:val="24"/>
                <w:lang w:val="uk-UA"/>
              </w:rPr>
            </w:pPr>
            <w:r w:rsidRPr="00163B46">
              <w:rPr>
                <w:sz w:val="24"/>
                <w:lang w:val="uk-UA"/>
              </w:rPr>
              <w:t>Відсутні</w:t>
            </w:r>
          </w:p>
        </w:tc>
        <w:tc>
          <w:tcPr>
            <w:tcW w:w="4212" w:type="dxa"/>
            <w:shd w:val="clear" w:color="auto" w:fill="auto"/>
          </w:tcPr>
          <w:p w:rsidR="00D944C8" w:rsidRDefault="00A609B7" w:rsidP="00A609B7">
            <w:pPr>
              <w:jc w:val="both"/>
              <w:rPr>
                <w:color w:val="000000"/>
                <w:sz w:val="24"/>
                <w:lang w:val="uk-UA"/>
              </w:rPr>
            </w:pPr>
            <w:r>
              <w:rPr>
                <w:sz w:val="24"/>
                <w:lang w:val="uk-UA"/>
              </w:rPr>
              <w:t xml:space="preserve">1. Втрата можливості купувати/продавати цінні папери, щодо яких не </w:t>
            </w:r>
            <w:r w:rsidRPr="00A609B7">
              <w:rPr>
                <w:color w:val="000000"/>
                <w:sz w:val="24"/>
                <w:lang w:val="uk-UA"/>
              </w:rPr>
              <w:t>здійснювалася публічна пропозиція</w:t>
            </w:r>
            <w:r>
              <w:rPr>
                <w:color w:val="000000"/>
                <w:sz w:val="24"/>
                <w:lang w:val="uk-UA"/>
              </w:rPr>
              <w:t>, за ринковими цінами.</w:t>
            </w:r>
          </w:p>
          <w:p w:rsidR="00A609B7" w:rsidRPr="00A609B7" w:rsidRDefault="00A609B7" w:rsidP="00A609B7">
            <w:pPr>
              <w:jc w:val="both"/>
              <w:rPr>
                <w:sz w:val="24"/>
                <w:szCs w:val="24"/>
                <w:lang w:val="uk-UA"/>
              </w:rPr>
            </w:pPr>
            <w:r>
              <w:rPr>
                <w:sz w:val="24"/>
                <w:szCs w:val="24"/>
                <w:lang w:val="uk-UA"/>
              </w:rPr>
              <w:t>2. Відсутність інформації на фондовому ринку щодо емітентів, які здійснили публічну пропозицію на фондовій біржі</w:t>
            </w:r>
            <w:r w:rsidR="006B6203">
              <w:rPr>
                <w:sz w:val="24"/>
                <w:szCs w:val="24"/>
                <w:lang w:val="uk-UA"/>
              </w:rPr>
              <w:t>, що загрожує відсутністю можливості інвесторам управляти ризиками, пов’язаними з купівлею-продажом зазначених  цінних паперів на фондових біржах, та приймати відповідні управлінські рішення щодо отримання прибутку</w:t>
            </w:r>
            <w:r>
              <w:rPr>
                <w:sz w:val="24"/>
                <w:szCs w:val="24"/>
                <w:lang w:val="uk-UA"/>
              </w:rPr>
              <w:t>.</w:t>
            </w:r>
          </w:p>
        </w:tc>
      </w:tr>
      <w:tr w:rsidR="00D944C8" w:rsidRPr="00163B46" w:rsidTr="00163B46">
        <w:trPr>
          <w:trHeight w:val="115"/>
        </w:trPr>
        <w:tc>
          <w:tcPr>
            <w:tcW w:w="2448" w:type="dxa"/>
            <w:shd w:val="clear" w:color="auto" w:fill="auto"/>
          </w:tcPr>
          <w:p w:rsidR="00D944C8" w:rsidRPr="00163B46" w:rsidRDefault="00633962" w:rsidP="00163B46">
            <w:pPr>
              <w:jc w:val="both"/>
              <w:rPr>
                <w:b/>
                <w:sz w:val="24"/>
                <w:szCs w:val="24"/>
                <w:lang w:val="uk-UA"/>
              </w:rPr>
            </w:pPr>
            <w:r w:rsidRPr="00163B46">
              <w:rPr>
                <w:b/>
                <w:sz w:val="24"/>
                <w:szCs w:val="24"/>
                <w:lang w:val="uk-UA"/>
              </w:rPr>
              <w:t>2. Розробка проекту нормативно-правового акту</w:t>
            </w:r>
          </w:p>
        </w:tc>
        <w:tc>
          <w:tcPr>
            <w:tcW w:w="3780" w:type="dxa"/>
            <w:shd w:val="clear" w:color="auto" w:fill="auto"/>
          </w:tcPr>
          <w:p w:rsidR="00C60B17" w:rsidRDefault="000A1552" w:rsidP="00BE1EC3">
            <w:pPr>
              <w:pStyle w:val="a4"/>
              <w:rPr>
                <w:b w:val="0"/>
                <w:sz w:val="24"/>
              </w:rPr>
            </w:pPr>
            <w:r>
              <w:rPr>
                <w:b w:val="0"/>
                <w:sz w:val="24"/>
              </w:rPr>
              <w:t xml:space="preserve">1. </w:t>
            </w:r>
            <w:r w:rsidR="00BE1EC3">
              <w:rPr>
                <w:b w:val="0"/>
                <w:sz w:val="24"/>
              </w:rPr>
              <w:t xml:space="preserve">Законодавчо врегульований порядок обігу </w:t>
            </w:r>
            <w:r w:rsidR="00BE1EC3" w:rsidRPr="009F2CF7">
              <w:rPr>
                <w:b w:val="0"/>
                <w:color w:val="000000"/>
                <w:sz w:val="24"/>
              </w:rPr>
              <w:t>цінних паперів, щодо яких не здійснювалася публічна пропозиція</w:t>
            </w:r>
            <w:r w:rsidR="00BE1EC3">
              <w:rPr>
                <w:b w:val="0"/>
                <w:color w:val="000000"/>
                <w:sz w:val="24"/>
              </w:rPr>
              <w:t>,</w:t>
            </w:r>
            <w:r w:rsidR="00BE1EC3" w:rsidRPr="009F2CF7">
              <w:rPr>
                <w:b w:val="0"/>
                <w:bCs w:val="0"/>
                <w:iCs/>
                <w:sz w:val="24"/>
              </w:rPr>
              <w:t xml:space="preserve"> </w:t>
            </w:r>
            <w:r w:rsidR="00BE1EC3" w:rsidRPr="00163B46">
              <w:rPr>
                <w:b w:val="0"/>
                <w:bCs w:val="0"/>
                <w:iCs/>
                <w:sz w:val="24"/>
              </w:rPr>
              <w:t>на фондовій біржі</w:t>
            </w:r>
            <w:r w:rsidR="00BE1EC3" w:rsidRPr="00163B46">
              <w:rPr>
                <w:b w:val="0"/>
                <w:sz w:val="24"/>
              </w:rPr>
              <w:t>.</w:t>
            </w:r>
          </w:p>
          <w:p w:rsidR="000A1552" w:rsidRPr="00CC0903" w:rsidRDefault="000A1552" w:rsidP="000A1552">
            <w:pPr>
              <w:pStyle w:val="a5"/>
              <w:ind w:firstLine="0"/>
              <w:jc w:val="both"/>
            </w:pPr>
            <w:r w:rsidRPr="000A1552">
              <w:lastRenderedPageBreak/>
              <w:t>2.</w:t>
            </w:r>
            <w:r>
              <w:rPr>
                <w:b/>
              </w:rPr>
              <w:t xml:space="preserve"> </w:t>
            </w:r>
            <w:r w:rsidRPr="00CC0903">
              <w:t xml:space="preserve">Захист прав власників цінних паперів, </w:t>
            </w:r>
            <w:r w:rsidRPr="00CC0903">
              <w:rPr>
                <w:bCs/>
              </w:rPr>
              <w:t>які перебувають в обігу на фондових біржах</w:t>
            </w:r>
            <w:r>
              <w:rPr>
                <w:bCs/>
              </w:rPr>
              <w:t>, та щодо</w:t>
            </w:r>
            <w:r>
              <w:t xml:space="preserve"> яких не </w:t>
            </w:r>
            <w:r w:rsidRPr="00A609B7">
              <w:rPr>
                <w:color w:val="000000"/>
              </w:rPr>
              <w:t>здійснювалася публічна пропозиція</w:t>
            </w:r>
            <w:r w:rsidRPr="00CC0903">
              <w:rPr>
                <w:bCs/>
              </w:rPr>
              <w:t>.</w:t>
            </w:r>
            <w:r w:rsidRPr="00CC0903">
              <w:t xml:space="preserve"> </w:t>
            </w:r>
          </w:p>
          <w:p w:rsidR="000A1552" w:rsidRPr="00163B46" w:rsidRDefault="000A1552" w:rsidP="000A1552">
            <w:pPr>
              <w:pStyle w:val="a4"/>
              <w:rPr>
                <w:rFonts w:cs="Arial"/>
                <w:b w:val="0"/>
                <w:iCs/>
                <w:color w:val="000000"/>
                <w:sz w:val="24"/>
              </w:rPr>
            </w:pPr>
            <w:r>
              <w:rPr>
                <w:b w:val="0"/>
                <w:sz w:val="24"/>
              </w:rPr>
              <w:t>3</w:t>
            </w:r>
            <w:r w:rsidRPr="00CC0903">
              <w:rPr>
                <w:b w:val="0"/>
                <w:sz w:val="24"/>
              </w:rPr>
              <w:t xml:space="preserve">. Можливість управляти ризиками, пов’язаними з купівлею-продажем </w:t>
            </w:r>
            <w:r>
              <w:rPr>
                <w:b w:val="0"/>
                <w:sz w:val="24"/>
              </w:rPr>
              <w:t xml:space="preserve">зазначених вище </w:t>
            </w:r>
            <w:r w:rsidRPr="00CC0903">
              <w:rPr>
                <w:b w:val="0"/>
                <w:sz w:val="24"/>
              </w:rPr>
              <w:t>цінних паперів на фондових біржах, та приймати відповідні рішення щодо отримання прибутку.</w:t>
            </w:r>
          </w:p>
        </w:tc>
        <w:tc>
          <w:tcPr>
            <w:tcW w:w="4212" w:type="dxa"/>
            <w:shd w:val="clear" w:color="auto" w:fill="auto"/>
          </w:tcPr>
          <w:p w:rsidR="00D944C8" w:rsidRPr="00163B46" w:rsidRDefault="00D944C8" w:rsidP="00163B46">
            <w:pPr>
              <w:pStyle w:val="a4"/>
              <w:jc w:val="left"/>
              <w:rPr>
                <w:b w:val="0"/>
                <w:sz w:val="24"/>
              </w:rPr>
            </w:pPr>
            <w:r w:rsidRPr="00163B46">
              <w:rPr>
                <w:b w:val="0"/>
                <w:sz w:val="24"/>
              </w:rPr>
              <w:lastRenderedPageBreak/>
              <w:t xml:space="preserve">Відсутні </w:t>
            </w:r>
          </w:p>
        </w:tc>
      </w:tr>
    </w:tbl>
    <w:p w:rsidR="00E56BFB" w:rsidRPr="005A54EA" w:rsidRDefault="00E56BFB" w:rsidP="00E56BFB">
      <w:pPr>
        <w:rPr>
          <w:lang w:val="uk-UA"/>
        </w:rPr>
      </w:pPr>
    </w:p>
    <w:p w:rsidR="00E56BFB" w:rsidRPr="005A54EA" w:rsidRDefault="00E56BFB" w:rsidP="00E56BFB">
      <w:pPr>
        <w:ind w:firstLine="720"/>
        <w:jc w:val="both"/>
        <w:rPr>
          <w:sz w:val="28"/>
          <w:szCs w:val="28"/>
          <w:u w:val="single"/>
          <w:lang w:val="uk-UA"/>
        </w:rPr>
      </w:pPr>
      <w:r w:rsidRPr="000C1028">
        <w:rPr>
          <w:sz w:val="28"/>
          <w:szCs w:val="28"/>
          <w:u w:val="single"/>
          <w:lang w:val="uk-UA"/>
        </w:rPr>
        <w:t>Оцінка впливу на сферу інтересів суб’єктів господарювання</w:t>
      </w:r>
    </w:p>
    <w:p w:rsidR="00781B54" w:rsidRPr="000A1552" w:rsidRDefault="00781B54" w:rsidP="00E56BFB">
      <w:pPr>
        <w:rPr>
          <w:sz w:val="28"/>
          <w:szCs w:val="28"/>
          <w:lang w:val="uk-UA"/>
        </w:rPr>
      </w:pPr>
    </w:p>
    <w:p w:rsidR="00E56BFB" w:rsidRPr="008D30A2" w:rsidRDefault="00E56BFB" w:rsidP="008D30A2">
      <w:pPr>
        <w:ind w:firstLine="567"/>
        <w:jc w:val="both"/>
        <w:rPr>
          <w:sz w:val="28"/>
          <w:szCs w:val="28"/>
          <w:lang w:val="uk-UA"/>
        </w:rPr>
      </w:pPr>
      <w:r w:rsidRPr="005A54EA">
        <w:rPr>
          <w:sz w:val="28"/>
          <w:szCs w:val="28"/>
          <w:lang w:val="uk-UA"/>
        </w:rPr>
        <w:t xml:space="preserve">Під дію регулювання підпадають </w:t>
      </w:r>
      <w:r w:rsidR="008D30A2">
        <w:rPr>
          <w:sz w:val="28"/>
          <w:szCs w:val="28"/>
          <w:lang w:val="uk-UA"/>
        </w:rPr>
        <w:t>організатори торгівлі</w:t>
      </w:r>
      <w:r w:rsidRPr="005A54EA">
        <w:rPr>
          <w:sz w:val="28"/>
          <w:szCs w:val="28"/>
          <w:lang w:val="uk-UA"/>
        </w:rPr>
        <w:t>.</w:t>
      </w:r>
      <w:r w:rsidR="000A1552">
        <w:rPr>
          <w:sz w:val="28"/>
          <w:szCs w:val="28"/>
          <w:lang w:val="uk-UA"/>
        </w:rPr>
        <w:t xml:space="preserve"> </w:t>
      </w:r>
      <w:r w:rsidR="008D30A2" w:rsidRPr="008D30A2">
        <w:rPr>
          <w:sz w:val="28"/>
          <w:szCs w:val="28"/>
          <w:lang w:val="uk-UA" w:eastAsia="uk-UA"/>
        </w:rPr>
        <w:t>Станом на 31.12.2018, на фондовому ринку ліцензії на провадження професійної діяльності на фондовому ринку – діяльності з організації торгівлі на фондовому ринку мали 5 фондових бірж.</w:t>
      </w:r>
    </w:p>
    <w:p w:rsidR="008D30A2" w:rsidRPr="008D30A2" w:rsidRDefault="008D30A2" w:rsidP="008D30A2">
      <w:pPr>
        <w:ind w:firstLine="567"/>
        <w:jc w:val="both"/>
        <w:rPr>
          <w:sz w:val="28"/>
          <w:szCs w:val="28"/>
          <w:lang w:val="uk-UA"/>
        </w:rPr>
      </w:pPr>
      <w:r>
        <w:rPr>
          <w:sz w:val="28"/>
          <w:szCs w:val="28"/>
          <w:lang w:val="uk-UA"/>
        </w:rPr>
        <w:t xml:space="preserve">Також дія даного регуляторного акта стосується учасників торгів -  торговців цінними паперами. </w:t>
      </w:r>
      <w:r w:rsidRPr="008D30A2">
        <w:rPr>
          <w:sz w:val="28"/>
          <w:szCs w:val="28"/>
          <w:lang w:val="uk-UA"/>
        </w:rPr>
        <w:t>Загальна кількість професійних учасників фондового ринку (ринку цінних паперів), які мали станом на 31.12.2018 ліцензії на провадження професійної діяльності на фондовому ринку</w:t>
      </w:r>
      <w:r w:rsidR="00433AD1">
        <w:rPr>
          <w:sz w:val="28"/>
          <w:szCs w:val="28"/>
          <w:lang w:val="uk-UA"/>
        </w:rPr>
        <w:t xml:space="preserve"> </w:t>
      </w:r>
      <w:r w:rsidRPr="008D30A2">
        <w:rPr>
          <w:sz w:val="28"/>
          <w:szCs w:val="28"/>
          <w:lang w:val="uk-UA"/>
        </w:rPr>
        <w:t>−</w:t>
      </w:r>
      <w:r w:rsidR="00433AD1">
        <w:rPr>
          <w:sz w:val="28"/>
          <w:szCs w:val="28"/>
          <w:lang w:val="uk-UA"/>
        </w:rPr>
        <w:t xml:space="preserve"> </w:t>
      </w:r>
      <w:r w:rsidRPr="008D30A2">
        <w:rPr>
          <w:sz w:val="28"/>
          <w:szCs w:val="28"/>
          <w:lang w:val="uk-UA"/>
        </w:rPr>
        <w:t xml:space="preserve">діяльності з торгівлі цінними паперами становила 242 юридичні особи. </w:t>
      </w:r>
    </w:p>
    <w:p w:rsidR="007A7918" w:rsidRDefault="007A7918" w:rsidP="007A7918">
      <w:pPr>
        <w:widowControl w:val="0"/>
        <w:ind w:firstLine="720"/>
        <w:jc w:val="both"/>
        <w:rPr>
          <w:rFonts w:ascii="Calibri" w:hAnsi="Calibri"/>
          <w:b/>
          <w:sz w:val="24"/>
          <w:szCs w:val="24"/>
          <w:lang w:val="uk-UA" w:eastAsia="uk-UA"/>
        </w:rPr>
      </w:pPr>
      <w:r w:rsidRPr="007A7918">
        <w:rPr>
          <w:rFonts w:ascii="Calibri" w:hAnsi="Calibri"/>
          <w:b/>
          <w:sz w:val="24"/>
          <w:szCs w:val="24"/>
          <w:lang w:val="uk-UA" w:eastAsia="uk-UA"/>
        </w:rPr>
        <w:t xml:space="preserve">Динаміка кількості суб’єктів, які мають ліцензії на провадження професійної діяльності на фондовому </w:t>
      </w:r>
      <w:r w:rsidR="00895E29">
        <w:rPr>
          <w:rFonts w:ascii="Calibri" w:hAnsi="Calibri"/>
          <w:b/>
          <w:sz w:val="24"/>
          <w:szCs w:val="24"/>
          <w:lang w:val="uk-UA" w:eastAsia="uk-UA"/>
        </w:rPr>
        <w:t>ринку</w:t>
      </w:r>
    </w:p>
    <w:p w:rsidR="007A7918" w:rsidRPr="007A7918" w:rsidRDefault="007A7918" w:rsidP="007A7918">
      <w:pPr>
        <w:widowControl w:val="0"/>
        <w:ind w:firstLine="720"/>
        <w:jc w:val="both"/>
        <w:rPr>
          <w:rFonts w:ascii="Calibri" w:hAnsi="Calibri"/>
          <w:b/>
          <w:sz w:val="24"/>
          <w:szCs w:val="24"/>
          <w:lang w:val="uk-UA" w:eastAsia="uk-UA"/>
        </w:rPr>
      </w:pPr>
    </w:p>
    <w:tbl>
      <w:tblPr>
        <w:tblW w:w="4715" w:type="pct"/>
        <w:jc w:val="center"/>
        <w:tblBorders>
          <w:top w:val="thinThickThinSmallGap" w:sz="12" w:space="0" w:color="2F5496"/>
          <w:left w:val="thinThickThinSmallGap" w:sz="12" w:space="0" w:color="2F5496"/>
          <w:bottom w:val="thinThickThinSmallGap" w:sz="12" w:space="0" w:color="2F5496"/>
          <w:right w:val="thinThickThinSmallGap" w:sz="12" w:space="0" w:color="2F5496"/>
          <w:insideH w:val="thinThickThinSmallGap" w:sz="12" w:space="0" w:color="2F5496"/>
          <w:insideV w:val="thinThickThinSmallGap" w:sz="12" w:space="0" w:color="2F5496"/>
        </w:tblBorders>
        <w:shd w:val="clear" w:color="auto" w:fill="DEEAF6"/>
        <w:tblLook w:val="04A0" w:firstRow="1" w:lastRow="0" w:firstColumn="1" w:lastColumn="0" w:noHBand="0" w:noVBand="1"/>
      </w:tblPr>
      <w:tblGrid>
        <w:gridCol w:w="1917"/>
        <w:gridCol w:w="1056"/>
        <w:gridCol w:w="872"/>
        <w:gridCol w:w="1054"/>
        <w:gridCol w:w="822"/>
        <w:gridCol w:w="1056"/>
        <w:gridCol w:w="730"/>
        <w:gridCol w:w="1056"/>
        <w:gridCol w:w="730"/>
      </w:tblGrid>
      <w:tr w:rsidR="007A7918" w:rsidRPr="007A7918" w:rsidTr="007A7918">
        <w:trPr>
          <w:trHeight w:val="546"/>
          <w:jc w:val="center"/>
        </w:trPr>
        <w:tc>
          <w:tcPr>
            <w:tcW w:w="1031"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Професійні учасники</w:t>
            </w:r>
          </w:p>
        </w:tc>
        <w:tc>
          <w:tcPr>
            <w:tcW w:w="568"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Станом на 31.12.2015</w:t>
            </w:r>
          </w:p>
        </w:tc>
        <w:tc>
          <w:tcPr>
            <w:tcW w:w="469"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Зміна, %</w:t>
            </w:r>
          </w:p>
        </w:tc>
        <w:tc>
          <w:tcPr>
            <w:tcW w:w="567"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Станом на 31.12.2016</w:t>
            </w:r>
          </w:p>
        </w:tc>
        <w:tc>
          <w:tcPr>
            <w:tcW w:w="442"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Зміна, %</w:t>
            </w:r>
          </w:p>
        </w:tc>
        <w:tc>
          <w:tcPr>
            <w:tcW w:w="568"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Станом на 31.12.2017</w:t>
            </w:r>
          </w:p>
        </w:tc>
        <w:tc>
          <w:tcPr>
            <w:tcW w:w="393"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Зміна, %</w:t>
            </w:r>
          </w:p>
        </w:tc>
        <w:tc>
          <w:tcPr>
            <w:tcW w:w="568"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Станом на 31.12.2018</w:t>
            </w:r>
          </w:p>
        </w:tc>
        <w:tc>
          <w:tcPr>
            <w:tcW w:w="393"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Зміна, %</w:t>
            </w:r>
          </w:p>
        </w:tc>
      </w:tr>
      <w:tr w:rsidR="007A7918" w:rsidRPr="007A7918" w:rsidTr="007A7918">
        <w:trPr>
          <w:trHeight w:val="456"/>
          <w:jc w:val="center"/>
        </w:trPr>
        <w:tc>
          <w:tcPr>
            <w:tcW w:w="1031"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Торговці цінними паперами</w:t>
            </w:r>
          </w:p>
        </w:tc>
        <w:tc>
          <w:tcPr>
            <w:tcW w:w="568"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369</w:t>
            </w:r>
          </w:p>
        </w:tc>
        <w:tc>
          <w:tcPr>
            <w:tcW w:w="469"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-20,1%</w:t>
            </w:r>
          </w:p>
        </w:tc>
        <w:tc>
          <w:tcPr>
            <w:tcW w:w="567"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302</w:t>
            </w:r>
          </w:p>
        </w:tc>
        <w:tc>
          <w:tcPr>
            <w:tcW w:w="442"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-18,2%</w:t>
            </w:r>
          </w:p>
        </w:tc>
        <w:tc>
          <w:tcPr>
            <w:tcW w:w="568" w:type="pct"/>
            <w:shd w:val="clear" w:color="auto" w:fill="DEEAF6"/>
            <w:noWrap/>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270</w:t>
            </w:r>
          </w:p>
        </w:tc>
        <w:tc>
          <w:tcPr>
            <w:tcW w:w="393" w:type="pct"/>
            <w:shd w:val="clear" w:color="auto" w:fill="DEEAF6"/>
            <w:noWrap/>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-10,6%</w:t>
            </w:r>
          </w:p>
        </w:tc>
        <w:tc>
          <w:tcPr>
            <w:tcW w:w="568"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242</w:t>
            </w:r>
          </w:p>
        </w:tc>
        <w:tc>
          <w:tcPr>
            <w:tcW w:w="393" w:type="pct"/>
            <w:shd w:val="clear" w:color="auto" w:fill="DEEAF6"/>
            <w:noWrap/>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-10,4%</w:t>
            </w:r>
          </w:p>
        </w:tc>
      </w:tr>
      <w:tr w:rsidR="007A7918" w:rsidRPr="007A7918" w:rsidTr="007A7918">
        <w:trPr>
          <w:trHeight w:val="294"/>
          <w:jc w:val="center"/>
        </w:trPr>
        <w:tc>
          <w:tcPr>
            <w:tcW w:w="1031"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Фондові біржі</w:t>
            </w:r>
          </w:p>
        </w:tc>
        <w:tc>
          <w:tcPr>
            <w:tcW w:w="568"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10</w:t>
            </w:r>
          </w:p>
        </w:tc>
        <w:tc>
          <w:tcPr>
            <w:tcW w:w="469"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0,0%</w:t>
            </w:r>
          </w:p>
        </w:tc>
        <w:tc>
          <w:tcPr>
            <w:tcW w:w="567"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8</w:t>
            </w:r>
          </w:p>
        </w:tc>
        <w:tc>
          <w:tcPr>
            <w:tcW w:w="442"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-20,0%</w:t>
            </w:r>
          </w:p>
        </w:tc>
        <w:tc>
          <w:tcPr>
            <w:tcW w:w="568" w:type="pct"/>
            <w:shd w:val="clear" w:color="auto" w:fill="DEEAF6"/>
            <w:noWrap/>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5</w:t>
            </w:r>
          </w:p>
        </w:tc>
        <w:tc>
          <w:tcPr>
            <w:tcW w:w="393" w:type="pct"/>
            <w:shd w:val="clear" w:color="auto" w:fill="DEEAF6"/>
            <w:noWrap/>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-37,5%</w:t>
            </w:r>
          </w:p>
        </w:tc>
        <w:tc>
          <w:tcPr>
            <w:tcW w:w="568" w:type="pct"/>
            <w:shd w:val="clear" w:color="auto" w:fill="DEEAF6"/>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5</w:t>
            </w:r>
          </w:p>
        </w:tc>
        <w:tc>
          <w:tcPr>
            <w:tcW w:w="393" w:type="pct"/>
            <w:shd w:val="clear" w:color="auto" w:fill="DEEAF6"/>
            <w:noWrap/>
            <w:hideMark/>
          </w:tcPr>
          <w:p w:rsidR="007A7918" w:rsidRPr="007A7918" w:rsidRDefault="007A7918" w:rsidP="007A7918">
            <w:pPr>
              <w:rPr>
                <w:rFonts w:ascii="Calibri" w:hAnsi="Calibri"/>
                <w:sz w:val="18"/>
                <w:szCs w:val="18"/>
                <w:lang w:val="uk-UA" w:eastAsia="uk-UA"/>
              </w:rPr>
            </w:pPr>
            <w:r w:rsidRPr="007A7918">
              <w:rPr>
                <w:rFonts w:ascii="Calibri" w:hAnsi="Calibri"/>
                <w:sz w:val="18"/>
                <w:szCs w:val="18"/>
                <w:lang w:val="uk-UA" w:eastAsia="uk-UA"/>
              </w:rPr>
              <w:t>0,0%</w:t>
            </w:r>
          </w:p>
        </w:tc>
      </w:tr>
    </w:tbl>
    <w:p w:rsidR="00781B54" w:rsidRDefault="00781B54" w:rsidP="00E56BFB">
      <w:pPr>
        <w:rPr>
          <w:sz w:val="28"/>
          <w:szCs w:val="28"/>
          <w:lang w:val="uk-UA"/>
        </w:rPr>
      </w:pPr>
    </w:p>
    <w:p w:rsidR="00851A7D" w:rsidRDefault="00851A7D" w:rsidP="00851A7D">
      <w:pPr>
        <w:ind w:firstLine="567"/>
        <w:jc w:val="both"/>
        <w:rPr>
          <w:sz w:val="28"/>
          <w:szCs w:val="28"/>
          <w:lang w:val="uk-UA"/>
        </w:rPr>
      </w:pPr>
      <w:r>
        <w:rPr>
          <w:sz w:val="28"/>
          <w:szCs w:val="28"/>
          <w:lang w:val="uk-UA"/>
        </w:rPr>
        <w:t xml:space="preserve">Питому вагу впливу встановити не можливо, тому що проблема впливає однаково на всіх суб’єктів. </w:t>
      </w:r>
    </w:p>
    <w:p w:rsidR="00851A7D" w:rsidRPr="005A54EA" w:rsidRDefault="00851A7D" w:rsidP="00851A7D">
      <w:pPr>
        <w:ind w:firstLine="567"/>
        <w:jc w:val="both"/>
        <w:rPr>
          <w:sz w:val="28"/>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063"/>
        <w:gridCol w:w="2693"/>
      </w:tblGrid>
      <w:tr w:rsidR="00055EC5" w:rsidRPr="00163B46" w:rsidTr="00055EC5">
        <w:tc>
          <w:tcPr>
            <w:tcW w:w="3600" w:type="dxa"/>
            <w:shd w:val="clear" w:color="auto" w:fill="auto"/>
          </w:tcPr>
          <w:p w:rsidR="00055EC5" w:rsidRPr="00163B46" w:rsidRDefault="00055EC5" w:rsidP="00957211">
            <w:pPr>
              <w:jc w:val="center"/>
              <w:rPr>
                <w:b/>
                <w:sz w:val="24"/>
                <w:szCs w:val="24"/>
                <w:lang w:val="uk-UA"/>
              </w:rPr>
            </w:pPr>
            <w:r w:rsidRPr="00163B46">
              <w:rPr>
                <w:b/>
                <w:sz w:val="24"/>
                <w:szCs w:val="24"/>
                <w:lang w:val="uk-UA"/>
              </w:rPr>
              <w:t>Показник</w:t>
            </w:r>
          </w:p>
        </w:tc>
        <w:tc>
          <w:tcPr>
            <w:tcW w:w="3063" w:type="dxa"/>
            <w:shd w:val="clear" w:color="auto" w:fill="auto"/>
          </w:tcPr>
          <w:p w:rsidR="00055EC5" w:rsidRPr="00163B46" w:rsidRDefault="00055EC5" w:rsidP="00957211">
            <w:pPr>
              <w:jc w:val="center"/>
              <w:rPr>
                <w:b/>
                <w:sz w:val="24"/>
                <w:szCs w:val="24"/>
                <w:lang w:val="uk-UA"/>
              </w:rPr>
            </w:pPr>
            <w:r w:rsidRPr="00163B46">
              <w:rPr>
                <w:b/>
                <w:sz w:val="24"/>
                <w:szCs w:val="24"/>
                <w:lang w:val="uk-UA"/>
              </w:rPr>
              <w:t>Малі</w:t>
            </w:r>
          </w:p>
        </w:tc>
        <w:tc>
          <w:tcPr>
            <w:tcW w:w="2693" w:type="dxa"/>
            <w:shd w:val="clear" w:color="auto" w:fill="auto"/>
          </w:tcPr>
          <w:p w:rsidR="00055EC5" w:rsidRPr="00163B46" w:rsidRDefault="00055EC5" w:rsidP="00957211">
            <w:pPr>
              <w:jc w:val="center"/>
              <w:rPr>
                <w:b/>
                <w:sz w:val="24"/>
                <w:szCs w:val="24"/>
                <w:lang w:val="uk-UA"/>
              </w:rPr>
            </w:pPr>
            <w:r w:rsidRPr="00163B46">
              <w:rPr>
                <w:b/>
                <w:sz w:val="24"/>
                <w:szCs w:val="24"/>
                <w:lang w:val="uk-UA"/>
              </w:rPr>
              <w:t>Мікро</w:t>
            </w:r>
          </w:p>
        </w:tc>
      </w:tr>
      <w:tr w:rsidR="00055EC5" w:rsidRPr="00163B46" w:rsidTr="00055EC5">
        <w:tc>
          <w:tcPr>
            <w:tcW w:w="3600" w:type="dxa"/>
            <w:shd w:val="clear" w:color="auto" w:fill="auto"/>
          </w:tcPr>
          <w:p w:rsidR="00055EC5" w:rsidRPr="00163B46" w:rsidRDefault="00055EC5" w:rsidP="00957211">
            <w:pPr>
              <w:jc w:val="center"/>
              <w:rPr>
                <w:b/>
                <w:sz w:val="24"/>
                <w:szCs w:val="24"/>
                <w:lang w:val="uk-UA"/>
              </w:rPr>
            </w:pPr>
            <w:r w:rsidRPr="00163B46">
              <w:rPr>
                <w:b/>
                <w:sz w:val="24"/>
                <w:szCs w:val="24"/>
                <w:lang w:val="uk-UA"/>
              </w:rPr>
              <w:t>Кількість суб’єктів господарювання, що підпадають під дію регулювання, одиниць</w:t>
            </w:r>
          </w:p>
        </w:tc>
        <w:tc>
          <w:tcPr>
            <w:tcW w:w="3063" w:type="dxa"/>
            <w:shd w:val="clear" w:color="auto" w:fill="auto"/>
          </w:tcPr>
          <w:p w:rsidR="00055EC5" w:rsidRPr="00163B46" w:rsidRDefault="00055EC5" w:rsidP="00957211">
            <w:pPr>
              <w:jc w:val="center"/>
              <w:rPr>
                <w:sz w:val="28"/>
                <w:szCs w:val="28"/>
                <w:lang w:val="uk-UA"/>
              </w:rPr>
            </w:pPr>
            <w:r w:rsidRPr="00163B46">
              <w:rPr>
                <w:sz w:val="28"/>
                <w:szCs w:val="28"/>
                <w:lang w:val="uk-UA"/>
              </w:rPr>
              <w:t>-</w:t>
            </w:r>
          </w:p>
        </w:tc>
        <w:tc>
          <w:tcPr>
            <w:tcW w:w="2693" w:type="dxa"/>
            <w:shd w:val="clear" w:color="auto" w:fill="auto"/>
          </w:tcPr>
          <w:p w:rsidR="00055EC5" w:rsidRPr="00163B46" w:rsidRDefault="00055EC5" w:rsidP="00957211">
            <w:pPr>
              <w:jc w:val="center"/>
              <w:rPr>
                <w:sz w:val="28"/>
                <w:szCs w:val="28"/>
                <w:lang w:val="uk-UA"/>
              </w:rPr>
            </w:pPr>
            <w:r w:rsidRPr="00163B46">
              <w:rPr>
                <w:sz w:val="28"/>
                <w:szCs w:val="28"/>
                <w:lang w:val="uk-UA"/>
              </w:rPr>
              <w:t>5</w:t>
            </w:r>
          </w:p>
        </w:tc>
      </w:tr>
      <w:tr w:rsidR="00055EC5" w:rsidRPr="00163B46" w:rsidTr="00055EC5">
        <w:trPr>
          <w:trHeight w:val="115"/>
        </w:trPr>
        <w:tc>
          <w:tcPr>
            <w:tcW w:w="3600" w:type="dxa"/>
            <w:shd w:val="clear" w:color="auto" w:fill="auto"/>
          </w:tcPr>
          <w:p w:rsidR="00055EC5" w:rsidRPr="00163B46" w:rsidRDefault="00055EC5" w:rsidP="00957211">
            <w:pPr>
              <w:jc w:val="center"/>
              <w:rPr>
                <w:b/>
                <w:sz w:val="24"/>
                <w:szCs w:val="24"/>
                <w:lang w:val="uk-UA"/>
              </w:rPr>
            </w:pPr>
            <w:r w:rsidRPr="00163B46">
              <w:rPr>
                <w:b/>
                <w:sz w:val="24"/>
                <w:szCs w:val="24"/>
                <w:lang w:val="uk-UA"/>
              </w:rPr>
              <w:t>Питома вага групи у загальній кількості, відсотків</w:t>
            </w:r>
          </w:p>
        </w:tc>
        <w:tc>
          <w:tcPr>
            <w:tcW w:w="3063" w:type="dxa"/>
            <w:shd w:val="clear" w:color="auto" w:fill="auto"/>
          </w:tcPr>
          <w:p w:rsidR="00055EC5" w:rsidRPr="00163B46" w:rsidRDefault="00055EC5" w:rsidP="00957211">
            <w:pPr>
              <w:jc w:val="center"/>
              <w:rPr>
                <w:sz w:val="28"/>
                <w:szCs w:val="28"/>
                <w:lang w:val="uk-UA"/>
              </w:rPr>
            </w:pPr>
            <w:r w:rsidRPr="00163B46">
              <w:rPr>
                <w:sz w:val="28"/>
                <w:szCs w:val="28"/>
                <w:lang w:val="uk-UA"/>
              </w:rPr>
              <w:t>-</w:t>
            </w:r>
          </w:p>
        </w:tc>
        <w:tc>
          <w:tcPr>
            <w:tcW w:w="2693" w:type="dxa"/>
            <w:shd w:val="clear" w:color="auto" w:fill="auto"/>
          </w:tcPr>
          <w:p w:rsidR="00055EC5" w:rsidRPr="00163B46" w:rsidRDefault="00055EC5" w:rsidP="00957211">
            <w:pPr>
              <w:jc w:val="center"/>
              <w:rPr>
                <w:sz w:val="28"/>
                <w:szCs w:val="28"/>
                <w:lang w:val="uk-UA"/>
              </w:rPr>
            </w:pPr>
            <w:r w:rsidRPr="00163B46">
              <w:rPr>
                <w:sz w:val="28"/>
                <w:szCs w:val="28"/>
                <w:lang w:val="uk-UA"/>
              </w:rPr>
              <w:t>100%</w:t>
            </w:r>
          </w:p>
        </w:tc>
      </w:tr>
    </w:tbl>
    <w:p w:rsidR="009D7F3B" w:rsidRDefault="009D7F3B" w:rsidP="00E56BFB">
      <w:pPr>
        <w:rPr>
          <w:sz w:val="16"/>
          <w:szCs w:val="16"/>
        </w:rPr>
      </w:pPr>
    </w:p>
    <w:p w:rsidR="0080611E" w:rsidRDefault="0080611E" w:rsidP="00E56BFB">
      <w:pPr>
        <w:rPr>
          <w:sz w:val="16"/>
          <w:szCs w:val="16"/>
        </w:rPr>
      </w:pPr>
    </w:p>
    <w:p w:rsidR="00974A1C" w:rsidRDefault="00974A1C" w:rsidP="00E56BFB">
      <w:pPr>
        <w:rPr>
          <w:sz w:val="16"/>
          <w:szCs w:val="16"/>
        </w:rPr>
      </w:pPr>
    </w:p>
    <w:p w:rsidR="00974A1C" w:rsidRDefault="00974A1C" w:rsidP="00E56BFB">
      <w:pPr>
        <w:rPr>
          <w:sz w:val="16"/>
          <w:szCs w:val="16"/>
        </w:rPr>
      </w:pPr>
    </w:p>
    <w:p w:rsidR="00974A1C" w:rsidRDefault="00974A1C" w:rsidP="00E56BFB">
      <w:pPr>
        <w:rPr>
          <w:sz w:val="16"/>
          <w:szCs w:val="16"/>
        </w:rPr>
      </w:pPr>
    </w:p>
    <w:p w:rsidR="0080611E" w:rsidRPr="00851A7D" w:rsidRDefault="0080611E" w:rsidP="00E56BFB">
      <w:pPr>
        <w:rPr>
          <w:sz w:val="16"/>
          <w:szCs w:val="16"/>
        </w:rPr>
      </w:pPr>
    </w:p>
    <w:p w:rsidR="00781B54" w:rsidRPr="005A54EA" w:rsidRDefault="00781B54" w:rsidP="00E56BFB">
      <w:pPr>
        <w:rPr>
          <w:sz w:val="16"/>
          <w:szCs w:val="16"/>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2657"/>
        <w:gridCol w:w="5103"/>
      </w:tblGrid>
      <w:tr w:rsidR="00E56BFB" w:rsidRPr="00163B46" w:rsidTr="00F33901">
        <w:trPr>
          <w:trHeight w:val="435"/>
        </w:trPr>
        <w:tc>
          <w:tcPr>
            <w:tcW w:w="1738" w:type="dxa"/>
            <w:shd w:val="clear" w:color="auto" w:fill="auto"/>
          </w:tcPr>
          <w:p w:rsidR="00E56BFB" w:rsidRPr="00163B46" w:rsidRDefault="00E56BFB" w:rsidP="00163B46">
            <w:pPr>
              <w:jc w:val="center"/>
              <w:rPr>
                <w:sz w:val="28"/>
                <w:szCs w:val="28"/>
                <w:lang w:val="uk-UA"/>
              </w:rPr>
            </w:pPr>
            <w:r w:rsidRPr="00163B46">
              <w:rPr>
                <w:b/>
                <w:sz w:val="24"/>
                <w:szCs w:val="24"/>
                <w:lang w:val="uk-UA"/>
              </w:rPr>
              <w:lastRenderedPageBreak/>
              <w:t>Вид альтернативи</w:t>
            </w:r>
          </w:p>
        </w:tc>
        <w:tc>
          <w:tcPr>
            <w:tcW w:w="2657" w:type="dxa"/>
            <w:shd w:val="clear" w:color="auto" w:fill="auto"/>
          </w:tcPr>
          <w:p w:rsidR="00E56BFB" w:rsidRPr="00163B46" w:rsidRDefault="00E56BFB" w:rsidP="00163B46">
            <w:pPr>
              <w:jc w:val="center"/>
              <w:rPr>
                <w:b/>
                <w:sz w:val="24"/>
                <w:szCs w:val="24"/>
                <w:lang w:val="uk-UA"/>
              </w:rPr>
            </w:pPr>
            <w:r w:rsidRPr="00163B46">
              <w:rPr>
                <w:b/>
                <w:sz w:val="24"/>
                <w:szCs w:val="24"/>
                <w:lang w:val="uk-UA"/>
              </w:rPr>
              <w:t>Вигоди</w:t>
            </w:r>
          </w:p>
        </w:tc>
        <w:tc>
          <w:tcPr>
            <w:tcW w:w="5103" w:type="dxa"/>
            <w:shd w:val="clear" w:color="auto" w:fill="auto"/>
          </w:tcPr>
          <w:p w:rsidR="00E56BFB" w:rsidRPr="00163B46" w:rsidRDefault="00E56BFB" w:rsidP="00163B46">
            <w:pPr>
              <w:jc w:val="center"/>
              <w:rPr>
                <w:b/>
                <w:sz w:val="24"/>
                <w:szCs w:val="24"/>
                <w:lang w:val="uk-UA"/>
              </w:rPr>
            </w:pPr>
            <w:r w:rsidRPr="00163B46">
              <w:rPr>
                <w:b/>
                <w:sz w:val="24"/>
                <w:szCs w:val="24"/>
                <w:lang w:val="uk-UA"/>
              </w:rPr>
              <w:t>Витрати</w:t>
            </w:r>
          </w:p>
        </w:tc>
      </w:tr>
      <w:tr w:rsidR="00D944C8" w:rsidRPr="00163B46" w:rsidTr="00F33901">
        <w:tc>
          <w:tcPr>
            <w:tcW w:w="1738" w:type="dxa"/>
            <w:shd w:val="clear" w:color="auto" w:fill="auto"/>
          </w:tcPr>
          <w:p w:rsidR="00D944C8" w:rsidRPr="00163B46" w:rsidRDefault="008126D7" w:rsidP="00163B46">
            <w:pPr>
              <w:jc w:val="both"/>
              <w:rPr>
                <w:b/>
                <w:lang w:val="uk-UA"/>
              </w:rPr>
            </w:pPr>
            <w:r w:rsidRPr="00163B46">
              <w:rPr>
                <w:b/>
                <w:sz w:val="24"/>
                <w:szCs w:val="24"/>
                <w:lang w:val="uk-UA"/>
              </w:rPr>
              <w:t>1. Відсутність регулювання</w:t>
            </w:r>
          </w:p>
        </w:tc>
        <w:tc>
          <w:tcPr>
            <w:tcW w:w="2657" w:type="dxa"/>
            <w:shd w:val="clear" w:color="auto" w:fill="auto"/>
          </w:tcPr>
          <w:p w:rsidR="008126D7" w:rsidRPr="00163B46" w:rsidRDefault="008126D7" w:rsidP="00163B46">
            <w:pPr>
              <w:jc w:val="both"/>
              <w:rPr>
                <w:sz w:val="24"/>
                <w:lang w:val="uk-UA"/>
              </w:rPr>
            </w:pPr>
            <w:r w:rsidRPr="00163B46">
              <w:rPr>
                <w:sz w:val="24"/>
                <w:lang w:val="uk-UA"/>
              </w:rPr>
              <w:t xml:space="preserve">1. </w:t>
            </w:r>
            <w:r w:rsidR="00D944C8" w:rsidRPr="00163B46">
              <w:rPr>
                <w:sz w:val="24"/>
                <w:lang w:val="uk-UA"/>
              </w:rPr>
              <w:t>Відсутні</w:t>
            </w:r>
            <w:r w:rsidR="004771EA">
              <w:rPr>
                <w:sz w:val="24"/>
                <w:lang w:val="uk-UA"/>
              </w:rPr>
              <w:t xml:space="preserve"> витрати часу на впровадження альтернативи</w:t>
            </w:r>
            <w:r w:rsidR="00D944C8" w:rsidRPr="00163B46">
              <w:rPr>
                <w:sz w:val="24"/>
                <w:lang w:val="uk-UA"/>
              </w:rPr>
              <w:t>.</w:t>
            </w:r>
          </w:p>
          <w:p w:rsidR="00F52E1F" w:rsidRPr="00163B46" w:rsidRDefault="00F52E1F" w:rsidP="00163B46">
            <w:pPr>
              <w:jc w:val="both"/>
              <w:rPr>
                <w:sz w:val="24"/>
                <w:lang w:val="uk-UA"/>
              </w:rPr>
            </w:pPr>
          </w:p>
        </w:tc>
        <w:tc>
          <w:tcPr>
            <w:tcW w:w="5103" w:type="dxa"/>
            <w:shd w:val="clear" w:color="auto" w:fill="auto"/>
          </w:tcPr>
          <w:p w:rsidR="004771EA" w:rsidRDefault="004771EA" w:rsidP="00F31EE7">
            <w:pPr>
              <w:jc w:val="both"/>
              <w:rPr>
                <w:sz w:val="24"/>
                <w:lang w:val="uk-UA"/>
              </w:rPr>
            </w:pPr>
            <w:r>
              <w:rPr>
                <w:sz w:val="24"/>
                <w:lang w:val="uk-UA"/>
              </w:rPr>
              <w:t>Для проведення на фондовій біржі торгів цінними паперами, щодо яких не було здійснено публічну пропозицію, необхідно зробити таку публічну пропозицію.</w:t>
            </w:r>
            <w:r w:rsidR="00FB36B4">
              <w:rPr>
                <w:sz w:val="24"/>
                <w:lang w:val="uk-UA"/>
              </w:rPr>
              <w:t xml:space="preserve"> </w:t>
            </w:r>
          </w:p>
          <w:p w:rsidR="00FB36B4" w:rsidRDefault="00F31EE7" w:rsidP="00F31EE7">
            <w:pPr>
              <w:jc w:val="both"/>
              <w:rPr>
                <w:sz w:val="24"/>
                <w:lang w:val="uk-UA"/>
              </w:rPr>
            </w:pPr>
            <w:r>
              <w:rPr>
                <w:sz w:val="24"/>
                <w:lang w:val="uk-UA"/>
              </w:rPr>
              <w:t>При здійсненні публічної пропозиції особа (емітент або оферент) повинен:</w:t>
            </w:r>
          </w:p>
          <w:p w:rsidR="00445E49" w:rsidRDefault="00F31EE7" w:rsidP="00BC3E47">
            <w:pPr>
              <w:jc w:val="both"/>
              <w:rPr>
                <w:sz w:val="24"/>
                <w:lang w:val="uk-UA"/>
              </w:rPr>
            </w:pPr>
            <w:r>
              <w:rPr>
                <w:sz w:val="24"/>
                <w:lang w:val="uk-UA"/>
              </w:rPr>
              <w:t>- оформити проспект цінних паперів, що включає написання анотації, реєстраційного документа і документа про цінні папери (</w:t>
            </w:r>
            <w:r w:rsidR="001C5E63">
              <w:rPr>
                <w:sz w:val="24"/>
                <w:lang w:val="uk-UA"/>
              </w:rPr>
              <w:t xml:space="preserve">в цих документах зазначається, зокрема, загальна інформація про емітента, </w:t>
            </w:r>
            <w:r w:rsidR="001C5E63" w:rsidRPr="001C5E63">
              <w:rPr>
                <w:sz w:val="24"/>
                <w:lang w:val="uk-UA"/>
              </w:rPr>
              <w:t>фінансову звітність емітента за два останні роки</w:t>
            </w:r>
            <w:r w:rsidR="001C5E63">
              <w:rPr>
                <w:sz w:val="24"/>
                <w:lang w:val="uk-UA"/>
              </w:rPr>
              <w:t xml:space="preserve">, основні ризики діяльності емітента та ризики пропонованих цінних паперів, опис господарської діяльності емітента, інформація про його власників, </w:t>
            </w:r>
            <w:r w:rsidR="00BC3E47" w:rsidRPr="00BC3E47">
              <w:rPr>
                <w:sz w:val="24"/>
                <w:lang w:val="uk-UA"/>
              </w:rPr>
              <w:t>опис прямих інвестицій емітента</w:t>
            </w:r>
            <w:r w:rsidR="00BC3E47">
              <w:rPr>
                <w:sz w:val="24"/>
                <w:lang w:val="uk-UA"/>
              </w:rPr>
              <w:t>, о</w:t>
            </w:r>
            <w:r w:rsidR="00BC3E47" w:rsidRPr="00BC3E47">
              <w:rPr>
                <w:sz w:val="24"/>
                <w:lang w:val="uk-UA"/>
              </w:rPr>
              <w:t>пис тенденції розвитку емітента</w:t>
            </w:r>
            <w:r w:rsidR="00BC3E47">
              <w:rPr>
                <w:sz w:val="24"/>
                <w:lang w:val="uk-UA"/>
              </w:rPr>
              <w:t>, і</w:t>
            </w:r>
            <w:r w:rsidR="00BC3E47" w:rsidRPr="00BC3E47">
              <w:rPr>
                <w:sz w:val="24"/>
                <w:lang w:val="uk-UA"/>
              </w:rPr>
              <w:t>нформація про прогнозований або запланований прибуток емітента</w:t>
            </w:r>
            <w:r w:rsidR="00BC3E47">
              <w:rPr>
                <w:sz w:val="24"/>
                <w:lang w:val="uk-UA"/>
              </w:rPr>
              <w:t>, о</w:t>
            </w:r>
            <w:r w:rsidR="00BC3E47" w:rsidRPr="00BC3E47">
              <w:rPr>
                <w:sz w:val="24"/>
                <w:lang w:val="uk-UA"/>
              </w:rPr>
              <w:t>пис відносин контролю або сімейних відносин між</w:t>
            </w:r>
            <w:r w:rsidR="00BC3E47">
              <w:rPr>
                <w:sz w:val="24"/>
                <w:lang w:val="uk-UA"/>
              </w:rPr>
              <w:t xml:space="preserve"> особами, що здійснюють управлінські функції, інформація щодо конфлікту інтересів, щодо працівників та акціонерів емітента, порядку виплати дивідендів, наявних судових проваджень тощо</w:t>
            </w:r>
            <w:r w:rsidRPr="001C5E63">
              <w:rPr>
                <w:sz w:val="24"/>
                <w:lang w:val="uk-UA"/>
              </w:rPr>
              <w:t>)</w:t>
            </w:r>
            <w:r w:rsidR="00BC3E47">
              <w:rPr>
                <w:sz w:val="24"/>
                <w:lang w:val="uk-UA"/>
              </w:rPr>
              <w:t>. Прогнозне значення затраченого часу на даному етапі складає</w:t>
            </w:r>
            <w:r w:rsidR="00445E49">
              <w:rPr>
                <w:sz w:val="24"/>
                <w:lang w:val="uk-UA"/>
              </w:rPr>
              <w:t>:</w:t>
            </w:r>
            <w:r w:rsidR="00BC3E47">
              <w:rPr>
                <w:sz w:val="24"/>
                <w:lang w:val="uk-UA"/>
              </w:rPr>
              <w:t xml:space="preserve"> </w:t>
            </w:r>
          </w:p>
          <w:p w:rsidR="00F31EE7" w:rsidRDefault="00445E49" w:rsidP="00BC3E47">
            <w:pPr>
              <w:jc w:val="both"/>
              <w:rPr>
                <w:sz w:val="24"/>
                <w:lang w:val="uk-UA"/>
              </w:rPr>
            </w:pPr>
            <w:r>
              <w:rPr>
                <w:sz w:val="24"/>
                <w:lang w:val="uk-UA"/>
              </w:rPr>
              <w:t>4 місяці * 4173 грн</w:t>
            </w:r>
            <w:r w:rsidR="00BC3E47">
              <w:rPr>
                <w:sz w:val="24"/>
                <w:lang w:val="uk-UA"/>
              </w:rPr>
              <w:t>.</w:t>
            </w:r>
            <w:r>
              <w:rPr>
                <w:sz w:val="24"/>
                <w:lang w:val="uk-UA"/>
              </w:rPr>
              <w:t>(розмір мінімальної заробітної плати) = 16692 грн.</w:t>
            </w:r>
            <w:r w:rsidR="00BC3E47">
              <w:rPr>
                <w:sz w:val="24"/>
                <w:lang w:val="uk-UA"/>
              </w:rPr>
              <w:t xml:space="preserve"> </w:t>
            </w:r>
          </w:p>
          <w:p w:rsidR="00445E49" w:rsidRDefault="00BC3E47" w:rsidP="00BC3E47">
            <w:pPr>
              <w:jc w:val="both"/>
              <w:rPr>
                <w:sz w:val="24"/>
                <w:lang w:val="uk-UA"/>
              </w:rPr>
            </w:pPr>
            <w:r>
              <w:rPr>
                <w:sz w:val="24"/>
                <w:lang w:val="uk-UA"/>
              </w:rPr>
              <w:t xml:space="preserve">- затвердити оформлений проспект у реєструвальному органі, подавши </w:t>
            </w:r>
            <w:r w:rsidR="008A1703">
              <w:rPr>
                <w:sz w:val="24"/>
                <w:lang w:val="uk-UA"/>
              </w:rPr>
              <w:t>такі документи: заява, копію рішення про здійснення публічної пропозиції (для юридичних осіб), проспект у двох примірниках, у разі здійснення публічної пропозиції оферентом – підтвердження погодження проспекту з емітентом, річну та проміжну фінансову звітність, копію статуту. Прогнозне значення затраченого часу на даному етапі складає</w:t>
            </w:r>
            <w:r w:rsidR="00445E49">
              <w:rPr>
                <w:sz w:val="24"/>
                <w:lang w:val="uk-UA"/>
              </w:rPr>
              <w:t>:</w:t>
            </w:r>
            <w:r w:rsidR="008A1703">
              <w:rPr>
                <w:sz w:val="24"/>
                <w:lang w:val="uk-UA"/>
              </w:rPr>
              <w:t xml:space="preserve"> </w:t>
            </w:r>
          </w:p>
          <w:p w:rsidR="00BC3E47" w:rsidRDefault="008A1703" w:rsidP="00BC3E47">
            <w:pPr>
              <w:jc w:val="both"/>
              <w:rPr>
                <w:sz w:val="24"/>
                <w:lang w:val="uk-UA"/>
              </w:rPr>
            </w:pPr>
            <w:r>
              <w:rPr>
                <w:sz w:val="24"/>
                <w:lang w:val="uk-UA"/>
              </w:rPr>
              <w:t>2 дні</w:t>
            </w:r>
            <w:r w:rsidR="00445E49">
              <w:rPr>
                <w:sz w:val="24"/>
                <w:lang w:val="uk-UA"/>
              </w:rPr>
              <w:t>, тобто 18 год * 25,13 (мінімальна погодинна оплата праці</w:t>
            </w:r>
            <w:r w:rsidR="0064340F">
              <w:rPr>
                <w:sz w:val="24"/>
                <w:lang w:val="uk-UA"/>
              </w:rPr>
              <w:t>) = 452, 34 грн</w:t>
            </w:r>
            <w:r>
              <w:rPr>
                <w:sz w:val="24"/>
                <w:lang w:val="uk-UA"/>
              </w:rPr>
              <w:t xml:space="preserve">. </w:t>
            </w:r>
          </w:p>
          <w:p w:rsidR="0064340F" w:rsidRDefault="008A1703" w:rsidP="001D0244">
            <w:pPr>
              <w:jc w:val="both"/>
              <w:rPr>
                <w:sz w:val="24"/>
                <w:lang w:val="uk-UA"/>
              </w:rPr>
            </w:pPr>
            <w:r>
              <w:rPr>
                <w:sz w:val="24"/>
                <w:lang w:val="uk-UA"/>
              </w:rPr>
              <w:t xml:space="preserve">- </w:t>
            </w:r>
            <w:r w:rsidR="001D0244" w:rsidRPr="001D0244">
              <w:rPr>
                <w:sz w:val="24"/>
                <w:lang w:val="uk-UA"/>
              </w:rPr>
              <w:t>оприлюднення проспекту шляхом розміщення в електронній формі на одному з офіційних сайтів</w:t>
            </w:r>
            <w:r w:rsidR="008501B1">
              <w:rPr>
                <w:sz w:val="24"/>
                <w:lang w:val="uk-UA"/>
              </w:rPr>
              <w:t>, визначених ч.2 ст.38¹ Закону «Про цінні папери та фондовий ринок». Прогнозне значення затраченого часу на даному етапі складає</w:t>
            </w:r>
            <w:r w:rsidR="0064340F">
              <w:rPr>
                <w:sz w:val="24"/>
                <w:lang w:val="uk-UA"/>
              </w:rPr>
              <w:t>:</w:t>
            </w:r>
            <w:r w:rsidR="008501B1">
              <w:rPr>
                <w:sz w:val="24"/>
                <w:lang w:val="uk-UA"/>
              </w:rPr>
              <w:t xml:space="preserve"> </w:t>
            </w:r>
          </w:p>
          <w:p w:rsidR="008A1703" w:rsidRDefault="0064340F" w:rsidP="001D0244">
            <w:pPr>
              <w:jc w:val="both"/>
              <w:rPr>
                <w:sz w:val="24"/>
                <w:lang w:val="uk-UA"/>
              </w:rPr>
            </w:pPr>
            <w:r>
              <w:rPr>
                <w:sz w:val="24"/>
                <w:lang w:val="uk-UA"/>
              </w:rPr>
              <w:t>0,5 год * 25,13 = 12, 6 грн</w:t>
            </w:r>
            <w:r w:rsidR="008501B1">
              <w:rPr>
                <w:sz w:val="24"/>
                <w:lang w:val="uk-UA"/>
              </w:rPr>
              <w:t>.</w:t>
            </w:r>
          </w:p>
          <w:p w:rsidR="008C5934" w:rsidRPr="001D0244" w:rsidRDefault="008C5934" w:rsidP="001D0244">
            <w:pPr>
              <w:jc w:val="both"/>
              <w:rPr>
                <w:sz w:val="24"/>
                <w:szCs w:val="24"/>
                <w:lang w:val="uk-UA"/>
              </w:rPr>
            </w:pPr>
            <w:r>
              <w:rPr>
                <w:sz w:val="24"/>
                <w:lang w:val="uk-UA"/>
              </w:rPr>
              <w:t>Сумарний прогнозний показник у гривнях складає 17 156,94 грн.</w:t>
            </w:r>
          </w:p>
        </w:tc>
      </w:tr>
      <w:tr w:rsidR="00D944C8" w:rsidRPr="00163B46" w:rsidTr="00F33901">
        <w:trPr>
          <w:cantSplit/>
          <w:trHeight w:val="2094"/>
        </w:trPr>
        <w:tc>
          <w:tcPr>
            <w:tcW w:w="1738" w:type="dxa"/>
            <w:shd w:val="clear" w:color="auto" w:fill="auto"/>
          </w:tcPr>
          <w:p w:rsidR="00D944C8" w:rsidRPr="00163B46" w:rsidRDefault="008126D7" w:rsidP="00163B46">
            <w:pPr>
              <w:jc w:val="both"/>
              <w:rPr>
                <w:b/>
                <w:sz w:val="24"/>
                <w:szCs w:val="24"/>
                <w:lang w:val="uk-UA"/>
              </w:rPr>
            </w:pPr>
            <w:r w:rsidRPr="00163B46">
              <w:rPr>
                <w:b/>
                <w:sz w:val="24"/>
                <w:szCs w:val="24"/>
                <w:lang w:val="uk-UA"/>
              </w:rPr>
              <w:lastRenderedPageBreak/>
              <w:t>2. Розробка проекту нормативно-правового акту</w:t>
            </w:r>
          </w:p>
        </w:tc>
        <w:tc>
          <w:tcPr>
            <w:tcW w:w="2657" w:type="dxa"/>
            <w:shd w:val="clear" w:color="auto" w:fill="auto"/>
          </w:tcPr>
          <w:p w:rsidR="007C253F" w:rsidRDefault="00813F79" w:rsidP="00E56BFB">
            <w:pPr>
              <w:pStyle w:val="a4"/>
              <w:rPr>
                <w:b w:val="0"/>
                <w:sz w:val="24"/>
              </w:rPr>
            </w:pPr>
            <w:r>
              <w:rPr>
                <w:b w:val="0"/>
                <w:sz w:val="24"/>
              </w:rPr>
              <w:t xml:space="preserve">1. </w:t>
            </w:r>
            <w:r w:rsidR="0080611E">
              <w:rPr>
                <w:b w:val="0"/>
                <w:sz w:val="24"/>
              </w:rPr>
              <w:t>Відсутність необхідності підготовки пакету документів для здійснення публічної пропозиції</w:t>
            </w:r>
            <w:r w:rsidRPr="00163B46">
              <w:rPr>
                <w:b w:val="0"/>
                <w:sz w:val="24"/>
              </w:rPr>
              <w:t>.</w:t>
            </w:r>
          </w:p>
          <w:p w:rsidR="0080611E" w:rsidRPr="00CC0903" w:rsidRDefault="007C253F" w:rsidP="0080611E">
            <w:pPr>
              <w:pStyle w:val="a5"/>
              <w:ind w:firstLine="0"/>
              <w:jc w:val="both"/>
            </w:pPr>
            <w:r w:rsidRPr="007C253F">
              <w:t xml:space="preserve">2. </w:t>
            </w:r>
            <w:r w:rsidR="0080611E" w:rsidRPr="00CC0903">
              <w:t xml:space="preserve">Захист прав власників цінних паперів, </w:t>
            </w:r>
            <w:r w:rsidR="0080611E" w:rsidRPr="00CC0903">
              <w:rPr>
                <w:bCs/>
              </w:rPr>
              <w:t>які перебувають в обігу на фондових біржах</w:t>
            </w:r>
            <w:r w:rsidR="0080611E">
              <w:rPr>
                <w:bCs/>
              </w:rPr>
              <w:t>, та щодо</w:t>
            </w:r>
            <w:r w:rsidR="0080611E">
              <w:t xml:space="preserve"> яких не </w:t>
            </w:r>
            <w:r w:rsidR="0080611E" w:rsidRPr="00A609B7">
              <w:rPr>
                <w:color w:val="000000"/>
              </w:rPr>
              <w:t>здійснювалася публічна пропозиція</w:t>
            </w:r>
            <w:r w:rsidR="0080611E" w:rsidRPr="00CC0903">
              <w:rPr>
                <w:bCs/>
              </w:rPr>
              <w:t>.</w:t>
            </w:r>
            <w:r w:rsidR="0080611E" w:rsidRPr="00CC0903">
              <w:t xml:space="preserve"> </w:t>
            </w:r>
          </w:p>
          <w:p w:rsidR="00D944C8" w:rsidRPr="0080611E" w:rsidRDefault="0080611E" w:rsidP="0080611E">
            <w:pPr>
              <w:jc w:val="both"/>
              <w:rPr>
                <w:sz w:val="24"/>
                <w:szCs w:val="24"/>
                <w:lang w:val="uk-UA"/>
              </w:rPr>
            </w:pPr>
            <w:r w:rsidRPr="0080611E">
              <w:rPr>
                <w:sz w:val="24"/>
                <w:lang w:val="uk-UA"/>
              </w:rPr>
              <w:t>3. Можливість управляти ризиками, пов’язаними з купівлею-продажем зазначених вище цінних паперів на фондових біржах, та приймати відповідні рішення щодо отримання прибутку.</w:t>
            </w:r>
          </w:p>
        </w:tc>
        <w:tc>
          <w:tcPr>
            <w:tcW w:w="5103" w:type="dxa"/>
            <w:shd w:val="clear" w:color="auto" w:fill="auto"/>
          </w:tcPr>
          <w:p w:rsidR="00D944C8" w:rsidRPr="00163B46" w:rsidRDefault="00D944C8" w:rsidP="00E56BFB">
            <w:pPr>
              <w:pStyle w:val="a4"/>
              <w:rPr>
                <w:b w:val="0"/>
                <w:sz w:val="24"/>
              </w:rPr>
            </w:pPr>
            <w:r w:rsidRPr="00163B46">
              <w:rPr>
                <w:b w:val="0"/>
                <w:sz w:val="24"/>
              </w:rPr>
              <w:t xml:space="preserve">1. Витрати фондових бірж на підготовку необхідних змін у </w:t>
            </w:r>
            <w:r w:rsidR="00BF1076" w:rsidRPr="00163B46">
              <w:rPr>
                <w:b w:val="0"/>
                <w:sz w:val="24"/>
              </w:rPr>
              <w:t>Правила</w:t>
            </w:r>
            <w:r w:rsidR="008126D7" w:rsidRPr="00163B46">
              <w:rPr>
                <w:b w:val="0"/>
                <w:sz w:val="24"/>
              </w:rPr>
              <w:t xml:space="preserve"> біржі</w:t>
            </w:r>
            <w:r w:rsidRPr="00163B46">
              <w:rPr>
                <w:b w:val="0"/>
                <w:sz w:val="24"/>
              </w:rPr>
              <w:t>.</w:t>
            </w:r>
          </w:p>
          <w:p w:rsidR="00D944C8" w:rsidRPr="00163B46" w:rsidRDefault="0080611E" w:rsidP="00E56BFB">
            <w:pPr>
              <w:pStyle w:val="a4"/>
              <w:rPr>
                <w:b w:val="0"/>
                <w:sz w:val="24"/>
              </w:rPr>
            </w:pPr>
            <w:r>
              <w:rPr>
                <w:b w:val="0"/>
                <w:sz w:val="24"/>
              </w:rPr>
              <w:t xml:space="preserve">2. Витрати інших суб’єктів відсутні. </w:t>
            </w:r>
          </w:p>
        </w:tc>
      </w:tr>
    </w:tbl>
    <w:p w:rsidR="00E56BFB" w:rsidRDefault="00E56BFB" w:rsidP="00E56BFB">
      <w:pPr>
        <w:rPr>
          <w:lang w:val="uk-UA"/>
        </w:rPr>
      </w:pPr>
    </w:p>
    <w:p w:rsidR="0074574D" w:rsidRPr="005A54EA" w:rsidRDefault="0074574D" w:rsidP="00E56BFB">
      <w:pPr>
        <w:rPr>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12"/>
      </w:tblGrid>
      <w:tr w:rsidR="0074574D" w:rsidRPr="00A576EA" w:rsidTr="00A576EA">
        <w:tc>
          <w:tcPr>
            <w:tcW w:w="4927" w:type="dxa"/>
            <w:shd w:val="clear" w:color="auto" w:fill="auto"/>
          </w:tcPr>
          <w:p w:rsidR="0074574D" w:rsidRPr="00A576EA" w:rsidRDefault="0074574D" w:rsidP="00A576EA">
            <w:pPr>
              <w:jc w:val="center"/>
              <w:rPr>
                <w:b/>
                <w:sz w:val="24"/>
                <w:szCs w:val="24"/>
                <w:lang w:val="uk-UA"/>
              </w:rPr>
            </w:pPr>
            <w:r w:rsidRPr="00A576EA">
              <w:rPr>
                <w:b/>
                <w:sz w:val="24"/>
                <w:szCs w:val="24"/>
                <w:lang w:val="uk-UA"/>
              </w:rPr>
              <w:t>Сумарні витрати за альтернативами</w:t>
            </w:r>
          </w:p>
          <w:p w:rsidR="0015018A" w:rsidRPr="00A576EA" w:rsidRDefault="0015018A" w:rsidP="00A576EA">
            <w:pPr>
              <w:jc w:val="center"/>
              <w:rPr>
                <w:b/>
                <w:sz w:val="24"/>
                <w:szCs w:val="24"/>
                <w:lang w:val="uk-UA"/>
              </w:rPr>
            </w:pPr>
          </w:p>
        </w:tc>
        <w:tc>
          <w:tcPr>
            <w:tcW w:w="4712" w:type="dxa"/>
            <w:shd w:val="clear" w:color="auto" w:fill="auto"/>
          </w:tcPr>
          <w:p w:rsidR="0074574D" w:rsidRPr="00A576EA" w:rsidRDefault="0074574D" w:rsidP="00A576EA">
            <w:pPr>
              <w:jc w:val="center"/>
              <w:rPr>
                <w:b/>
                <w:sz w:val="24"/>
                <w:szCs w:val="24"/>
                <w:lang w:val="uk-UA"/>
              </w:rPr>
            </w:pPr>
            <w:r w:rsidRPr="00A576EA">
              <w:rPr>
                <w:b/>
                <w:sz w:val="24"/>
                <w:szCs w:val="24"/>
                <w:lang w:val="uk-UA"/>
              </w:rPr>
              <w:t>Сума витрат, гривень</w:t>
            </w:r>
          </w:p>
        </w:tc>
      </w:tr>
      <w:tr w:rsidR="0074574D" w:rsidRPr="00A576EA" w:rsidTr="00A576EA">
        <w:tc>
          <w:tcPr>
            <w:tcW w:w="4927" w:type="dxa"/>
            <w:shd w:val="clear" w:color="auto" w:fill="auto"/>
          </w:tcPr>
          <w:p w:rsidR="0074574D" w:rsidRPr="00A576EA" w:rsidRDefault="0015018A" w:rsidP="00A576EA">
            <w:pPr>
              <w:jc w:val="both"/>
              <w:rPr>
                <w:b/>
                <w:sz w:val="28"/>
                <w:szCs w:val="28"/>
                <w:lang w:val="uk-UA"/>
              </w:rPr>
            </w:pPr>
            <w:r w:rsidRPr="00A576EA">
              <w:rPr>
                <w:b/>
                <w:sz w:val="24"/>
                <w:szCs w:val="24"/>
                <w:lang w:val="uk-UA"/>
              </w:rPr>
              <w:t>1. Відсутність регулювання</w:t>
            </w:r>
          </w:p>
        </w:tc>
        <w:tc>
          <w:tcPr>
            <w:tcW w:w="4712" w:type="dxa"/>
            <w:shd w:val="clear" w:color="auto" w:fill="auto"/>
          </w:tcPr>
          <w:p w:rsidR="0074574D" w:rsidRPr="00A576EA" w:rsidRDefault="004B10DF" w:rsidP="004B10DF">
            <w:pPr>
              <w:jc w:val="center"/>
              <w:rPr>
                <w:b/>
                <w:sz w:val="28"/>
                <w:szCs w:val="28"/>
                <w:lang w:val="uk-UA"/>
              </w:rPr>
            </w:pPr>
            <w:r>
              <w:rPr>
                <w:sz w:val="24"/>
                <w:lang w:val="uk-UA"/>
              </w:rPr>
              <w:t>17 156,94 грн.</w:t>
            </w:r>
          </w:p>
        </w:tc>
      </w:tr>
      <w:tr w:rsidR="0074574D" w:rsidRPr="00A576EA" w:rsidTr="00A576EA">
        <w:tc>
          <w:tcPr>
            <w:tcW w:w="4927" w:type="dxa"/>
            <w:shd w:val="clear" w:color="auto" w:fill="auto"/>
          </w:tcPr>
          <w:p w:rsidR="0074574D" w:rsidRPr="00A576EA" w:rsidRDefault="0015018A" w:rsidP="00A576EA">
            <w:pPr>
              <w:jc w:val="both"/>
              <w:rPr>
                <w:b/>
                <w:sz w:val="28"/>
                <w:szCs w:val="28"/>
                <w:lang w:val="uk-UA"/>
              </w:rPr>
            </w:pPr>
            <w:r w:rsidRPr="00A576EA">
              <w:rPr>
                <w:b/>
                <w:sz w:val="24"/>
                <w:szCs w:val="24"/>
                <w:lang w:val="uk-UA"/>
              </w:rPr>
              <w:t>2. Розробка проекту нормативно-правового акту</w:t>
            </w:r>
          </w:p>
        </w:tc>
        <w:tc>
          <w:tcPr>
            <w:tcW w:w="4712" w:type="dxa"/>
            <w:shd w:val="clear" w:color="auto" w:fill="auto"/>
          </w:tcPr>
          <w:p w:rsidR="0074574D" w:rsidRPr="00A576EA" w:rsidRDefault="00F33901" w:rsidP="00A576EA">
            <w:pPr>
              <w:jc w:val="center"/>
              <w:rPr>
                <w:b/>
                <w:sz w:val="24"/>
                <w:szCs w:val="24"/>
                <w:lang w:val="uk-UA"/>
              </w:rPr>
            </w:pPr>
            <w:r w:rsidRPr="00A576EA">
              <w:rPr>
                <w:sz w:val="24"/>
                <w:szCs w:val="24"/>
              </w:rPr>
              <w:t>6067,6 грн.</w:t>
            </w:r>
          </w:p>
        </w:tc>
      </w:tr>
    </w:tbl>
    <w:p w:rsidR="006A565B" w:rsidRDefault="006A565B" w:rsidP="0074574D">
      <w:pPr>
        <w:ind w:firstLine="720"/>
        <w:jc w:val="both"/>
        <w:rPr>
          <w:b/>
          <w:sz w:val="28"/>
          <w:szCs w:val="28"/>
          <w:lang w:val="uk-UA"/>
        </w:rPr>
      </w:pPr>
    </w:p>
    <w:p w:rsidR="0074574D" w:rsidRDefault="0074574D" w:rsidP="00E56BFB">
      <w:pPr>
        <w:ind w:firstLine="720"/>
        <w:jc w:val="center"/>
        <w:rPr>
          <w:b/>
          <w:sz w:val="28"/>
          <w:szCs w:val="28"/>
          <w:lang w:val="uk-UA"/>
        </w:rPr>
      </w:pPr>
    </w:p>
    <w:p w:rsidR="00E56BFB" w:rsidRDefault="00E56BFB" w:rsidP="00E56BFB">
      <w:pPr>
        <w:ind w:firstLine="720"/>
        <w:jc w:val="center"/>
        <w:rPr>
          <w:b/>
          <w:sz w:val="28"/>
          <w:szCs w:val="28"/>
          <w:lang w:val="uk-UA"/>
        </w:rPr>
      </w:pPr>
      <w:r w:rsidRPr="005A54EA">
        <w:rPr>
          <w:b/>
          <w:sz w:val="28"/>
          <w:szCs w:val="28"/>
          <w:lang w:val="uk-UA"/>
        </w:rPr>
        <w:t>ІV. Вибір найбільш оптимального альтернативного способу досягнення цілей</w:t>
      </w:r>
    </w:p>
    <w:p w:rsidR="00BD2B47" w:rsidRPr="005A54EA" w:rsidRDefault="00BD2B47" w:rsidP="00E56BFB">
      <w:pPr>
        <w:ind w:firstLine="720"/>
        <w:jc w:val="center"/>
        <w:rPr>
          <w:b/>
          <w:sz w:val="28"/>
          <w:szCs w:val="28"/>
          <w:lang w:val="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780"/>
        <w:gridCol w:w="3695"/>
      </w:tblGrid>
      <w:tr w:rsidR="00E56BFB" w:rsidRPr="00163B46" w:rsidTr="00F31EE7">
        <w:tc>
          <w:tcPr>
            <w:tcW w:w="2448" w:type="dxa"/>
            <w:shd w:val="clear" w:color="auto" w:fill="auto"/>
          </w:tcPr>
          <w:p w:rsidR="00E56BFB" w:rsidRPr="00163B46" w:rsidRDefault="00E56BFB" w:rsidP="00163B46">
            <w:pPr>
              <w:jc w:val="center"/>
              <w:rPr>
                <w:b/>
                <w:sz w:val="24"/>
                <w:szCs w:val="24"/>
                <w:lang w:val="uk-UA"/>
              </w:rPr>
            </w:pPr>
            <w:r w:rsidRPr="00163B46">
              <w:rPr>
                <w:b/>
                <w:sz w:val="24"/>
                <w:szCs w:val="24"/>
                <w:lang w:val="uk-UA"/>
              </w:rPr>
              <w:t>Рейтинг результативності (досягнення цілей під час вирішення проблеми)</w:t>
            </w:r>
          </w:p>
        </w:tc>
        <w:tc>
          <w:tcPr>
            <w:tcW w:w="3780" w:type="dxa"/>
            <w:shd w:val="clear" w:color="auto" w:fill="auto"/>
          </w:tcPr>
          <w:p w:rsidR="00E56BFB" w:rsidRPr="00163B46" w:rsidRDefault="00E56BFB" w:rsidP="00163B46">
            <w:pPr>
              <w:jc w:val="center"/>
              <w:rPr>
                <w:b/>
                <w:sz w:val="24"/>
                <w:szCs w:val="24"/>
                <w:lang w:val="uk-UA"/>
              </w:rPr>
            </w:pPr>
            <w:r w:rsidRPr="00163B46">
              <w:rPr>
                <w:b/>
                <w:sz w:val="24"/>
                <w:szCs w:val="24"/>
                <w:lang w:val="uk-UA"/>
              </w:rPr>
              <w:t>Бал результативності (за чотирибальною системою оцінки)</w:t>
            </w:r>
          </w:p>
        </w:tc>
        <w:tc>
          <w:tcPr>
            <w:tcW w:w="3695" w:type="dxa"/>
            <w:shd w:val="clear" w:color="auto" w:fill="auto"/>
          </w:tcPr>
          <w:p w:rsidR="00E56BFB" w:rsidRPr="00163B46" w:rsidRDefault="00E56BFB" w:rsidP="00163B46">
            <w:pPr>
              <w:jc w:val="center"/>
              <w:rPr>
                <w:b/>
                <w:sz w:val="24"/>
                <w:szCs w:val="24"/>
                <w:lang w:val="uk-UA"/>
              </w:rPr>
            </w:pPr>
            <w:r w:rsidRPr="00163B46">
              <w:rPr>
                <w:b/>
                <w:sz w:val="24"/>
                <w:szCs w:val="24"/>
                <w:lang w:val="uk-UA"/>
              </w:rPr>
              <w:t>Коментарі щодо присвоєння відповідного бала</w:t>
            </w:r>
          </w:p>
        </w:tc>
      </w:tr>
      <w:tr w:rsidR="00D944C8" w:rsidRPr="00163B46" w:rsidTr="00F31EE7">
        <w:tc>
          <w:tcPr>
            <w:tcW w:w="2448" w:type="dxa"/>
            <w:shd w:val="clear" w:color="auto" w:fill="auto"/>
          </w:tcPr>
          <w:p w:rsidR="00D944C8" w:rsidRPr="00163B46" w:rsidRDefault="00422E20" w:rsidP="00163B46">
            <w:pPr>
              <w:jc w:val="both"/>
              <w:rPr>
                <w:b/>
                <w:lang w:val="uk-UA"/>
              </w:rPr>
            </w:pPr>
            <w:r w:rsidRPr="00163B46">
              <w:rPr>
                <w:b/>
                <w:sz w:val="24"/>
                <w:szCs w:val="24"/>
                <w:lang w:val="uk-UA"/>
              </w:rPr>
              <w:t>1. Відсутність регулювання</w:t>
            </w:r>
          </w:p>
        </w:tc>
        <w:tc>
          <w:tcPr>
            <w:tcW w:w="3780" w:type="dxa"/>
            <w:shd w:val="clear" w:color="auto" w:fill="auto"/>
          </w:tcPr>
          <w:p w:rsidR="00D944C8" w:rsidRPr="00163B46" w:rsidRDefault="00D944C8" w:rsidP="00163B46">
            <w:pPr>
              <w:jc w:val="center"/>
              <w:rPr>
                <w:b/>
                <w:sz w:val="28"/>
                <w:szCs w:val="28"/>
                <w:lang w:val="uk-UA"/>
              </w:rPr>
            </w:pPr>
            <w:r w:rsidRPr="00163B46">
              <w:rPr>
                <w:b/>
                <w:sz w:val="28"/>
                <w:szCs w:val="28"/>
                <w:lang w:val="uk-UA"/>
              </w:rPr>
              <w:t>1</w:t>
            </w:r>
          </w:p>
        </w:tc>
        <w:tc>
          <w:tcPr>
            <w:tcW w:w="3695" w:type="dxa"/>
            <w:shd w:val="clear" w:color="auto" w:fill="auto"/>
          </w:tcPr>
          <w:p w:rsidR="00D944C8" w:rsidRPr="00163B46" w:rsidRDefault="00D944C8" w:rsidP="00163B46">
            <w:pPr>
              <w:jc w:val="both"/>
              <w:rPr>
                <w:sz w:val="24"/>
                <w:szCs w:val="24"/>
                <w:lang w:val="uk-UA"/>
              </w:rPr>
            </w:pPr>
            <w:r w:rsidRPr="00163B46">
              <w:rPr>
                <w:sz w:val="24"/>
                <w:szCs w:val="24"/>
                <w:lang w:val="uk-UA"/>
              </w:rPr>
              <w:t>Проблема продовжує існувати тривалий час. Відсутня впевненість щодо вирішення проблем в майбутньому.</w:t>
            </w:r>
          </w:p>
        </w:tc>
      </w:tr>
      <w:tr w:rsidR="00D944C8" w:rsidRPr="00163B46" w:rsidTr="00F31EE7">
        <w:trPr>
          <w:trHeight w:val="115"/>
        </w:trPr>
        <w:tc>
          <w:tcPr>
            <w:tcW w:w="2448" w:type="dxa"/>
            <w:shd w:val="clear" w:color="auto" w:fill="auto"/>
          </w:tcPr>
          <w:p w:rsidR="00D944C8" w:rsidRPr="00163B46" w:rsidRDefault="00422E20" w:rsidP="00163B46">
            <w:pPr>
              <w:jc w:val="both"/>
              <w:rPr>
                <w:b/>
                <w:sz w:val="24"/>
                <w:szCs w:val="24"/>
                <w:lang w:val="uk-UA"/>
              </w:rPr>
            </w:pPr>
            <w:r w:rsidRPr="00163B46">
              <w:rPr>
                <w:b/>
                <w:sz w:val="24"/>
                <w:szCs w:val="24"/>
                <w:lang w:val="uk-UA"/>
              </w:rPr>
              <w:t>2. Розробка проекту нормативно-правового акту</w:t>
            </w:r>
          </w:p>
        </w:tc>
        <w:tc>
          <w:tcPr>
            <w:tcW w:w="3780" w:type="dxa"/>
            <w:shd w:val="clear" w:color="auto" w:fill="auto"/>
          </w:tcPr>
          <w:p w:rsidR="00D944C8" w:rsidRPr="00163B46" w:rsidRDefault="00D944C8" w:rsidP="00163B46">
            <w:pPr>
              <w:jc w:val="center"/>
              <w:rPr>
                <w:b/>
                <w:sz w:val="28"/>
                <w:szCs w:val="28"/>
                <w:lang w:val="uk-UA"/>
              </w:rPr>
            </w:pPr>
            <w:r w:rsidRPr="00163B46">
              <w:rPr>
                <w:b/>
                <w:sz w:val="28"/>
                <w:szCs w:val="28"/>
                <w:lang w:val="uk-UA"/>
              </w:rPr>
              <w:t>3</w:t>
            </w:r>
          </w:p>
        </w:tc>
        <w:tc>
          <w:tcPr>
            <w:tcW w:w="3695" w:type="dxa"/>
            <w:shd w:val="clear" w:color="auto" w:fill="auto"/>
          </w:tcPr>
          <w:p w:rsidR="00D944C8" w:rsidRPr="00163B46" w:rsidRDefault="00D944C8" w:rsidP="00EC71EC">
            <w:pPr>
              <w:jc w:val="both"/>
              <w:rPr>
                <w:sz w:val="24"/>
                <w:szCs w:val="24"/>
                <w:lang w:val="uk-UA"/>
              </w:rPr>
            </w:pPr>
            <w:r w:rsidRPr="00163B46">
              <w:rPr>
                <w:sz w:val="24"/>
                <w:lang w:val="uk-UA"/>
              </w:rPr>
              <w:t xml:space="preserve">Цілі прийняття регуляторного акта можуть бути досягнуті майже повною мірою, </w:t>
            </w:r>
            <w:r w:rsidR="00422E20" w:rsidRPr="00163B46">
              <w:rPr>
                <w:sz w:val="24"/>
                <w:lang w:val="uk-UA"/>
              </w:rPr>
              <w:t xml:space="preserve">буде </w:t>
            </w:r>
            <w:r w:rsidR="00EC71EC">
              <w:rPr>
                <w:sz w:val="24"/>
                <w:lang w:val="uk-UA"/>
              </w:rPr>
              <w:t xml:space="preserve">встановлений порядок </w:t>
            </w:r>
            <w:r w:rsidR="00BD2B47" w:rsidRPr="00163B46">
              <w:rPr>
                <w:sz w:val="24"/>
                <w:lang w:val="uk-UA"/>
              </w:rPr>
              <w:t xml:space="preserve"> </w:t>
            </w:r>
            <w:r w:rsidR="00EC71EC" w:rsidRPr="00EC71EC">
              <w:rPr>
                <w:sz w:val="24"/>
                <w:lang w:val="uk-UA"/>
              </w:rPr>
              <w:t xml:space="preserve">обігу </w:t>
            </w:r>
            <w:r w:rsidR="00EC71EC" w:rsidRPr="00EC71EC">
              <w:rPr>
                <w:color w:val="000000"/>
                <w:sz w:val="24"/>
                <w:szCs w:val="24"/>
                <w:lang w:val="uk-UA"/>
              </w:rPr>
              <w:t xml:space="preserve">цінних паперів, щодо яких не здійснювалася публічна </w:t>
            </w:r>
            <w:r w:rsidR="00EC71EC" w:rsidRPr="00EC71EC">
              <w:rPr>
                <w:color w:val="000000"/>
                <w:sz w:val="24"/>
                <w:szCs w:val="24"/>
                <w:lang w:val="uk-UA"/>
              </w:rPr>
              <w:lastRenderedPageBreak/>
              <w:t>пропозиція</w:t>
            </w:r>
            <w:r w:rsidR="00EC71EC" w:rsidRPr="00EC71EC">
              <w:rPr>
                <w:color w:val="000000"/>
                <w:sz w:val="24"/>
                <w:lang w:val="uk-UA"/>
              </w:rPr>
              <w:t>,</w:t>
            </w:r>
            <w:r w:rsidR="00EC71EC" w:rsidRPr="00EC71EC">
              <w:rPr>
                <w:bCs/>
                <w:iCs/>
                <w:sz w:val="24"/>
                <w:lang w:val="uk-UA"/>
              </w:rPr>
              <w:t xml:space="preserve"> на фондовій біржі</w:t>
            </w:r>
            <w:r w:rsidR="00EC71EC" w:rsidRPr="00EC71EC">
              <w:rPr>
                <w:sz w:val="24"/>
                <w:lang w:val="uk-UA"/>
              </w:rPr>
              <w:t>.</w:t>
            </w:r>
          </w:p>
        </w:tc>
      </w:tr>
    </w:tbl>
    <w:p w:rsidR="00E56BFB" w:rsidRDefault="00E56BFB" w:rsidP="00E56BFB">
      <w:pPr>
        <w:rPr>
          <w:lang w:val="uk-UA"/>
        </w:rPr>
      </w:pPr>
    </w:p>
    <w:p w:rsidR="006A565B" w:rsidRDefault="006A565B" w:rsidP="00E56BFB">
      <w:pPr>
        <w:rPr>
          <w:lang w:val="uk-UA"/>
        </w:rPr>
      </w:pPr>
    </w:p>
    <w:p w:rsidR="006A565B" w:rsidRPr="005A54EA" w:rsidRDefault="006A565B" w:rsidP="00E56BFB">
      <w:pPr>
        <w:rPr>
          <w:lang w:val="uk-UA"/>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700"/>
        <w:gridCol w:w="2700"/>
        <w:gridCol w:w="3240"/>
      </w:tblGrid>
      <w:tr w:rsidR="00E56BFB" w:rsidRPr="00163B46" w:rsidTr="00163B46">
        <w:tc>
          <w:tcPr>
            <w:tcW w:w="1620" w:type="dxa"/>
            <w:shd w:val="clear" w:color="auto" w:fill="auto"/>
          </w:tcPr>
          <w:p w:rsidR="002375AB" w:rsidRPr="00163B46" w:rsidRDefault="00E56BFB" w:rsidP="00163B46">
            <w:pPr>
              <w:pStyle w:val="a4"/>
              <w:jc w:val="center"/>
              <w:rPr>
                <w:sz w:val="20"/>
                <w:szCs w:val="20"/>
              </w:rPr>
            </w:pPr>
            <w:r w:rsidRPr="00163B46">
              <w:rPr>
                <w:sz w:val="20"/>
                <w:szCs w:val="20"/>
              </w:rPr>
              <w:t>Рейтинг результатив</w:t>
            </w:r>
            <w:r w:rsidR="002375AB" w:rsidRPr="00163B46">
              <w:rPr>
                <w:sz w:val="20"/>
                <w:szCs w:val="20"/>
              </w:rPr>
              <w:t>-</w:t>
            </w:r>
          </w:p>
          <w:p w:rsidR="00E56BFB" w:rsidRPr="00163B46" w:rsidRDefault="00E56BFB" w:rsidP="00163B46">
            <w:pPr>
              <w:pStyle w:val="a4"/>
              <w:jc w:val="center"/>
              <w:rPr>
                <w:sz w:val="20"/>
                <w:szCs w:val="20"/>
              </w:rPr>
            </w:pPr>
            <w:r w:rsidRPr="00163B46">
              <w:rPr>
                <w:sz w:val="20"/>
                <w:szCs w:val="20"/>
              </w:rPr>
              <w:t>ності</w:t>
            </w:r>
          </w:p>
        </w:tc>
        <w:tc>
          <w:tcPr>
            <w:tcW w:w="2700" w:type="dxa"/>
            <w:shd w:val="clear" w:color="auto" w:fill="auto"/>
          </w:tcPr>
          <w:p w:rsidR="00E56BFB" w:rsidRPr="00163B46" w:rsidRDefault="00E56BFB" w:rsidP="00163B46">
            <w:pPr>
              <w:pStyle w:val="a4"/>
              <w:jc w:val="center"/>
              <w:rPr>
                <w:sz w:val="20"/>
                <w:szCs w:val="20"/>
              </w:rPr>
            </w:pPr>
            <w:r w:rsidRPr="00163B46">
              <w:rPr>
                <w:sz w:val="20"/>
                <w:szCs w:val="20"/>
              </w:rPr>
              <w:t>Вигоди (підсумок)</w:t>
            </w:r>
          </w:p>
        </w:tc>
        <w:tc>
          <w:tcPr>
            <w:tcW w:w="2700" w:type="dxa"/>
            <w:shd w:val="clear" w:color="auto" w:fill="auto"/>
          </w:tcPr>
          <w:p w:rsidR="00E56BFB" w:rsidRPr="00163B46" w:rsidRDefault="00E56BFB" w:rsidP="00163B46">
            <w:pPr>
              <w:pStyle w:val="a4"/>
              <w:jc w:val="center"/>
              <w:rPr>
                <w:sz w:val="20"/>
                <w:szCs w:val="20"/>
              </w:rPr>
            </w:pPr>
            <w:r w:rsidRPr="00163B46">
              <w:rPr>
                <w:sz w:val="20"/>
                <w:szCs w:val="20"/>
              </w:rPr>
              <w:t>Витрати (підсумок)</w:t>
            </w:r>
          </w:p>
        </w:tc>
        <w:tc>
          <w:tcPr>
            <w:tcW w:w="3240" w:type="dxa"/>
            <w:shd w:val="clear" w:color="auto" w:fill="auto"/>
          </w:tcPr>
          <w:p w:rsidR="00E56BFB" w:rsidRPr="00163B46" w:rsidRDefault="00E56BFB" w:rsidP="00163B46">
            <w:pPr>
              <w:pStyle w:val="a4"/>
              <w:jc w:val="center"/>
              <w:rPr>
                <w:sz w:val="20"/>
                <w:szCs w:val="20"/>
              </w:rPr>
            </w:pPr>
            <w:r w:rsidRPr="00163B46">
              <w:rPr>
                <w:sz w:val="20"/>
                <w:szCs w:val="20"/>
              </w:rPr>
              <w:t>Обґрунтування відповідного місця альтернативи у рейтингу</w:t>
            </w:r>
          </w:p>
        </w:tc>
      </w:tr>
      <w:tr w:rsidR="007130E8" w:rsidRPr="00163B46" w:rsidTr="00163B46">
        <w:trPr>
          <w:trHeight w:val="115"/>
        </w:trPr>
        <w:tc>
          <w:tcPr>
            <w:tcW w:w="1620" w:type="dxa"/>
            <w:shd w:val="clear" w:color="auto" w:fill="auto"/>
          </w:tcPr>
          <w:p w:rsidR="007130E8" w:rsidRPr="00163B46" w:rsidRDefault="007130E8" w:rsidP="00163B46">
            <w:pPr>
              <w:jc w:val="both"/>
              <w:rPr>
                <w:b/>
                <w:lang w:val="uk-UA"/>
              </w:rPr>
            </w:pPr>
            <w:r w:rsidRPr="00163B46">
              <w:rPr>
                <w:b/>
                <w:lang w:val="uk-UA"/>
              </w:rPr>
              <w:t>Розробка проекту нормативно-правового акту</w:t>
            </w:r>
          </w:p>
        </w:tc>
        <w:tc>
          <w:tcPr>
            <w:tcW w:w="2700" w:type="dxa"/>
            <w:shd w:val="clear" w:color="auto" w:fill="auto"/>
          </w:tcPr>
          <w:p w:rsidR="00BF7E9C" w:rsidRPr="0072312B" w:rsidRDefault="001204D4" w:rsidP="00DA7213">
            <w:pPr>
              <w:ind w:firstLine="41"/>
              <w:rPr>
                <w:sz w:val="24"/>
                <w:lang w:val="uk-UA"/>
              </w:rPr>
            </w:pPr>
            <w:r w:rsidRPr="0072312B">
              <w:rPr>
                <w:b/>
                <w:sz w:val="24"/>
                <w:lang w:val="uk-UA"/>
              </w:rPr>
              <w:t xml:space="preserve">Для держави </w:t>
            </w:r>
            <w:r w:rsidR="00457187">
              <w:rPr>
                <w:b/>
                <w:sz w:val="24"/>
                <w:lang w:val="uk-UA"/>
              </w:rPr>
              <w:t>–</w:t>
            </w:r>
            <w:r w:rsidRPr="0072312B">
              <w:rPr>
                <w:b/>
                <w:sz w:val="24"/>
                <w:lang w:val="uk-UA"/>
              </w:rPr>
              <w:t xml:space="preserve"> </w:t>
            </w:r>
            <w:r w:rsidR="00457187" w:rsidRPr="00457187">
              <w:rPr>
                <w:sz w:val="24"/>
                <w:lang w:val="uk-UA"/>
              </w:rPr>
              <w:t>збільшення кількості цінних паперів у біржовому списку,</w:t>
            </w:r>
            <w:r w:rsidR="00457187">
              <w:rPr>
                <w:b/>
                <w:sz w:val="24"/>
                <w:lang w:val="uk-UA"/>
              </w:rPr>
              <w:t xml:space="preserve"> </w:t>
            </w:r>
            <w:r w:rsidR="0072312B">
              <w:rPr>
                <w:sz w:val="24"/>
                <w:lang w:val="uk-UA"/>
              </w:rPr>
              <w:t>привернення уваги інвесторів та збільшення притоку інвестицій в цінні папери, щодо яких не здійснювалась публічна пропозиція, п</w:t>
            </w:r>
            <w:r w:rsidR="0072312B">
              <w:rPr>
                <w:sz w:val="24"/>
                <w:szCs w:val="24"/>
                <w:lang w:val="uk-UA"/>
              </w:rPr>
              <w:t xml:space="preserve">окращення іміджу України на міжнародній арені, </w:t>
            </w:r>
            <w:r w:rsidR="0072312B" w:rsidRPr="0072312B">
              <w:rPr>
                <w:sz w:val="24"/>
                <w:lang w:val="uk-UA"/>
              </w:rPr>
              <w:t>збільшення інвестиційної привабливості ринку цінних паперів.</w:t>
            </w:r>
          </w:p>
          <w:p w:rsidR="00A86C86" w:rsidRPr="00D907C0" w:rsidRDefault="001204D4" w:rsidP="00DA7213">
            <w:pPr>
              <w:pStyle w:val="a4"/>
              <w:jc w:val="left"/>
              <w:rPr>
                <w:b w:val="0"/>
                <w:sz w:val="24"/>
              </w:rPr>
            </w:pPr>
            <w:r w:rsidRPr="00163B46">
              <w:rPr>
                <w:sz w:val="24"/>
              </w:rPr>
              <w:t xml:space="preserve">Для громадян – </w:t>
            </w:r>
            <w:r w:rsidR="00D907C0">
              <w:rPr>
                <w:b w:val="0"/>
                <w:sz w:val="24"/>
              </w:rPr>
              <w:t xml:space="preserve">законодавчо врегульований порядок обігу </w:t>
            </w:r>
            <w:r w:rsidR="00D907C0" w:rsidRPr="009F2CF7">
              <w:rPr>
                <w:b w:val="0"/>
                <w:color w:val="000000"/>
                <w:sz w:val="24"/>
              </w:rPr>
              <w:t>цінних паперів, щодо яких не здійснювалася публічна пропозиція</w:t>
            </w:r>
            <w:r w:rsidR="00D907C0">
              <w:rPr>
                <w:b w:val="0"/>
                <w:color w:val="000000"/>
                <w:sz w:val="24"/>
              </w:rPr>
              <w:t>,</w:t>
            </w:r>
            <w:r w:rsidR="00D907C0" w:rsidRPr="009F2CF7">
              <w:rPr>
                <w:b w:val="0"/>
                <w:bCs w:val="0"/>
                <w:iCs/>
                <w:sz w:val="24"/>
              </w:rPr>
              <w:t xml:space="preserve"> </w:t>
            </w:r>
            <w:r w:rsidR="00D907C0" w:rsidRPr="00163B46">
              <w:rPr>
                <w:b w:val="0"/>
                <w:bCs w:val="0"/>
                <w:iCs/>
                <w:sz w:val="24"/>
              </w:rPr>
              <w:t>на фондовій біржі</w:t>
            </w:r>
            <w:r w:rsidR="00D907C0">
              <w:rPr>
                <w:b w:val="0"/>
                <w:sz w:val="24"/>
              </w:rPr>
              <w:t>,</w:t>
            </w:r>
            <w:r w:rsidR="00D907C0">
              <w:rPr>
                <w:b w:val="0"/>
              </w:rPr>
              <w:t xml:space="preserve"> </w:t>
            </w:r>
            <w:r w:rsidR="00D907C0" w:rsidRPr="00D907C0">
              <w:rPr>
                <w:b w:val="0"/>
                <w:sz w:val="24"/>
              </w:rPr>
              <w:t xml:space="preserve">захист прав власників цінних паперів, </w:t>
            </w:r>
            <w:r w:rsidR="00D907C0" w:rsidRPr="00D907C0">
              <w:rPr>
                <w:b w:val="0"/>
                <w:bCs w:val="0"/>
                <w:sz w:val="24"/>
              </w:rPr>
              <w:t>які перебувають в обігу на фондових біржах, та щодо</w:t>
            </w:r>
            <w:r w:rsidR="00D907C0" w:rsidRPr="00D907C0">
              <w:rPr>
                <w:b w:val="0"/>
                <w:sz w:val="24"/>
              </w:rPr>
              <w:t xml:space="preserve"> яких не </w:t>
            </w:r>
            <w:r w:rsidR="00D907C0" w:rsidRPr="00D907C0">
              <w:rPr>
                <w:b w:val="0"/>
                <w:color w:val="000000"/>
                <w:sz w:val="24"/>
              </w:rPr>
              <w:t>здійснювалася публічна пропозиція</w:t>
            </w:r>
            <w:r w:rsidR="00D907C0">
              <w:rPr>
                <w:b w:val="0"/>
                <w:bCs w:val="0"/>
                <w:sz w:val="24"/>
              </w:rPr>
              <w:t>,</w:t>
            </w:r>
            <w:r w:rsidR="00D907C0" w:rsidRPr="00CC0903">
              <w:rPr>
                <w:b w:val="0"/>
                <w:sz w:val="24"/>
              </w:rPr>
              <w:t xml:space="preserve"> </w:t>
            </w:r>
            <w:r w:rsidR="00D907C0">
              <w:rPr>
                <w:b w:val="0"/>
                <w:sz w:val="24"/>
              </w:rPr>
              <w:t>м</w:t>
            </w:r>
            <w:r w:rsidR="00D907C0" w:rsidRPr="00CC0903">
              <w:rPr>
                <w:b w:val="0"/>
                <w:sz w:val="24"/>
              </w:rPr>
              <w:t xml:space="preserve">ожливість управляти ризиками, пов’язаними з купівлею-продажем </w:t>
            </w:r>
            <w:r w:rsidR="00D907C0">
              <w:rPr>
                <w:b w:val="0"/>
                <w:sz w:val="24"/>
              </w:rPr>
              <w:t xml:space="preserve">зазначених вище </w:t>
            </w:r>
            <w:r w:rsidR="00D907C0" w:rsidRPr="00CC0903">
              <w:rPr>
                <w:b w:val="0"/>
                <w:sz w:val="24"/>
              </w:rPr>
              <w:t>цінних паперів на фондових біржах, та приймати відповідні рішення щодо отримання прибутку.</w:t>
            </w:r>
          </w:p>
          <w:p w:rsidR="007130E8" w:rsidRPr="006A187C" w:rsidRDefault="00A86C86" w:rsidP="00DA7213">
            <w:pPr>
              <w:pStyle w:val="a4"/>
              <w:jc w:val="left"/>
              <w:rPr>
                <w:b w:val="0"/>
                <w:sz w:val="24"/>
              </w:rPr>
            </w:pPr>
            <w:r w:rsidRPr="006A187C">
              <w:rPr>
                <w:sz w:val="24"/>
              </w:rPr>
              <w:t>Д</w:t>
            </w:r>
            <w:r w:rsidR="001204D4" w:rsidRPr="006A187C">
              <w:rPr>
                <w:sz w:val="24"/>
              </w:rPr>
              <w:t xml:space="preserve">ля </w:t>
            </w:r>
            <w:r w:rsidR="006A187C" w:rsidRPr="006A187C">
              <w:rPr>
                <w:sz w:val="24"/>
              </w:rPr>
              <w:t>суб’єктів господарювання</w:t>
            </w:r>
            <w:r w:rsidR="001204D4" w:rsidRPr="00163B46">
              <w:rPr>
                <w:b w:val="0"/>
                <w:sz w:val="24"/>
              </w:rPr>
              <w:t xml:space="preserve"> </w:t>
            </w:r>
            <w:r w:rsidR="008B541C" w:rsidRPr="00163B46">
              <w:rPr>
                <w:b w:val="0"/>
                <w:sz w:val="24"/>
              </w:rPr>
              <w:t>–</w:t>
            </w:r>
            <w:r w:rsidR="001204D4" w:rsidRPr="00163B46">
              <w:rPr>
                <w:b w:val="0"/>
                <w:sz w:val="24"/>
              </w:rPr>
              <w:t xml:space="preserve"> </w:t>
            </w:r>
            <w:r w:rsidR="00DA7213">
              <w:rPr>
                <w:b w:val="0"/>
                <w:sz w:val="24"/>
              </w:rPr>
              <w:t>в</w:t>
            </w:r>
            <w:r w:rsidR="006A187C">
              <w:rPr>
                <w:b w:val="0"/>
                <w:sz w:val="24"/>
              </w:rPr>
              <w:t xml:space="preserve">ідсутність необхідності </w:t>
            </w:r>
            <w:r w:rsidR="006A187C">
              <w:rPr>
                <w:b w:val="0"/>
                <w:sz w:val="24"/>
              </w:rPr>
              <w:lastRenderedPageBreak/>
              <w:t>підготовки пакету документів для здійснення публічної пропозиції,</w:t>
            </w:r>
            <w:r w:rsidR="006A187C" w:rsidRPr="007C253F">
              <w:rPr>
                <w:sz w:val="24"/>
              </w:rPr>
              <w:t xml:space="preserve"> </w:t>
            </w:r>
            <w:r w:rsidR="006A187C" w:rsidRPr="006A187C">
              <w:rPr>
                <w:b w:val="0"/>
                <w:sz w:val="24"/>
              </w:rPr>
              <w:t xml:space="preserve">захист прав власників цінних паперів, </w:t>
            </w:r>
            <w:r w:rsidR="006A187C" w:rsidRPr="006A187C">
              <w:rPr>
                <w:b w:val="0"/>
                <w:bCs w:val="0"/>
                <w:sz w:val="24"/>
              </w:rPr>
              <w:t>які перебувають в обігу на фондових біржах, та щодо</w:t>
            </w:r>
            <w:r w:rsidR="006A187C" w:rsidRPr="006A187C">
              <w:rPr>
                <w:b w:val="0"/>
                <w:sz w:val="24"/>
              </w:rPr>
              <w:t xml:space="preserve"> яких не </w:t>
            </w:r>
            <w:r w:rsidR="006A187C" w:rsidRPr="006A187C">
              <w:rPr>
                <w:b w:val="0"/>
                <w:color w:val="000000"/>
                <w:sz w:val="24"/>
              </w:rPr>
              <w:t>здійснювалася публічна пропозиція</w:t>
            </w:r>
            <w:r w:rsidR="006A187C" w:rsidRPr="006A187C">
              <w:rPr>
                <w:b w:val="0"/>
                <w:bCs w:val="0"/>
                <w:sz w:val="24"/>
              </w:rPr>
              <w:t>,</w:t>
            </w:r>
            <w:r w:rsidR="006A187C" w:rsidRPr="006A187C">
              <w:rPr>
                <w:b w:val="0"/>
                <w:sz w:val="24"/>
              </w:rPr>
              <w:t xml:space="preserve"> можливість управляти ризиками, пов’язаними з купівлею-продажем зазначених вище цінних паперів на фондових біржах, та приймати відповідні рішення щодо отримання прибутку.</w:t>
            </w:r>
          </w:p>
        </w:tc>
        <w:tc>
          <w:tcPr>
            <w:tcW w:w="2700" w:type="dxa"/>
            <w:shd w:val="clear" w:color="auto" w:fill="auto"/>
          </w:tcPr>
          <w:p w:rsidR="007130E8" w:rsidRPr="00163B46" w:rsidRDefault="007130E8" w:rsidP="00E56BFB">
            <w:pPr>
              <w:pStyle w:val="a4"/>
              <w:rPr>
                <w:b w:val="0"/>
                <w:sz w:val="24"/>
              </w:rPr>
            </w:pPr>
            <w:r w:rsidRPr="00163B46">
              <w:rPr>
                <w:b w:val="0"/>
                <w:sz w:val="24"/>
              </w:rPr>
              <w:lastRenderedPageBreak/>
              <w:t xml:space="preserve">Витрати фондових бірж на підготовку необхідних змін у </w:t>
            </w:r>
            <w:r w:rsidR="001F1938" w:rsidRPr="00163B46">
              <w:rPr>
                <w:b w:val="0"/>
                <w:sz w:val="24"/>
              </w:rPr>
              <w:t>правила біржі</w:t>
            </w:r>
            <w:r w:rsidR="00800F68" w:rsidRPr="00163B46">
              <w:rPr>
                <w:b w:val="0"/>
                <w:sz w:val="24"/>
              </w:rPr>
              <w:t>.</w:t>
            </w:r>
          </w:p>
          <w:p w:rsidR="00264E97" w:rsidRPr="00163B46" w:rsidRDefault="004F68F0" w:rsidP="00E56BFB">
            <w:pPr>
              <w:pStyle w:val="a4"/>
              <w:rPr>
                <w:b w:val="0"/>
                <w:sz w:val="24"/>
              </w:rPr>
            </w:pPr>
            <w:r>
              <w:rPr>
                <w:b w:val="0"/>
                <w:sz w:val="24"/>
              </w:rPr>
              <w:t>Витрати інших суб’єктів відсутні.</w:t>
            </w:r>
          </w:p>
        </w:tc>
        <w:tc>
          <w:tcPr>
            <w:tcW w:w="3240" w:type="dxa"/>
            <w:shd w:val="clear" w:color="auto" w:fill="auto"/>
          </w:tcPr>
          <w:p w:rsidR="004E5634" w:rsidRDefault="004E5634" w:rsidP="004E5634">
            <w:pPr>
              <w:pStyle w:val="a4"/>
              <w:ind w:firstLine="684"/>
              <w:rPr>
                <w:b w:val="0"/>
                <w:color w:val="000000"/>
                <w:sz w:val="24"/>
              </w:rPr>
            </w:pPr>
            <w:r w:rsidRPr="00163B46">
              <w:rPr>
                <w:b w:val="0"/>
                <w:sz w:val="24"/>
              </w:rPr>
              <w:t>Положення про функціонування фондових бірж є базовим та комплексним документом, що регулює та конкретизує діяльність організаторів торгівлі на фондовому ринку України</w:t>
            </w:r>
            <w:r w:rsidRPr="00163B46">
              <w:rPr>
                <w:b w:val="0"/>
                <w:color w:val="000000"/>
                <w:sz w:val="24"/>
              </w:rPr>
              <w:t xml:space="preserve">. Тому внесення змін до нього дозволить досягти цілей прийняття регуляторного акта, а саме: </w:t>
            </w:r>
          </w:p>
          <w:p w:rsidR="004E5634" w:rsidRPr="007108FE" w:rsidRDefault="004E5634" w:rsidP="004E5634">
            <w:pPr>
              <w:ind w:firstLine="298"/>
              <w:jc w:val="both"/>
              <w:rPr>
                <w:sz w:val="24"/>
                <w:szCs w:val="24"/>
                <w:lang w:val="uk-UA"/>
              </w:rPr>
            </w:pPr>
            <w:r w:rsidRPr="007108FE">
              <w:rPr>
                <w:sz w:val="24"/>
                <w:szCs w:val="24"/>
                <w:lang w:val="uk-UA"/>
              </w:rPr>
              <w:t xml:space="preserve">надання можливості для перебування у біржовому списку цінних паперів, щодо яких не здійснена публічна пропозиція; </w:t>
            </w:r>
          </w:p>
          <w:p w:rsidR="004E5634" w:rsidRPr="007108FE" w:rsidRDefault="004E5634" w:rsidP="004E5634">
            <w:pPr>
              <w:ind w:firstLine="298"/>
              <w:jc w:val="both"/>
              <w:rPr>
                <w:sz w:val="24"/>
                <w:szCs w:val="24"/>
                <w:lang w:val="uk-UA"/>
              </w:rPr>
            </w:pPr>
            <w:r w:rsidRPr="007108FE">
              <w:rPr>
                <w:sz w:val="24"/>
                <w:szCs w:val="24"/>
                <w:lang w:val="uk-UA"/>
              </w:rPr>
              <w:t>підвищення обігу на фондовій біржі позалістингових цінних паперів;</w:t>
            </w:r>
          </w:p>
          <w:p w:rsidR="004E5634" w:rsidRPr="000D2DAE" w:rsidRDefault="004E5634" w:rsidP="004E5634">
            <w:pPr>
              <w:ind w:firstLine="298"/>
              <w:jc w:val="both"/>
              <w:rPr>
                <w:bCs/>
                <w:iCs/>
                <w:sz w:val="24"/>
                <w:szCs w:val="24"/>
                <w:lang w:val="uk-UA"/>
              </w:rPr>
            </w:pPr>
            <w:r w:rsidRPr="008676E9">
              <w:rPr>
                <w:sz w:val="24"/>
                <w:szCs w:val="16"/>
                <w:lang w:val="uk-UA"/>
              </w:rPr>
              <w:t>відповідності вимогам Закону України від 16 листопада 2017 року № 2210 - VIII «Про внесення змін до деяких законодавчих актів України щодо спрощення ведення бізнесу та залучення інвестицій емітентами цінних паперів»</w:t>
            </w:r>
            <w:r>
              <w:rPr>
                <w:b/>
                <w:sz w:val="24"/>
                <w:szCs w:val="16"/>
                <w:lang w:val="uk-UA"/>
              </w:rPr>
              <w:t xml:space="preserve"> </w:t>
            </w:r>
            <w:r>
              <w:rPr>
                <w:sz w:val="24"/>
                <w:szCs w:val="24"/>
                <w:lang w:val="uk-UA"/>
              </w:rPr>
              <w:t xml:space="preserve">щодо </w:t>
            </w:r>
            <w:r w:rsidRPr="00800873">
              <w:rPr>
                <w:sz w:val="24"/>
                <w:szCs w:val="24"/>
                <w:lang w:val="uk-UA"/>
              </w:rPr>
              <w:t>обігу цінних паперів, щодо яких не здійснювалася публічна пропозиція,</w:t>
            </w:r>
            <w:r w:rsidRPr="00800873">
              <w:rPr>
                <w:bCs/>
                <w:iCs/>
                <w:sz w:val="24"/>
                <w:szCs w:val="24"/>
                <w:lang w:val="uk-UA"/>
              </w:rPr>
              <w:t xml:space="preserve"> на фондовій біржі</w:t>
            </w:r>
            <w:r>
              <w:rPr>
                <w:bCs/>
                <w:iCs/>
                <w:sz w:val="24"/>
                <w:szCs w:val="24"/>
                <w:lang w:val="uk-UA"/>
              </w:rPr>
              <w:t xml:space="preserve">; </w:t>
            </w:r>
          </w:p>
          <w:p w:rsidR="007130E8" w:rsidRPr="001B4137" w:rsidRDefault="004E5634" w:rsidP="004E5634">
            <w:pPr>
              <w:shd w:val="clear" w:color="auto" w:fill="FFFFFF"/>
              <w:suppressAutoHyphens/>
              <w:autoSpaceDE w:val="0"/>
              <w:autoSpaceDN w:val="0"/>
              <w:adjustRightInd w:val="0"/>
              <w:ind w:firstLine="260"/>
              <w:jc w:val="both"/>
              <w:rPr>
                <w:sz w:val="24"/>
                <w:szCs w:val="24"/>
                <w:lang w:val="uk-UA"/>
              </w:rPr>
            </w:pPr>
            <w:r w:rsidRPr="000D2DAE">
              <w:rPr>
                <w:bCs/>
                <w:iCs/>
                <w:sz w:val="24"/>
                <w:szCs w:val="24"/>
                <w:lang w:val="uk-UA"/>
              </w:rPr>
              <w:t>перебування цінних паперів емітентів, що здійснили публічну пропозицію, у біржовому реєстрі з дотриманням вимог, встановлених законом</w:t>
            </w:r>
            <w:r>
              <w:rPr>
                <w:bCs/>
                <w:iCs/>
                <w:sz w:val="24"/>
                <w:szCs w:val="24"/>
                <w:lang w:val="uk-UA"/>
              </w:rPr>
              <w:t>.</w:t>
            </w:r>
          </w:p>
        </w:tc>
      </w:tr>
      <w:tr w:rsidR="001D2451" w:rsidRPr="00163B46" w:rsidTr="00163B46">
        <w:trPr>
          <w:trHeight w:val="115"/>
        </w:trPr>
        <w:tc>
          <w:tcPr>
            <w:tcW w:w="1620" w:type="dxa"/>
            <w:shd w:val="clear" w:color="auto" w:fill="auto"/>
          </w:tcPr>
          <w:p w:rsidR="001D2451" w:rsidRPr="00426E0C" w:rsidRDefault="001D2451" w:rsidP="00163B46">
            <w:pPr>
              <w:jc w:val="both"/>
              <w:rPr>
                <w:b/>
                <w:lang w:val="uk-UA"/>
              </w:rPr>
            </w:pPr>
            <w:r w:rsidRPr="00426E0C">
              <w:rPr>
                <w:b/>
                <w:lang w:val="uk-UA"/>
              </w:rPr>
              <w:t>Відсутність регулювання</w:t>
            </w:r>
          </w:p>
        </w:tc>
        <w:tc>
          <w:tcPr>
            <w:tcW w:w="2700" w:type="dxa"/>
            <w:shd w:val="clear" w:color="auto" w:fill="auto"/>
          </w:tcPr>
          <w:p w:rsidR="00986310" w:rsidRPr="00163B46" w:rsidRDefault="00426E0C" w:rsidP="00163B46">
            <w:pPr>
              <w:jc w:val="both"/>
              <w:rPr>
                <w:sz w:val="24"/>
                <w:szCs w:val="24"/>
                <w:lang w:val="uk-UA"/>
              </w:rPr>
            </w:pPr>
            <w:r>
              <w:rPr>
                <w:sz w:val="24"/>
                <w:szCs w:val="24"/>
                <w:lang w:val="uk-UA"/>
              </w:rPr>
              <w:t>Для держави - відсутні</w:t>
            </w:r>
            <w:r w:rsidR="000431A8" w:rsidRPr="00163B46">
              <w:rPr>
                <w:sz w:val="24"/>
                <w:szCs w:val="24"/>
                <w:lang w:val="uk-UA"/>
              </w:rPr>
              <w:t>.</w:t>
            </w:r>
          </w:p>
          <w:p w:rsidR="00426E0C" w:rsidRDefault="001D2451" w:rsidP="00426E0C">
            <w:pPr>
              <w:jc w:val="both"/>
              <w:rPr>
                <w:sz w:val="24"/>
                <w:szCs w:val="24"/>
                <w:lang w:val="uk-UA"/>
              </w:rPr>
            </w:pPr>
            <w:r w:rsidRPr="00163B46">
              <w:rPr>
                <w:sz w:val="24"/>
                <w:szCs w:val="24"/>
                <w:lang w:val="uk-UA"/>
              </w:rPr>
              <w:t xml:space="preserve">Для громадян </w:t>
            </w:r>
            <w:r w:rsidR="00426E0C">
              <w:rPr>
                <w:sz w:val="24"/>
                <w:szCs w:val="24"/>
                <w:lang w:val="uk-UA"/>
              </w:rPr>
              <w:t>-</w:t>
            </w:r>
            <w:r w:rsidRPr="00163B46">
              <w:rPr>
                <w:sz w:val="24"/>
                <w:szCs w:val="24"/>
                <w:lang w:val="uk-UA"/>
              </w:rPr>
              <w:t xml:space="preserve"> відсутні</w:t>
            </w:r>
            <w:r w:rsidR="00C8762A" w:rsidRPr="00163B46">
              <w:rPr>
                <w:sz w:val="24"/>
                <w:szCs w:val="24"/>
                <w:lang w:val="uk-UA"/>
              </w:rPr>
              <w:t>.</w:t>
            </w:r>
          </w:p>
          <w:p w:rsidR="00426E0C" w:rsidRPr="00163B46" w:rsidRDefault="00426E0C" w:rsidP="00426E0C">
            <w:pPr>
              <w:jc w:val="both"/>
              <w:rPr>
                <w:sz w:val="24"/>
                <w:szCs w:val="24"/>
                <w:lang w:val="uk-UA"/>
              </w:rPr>
            </w:pPr>
            <w:r w:rsidRPr="00163B46">
              <w:rPr>
                <w:sz w:val="24"/>
                <w:lang w:val="uk-UA"/>
              </w:rPr>
              <w:t xml:space="preserve">Для бірж </w:t>
            </w:r>
            <w:r>
              <w:rPr>
                <w:sz w:val="24"/>
                <w:lang w:val="uk-UA"/>
              </w:rPr>
              <w:t xml:space="preserve">- </w:t>
            </w:r>
            <w:r w:rsidRPr="00163B46">
              <w:rPr>
                <w:sz w:val="24"/>
                <w:lang w:val="uk-UA"/>
              </w:rPr>
              <w:t>відсутні.</w:t>
            </w:r>
          </w:p>
          <w:p w:rsidR="00C8762A" w:rsidRPr="00426E0C" w:rsidRDefault="00C8762A" w:rsidP="00426E0C">
            <w:pPr>
              <w:rPr>
                <w:sz w:val="24"/>
                <w:szCs w:val="24"/>
                <w:lang w:val="uk-UA"/>
              </w:rPr>
            </w:pPr>
          </w:p>
        </w:tc>
        <w:tc>
          <w:tcPr>
            <w:tcW w:w="2700" w:type="dxa"/>
            <w:shd w:val="clear" w:color="auto" w:fill="auto"/>
          </w:tcPr>
          <w:p w:rsidR="00AB40BD" w:rsidRDefault="00AB40BD" w:rsidP="00AB40BD">
            <w:pPr>
              <w:jc w:val="both"/>
              <w:rPr>
                <w:sz w:val="24"/>
                <w:szCs w:val="24"/>
                <w:lang w:val="uk-UA"/>
              </w:rPr>
            </w:pPr>
            <w:r w:rsidRPr="00163B46">
              <w:rPr>
                <w:sz w:val="24"/>
                <w:szCs w:val="24"/>
                <w:lang w:val="uk-UA"/>
              </w:rPr>
              <w:t>1. Неотримані інвестиції від фізичних та юридичних осіб.</w:t>
            </w:r>
          </w:p>
          <w:p w:rsidR="00AB40BD" w:rsidRDefault="00AB40BD" w:rsidP="00AB40BD">
            <w:pPr>
              <w:jc w:val="both"/>
              <w:rPr>
                <w:sz w:val="24"/>
                <w:szCs w:val="24"/>
                <w:lang w:val="uk-UA"/>
              </w:rPr>
            </w:pPr>
            <w:r>
              <w:rPr>
                <w:sz w:val="24"/>
                <w:szCs w:val="24"/>
                <w:lang w:val="uk-UA"/>
              </w:rPr>
              <w:t>2</w:t>
            </w:r>
            <w:r w:rsidRPr="00163B46">
              <w:rPr>
                <w:sz w:val="24"/>
                <w:szCs w:val="24"/>
                <w:lang w:val="uk-UA"/>
              </w:rPr>
              <w:t xml:space="preserve">. </w:t>
            </w:r>
            <w:r>
              <w:rPr>
                <w:sz w:val="24"/>
                <w:szCs w:val="24"/>
                <w:lang w:val="uk-UA"/>
              </w:rPr>
              <w:t>Зменшення інвестиційної привабливості ринку цінних паперів.</w:t>
            </w:r>
          </w:p>
          <w:p w:rsidR="00AB40BD" w:rsidRDefault="00AB40BD" w:rsidP="00AB40BD">
            <w:pPr>
              <w:jc w:val="both"/>
              <w:rPr>
                <w:color w:val="000000"/>
                <w:sz w:val="24"/>
                <w:lang w:val="uk-UA"/>
              </w:rPr>
            </w:pPr>
            <w:r>
              <w:rPr>
                <w:sz w:val="24"/>
                <w:lang w:val="uk-UA"/>
              </w:rPr>
              <w:t xml:space="preserve">3. Втрата можливості купувати/продавати цінні папери, щодо яких не </w:t>
            </w:r>
            <w:r w:rsidRPr="00A609B7">
              <w:rPr>
                <w:color w:val="000000"/>
                <w:sz w:val="24"/>
                <w:lang w:val="uk-UA"/>
              </w:rPr>
              <w:t>здійснювалася публічна пропозиція</w:t>
            </w:r>
            <w:r>
              <w:rPr>
                <w:color w:val="000000"/>
                <w:sz w:val="24"/>
                <w:lang w:val="uk-UA"/>
              </w:rPr>
              <w:t>, за ринковими цінами.</w:t>
            </w:r>
          </w:p>
          <w:p w:rsidR="00976F2A" w:rsidRPr="00163B46" w:rsidRDefault="00AB40BD" w:rsidP="00AB40BD">
            <w:pPr>
              <w:jc w:val="both"/>
              <w:rPr>
                <w:sz w:val="24"/>
                <w:szCs w:val="24"/>
                <w:lang w:val="uk-UA"/>
              </w:rPr>
            </w:pPr>
            <w:r>
              <w:rPr>
                <w:sz w:val="24"/>
                <w:szCs w:val="24"/>
                <w:lang w:val="uk-UA"/>
              </w:rPr>
              <w:t>4. Відсутність інформації на фондовому ринку щодо емітентів, які здійснили публічну пропозицію на фондовій біржі, що загрожує відсутністю можливості інвесторам управляти ризиками, пов’язаними з купівлею-продажом зазначених  цінних паперів на фондових біржах, та приймати відповідні управлінські рішення щодо отримання прибутку.</w:t>
            </w:r>
          </w:p>
        </w:tc>
        <w:tc>
          <w:tcPr>
            <w:tcW w:w="3240" w:type="dxa"/>
            <w:shd w:val="clear" w:color="auto" w:fill="auto"/>
          </w:tcPr>
          <w:p w:rsidR="001D2451" w:rsidRPr="00163B46" w:rsidRDefault="005B0F04" w:rsidP="00013D9B">
            <w:pPr>
              <w:jc w:val="both"/>
              <w:rPr>
                <w:lang w:val="uk-UA"/>
              </w:rPr>
            </w:pPr>
            <w:r w:rsidRPr="005B0F04">
              <w:rPr>
                <w:color w:val="000000"/>
                <w:sz w:val="24"/>
                <w:lang w:val="uk-UA"/>
              </w:rPr>
              <w:t xml:space="preserve">Причина відмови від зазначеної альтернативи полягає у тому, що без </w:t>
            </w:r>
            <w:r w:rsidRPr="005B0F04">
              <w:rPr>
                <w:sz w:val="24"/>
                <w:lang w:val="uk-UA"/>
              </w:rPr>
              <w:t>надання можливості для перебування у біржовому списку цінних паперів, щодо яких не здійснена публічна пропозиція, обсяг торгівлі на фондових біржах зменшиться, а без</w:t>
            </w:r>
            <w:r w:rsidRPr="005B0F04">
              <w:rPr>
                <w:color w:val="000000"/>
                <w:sz w:val="24"/>
                <w:lang w:val="uk-UA"/>
              </w:rPr>
              <w:t xml:space="preserve"> внесення у Положення відповідних змін залишатиметься законодавчо не врегульованим обіг на фондовій біржі цінних паперів, </w:t>
            </w:r>
            <w:r w:rsidRPr="005B0F04">
              <w:rPr>
                <w:sz w:val="24"/>
                <w:lang w:val="uk-UA"/>
              </w:rPr>
              <w:t xml:space="preserve">щодо яких не здійснена публічна пропозиція, що в свою чергу призведе до негативних наслідків </w:t>
            </w:r>
            <w:r w:rsidR="009E7ADD">
              <w:rPr>
                <w:sz w:val="24"/>
                <w:lang w:val="uk-UA"/>
              </w:rPr>
              <w:t>для</w:t>
            </w:r>
            <w:r w:rsidRPr="005B0F04">
              <w:rPr>
                <w:sz w:val="24"/>
                <w:lang w:val="uk-UA"/>
              </w:rPr>
              <w:t xml:space="preserve"> інвесторів та учасників біржових торгів</w:t>
            </w:r>
            <w:r w:rsidRPr="005B0F04">
              <w:rPr>
                <w:color w:val="000000"/>
                <w:sz w:val="24"/>
                <w:lang w:val="uk-UA"/>
              </w:rPr>
              <w:t>. Крім того, перебування цінних паперів у біржовому реєстрі фондової біржі без розкриття емітентами таких цінних паперів інформації на фондовому ринку, що вимагається ст.40-41¹ Закону, може бути причиною втрати довіри емітента до торгівлі цінними паперами на біржі.</w:t>
            </w:r>
          </w:p>
        </w:tc>
      </w:tr>
    </w:tbl>
    <w:p w:rsidR="00E56BFB" w:rsidRPr="005A54EA" w:rsidRDefault="00E56BFB" w:rsidP="00E56BFB">
      <w:pPr>
        <w:rPr>
          <w:lang w:val="uk-UA"/>
        </w:rPr>
      </w:pPr>
    </w:p>
    <w:p w:rsidR="00CD3376" w:rsidRDefault="00CD3376" w:rsidP="00E56BFB">
      <w:pPr>
        <w:rPr>
          <w:lang w:val="uk-UA"/>
        </w:rPr>
      </w:pPr>
    </w:p>
    <w:p w:rsidR="00E56BFB" w:rsidRPr="005A54EA" w:rsidRDefault="00E56BFB" w:rsidP="00E56BFB">
      <w:pPr>
        <w:ind w:firstLine="709"/>
        <w:jc w:val="center"/>
        <w:rPr>
          <w:b/>
          <w:sz w:val="28"/>
          <w:szCs w:val="28"/>
          <w:lang w:val="uk-UA"/>
        </w:rPr>
      </w:pPr>
      <w:r w:rsidRPr="005A54EA">
        <w:rPr>
          <w:b/>
          <w:sz w:val="28"/>
          <w:szCs w:val="28"/>
          <w:lang w:val="uk-UA"/>
        </w:rPr>
        <w:t>V.  Механізми та заходи, які забезпечать розв’язання визначеної проблеми</w:t>
      </w:r>
    </w:p>
    <w:p w:rsidR="00E56BFB" w:rsidRPr="005A54EA" w:rsidRDefault="00E56BFB" w:rsidP="00E56BFB">
      <w:pPr>
        <w:pStyle w:val="a5"/>
        <w:jc w:val="both"/>
        <w:rPr>
          <w:b/>
          <w:sz w:val="28"/>
          <w:szCs w:val="28"/>
        </w:rPr>
      </w:pPr>
    </w:p>
    <w:p w:rsidR="00BB0388" w:rsidRDefault="00BB0388" w:rsidP="00BB0388">
      <w:pPr>
        <w:ind w:firstLine="720"/>
        <w:jc w:val="both"/>
        <w:rPr>
          <w:sz w:val="28"/>
          <w:szCs w:val="28"/>
          <w:lang w:val="uk-UA"/>
        </w:rPr>
      </w:pPr>
      <w:r w:rsidRPr="005A54EA">
        <w:rPr>
          <w:bCs/>
          <w:sz w:val="28"/>
          <w:szCs w:val="28"/>
          <w:lang w:val="uk-UA"/>
        </w:rPr>
        <w:t xml:space="preserve">Механізмом, який застосовується для розв’язання проблем, зазначених у розділі 1 Аналізу регуляторного впливу, є прийняття </w:t>
      </w:r>
      <w:r w:rsidR="00351177" w:rsidRPr="005A54EA">
        <w:rPr>
          <w:bCs/>
          <w:sz w:val="28"/>
          <w:szCs w:val="28"/>
          <w:lang w:val="uk-UA"/>
        </w:rPr>
        <w:t xml:space="preserve">проекту </w:t>
      </w:r>
      <w:r w:rsidRPr="005A54EA">
        <w:rPr>
          <w:bCs/>
          <w:sz w:val="28"/>
          <w:szCs w:val="28"/>
          <w:lang w:val="uk-UA"/>
        </w:rPr>
        <w:t xml:space="preserve">рішення НКЦПФР </w:t>
      </w:r>
      <w:r w:rsidRPr="005A54EA">
        <w:rPr>
          <w:sz w:val="28"/>
          <w:szCs w:val="28"/>
          <w:lang w:val="uk-UA"/>
        </w:rPr>
        <w:t>«Про внесення змін до Положення про функціонування фондових бірж», який передбачає, зокрема:</w:t>
      </w:r>
    </w:p>
    <w:p w:rsidR="00916893" w:rsidRDefault="00916893" w:rsidP="00916893">
      <w:pPr>
        <w:ind w:firstLine="708"/>
        <w:jc w:val="both"/>
        <w:rPr>
          <w:sz w:val="28"/>
          <w:szCs w:val="28"/>
          <w:lang w:val="uk-UA"/>
        </w:rPr>
      </w:pPr>
      <w:r>
        <w:rPr>
          <w:sz w:val="28"/>
          <w:szCs w:val="28"/>
          <w:lang w:val="uk-UA"/>
        </w:rPr>
        <w:t xml:space="preserve">надання можливості </w:t>
      </w:r>
      <w:r w:rsidR="0080264C">
        <w:rPr>
          <w:sz w:val="28"/>
          <w:szCs w:val="28"/>
          <w:lang w:val="uk-UA"/>
        </w:rPr>
        <w:t>проведення біржових торгів</w:t>
      </w:r>
      <w:r>
        <w:rPr>
          <w:sz w:val="28"/>
          <w:szCs w:val="28"/>
          <w:lang w:val="uk-UA"/>
        </w:rPr>
        <w:t xml:space="preserve"> цінни</w:t>
      </w:r>
      <w:r w:rsidR="0080264C">
        <w:rPr>
          <w:sz w:val="28"/>
          <w:szCs w:val="28"/>
          <w:lang w:val="uk-UA"/>
        </w:rPr>
        <w:t>ми</w:t>
      </w:r>
      <w:r>
        <w:rPr>
          <w:sz w:val="28"/>
          <w:szCs w:val="28"/>
          <w:lang w:val="uk-UA"/>
        </w:rPr>
        <w:t xml:space="preserve"> папер</w:t>
      </w:r>
      <w:r w:rsidR="0080264C">
        <w:rPr>
          <w:sz w:val="28"/>
          <w:szCs w:val="28"/>
          <w:lang w:val="uk-UA"/>
        </w:rPr>
        <w:t>ами</w:t>
      </w:r>
      <w:r>
        <w:rPr>
          <w:sz w:val="28"/>
          <w:szCs w:val="28"/>
          <w:lang w:val="uk-UA"/>
        </w:rPr>
        <w:t>,</w:t>
      </w:r>
      <w:r w:rsidRPr="006B73E3">
        <w:rPr>
          <w:sz w:val="28"/>
          <w:szCs w:val="28"/>
          <w:lang w:val="uk-UA"/>
        </w:rPr>
        <w:t xml:space="preserve"> </w:t>
      </w:r>
      <w:r>
        <w:rPr>
          <w:sz w:val="28"/>
          <w:szCs w:val="28"/>
          <w:lang w:val="uk-UA"/>
        </w:rPr>
        <w:t>щодо яких не здійснена публічна пропозиція</w:t>
      </w:r>
      <w:r w:rsidR="0080264C">
        <w:rPr>
          <w:sz w:val="28"/>
          <w:szCs w:val="28"/>
          <w:lang w:val="uk-UA"/>
        </w:rPr>
        <w:t xml:space="preserve">, шляхом </w:t>
      </w:r>
      <w:r w:rsidR="0080264C" w:rsidRPr="005424C1">
        <w:rPr>
          <w:sz w:val="28"/>
          <w:szCs w:val="28"/>
          <w:lang w:val="uk-UA"/>
        </w:rPr>
        <w:t>забезпечення електронною торговельною системою</w:t>
      </w:r>
      <w:r w:rsidR="0080264C">
        <w:rPr>
          <w:sz w:val="26"/>
          <w:szCs w:val="26"/>
          <w:lang w:val="uk-UA"/>
        </w:rPr>
        <w:t xml:space="preserve"> фондової біржі </w:t>
      </w:r>
      <w:r w:rsidR="0080264C" w:rsidRPr="005424C1">
        <w:rPr>
          <w:color w:val="000000"/>
          <w:sz w:val="28"/>
          <w:szCs w:val="28"/>
          <w:lang w:val="uk-UA" w:eastAsia="uk-UA"/>
        </w:rPr>
        <w:t>доступ</w:t>
      </w:r>
      <w:r w:rsidR="0080264C">
        <w:rPr>
          <w:color w:val="000000"/>
          <w:sz w:val="28"/>
          <w:szCs w:val="28"/>
          <w:lang w:val="uk-UA" w:eastAsia="uk-UA"/>
        </w:rPr>
        <w:t>у</w:t>
      </w:r>
      <w:r w:rsidR="0080264C" w:rsidRPr="005424C1">
        <w:rPr>
          <w:color w:val="000000"/>
          <w:sz w:val="28"/>
          <w:szCs w:val="28"/>
          <w:lang w:val="uk-UA" w:eastAsia="uk-UA"/>
        </w:rPr>
        <w:t xml:space="preserve"> учасників біржових торгів протягом торгівельної сесії, в яку здійснюються біржові торги цінними паперами,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до інформації про учасників біржових торгів та клієнтів учасників біржових торгів, які користуються прямим електронним доступом та дали згоду щодо надання доступу до такої інформації, яка щонайменше має містити: прізвище, ім’я, по батькові – для фізичної особи; повне найменування, ідентифікаційний код – для юридичної особи</w:t>
      </w:r>
      <w:r w:rsidR="0080264C">
        <w:rPr>
          <w:sz w:val="28"/>
          <w:szCs w:val="28"/>
          <w:lang w:val="uk-UA"/>
        </w:rPr>
        <w:t xml:space="preserve"> </w:t>
      </w:r>
      <w:r>
        <w:rPr>
          <w:sz w:val="28"/>
          <w:szCs w:val="28"/>
          <w:lang w:val="uk-UA"/>
        </w:rPr>
        <w:t xml:space="preserve">; </w:t>
      </w:r>
    </w:p>
    <w:p w:rsidR="00210A9C" w:rsidRPr="005A54EA" w:rsidRDefault="00210A9C" w:rsidP="00974A57">
      <w:pPr>
        <w:ind w:firstLine="708"/>
        <w:jc w:val="both"/>
        <w:rPr>
          <w:sz w:val="28"/>
          <w:szCs w:val="28"/>
          <w:lang w:val="uk-UA"/>
        </w:rPr>
      </w:pPr>
      <w:r>
        <w:rPr>
          <w:sz w:val="28"/>
          <w:szCs w:val="28"/>
          <w:lang w:val="uk-UA"/>
        </w:rPr>
        <w:t>забезпечення перебування у біржовому реєстрі фондової біржі цінних паперів, емітенти яких розкривають інформацію на фондовому ринку згідно з вимогами статті 40-4</w:t>
      </w:r>
      <w:r w:rsidR="00F6639C">
        <w:rPr>
          <w:sz w:val="28"/>
          <w:szCs w:val="28"/>
          <w:lang w:val="uk-UA"/>
        </w:rPr>
        <w:t>1</w:t>
      </w:r>
      <w:r w:rsidR="0080264C">
        <w:rPr>
          <w:sz w:val="28"/>
          <w:szCs w:val="28"/>
          <w:lang w:val="uk-UA"/>
        </w:rPr>
        <w:t>¹</w:t>
      </w:r>
      <w:r>
        <w:rPr>
          <w:sz w:val="28"/>
          <w:szCs w:val="28"/>
          <w:lang w:val="uk-UA"/>
        </w:rPr>
        <w:t xml:space="preserve"> Закону;</w:t>
      </w:r>
    </w:p>
    <w:p w:rsidR="00974A57" w:rsidRPr="009A7685" w:rsidRDefault="00D579B7" w:rsidP="00974A57">
      <w:pPr>
        <w:pStyle w:val="3"/>
        <w:suppressAutoHyphens/>
        <w:spacing w:after="0"/>
        <w:ind w:left="0" w:firstLine="709"/>
        <w:jc w:val="both"/>
        <w:rPr>
          <w:sz w:val="28"/>
          <w:szCs w:val="28"/>
          <w:lang w:val="uk-UA"/>
        </w:rPr>
      </w:pPr>
      <w:r>
        <w:rPr>
          <w:color w:val="000000"/>
          <w:sz w:val="28"/>
          <w:szCs w:val="28"/>
          <w:lang w:val="uk-UA"/>
        </w:rPr>
        <w:t>збільшення обсягу торгів цінними паперами на організованому ринку</w:t>
      </w:r>
      <w:r w:rsidR="00974A57">
        <w:rPr>
          <w:sz w:val="28"/>
          <w:szCs w:val="28"/>
          <w:lang w:val="uk-UA"/>
        </w:rPr>
        <w:t>.</w:t>
      </w:r>
    </w:p>
    <w:p w:rsidR="009A7A03" w:rsidRPr="005A54EA" w:rsidRDefault="009A7A03" w:rsidP="005775EE">
      <w:pPr>
        <w:ind w:firstLine="708"/>
        <w:jc w:val="both"/>
        <w:rPr>
          <w:color w:val="000000"/>
          <w:sz w:val="28"/>
          <w:szCs w:val="28"/>
          <w:lang w:val="uk-UA"/>
        </w:rPr>
      </w:pPr>
      <w:r w:rsidRPr="005A54EA">
        <w:rPr>
          <w:sz w:val="28"/>
          <w:szCs w:val="28"/>
          <w:lang w:val="uk-UA"/>
        </w:rPr>
        <w:t>Заходами, які забезпечать розв’язання визначених проблем, є</w:t>
      </w:r>
      <w:r w:rsidR="000B6192">
        <w:rPr>
          <w:sz w:val="28"/>
          <w:szCs w:val="28"/>
          <w:lang w:val="uk-UA"/>
        </w:rPr>
        <w:t xml:space="preserve"> прийняття даного регуляторного акта та</w:t>
      </w:r>
      <w:r w:rsidRPr="005A54EA">
        <w:rPr>
          <w:sz w:val="28"/>
          <w:szCs w:val="28"/>
          <w:lang w:val="uk-UA"/>
        </w:rPr>
        <w:t xml:space="preserve"> </w:t>
      </w:r>
      <w:r w:rsidR="00A35F2C">
        <w:rPr>
          <w:sz w:val="28"/>
          <w:szCs w:val="28"/>
          <w:lang w:val="uk-UA"/>
        </w:rPr>
        <w:t xml:space="preserve">доведення </w:t>
      </w:r>
      <w:r w:rsidR="000B6192">
        <w:rPr>
          <w:sz w:val="28"/>
          <w:szCs w:val="28"/>
          <w:lang w:val="uk-UA"/>
        </w:rPr>
        <w:t xml:space="preserve">цього </w:t>
      </w:r>
      <w:r w:rsidR="00A35F2C">
        <w:rPr>
          <w:sz w:val="28"/>
          <w:szCs w:val="28"/>
          <w:lang w:val="uk-UA"/>
        </w:rPr>
        <w:t>регуляторного акта до відома професійним учасникам фондового ринку шляхом оприлюднення на офіційному веб-сайті Комісії</w:t>
      </w:r>
      <w:r w:rsidRPr="005A54EA">
        <w:rPr>
          <w:bCs/>
          <w:sz w:val="28"/>
          <w:szCs w:val="28"/>
          <w:lang w:val="uk-UA"/>
        </w:rPr>
        <w:t>.</w:t>
      </w:r>
    </w:p>
    <w:p w:rsidR="009A7A03" w:rsidRPr="005A54EA" w:rsidRDefault="009A7A03" w:rsidP="009A7A03">
      <w:pPr>
        <w:pStyle w:val="a4"/>
        <w:ind w:right="-81" w:firstLine="709"/>
        <w:rPr>
          <w:b w:val="0"/>
        </w:rPr>
      </w:pPr>
      <w:r w:rsidRPr="005A54EA">
        <w:rPr>
          <w:b w:val="0"/>
        </w:rPr>
        <w:t xml:space="preserve">Державний контроль та нагляд за дотриманням вимог регуляторного акта здійснюється Національною комісією з цінних паперів та фондового ринку,  як органом державної влади, який відповідно до законодавства України встановлює правила та умови діяльності </w:t>
      </w:r>
      <w:r w:rsidR="003869F4">
        <w:rPr>
          <w:b w:val="0"/>
        </w:rPr>
        <w:t>організаторів торгівлі</w:t>
      </w:r>
      <w:r w:rsidRPr="005A54EA">
        <w:rPr>
          <w:b w:val="0"/>
        </w:rPr>
        <w:t xml:space="preserve"> цінними паперами. </w:t>
      </w:r>
    </w:p>
    <w:p w:rsidR="00387730" w:rsidRDefault="00387730" w:rsidP="00E56BFB">
      <w:pPr>
        <w:pStyle w:val="a3"/>
        <w:ind w:firstLine="720"/>
        <w:rPr>
          <w:szCs w:val="28"/>
        </w:rPr>
      </w:pPr>
    </w:p>
    <w:p w:rsidR="00E56BFB" w:rsidRDefault="00E56BFB" w:rsidP="00E56BFB">
      <w:pPr>
        <w:pStyle w:val="a3"/>
        <w:ind w:firstLine="720"/>
        <w:rPr>
          <w:szCs w:val="28"/>
          <w:lang w:val="en-US"/>
        </w:rPr>
      </w:pPr>
      <w:r w:rsidRPr="005A54EA">
        <w:rPr>
          <w:szCs w:val="28"/>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D1C71" w:rsidRDefault="008D1C71" w:rsidP="00E56BFB">
      <w:pPr>
        <w:pStyle w:val="a3"/>
        <w:ind w:firstLine="720"/>
        <w:rPr>
          <w:szCs w:val="28"/>
        </w:rPr>
      </w:pPr>
    </w:p>
    <w:p w:rsidR="001661E9" w:rsidRPr="005908BB" w:rsidRDefault="001661E9" w:rsidP="00E56BFB">
      <w:pPr>
        <w:pStyle w:val="a3"/>
        <w:ind w:firstLine="720"/>
        <w:rPr>
          <w:szCs w:val="28"/>
          <w:lang w:val="ru-RU"/>
        </w:rPr>
      </w:pPr>
      <w:r w:rsidRPr="005A54EA">
        <w:rPr>
          <w:szCs w:val="28"/>
        </w:rPr>
        <w:t>Тест малого підприємництва (М-Тест)</w:t>
      </w:r>
    </w:p>
    <w:p w:rsidR="00FA68AE" w:rsidRPr="005908BB" w:rsidRDefault="00FA68AE" w:rsidP="00E56BFB">
      <w:pPr>
        <w:pStyle w:val="a3"/>
        <w:ind w:firstLine="720"/>
        <w:rPr>
          <w:szCs w:val="28"/>
          <w:lang w:val="ru-RU"/>
        </w:rPr>
      </w:pPr>
    </w:p>
    <w:p w:rsidR="00E56BFB" w:rsidRPr="005A54EA" w:rsidRDefault="00E56BFB" w:rsidP="00E56BFB">
      <w:pPr>
        <w:pStyle w:val="a3"/>
        <w:numPr>
          <w:ilvl w:val="0"/>
          <w:numId w:val="2"/>
        </w:numPr>
        <w:tabs>
          <w:tab w:val="clear" w:pos="1725"/>
          <w:tab w:val="left" w:pos="0"/>
        </w:tabs>
        <w:ind w:left="0" w:firstLine="720"/>
        <w:jc w:val="both"/>
        <w:rPr>
          <w:b w:val="0"/>
          <w:szCs w:val="28"/>
        </w:rPr>
      </w:pPr>
      <w:r w:rsidRPr="005A54EA">
        <w:rPr>
          <w:b w:val="0"/>
          <w:szCs w:val="28"/>
        </w:rPr>
        <w:t>Консультації з учасниками фондового ринку щодо оцінки впливу регулювання</w:t>
      </w:r>
    </w:p>
    <w:p w:rsidR="00E56BFB" w:rsidRPr="005A54EA" w:rsidRDefault="00E56BFB" w:rsidP="00E56BFB">
      <w:pPr>
        <w:pStyle w:val="a3"/>
        <w:tabs>
          <w:tab w:val="left" w:pos="1875"/>
        </w:tabs>
        <w:ind w:firstLine="720"/>
        <w:jc w:val="both"/>
        <w:rPr>
          <w:b w:val="0"/>
          <w:szCs w:val="28"/>
        </w:rPr>
      </w:pPr>
      <w:r w:rsidRPr="005A54EA">
        <w:rPr>
          <w:b w:val="0"/>
          <w:szCs w:val="28"/>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w:t>
      </w:r>
      <w:r w:rsidRPr="005A54EA">
        <w:rPr>
          <w:b w:val="0"/>
          <w:szCs w:val="28"/>
        </w:rPr>
        <w:lastRenderedPageBreak/>
        <w:t xml:space="preserve">виконання яких необхідно для здійснення регулювання, проведено розробником у період з </w:t>
      </w:r>
      <w:r w:rsidR="004035D5">
        <w:rPr>
          <w:b w:val="0"/>
          <w:szCs w:val="28"/>
        </w:rPr>
        <w:t>0</w:t>
      </w:r>
      <w:r w:rsidR="00D26FA7">
        <w:rPr>
          <w:b w:val="0"/>
          <w:szCs w:val="28"/>
        </w:rPr>
        <w:t>3</w:t>
      </w:r>
      <w:r w:rsidR="00312EDD" w:rsidRPr="005A54EA">
        <w:rPr>
          <w:b w:val="0"/>
          <w:szCs w:val="28"/>
        </w:rPr>
        <w:t>.</w:t>
      </w:r>
      <w:r w:rsidR="00D26FA7">
        <w:rPr>
          <w:b w:val="0"/>
          <w:szCs w:val="28"/>
        </w:rPr>
        <w:t>10</w:t>
      </w:r>
      <w:r w:rsidR="00312EDD" w:rsidRPr="005A54EA">
        <w:rPr>
          <w:b w:val="0"/>
          <w:szCs w:val="28"/>
        </w:rPr>
        <w:t>.201</w:t>
      </w:r>
      <w:r w:rsidR="00EF61BB">
        <w:rPr>
          <w:b w:val="0"/>
          <w:szCs w:val="28"/>
        </w:rPr>
        <w:t>8</w:t>
      </w:r>
      <w:r w:rsidRPr="005A54EA">
        <w:rPr>
          <w:b w:val="0"/>
          <w:szCs w:val="28"/>
        </w:rPr>
        <w:t xml:space="preserve"> по </w:t>
      </w:r>
      <w:r w:rsidR="00D26FA7">
        <w:rPr>
          <w:b w:val="0"/>
          <w:szCs w:val="28"/>
        </w:rPr>
        <w:t>0</w:t>
      </w:r>
      <w:r w:rsidR="00DF211A">
        <w:rPr>
          <w:b w:val="0"/>
          <w:szCs w:val="28"/>
        </w:rPr>
        <w:t>1</w:t>
      </w:r>
      <w:r w:rsidR="00312EDD" w:rsidRPr="005A54EA">
        <w:rPr>
          <w:b w:val="0"/>
          <w:szCs w:val="28"/>
        </w:rPr>
        <w:t>.</w:t>
      </w:r>
      <w:r w:rsidR="00DF211A">
        <w:rPr>
          <w:b w:val="0"/>
          <w:szCs w:val="28"/>
        </w:rPr>
        <w:t>03</w:t>
      </w:r>
      <w:r w:rsidR="00312EDD" w:rsidRPr="005A54EA">
        <w:rPr>
          <w:b w:val="0"/>
          <w:szCs w:val="28"/>
        </w:rPr>
        <w:t>.201</w:t>
      </w:r>
      <w:r w:rsidR="00DF211A">
        <w:rPr>
          <w:b w:val="0"/>
          <w:szCs w:val="28"/>
        </w:rPr>
        <w:t>9</w:t>
      </w:r>
      <w:r w:rsidRPr="005A54EA">
        <w:rPr>
          <w:b w:val="0"/>
          <w:szCs w:val="28"/>
        </w:rPr>
        <w:t>.</w:t>
      </w:r>
    </w:p>
    <w:p w:rsidR="00E56BFB" w:rsidRPr="005A54EA" w:rsidRDefault="00E56BFB" w:rsidP="00E56BFB">
      <w:pPr>
        <w:rPr>
          <w:lang w:val="uk-UA"/>
        </w:rPr>
      </w:pPr>
    </w:p>
    <w:p w:rsidR="00E56BFB" w:rsidRPr="005A54EA" w:rsidRDefault="00E56BFB" w:rsidP="00E56BFB">
      <w:pPr>
        <w:rPr>
          <w:lang w:val="uk-UA"/>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780"/>
        <w:gridCol w:w="2052"/>
        <w:gridCol w:w="2988"/>
      </w:tblGrid>
      <w:tr w:rsidR="00E56BFB" w:rsidRPr="00163B46" w:rsidTr="00163B46">
        <w:tc>
          <w:tcPr>
            <w:tcW w:w="1260" w:type="dxa"/>
            <w:shd w:val="clear" w:color="auto" w:fill="auto"/>
          </w:tcPr>
          <w:p w:rsidR="00E56BFB" w:rsidRPr="00163B46" w:rsidRDefault="00E56BFB" w:rsidP="00163B46">
            <w:pPr>
              <w:pStyle w:val="a3"/>
              <w:tabs>
                <w:tab w:val="left" w:pos="1875"/>
              </w:tabs>
              <w:rPr>
                <w:sz w:val="24"/>
                <w:szCs w:val="24"/>
              </w:rPr>
            </w:pPr>
            <w:r w:rsidRPr="00163B46">
              <w:rPr>
                <w:sz w:val="24"/>
                <w:szCs w:val="24"/>
              </w:rPr>
              <w:t>Порядковий номер</w:t>
            </w:r>
          </w:p>
        </w:tc>
        <w:tc>
          <w:tcPr>
            <w:tcW w:w="3780" w:type="dxa"/>
            <w:shd w:val="clear" w:color="auto" w:fill="auto"/>
          </w:tcPr>
          <w:p w:rsidR="00E560CE" w:rsidRDefault="00E56BFB" w:rsidP="00163B46">
            <w:pPr>
              <w:pStyle w:val="a3"/>
              <w:tabs>
                <w:tab w:val="left" w:pos="1875"/>
              </w:tabs>
              <w:rPr>
                <w:sz w:val="24"/>
                <w:szCs w:val="24"/>
              </w:rPr>
            </w:pPr>
            <w:r w:rsidRPr="00163B46">
              <w:rPr>
                <w:sz w:val="24"/>
                <w:szCs w:val="24"/>
              </w:rPr>
              <w:t>Вид консультації</w:t>
            </w:r>
          </w:p>
          <w:p w:rsidR="00E560CE" w:rsidRPr="00E560CE" w:rsidRDefault="00E560CE" w:rsidP="00E560CE">
            <w:pPr>
              <w:rPr>
                <w:lang w:val="uk-UA"/>
              </w:rPr>
            </w:pPr>
          </w:p>
          <w:p w:rsidR="00E560CE" w:rsidRDefault="00E560CE" w:rsidP="00E560CE">
            <w:pPr>
              <w:rPr>
                <w:lang w:val="uk-UA"/>
              </w:rPr>
            </w:pPr>
          </w:p>
          <w:p w:rsidR="00E56BFB" w:rsidRPr="00E560CE" w:rsidRDefault="00E560CE" w:rsidP="00E560CE">
            <w:pPr>
              <w:tabs>
                <w:tab w:val="left" w:pos="1065"/>
              </w:tabs>
              <w:rPr>
                <w:lang w:val="uk-UA"/>
              </w:rPr>
            </w:pPr>
            <w:r>
              <w:rPr>
                <w:lang w:val="uk-UA"/>
              </w:rPr>
              <w:tab/>
            </w:r>
          </w:p>
        </w:tc>
        <w:tc>
          <w:tcPr>
            <w:tcW w:w="2052" w:type="dxa"/>
            <w:shd w:val="clear" w:color="auto" w:fill="auto"/>
          </w:tcPr>
          <w:p w:rsidR="00E56BFB" w:rsidRPr="00163B46" w:rsidRDefault="00E56BFB" w:rsidP="00163B46">
            <w:pPr>
              <w:pStyle w:val="a3"/>
              <w:tabs>
                <w:tab w:val="left" w:pos="1875"/>
              </w:tabs>
              <w:rPr>
                <w:sz w:val="24"/>
                <w:szCs w:val="24"/>
              </w:rPr>
            </w:pPr>
            <w:r w:rsidRPr="00163B46">
              <w:rPr>
                <w:sz w:val="24"/>
                <w:szCs w:val="24"/>
              </w:rPr>
              <w:t>Кількість учасників консультацій, осіб</w:t>
            </w:r>
          </w:p>
        </w:tc>
        <w:tc>
          <w:tcPr>
            <w:tcW w:w="2988" w:type="dxa"/>
            <w:shd w:val="clear" w:color="auto" w:fill="auto"/>
          </w:tcPr>
          <w:p w:rsidR="00E56BFB" w:rsidRPr="00163B46" w:rsidRDefault="00E56BFB" w:rsidP="00163B46">
            <w:pPr>
              <w:pStyle w:val="a3"/>
              <w:tabs>
                <w:tab w:val="left" w:pos="1875"/>
              </w:tabs>
              <w:rPr>
                <w:sz w:val="24"/>
                <w:szCs w:val="24"/>
              </w:rPr>
            </w:pPr>
            <w:r w:rsidRPr="00163B46">
              <w:rPr>
                <w:sz w:val="24"/>
                <w:szCs w:val="24"/>
              </w:rPr>
              <w:t>Основні результати консультацій</w:t>
            </w:r>
          </w:p>
        </w:tc>
      </w:tr>
      <w:tr w:rsidR="00E560CE" w:rsidRPr="00163B46" w:rsidTr="00163B46">
        <w:tc>
          <w:tcPr>
            <w:tcW w:w="1260" w:type="dxa"/>
            <w:shd w:val="clear" w:color="auto" w:fill="auto"/>
          </w:tcPr>
          <w:p w:rsidR="00E560CE" w:rsidRPr="00163B46" w:rsidRDefault="00E560CE" w:rsidP="00163B46">
            <w:pPr>
              <w:pStyle w:val="a3"/>
              <w:tabs>
                <w:tab w:val="left" w:pos="1875"/>
              </w:tabs>
              <w:rPr>
                <w:sz w:val="24"/>
                <w:szCs w:val="24"/>
              </w:rPr>
            </w:pPr>
            <w:r>
              <w:rPr>
                <w:sz w:val="24"/>
                <w:szCs w:val="24"/>
              </w:rPr>
              <w:t>1</w:t>
            </w:r>
          </w:p>
        </w:tc>
        <w:tc>
          <w:tcPr>
            <w:tcW w:w="3780" w:type="dxa"/>
            <w:shd w:val="clear" w:color="auto" w:fill="auto"/>
          </w:tcPr>
          <w:p w:rsidR="00E560CE" w:rsidRPr="00E560CE" w:rsidRDefault="00E560CE" w:rsidP="00E560CE">
            <w:pPr>
              <w:pStyle w:val="a3"/>
              <w:tabs>
                <w:tab w:val="left" w:pos="1875"/>
              </w:tabs>
              <w:jc w:val="both"/>
              <w:rPr>
                <w:b w:val="0"/>
                <w:sz w:val="24"/>
                <w:szCs w:val="24"/>
              </w:rPr>
            </w:pPr>
            <w:r w:rsidRPr="00E560CE">
              <w:rPr>
                <w:b w:val="0"/>
                <w:sz w:val="24"/>
                <w:szCs w:val="24"/>
              </w:rPr>
              <w:t xml:space="preserve">03.10.2018 </w:t>
            </w:r>
            <w:r>
              <w:rPr>
                <w:b w:val="0"/>
                <w:sz w:val="24"/>
                <w:szCs w:val="24"/>
              </w:rPr>
              <w:t xml:space="preserve">засідання Комітету </w:t>
            </w:r>
            <w:r w:rsidRPr="00163B46">
              <w:rPr>
                <w:b w:val="0"/>
                <w:sz w:val="24"/>
                <w:szCs w:val="24"/>
              </w:rPr>
              <w:t xml:space="preserve">з </w:t>
            </w:r>
            <w:r>
              <w:rPr>
                <w:b w:val="0"/>
                <w:sz w:val="24"/>
                <w:szCs w:val="24"/>
              </w:rPr>
              <w:t>управління змінами та ризиками</w:t>
            </w:r>
          </w:p>
        </w:tc>
        <w:tc>
          <w:tcPr>
            <w:tcW w:w="2052" w:type="dxa"/>
            <w:shd w:val="clear" w:color="auto" w:fill="auto"/>
          </w:tcPr>
          <w:p w:rsidR="00E560CE" w:rsidRPr="00E560CE" w:rsidRDefault="00E560CE" w:rsidP="00163B46">
            <w:pPr>
              <w:pStyle w:val="a3"/>
              <w:tabs>
                <w:tab w:val="left" w:pos="1875"/>
              </w:tabs>
              <w:rPr>
                <w:b w:val="0"/>
                <w:sz w:val="24"/>
                <w:szCs w:val="24"/>
              </w:rPr>
            </w:pPr>
            <w:r w:rsidRPr="00E560CE">
              <w:rPr>
                <w:b w:val="0"/>
                <w:sz w:val="24"/>
                <w:szCs w:val="24"/>
              </w:rPr>
              <w:t>14</w:t>
            </w:r>
          </w:p>
        </w:tc>
        <w:tc>
          <w:tcPr>
            <w:tcW w:w="2988" w:type="dxa"/>
            <w:shd w:val="clear" w:color="auto" w:fill="auto"/>
          </w:tcPr>
          <w:p w:rsidR="00E560CE" w:rsidRPr="00E560CE" w:rsidRDefault="00E560CE" w:rsidP="00E560CE">
            <w:pPr>
              <w:pStyle w:val="a3"/>
              <w:tabs>
                <w:tab w:val="left" w:pos="1875"/>
              </w:tabs>
              <w:jc w:val="both"/>
              <w:rPr>
                <w:b w:val="0"/>
                <w:sz w:val="24"/>
                <w:szCs w:val="24"/>
              </w:rPr>
            </w:pPr>
            <w:r w:rsidRPr="00163B46">
              <w:rPr>
                <w:b w:val="0"/>
                <w:sz w:val="24"/>
                <w:szCs w:val="24"/>
              </w:rPr>
              <w:t>В цілому регулювання сприймається. Вирішено доопрацювати проект рішення з урахуванням наданих зауважень та рекомендувати розглянути його на засіданні Комісії.</w:t>
            </w:r>
          </w:p>
        </w:tc>
      </w:tr>
      <w:tr w:rsidR="00D2674F" w:rsidRPr="00163B46" w:rsidTr="00163B46">
        <w:tc>
          <w:tcPr>
            <w:tcW w:w="1260" w:type="dxa"/>
            <w:shd w:val="clear" w:color="auto" w:fill="auto"/>
          </w:tcPr>
          <w:p w:rsidR="00D2674F" w:rsidRPr="00163B46" w:rsidRDefault="00E560CE" w:rsidP="00163B46">
            <w:pPr>
              <w:pStyle w:val="a3"/>
              <w:tabs>
                <w:tab w:val="left" w:pos="1875"/>
              </w:tabs>
              <w:rPr>
                <w:sz w:val="24"/>
                <w:szCs w:val="24"/>
              </w:rPr>
            </w:pPr>
            <w:r>
              <w:rPr>
                <w:sz w:val="24"/>
                <w:szCs w:val="24"/>
              </w:rPr>
              <w:t>2</w:t>
            </w:r>
          </w:p>
        </w:tc>
        <w:tc>
          <w:tcPr>
            <w:tcW w:w="3780" w:type="dxa"/>
            <w:shd w:val="clear" w:color="auto" w:fill="auto"/>
          </w:tcPr>
          <w:p w:rsidR="00D2674F" w:rsidRPr="00163B46" w:rsidRDefault="00827FBC" w:rsidP="000C3FB6">
            <w:pPr>
              <w:pStyle w:val="a3"/>
              <w:tabs>
                <w:tab w:val="left" w:pos="1875"/>
              </w:tabs>
              <w:jc w:val="both"/>
              <w:rPr>
                <w:b w:val="0"/>
                <w:sz w:val="24"/>
                <w:szCs w:val="24"/>
              </w:rPr>
            </w:pPr>
            <w:r w:rsidRPr="00163B46">
              <w:rPr>
                <w:b w:val="0"/>
                <w:sz w:val="24"/>
                <w:szCs w:val="24"/>
              </w:rPr>
              <w:t>0</w:t>
            </w:r>
            <w:r w:rsidR="000C3FB6">
              <w:rPr>
                <w:b w:val="0"/>
                <w:sz w:val="24"/>
                <w:szCs w:val="24"/>
              </w:rPr>
              <w:t>6</w:t>
            </w:r>
            <w:r w:rsidR="00D2674F" w:rsidRPr="00163B46">
              <w:rPr>
                <w:b w:val="0"/>
                <w:sz w:val="24"/>
                <w:szCs w:val="24"/>
              </w:rPr>
              <w:t>.</w:t>
            </w:r>
            <w:r w:rsidR="000C3FB6">
              <w:rPr>
                <w:b w:val="0"/>
                <w:sz w:val="24"/>
                <w:szCs w:val="24"/>
              </w:rPr>
              <w:t>1</w:t>
            </w:r>
            <w:r w:rsidRPr="00163B46">
              <w:rPr>
                <w:b w:val="0"/>
                <w:sz w:val="24"/>
                <w:szCs w:val="24"/>
              </w:rPr>
              <w:t>2</w:t>
            </w:r>
            <w:r w:rsidR="00D2674F" w:rsidRPr="00163B46">
              <w:rPr>
                <w:b w:val="0"/>
                <w:sz w:val="24"/>
                <w:szCs w:val="24"/>
              </w:rPr>
              <w:t>.201</w:t>
            </w:r>
            <w:r w:rsidRPr="00163B46">
              <w:rPr>
                <w:b w:val="0"/>
                <w:sz w:val="24"/>
                <w:szCs w:val="24"/>
              </w:rPr>
              <w:t>8</w:t>
            </w:r>
            <w:r w:rsidR="00D2674F" w:rsidRPr="00163B46">
              <w:rPr>
                <w:b w:val="0"/>
                <w:sz w:val="24"/>
                <w:szCs w:val="24"/>
              </w:rPr>
              <w:t xml:space="preserve"> </w:t>
            </w:r>
            <w:r w:rsidR="000C3FB6">
              <w:rPr>
                <w:b w:val="0"/>
                <w:sz w:val="24"/>
                <w:szCs w:val="24"/>
              </w:rPr>
              <w:t>спільне з</w:t>
            </w:r>
            <w:r w:rsidR="00D2674F" w:rsidRPr="00163B46">
              <w:rPr>
                <w:b w:val="0"/>
                <w:sz w:val="24"/>
                <w:szCs w:val="24"/>
              </w:rPr>
              <w:t xml:space="preserve">асідання Комітету з </w:t>
            </w:r>
            <w:r w:rsidR="000C3FB6">
              <w:rPr>
                <w:b w:val="0"/>
                <w:sz w:val="24"/>
                <w:szCs w:val="24"/>
              </w:rPr>
              <w:t>управління змінами та ризиками та Комітету з питань функціонування торговців фондового ринку та бірж</w:t>
            </w:r>
          </w:p>
        </w:tc>
        <w:tc>
          <w:tcPr>
            <w:tcW w:w="2052" w:type="dxa"/>
            <w:shd w:val="clear" w:color="auto" w:fill="auto"/>
          </w:tcPr>
          <w:p w:rsidR="00DF211A" w:rsidRDefault="00D2674F" w:rsidP="00163B46">
            <w:pPr>
              <w:pStyle w:val="a3"/>
              <w:tabs>
                <w:tab w:val="left" w:pos="1875"/>
              </w:tabs>
              <w:rPr>
                <w:b w:val="0"/>
                <w:sz w:val="24"/>
                <w:szCs w:val="24"/>
              </w:rPr>
            </w:pPr>
            <w:r w:rsidRPr="00163B46">
              <w:rPr>
                <w:b w:val="0"/>
                <w:sz w:val="24"/>
                <w:szCs w:val="24"/>
              </w:rPr>
              <w:t>12</w:t>
            </w:r>
          </w:p>
          <w:p w:rsidR="00DF211A" w:rsidRPr="00DF211A" w:rsidRDefault="00DF211A" w:rsidP="00DF211A">
            <w:pPr>
              <w:rPr>
                <w:lang w:val="uk-UA"/>
              </w:rPr>
            </w:pPr>
          </w:p>
          <w:p w:rsidR="00DF211A" w:rsidRPr="00DF211A" w:rsidRDefault="00DF211A" w:rsidP="00DF211A">
            <w:pPr>
              <w:rPr>
                <w:lang w:val="uk-UA"/>
              </w:rPr>
            </w:pPr>
          </w:p>
          <w:p w:rsidR="00DF211A" w:rsidRPr="00DF211A" w:rsidRDefault="00DF211A" w:rsidP="00DF211A">
            <w:pPr>
              <w:rPr>
                <w:lang w:val="uk-UA"/>
              </w:rPr>
            </w:pPr>
          </w:p>
          <w:p w:rsidR="00DF211A" w:rsidRPr="00DF211A" w:rsidRDefault="00DF211A" w:rsidP="00DF211A">
            <w:pPr>
              <w:rPr>
                <w:lang w:val="uk-UA"/>
              </w:rPr>
            </w:pPr>
          </w:p>
          <w:p w:rsidR="00DF211A" w:rsidRDefault="00DF211A" w:rsidP="00DF211A">
            <w:pPr>
              <w:rPr>
                <w:lang w:val="uk-UA"/>
              </w:rPr>
            </w:pPr>
          </w:p>
          <w:p w:rsidR="00D2674F" w:rsidRPr="00DF211A" w:rsidRDefault="00D2674F" w:rsidP="00DF211A">
            <w:pPr>
              <w:rPr>
                <w:lang w:val="uk-UA"/>
              </w:rPr>
            </w:pPr>
          </w:p>
        </w:tc>
        <w:tc>
          <w:tcPr>
            <w:tcW w:w="2988" w:type="dxa"/>
            <w:shd w:val="clear" w:color="auto" w:fill="auto"/>
          </w:tcPr>
          <w:p w:rsidR="00D2674F" w:rsidRPr="00163B46" w:rsidRDefault="00D2674F" w:rsidP="00163B46">
            <w:pPr>
              <w:pStyle w:val="a3"/>
              <w:tabs>
                <w:tab w:val="left" w:pos="1875"/>
              </w:tabs>
              <w:jc w:val="both"/>
              <w:rPr>
                <w:b w:val="0"/>
                <w:sz w:val="24"/>
                <w:szCs w:val="24"/>
              </w:rPr>
            </w:pPr>
            <w:r w:rsidRPr="00163B46">
              <w:rPr>
                <w:b w:val="0"/>
                <w:sz w:val="24"/>
                <w:szCs w:val="24"/>
              </w:rPr>
              <w:t>В цілому регулювання сприймається. Вирішено доопрацювати проект рішення з урахуванням наданих зауважень</w:t>
            </w:r>
            <w:r w:rsidR="00827FBC" w:rsidRPr="00163B46">
              <w:rPr>
                <w:b w:val="0"/>
                <w:sz w:val="24"/>
                <w:szCs w:val="24"/>
              </w:rPr>
              <w:t xml:space="preserve"> та рекомендувати розглянути його на засіданні Комісії</w:t>
            </w:r>
            <w:r w:rsidRPr="00163B46">
              <w:rPr>
                <w:b w:val="0"/>
                <w:sz w:val="24"/>
                <w:szCs w:val="24"/>
              </w:rPr>
              <w:t>.</w:t>
            </w:r>
          </w:p>
        </w:tc>
      </w:tr>
      <w:tr w:rsidR="00DF211A" w:rsidRPr="00DF211A" w:rsidTr="00163B46">
        <w:tc>
          <w:tcPr>
            <w:tcW w:w="1260" w:type="dxa"/>
            <w:shd w:val="clear" w:color="auto" w:fill="auto"/>
          </w:tcPr>
          <w:p w:rsidR="00DF211A" w:rsidRDefault="00DF211A" w:rsidP="00163B46">
            <w:pPr>
              <w:pStyle w:val="a3"/>
              <w:tabs>
                <w:tab w:val="left" w:pos="1875"/>
              </w:tabs>
              <w:rPr>
                <w:sz w:val="24"/>
                <w:szCs w:val="24"/>
              </w:rPr>
            </w:pPr>
            <w:r>
              <w:rPr>
                <w:sz w:val="24"/>
                <w:szCs w:val="24"/>
              </w:rPr>
              <w:t>3</w:t>
            </w:r>
          </w:p>
        </w:tc>
        <w:tc>
          <w:tcPr>
            <w:tcW w:w="3780" w:type="dxa"/>
            <w:shd w:val="clear" w:color="auto" w:fill="auto"/>
          </w:tcPr>
          <w:p w:rsidR="00DF211A" w:rsidRPr="00163B46" w:rsidRDefault="00DF211A" w:rsidP="000C3FB6">
            <w:pPr>
              <w:pStyle w:val="a3"/>
              <w:tabs>
                <w:tab w:val="left" w:pos="1875"/>
              </w:tabs>
              <w:jc w:val="both"/>
              <w:rPr>
                <w:b w:val="0"/>
                <w:sz w:val="24"/>
                <w:szCs w:val="24"/>
              </w:rPr>
            </w:pPr>
            <w:r>
              <w:rPr>
                <w:b w:val="0"/>
                <w:sz w:val="24"/>
                <w:szCs w:val="24"/>
              </w:rPr>
              <w:t>27.02.2019 спільне з</w:t>
            </w:r>
            <w:r w:rsidRPr="00163B46">
              <w:rPr>
                <w:b w:val="0"/>
                <w:sz w:val="24"/>
                <w:szCs w:val="24"/>
              </w:rPr>
              <w:t>асідання Комітету</w:t>
            </w:r>
            <w:r>
              <w:rPr>
                <w:b w:val="0"/>
                <w:sz w:val="24"/>
                <w:szCs w:val="24"/>
              </w:rPr>
              <w:t xml:space="preserve"> з питань функціонування торговців фондового ринку та бірж та Комітету з питань функціонування депозитарних установ та пост-трейдингової інфраструктури</w:t>
            </w:r>
          </w:p>
        </w:tc>
        <w:tc>
          <w:tcPr>
            <w:tcW w:w="2052" w:type="dxa"/>
            <w:shd w:val="clear" w:color="auto" w:fill="auto"/>
          </w:tcPr>
          <w:p w:rsidR="00DF211A" w:rsidRPr="00163B46" w:rsidRDefault="00DF211A" w:rsidP="00163B46">
            <w:pPr>
              <w:pStyle w:val="a3"/>
              <w:tabs>
                <w:tab w:val="left" w:pos="1875"/>
              </w:tabs>
              <w:rPr>
                <w:b w:val="0"/>
                <w:sz w:val="24"/>
                <w:szCs w:val="24"/>
              </w:rPr>
            </w:pPr>
            <w:r>
              <w:rPr>
                <w:b w:val="0"/>
                <w:sz w:val="24"/>
                <w:szCs w:val="24"/>
              </w:rPr>
              <w:t>19</w:t>
            </w:r>
          </w:p>
        </w:tc>
        <w:tc>
          <w:tcPr>
            <w:tcW w:w="2988" w:type="dxa"/>
            <w:shd w:val="clear" w:color="auto" w:fill="auto"/>
          </w:tcPr>
          <w:p w:rsidR="00DF211A" w:rsidRPr="00163B46" w:rsidRDefault="00DF211A" w:rsidP="00DF211A">
            <w:pPr>
              <w:pStyle w:val="a3"/>
              <w:tabs>
                <w:tab w:val="left" w:pos="1875"/>
              </w:tabs>
              <w:jc w:val="both"/>
              <w:rPr>
                <w:b w:val="0"/>
                <w:sz w:val="24"/>
                <w:szCs w:val="24"/>
              </w:rPr>
            </w:pPr>
            <w:r w:rsidRPr="00163B46">
              <w:rPr>
                <w:b w:val="0"/>
                <w:sz w:val="24"/>
                <w:szCs w:val="24"/>
              </w:rPr>
              <w:t>В цілому регулювання сприймається. Вирішено</w:t>
            </w:r>
            <w:r>
              <w:rPr>
                <w:b w:val="0"/>
                <w:sz w:val="24"/>
                <w:szCs w:val="24"/>
              </w:rPr>
              <w:t xml:space="preserve"> взяти</w:t>
            </w:r>
            <w:r w:rsidR="003E27A4">
              <w:rPr>
                <w:b w:val="0"/>
                <w:sz w:val="24"/>
                <w:szCs w:val="24"/>
              </w:rPr>
              <w:t xml:space="preserve"> доопрацьований</w:t>
            </w:r>
            <w:r>
              <w:rPr>
                <w:b w:val="0"/>
                <w:sz w:val="24"/>
                <w:szCs w:val="24"/>
              </w:rPr>
              <w:t xml:space="preserve"> проект за основу та рекомендувати для розгляду на засіданні Комітету </w:t>
            </w:r>
            <w:r w:rsidRPr="00163B46">
              <w:rPr>
                <w:b w:val="0"/>
                <w:sz w:val="24"/>
                <w:szCs w:val="24"/>
              </w:rPr>
              <w:t xml:space="preserve">з </w:t>
            </w:r>
            <w:r>
              <w:rPr>
                <w:b w:val="0"/>
                <w:sz w:val="24"/>
                <w:szCs w:val="24"/>
              </w:rPr>
              <w:t>управління змінами та ризиками</w:t>
            </w:r>
          </w:p>
        </w:tc>
      </w:tr>
      <w:tr w:rsidR="00DF211A" w:rsidRPr="00163B46" w:rsidTr="00163B46">
        <w:tc>
          <w:tcPr>
            <w:tcW w:w="1260" w:type="dxa"/>
            <w:shd w:val="clear" w:color="auto" w:fill="auto"/>
          </w:tcPr>
          <w:p w:rsidR="00DF211A" w:rsidRDefault="00DF211A" w:rsidP="00163B46">
            <w:pPr>
              <w:pStyle w:val="a3"/>
              <w:tabs>
                <w:tab w:val="left" w:pos="1875"/>
              </w:tabs>
              <w:rPr>
                <w:sz w:val="24"/>
                <w:szCs w:val="24"/>
              </w:rPr>
            </w:pPr>
            <w:r>
              <w:rPr>
                <w:sz w:val="24"/>
                <w:szCs w:val="24"/>
              </w:rPr>
              <w:t>4</w:t>
            </w:r>
          </w:p>
        </w:tc>
        <w:tc>
          <w:tcPr>
            <w:tcW w:w="3780" w:type="dxa"/>
            <w:shd w:val="clear" w:color="auto" w:fill="auto"/>
          </w:tcPr>
          <w:p w:rsidR="00DF211A" w:rsidRPr="00163B46" w:rsidRDefault="00DF211A" w:rsidP="000C3FB6">
            <w:pPr>
              <w:pStyle w:val="a3"/>
              <w:tabs>
                <w:tab w:val="left" w:pos="1875"/>
              </w:tabs>
              <w:jc w:val="both"/>
              <w:rPr>
                <w:b w:val="0"/>
                <w:sz w:val="24"/>
                <w:szCs w:val="24"/>
              </w:rPr>
            </w:pPr>
            <w:r>
              <w:rPr>
                <w:b w:val="0"/>
                <w:sz w:val="24"/>
                <w:szCs w:val="24"/>
              </w:rPr>
              <w:t xml:space="preserve">01.03.2019 засідання Комітету </w:t>
            </w:r>
            <w:r w:rsidRPr="00163B46">
              <w:rPr>
                <w:b w:val="0"/>
                <w:sz w:val="24"/>
                <w:szCs w:val="24"/>
              </w:rPr>
              <w:t xml:space="preserve">з </w:t>
            </w:r>
            <w:r>
              <w:rPr>
                <w:b w:val="0"/>
                <w:sz w:val="24"/>
                <w:szCs w:val="24"/>
              </w:rPr>
              <w:t>управління змінами та ризиками</w:t>
            </w:r>
          </w:p>
        </w:tc>
        <w:tc>
          <w:tcPr>
            <w:tcW w:w="2052" w:type="dxa"/>
            <w:shd w:val="clear" w:color="auto" w:fill="auto"/>
          </w:tcPr>
          <w:p w:rsidR="00DF211A" w:rsidRPr="00163B46" w:rsidRDefault="00AB2834" w:rsidP="00163B46">
            <w:pPr>
              <w:pStyle w:val="a3"/>
              <w:tabs>
                <w:tab w:val="left" w:pos="1875"/>
              </w:tabs>
              <w:rPr>
                <w:b w:val="0"/>
                <w:sz w:val="24"/>
                <w:szCs w:val="24"/>
              </w:rPr>
            </w:pPr>
            <w:r>
              <w:rPr>
                <w:b w:val="0"/>
                <w:sz w:val="24"/>
                <w:szCs w:val="24"/>
              </w:rPr>
              <w:t>10</w:t>
            </w:r>
          </w:p>
        </w:tc>
        <w:tc>
          <w:tcPr>
            <w:tcW w:w="2988" w:type="dxa"/>
            <w:shd w:val="clear" w:color="auto" w:fill="auto"/>
          </w:tcPr>
          <w:p w:rsidR="00DF211A" w:rsidRPr="00163B46" w:rsidRDefault="00AB2834" w:rsidP="00AB2834">
            <w:pPr>
              <w:pStyle w:val="a3"/>
              <w:tabs>
                <w:tab w:val="left" w:pos="1875"/>
              </w:tabs>
              <w:jc w:val="both"/>
              <w:rPr>
                <w:b w:val="0"/>
                <w:sz w:val="24"/>
                <w:szCs w:val="24"/>
              </w:rPr>
            </w:pPr>
            <w:r w:rsidRPr="00163B46">
              <w:rPr>
                <w:b w:val="0"/>
                <w:sz w:val="24"/>
                <w:szCs w:val="24"/>
              </w:rPr>
              <w:t xml:space="preserve">Вирішено </w:t>
            </w:r>
            <w:r w:rsidR="003E27A4">
              <w:rPr>
                <w:b w:val="0"/>
                <w:sz w:val="24"/>
                <w:szCs w:val="24"/>
              </w:rPr>
              <w:t>доопрацьований</w:t>
            </w:r>
            <w:r w:rsidR="003E27A4" w:rsidRPr="00163B46">
              <w:rPr>
                <w:b w:val="0"/>
                <w:sz w:val="24"/>
                <w:szCs w:val="24"/>
              </w:rPr>
              <w:t xml:space="preserve"> </w:t>
            </w:r>
            <w:r w:rsidRPr="00163B46">
              <w:rPr>
                <w:b w:val="0"/>
                <w:sz w:val="24"/>
                <w:szCs w:val="24"/>
              </w:rPr>
              <w:t>проект рішення розглянути на засіданні Комісії.</w:t>
            </w:r>
          </w:p>
        </w:tc>
      </w:tr>
    </w:tbl>
    <w:p w:rsidR="00E56BFB" w:rsidRPr="005A54EA" w:rsidRDefault="00E56BFB" w:rsidP="00E56BFB">
      <w:pPr>
        <w:rPr>
          <w:lang w:val="uk-UA"/>
        </w:rPr>
      </w:pPr>
    </w:p>
    <w:p w:rsidR="00BF6F2D" w:rsidRPr="005A54EA" w:rsidRDefault="00BF6F2D" w:rsidP="00E56BFB">
      <w:pPr>
        <w:rPr>
          <w:lang w:val="uk-UA"/>
        </w:rPr>
      </w:pPr>
    </w:p>
    <w:p w:rsidR="00E56BFB" w:rsidRPr="005A54EA" w:rsidRDefault="00E56BFB" w:rsidP="00E56BFB">
      <w:pPr>
        <w:pStyle w:val="a3"/>
        <w:numPr>
          <w:ilvl w:val="0"/>
          <w:numId w:val="2"/>
        </w:numPr>
        <w:tabs>
          <w:tab w:val="clear" w:pos="1725"/>
          <w:tab w:val="left" w:pos="0"/>
          <w:tab w:val="num" w:pos="1440"/>
        </w:tabs>
        <w:ind w:left="0" w:firstLine="720"/>
        <w:jc w:val="both"/>
        <w:rPr>
          <w:b w:val="0"/>
          <w:szCs w:val="28"/>
        </w:rPr>
      </w:pPr>
      <w:r w:rsidRPr="005A54EA">
        <w:rPr>
          <w:b w:val="0"/>
          <w:szCs w:val="28"/>
        </w:rPr>
        <w:t>Вимірювання впливу регулювання на суб’єктів малого підприємництва:</w:t>
      </w:r>
    </w:p>
    <w:p w:rsidR="00E56BFB" w:rsidRPr="005A54EA" w:rsidRDefault="00E56BFB" w:rsidP="00E56BFB">
      <w:pPr>
        <w:pStyle w:val="a3"/>
        <w:tabs>
          <w:tab w:val="left" w:pos="1875"/>
        </w:tabs>
        <w:ind w:firstLine="720"/>
        <w:jc w:val="both"/>
        <w:rPr>
          <w:b w:val="0"/>
          <w:szCs w:val="28"/>
        </w:rPr>
      </w:pPr>
      <w:r w:rsidRPr="005A54EA">
        <w:rPr>
          <w:b w:val="0"/>
          <w:szCs w:val="28"/>
        </w:rPr>
        <w:t xml:space="preserve">кількість суб’єктів, на яких поширюється регулювання: </w:t>
      </w:r>
      <w:r w:rsidR="00F70198">
        <w:rPr>
          <w:b w:val="0"/>
          <w:szCs w:val="28"/>
        </w:rPr>
        <w:t>5 фондових бірж</w:t>
      </w:r>
      <w:r w:rsidRPr="005A54EA">
        <w:rPr>
          <w:b w:val="0"/>
          <w:szCs w:val="28"/>
        </w:rPr>
        <w:t>.</w:t>
      </w:r>
    </w:p>
    <w:p w:rsidR="00E56BFB" w:rsidRPr="005A54EA" w:rsidRDefault="00E56BFB" w:rsidP="00E56BFB">
      <w:pPr>
        <w:pStyle w:val="a3"/>
        <w:tabs>
          <w:tab w:val="left" w:pos="1875"/>
        </w:tabs>
        <w:ind w:firstLine="720"/>
        <w:jc w:val="both"/>
        <w:rPr>
          <w:b w:val="0"/>
          <w:szCs w:val="28"/>
        </w:rPr>
      </w:pPr>
      <w:r w:rsidRPr="005A54EA">
        <w:rPr>
          <w:b w:val="0"/>
          <w:szCs w:val="28"/>
        </w:rPr>
        <w:t>Питома вага суб’єктів малого підприємництва у загальній кількості суб’єктів господарювання, на яких проблема справляє вплив, - 100%.</w:t>
      </w:r>
    </w:p>
    <w:p w:rsidR="00E56BFB" w:rsidRDefault="00E56BFB" w:rsidP="00E56BFB">
      <w:pPr>
        <w:pStyle w:val="a3"/>
        <w:tabs>
          <w:tab w:val="left" w:pos="1875"/>
        </w:tabs>
        <w:ind w:firstLine="720"/>
        <w:jc w:val="both"/>
        <w:rPr>
          <w:b w:val="0"/>
          <w:szCs w:val="28"/>
          <w:lang w:val="en-US"/>
        </w:rPr>
      </w:pPr>
      <w:r w:rsidRPr="005A54EA">
        <w:rPr>
          <w:b w:val="0"/>
          <w:szCs w:val="28"/>
        </w:rPr>
        <w:t>Розрахунок витрат суб’єктів малого підприємництва на виконання вимог регулювання</w:t>
      </w:r>
    </w:p>
    <w:p w:rsidR="00FA68AE" w:rsidRPr="00FA68AE" w:rsidRDefault="00FA68AE" w:rsidP="00E56BFB">
      <w:pPr>
        <w:pStyle w:val="a3"/>
        <w:tabs>
          <w:tab w:val="left" w:pos="1875"/>
        </w:tabs>
        <w:ind w:firstLine="720"/>
        <w:jc w:val="both"/>
        <w:rPr>
          <w:b w:val="0"/>
          <w:szCs w:val="28"/>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1440"/>
        <w:gridCol w:w="1240"/>
        <w:gridCol w:w="1418"/>
      </w:tblGrid>
      <w:tr w:rsidR="00E56BFB" w:rsidRPr="00163B46" w:rsidTr="007F7743">
        <w:tc>
          <w:tcPr>
            <w:tcW w:w="1548" w:type="dxa"/>
            <w:shd w:val="clear" w:color="auto" w:fill="auto"/>
          </w:tcPr>
          <w:p w:rsidR="00E56BFB" w:rsidRPr="00163B46" w:rsidRDefault="00E56BFB" w:rsidP="00163B46">
            <w:pPr>
              <w:pStyle w:val="a3"/>
              <w:tabs>
                <w:tab w:val="left" w:pos="1875"/>
              </w:tabs>
              <w:jc w:val="both"/>
              <w:rPr>
                <w:sz w:val="24"/>
                <w:szCs w:val="24"/>
              </w:rPr>
            </w:pPr>
            <w:r w:rsidRPr="00163B46">
              <w:rPr>
                <w:sz w:val="24"/>
                <w:szCs w:val="24"/>
              </w:rPr>
              <w:t>Порядковий номер</w:t>
            </w:r>
          </w:p>
        </w:tc>
        <w:tc>
          <w:tcPr>
            <w:tcW w:w="3960" w:type="dxa"/>
            <w:shd w:val="clear" w:color="auto" w:fill="auto"/>
          </w:tcPr>
          <w:p w:rsidR="00E56BFB" w:rsidRPr="00163B46" w:rsidRDefault="00E56BFB" w:rsidP="00163B46">
            <w:pPr>
              <w:pStyle w:val="a7"/>
              <w:jc w:val="center"/>
              <w:rPr>
                <w:b/>
              </w:rPr>
            </w:pPr>
            <w:r w:rsidRPr="00163B46">
              <w:rPr>
                <w:b/>
              </w:rPr>
              <w:t>Найменування оцінки</w:t>
            </w:r>
          </w:p>
        </w:tc>
        <w:tc>
          <w:tcPr>
            <w:tcW w:w="1440" w:type="dxa"/>
            <w:shd w:val="clear" w:color="auto" w:fill="auto"/>
          </w:tcPr>
          <w:p w:rsidR="00E56BFB" w:rsidRPr="00163B46" w:rsidRDefault="00E56BFB" w:rsidP="00163B46">
            <w:pPr>
              <w:pStyle w:val="a7"/>
              <w:jc w:val="center"/>
              <w:rPr>
                <w:b/>
                <w:sz w:val="20"/>
                <w:szCs w:val="20"/>
              </w:rPr>
            </w:pPr>
            <w:r w:rsidRPr="00163B46">
              <w:rPr>
                <w:b/>
                <w:sz w:val="20"/>
                <w:szCs w:val="20"/>
              </w:rPr>
              <w:t xml:space="preserve">У перший рік </w:t>
            </w:r>
            <w:r w:rsidRPr="00163B46">
              <w:rPr>
                <w:b/>
                <w:sz w:val="16"/>
                <w:szCs w:val="16"/>
              </w:rPr>
              <w:t>(стартовий рік впровадження регулювання</w:t>
            </w:r>
            <w:r w:rsidRPr="00163B46">
              <w:rPr>
                <w:b/>
                <w:sz w:val="20"/>
                <w:szCs w:val="20"/>
              </w:rPr>
              <w:t>)</w:t>
            </w:r>
          </w:p>
        </w:tc>
        <w:tc>
          <w:tcPr>
            <w:tcW w:w="1240" w:type="dxa"/>
            <w:shd w:val="clear" w:color="auto" w:fill="auto"/>
          </w:tcPr>
          <w:p w:rsidR="00E56BFB" w:rsidRPr="00163B46" w:rsidRDefault="00E56BFB" w:rsidP="00163B46">
            <w:pPr>
              <w:pStyle w:val="a7"/>
              <w:jc w:val="center"/>
              <w:rPr>
                <w:b/>
                <w:sz w:val="20"/>
                <w:szCs w:val="20"/>
              </w:rPr>
            </w:pPr>
            <w:r w:rsidRPr="00163B46">
              <w:rPr>
                <w:b/>
                <w:sz w:val="20"/>
                <w:szCs w:val="20"/>
              </w:rPr>
              <w:t>Періодичні (за наступний рік)</w:t>
            </w:r>
          </w:p>
        </w:tc>
        <w:tc>
          <w:tcPr>
            <w:tcW w:w="1418" w:type="dxa"/>
            <w:shd w:val="clear" w:color="auto" w:fill="auto"/>
          </w:tcPr>
          <w:p w:rsidR="00E56BFB" w:rsidRPr="00163B46" w:rsidRDefault="00E56BFB" w:rsidP="00163B46">
            <w:pPr>
              <w:pStyle w:val="a7"/>
              <w:jc w:val="center"/>
              <w:rPr>
                <w:b/>
                <w:sz w:val="20"/>
                <w:szCs w:val="20"/>
              </w:rPr>
            </w:pPr>
            <w:r w:rsidRPr="00163B46">
              <w:rPr>
                <w:b/>
                <w:sz w:val="20"/>
                <w:szCs w:val="20"/>
              </w:rPr>
              <w:t>Витрати за п'ять років</w:t>
            </w:r>
          </w:p>
        </w:tc>
      </w:tr>
      <w:tr w:rsidR="00E56BFB" w:rsidRPr="00163B46" w:rsidTr="007F7743">
        <w:tc>
          <w:tcPr>
            <w:tcW w:w="9606" w:type="dxa"/>
            <w:gridSpan w:val="5"/>
            <w:shd w:val="clear" w:color="auto" w:fill="auto"/>
          </w:tcPr>
          <w:p w:rsidR="00E56BFB" w:rsidRPr="00163B46" w:rsidRDefault="00E56BFB" w:rsidP="00163B46">
            <w:pPr>
              <w:jc w:val="center"/>
              <w:rPr>
                <w:b/>
                <w:lang w:val="uk-UA"/>
              </w:rPr>
            </w:pPr>
            <w:r w:rsidRPr="00163B46">
              <w:rPr>
                <w:b/>
                <w:sz w:val="24"/>
                <w:szCs w:val="24"/>
                <w:lang w:val="uk-UA"/>
              </w:rPr>
              <w:t>Оцінка "прямих" витрат суб'єктів малого підприємництва на виконання регулювання</w:t>
            </w:r>
          </w:p>
        </w:tc>
      </w:tr>
      <w:tr w:rsidR="00C45848" w:rsidRPr="00163B46" w:rsidTr="007F7743">
        <w:tc>
          <w:tcPr>
            <w:tcW w:w="1548" w:type="dxa"/>
            <w:shd w:val="clear" w:color="auto" w:fill="auto"/>
          </w:tcPr>
          <w:p w:rsidR="00C45848" w:rsidRPr="005A54EA" w:rsidRDefault="00C45848" w:rsidP="00163B46">
            <w:pPr>
              <w:pStyle w:val="a7"/>
              <w:jc w:val="center"/>
            </w:pPr>
            <w:r w:rsidRPr="005A54EA">
              <w:t>1</w:t>
            </w:r>
          </w:p>
        </w:tc>
        <w:tc>
          <w:tcPr>
            <w:tcW w:w="3960" w:type="dxa"/>
            <w:shd w:val="clear" w:color="auto" w:fill="auto"/>
          </w:tcPr>
          <w:p w:rsidR="00C45848" w:rsidRPr="005A54EA" w:rsidRDefault="00C45848" w:rsidP="00E56BFB">
            <w:pPr>
              <w:pStyle w:val="a7"/>
            </w:pPr>
            <w:r w:rsidRPr="005A54EA">
              <w:t xml:space="preserve">Придбання необхідного обладнання </w:t>
            </w:r>
            <w:r w:rsidRPr="005A54EA">
              <w:lastRenderedPageBreak/>
              <w:t>(програма для ЕТС біржі)</w:t>
            </w:r>
            <w:r w:rsidR="00B66E23">
              <w:t>*</w:t>
            </w:r>
          </w:p>
        </w:tc>
        <w:tc>
          <w:tcPr>
            <w:tcW w:w="1440" w:type="dxa"/>
            <w:shd w:val="clear" w:color="auto" w:fill="auto"/>
          </w:tcPr>
          <w:p w:rsidR="00C45848" w:rsidRPr="00163B46" w:rsidRDefault="00312EDD" w:rsidP="00163B46">
            <w:pPr>
              <w:pStyle w:val="a7"/>
              <w:tabs>
                <w:tab w:val="left" w:pos="1875"/>
              </w:tabs>
              <w:jc w:val="center"/>
              <w:rPr>
                <w:szCs w:val="28"/>
              </w:rPr>
            </w:pPr>
            <w:r w:rsidRPr="00163B46">
              <w:rPr>
                <w:b/>
                <w:szCs w:val="28"/>
              </w:rPr>
              <w:lastRenderedPageBreak/>
              <w:t>-</w:t>
            </w:r>
          </w:p>
        </w:tc>
        <w:tc>
          <w:tcPr>
            <w:tcW w:w="1240"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c>
          <w:tcPr>
            <w:tcW w:w="1418" w:type="dxa"/>
            <w:shd w:val="clear" w:color="auto" w:fill="auto"/>
          </w:tcPr>
          <w:p w:rsidR="00C45848" w:rsidRPr="00163B46" w:rsidRDefault="00312EDD" w:rsidP="00163B46">
            <w:pPr>
              <w:pStyle w:val="a7"/>
              <w:tabs>
                <w:tab w:val="left" w:pos="1875"/>
              </w:tabs>
              <w:jc w:val="center"/>
              <w:rPr>
                <w:szCs w:val="28"/>
              </w:rPr>
            </w:pPr>
            <w:r w:rsidRPr="00163B46">
              <w:rPr>
                <w:b/>
                <w:szCs w:val="28"/>
              </w:rPr>
              <w:t>-</w:t>
            </w:r>
          </w:p>
        </w:tc>
      </w:tr>
      <w:tr w:rsidR="00C45848" w:rsidRPr="00163B46" w:rsidTr="007F7743">
        <w:tc>
          <w:tcPr>
            <w:tcW w:w="1548" w:type="dxa"/>
            <w:shd w:val="clear" w:color="auto" w:fill="auto"/>
          </w:tcPr>
          <w:p w:rsidR="00C45848" w:rsidRPr="005A54EA" w:rsidRDefault="00C45848" w:rsidP="00163B46">
            <w:pPr>
              <w:pStyle w:val="a7"/>
              <w:jc w:val="center"/>
            </w:pPr>
            <w:r w:rsidRPr="005A54EA">
              <w:t>2</w:t>
            </w:r>
          </w:p>
        </w:tc>
        <w:tc>
          <w:tcPr>
            <w:tcW w:w="3960" w:type="dxa"/>
            <w:shd w:val="clear" w:color="auto" w:fill="auto"/>
          </w:tcPr>
          <w:p w:rsidR="00C45848" w:rsidRPr="005A54EA" w:rsidRDefault="00C45848" w:rsidP="00E56BFB">
            <w:pPr>
              <w:pStyle w:val="a7"/>
            </w:pPr>
            <w:r w:rsidRPr="005A54EA">
              <w:t>Процедури повірки та/або постановки на відповідний облік у визначеному органі державної влади чи місцевого самоврядування</w:t>
            </w:r>
          </w:p>
        </w:tc>
        <w:tc>
          <w:tcPr>
            <w:tcW w:w="1440"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c>
          <w:tcPr>
            <w:tcW w:w="1240"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c>
          <w:tcPr>
            <w:tcW w:w="1418"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r>
      <w:tr w:rsidR="00C45848" w:rsidRPr="00163B46" w:rsidTr="007F7743">
        <w:tc>
          <w:tcPr>
            <w:tcW w:w="1548" w:type="dxa"/>
            <w:shd w:val="clear" w:color="auto" w:fill="auto"/>
          </w:tcPr>
          <w:p w:rsidR="00C45848" w:rsidRPr="005A54EA" w:rsidRDefault="00C45848" w:rsidP="00163B46">
            <w:pPr>
              <w:pStyle w:val="a7"/>
              <w:jc w:val="center"/>
            </w:pPr>
            <w:r w:rsidRPr="005A54EA">
              <w:t>3</w:t>
            </w:r>
          </w:p>
        </w:tc>
        <w:tc>
          <w:tcPr>
            <w:tcW w:w="3960" w:type="dxa"/>
            <w:shd w:val="clear" w:color="auto" w:fill="auto"/>
          </w:tcPr>
          <w:p w:rsidR="00C45848" w:rsidRPr="005A54EA" w:rsidRDefault="00C45848" w:rsidP="00E56BFB">
            <w:pPr>
              <w:pStyle w:val="a7"/>
            </w:pPr>
            <w:r w:rsidRPr="005A54EA">
              <w:t>Процедури експлуатації обладнання (експлуатаційні витрати - витратні матеріали)</w:t>
            </w:r>
          </w:p>
        </w:tc>
        <w:tc>
          <w:tcPr>
            <w:tcW w:w="1440"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c>
          <w:tcPr>
            <w:tcW w:w="1240"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c>
          <w:tcPr>
            <w:tcW w:w="1418"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r>
      <w:tr w:rsidR="00C45848" w:rsidRPr="00163B46" w:rsidTr="007F7743">
        <w:tc>
          <w:tcPr>
            <w:tcW w:w="1548" w:type="dxa"/>
            <w:shd w:val="clear" w:color="auto" w:fill="auto"/>
          </w:tcPr>
          <w:p w:rsidR="00C45848" w:rsidRPr="005A54EA" w:rsidRDefault="00C45848" w:rsidP="00163B46">
            <w:pPr>
              <w:pStyle w:val="a7"/>
              <w:jc w:val="center"/>
            </w:pPr>
            <w:r w:rsidRPr="005A54EA">
              <w:t>4</w:t>
            </w:r>
          </w:p>
        </w:tc>
        <w:tc>
          <w:tcPr>
            <w:tcW w:w="3960" w:type="dxa"/>
            <w:shd w:val="clear" w:color="auto" w:fill="auto"/>
          </w:tcPr>
          <w:p w:rsidR="00C45848" w:rsidRPr="005A54EA" w:rsidRDefault="00C45848" w:rsidP="00E56BFB">
            <w:pPr>
              <w:pStyle w:val="a7"/>
            </w:pPr>
            <w:r w:rsidRPr="005A54EA">
              <w:t>Процедури обслуговування обладнання (технічне обслуговування)</w:t>
            </w:r>
          </w:p>
        </w:tc>
        <w:tc>
          <w:tcPr>
            <w:tcW w:w="1440"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c>
          <w:tcPr>
            <w:tcW w:w="1240"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c>
          <w:tcPr>
            <w:tcW w:w="1418"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r>
      <w:tr w:rsidR="00C45848" w:rsidRPr="00163B46" w:rsidTr="007F7743">
        <w:tc>
          <w:tcPr>
            <w:tcW w:w="1548" w:type="dxa"/>
            <w:shd w:val="clear" w:color="auto" w:fill="auto"/>
          </w:tcPr>
          <w:p w:rsidR="00C45848" w:rsidRPr="005A54EA" w:rsidRDefault="00C45848" w:rsidP="00163B46">
            <w:pPr>
              <w:pStyle w:val="a7"/>
              <w:jc w:val="center"/>
            </w:pPr>
            <w:r w:rsidRPr="005A54EA">
              <w:t>5</w:t>
            </w:r>
          </w:p>
        </w:tc>
        <w:tc>
          <w:tcPr>
            <w:tcW w:w="3960" w:type="dxa"/>
            <w:shd w:val="clear" w:color="auto" w:fill="auto"/>
          </w:tcPr>
          <w:p w:rsidR="00C45848" w:rsidRPr="005A54EA" w:rsidRDefault="00C45848" w:rsidP="00E56BFB">
            <w:pPr>
              <w:pStyle w:val="a7"/>
            </w:pPr>
            <w:r w:rsidRPr="005A54EA">
              <w:t>Інші процедури (уточнити)</w:t>
            </w:r>
          </w:p>
        </w:tc>
        <w:tc>
          <w:tcPr>
            <w:tcW w:w="1440"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c>
          <w:tcPr>
            <w:tcW w:w="1240"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c>
          <w:tcPr>
            <w:tcW w:w="1418"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r>
      <w:tr w:rsidR="00C45848" w:rsidRPr="00163B46" w:rsidTr="007F7743">
        <w:tc>
          <w:tcPr>
            <w:tcW w:w="1548" w:type="dxa"/>
            <w:shd w:val="clear" w:color="auto" w:fill="auto"/>
          </w:tcPr>
          <w:p w:rsidR="00C45848" w:rsidRPr="005A54EA" w:rsidRDefault="00C45848" w:rsidP="00163B46">
            <w:pPr>
              <w:pStyle w:val="a7"/>
              <w:jc w:val="center"/>
            </w:pPr>
            <w:r w:rsidRPr="005A54EA">
              <w:t>6</w:t>
            </w:r>
          </w:p>
        </w:tc>
        <w:tc>
          <w:tcPr>
            <w:tcW w:w="3960" w:type="dxa"/>
            <w:shd w:val="clear" w:color="auto" w:fill="auto"/>
          </w:tcPr>
          <w:p w:rsidR="00C45848" w:rsidRPr="005A54EA" w:rsidRDefault="00C45848" w:rsidP="00E56BFB">
            <w:pPr>
              <w:pStyle w:val="a7"/>
            </w:pPr>
            <w:r w:rsidRPr="005A54EA">
              <w:t>Разом, гривень</w:t>
            </w:r>
            <w:r w:rsidRPr="005A54EA">
              <w:br/>
            </w:r>
          </w:p>
        </w:tc>
        <w:tc>
          <w:tcPr>
            <w:tcW w:w="1440" w:type="dxa"/>
            <w:shd w:val="clear" w:color="auto" w:fill="auto"/>
          </w:tcPr>
          <w:p w:rsidR="00C45848" w:rsidRPr="00163B46" w:rsidRDefault="00FE4EF2" w:rsidP="00163B46">
            <w:pPr>
              <w:pStyle w:val="a7"/>
              <w:tabs>
                <w:tab w:val="left" w:pos="1875"/>
              </w:tabs>
              <w:jc w:val="center"/>
              <w:rPr>
                <w:b/>
                <w:szCs w:val="28"/>
              </w:rPr>
            </w:pPr>
            <w:r w:rsidRPr="00163B46">
              <w:rPr>
                <w:b/>
                <w:szCs w:val="28"/>
              </w:rPr>
              <w:t>-</w:t>
            </w:r>
          </w:p>
        </w:tc>
        <w:tc>
          <w:tcPr>
            <w:tcW w:w="1240" w:type="dxa"/>
            <w:shd w:val="clear" w:color="auto" w:fill="auto"/>
          </w:tcPr>
          <w:p w:rsidR="00C45848" w:rsidRPr="00163B46" w:rsidRDefault="00C45848" w:rsidP="00163B46">
            <w:pPr>
              <w:pStyle w:val="a7"/>
              <w:tabs>
                <w:tab w:val="left" w:pos="1875"/>
              </w:tabs>
              <w:jc w:val="center"/>
              <w:rPr>
                <w:b/>
                <w:szCs w:val="28"/>
              </w:rPr>
            </w:pPr>
            <w:r w:rsidRPr="00163B46">
              <w:rPr>
                <w:b/>
                <w:szCs w:val="28"/>
              </w:rPr>
              <w:t>-</w:t>
            </w:r>
          </w:p>
        </w:tc>
        <w:tc>
          <w:tcPr>
            <w:tcW w:w="1418" w:type="dxa"/>
            <w:shd w:val="clear" w:color="auto" w:fill="auto"/>
          </w:tcPr>
          <w:p w:rsidR="00C45848" w:rsidRPr="00163B46" w:rsidRDefault="00FE4EF2" w:rsidP="00163B46">
            <w:pPr>
              <w:pStyle w:val="a7"/>
              <w:tabs>
                <w:tab w:val="left" w:pos="1875"/>
              </w:tabs>
              <w:jc w:val="center"/>
              <w:rPr>
                <w:b/>
                <w:szCs w:val="28"/>
              </w:rPr>
            </w:pPr>
            <w:r w:rsidRPr="00163B46">
              <w:rPr>
                <w:b/>
                <w:szCs w:val="28"/>
              </w:rPr>
              <w:t>-</w:t>
            </w:r>
          </w:p>
        </w:tc>
      </w:tr>
      <w:tr w:rsidR="00C45848" w:rsidRPr="00163B46" w:rsidTr="007F7743">
        <w:tc>
          <w:tcPr>
            <w:tcW w:w="1548" w:type="dxa"/>
            <w:shd w:val="clear" w:color="auto" w:fill="auto"/>
          </w:tcPr>
          <w:p w:rsidR="00C45848" w:rsidRPr="005A54EA" w:rsidRDefault="00C45848" w:rsidP="00163B46">
            <w:pPr>
              <w:pStyle w:val="a7"/>
              <w:jc w:val="center"/>
            </w:pPr>
            <w:r w:rsidRPr="005A54EA">
              <w:t>7</w:t>
            </w:r>
          </w:p>
        </w:tc>
        <w:tc>
          <w:tcPr>
            <w:tcW w:w="3960" w:type="dxa"/>
            <w:shd w:val="clear" w:color="auto" w:fill="auto"/>
          </w:tcPr>
          <w:p w:rsidR="00C45848" w:rsidRPr="005A54EA" w:rsidRDefault="00C45848" w:rsidP="00E56BFB">
            <w:pPr>
              <w:pStyle w:val="a7"/>
            </w:pPr>
            <w:r w:rsidRPr="005A54EA">
              <w:t>Кількість суб'єктів господарювання, що повинні виконати вимоги регулювання, одиниць</w:t>
            </w:r>
          </w:p>
        </w:tc>
        <w:tc>
          <w:tcPr>
            <w:tcW w:w="1440" w:type="dxa"/>
            <w:shd w:val="clear" w:color="auto" w:fill="auto"/>
          </w:tcPr>
          <w:p w:rsidR="00C45848" w:rsidRPr="00163B46" w:rsidRDefault="009F4CB6" w:rsidP="00163B46">
            <w:pPr>
              <w:pStyle w:val="a7"/>
              <w:tabs>
                <w:tab w:val="left" w:pos="1875"/>
              </w:tabs>
              <w:jc w:val="center"/>
              <w:rPr>
                <w:szCs w:val="28"/>
              </w:rPr>
            </w:pPr>
            <w:r w:rsidRPr="00163B46">
              <w:rPr>
                <w:szCs w:val="28"/>
              </w:rPr>
              <w:t>5</w:t>
            </w:r>
          </w:p>
          <w:p w:rsidR="00C45848" w:rsidRPr="00163B46" w:rsidRDefault="00C45848" w:rsidP="00163B46">
            <w:pPr>
              <w:pStyle w:val="a7"/>
              <w:tabs>
                <w:tab w:val="left" w:pos="1875"/>
              </w:tabs>
              <w:jc w:val="center"/>
              <w:rPr>
                <w:szCs w:val="28"/>
              </w:rPr>
            </w:pPr>
          </w:p>
        </w:tc>
        <w:tc>
          <w:tcPr>
            <w:tcW w:w="1240" w:type="dxa"/>
            <w:shd w:val="clear" w:color="auto" w:fill="auto"/>
          </w:tcPr>
          <w:p w:rsidR="00C45848" w:rsidRPr="00163B46" w:rsidRDefault="00C45848" w:rsidP="00E56BFB">
            <w:pPr>
              <w:rPr>
                <w:lang w:val="uk-UA"/>
              </w:rPr>
            </w:pPr>
          </w:p>
        </w:tc>
        <w:tc>
          <w:tcPr>
            <w:tcW w:w="1418" w:type="dxa"/>
            <w:shd w:val="clear" w:color="auto" w:fill="auto"/>
          </w:tcPr>
          <w:p w:rsidR="00C45848" w:rsidRPr="00163B46" w:rsidRDefault="009F4CB6" w:rsidP="00163B46">
            <w:pPr>
              <w:pStyle w:val="a7"/>
              <w:tabs>
                <w:tab w:val="left" w:pos="1875"/>
              </w:tabs>
              <w:jc w:val="center"/>
              <w:rPr>
                <w:szCs w:val="28"/>
              </w:rPr>
            </w:pPr>
            <w:r w:rsidRPr="00163B46">
              <w:rPr>
                <w:szCs w:val="28"/>
              </w:rPr>
              <w:t>5</w:t>
            </w:r>
          </w:p>
          <w:p w:rsidR="00C45848" w:rsidRPr="00163B46" w:rsidRDefault="00C45848" w:rsidP="00163B46">
            <w:pPr>
              <w:pStyle w:val="a7"/>
              <w:tabs>
                <w:tab w:val="left" w:pos="1875"/>
              </w:tabs>
              <w:jc w:val="center"/>
              <w:rPr>
                <w:szCs w:val="28"/>
              </w:rPr>
            </w:pPr>
          </w:p>
        </w:tc>
      </w:tr>
      <w:tr w:rsidR="00C45848" w:rsidRPr="00163B46" w:rsidTr="007F7743">
        <w:tc>
          <w:tcPr>
            <w:tcW w:w="1548" w:type="dxa"/>
            <w:shd w:val="clear" w:color="auto" w:fill="auto"/>
          </w:tcPr>
          <w:p w:rsidR="00C45848" w:rsidRPr="005A54EA" w:rsidRDefault="00C45848" w:rsidP="00163B46">
            <w:pPr>
              <w:pStyle w:val="a7"/>
              <w:jc w:val="center"/>
            </w:pPr>
            <w:r w:rsidRPr="005A54EA">
              <w:t>8</w:t>
            </w:r>
          </w:p>
        </w:tc>
        <w:tc>
          <w:tcPr>
            <w:tcW w:w="3960" w:type="dxa"/>
            <w:shd w:val="clear" w:color="auto" w:fill="auto"/>
          </w:tcPr>
          <w:p w:rsidR="00C45848" w:rsidRPr="00163B46" w:rsidRDefault="00C45848" w:rsidP="00163B46">
            <w:pPr>
              <w:pStyle w:val="a3"/>
              <w:jc w:val="left"/>
              <w:rPr>
                <w:b w:val="0"/>
                <w:sz w:val="24"/>
                <w:szCs w:val="24"/>
              </w:rPr>
            </w:pPr>
            <w:r w:rsidRPr="00163B46">
              <w:rPr>
                <w:b w:val="0"/>
                <w:sz w:val="24"/>
                <w:szCs w:val="24"/>
              </w:rPr>
              <w:t>Сумарно, гривень</w:t>
            </w:r>
          </w:p>
        </w:tc>
        <w:tc>
          <w:tcPr>
            <w:tcW w:w="1440" w:type="dxa"/>
            <w:shd w:val="clear" w:color="auto" w:fill="auto"/>
          </w:tcPr>
          <w:p w:rsidR="00C45848" w:rsidRPr="00163B46" w:rsidRDefault="00FE4EF2" w:rsidP="00163B46">
            <w:pPr>
              <w:pStyle w:val="a3"/>
              <w:tabs>
                <w:tab w:val="left" w:pos="1875"/>
              </w:tabs>
              <w:rPr>
                <w:b w:val="0"/>
                <w:sz w:val="24"/>
                <w:szCs w:val="24"/>
              </w:rPr>
            </w:pPr>
            <w:r w:rsidRPr="00163B46">
              <w:rPr>
                <w:b w:val="0"/>
                <w:sz w:val="24"/>
                <w:szCs w:val="24"/>
              </w:rPr>
              <w:t>-</w:t>
            </w:r>
          </w:p>
        </w:tc>
        <w:tc>
          <w:tcPr>
            <w:tcW w:w="1240" w:type="dxa"/>
            <w:shd w:val="clear" w:color="auto" w:fill="auto"/>
          </w:tcPr>
          <w:p w:rsidR="00C45848" w:rsidRPr="00163B46" w:rsidRDefault="00C45848" w:rsidP="00163B46">
            <w:pPr>
              <w:pStyle w:val="a3"/>
              <w:tabs>
                <w:tab w:val="left" w:pos="1875"/>
              </w:tabs>
              <w:rPr>
                <w:b w:val="0"/>
                <w:sz w:val="24"/>
                <w:szCs w:val="24"/>
              </w:rPr>
            </w:pPr>
            <w:r w:rsidRPr="00163B46">
              <w:rPr>
                <w:b w:val="0"/>
                <w:sz w:val="24"/>
                <w:szCs w:val="24"/>
              </w:rPr>
              <w:t>-</w:t>
            </w:r>
          </w:p>
        </w:tc>
        <w:tc>
          <w:tcPr>
            <w:tcW w:w="1418" w:type="dxa"/>
            <w:shd w:val="clear" w:color="auto" w:fill="auto"/>
          </w:tcPr>
          <w:p w:rsidR="00C45848" w:rsidRPr="00163B46" w:rsidRDefault="00FE4EF2" w:rsidP="00163B46">
            <w:pPr>
              <w:pStyle w:val="a3"/>
              <w:tabs>
                <w:tab w:val="left" w:pos="1875"/>
              </w:tabs>
              <w:rPr>
                <w:b w:val="0"/>
                <w:sz w:val="24"/>
                <w:szCs w:val="24"/>
              </w:rPr>
            </w:pPr>
            <w:r w:rsidRPr="00163B46">
              <w:rPr>
                <w:b w:val="0"/>
                <w:sz w:val="24"/>
                <w:szCs w:val="24"/>
              </w:rPr>
              <w:t>-</w:t>
            </w:r>
          </w:p>
        </w:tc>
      </w:tr>
      <w:tr w:rsidR="00C45848" w:rsidRPr="00163B46" w:rsidTr="007F7743">
        <w:tc>
          <w:tcPr>
            <w:tcW w:w="9606" w:type="dxa"/>
            <w:gridSpan w:val="5"/>
            <w:shd w:val="clear" w:color="auto" w:fill="auto"/>
          </w:tcPr>
          <w:p w:rsidR="00C45848" w:rsidRPr="00163B46" w:rsidRDefault="00C45848" w:rsidP="00163B46">
            <w:pPr>
              <w:jc w:val="center"/>
              <w:rPr>
                <w:b/>
                <w:lang w:val="uk-UA"/>
              </w:rPr>
            </w:pPr>
            <w:r w:rsidRPr="00163B46">
              <w:rPr>
                <w:b/>
                <w:sz w:val="24"/>
                <w:szCs w:val="24"/>
                <w:lang w:val="uk-UA"/>
              </w:rPr>
              <w:t>Оцінка вартості адміністративних процедур суб'єктів малого підприємництва щодо виконання регулювання та звітування</w:t>
            </w:r>
          </w:p>
        </w:tc>
      </w:tr>
      <w:tr w:rsidR="009C0DBB" w:rsidRPr="00163B46" w:rsidTr="007F7743">
        <w:tc>
          <w:tcPr>
            <w:tcW w:w="1548" w:type="dxa"/>
            <w:shd w:val="clear" w:color="auto" w:fill="auto"/>
          </w:tcPr>
          <w:p w:rsidR="009C0DBB" w:rsidRPr="005A54EA" w:rsidRDefault="009C0DBB" w:rsidP="00163B46">
            <w:pPr>
              <w:pStyle w:val="a7"/>
              <w:jc w:val="center"/>
            </w:pPr>
            <w:r w:rsidRPr="005A54EA">
              <w:t>9</w:t>
            </w:r>
          </w:p>
        </w:tc>
        <w:tc>
          <w:tcPr>
            <w:tcW w:w="3960" w:type="dxa"/>
            <w:shd w:val="clear" w:color="auto" w:fill="auto"/>
          </w:tcPr>
          <w:p w:rsidR="009C0DBB" w:rsidRPr="005A54EA" w:rsidRDefault="009C0DBB" w:rsidP="00E56BFB">
            <w:pPr>
              <w:pStyle w:val="a7"/>
            </w:pPr>
            <w:r w:rsidRPr="005A54EA">
              <w:t>Процедури отримання первинної інформації про вимоги регулювання</w:t>
            </w:r>
          </w:p>
        </w:tc>
        <w:tc>
          <w:tcPr>
            <w:tcW w:w="1440" w:type="dxa"/>
            <w:shd w:val="clear" w:color="auto" w:fill="auto"/>
          </w:tcPr>
          <w:p w:rsidR="009C0DBB" w:rsidRPr="005A54EA" w:rsidRDefault="00D1315C" w:rsidP="00163B46">
            <w:pPr>
              <w:pStyle w:val="a7"/>
              <w:jc w:val="center"/>
            </w:pPr>
            <w:r w:rsidRPr="00163B46">
              <w:rPr>
                <w:sz w:val="22"/>
                <w:szCs w:val="22"/>
                <w:highlight w:val="white"/>
              </w:rPr>
              <w:t xml:space="preserve">1 год. (час, який витрачається суб’єктами на пошук нпа в Інтернет; за результатами консультацій) Х 60,60 грн. (вартість 1 години роботи, виходячи з розрахунку 12000 грн на міс.) Х 1  нпа (кількість нпа, з якими необхідно ознайомитись)  = </w:t>
            </w:r>
            <w:r w:rsidRPr="00163B46">
              <w:rPr>
                <w:b/>
                <w:sz w:val="22"/>
                <w:szCs w:val="22"/>
                <w:highlight w:val="white"/>
              </w:rPr>
              <w:t>60,60</w:t>
            </w:r>
            <w:r w:rsidRPr="00163B46">
              <w:rPr>
                <w:sz w:val="22"/>
                <w:szCs w:val="22"/>
                <w:highlight w:val="white"/>
              </w:rPr>
              <w:t> грн.</w:t>
            </w:r>
            <w:r w:rsidRPr="005A54EA">
              <w:t> </w:t>
            </w:r>
            <w:r w:rsidR="009C0DBB" w:rsidRPr="005A54EA">
              <w:t> </w:t>
            </w:r>
          </w:p>
        </w:tc>
        <w:tc>
          <w:tcPr>
            <w:tcW w:w="1240" w:type="dxa"/>
            <w:shd w:val="clear" w:color="auto" w:fill="auto"/>
          </w:tcPr>
          <w:p w:rsidR="00D1315C" w:rsidRDefault="009C0DBB" w:rsidP="00163B46">
            <w:pPr>
              <w:pStyle w:val="a7"/>
              <w:jc w:val="center"/>
            </w:pPr>
            <w:r w:rsidRPr="005A54EA">
              <w:t>-</w:t>
            </w:r>
          </w:p>
          <w:p w:rsidR="00D1315C" w:rsidRPr="00163B46" w:rsidRDefault="00D1315C" w:rsidP="00163B46">
            <w:pPr>
              <w:widowControl w:val="0"/>
              <w:autoSpaceDE w:val="0"/>
              <w:autoSpaceDN w:val="0"/>
              <w:adjustRightInd w:val="0"/>
              <w:ind w:firstLine="6"/>
              <w:jc w:val="center"/>
              <w:rPr>
                <w:sz w:val="22"/>
                <w:szCs w:val="22"/>
                <w:highlight w:val="white"/>
                <w:lang w:val="uk-UA"/>
              </w:rPr>
            </w:pPr>
            <w:r w:rsidRPr="00163B46">
              <w:rPr>
                <w:sz w:val="22"/>
                <w:szCs w:val="22"/>
                <w:highlight w:val="white"/>
                <w:lang w:val="uk-UA"/>
              </w:rPr>
              <w:t xml:space="preserve">(отримання інформації про вимоги регулювання необхідне один раз після прийняття проекту змін до положень) </w:t>
            </w:r>
          </w:p>
          <w:p w:rsidR="009C0DBB" w:rsidRPr="005A54EA" w:rsidRDefault="009C0DBB" w:rsidP="00163B46">
            <w:pPr>
              <w:pStyle w:val="a7"/>
              <w:jc w:val="center"/>
            </w:pPr>
            <w:r w:rsidRPr="005A54EA">
              <w:t> </w:t>
            </w:r>
          </w:p>
        </w:tc>
        <w:tc>
          <w:tcPr>
            <w:tcW w:w="1418" w:type="dxa"/>
            <w:shd w:val="clear" w:color="auto" w:fill="auto"/>
          </w:tcPr>
          <w:p w:rsidR="009C0DBB" w:rsidRPr="005A54EA" w:rsidRDefault="007F7743" w:rsidP="00163B46">
            <w:pPr>
              <w:pStyle w:val="a7"/>
              <w:jc w:val="center"/>
            </w:pPr>
            <w:r w:rsidRPr="00163B46">
              <w:rPr>
                <w:sz w:val="22"/>
                <w:szCs w:val="22"/>
                <w:highlight w:val="white"/>
              </w:rPr>
              <w:t xml:space="preserve">1 год. (час, який витрачається суб’єктами на пошук нпа в Інтернет; за результатами консультацій) Х 60,60 грн. (вартість 1 години роботи, виходячи з розрахунку 12000 грн на міс.) Х 1  нпа (кількість нпа, з якими необхідно ознайомитись)  = </w:t>
            </w:r>
            <w:r w:rsidRPr="00163B46">
              <w:rPr>
                <w:b/>
                <w:sz w:val="22"/>
                <w:szCs w:val="22"/>
                <w:highlight w:val="white"/>
              </w:rPr>
              <w:t>60,60</w:t>
            </w:r>
            <w:r w:rsidRPr="00163B46">
              <w:rPr>
                <w:sz w:val="22"/>
                <w:szCs w:val="22"/>
                <w:highlight w:val="white"/>
              </w:rPr>
              <w:t> грн.</w:t>
            </w:r>
            <w:r w:rsidRPr="005A54EA">
              <w:t>  </w:t>
            </w:r>
          </w:p>
        </w:tc>
      </w:tr>
      <w:tr w:rsidR="009C0DBB" w:rsidRPr="00163B46" w:rsidTr="007F7743">
        <w:tc>
          <w:tcPr>
            <w:tcW w:w="1548" w:type="dxa"/>
            <w:shd w:val="clear" w:color="auto" w:fill="auto"/>
          </w:tcPr>
          <w:p w:rsidR="009C0DBB" w:rsidRPr="005A54EA" w:rsidRDefault="009C0DBB" w:rsidP="00163B46">
            <w:pPr>
              <w:pStyle w:val="a7"/>
              <w:jc w:val="center"/>
            </w:pPr>
            <w:r w:rsidRPr="005A54EA">
              <w:t>10</w:t>
            </w:r>
          </w:p>
        </w:tc>
        <w:tc>
          <w:tcPr>
            <w:tcW w:w="3960" w:type="dxa"/>
            <w:shd w:val="clear" w:color="auto" w:fill="auto"/>
          </w:tcPr>
          <w:p w:rsidR="009C0DBB" w:rsidRPr="005A54EA" w:rsidRDefault="009C0DBB" w:rsidP="00E56BFB">
            <w:pPr>
              <w:pStyle w:val="a7"/>
            </w:pPr>
            <w:r w:rsidRPr="005A54EA">
              <w:t>Процедури організації виконання вимог регулювання</w:t>
            </w:r>
          </w:p>
        </w:tc>
        <w:tc>
          <w:tcPr>
            <w:tcW w:w="1440" w:type="dxa"/>
            <w:shd w:val="clear" w:color="auto" w:fill="auto"/>
          </w:tcPr>
          <w:p w:rsidR="009C0DBB" w:rsidRPr="00163B46" w:rsidRDefault="0092330C" w:rsidP="00592A00">
            <w:pPr>
              <w:rPr>
                <w:lang w:val="uk-UA"/>
              </w:rPr>
            </w:pPr>
            <w:r w:rsidRPr="00163B46">
              <w:rPr>
                <w:sz w:val="22"/>
                <w:szCs w:val="22"/>
                <w:highlight w:val="white"/>
                <w:lang w:val="uk-UA"/>
              </w:rPr>
              <w:t>45</w:t>
            </w:r>
            <w:r w:rsidR="00581D1C" w:rsidRPr="00163B46">
              <w:rPr>
                <w:sz w:val="22"/>
                <w:szCs w:val="22"/>
                <w:highlight w:val="white"/>
                <w:lang w:val="uk-UA"/>
              </w:rPr>
              <w:t xml:space="preserve"> год. (час, який витрачається суб’єктами на впровадження вимог, процедур) Х </w:t>
            </w:r>
            <w:r w:rsidR="00581D1C" w:rsidRPr="00163B46">
              <w:rPr>
                <w:sz w:val="22"/>
                <w:szCs w:val="22"/>
                <w:highlight w:val="white"/>
                <w:lang w:val="uk-UA"/>
              </w:rPr>
              <w:lastRenderedPageBreak/>
              <w:t xml:space="preserve">60,60 грн. (вартість 1 години роботи, виходячи з розрахунку 12000 грн на міс.)  = </w:t>
            </w:r>
            <w:r w:rsidRPr="00163B46">
              <w:rPr>
                <w:b/>
                <w:sz w:val="22"/>
                <w:szCs w:val="22"/>
                <w:lang w:val="uk-UA"/>
              </w:rPr>
              <w:t>2727</w:t>
            </w:r>
            <w:r w:rsidR="00581D1C" w:rsidRPr="00163B46">
              <w:rPr>
                <w:sz w:val="22"/>
                <w:szCs w:val="22"/>
                <w:highlight w:val="white"/>
                <w:lang w:val="uk-UA"/>
              </w:rPr>
              <w:t> грн</w:t>
            </w:r>
          </w:p>
        </w:tc>
        <w:tc>
          <w:tcPr>
            <w:tcW w:w="1240" w:type="dxa"/>
            <w:shd w:val="clear" w:color="auto" w:fill="auto"/>
          </w:tcPr>
          <w:p w:rsidR="009C0DBB" w:rsidRPr="005A54EA" w:rsidRDefault="00581D1C" w:rsidP="00163B46">
            <w:pPr>
              <w:pStyle w:val="a7"/>
              <w:jc w:val="center"/>
            </w:pPr>
            <w:r>
              <w:lastRenderedPageBreak/>
              <w:t>-</w:t>
            </w:r>
          </w:p>
        </w:tc>
        <w:tc>
          <w:tcPr>
            <w:tcW w:w="1418" w:type="dxa"/>
            <w:shd w:val="clear" w:color="auto" w:fill="auto"/>
          </w:tcPr>
          <w:p w:rsidR="009C0DBB" w:rsidRPr="00163B46" w:rsidRDefault="009639DF" w:rsidP="00163B46">
            <w:pPr>
              <w:jc w:val="center"/>
              <w:rPr>
                <w:lang w:val="uk-UA"/>
              </w:rPr>
            </w:pPr>
            <w:r w:rsidRPr="00163B46">
              <w:rPr>
                <w:sz w:val="22"/>
                <w:szCs w:val="22"/>
                <w:highlight w:val="white"/>
                <w:lang w:val="uk-UA"/>
              </w:rPr>
              <w:t xml:space="preserve">45 год. (час, який витрачається суб’єктами на впровадження вимог, процедур) Х </w:t>
            </w:r>
            <w:r w:rsidRPr="00163B46">
              <w:rPr>
                <w:sz w:val="22"/>
                <w:szCs w:val="22"/>
                <w:highlight w:val="white"/>
                <w:lang w:val="uk-UA"/>
              </w:rPr>
              <w:lastRenderedPageBreak/>
              <w:t xml:space="preserve">60,60 грн. (вартість 1 години роботи, виходячи з розрахунку 12000 грн на міс.)  = </w:t>
            </w:r>
            <w:r w:rsidRPr="00163B46">
              <w:rPr>
                <w:b/>
                <w:sz w:val="22"/>
                <w:szCs w:val="22"/>
                <w:lang w:val="uk-UA"/>
              </w:rPr>
              <w:t>2727</w:t>
            </w:r>
            <w:r w:rsidRPr="00163B46">
              <w:rPr>
                <w:sz w:val="22"/>
                <w:szCs w:val="22"/>
                <w:highlight w:val="white"/>
                <w:lang w:val="uk-UA"/>
              </w:rPr>
              <w:t> грн</w:t>
            </w:r>
          </w:p>
        </w:tc>
      </w:tr>
      <w:tr w:rsidR="009C0DBB" w:rsidRPr="00163B46" w:rsidTr="007F7743">
        <w:tc>
          <w:tcPr>
            <w:tcW w:w="1548" w:type="dxa"/>
            <w:shd w:val="clear" w:color="auto" w:fill="auto"/>
          </w:tcPr>
          <w:p w:rsidR="009C0DBB" w:rsidRPr="005A54EA" w:rsidRDefault="009C0DBB" w:rsidP="00163B46">
            <w:pPr>
              <w:pStyle w:val="a7"/>
              <w:jc w:val="center"/>
            </w:pPr>
            <w:r w:rsidRPr="005A54EA">
              <w:lastRenderedPageBreak/>
              <w:t>11</w:t>
            </w:r>
          </w:p>
        </w:tc>
        <w:tc>
          <w:tcPr>
            <w:tcW w:w="3960" w:type="dxa"/>
            <w:shd w:val="clear" w:color="auto" w:fill="auto"/>
          </w:tcPr>
          <w:p w:rsidR="009C0DBB" w:rsidRPr="005A54EA" w:rsidRDefault="009C0DBB" w:rsidP="00E56BFB">
            <w:pPr>
              <w:pStyle w:val="a7"/>
            </w:pPr>
            <w:r w:rsidRPr="005A54EA">
              <w:t>Процедури офіційного звітування</w:t>
            </w:r>
          </w:p>
        </w:tc>
        <w:tc>
          <w:tcPr>
            <w:tcW w:w="1440" w:type="dxa"/>
            <w:shd w:val="clear" w:color="auto" w:fill="auto"/>
          </w:tcPr>
          <w:p w:rsidR="009C0DBB" w:rsidRPr="005A54EA" w:rsidRDefault="009C0DBB" w:rsidP="00163B46">
            <w:pPr>
              <w:pStyle w:val="a7"/>
              <w:jc w:val="center"/>
            </w:pPr>
            <w:r w:rsidRPr="005A54EA">
              <w:t>- </w:t>
            </w:r>
          </w:p>
        </w:tc>
        <w:tc>
          <w:tcPr>
            <w:tcW w:w="1240" w:type="dxa"/>
            <w:shd w:val="clear" w:color="auto" w:fill="auto"/>
          </w:tcPr>
          <w:p w:rsidR="009C0DBB" w:rsidRPr="005A54EA" w:rsidRDefault="009C0DBB" w:rsidP="00163B46">
            <w:pPr>
              <w:pStyle w:val="a7"/>
              <w:jc w:val="center"/>
            </w:pPr>
            <w:r w:rsidRPr="005A54EA">
              <w:t>-</w:t>
            </w:r>
          </w:p>
        </w:tc>
        <w:tc>
          <w:tcPr>
            <w:tcW w:w="1418" w:type="dxa"/>
            <w:shd w:val="clear" w:color="auto" w:fill="auto"/>
          </w:tcPr>
          <w:p w:rsidR="009C0DBB" w:rsidRPr="005A54EA" w:rsidRDefault="009C0DBB" w:rsidP="00163B46">
            <w:pPr>
              <w:pStyle w:val="a7"/>
              <w:jc w:val="center"/>
            </w:pPr>
            <w:r w:rsidRPr="005A54EA">
              <w:t>- </w:t>
            </w:r>
          </w:p>
        </w:tc>
      </w:tr>
      <w:tr w:rsidR="009C0DBB" w:rsidRPr="00163B46" w:rsidTr="007F7743">
        <w:tc>
          <w:tcPr>
            <w:tcW w:w="1548" w:type="dxa"/>
            <w:shd w:val="clear" w:color="auto" w:fill="auto"/>
          </w:tcPr>
          <w:p w:rsidR="009C0DBB" w:rsidRPr="005A54EA" w:rsidRDefault="009C0DBB" w:rsidP="00163B46">
            <w:pPr>
              <w:pStyle w:val="a7"/>
              <w:jc w:val="center"/>
            </w:pPr>
            <w:r w:rsidRPr="005A54EA">
              <w:t>12</w:t>
            </w:r>
          </w:p>
        </w:tc>
        <w:tc>
          <w:tcPr>
            <w:tcW w:w="3960" w:type="dxa"/>
            <w:shd w:val="clear" w:color="auto" w:fill="auto"/>
          </w:tcPr>
          <w:p w:rsidR="009C0DBB" w:rsidRPr="005A54EA" w:rsidRDefault="009C0DBB" w:rsidP="00E56BFB">
            <w:pPr>
              <w:pStyle w:val="a7"/>
            </w:pPr>
            <w:r w:rsidRPr="005A54EA">
              <w:t>Процедури щодо забезпечення процесу перевірок</w:t>
            </w:r>
          </w:p>
        </w:tc>
        <w:tc>
          <w:tcPr>
            <w:tcW w:w="1440" w:type="dxa"/>
            <w:shd w:val="clear" w:color="auto" w:fill="auto"/>
          </w:tcPr>
          <w:p w:rsidR="009C0DBB" w:rsidRPr="005A54EA" w:rsidRDefault="009C0DBB" w:rsidP="00163B46">
            <w:pPr>
              <w:pStyle w:val="a7"/>
              <w:jc w:val="center"/>
            </w:pPr>
            <w:r w:rsidRPr="005A54EA">
              <w:t> -</w:t>
            </w:r>
          </w:p>
        </w:tc>
        <w:tc>
          <w:tcPr>
            <w:tcW w:w="1240" w:type="dxa"/>
            <w:shd w:val="clear" w:color="auto" w:fill="auto"/>
          </w:tcPr>
          <w:p w:rsidR="009C0DBB" w:rsidRPr="005A54EA" w:rsidRDefault="009C0DBB" w:rsidP="00163B46">
            <w:pPr>
              <w:pStyle w:val="a7"/>
              <w:jc w:val="center"/>
            </w:pPr>
            <w:r w:rsidRPr="005A54EA">
              <w:t>- </w:t>
            </w:r>
          </w:p>
        </w:tc>
        <w:tc>
          <w:tcPr>
            <w:tcW w:w="1418" w:type="dxa"/>
            <w:shd w:val="clear" w:color="auto" w:fill="auto"/>
          </w:tcPr>
          <w:p w:rsidR="009C0DBB" w:rsidRPr="005A54EA" w:rsidRDefault="009C0DBB" w:rsidP="00163B46">
            <w:pPr>
              <w:pStyle w:val="a7"/>
              <w:jc w:val="center"/>
            </w:pPr>
            <w:r w:rsidRPr="005A54EA">
              <w:t> -</w:t>
            </w:r>
          </w:p>
        </w:tc>
      </w:tr>
      <w:tr w:rsidR="009C0DBB" w:rsidRPr="00163B46" w:rsidTr="007F7743">
        <w:tc>
          <w:tcPr>
            <w:tcW w:w="1548" w:type="dxa"/>
            <w:shd w:val="clear" w:color="auto" w:fill="auto"/>
          </w:tcPr>
          <w:p w:rsidR="009C0DBB" w:rsidRPr="005A54EA" w:rsidRDefault="009C0DBB" w:rsidP="00163B46">
            <w:pPr>
              <w:pStyle w:val="a7"/>
              <w:jc w:val="center"/>
            </w:pPr>
            <w:r w:rsidRPr="005A54EA">
              <w:t>13</w:t>
            </w:r>
          </w:p>
        </w:tc>
        <w:tc>
          <w:tcPr>
            <w:tcW w:w="3960" w:type="dxa"/>
            <w:shd w:val="clear" w:color="auto" w:fill="auto"/>
          </w:tcPr>
          <w:p w:rsidR="009C0DBB" w:rsidRPr="005A54EA" w:rsidRDefault="009C0DBB" w:rsidP="00E56BFB">
            <w:pPr>
              <w:pStyle w:val="a7"/>
            </w:pPr>
            <w:r w:rsidRPr="005A54EA">
              <w:t>Інші процедури</w:t>
            </w:r>
            <w:r w:rsidRPr="00163B46">
              <w:rPr>
                <w:szCs w:val="28"/>
              </w:rPr>
              <w:t xml:space="preserve"> (реєстрація змін до Правил фондової біржі)</w:t>
            </w:r>
          </w:p>
        </w:tc>
        <w:tc>
          <w:tcPr>
            <w:tcW w:w="1440" w:type="dxa"/>
            <w:shd w:val="clear" w:color="auto" w:fill="auto"/>
          </w:tcPr>
          <w:p w:rsidR="009C0DBB" w:rsidRPr="00163B46" w:rsidRDefault="009C0DBB" w:rsidP="00163B46">
            <w:pPr>
              <w:pStyle w:val="a7"/>
              <w:tabs>
                <w:tab w:val="left" w:pos="1875"/>
              </w:tabs>
              <w:jc w:val="center"/>
              <w:rPr>
                <w:szCs w:val="28"/>
              </w:rPr>
            </w:pPr>
            <w:r w:rsidRPr="005A54EA">
              <w:t> </w:t>
            </w:r>
            <w:r w:rsidRPr="00163B46">
              <w:rPr>
                <w:szCs w:val="28"/>
              </w:rPr>
              <w:t>3280 грн.*</w:t>
            </w:r>
            <w:r w:rsidR="00B66E23">
              <w:rPr>
                <w:szCs w:val="28"/>
              </w:rPr>
              <w:t>*</w:t>
            </w:r>
          </w:p>
          <w:p w:rsidR="009C0DBB" w:rsidRPr="005A54EA" w:rsidRDefault="009C0DBB" w:rsidP="00163B46">
            <w:pPr>
              <w:pStyle w:val="a7"/>
              <w:jc w:val="center"/>
            </w:pPr>
          </w:p>
        </w:tc>
        <w:tc>
          <w:tcPr>
            <w:tcW w:w="1240" w:type="dxa"/>
            <w:shd w:val="clear" w:color="auto" w:fill="auto"/>
          </w:tcPr>
          <w:p w:rsidR="009C0DBB" w:rsidRPr="005A54EA" w:rsidRDefault="009C0DBB" w:rsidP="00163B46">
            <w:pPr>
              <w:pStyle w:val="a7"/>
              <w:jc w:val="center"/>
            </w:pPr>
            <w:r w:rsidRPr="005A54EA">
              <w:t> -</w:t>
            </w:r>
          </w:p>
        </w:tc>
        <w:tc>
          <w:tcPr>
            <w:tcW w:w="1418" w:type="dxa"/>
            <w:shd w:val="clear" w:color="auto" w:fill="auto"/>
          </w:tcPr>
          <w:p w:rsidR="009C0DBB" w:rsidRPr="00163B46" w:rsidRDefault="009C0DBB" w:rsidP="00163B46">
            <w:pPr>
              <w:pStyle w:val="a7"/>
              <w:tabs>
                <w:tab w:val="left" w:pos="1875"/>
              </w:tabs>
              <w:jc w:val="center"/>
              <w:rPr>
                <w:szCs w:val="28"/>
              </w:rPr>
            </w:pPr>
            <w:r w:rsidRPr="005A54EA">
              <w:t> </w:t>
            </w:r>
            <w:r w:rsidRPr="00163B46">
              <w:rPr>
                <w:szCs w:val="28"/>
              </w:rPr>
              <w:t>3280 грн.*</w:t>
            </w:r>
            <w:r w:rsidR="00B66E23">
              <w:rPr>
                <w:szCs w:val="28"/>
              </w:rPr>
              <w:t>*</w:t>
            </w:r>
          </w:p>
          <w:p w:rsidR="009C0DBB" w:rsidRPr="005A54EA" w:rsidRDefault="009C0DBB" w:rsidP="00163B46">
            <w:pPr>
              <w:pStyle w:val="a7"/>
              <w:jc w:val="center"/>
            </w:pPr>
          </w:p>
        </w:tc>
      </w:tr>
      <w:tr w:rsidR="009C0DBB" w:rsidRPr="00163B46" w:rsidTr="007F7743">
        <w:tc>
          <w:tcPr>
            <w:tcW w:w="1548" w:type="dxa"/>
            <w:shd w:val="clear" w:color="auto" w:fill="auto"/>
          </w:tcPr>
          <w:p w:rsidR="009C0DBB" w:rsidRPr="005A54EA" w:rsidRDefault="009C0DBB" w:rsidP="00163B46">
            <w:pPr>
              <w:pStyle w:val="a7"/>
              <w:jc w:val="center"/>
            </w:pPr>
            <w:r w:rsidRPr="005A54EA">
              <w:t>14</w:t>
            </w:r>
          </w:p>
        </w:tc>
        <w:tc>
          <w:tcPr>
            <w:tcW w:w="3960" w:type="dxa"/>
            <w:shd w:val="clear" w:color="auto" w:fill="auto"/>
          </w:tcPr>
          <w:p w:rsidR="009C0DBB" w:rsidRPr="005A54EA" w:rsidRDefault="009C0DBB" w:rsidP="00E56BFB">
            <w:pPr>
              <w:pStyle w:val="a7"/>
            </w:pPr>
            <w:r w:rsidRPr="005A54EA">
              <w:t>Разом, гривень</w:t>
            </w:r>
          </w:p>
        </w:tc>
        <w:tc>
          <w:tcPr>
            <w:tcW w:w="1440" w:type="dxa"/>
            <w:shd w:val="clear" w:color="auto" w:fill="auto"/>
          </w:tcPr>
          <w:p w:rsidR="009C0DBB" w:rsidRPr="005A54EA" w:rsidRDefault="0058772C" w:rsidP="00163B46">
            <w:pPr>
              <w:pStyle w:val="a7"/>
              <w:jc w:val="center"/>
            </w:pPr>
            <w:r>
              <w:t>6067,6</w:t>
            </w:r>
            <w:r w:rsidR="009C0DBB" w:rsidRPr="005A54EA">
              <w:t xml:space="preserve"> грн. </w:t>
            </w:r>
          </w:p>
        </w:tc>
        <w:tc>
          <w:tcPr>
            <w:tcW w:w="1240" w:type="dxa"/>
            <w:shd w:val="clear" w:color="auto" w:fill="auto"/>
          </w:tcPr>
          <w:p w:rsidR="009C0DBB" w:rsidRPr="005A54EA" w:rsidRDefault="009C0DBB" w:rsidP="00163B46">
            <w:pPr>
              <w:pStyle w:val="a7"/>
              <w:jc w:val="center"/>
            </w:pPr>
            <w:r w:rsidRPr="005A54EA">
              <w:t>-</w:t>
            </w:r>
          </w:p>
        </w:tc>
        <w:tc>
          <w:tcPr>
            <w:tcW w:w="1418" w:type="dxa"/>
            <w:shd w:val="clear" w:color="auto" w:fill="auto"/>
          </w:tcPr>
          <w:p w:rsidR="009C0DBB" w:rsidRPr="005A54EA" w:rsidRDefault="009639DF" w:rsidP="00163B46">
            <w:pPr>
              <w:pStyle w:val="a7"/>
              <w:jc w:val="center"/>
            </w:pPr>
            <w:r>
              <w:t>6067,6</w:t>
            </w:r>
            <w:r w:rsidR="009C0DBB" w:rsidRPr="005A54EA">
              <w:t xml:space="preserve"> грн. </w:t>
            </w:r>
          </w:p>
        </w:tc>
      </w:tr>
      <w:tr w:rsidR="009C0DBB" w:rsidRPr="00163B46" w:rsidTr="007F7743">
        <w:tc>
          <w:tcPr>
            <w:tcW w:w="1548" w:type="dxa"/>
            <w:shd w:val="clear" w:color="auto" w:fill="auto"/>
          </w:tcPr>
          <w:p w:rsidR="009C0DBB" w:rsidRPr="005A54EA" w:rsidRDefault="009C0DBB" w:rsidP="00163B46">
            <w:pPr>
              <w:pStyle w:val="a7"/>
              <w:jc w:val="center"/>
            </w:pPr>
            <w:r w:rsidRPr="005A54EA">
              <w:t>15</w:t>
            </w:r>
          </w:p>
        </w:tc>
        <w:tc>
          <w:tcPr>
            <w:tcW w:w="3960" w:type="dxa"/>
            <w:shd w:val="clear" w:color="auto" w:fill="auto"/>
          </w:tcPr>
          <w:p w:rsidR="009C0DBB" w:rsidRPr="005A54EA" w:rsidRDefault="009C0DBB" w:rsidP="00E56BFB">
            <w:pPr>
              <w:pStyle w:val="a7"/>
            </w:pPr>
            <w:r w:rsidRPr="005A54EA">
              <w:t>Кількість суб'єктів малого підприємництва, що повинні виконати вимоги регулювання, одиниць</w:t>
            </w:r>
          </w:p>
        </w:tc>
        <w:tc>
          <w:tcPr>
            <w:tcW w:w="1440" w:type="dxa"/>
            <w:shd w:val="clear" w:color="auto" w:fill="auto"/>
          </w:tcPr>
          <w:p w:rsidR="009C0DBB" w:rsidRPr="005A54EA" w:rsidRDefault="009F4CB6" w:rsidP="00163B46">
            <w:pPr>
              <w:pStyle w:val="a7"/>
              <w:jc w:val="center"/>
            </w:pPr>
            <w:r>
              <w:t>5</w:t>
            </w:r>
            <w:r w:rsidR="009C0DBB" w:rsidRPr="005A54EA">
              <w:t> </w:t>
            </w:r>
          </w:p>
          <w:p w:rsidR="009C0DBB" w:rsidRPr="00163B46" w:rsidRDefault="009C0DBB" w:rsidP="00163B46">
            <w:pPr>
              <w:pStyle w:val="a7"/>
              <w:tabs>
                <w:tab w:val="left" w:pos="1875"/>
              </w:tabs>
              <w:jc w:val="both"/>
              <w:rPr>
                <w:b/>
                <w:szCs w:val="28"/>
              </w:rPr>
            </w:pPr>
            <w:r w:rsidRPr="005A54EA">
              <w:t> </w:t>
            </w:r>
          </w:p>
        </w:tc>
        <w:tc>
          <w:tcPr>
            <w:tcW w:w="1240" w:type="dxa"/>
            <w:shd w:val="clear" w:color="auto" w:fill="auto"/>
          </w:tcPr>
          <w:p w:rsidR="009C0DBB" w:rsidRPr="00163B46" w:rsidRDefault="009C0DBB" w:rsidP="00E56BFB">
            <w:pPr>
              <w:rPr>
                <w:lang w:val="uk-UA"/>
              </w:rPr>
            </w:pPr>
          </w:p>
        </w:tc>
        <w:tc>
          <w:tcPr>
            <w:tcW w:w="1418" w:type="dxa"/>
            <w:shd w:val="clear" w:color="auto" w:fill="auto"/>
          </w:tcPr>
          <w:p w:rsidR="009C0DBB" w:rsidRPr="005A54EA" w:rsidRDefault="009F4CB6" w:rsidP="00163B46">
            <w:pPr>
              <w:pStyle w:val="a7"/>
              <w:jc w:val="center"/>
            </w:pPr>
            <w:r>
              <w:t>5</w:t>
            </w:r>
            <w:r w:rsidR="009C0DBB" w:rsidRPr="005A54EA">
              <w:t> </w:t>
            </w:r>
          </w:p>
          <w:p w:rsidR="009C0DBB" w:rsidRPr="00163B46" w:rsidRDefault="009C0DBB" w:rsidP="00163B46">
            <w:pPr>
              <w:pStyle w:val="a7"/>
              <w:tabs>
                <w:tab w:val="left" w:pos="1875"/>
              </w:tabs>
              <w:jc w:val="both"/>
              <w:rPr>
                <w:b/>
                <w:szCs w:val="28"/>
              </w:rPr>
            </w:pPr>
            <w:r w:rsidRPr="005A54EA">
              <w:t> </w:t>
            </w:r>
          </w:p>
        </w:tc>
      </w:tr>
      <w:tr w:rsidR="009C0DBB" w:rsidRPr="00163B46" w:rsidTr="007F7743">
        <w:tc>
          <w:tcPr>
            <w:tcW w:w="1548" w:type="dxa"/>
            <w:shd w:val="clear" w:color="auto" w:fill="auto"/>
          </w:tcPr>
          <w:p w:rsidR="009C0DBB" w:rsidRPr="005A54EA" w:rsidRDefault="009C0DBB" w:rsidP="00163B46">
            <w:pPr>
              <w:pStyle w:val="a7"/>
              <w:jc w:val="center"/>
            </w:pPr>
            <w:r w:rsidRPr="005A54EA">
              <w:t>16</w:t>
            </w:r>
          </w:p>
        </w:tc>
        <w:tc>
          <w:tcPr>
            <w:tcW w:w="3960" w:type="dxa"/>
            <w:shd w:val="clear" w:color="auto" w:fill="auto"/>
          </w:tcPr>
          <w:p w:rsidR="009C0DBB" w:rsidRPr="00163B46" w:rsidRDefault="009C0DBB" w:rsidP="00163B46">
            <w:pPr>
              <w:pStyle w:val="a3"/>
              <w:jc w:val="left"/>
              <w:rPr>
                <w:b w:val="0"/>
                <w:sz w:val="24"/>
                <w:szCs w:val="24"/>
              </w:rPr>
            </w:pPr>
            <w:r w:rsidRPr="00163B46">
              <w:rPr>
                <w:b w:val="0"/>
                <w:sz w:val="24"/>
                <w:szCs w:val="24"/>
              </w:rPr>
              <w:t>Сумарно, гривень</w:t>
            </w:r>
            <w:r w:rsidRPr="00163B46">
              <w:rPr>
                <w:b w:val="0"/>
                <w:sz w:val="24"/>
                <w:szCs w:val="24"/>
              </w:rPr>
              <w:br/>
            </w:r>
          </w:p>
        </w:tc>
        <w:tc>
          <w:tcPr>
            <w:tcW w:w="1440" w:type="dxa"/>
            <w:shd w:val="clear" w:color="auto" w:fill="auto"/>
          </w:tcPr>
          <w:p w:rsidR="009C0DBB" w:rsidRPr="00163B46" w:rsidRDefault="009C0DBB" w:rsidP="00E56BFB">
            <w:pPr>
              <w:pStyle w:val="a3"/>
              <w:rPr>
                <w:b w:val="0"/>
                <w:sz w:val="24"/>
                <w:szCs w:val="24"/>
              </w:rPr>
            </w:pPr>
            <w:r w:rsidRPr="005A54EA">
              <w:t> </w:t>
            </w:r>
            <w:r w:rsidR="0058772C" w:rsidRPr="00163B46">
              <w:rPr>
                <w:b w:val="0"/>
                <w:sz w:val="24"/>
                <w:szCs w:val="24"/>
              </w:rPr>
              <w:t>30338</w:t>
            </w:r>
            <w:r w:rsidRPr="00163B46">
              <w:rPr>
                <w:b w:val="0"/>
                <w:sz w:val="24"/>
                <w:szCs w:val="24"/>
              </w:rPr>
              <w:t xml:space="preserve"> грн.</w:t>
            </w:r>
          </w:p>
        </w:tc>
        <w:tc>
          <w:tcPr>
            <w:tcW w:w="1240" w:type="dxa"/>
            <w:shd w:val="clear" w:color="auto" w:fill="auto"/>
          </w:tcPr>
          <w:p w:rsidR="009C0DBB" w:rsidRPr="005A54EA" w:rsidRDefault="009C0DBB" w:rsidP="00E56BFB">
            <w:pPr>
              <w:pStyle w:val="a3"/>
            </w:pPr>
            <w:r w:rsidRPr="005A54EA">
              <w:t>-</w:t>
            </w:r>
          </w:p>
        </w:tc>
        <w:tc>
          <w:tcPr>
            <w:tcW w:w="1418" w:type="dxa"/>
            <w:shd w:val="clear" w:color="auto" w:fill="auto"/>
          </w:tcPr>
          <w:p w:rsidR="009C0DBB" w:rsidRPr="00163B46" w:rsidRDefault="009C0DBB" w:rsidP="00584387">
            <w:pPr>
              <w:pStyle w:val="a3"/>
              <w:rPr>
                <w:b w:val="0"/>
                <w:sz w:val="24"/>
                <w:szCs w:val="24"/>
              </w:rPr>
            </w:pPr>
            <w:r w:rsidRPr="00163B46">
              <w:rPr>
                <w:b w:val="0"/>
                <w:sz w:val="24"/>
                <w:szCs w:val="24"/>
              </w:rPr>
              <w:t> </w:t>
            </w:r>
            <w:r w:rsidR="009639DF" w:rsidRPr="00163B46">
              <w:rPr>
                <w:b w:val="0"/>
                <w:sz w:val="24"/>
                <w:szCs w:val="24"/>
              </w:rPr>
              <w:t>30338</w:t>
            </w:r>
            <w:r w:rsidRPr="00163B46">
              <w:rPr>
                <w:b w:val="0"/>
                <w:sz w:val="24"/>
                <w:szCs w:val="24"/>
              </w:rPr>
              <w:t xml:space="preserve"> грн.</w:t>
            </w:r>
          </w:p>
        </w:tc>
      </w:tr>
    </w:tbl>
    <w:p w:rsidR="00276C92" w:rsidRDefault="00276C92" w:rsidP="00B66E23">
      <w:pPr>
        <w:jc w:val="both"/>
        <w:rPr>
          <w:lang w:val="uk-UA"/>
        </w:rPr>
      </w:pPr>
    </w:p>
    <w:p w:rsidR="00B66E23" w:rsidRDefault="00B66E23" w:rsidP="00B66E23">
      <w:pPr>
        <w:jc w:val="both"/>
        <w:rPr>
          <w:lang w:val="uk-UA"/>
        </w:rPr>
      </w:pPr>
      <w:r w:rsidRPr="00B66E23">
        <w:rPr>
          <w:lang w:val="uk-UA"/>
        </w:rPr>
        <w:t>*</w:t>
      </w:r>
      <w:r>
        <w:rPr>
          <w:lang w:val="uk-UA"/>
        </w:rPr>
        <w:t xml:space="preserve"> Враховуючи те, що відповідно до Ліцензійних умов провадження професійної діяльності на фондовому ринку (ринку цінних паперів) – діяльності з організації торгівлі на фондовому ринку, затверджених рішенням Комісії від 14.05.2013 № 818, зареєстрованих в Міністерстві юстиції України 01.06.2013 за № 856/23388 (зі змінами), фондові біржі повинні мати електронну торгівельну систему, яка відповідає вимогам цих Ліцензійних умов, впровадження даного регуляторного акта не вимагатиме додаткових витрат фондової біржі на придбання додаткового обладнання.</w:t>
      </w:r>
    </w:p>
    <w:p w:rsidR="006F03DD" w:rsidRPr="005A54EA" w:rsidRDefault="003D0F16" w:rsidP="00B66E23">
      <w:pPr>
        <w:jc w:val="both"/>
        <w:rPr>
          <w:lang w:val="uk-UA"/>
        </w:rPr>
      </w:pPr>
      <w:r>
        <w:rPr>
          <w:lang w:val="uk-UA"/>
        </w:rPr>
        <w:t>**</w:t>
      </w:r>
      <w:r w:rsidR="002A26A3" w:rsidRPr="005A54EA">
        <w:rPr>
          <w:lang w:val="uk-UA"/>
        </w:rPr>
        <w:t xml:space="preserve"> </w:t>
      </w:r>
      <w:r w:rsidR="006F03DD" w:rsidRPr="005A54EA">
        <w:rPr>
          <w:lang w:val="uk-UA"/>
        </w:rPr>
        <w:t>плата за надання</w:t>
      </w:r>
      <w:r w:rsidR="00885D4C" w:rsidRPr="005A54EA">
        <w:rPr>
          <w:lang w:val="uk-UA"/>
        </w:rPr>
        <w:t xml:space="preserve"> НКЦПФР </w:t>
      </w:r>
      <w:r w:rsidR="006F03DD" w:rsidRPr="005A54EA">
        <w:rPr>
          <w:lang w:val="uk-UA"/>
        </w:rPr>
        <w:t>адміністративної послуги із реєстрації правил (змін до правил) фондової біржі відповідно до Постанови КМУ від 26.10.2011 № 1097 «Деякі питання надання Національною комісією з цінних паперів та фондового ринку платних адміністративних послуг»</w:t>
      </w:r>
    </w:p>
    <w:p w:rsidR="00E56BFB" w:rsidRPr="005A54EA" w:rsidRDefault="00E56BFB" w:rsidP="00E56BFB">
      <w:pPr>
        <w:rPr>
          <w:lang w:val="uk-UA"/>
        </w:rPr>
      </w:pPr>
    </w:p>
    <w:p w:rsidR="008E5D46" w:rsidRPr="005A54EA" w:rsidRDefault="008E5D46" w:rsidP="00E56BFB">
      <w:pPr>
        <w:pStyle w:val="a3"/>
        <w:tabs>
          <w:tab w:val="left" w:pos="1875"/>
        </w:tabs>
        <w:ind w:firstLine="720"/>
        <w:jc w:val="both"/>
        <w:rPr>
          <w:b w:val="0"/>
          <w:szCs w:val="28"/>
        </w:rPr>
      </w:pPr>
      <w:r w:rsidRPr="005A54EA">
        <w:rPr>
          <w:b w:val="0"/>
          <w:szCs w:val="28"/>
        </w:rPr>
        <w:t>3. Бюджетні витрати на адміністрування регулювання суб’єктів малого підприємництва</w:t>
      </w:r>
      <w:r w:rsidR="00455937" w:rsidRPr="005A54EA">
        <w:rPr>
          <w:b w:val="0"/>
          <w:szCs w:val="28"/>
        </w:rPr>
        <w:t xml:space="preserve"> здійснюються в межах фінансування НКЦПФР без залучення додаткових штатних одиниць.</w:t>
      </w:r>
    </w:p>
    <w:p w:rsidR="001C61FE" w:rsidRPr="005A54EA" w:rsidRDefault="001C61FE" w:rsidP="00E56BFB">
      <w:pPr>
        <w:pStyle w:val="a3"/>
        <w:tabs>
          <w:tab w:val="left" w:pos="1875"/>
        </w:tabs>
        <w:ind w:firstLine="720"/>
        <w:jc w:val="both"/>
        <w:rPr>
          <w:b w:val="0"/>
          <w:szCs w:val="28"/>
        </w:rPr>
      </w:pPr>
    </w:p>
    <w:p w:rsidR="00E56BFB" w:rsidRPr="00FA68AE" w:rsidRDefault="00E56BFB" w:rsidP="00050CED">
      <w:pPr>
        <w:pStyle w:val="a3"/>
        <w:tabs>
          <w:tab w:val="left" w:pos="1875"/>
        </w:tabs>
        <w:ind w:firstLine="720"/>
        <w:jc w:val="both"/>
        <w:rPr>
          <w:b w:val="0"/>
          <w:szCs w:val="28"/>
          <w:lang w:val="ru-RU"/>
        </w:rPr>
      </w:pPr>
      <w:r w:rsidRPr="005A54EA">
        <w:rPr>
          <w:b w:val="0"/>
          <w:szCs w:val="28"/>
        </w:rPr>
        <w:t>Розрахунок сумарних витрат суб’єктів малого підприємництва, що виникають на виконання вимог регулювання</w:t>
      </w:r>
    </w:p>
    <w:p w:rsidR="00FA68AE" w:rsidRPr="00FA68AE" w:rsidRDefault="00FA68AE" w:rsidP="00050CED">
      <w:pPr>
        <w:pStyle w:val="a3"/>
        <w:tabs>
          <w:tab w:val="left" w:pos="1875"/>
        </w:tabs>
        <w:jc w:val="both"/>
        <w:rPr>
          <w:b w:val="0"/>
          <w:szCs w:val="28"/>
          <w:lang w:val="ru-RU"/>
        </w:rPr>
      </w:pPr>
    </w:p>
    <w:p w:rsidR="00E56BFB" w:rsidRPr="005A54EA" w:rsidRDefault="00E56BFB" w:rsidP="00E56BFB">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60"/>
        <w:gridCol w:w="1856"/>
        <w:gridCol w:w="1440"/>
      </w:tblGrid>
      <w:tr w:rsidR="00E56BFB" w:rsidRPr="00163B46" w:rsidTr="00163B46">
        <w:tc>
          <w:tcPr>
            <w:tcW w:w="1548" w:type="dxa"/>
            <w:shd w:val="clear" w:color="auto" w:fill="auto"/>
          </w:tcPr>
          <w:p w:rsidR="00E56BFB" w:rsidRPr="005A54EA" w:rsidRDefault="00E56BFB" w:rsidP="00163B46">
            <w:pPr>
              <w:pStyle w:val="a7"/>
              <w:jc w:val="center"/>
            </w:pPr>
            <w:r w:rsidRPr="005A54EA">
              <w:t>Порядковий номер</w:t>
            </w:r>
          </w:p>
        </w:tc>
        <w:tc>
          <w:tcPr>
            <w:tcW w:w="4860" w:type="dxa"/>
            <w:shd w:val="clear" w:color="auto" w:fill="auto"/>
          </w:tcPr>
          <w:p w:rsidR="00E56BFB" w:rsidRPr="005A54EA" w:rsidRDefault="00E56BFB" w:rsidP="00163B46">
            <w:pPr>
              <w:pStyle w:val="a7"/>
              <w:jc w:val="center"/>
            </w:pPr>
            <w:r w:rsidRPr="005A54EA">
              <w:t>Показник</w:t>
            </w:r>
          </w:p>
        </w:tc>
        <w:tc>
          <w:tcPr>
            <w:tcW w:w="1856" w:type="dxa"/>
            <w:shd w:val="clear" w:color="auto" w:fill="auto"/>
          </w:tcPr>
          <w:p w:rsidR="00E56BFB" w:rsidRPr="005A54EA" w:rsidRDefault="00E56BFB" w:rsidP="00163B46">
            <w:pPr>
              <w:pStyle w:val="a7"/>
              <w:jc w:val="center"/>
            </w:pPr>
            <w:r w:rsidRPr="005A54EA">
              <w:t>Перший рік регулювання (стартовий)</w:t>
            </w:r>
          </w:p>
        </w:tc>
        <w:tc>
          <w:tcPr>
            <w:tcW w:w="1440" w:type="dxa"/>
            <w:shd w:val="clear" w:color="auto" w:fill="auto"/>
          </w:tcPr>
          <w:p w:rsidR="00E56BFB" w:rsidRPr="005A54EA" w:rsidRDefault="00E56BFB" w:rsidP="00163B46">
            <w:pPr>
              <w:pStyle w:val="a7"/>
              <w:jc w:val="center"/>
            </w:pPr>
            <w:r w:rsidRPr="005A54EA">
              <w:t>За п'ять років</w:t>
            </w:r>
          </w:p>
        </w:tc>
      </w:tr>
      <w:tr w:rsidR="00BF5FC9" w:rsidRPr="00163B46" w:rsidTr="00163B46">
        <w:tc>
          <w:tcPr>
            <w:tcW w:w="1548" w:type="dxa"/>
            <w:shd w:val="clear" w:color="auto" w:fill="auto"/>
          </w:tcPr>
          <w:p w:rsidR="00BF5FC9" w:rsidRPr="005A54EA" w:rsidRDefault="00BF5FC9" w:rsidP="00163B46">
            <w:pPr>
              <w:pStyle w:val="a7"/>
              <w:jc w:val="center"/>
            </w:pPr>
            <w:r w:rsidRPr="005A54EA">
              <w:t>1</w:t>
            </w:r>
          </w:p>
        </w:tc>
        <w:tc>
          <w:tcPr>
            <w:tcW w:w="4860" w:type="dxa"/>
            <w:shd w:val="clear" w:color="auto" w:fill="auto"/>
          </w:tcPr>
          <w:p w:rsidR="00BF5FC9" w:rsidRPr="005A54EA" w:rsidRDefault="00BF5FC9" w:rsidP="00E56BFB">
            <w:pPr>
              <w:pStyle w:val="a7"/>
            </w:pPr>
            <w:r w:rsidRPr="005A54EA">
              <w:t>Оцінка "прямих" витрат суб'єктів малого підприємництва на виконання регулювання</w:t>
            </w:r>
          </w:p>
        </w:tc>
        <w:tc>
          <w:tcPr>
            <w:tcW w:w="1856" w:type="dxa"/>
            <w:shd w:val="clear" w:color="auto" w:fill="auto"/>
          </w:tcPr>
          <w:p w:rsidR="00BF5FC9" w:rsidRPr="005A54EA" w:rsidRDefault="00F96931" w:rsidP="00163B46">
            <w:pPr>
              <w:pStyle w:val="a7"/>
              <w:jc w:val="center"/>
            </w:pPr>
            <w:r w:rsidRPr="00163B46">
              <w:rPr>
                <w:b/>
                <w:szCs w:val="28"/>
              </w:rPr>
              <w:t>-</w:t>
            </w:r>
          </w:p>
        </w:tc>
        <w:tc>
          <w:tcPr>
            <w:tcW w:w="1440" w:type="dxa"/>
            <w:shd w:val="clear" w:color="auto" w:fill="auto"/>
          </w:tcPr>
          <w:p w:rsidR="00BF5FC9" w:rsidRPr="005A54EA" w:rsidRDefault="00F96931" w:rsidP="00163B46">
            <w:pPr>
              <w:pStyle w:val="a7"/>
              <w:jc w:val="center"/>
            </w:pPr>
            <w:r w:rsidRPr="00163B46">
              <w:rPr>
                <w:b/>
                <w:szCs w:val="28"/>
              </w:rPr>
              <w:t>-</w:t>
            </w:r>
          </w:p>
        </w:tc>
      </w:tr>
      <w:tr w:rsidR="00BF5FC9" w:rsidRPr="00163B46" w:rsidTr="00163B46">
        <w:tc>
          <w:tcPr>
            <w:tcW w:w="1548" w:type="dxa"/>
            <w:shd w:val="clear" w:color="auto" w:fill="auto"/>
          </w:tcPr>
          <w:p w:rsidR="00BF5FC9" w:rsidRPr="005A54EA" w:rsidRDefault="00BF5FC9" w:rsidP="00163B46">
            <w:pPr>
              <w:pStyle w:val="a7"/>
              <w:jc w:val="center"/>
            </w:pPr>
            <w:r w:rsidRPr="005A54EA">
              <w:t>2</w:t>
            </w:r>
          </w:p>
        </w:tc>
        <w:tc>
          <w:tcPr>
            <w:tcW w:w="4860" w:type="dxa"/>
            <w:shd w:val="clear" w:color="auto" w:fill="auto"/>
          </w:tcPr>
          <w:p w:rsidR="00BF5FC9" w:rsidRPr="005A54EA" w:rsidRDefault="00BF5FC9" w:rsidP="00E56BFB">
            <w:pPr>
              <w:pStyle w:val="a7"/>
            </w:pPr>
            <w:r w:rsidRPr="005A54EA">
              <w:t>Оцінка вартості адміністративних процедур для суб'єктів малого підприємництва щодо виконання регулювання та звітування</w:t>
            </w:r>
          </w:p>
        </w:tc>
        <w:tc>
          <w:tcPr>
            <w:tcW w:w="1856" w:type="dxa"/>
            <w:shd w:val="clear" w:color="auto" w:fill="auto"/>
          </w:tcPr>
          <w:p w:rsidR="00BF5FC9" w:rsidRPr="00D84B25" w:rsidRDefault="00D84B25" w:rsidP="00163B46">
            <w:pPr>
              <w:pStyle w:val="a7"/>
              <w:jc w:val="center"/>
            </w:pPr>
            <w:r w:rsidRPr="00D84B25">
              <w:t xml:space="preserve">30338 </w:t>
            </w:r>
            <w:r w:rsidR="00C11FA5" w:rsidRPr="00D84B25">
              <w:t>грн.</w:t>
            </w:r>
          </w:p>
        </w:tc>
        <w:tc>
          <w:tcPr>
            <w:tcW w:w="1440" w:type="dxa"/>
            <w:shd w:val="clear" w:color="auto" w:fill="auto"/>
          </w:tcPr>
          <w:p w:rsidR="00BF5FC9" w:rsidRPr="00C11FA5" w:rsidRDefault="00F96931" w:rsidP="00584387">
            <w:pPr>
              <w:pStyle w:val="a7"/>
              <w:jc w:val="center"/>
            </w:pPr>
            <w:r w:rsidRPr="00C11FA5">
              <w:t> </w:t>
            </w:r>
            <w:r w:rsidR="00096167" w:rsidRPr="00D84B25">
              <w:t> 30338</w:t>
            </w:r>
            <w:r w:rsidR="00096167">
              <w:t xml:space="preserve"> </w:t>
            </w:r>
            <w:r w:rsidR="00C11FA5" w:rsidRPr="00C11FA5">
              <w:t>грн.</w:t>
            </w:r>
          </w:p>
        </w:tc>
      </w:tr>
      <w:tr w:rsidR="00BF5FC9" w:rsidRPr="00163B46" w:rsidTr="00163B46">
        <w:tc>
          <w:tcPr>
            <w:tcW w:w="1548" w:type="dxa"/>
            <w:shd w:val="clear" w:color="auto" w:fill="auto"/>
          </w:tcPr>
          <w:p w:rsidR="00BF5FC9" w:rsidRPr="005A54EA" w:rsidRDefault="00BF5FC9" w:rsidP="00163B46">
            <w:pPr>
              <w:pStyle w:val="a7"/>
              <w:jc w:val="center"/>
            </w:pPr>
            <w:r w:rsidRPr="005A54EA">
              <w:t>3</w:t>
            </w:r>
          </w:p>
        </w:tc>
        <w:tc>
          <w:tcPr>
            <w:tcW w:w="4860" w:type="dxa"/>
            <w:shd w:val="clear" w:color="auto" w:fill="auto"/>
          </w:tcPr>
          <w:p w:rsidR="00BF5FC9" w:rsidRPr="005A54EA" w:rsidRDefault="00BF5FC9" w:rsidP="00E56BFB">
            <w:pPr>
              <w:pStyle w:val="a7"/>
            </w:pPr>
            <w:r w:rsidRPr="005A54EA">
              <w:t>Сумарні витрати малого підприємництва на виконання запланованого регулювання</w:t>
            </w:r>
          </w:p>
        </w:tc>
        <w:tc>
          <w:tcPr>
            <w:tcW w:w="1856" w:type="dxa"/>
            <w:shd w:val="clear" w:color="auto" w:fill="auto"/>
          </w:tcPr>
          <w:p w:rsidR="00BF5FC9" w:rsidRPr="00D84B25" w:rsidRDefault="00F96931" w:rsidP="00163B46">
            <w:pPr>
              <w:pStyle w:val="a7"/>
              <w:jc w:val="center"/>
            </w:pPr>
            <w:r w:rsidRPr="00D84B25">
              <w:t> </w:t>
            </w:r>
            <w:r w:rsidR="00D84B25" w:rsidRPr="00D84B25">
              <w:t>30338</w:t>
            </w:r>
            <w:r w:rsidR="00C11FA5" w:rsidRPr="00D84B25">
              <w:t xml:space="preserve"> грн.</w:t>
            </w:r>
          </w:p>
        </w:tc>
        <w:tc>
          <w:tcPr>
            <w:tcW w:w="1440" w:type="dxa"/>
            <w:shd w:val="clear" w:color="auto" w:fill="auto"/>
          </w:tcPr>
          <w:p w:rsidR="00BF5FC9" w:rsidRPr="00C11FA5" w:rsidRDefault="00F96931" w:rsidP="00584387">
            <w:pPr>
              <w:pStyle w:val="a7"/>
              <w:ind w:left="-164" w:right="-232"/>
              <w:jc w:val="center"/>
            </w:pPr>
            <w:r w:rsidRPr="00C11FA5">
              <w:t> </w:t>
            </w:r>
            <w:r w:rsidR="00096167" w:rsidRPr="00D84B25">
              <w:t>30338</w:t>
            </w:r>
            <w:r w:rsidR="00C11FA5" w:rsidRPr="00C11FA5">
              <w:t xml:space="preserve"> грн.</w:t>
            </w:r>
          </w:p>
        </w:tc>
      </w:tr>
      <w:tr w:rsidR="00DB7B9C" w:rsidRPr="00163B46" w:rsidTr="00163B46">
        <w:tc>
          <w:tcPr>
            <w:tcW w:w="1548" w:type="dxa"/>
            <w:shd w:val="clear" w:color="auto" w:fill="auto"/>
          </w:tcPr>
          <w:p w:rsidR="00DB7B9C" w:rsidRPr="005A54EA" w:rsidRDefault="00DB7B9C" w:rsidP="00163B46">
            <w:pPr>
              <w:pStyle w:val="a7"/>
              <w:jc w:val="center"/>
            </w:pPr>
            <w:r w:rsidRPr="005A54EA">
              <w:t>4</w:t>
            </w:r>
          </w:p>
        </w:tc>
        <w:tc>
          <w:tcPr>
            <w:tcW w:w="4860" w:type="dxa"/>
            <w:shd w:val="clear" w:color="auto" w:fill="auto"/>
          </w:tcPr>
          <w:p w:rsidR="00DB7B9C" w:rsidRPr="005A54EA" w:rsidRDefault="00DB7B9C" w:rsidP="00E56BFB">
            <w:pPr>
              <w:pStyle w:val="a7"/>
            </w:pPr>
            <w:r w:rsidRPr="005A54EA">
              <w:t xml:space="preserve">Бюджетні витрати на адміністрування </w:t>
            </w:r>
            <w:r w:rsidRPr="005A54EA">
              <w:lastRenderedPageBreak/>
              <w:t>регулювання суб’єктів малого підприємництва</w:t>
            </w:r>
          </w:p>
        </w:tc>
        <w:tc>
          <w:tcPr>
            <w:tcW w:w="1856" w:type="dxa"/>
            <w:shd w:val="clear" w:color="auto" w:fill="auto"/>
          </w:tcPr>
          <w:p w:rsidR="00DB7B9C" w:rsidRPr="00D84B25" w:rsidRDefault="00C11FA5" w:rsidP="00163B46">
            <w:pPr>
              <w:pStyle w:val="a7"/>
              <w:jc w:val="center"/>
            </w:pPr>
            <w:r w:rsidRPr="00D84B25">
              <w:lastRenderedPageBreak/>
              <w:t>-</w:t>
            </w:r>
          </w:p>
        </w:tc>
        <w:tc>
          <w:tcPr>
            <w:tcW w:w="1440" w:type="dxa"/>
            <w:shd w:val="clear" w:color="auto" w:fill="auto"/>
          </w:tcPr>
          <w:p w:rsidR="00DB7B9C" w:rsidRPr="00C11FA5" w:rsidRDefault="00C11FA5" w:rsidP="00163B46">
            <w:pPr>
              <w:pStyle w:val="a7"/>
              <w:ind w:left="-164" w:right="-232"/>
              <w:jc w:val="center"/>
            </w:pPr>
            <w:r w:rsidRPr="00C11FA5">
              <w:t>-</w:t>
            </w:r>
          </w:p>
        </w:tc>
      </w:tr>
      <w:tr w:rsidR="00DB7B9C" w:rsidRPr="00163B46" w:rsidTr="00163B46">
        <w:tc>
          <w:tcPr>
            <w:tcW w:w="1548" w:type="dxa"/>
            <w:shd w:val="clear" w:color="auto" w:fill="auto"/>
          </w:tcPr>
          <w:p w:rsidR="00DB7B9C" w:rsidRPr="005A54EA" w:rsidRDefault="00DB7B9C" w:rsidP="00163B46">
            <w:pPr>
              <w:pStyle w:val="a7"/>
              <w:jc w:val="center"/>
            </w:pPr>
            <w:r w:rsidRPr="005A54EA">
              <w:t>5</w:t>
            </w:r>
          </w:p>
        </w:tc>
        <w:tc>
          <w:tcPr>
            <w:tcW w:w="4860" w:type="dxa"/>
            <w:shd w:val="clear" w:color="auto" w:fill="auto"/>
          </w:tcPr>
          <w:p w:rsidR="00DB7B9C" w:rsidRPr="005A54EA" w:rsidRDefault="00DB7B9C" w:rsidP="00E56BFB">
            <w:pPr>
              <w:pStyle w:val="a7"/>
            </w:pPr>
            <w:r w:rsidRPr="005A54EA">
              <w:t>Сумарні витрати на виконання запланованого регулювання</w:t>
            </w:r>
          </w:p>
        </w:tc>
        <w:tc>
          <w:tcPr>
            <w:tcW w:w="1856" w:type="dxa"/>
            <w:shd w:val="clear" w:color="auto" w:fill="auto"/>
          </w:tcPr>
          <w:p w:rsidR="00DB7B9C" w:rsidRPr="00D84B25" w:rsidRDefault="00C11FA5" w:rsidP="00163B46">
            <w:pPr>
              <w:pStyle w:val="a7"/>
              <w:jc w:val="center"/>
            </w:pPr>
            <w:r w:rsidRPr="00D84B25">
              <w:t> </w:t>
            </w:r>
            <w:r w:rsidR="00D84B25" w:rsidRPr="00D84B25">
              <w:t>30338</w:t>
            </w:r>
            <w:r w:rsidRPr="00D84B25">
              <w:t xml:space="preserve"> грн.</w:t>
            </w:r>
          </w:p>
        </w:tc>
        <w:tc>
          <w:tcPr>
            <w:tcW w:w="1440" w:type="dxa"/>
            <w:shd w:val="clear" w:color="auto" w:fill="auto"/>
          </w:tcPr>
          <w:p w:rsidR="00DB7B9C" w:rsidRPr="00C11FA5" w:rsidRDefault="00C11FA5" w:rsidP="00584387">
            <w:pPr>
              <w:pStyle w:val="a7"/>
              <w:ind w:left="-164" w:right="-232"/>
              <w:jc w:val="center"/>
            </w:pPr>
            <w:r w:rsidRPr="00C11FA5">
              <w:t> </w:t>
            </w:r>
            <w:r w:rsidR="00096167" w:rsidRPr="00D84B25">
              <w:t>30338</w:t>
            </w:r>
            <w:r w:rsidRPr="00C11FA5">
              <w:t xml:space="preserve"> грн.</w:t>
            </w:r>
          </w:p>
        </w:tc>
      </w:tr>
    </w:tbl>
    <w:p w:rsidR="00E56BFB" w:rsidRPr="005A54EA" w:rsidRDefault="00E56BFB" w:rsidP="00E56BFB">
      <w:pPr>
        <w:rPr>
          <w:lang w:val="uk-UA"/>
        </w:rPr>
      </w:pPr>
    </w:p>
    <w:p w:rsidR="00E56BFB" w:rsidRDefault="00E56BFB" w:rsidP="00E56BFB">
      <w:pPr>
        <w:pStyle w:val="a3"/>
        <w:ind w:firstLine="720"/>
        <w:rPr>
          <w:szCs w:val="28"/>
          <w:lang w:val="en-US"/>
        </w:rPr>
      </w:pPr>
      <w:r w:rsidRPr="005A54EA">
        <w:rPr>
          <w:szCs w:val="28"/>
        </w:rPr>
        <w:t>VІІ.  Обґрунтування запропонованого строку дії регуляторного акта</w:t>
      </w:r>
    </w:p>
    <w:p w:rsidR="00FA68AE" w:rsidRPr="00FA68AE" w:rsidRDefault="00FA68AE" w:rsidP="00E56BFB">
      <w:pPr>
        <w:pStyle w:val="a3"/>
        <w:ind w:firstLine="720"/>
        <w:rPr>
          <w:szCs w:val="28"/>
          <w:lang w:val="en-US"/>
        </w:rPr>
      </w:pPr>
    </w:p>
    <w:p w:rsidR="00E56BFB" w:rsidRPr="005A54EA" w:rsidRDefault="00E56BFB" w:rsidP="00E56BFB">
      <w:pPr>
        <w:pStyle w:val="a4"/>
        <w:ind w:firstLine="708"/>
        <w:rPr>
          <w:b w:val="0"/>
        </w:rPr>
      </w:pPr>
      <w:r w:rsidRPr="005A54EA">
        <w:rPr>
          <w:b w:val="0"/>
        </w:rPr>
        <w:t xml:space="preserve">Строк дії регуляторного акта необмежений у часі, оскільки дія </w:t>
      </w:r>
      <w:r w:rsidRPr="005A54EA">
        <w:rPr>
          <w:b w:val="0"/>
          <w:szCs w:val="28"/>
        </w:rPr>
        <w:t>Положення про функціонування фондових бірж</w:t>
      </w:r>
      <w:r w:rsidRPr="005A54EA">
        <w:rPr>
          <w:b w:val="0"/>
        </w:rPr>
        <w:t xml:space="preserve"> розрахована на необмежений час. </w:t>
      </w:r>
    </w:p>
    <w:p w:rsidR="00E56BFB" w:rsidRPr="005A54EA" w:rsidRDefault="00E56BFB" w:rsidP="00E56BFB">
      <w:pPr>
        <w:pStyle w:val="a3"/>
        <w:ind w:firstLine="720"/>
        <w:rPr>
          <w:szCs w:val="28"/>
        </w:rPr>
      </w:pPr>
    </w:p>
    <w:p w:rsidR="00E56BFB" w:rsidRDefault="00E56BFB" w:rsidP="00E56BFB">
      <w:pPr>
        <w:pStyle w:val="a3"/>
        <w:ind w:firstLine="720"/>
        <w:rPr>
          <w:szCs w:val="28"/>
          <w:lang w:val="en-US"/>
        </w:rPr>
      </w:pPr>
      <w:r w:rsidRPr="005A54EA">
        <w:rPr>
          <w:szCs w:val="28"/>
        </w:rPr>
        <w:t>VІІІ.  Визначення показників результативності дії регуляторного акта</w:t>
      </w:r>
    </w:p>
    <w:p w:rsidR="00E56BFB" w:rsidRPr="005A54EA" w:rsidRDefault="00E56BFB" w:rsidP="00E56BFB">
      <w:pPr>
        <w:ind w:firstLine="708"/>
        <w:jc w:val="both"/>
        <w:rPr>
          <w:sz w:val="28"/>
          <w:szCs w:val="28"/>
          <w:lang w:val="uk-UA"/>
        </w:rPr>
      </w:pPr>
      <w:r w:rsidRPr="005A54EA">
        <w:rPr>
          <w:sz w:val="28"/>
          <w:szCs w:val="28"/>
          <w:lang w:val="uk-UA"/>
        </w:rPr>
        <w:t>Виходячи з цілей державного регулювання, визначених у другому розділі даного Аналізу впливу регуляторного акта, для відстеження результативності акта обрано такі показники:</w:t>
      </w:r>
    </w:p>
    <w:p w:rsidR="00E56BFB" w:rsidRPr="005A54EA" w:rsidRDefault="00E56BFB" w:rsidP="00E56BFB">
      <w:pPr>
        <w:pStyle w:val="2"/>
        <w:spacing w:after="0" w:line="240" w:lineRule="auto"/>
        <w:ind w:left="0" w:firstLine="567"/>
        <w:jc w:val="both"/>
        <w:rPr>
          <w:color w:val="000000"/>
          <w:spacing w:val="-1"/>
          <w:sz w:val="28"/>
          <w:szCs w:val="28"/>
          <w:lang w:val="uk-UA"/>
        </w:rPr>
      </w:pPr>
      <w:r w:rsidRPr="005A54EA">
        <w:rPr>
          <w:bCs/>
          <w:color w:val="000000"/>
          <w:sz w:val="28"/>
          <w:szCs w:val="28"/>
          <w:lang w:val="uk-UA"/>
        </w:rPr>
        <w:t xml:space="preserve">1) </w:t>
      </w:r>
      <w:r w:rsidRPr="005A54EA">
        <w:rPr>
          <w:bCs/>
          <w:i/>
          <w:color w:val="000000"/>
          <w:sz w:val="28"/>
          <w:szCs w:val="28"/>
          <w:lang w:val="uk-UA"/>
        </w:rPr>
        <w:t>Р</w:t>
      </w:r>
      <w:r w:rsidRPr="005A54EA">
        <w:rPr>
          <w:i/>
          <w:color w:val="000000"/>
          <w:sz w:val="28"/>
          <w:szCs w:val="28"/>
          <w:lang w:val="uk-UA"/>
        </w:rPr>
        <w:t xml:space="preserve">озмір надходжень до державного та місцевих бюджетів і державних цільових фондів, пов’язаних з дією акта </w:t>
      </w:r>
      <w:r w:rsidRPr="005A54EA">
        <w:rPr>
          <w:color w:val="000000"/>
          <w:spacing w:val="-1"/>
          <w:sz w:val="28"/>
          <w:szCs w:val="28"/>
          <w:lang w:val="uk-UA"/>
        </w:rPr>
        <w:t xml:space="preserve"> –</w:t>
      </w:r>
      <w:r w:rsidR="002A318F">
        <w:rPr>
          <w:color w:val="000000"/>
          <w:spacing w:val="-1"/>
          <w:sz w:val="28"/>
          <w:szCs w:val="28"/>
          <w:lang w:val="uk-UA"/>
        </w:rPr>
        <w:t xml:space="preserve"> </w:t>
      </w:r>
      <w:r w:rsidRPr="005A54EA">
        <w:rPr>
          <w:color w:val="000000"/>
          <w:spacing w:val="-1"/>
          <w:sz w:val="28"/>
          <w:szCs w:val="28"/>
          <w:lang w:val="uk-UA"/>
        </w:rPr>
        <w:t xml:space="preserve"> </w:t>
      </w:r>
      <w:r w:rsidR="002A318F">
        <w:rPr>
          <w:color w:val="000000"/>
          <w:spacing w:val="-1"/>
          <w:sz w:val="28"/>
          <w:szCs w:val="28"/>
          <w:lang w:val="uk-UA"/>
        </w:rPr>
        <w:t>збільшиться</w:t>
      </w:r>
      <w:r w:rsidRPr="005A54EA">
        <w:rPr>
          <w:color w:val="000000"/>
          <w:spacing w:val="-1"/>
          <w:sz w:val="28"/>
          <w:szCs w:val="28"/>
          <w:lang w:val="uk-UA"/>
        </w:rPr>
        <w:t>.</w:t>
      </w:r>
    </w:p>
    <w:p w:rsidR="00E56BFB" w:rsidRPr="005A54EA" w:rsidRDefault="00E56BFB" w:rsidP="00E56BFB">
      <w:pPr>
        <w:pStyle w:val="a5"/>
        <w:ind w:firstLine="567"/>
        <w:jc w:val="both"/>
        <w:rPr>
          <w:color w:val="000000"/>
          <w:spacing w:val="-1"/>
          <w:sz w:val="28"/>
          <w:szCs w:val="28"/>
        </w:rPr>
      </w:pPr>
      <w:r w:rsidRPr="005A54EA">
        <w:rPr>
          <w:color w:val="000000"/>
          <w:sz w:val="28"/>
          <w:szCs w:val="28"/>
        </w:rPr>
        <w:t xml:space="preserve">2) </w:t>
      </w:r>
      <w:r w:rsidRPr="005A54EA">
        <w:rPr>
          <w:i/>
          <w:color w:val="000000"/>
          <w:sz w:val="28"/>
          <w:szCs w:val="28"/>
        </w:rPr>
        <w:t>Кількість суб’єктів господарювання та/або фізичних осіб, на яких поширюватиметься дія акта</w:t>
      </w:r>
      <w:r w:rsidRPr="005A54EA">
        <w:rPr>
          <w:color w:val="000000"/>
          <w:sz w:val="28"/>
          <w:szCs w:val="28"/>
        </w:rPr>
        <w:t xml:space="preserve"> - дія акту поширюється на</w:t>
      </w:r>
      <w:r w:rsidR="00584C92" w:rsidRPr="005A54EA">
        <w:rPr>
          <w:color w:val="000000"/>
          <w:sz w:val="28"/>
          <w:szCs w:val="28"/>
        </w:rPr>
        <w:t xml:space="preserve"> </w:t>
      </w:r>
      <w:r w:rsidR="0079165F">
        <w:rPr>
          <w:color w:val="000000"/>
          <w:sz w:val="28"/>
          <w:szCs w:val="28"/>
        </w:rPr>
        <w:t>5 фондових бірж та 242</w:t>
      </w:r>
      <w:r w:rsidR="00D579B7">
        <w:rPr>
          <w:color w:val="000000"/>
          <w:sz w:val="28"/>
          <w:szCs w:val="28"/>
        </w:rPr>
        <w:t xml:space="preserve"> </w:t>
      </w:r>
      <w:r w:rsidR="0079165F">
        <w:rPr>
          <w:color w:val="000000"/>
          <w:sz w:val="28"/>
          <w:szCs w:val="28"/>
        </w:rPr>
        <w:t>торговці цінними паперами</w:t>
      </w:r>
      <w:r w:rsidRPr="005A54EA">
        <w:rPr>
          <w:color w:val="000000"/>
          <w:sz w:val="28"/>
          <w:szCs w:val="28"/>
        </w:rPr>
        <w:t>.</w:t>
      </w:r>
    </w:p>
    <w:p w:rsidR="00E56BFB" w:rsidRPr="005A54EA" w:rsidRDefault="00E56BFB" w:rsidP="00E56BFB">
      <w:pPr>
        <w:ind w:firstLine="567"/>
        <w:jc w:val="both"/>
        <w:rPr>
          <w:color w:val="000000"/>
          <w:sz w:val="28"/>
          <w:szCs w:val="28"/>
          <w:lang w:val="uk-UA"/>
        </w:rPr>
      </w:pPr>
      <w:r w:rsidRPr="005A54EA">
        <w:rPr>
          <w:color w:val="000000"/>
          <w:sz w:val="28"/>
          <w:szCs w:val="28"/>
          <w:lang w:val="uk-UA"/>
        </w:rPr>
        <w:t xml:space="preserve">3) </w:t>
      </w:r>
      <w:r w:rsidRPr="005A54EA">
        <w:rPr>
          <w:i/>
          <w:color w:val="000000"/>
          <w:sz w:val="28"/>
          <w:szCs w:val="28"/>
          <w:lang w:val="uk-UA"/>
        </w:rPr>
        <w:t>Розмір коштів і час, що витрачатимуться суб’єктами господарювання та/або фізичними особами, пов'язаними з виконанням вимог регуляторного акта</w:t>
      </w:r>
      <w:r w:rsidRPr="005A54EA">
        <w:rPr>
          <w:color w:val="000000"/>
          <w:sz w:val="28"/>
          <w:szCs w:val="28"/>
          <w:lang w:val="uk-UA"/>
        </w:rPr>
        <w:t>.</w:t>
      </w:r>
    </w:p>
    <w:p w:rsidR="0079165F" w:rsidRDefault="00E56BFB" w:rsidP="00E56BFB">
      <w:pPr>
        <w:ind w:firstLine="567"/>
        <w:jc w:val="both"/>
        <w:rPr>
          <w:color w:val="000000"/>
          <w:sz w:val="28"/>
          <w:szCs w:val="28"/>
          <w:lang w:val="uk-UA"/>
        </w:rPr>
      </w:pPr>
      <w:r w:rsidRPr="005A54EA">
        <w:rPr>
          <w:color w:val="000000"/>
          <w:sz w:val="28"/>
          <w:szCs w:val="28"/>
          <w:lang w:val="uk-UA"/>
        </w:rPr>
        <w:t>Розмір коштів та часу, які витрат</w:t>
      </w:r>
      <w:r w:rsidR="0079165F">
        <w:rPr>
          <w:color w:val="000000"/>
          <w:sz w:val="28"/>
          <w:szCs w:val="28"/>
          <w:lang w:val="uk-UA"/>
        </w:rPr>
        <w:t>я</w:t>
      </w:r>
      <w:r w:rsidR="000B0760" w:rsidRPr="005A54EA">
        <w:rPr>
          <w:color w:val="000000"/>
          <w:sz w:val="28"/>
          <w:szCs w:val="28"/>
          <w:lang w:val="uk-UA"/>
        </w:rPr>
        <w:t>ть</w:t>
      </w:r>
      <w:r w:rsidR="0079165F">
        <w:rPr>
          <w:color w:val="000000"/>
          <w:sz w:val="28"/>
          <w:szCs w:val="28"/>
          <w:lang w:val="uk-UA"/>
        </w:rPr>
        <w:t xml:space="preserve">: </w:t>
      </w:r>
    </w:p>
    <w:p w:rsidR="0079165F" w:rsidRDefault="0079165F" w:rsidP="00E56BFB">
      <w:pPr>
        <w:ind w:firstLine="567"/>
        <w:jc w:val="both"/>
        <w:rPr>
          <w:color w:val="000000"/>
          <w:sz w:val="28"/>
          <w:szCs w:val="28"/>
          <w:lang w:val="uk-UA"/>
        </w:rPr>
      </w:pPr>
      <w:r>
        <w:rPr>
          <w:color w:val="000000"/>
          <w:sz w:val="28"/>
          <w:szCs w:val="28"/>
          <w:lang w:val="uk-UA"/>
        </w:rPr>
        <w:t>кожна з 5 фондових бірж – 6067, 6 грн;</w:t>
      </w:r>
    </w:p>
    <w:p w:rsidR="0079165F" w:rsidRDefault="0079165F" w:rsidP="00E56BFB">
      <w:pPr>
        <w:ind w:firstLine="567"/>
        <w:jc w:val="both"/>
        <w:rPr>
          <w:color w:val="000000"/>
          <w:sz w:val="28"/>
          <w:szCs w:val="28"/>
          <w:lang w:val="uk-UA"/>
        </w:rPr>
      </w:pPr>
      <w:r>
        <w:rPr>
          <w:color w:val="000000"/>
          <w:sz w:val="28"/>
          <w:szCs w:val="28"/>
          <w:lang w:val="uk-UA"/>
        </w:rPr>
        <w:t>особа, що буде здійснювати публічну пропозицію – 17156,94 грн;</w:t>
      </w:r>
    </w:p>
    <w:p w:rsidR="0079165F" w:rsidRPr="0079165F" w:rsidRDefault="0079165F" w:rsidP="00E56BFB">
      <w:pPr>
        <w:ind w:firstLine="567"/>
        <w:jc w:val="both"/>
        <w:rPr>
          <w:color w:val="000000"/>
          <w:sz w:val="28"/>
          <w:szCs w:val="28"/>
          <w:lang w:val="uk-UA"/>
        </w:rPr>
      </w:pPr>
      <w:r w:rsidRPr="0079165F">
        <w:rPr>
          <w:color w:val="000000"/>
          <w:sz w:val="28"/>
          <w:szCs w:val="28"/>
          <w:lang w:val="uk-UA"/>
        </w:rPr>
        <w:t>торговці цінними паперами</w:t>
      </w:r>
      <w:r>
        <w:rPr>
          <w:color w:val="000000"/>
          <w:sz w:val="28"/>
          <w:szCs w:val="28"/>
          <w:lang w:val="uk-UA"/>
        </w:rPr>
        <w:t xml:space="preserve"> – 0 грн.</w:t>
      </w:r>
    </w:p>
    <w:p w:rsidR="00E56BFB" w:rsidRPr="005A54EA" w:rsidRDefault="00E56BFB" w:rsidP="00E56BFB">
      <w:pPr>
        <w:ind w:firstLine="567"/>
        <w:jc w:val="both"/>
        <w:rPr>
          <w:color w:val="000000"/>
          <w:sz w:val="28"/>
          <w:szCs w:val="28"/>
          <w:lang w:val="uk-UA"/>
        </w:rPr>
      </w:pPr>
      <w:r w:rsidRPr="005A54EA">
        <w:rPr>
          <w:color w:val="000000"/>
          <w:sz w:val="28"/>
          <w:szCs w:val="28"/>
          <w:lang w:val="uk-UA"/>
        </w:rPr>
        <w:t xml:space="preserve">4) </w:t>
      </w:r>
      <w:r w:rsidRPr="005A54EA">
        <w:rPr>
          <w:i/>
          <w:color w:val="000000"/>
          <w:sz w:val="28"/>
          <w:szCs w:val="28"/>
          <w:lang w:val="uk-UA"/>
        </w:rPr>
        <w:t>Рівень поінформованості суб’єктів господарювання та/або фізичних осіб з основних положень акта</w:t>
      </w:r>
      <w:r w:rsidRPr="005A54EA">
        <w:rPr>
          <w:color w:val="000000"/>
          <w:sz w:val="28"/>
          <w:szCs w:val="28"/>
          <w:lang w:val="uk-UA"/>
        </w:rPr>
        <w:t xml:space="preserve"> – середній. Даний проект регуляторного акта, з метою громадського обговорення, </w:t>
      </w:r>
      <w:r w:rsidRPr="005A54EA">
        <w:rPr>
          <w:rStyle w:val="spelle"/>
          <w:color w:val="000000"/>
          <w:sz w:val="28"/>
          <w:szCs w:val="28"/>
          <w:lang w:val="uk-UA"/>
        </w:rPr>
        <w:t>оприлюднено</w:t>
      </w:r>
      <w:r w:rsidRPr="005A54EA">
        <w:rPr>
          <w:color w:val="000000"/>
          <w:sz w:val="28"/>
          <w:szCs w:val="28"/>
          <w:lang w:val="uk-UA"/>
        </w:rPr>
        <w:t xml:space="preserve"> на офіційному </w:t>
      </w:r>
      <w:r w:rsidRPr="005A54EA">
        <w:rPr>
          <w:rStyle w:val="spelle"/>
          <w:color w:val="000000"/>
          <w:sz w:val="28"/>
          <w:szCs w:val="28"/>
          <w:lang w:val="uk-UA"/>
        </w:rPr>
        <w:t>веб-сайті</w:t>
      </w:r>
      <w:r w:rsidRPr="005A54EA">
        <w:rPr>
          <w:color w:val="000000"/>
          <w:sz w:val="28"/>
          <w:szCs w:val="28"/>
          <w:lang w:val="uk-UA"/>
        </w:rPr>
        <w:t xml:space="preserve"> Національної комісії з цінних паперів та фондового ринку.</w:t>
      </w:r>
    </w:p>
    <w:p w:rsidR="00DF443F" w:rsidRDefault="00DF443F" w:rsidP="00E56BFB">
      <w:pPr>
        <w:ind w:firstLine="567"/>
        <w:jc w:val="both"/>
        <w:rPr>
          <w:color w:val="000000"/>
          <w:sz w:val="28"/>
          <w:szCs w:val="28"/>
          <w:lang w:val="uk-UA"/>
        </w:rPr>
      </w:pPr>
      <w:r w:rsidRPr="005A54EA">
        <w:rPr>
          <w:color w:val="000000"/>
          <w:sz w:val="28"/>
          <w:szCs w:val="28"/>
          <w:lang w:val="uk-UA"/>
        </w:rPr>
        <w:t xml:space="preserve">5) </w:t>
      </w:r>
      <w:r w:rsidR="00D269C7" w:rsidRPr="005A54EA">
        <w:rPr>
          <w:color w:val="000000"/>
          <w:sz w:val="28"/>
          <w:szCs w:val="28"/>
          <w:lang w:val="uk-UA"/>
        </w:rPr>
        <w:t xml:space="preserve">Кількість звернень, скарг від фізичних та юридичних осіб на діяльність торговців цінними паперами та </w:t>
      </w:r>
      <w:r w:rsidR="00333EF0">
        <w:rPr>
          <w:color w:val="000000"/>
          <w:sz w:val="28"/>
          <w:szCs w:val="28"/>
          <w:lang w:val="uk-UA"/>
        </w:rPr>
        <w:t>щодо порушення прав інвесторів</w:t>
      </w:r>
      <w:r w:rsidR="00D269C7" w:rsidRPr="005A54EA">
        <w:rPr>
          <w:color w:val="000000"/>
          <w:sz w:val="28"/>
          <w:szCs w:val="28"/>
          <w:lang w:val="uk-UA"/>
        </w:rPr>
        <w:t>.</w:t>
      </w:r>
    </w:p>
    <w:p w:rsidR="000777AB" w:rsidRDefault="000777AB" w:rsidP="00E56BFB">
      <w:pPr>
        <w:ind w:firstLine="567"/>
        <w:jc w:val="both"/>
        <w:rPr>
          <w:color w:val="000000"/>
          <w:sz w:val="28"/>
          <w:szCs w:val="28"/>
          <w:lang w:val="uk-UA"/>
        </w:rPr>
      </w:pPr>
      <w:r>
        <w:rPr>
          <w:color w:val="000000"/>
          <w:sz w:val="28"/>
          <w:szCs w:val="28"/>
          <w:lang w:val="uk-UA"/>
        </w:rPr>
        <w:t xml:space="preserve">6) Обсяг торгів </w:t>
      </w:r>
      <w:r w:rsidR="006A565B">
        <w:rPr>
          <w:color w:val="000000"/>
          <w:sz w:val="28"/>
          <w:szCs w:val="28"/>
          <w:lang w:val="uk-UA"/>
        </w:rPr>
        <w:t xml:space="preserve">цінними паперами </w:t>
      </w:r>
      <w:r>
        <w:rPr>
          <w:color w:val="000000"/>
          <w:sz w:val="28"/>
          <w:szCs w:val="28"/>
          <w:lang w:val="uk-UA"/>
        </w:rPr>
        <w:t>на фондових біржах.</w:t>
      </w:r>
    </w:p>
    <w:p w:rsidR="000777AB" w:rsidRDefault="000777AB" w:rsidP="000777AB">
      <w:pPr>
        <w:ind w:firstLine="567"/>
        <w:jc w:val="both"/>
        <w:rPr>
          <w:color w:val="000000"/>
          <w:sz w:val="28"/>
          <w:szCs w:val="28"/>
          <w:lang w:val="uk-UA"/>
        </w:rPr>
      </w:pPr>
      <w:r>
        <w:rPr>
          <w:color w:val="000000"/>
          <w:sz w:val="28"/>
          <w:szCs w:val="28"/>
          <w:lang w:val="uk-UA"/>
        </w:rPr>
        <w:t>7) Кількість членів фондових бірж.</w:t>
      </w:r>
    </w:p>
    <w:p w:rsidR="006A565B" w:rsidRPr="005A54EA" w:rsidRDefault="006A565B" w:rsidP="00E56BFB">
      <w:pPr>
        <w:pStyle w:val="a3"/>
        <w:ind w:firstLine="720"/>
        <w:jc w:val="both"/>
      </w:pPr>
    </w:p>
    <w:p w:rsidR="00E56BFB" w:rsidRPr="005A54EA" w:rsidRDefault="00E56BFB" w:rsidP="00E56BFB">
      <w:pPr>
        <w:pStyle w:val="a3"/>
        <w:ind w:firstLine="720"/>
      </w:pPr>
      <w:r w:rsidRPr="005A54EA">
        <w:t>ІХ. Визначення заходів, за допомогою яких здійснюватиметься відстеження результативності дії регуляторного акта</w:t>
      </w:r>
    </w:p>
    <w:p w:rsidR="00E56BFB" w:rsidRPr="005A54EA" w:rsidRDefault="00E56BFB" w:rsidP="00E56BFB">
      <w:pPr>
        <w:pStyle w:val="a3"/>
        <w:ind w:firstLine="720"/>
        <w:jc w:val="both"/>
      </w:pPr>
    </w:p>
    <w:p w:rsidR="00E56BFB" w:rsidRPr="005A54EA" w:rsidRDefault="00E56BFB" w:rsidP="00E56BFB">
      <w:pPr>
        <w:pStyle w:val="a4"/>
        <w:ind w:firstLine="708"/>
        <w:rPr>
          <w:b w:val="0"/>
        </w:rPr>
      </w:pPr>
      <w:r w:rsidRPr="005A54EA">
        <w:rPr>
          <w:b w:val="0"/>
        </w:rPr>
        <w:t>Відстеження результативності буде здійснено із застосуванням статистичного методу, шляхом аналізу</w:t>
      </w:r>
      <w:r w:rsidR="00C267B3">
        <w:rPr>
          <w:b w:val="0"/>
        </w:rPr>
        <w:t xml:space="preserve"> даних з інформаційних ресурсів НКЦПФР, а також аналізу</w:t>
      </w:r>
      <w:r w:rsidRPr="005A54EA">
        <w:rPr>
          <w:b w:val="0"/>
        </w:rPr>
        <w:t xml:space="preserve"> офіційної статистичної інформації щодо розміру надходжень до державного бюджету, пов’язаних з дією акта, кількості фондових бірж, на які поширюватиметься дія акта, обробки зведених даних </w:t>
      </w:r>
      <w:r w:rsidRPr="005A54EA">
        <w:rPr>
          <w:b w:val="0"/>
        </w:rPr>
        <w:lastRenderedPageBreak/>
        <w:t>щодо кількості скарг та пропозицій від фондових бірж та професійних учасників фондового ринку.</w:t>
      </w:r>
    </w:p>
    <w:p w:rsidR="00E56BFB" w:rsidRPr="005A54EA" w:rsidRDefault="00E56BFB" w:rsidP="00F81F8B">
      <w:pPr>
        <w:pStyle w:val="a5"/>
        <w:ind w:right="99" w:firstLine="0"/>
        <w:jc w:val="both"/>
        <w:rPr>
          <w:sz w:val="28"/>
          <w:szCs w:val="28"/>
        </w:rPr>
      </w:pPr>
      <w:r w:rsidRPr="005A54EA">
        <w:rPr>
          <w:sz w:val="28"/>
          <w:szCs w:val="28"/>
        </w:rPr>
        <w:tab/>
        <w:t xml:space="preserve">Базове відстеження результативності вищезазначеного регуляторного акта буде </w:t>
      </w:r>
      <w:r w:rsidR="007C5ECA" w:rsidRPr="005A54EA">
        <w:rPr>
          <w:sz w:val="28"/>
          <w:szCs w:val="28"/>
        </w:rPr>
        <w:t>здійснюватися</w:t>
      </w:r>
      <w:r w:rsidRPr="005A54EA">
        <w:rPr>
          <w:sz w:val="28"/>
          <w:szCs w:val="28"/>
        </w:rPr>
        <w:t xml:space="preserve"> </w:t>
      </w:r>
      <w:r w:rsidR="007C5ECA">
        <w:rPr>
          <w:sz w:val="28"/>
          <w:szCs w:val="28"/>
        </w:rPr>
        <w:t>через рік після</w:t>
      </w:r>
      <w:r w:rsidRPr="005A54EA">
        <w:rPr>
          <w:sz w:val="28"/>
          <w:szCs w:val="28"/>
        </w:rPr>
        <w:t xml:space="preserve"> набрання чинності більшості його положень шляхом збору пропозицій і зауважень та їх аналізу.</w:t>
      </w:r>
    </w:p>
    <w:p w:rsidR="00E56BFB" w:rsidRPr="005A54EA" w:rsidRDefault="00E56BFB" w:rsidP="00E56BFB">
      <w:pPr>
        <w:pStyle w:val="a4"/>
        <w:ind w:firstLine="708"/>
        <w:rPr>
          <w:b w:val="0"/>
        </w:rPr>
      </w:pPr>
      <w:r w:rsidRPr="005A54EA">
        <w:rPr>
          <w:b w:val="0"/>
        </w:rPr>
        <w:t xml:space="preserve">Повторне відстеження планується здійснити </w:t>
      </w:r>
      <w:r w:rsidR="007C5ECA">
        <w:rPr>
          <w:b w:val="0"/>
        </w:rPr>
        <w:t>через 2 роки</w:t>
      </w:r>
      <w:r w:rsidRPr="005A54EA">
        <w:rPr>
          <w:b w:val="0"/>
        </w:rPr>
        <w:t xml:space="preserve"> </w:t>
      </w:r>
      <w:r w:rsidR="007C5ECA">
        <w:rPr>
          <w:b w:val="0"/>
        </w:rPr>
        <w:t>після проведення базового відстеження регуляторного акта</w:t>
      </w:r>
      <w:r w:rsidRPr="005A54EA">
        <w:rPr>
          <w:b w:val="0"/>
        </w:rPr>
        <w:t>. У разі надходження пропозицій  та зауважень, які заслуговують на увагу, або виявлення неврегульованих та проблемних питань, у разі необхідності</w:t>
      </w:r>
      <w:r w:rsidR="007C5ECA">
        <w:rPr>
          <w:b w:val="0"/>
        </w:rPr>
        <w:t>,</w:t>
      </w:r>
      <w:r w:rsidRPr="005A54EA">
        <w:rPr>
          <w:b w:val="0"/>
        </w:rPr>
        <w:t xml:space="preserve"> вони будуть обговорені та винесені на засідання НКЦПФР, з метою  внесення відповідних змін до цього рішення.</w:t>
      </w:r>
    </w:p>
    <w:p w:rsidR="00E56BFB" w:rsidRDefault="00E56BFB" w:rsidP="00E56BFB">
      <w:pPr>
        <w:pStyle w:val="a4"/>
        <w:ind w:firstLine="720"/>
        <w:rPr>
          <w:b w:val="0"/>
          <w:szCs w:val="28"/>
        </w:rPr>
      </w:pPr>
      <w:r w:rsidRPr="005A54EA">
        <w:rPr>
          <w:b w:val="0"/>
          <w:szCs w:val="28"/>
        </w:rPr>
        <w:t>Періодичні відстеження планується здійснювати раз на три роки з дня виконання заходів з повторного відстеження з метою подальшого удосконалення даного регуляторного акта.</w:t>
      </w:r>
    </w:p>
    <w:p w:rsidR="007C5ECA" w:rsidRPr="007C5ECA" w:rsidRDefault="007C5ECA" w:rsidP="00E56BFB">
      <w:pPr>
        <w:pStyle w:val="a4"/>
        <w:ind w:firstLine="720"/>
        <w:rPr>
          <w:b w:val="0"/>
        </w:rPr>
      </w:pPr>
      <w:r>
        <w:rPr>
          <w:b w:val="0"/>
          <w:szCs w:val="28"/>
        </w:rPr>
        <w:t xml:space="preserve">Виконавцем </w:t>
      </w:r>
      <w:r w:rsidRPr="007C5ECA">
        <w:rPr>
          <w:b w:val="0"/>
          <w:szCs w:val="28"/>
        </w:rPr>
        <w:t>заходів, за допомогою яких здійснюватиметься відстеження результативності дії регуляторного акта, є Національна комісія з цінних паперів та фондового ринку.</w:t>
      </w:r>
    </w:p>
    <w:p w:rsidR="00E56BFB" w:rsidRPr="005A54EA" w:rsidRDefault="00E56BFB" w:rsidP="00E56BFB">
      <w:pPr>
        <w:pStyle w:val="a3"/>
        <w:ind w:firstLine="720"/>
        <w:jc w:val="both"/>
      </w:pPr>
    </w:p>
    <w:p w:rsidR="00D539DA" w:rsidRPr="005A54EA" w:rsidRDefault="00D539DA" w:rsidP="00E56BFB">
      <w:pPr>
        <w:pStyle w:val="a4"/>
        <w:ind w:firstLine="720"/>
      </w:pPr>
      <w:bookmarkStart w:id="1" w:name="34"/>
      <w:bookmarkEnd w:id="1"/>
    </w:p>
    <w:p w:rsidR="00E56BFB" w:rsidRPr="005A54EA" w:rsidRDefault="00E56BFB" w:rsidP="00D5621D">
      <w:pPr>
        <w:pStyle w:val="a4"/>
        <w:ind w:firstLine="720"/>
        <w:jc w:val="center"/>
      </w:pPr>
      <w:r w:rsidRPr="005A54EA">
        <w:t>Голов</w:t>
      </w:r>
      <w:r w:rsidR="006A565B">
        <w:t>а</w:t>
      </w:r>
      <w:r w:rsidRPr="005A54EA">
        <w:t xml:space="preserve"> Комісії                               </w:t>
      </w:r>
      <w:r w:rsidRPr="005A54EA">
        <w:tab/>
      </w:r>
      <w:r w:rsidR="000777AB">
        <w:t xml:space="preserve">   </w:t>
      </w:r>
      <w:r w:rsidRPr="005A54EA">
        <w:t xml:space="preserve">  </w:t>
      </w:r>
      <w:r w:rsidR="00D5621D" w:rsidRPr="005A54EA">
        <w:t xml:space="preserve">          </w:t>
      </w:r>
      <w:r w:rsidRPr="005A54EA">
        <w:t xml:space="preserve">  </w:t>
      </w:r>
      <w:r w:rsidRPr="005A54EA">
        <w:tab/>
      </w:r>
      <w:r w:rsidR="006A565B">
        <w:t>Т</w:t>
      </w:r>
      <w:r w:rsidR="004D2E14" w:rsidRPr="005A54EA">
        <w:t xml:space="preserve">. </w:t>
      </w:r>
      <w:r w:rsidR="006A565B">
        <w:t>Хромаєв</w:t>
      </w:r>
    </w:p>
    <w:p w:rsidR="00E56BFB" w:rsidRPr="005A54EA" w:rsidRDefault="00E56BFB" w:rsidP="00E56BFB">
      <w:pPr>
        <w:pStyle w:val="a4"/>
        <w:ind w:firstLine="720"/>
      </w:pPr>
    </w:p>
    <w:p w:rsidR="00D539DA" w:rsidRPr="005A54EA" w:rsidRDefault="00D539DA" w:rsidP="00E56BFB">
      <w:pPr>
        <w:pStyle w:val="a4"/>
        <w:ind w:firstLine="720"/>
        <w:rPr>
          <w:b w:val="0"/>
          <w:sz w:val="20"/>
          <w:szCs w:val="20"/>
        </w:rPr>
      </w:pPr>
    </w:p>
    <w:p w:rsidR="00D539DA" w:rsidRPr="005A54EA" w:rsidRDefault="00D539DA" w:rsidP="00E56BFB">
      <w:pPr>
        <w:pStyle w:val="a4"/>
        <w:ind w:firstLine="720"/>
        <w:rPr>
          <w:b w:val="0"/>
          <w:sz w:val="20"/>
          <w:szCs w:val="20"/>
        </w:rPr>
      </w:pPr>
    </w:p>
    <w:sectPr w:rsidR="00D539DA" w:rsidRPr="005A54EA" w:rsidSect="00AB5D2C">
      <w:headerReference w:type="even" r:id="rId10"/>
      <w:headerReference w:type="default" r:id="rId11"/>
      <w:footerReference w:type="even" r:id="rId12"/>
      <w:footerReference w:type="default" r:id="rId13"/>
      <w:pgSz w:w="11906" w:h="16838"/>
      <w:pgMar w:top="540" w:right="850" w:bottom="143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421" w:rsidRDefault="00054421">
      <w:r>
        <w:separator/>
      </w:r>
    </w:p>
  </w:endnote>
  <w:endnote w:type="continuationSeparator" w:id="0">
    <w:p w:rsidR="00054421" w:rsidRDefault="0005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6C8" w:rsidRDefault="009276C8" w:rsidP="00E56BF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276C8" w:rsidRDefault="009276C8" w:rsidP="00E56BF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6C8" w:rsidRPr="0011531E" w:rsidRDefault="009276C8" w:rsidP="00E56BFB">
    <w:pPr>
      <w:pStyle w:val="a9"/>
      <w:framePr w:wrap="around" w:vAnchor="text" w:hAnchor="margin" w:xAlign="right" w:y="1"/>
      <w:rPr>
        <w:rStyle w:val="aa"/>
        <w:lang w:val="uk-UA"/>
      </w:rPr>
    </w:pPr>
  </w:p>
  <w:p w:rsidR="009276C8" w:rsidRDefault="009276C8" w:rsidP="00187A9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421" w:rsidRDefault="00054421">
      <w:r>
        <w:separator/>
      </w:r>
    </w:p>
  </w:footnote>
  <w:footnote w:type="continuationSeparator" w:id="0">
    <w:p w:rsidR="00054421" w:rsidRDefault="0005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6C8" w:rsidRDefault="009276C8" w:rsidP="006309B7">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276C8" w:rsidRDefault="009276C8">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6C8" w:rsidRDefault="009276C8" w:rsidP="006309B7">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76E7F">
      <w:rPr>
        <w:rStyle w:val="aa"/>
        <w:noProof/>
      </w:rPr>
      <w:t>2</w:t>
    </w:r>
    <w:r>
      <w:rPr>
        <w:rStyle w:val="aa"/>
      </w:rPr>
      <w:fldChar w:fldCharType="end"/>
    </w:r>
  </w:p>
  <w:p w:rsidR="009276C8" w:rsidRPr="008337F4" w:rsidRDefault="009276C8" w:rsidP="008337F4">
    <w:pPr>
      <w:pStyle w:val="ad"/>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457FF"/>
    <w:multiLevelType w:val="hybridMultilevel"/>
    <w:tmpl w:val="88B87396"/>
    <w:lvl w:ilvl="0" w:tplc="72189FA8">
      <w:start w:val="1"/>
      <w:numFmt w:val="decimal"/>
      <w:lvlText w:val="%1."/>
      <w:lvlJc w:val="left"/>
      <w:pPr>
        <w:tabs>
          <w:tab w:val="num" w:pos="1725"/>
        </w:tabs>
        <w:ind w:left="1725" w:hanging="1005"/>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 w15:restartNumberingAfterBreak="0">
    <w:nsid w:val="62FE79FA"/>
    <w:multiLevelType w:val="hybridMultilevel"/>
    <w:tmpl w:val="11763C2C"/>
    <w:lvl w:ilvl="0" w:tplc="04220001">
      <w:start w:val="328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4891771"/>
    <w:multiLevelType w:val="hybridMultilevel"/>
    <w:tmpl w:val="E0B0557C"/>
    <w:lvl w:ilvl="0" w:tplc="49582C96">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BFB"/>
    <w:rsid w:val="00002D9F"/>
    <w:rsid w:val="00006ADC"/>
    <w:rsid w:val="00013B4B"/>
    <w:rsid w:val="00013D9B"/>
    <w:rsid w:val="000165E2"/>
    <w:rsid w:val="00016606"/>
    <w:rsid w:val="00031171"/>
    <w:rsid w:val="0003500A"/>
    <w:rsid w:val="0003516A"/>
    <w:rsid w:val="0003639F"/>
    <w:rsid w:val="00037F0A"/>
    <w:rsid w:val="000415BC"/>
    <w:rsid w:val="000431A8"/>
    <w:rsid w:val="00043C1A"/>
    <w:rsid w:val="0004678D"/>
    <w:rsid w:val="000476FF"/>
    <w:rsid w:val="00050685"/>
    <w:rsid w:val="00050CED"/>
    <w:rsid w:val="00054421"/>
    <w:rsid w:val="00055EC5"/>
    <w:rsid w:val="00062034"/>
    <w:rsid w:val="00075C1D"/>
    <w:rsid w:val="000777AB"/>
    <w:rsid w:val="00080212"/>
    <w:rsid w:val="0009106F"/>
    <w:rsid w:val="00094677"/>
    <w:rsid w:val="00096167"/>
    <w:rsid w:val="000A1552"/>
    <w:rsid w:val="000A1BFD"/>
    <w:rsid w:val="000A6409"/>
    <w:rsid w:val="000A7DF9"/>
    <w:rsid w:val="000B0760"/>
    <w:rsid w:val="000B1749"/>
    <w:rsid w:val="000B24DC"/>
    <w:rsid w:val="000B2528"/>
    <w:rsid w:val="000B4F43"/>
    <w:rsid w:val="000B513A"/>
    <w:rsid w:val="000B6192"/>
    <w:rsid w:val="000B67F0"/>
    <w:rsid w:val="000C1028"/>
    <w:rsid w:val="000C105A"/>
    <w:rsid w:val="000C3FB6"/>
    <w:rsid w:val="000D1568"/>
    <w:rsid w:val="000D2DAE"/>
    <w:rsid w:val="000D57FF"/>
    <w:rsid w:val="000D6C50"/>
    <w:rsid w:val="000D733B"/>
    <w:rsid w:val="000E189D"/>
    <w:rsid w:val="000E1E66"/>
    <w:rsid w:val="000E524F"/>
    <w:rsid w:val="000E5E44"/>
    <w:rsid w:val="000E66DA"/>
    <w:rsid w:val="000F35A3"/>
    <w:rsid w:val="000F4C7E"/>
    <w:rsid w:val="000F72BB"/>
    <w:rsid w:val="000F7C79"/>
    <w:rsid w:val="0010173B"/>
    <w:rsid w:val="0010730D"/>
    <w:rsid w:val="00111CCA"/>
    <w:rsid w:val="00113B85"/>
    <w:rsid w:val="00113D16"/>
    <w:rsid w:val="001148E4"/>
    <w:rsid w:val="0011531E"/>
    <w:rsid w:val="00115A02"/>
    <w:rsid w:val="001204D4"/>
    <w:rsid w:val="00121A4C"/>
    <w:rsid w:val="00122EC8"/>
    <w:rsid w:val="00132AE6"/>
    <w:rsid w:val="00133D43"/>
    <w:rsid w:val="00140CB0"/>
    <w:rsid w:val="0015018A"/>
    <w:rsid w:val="0015196C"/>
    <w:rsid w:val="00151E44"/>
    <w:rsid w:val="001631BE"/>
    <w:rsid w:val="00163B46"/>
    <w:rsid w:val="001661E9"/>
    <w:rsid w:val="0016784A"/>
    <w:rsid w:val="00167D2C"/>
    <w:rsid w:val="00170C50"/>
    <w:rsid w:val="00171CCC"/>
    <w:rsid w:val="0017261C"/>
    <w:rsid w:val="00174A67"/>
    <w:rsid w:val="001855B7"/>
    <w:rsid w:val="00186DB7"/>
    <w:rsid w:val="00187A93"/>
    <w:rsid w:val="0019786C"/>
    <w:rsid w:val="001A528D"/>
    <w:rsid w:val="001B3C84"/>
    <w:rsid w:val="001B4137"/>
    <w:rsid w:val="001B5F53"/>
    <w:rsid w:val="001B6E6F"/>
    <w:rsid w:val="001C323F"/>
    <w:rsid w:val="001C480F"/>
    <w:rsid w:val="001C53BD"/>
    <w:rsid w:val="001C5E63"/>
    <w:rsid w:val="001C61FE"/>
    <w:rsid w:val="001D0244"/>
    <w:rsid w:val="001D0BE1"/>
    <w:rsid w:val="001D2451"/>
    <w:rsid w:val="001E7081"/>
    <w:rsid w:val="001F1938"/>
    <w:rsid w:val="001F1F8D"/>
    <w:rsid w:val="001F3918"/>
    <w:rsid w:val="001F597E"/>
    <w:rsid w:val="001F7A27"/>
    <w:rsid w:val="002008D3"/>
    <w:rsid w:val="00207C79"/>
    <w:rsid w:val="00210A9C"/>
    <w:rsid w:val="00211227"/>
    <w:rsid w:val="00213164"/>
    <w:rsid w:val="0021519F"/>
    <w:rsid w:val="00224FD3"/>
    <w:rsid w:val="00231306"/>
    <w:rsid w:val="002314E8"/>
    <w:rsid w:val="00232129"/>
    <w:rsid w:val="002349F3"/>
    <w:rsid w:val="002375AB"/>
    <w:rsid w:val="00240020"/>
    <w:rsid w:val="0024094A"/>
    <w:rsid w:val="00240DC6"/>
    <w:rsid w:val="00240F29"/>
    <w:rsid w:val="00241D7E"/>
    <w:rsid w:val="002437FF"/>
    <w:rsid w:val="002442BC"/>
    <w:rsid w:val="0024752F"/>
    <w:rsid w:val="00247A1E"/>
    <w:rsid w:val="00251194"/>
    <w:rsid w:val="002518D2"/>
    <w:rsid w:val="00254D1E"/>
    <w:rsid w:val="002555AE"/>
    <w:rsid w:val="002556DC"/>
    <w:rsid w:val="002578B0"/>
    <w:rsid w:val="00262568"/>
    <w:rsid w:val="00264E97"/>
    <w:rsid w:val="002675EA"/>
    <w:rsid w:val="00270D83"/>
    <w:rsid w:val="00273985"/>
    <w:rsid w:val="00276C92"/>
    <w:rsid w:val="00282A92"/>
    <w:rsid w:val="00292BBD"/>
    <w:rsid w:val="00297C06"/>
    <w:rsid w:val="002A1248"/>
    <w:rsid w:val="002A26A3"/>
    <w:rsid w:val="002A318F"/>
    <w:rsid w:val="002A65DE"/>
    <w:rsid w:val="002C00BE"/>
    <w:rsid w:val="002C1043"/>
    <w:rsid w:val="002C6872"/>
    <w:rsid w:val="002C6BBF"/>
    <w:rsid w:val="002D48DC"/>
    <w:rsid w:val="002D507F"/>
    <w:rsid w:val="002D52C6"/>
    <w:rsid w:val="002D68FF"/>
    <w:rsid w:val="002E0F1D"/>
    <w:rsid w:val="002E6C53"/>
    <w:rsid w:val="003036A2"/>
    <w:rsid w:val="00303BFA"/>
    <w:rsid w:val="00312EDD"/>
    <w:rsid w:val="003160E7"/>
    <w:rsid w:val="0031710C"/>
    <w:rsid w:val="00321172"/>
    <w:rsid w:val="003309E1"/>
    <w:rsid w:val="0033159C"/>
    <w:rsid w:val="00333EF0"/>
    <w:rsid w:val="00333F96"/>
    <w:rsid w:val="0034240E"/>
    <w:rsid w:val="003448FE"/>
    <w:rsid w:val="00351177"/>
    <w:rsid w:val="00354BBF"/>
    <w:rsid w:val="003550F8"/>
    <w:rsid w:val="00362966"/>
    <w:rsid w:val="00363686"/>
    <w:rsid w:val="0037054F"/>
    <w:rsid w:val="00373BEC"/>
    <w:rsid w:val="00374942"/>
    <w:rsid w:val="003753D5"/>
    <w:rsid w:val="003869F4"/>
    <w:rsid w:val="00386C60"/>
    <w:rsid w:val="00387730"/>
    <w:rsid w:val="00391309"/>
    <w:rsid w:val="00393302"/>
    <w:rsid w:val="00393AD0"/>
    <w:rsid w:val="00394D59"/>
    <w:rsid w:val="003A4A00"/>
    <w:rsid w:val="003A5947"/>
    <w:rsid w:val="003B021D"/>
    <w:rsid w:val="003B0A55"/>
    <w:rsid w:val="003B54A6"/>
    <w:rsid w:val="003C3B7B"/>
    <w:rsid w:val="003C691A"/>
    <w:rsid w:val="003C77A7"/>
    <w:rsid w:val="003D0F16"/>
    <w:rsid w:val="003D18C5"/>
    <w:rsid w:val="003D2C45"/>
    <w:rsid w:val="003D40F5"/>
    <w:rsid w:val="003D5CD5"/>
    <w:rsid w:val="003E27A4"/>
    <w:rsid w:val="003E34C4"/>
    <w:rsid w:val="003E4C02"/>
    <w:rsid w:val="003F42DB"/>
    <w:rsid w:val="003F4708"/>
    <w:rsid w:val="003F7936"/>
    <w:rsid w:val="004035D5"/>
    <w:rsid w:val="00410742"/>
    <w:rsid w:val="00411D08"/>
    <w:rsid w:val="00417FC8"/>
    <w:rsid w:val="00422E20"/>
    <w:rsid w:val="004259E0"/>
    <w:rsid w:val="00426E0C"/>
    <w:rsid w:val="00430FAC"/>
    <w:rsid w:val="00433AD1"/>
    <w:rsid w:val="0043542D"/>
    <w:rsid w:val="00436D4F"/>
    <w:rsid w:val="0044045D"/>
    <w:rsid w:val="004428F0"/>
    <w:rsid w:val="00445E49"/>
    <w:rsid w:val="00447A12"/>
    <w:rsid w:val="00447C84"/>
    <w:rsid w:val="0045008B"/>
    <w:rsid w:val="00450C3F"/>
    <w:rsid w:val="00453C63"/>
    <w:rsid w:val="00455937"/>
    <w:rsid w:val="004570AE"/>
    <w:rsid w:val="00457187"/>
    <w:rsid w:val="00461C67"/>
    <w:rsid w:val="00464C82"/>
    <w:rsid w:val="00471C0D"/>
    <w:rsid w:val="004757BC"/>
    <w:rsid w:val="00475F27"/>
    <w:rsid w:val="00476E7F"/>
    <w:rsid w:val="004771EA"/>
    <w:rsid w:val="004778F5"/>
    <w:rsid w:val="00493005"/>
    <w:rsid w:val="004943AF"/>
    <w:rsid w:val="00495D46"/>
    <w:rsid w:val="004A2773"/>
    <w:rsid w:val="004A394F"/>
    <w:rsid w:val="004A6C56"/>
    <w:rsid w:val="004B10A7"/>
    <w:rsid w:val="004B10DF"/>
    <w:rsid w:val="004B16A6"/>
    <w:rsid w:val="004B27EA"/>
    <w:rsid w:val="004C0156"/>
    <w:rsid w:val="004C44AD"/>
    <w:rsid w:val="004D2E14"/>
    <w:rsid w:val="004D4024"/>
    <w:rsid w:val="004E0608"/>
    <w:rsid w:val="004E220C"/>
    <w:rsid w:val="004E5634"/>
    <w:rsid w:val="004E5E9F"/>
    <w:rsid w:val="004F29FA"/>
    <w:rsid w:val="004F2A13"/>
    <w:rsid w:val="004F3409"/>
    <w:rsid w:val="004F68F0"/>
    <w:rsid w:val="005005DA"/>
    <w:rsid w:val="00503ADF"/>
    <w:rsid w:val="00504BA1"/>
    <w:rsid w:val="00506948"/>
    <w:rsid w:val="00507D84"/>
    <w:rsid w:val="00514615"/>
    <w:rsid w:val="0052253E"/>
    <w:rsid w:val="00526A3C"/>
    <w:rsid w:val="00536351"/>
    <w:rsid w:val="00541439"/>
    <w:rsid w:val="0054143A"/>
    <w:rsid w:val="00541CF0"/>
    <w:rsid w:val="005525AD"/>
    <w:rsid w:val="0055330A"/>
    <w:rsid w:val="00557195"/>
    <w:rsid w:val="00557296"/>
    <w:rsid w:val="00567659"/>
    <w:rsid w:val="00570C37"/>
    <w:rsid w:val="0057641F"/>
    <w:rsid w:val="005775EE"/>
    <w:rsid w:val="00581D1C"/>
    <w:rsid w:val="00582A49"/>
    <w:rsid w:val="00584097"/>
    <w:rsid w:val="00584387"/>
    <w:rsid w:val="005845DA"/>
    <w:rsid w:val="00584C92"/>
    <w:rsid w:val="0058772C"/>
    <w:rsid w:val="005879FA"/>
    <w:rsid w:val="005908BB"/>
    <w:rsid w:val="00591E40"/>
    <w:rsid w:val="00592190"/>
    <w:rsid w:val="00592A00"/>
    <w:rsid w:val="005A41BE"/>
    <w:rsid w:val="005A54EA"/>
    <w:rsid w:val="005A56D2"/>
    <w:rsid w:val="005A655D"/>
    <w:rsid w:val="005B0F04"/>
    <w:rsid w:val="005B4DCC"/>
    <w:rsid w:val="005B7D7A"/>
    <w:rsid w:val="005C3260"/>
    <w:rsid w:val="005C6FB7"/>
    <w:rsid w:val="005C7880"/>
    <w:rsid w:val="005D283E"/>
    <w:rsid w:val="005D4E84"/>
    <w:rsid w:val="005D4F5C"/>
    <w:rsid w:val="005D543A"/>
    <w:rsid w:val="005E19AA"/>
    <w:rsid w:val="005E5CBB"/>
    <w:rsid w:val="005E66E3"/>
    <w:rsid w:val="005F2738"/>
    <w:rsid w:val="005F66A5"/>
    <w:rsid w:val="00602505"/>
    <w:rsid w:val="00604DE1"/>
    <w:rsid w:val="006061A4"/>
    <w:rsid w:val="006127BC"/>
    <w:rsid w:val="0061283A"/>
    <w:rsid w:val="006157F5"/>
    <w:rsid w:val="00617479"/>
    <w:rsid w:val="0062106E"/>
    <w:rsid w:val="0062135C"/>
    <w:rsid w:val="006269CB"/>
    <w:rsid w:val="006276E6"/>
    <w:rsid w:val="006309B7"/>
    <w:rsid w:val="006323D6"/>
    <w:rsid w:val="00633962"/>
    <w:rsid w:val="00634A04"/>
    <w:rsid w:val="006415D2"/>
    <w:rsid w:val="0064340F"/>
    <w:rsid w:val="006436D7"/>
    <w:rsid w:val="00645D51"/>
    <w:rsid w:val="00646181"/>
    <w:rsid w:val="006479B1"/>
    <w:rsid w:val="006530C0"/>
    <w:rsid w:val="006611DA"/>
    <w:rsid w:val="00672BF4"/>
    <w:rsid w:val="006759E1"/>
    <w:rsid w:val="00683DBD"/>
    <w:rsid w:val="006843EA"/>
    <w:rsid w:val="0068573D"/>
    <w:rsid w:val="006A0639"/>
    <w:rsid w:val="006A0BD5"/>
    <w:rsid w:val="006A187C"/>
    <w:rsid w:val="006A565B"/>
    <w:rsid w:val="006A575D"/>
    <w:rsid w:val="006B1C10"/>
    <w:rsid w:val="006B519C"/>
    <w:rsid w:val="006B5FC8"/>
    <w:rsid w:val="006B6203"/>
    <w:rsid w:val="006B73E3"/>
    <w:rsid w:val="006B7830"/>
    <w:rsid w:val="006B7BDD"/>
    <w:rsid w:val="006C036C"/>
    <w:rsid w:val="006C282A"/>
    <w:rsid w:val="006C6912"/>
    <w:rsid w:val="006C72CF"/>
    <w:rsid w:val="006D1D53"/>
    <w:rsid w:val="006D73E1"/>
    <w:rsid w:val="006E13EE"/>
    <w:rsid w:val="006E2ED5"/>
    <w:rsid w:val="006E3388"/>
    <w:rsid w:val="006E3765"/>
    <w:rsid w:val="006E4AD7"/>
    <w:rsid w:val="006F03DD"/>
    <w:rsid w:val="006F5A4D"/>
    <w:rsid w:val="006F7132"/>
    <w:rsid w:val="0070477A"/>
    <w:rsid w:val="007108FE"/>
    <w:rsid w:val="007130E8"/>
    <w:rsid w:val="00720444"/>
    <w:rsid w:val="00720510"/>
    <w:rsid w:val="0072312B"/>
    <w:rsid w:val="00723701"/>
    <w:rsid w:val="0072409C"/>
    <w:rsid w:val="00727CBB"/>
    <w:rsid w:val="00733047"/>
    <w:rsid w:val="00735D67"/>
    <w:rsid w:val="007377CC"/>
    <w:rsid w:val="007416DF"/>
    <w:rsid w:val="00741D4E"/>
    <w:rsid w:val="00742EBB"/>
    <w:rsid w:val="0074483D"/>
    <w:rsid w:val="0074574D"/>
    <w:rsid w:val="00754B35"/>
    <w:rsid w:val="00756581"/>
    <w:rsid w:val="00757F21"/>
    <w:rsid w:val="0076036B"/>
    <w:rsid w:val="00761A15"/>
    <w:rsid w:val="0076293C"/>
    <w:rsid w:val="00764E58"/>
    <w:rsid w:val="00765682"/>
    <w:rsid w:val="007671E3"/>
    <w:rsid w:val="007679C2"/>
    <w:rsid w:val="00773BF1"/>
    <w:rsid w:val="00780F99"/>
    <w:rsid w:val="00781B54"/>
    <w:rsid w:val="00781FA5"/>
    <w:rsid w:val="007902E7"/>
    <w:rsid w:val="0079165F"/>
    <w:rsid w:val="00797D83"/>
    <w:rsid w:val="007A0BE0"/>
    <w:rsid w:val="007A2381"/>
    <w:rsid w:val="007A7918"/>
    <w:rsid w:val="007C253F"/>
    <w:rsid w:val="007C389B"/>
    <w:rsid w:val="007C5ECA"/>
    <w:rsid w:val="007E09A6"/>
    <w:rsid w:val="007E1896"/>
    <w:rsid w:val="007E3FB9"/>
    <w:rsid w:val="007F0D04"/>
    <w:rsid w:val="007F1563"/>
    <w:rsid w:val="007F1CED"/>
    <w:rsid w:val="007F36C3"/>
    <w:rsid w:val="007F460B"/>
    <w:rsid w:val="007F4C57"/>
    <w:rsid w:val="007F538F"/>
    <w:rsid w:val="007F7743"/>
    <w:rsid w:val="00800873"/>
    <w:rsid w:val="00800F68"/>
    <w:rsid w:val="0080264C"/>
    <w:rsid w:val="0080611E"/>
    <w:rsid w:val="00810C2C"/>
    <w:rsid w:val="00811C91"/>
    <w:rsid w:val="008126D7"/>
    <w:rsid w:val="00813F79"/>
    <w:rsid w:val="00822AA0"/>
    <w:rsid w:val="008245EA"/>
    <w:rsid w:val="00826254"/>
    <w:rsid w:val="00827FBC"/>
    <w:rsid w:val="00830489"/>
    <w:rsid w:val="008319CA"/>
    <w:rsid w:val="00832A72"/>
    <w:rsid w:val="008337F4"/>
    <w:rsid w:val="00842D3A"/>
    <w:rsid w:val="008453B0"/>
    <w:rsid w:val="00846176"/>
    <w:rsid w:val="008501B1"/>
    <w:rsid w:val="00851A7D"/>
    <w:rsid w:val="0085294C"/>
    <w:rsid w:val="008539D6"/>
    <w:rsid w:val="0085489E"/>
    <w:rsid w:val="00857FDC"/>
    <w:rsid w:val="00860AF0"/>
    <w:rsid w:val="00861323"/>
    <w:rsid w:val="00863BC6"/>
    <w:rsid w:val="00864595"/>
    <w:rsid w:val="008649D7"/>
    <w:rsid w:val="00864F67"/>
    <w:rsid w:val="008676E9"/>
    <w:rsid w:val="00870B13"/>
    <w:rsid w:val="008818F2"/>
    <w:rsid w:val="00883098"/>
    <w:rsid w:val="0088335D"/>
    <w:rsid w:val="00885D4C"/>
    <w:rsid w:val="00887161"/>
    <w:rsid w:val="008906F8"/>
    <w:rsid w:val="0089364E"/>
    <w:rsid w:val="0089376C"/>
    <w:rsid w:val="00894145"/>
    <w:rsid w:val="00895E29"/>
    <w:rsid w:val="008A1703"/>
    <w:rsid w:val="008A476B"/>
    <w:rsid w:val="008B0582"/>
    <w:rsid w:val="008B0685"/>
    <w:rsid w:val="008B3307"/>
    <w:rsid w:val="008B541C"/>
    <w:rsid w:val="008B58E3"/>
    <w:rsid w:val="008B7B92"/>
    <w:rsid w:val="008C098D"/>
    <w:rsid w:val="008C425E"/>
    <w:rsid w:val="008C5934"/>
    <w:rsid w:val="008C62D1"/>
    <w:rsid w:val="008C7335"/>
    <w:rsid w:val="008D1C71"/>
    <w:rsid w:val="008D2859"/>
    <w:rsid w:val="008D30A2"/>
    <w:rsid w:val="008D5E1A"/>
    <w:rsid w:val="008E518C"/>
    <w:rsid w:val="008E5A1F"/>
    <w:rsid w:val="008E5D46"/>
    <w:rsid w:val="008E5D87"/>
    <w:rsid w:val="008E6F66"/>
    <w:rsid w:val="008F24DC"/>
    <w:rsid w:val="008F52D0"/>
    <w:rsid w:val="00900C3E"/>
    <w:rsid w:val="00902A2F"/>
    <w:rsid w:val="00904719"/>
    <w:rsid w:val="0090540B"/>
    <w:rsid w:val="009100B4"/>
    <w:rsid w:val="00913AC6"/>
    <w:rsid w:val="00915BC3"/>
    <w:rsid w:val="00916893"/>
    <w:rsid w:val="009176B3"/>
    <w:rsid w:val="009203CF"/>
    <w:rsid w:val="00920CB1"/>
    <w:rsid w:val="009213A0"/>
    <w:rsid w:val="0092330C"/>
    <w:rsid w:val="009276C8"/>
    <w:rsid w:val="00934E1C"/>
    <w:rsid w:val="00940FBB"/>
    <w:rsid w:val="00941099"/>
    <w:rsid w:val="009446AD"/>
    <w:rsid w:val="00945B46"/>
    <w:rsid w:val="009477A9"/>
    <w:rsid w:val="00951A72"/>
    <w:rsid w:val="00953490"/>
    <w:rsid w:val="00954837"/>
    <w:rsid w:val="00957211"/>
    <w:rsid w:val="0096082B"/>
    <w:rsid w:val="00960F06"/>
    <w:rsid w:val="009636D9"/>
    <w:rsid w:val="009639DF"/>
    <w:rsid w:val="00963E91"/>
    <w:rsid w:val="00964D59"/>
    <w:rsid w:val="009664B4"/>
    <w:rsid w:val="009724A8"/>
    <w:rsid w:val="00974A1C"/>
    <w:rsid w:val="00974A57"/>
    <w:rsid w:val="00976F2A"/>
    <w:rsid w:val="009807DE"/>
    <w:rsid w:val="0098175B"/>
    <w:rsid w:val="00982D90"/>
    <w:rsid w:val="00982F97"/>
    <w:rsid w:val="00986310"/>
    <w:rsid w:val="00987067"/>
    <w:rsid w:val="00992E23"/>
    <w:rsid w:val="00995A2A"/>
    <w:rsid w:val="00996DF4"/>
    <w:rsid w:val="009A10AE"/>
    <w:rsid w:val="009A318D"/>
    <w:rsid w:val="009A36FC"/>
    <w:rsid w:val="009A6394"/>
    <w:rsid w:val="009A7685"/>
    <w:rsid w:val="009A7A03"/>
    <w:rsid w:val="009B4531"/>
    <w:rsid w:val="009B7310"/>
    <w:rsid w:val="009C0DBB"/>
    <w:rsid w:val="009C4344"/>
    <w:rsid w:val="009D3B14"/>
    <w:rsid w:val="009D7F3B"/>
    <w:rsid w:val="009E1686"/>
    <w:rsid w:val="009E2B21"/>
    <w:rsid w:val="009E7ADD"/>
    <w:rsid w:val="009F1937"/>
    <w:rsid w:val="009F2CF7"/>
    <w:rsid w:val="009F4CB6"/>
    <w:rsid w:val="00A00C6C"/>
    <w:rsid w:val="00A0171C"/>
    <w:rsid w:val="00A02BEE"/>
    <w:rsid w:val="00A036A1"/>
    <w:rsid w:val="00A10F46"/>
    <w:rsid w:val="00A12FDA"/>
    <w:rsid w:val="00A26C25"/>
    <w:rsid w:val="00A27606"/>
    <w:rsid w:val="00A31835"/>
    <w:rsid w:val="00A3594C"/>
    <w:rsid w:val="00A35F2C"/>
    <w:rsid w:val="00A3644B"/>
    <w:rsid w:val="00A364A5"/>
    <w:rsid w:val="00A4130A"/>
    <w:rsid w:val="00A4482C"/>
    <w:rsid w:val="00A47E86"/>
    <w:rsid w:val="00A50E1C"/>
    <w:rsid w:val="00A5516F"/>
    <w:rsid w:val="00A55784"/>
    <w:rsid w:val="00A576EA"/>
    <w:rsid w:val="00A609B7"/>
    <w:rsid w:val="00A7402B"/>
    <w:rsid w:val="00A84B03"/>
    <w:rsid w:val="00A86C86"/>
    <w:rsid w:val="00A87506"/>
    <w:rsid w:val="00A95B20"/>
    <w:rsid w:val="00A963ED"/>
    <w:rsid w:val="00AA775B"/>
    <w:rsid w:val="00AB0640"/>
    <w:rsid w:val="00AB2834"/>
    <w:rsid w:val="00AB40BD"/>
    <w:rsid w:val="00AB5D2C"/>
    <w:rsid w:val="00AC09D5"/>
    <w:rsid w:val="00AC74A9"/>
    <w:rsid w:val="00AD30C3"/>
    <w:rsid w:val="00AD48AD"/>
    <w:rsid w:val="00AD6190"/>
    <w:rsid w:val="00AD74A1"/>
    <w:rsid w:val="00AD7BBF"/>
    <w:rsid w:val="00AD7DBD"/>
    <w:rsid w:val="00AE3994"/>
    <w:rsid w:val="00AE5677"/>
    <w:rsid w:val="00AE5B01"/>
    <w:rsid w:val="00AE5C91"/>
    <w:rsid w:val="00AE62DC"/>
    <w:rsid w:val="00B12FED"/>
    <w:rsid w:val="00B17444"/>
    <w:rsid w:val="00B31ABF"/>
    <w:rsid w:val="00B31EAA"/>
    <w:rsid w:val="00B36650"/>
    <w:rsid w:val="00B420F6"/>
    <w:rsid w:val="00B45E56"/>
    <w:rsid w:val="00B479CE"/>
    <w:rsid w:val="00B60656"/>
    <w:rsid w:val="00B66E23"/>
    <w:rsid w:val="00B70F14"/>
    <w:rsid w:val="00B726E2"/>
    <w:rsid w:val="00B72ED7"/>
    <w:rsid w:val="00B741A2"/>
    <w:rsid w:val="00B841AB"/>
    <w:rsid w:val="00B84E74"/>
    <w:rsid w:val="00B916FB"/>
    <w:rsid w:val="00B929EF"/>
    <w:rsid w:val="00B933D0"/>
    <w:rsid w:val="00B96454"/>
    <w:rsid w:val="00BA1830"/>
    <w:rsid w:val="00BA4CD1"/>
    <w:rsid w:val="00BA5E7E"/>
    <w:rsid w:val="00BA633A"/>
    <w:rsid w:val="00BB0388"/>
    <w:rsid w:val="00BB3B5C"/>
    <w:rsid w:val="00BB45CF"/>
    <w:rsid w:val="00BC1ADA"/>
    <w:rsid w:val="00BC3E47"/>
    <w:rsid w:val="00BC49B1"/>
    <w:rsid w:val="00BC7964"/>
    <w:rsid w:val="00BD2B47"/>
    <w:rsid w:val="00BD3935"/>
    <w:rsid w:val="00BD496A"/>
    <w:rsid w:val="00BD50D0"/>
    <w:rsid w:val="00BD78AC"/>
    <w:rsid w:val="00BE1EC3"/>
    <w:rsid w:val="00BE7443"/>
    <w:rsid w:val="00BE7D7A"/>
    <w:rsid w:val="00BF1076"/>
    <w:rsid w:val="00BF2042"/>
    <w:rsid w:val="00BF5FC9"/>
    <w:rsid w:val="00BF6F2D"/>
    <w:rsid w:val="00BF7E9C"/>
    <w:rsid w:val="00C010C4"/>
    <w:rsid w:val="00C04A44"/>
    <w:rsid w:val="00C11FA5"/>
    <w:rsid w:val="00C15F6B"/>
    <w:rsid w:val="00C17F58"/>
    <w:rsid w:val="00C20601"/>
    <w:rsid w:val="00C264C0"/>
    <w:rsid w:val="00C267B3"/>
    <w:rsid w:val="00C30D27"/>
    <w:rsid w:val="00C31EAD"/>
    <w:rsid w:val="00C32F69"/>
    <w:rsid w:val="00C34194"/>
    <w:rsid w:val="00C34BF5"/>
    <w:rsid w:val="00C35400"/>
    <w:rsid w:val="00C35A57"/>
    <w:rsid w:val="00C35BF1"/>
    <w:rsid w:val="00C4486E"/>
    <w:rsid w:val="00C45006"/>
    <w:rsid w:val="00C45848"/>
    <w:rsid w:val="00C50814"/>
    <w:rsid w:val="00C53A64"/>
    <w:rsid w:val="00C54B58"/>
    <w:rsid w:val="00C56CCE"/>
    <w:rsid w:val="00C60B17"/>
    <w:rsid w:val="00C62A5F"/>
    <w:rsid w:val="00C64F05"/>
    <w:rsid w:val="00C72C47"/>
    <w:rsid w:val="00C75AF3"/>
    <w:rsid w:val="00C761C3"/>
    <w:rsid w:val="00C83C5A"/>
    <w:rsid w:val="00C85193"/>
    <w:rsid w:val="00C85716"/>
    <w:rsid w:val="00C8762A"/>
    <w:rsid w:val="00C87B63"/>
    <w:rsid w:val="00C95791"/>
    <w:rsid w:val="00C96098"/>
    <w:rsid w:val="00C9662D"/>
    <w:rsid w:val="00C97BE3"/>
    <w:rsid w:val="00CA5DDB"/>
    <w:rsid w:val="00CA6A30"/>
    <w:rsid w:val="00CB1562"/>
    <w:rsid w:val="00CC170B"/>
    <w:rsid w:val="00CC1B16"/>
    <w:rsid w:val="00CD3376"/>
    <w:rsid w:val="00CD391C"/>
    <w:rsid w:val="00CE120A"/>
    <w:rsid w:val="00CE229D"/>
    <w:rsid w:val="00CE7ED3"/>
    <w:rsid w:val="00CF016B"/>
    <w:rsid w:val="00CF60A5"/>
    <w:rsid w:val="00D01675"/>
    <w:rsid w:val="00D02450"/>
    <w:rsid w:val="00D0289F"/>
    <w:rsid w:val="00D03E55"/>
    <w:rsid w:val="00D0600E"/>
    <w:rsid w:val="00D06053"/>
    <w:rsid w:val="00D103C6"/>
    <w:rsid w:val="00D11EE7"/>
    <w:rsid w:val="00D122CA"/>
    <w:rsid w:val="00D1315C"/>
    <w:rsid w:val="00D13269"/>
    <w:rsid w:val="00D13A50"/>
    <w:rsid w:val="00D1513A"/>
    <w:rsid w:val="00D17267"/>
    <w:rsid w:val="00D2674F"/>
    <w:rsid w:val="00D269C7"/>
    <w:rsid w:val="00D26FA7"/>
    <w:rsid w:val="00D27379"/>
    <w:rsid w:val="00D3118E"/>
    <w:rsid w:val="00D3462E"/>
    <w:rsid w:val="00D35C7F"/>
    <w:rsid w:val="00D3610D"/>
    <w:rsid w:val="00D40975"/>
    <w:rsid w:val="00D523C5"/>
    <w:rsid w:val="00D539DA"/>
    <w:rsid w:val="00D544EE"/>
    <w:rsid w:val="00D5621D"/>
    <w:rsid w:val="00D567E7"/>
    <w:rsid w:val="00D579B7"/>
    <w:rsid w:val="00D84A67"/>
    <w:rsid w:val="00D84B25"/>
    <w:rsid w:val="00D90108"/>
    <w:rsid w:val="00D907C0"/>
    <w:rsid w:val="00D91758"/>
    <w:rsid w:val="00D937DE"/>
    <w:rsid w:val="00D944C8"/>
    <w:rsid w:val="00DA6296"/>
    <w:rsid w:val="00DA7213"/>
    <w:rsid w:val="00DA773E"/>
    <w:rsid w:val="00DA7FD9"/>
    <w:rsid w:val="00DB6445"/>
    <w:rsid w:val="00DB7B9C"/>
    <w:rsid w:val="00DC1C2E"/>
    <w:rsid w:val="00DC4808"/>
    <w:rsid w:val="00DD0E93"/>
    <w:rsid w:val="00DD0F2C"/>
    <w:rsid w:val="00DE091E"/>
    <w:rsid w:val="00DE3625"/>
    <w:rsid w:val="00DE5DD4"/>
    <w:rsid w:val="00DF211A"/>
    <w:rsid w:val="00DF3906"/>
    <w:rsid w:val="00DF443F"/>
    <w:rsid w:val="00DF58CD"/>
    <w:rsid w:val="00E00BBC"/>
    <w:rsid w:val="00E04F12"/>
    <w:rsid w:val="00E1380C"/>
    <w:rsid w:val="00E16F94"/>
    <w:rsid w:val="00E172C4"/>
    <w:rsid w:val="00E21F88"/>
    <w:rsid w:val="00E2489A"/>
    <w:rsid w:val="00E24C15"/>
    <w:rsid w:val="00E262E5"/>
    <w:rsid w:val="00E35770"/>
    <w:rsid w:val="00E36D43"/>
    <w:rsid w:val="00E44FB7"/>
    <w:rsid w:val="00E458C3"/>
    <w:rsid w:val="00E5247C"/>
    <w:rsid w:val="00E53DEA"/>
    <w:rsid w:val="00E560CE"/>
    <w:rsid w:val="00E5650D"/>
    <w:rsid w:val="00E56BFB"/>
    <w:rsid w:val="00E56F47"/>
    <w:rsid w:val="00E615F9"/>
    <w:rsid w:val="00E61DB5"/>
    <w:rsid w:val="00E630C5"/>
    <w:rsid w:val="00E64D39"/>
    <w:rsid w:val="00E74616"/>
    <w:rsid w:val="00E7498A"/>
    <w:rsid w:val="00E816B8"/>
    <w:rsid w:val="00E8707B"/>
    <w:rsid w:val="00E9497D"/>
    <w:rsid w:val="00E96F5F"/>
    <w:rsid w:val="00E97831"/>
    <w:rsid w:val="00EA0933"/>
    <w:rsid w:val="00EA1B75"/>
    <w:rsid w:val="00EA26C4"/>
    <w:rsid w:val="00EA4FF1"/>
    <w:rsid w:val="00EA54DE"/>
    <w:rsid w:val="00EB2948"/>
    <w:rsid w:val="00EB4590"/>
    <w:rsid w:val="00EC2519"/>
    <w:rsid w:val="00EC40BB"/>
    <w:rsid w:val="00EC5572"/>
    <w:rsid w:val="00EC6D5B"/>
    <w:rsid w:val="00EC71EC"/>
    <w:rsid w:val="00ED01A4"/>
    <w:rsid w:val="00ED12B5"/>
    <w:rsid w:val="00ED6141"/>
    <w:rsid w:val="00ED7785"/>
    <w:rsid w:val="00EE2E38"/>
    <w:rsid w:val="00EE7F89"/>
    <w:rsid w:val="00EF0C1F"/>
    <w:rsid w:val="00EF4877"/>
    <w:rsid w:val="00EF611F"/>
    <w:rsid w:val="00EF61BB"/>
    <w:rsid w:val="00EF63AD"/>
    <w:rsid w:val="00EF7F70"/>
    <w:rsid w:val="00F123E9"/>
    <w:rsid w:val="00F12C3E"/>
    <w:rsid w:val="00F14390"/>
    <w:rsid w:val="00F20D1E"/>
    <w:rsid w:val="00F257B7"/>
    <w:rsid w:val="00F31EE7"/>
    <w:rsid w:val="00F32141"/>
    <w:rsid w:val="00F33839"/>
    <w:rsid w:val="00F33901"/>
    <w:rsid w:val="00F33C5A"/>
    <w:rsid w:val="00F40254"/>
    <w:rsid w:val="00F42202"/>
    <w:rsid w:val="00F43AE3"/>
    <w:rsid w:val="00F45885"/>
    <w:rsid w:val="00F51C09"/>
    <w:rsid w:val="00F51E10"/>
    <w:rsid w:val="00F52E1F"/>
    <w:rsid w:val="00F52F9E"/>
    <w:rsid w:val="00F53241"/>
    <w:rsid w:val="00F556B1"/>
    <w:rsid w:val="00F61892"/>
    <w:rsid w:val="00F6639C"/>
    <w:rsid w:val="00F70198"/>
    <w:rsid w:val="00F70CAD"/>
    <w:rsid w:val="00F71CB4"/>
    <w:rsid w:val="00F7338F"/>
    <w:rsid w:val="00F763DE"/>
    <w:rsid w:val="00F81F8B"/>
    <w:rsid w:val="00F82E8B"/>
    <w:rsid w:val="00F82E95"/>
    <w:rsid w:val="00F85E25"/>
    <w:rsid w:val="00F95ED0"/>
    <w:rsid w:val="00F96931"/>
    <w:rsid w:val="00FA4CBD"/>
    <w:rsid w:val="00FA5F9F"/>
    <w:rsid w:val="00FA68AE"/>
    <w:rsid w:val="00FB1D07"/>
    <w:rsid w:val="00FB36B4"/>
    <w:rsid w:val="00FB72A3"/>
    <w:rsid w:val="00FC08E4"/>
    <w:rsid w:val="00FC1C98"/>
    <w:rsid w:val="00FC28AB"/>
    <w:rsid w:val="00FC56AC"/>
    <w:rsid w:val="00FC5EB7"/>
    <w:rsid w:val="00FD0432"/>
    <w:rsid w:val="00FD0CFA"/>
    <w:rsid w:val="00FD2839"/>
    <w:rsid w:val="00FD75E2"/>
    <w:rsid w:val="00FE2801"/>
    <w:rsid w:val="00FE3800"/>
    <w:rsid w:val="00FE4EF2"/>
    <w:rsid w:val="00FF2267"/>
    <w:rsid w:val="00FF4BAE"/>
    <w:rsid w:val="00FF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D7BB82-1CD0-4107-89B0-0E46D6F5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BFB"/>
    <w:rPr>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E56BFB"/>
    <w:pPr>
      <w:jc w:val="center"/>
    </w:pPr>
    <w:rPr>
      <w:b/>
      <w:sz w:val="28"/>
      <w:lang w:val="uk-UA"/>
    </w:rPr>
  </w:style>
  <w:style w:type="paragraph" w:styleId="a4">
    <w:name w:val="Body Text"/>
    <w:basedOn w:val="a"/>
    <w:rsid w:val="00E56BFB"/>
    <w:pPr>
      <w:jc w:val="both"/>
    </w:pPr>
    <w:rPr>
      <w:b/>
      <w:bCs/>
      <w:sz w:val="28"/>
      <w:szCs w:val="24"/>
      <w:lang w:val="uk-UA"/>
    </w:rPr>
  </w:style>
  <w:style w:type="paragraph" w:styleId="a5">
    <w:name w:val="Body Text Indent"/>
    <w:basedOn w:val="a"/>
    <w:rsid w:val="00E56BFB"/>
    <w:pPr>
      <w:ind w:firstLine="720"/>
      <w:jc w:val="center"/>
    </w:pPr>
    <w:rPr>
      <w:sz w:val="24"/>
      <w:szCs w:val="24"/>
      <w:lang w:val="uk-UA"/>
    </w:rPr>
  </w:style>
  <w:style w:type="paragraph" w:styleId="2">
    <w:name w:val="Body Text Indent 2"/>
    <w:basedOn w:val="a"/>
    <w:rsid w:val="00E56BFB"/>
    <w:pPr>
      <w:spacing w:after="120" w:line="480" w:lineRule="auto"/>
      <w:ind w:left="283"/>
    </w:pPr>
  </w:style>
  <w:style w:type="table" w:styleId="a6">
    <w:name w:val="Table Grid"/>
    <w:basedOn w:val="a1"/>
    <w:rsid w:val="00E5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56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rvts9">
    <w:name w:val="rvts9"/>
    <w:basedOn w:val="a0"/>
    <w:rsid w:val="00E56BFB"/>
  </w:style>
  <w:style w:type="character" w:customStyle="1" w:styleId="highlightselected">
    <w:name w:val="highlight selected"/>
    <w:basedOn w:val="a0"/>
    <w:rsid w:val="00E56BFB"/>
  </w:style>
  <w:style w:type="character" w:customStyle="1" w:styleId="rvts0">
    <w:name w:val="rvts0"/>
    <w:basedOn w:val="a0"/>
    <w:rsid w:val="00E56BFB"/>
  </w:style>
  <w:style w:type="paragraph" w:styleId="3">
    <w:name w:val="Body Text Indent 3"/>
    <w:basedOn w:val="a"/>
    <w:rsid w:val="00E56BFB"/>
    <w:pPr>
      <w:spacing w:after="120"/>
      <w:ind w:left="283"/>
    </w:pPr>
    <w:rPr>
      <w:sz w:val="16"/>
      <w:szCs w:val="16"/>
    </w:rPr>
  </w:style>
  <w:style w:type="paragraph" w:styleId="a7">
    <w:name w:val="Normal (Web)"/>
    <w:basedOn w:val="a"/>
    <w:rsid w:val="00E56BFB"/>
    <w:pPr>
      <w:spacing w:before="100" w:beforeAutospacing="1" w:after="100" w:afterAutospacing="1"/>
    </w:pPr>
    <w:rPr>
      <w:sz w:val="24"/>
      <w:szCs w:val="24"/>
      <w:lang w:val="uk-UA" w:eastAsia="uk-UA"/>
    </w:rPr>
  </w:style>
  <w:style w:type="paragraph" w:styleId="a8">
    <w:name w:val="Plain Text"/>
    <w:basedOn w:val="a"/>
    <w:rsid w:val="00E56BFB"/>
    <w:pPr>
      <w:overflowPunct w:val="0"/>
      <w:autoSpaceDE w:val="0"/>
      <w:autoSpaceDN w:val="0"/>
      <w:adjustRightInd w:val="0"/>
    </w:pPr>
    <w:rPr>
      <w:rFonts w:ascii="Courier New" w:hAnsi="Courier New"/>
    </w:rPr>
  </w:style>
  <w:style w:type="character" w:customStyle="1" w:styleId="spelle">
    <w:name w:val="spelle"/>
    <w:basedOn w:val="a0"/>
    <w:rsid w:val="00E56BFB"/>
  </w:style>
  <w:style w:type="paragraph" w:styleId="a9">
    <w:name w:val="footer"/>
    <w:basedOn w:val="a"/>
    <w:rsid w:val="00E56BFB"/>
    <w:pPr>
      <w:tabs>
        <w:tab w:val="center" w:pos="4819"/>
        <w:tab w:val="right" w:pos="9639"/>
      </w:tabs>
    </w:pPr>
  </w:style>
  <w:style w:type="character" w:styleId="aa">
    <w:name w:val="page number"/>
    <w:basedOn w:val="a0"/>
    <w:rsid w:val="00E56BFB"/>
  </w:style>
  <w:style w:type="character" w:styleId="ab">
    <w:name w:val="Emphasis"/>
    <w:qFormat/>
    <w:rsid w:val="001C61FE"/>
    <w:rPr>
      <w:i/>
      <w:iCs/>
    </w:rPr>
  </w:style>
  <w:style w:type="character" w:styleId="ac">
    <w:name w:val="Hyperlink"/>
    <w:rsid w:val="001C61FE"/>
    <w:rPr>
      <w:color w:val="0000FF"/>
      <w:u w:val="single"/>
    </w:rPr>
  </w:style>
  <w:style w:type="paragraph" w:customStyle="1" w:styleId="Default">
    <w:name w:val="Default"/>
    <w:rsid w:val="00D40975"/>
    <w:pPr>
      <w:autoSpaceDE w:val="0"/>
      <w:autoSpaceDN w:val="0"/>
      <w:adjustRightInd w:val="0"/>
    </w:pPr>
    <w:rPr>
      <w:rFonts w:ascii="Calibri" w:hAnsi="Calibri" w:cs="Calibri"/>
      <w:color w:val="000000"/>
      <w:sz w:val="24"/>
      <w:szCs w:val="24"/>
      <w:lang w:val="uk-UA" w:eastAsia="uk-UA"/>
    </w:rPr>
  </w:style>
  <w:style w:type="paragraph" w:styleId="ad">
    <w:name w:val="header"/>
    <w:basedOn w:val="a"/>
    <w:rsid w:val="0011531E"/>
    <w:pPr>
      <w:tabs>
        <w:tab w:val="center" w:pos="4819"/>
        <w:tab w:val="right" w:pos="9639"/>
      </w:tabs>
    </w:pPr>
  </w:style>
  <w:style w:type="paragraph" w:customStyle="1" w:styleId="ae">
    <w:name w:val="Стиль Знак Знак"/>
    <w:basedOn w:val="a"/>
    <w:rsid w:val="00FD2839"/>
    <w:rPr>
      <w:rFonts w:ascii="Verdana" w:hAnsi="Verdana" w:cs="Verdana"/>
      <w:lang w:val="en-US" w:eastAsia="en-US"/>
    </w:rPr>
  </w:style>
  <w:style w:type="character" w:customStyle="1" w:styleId="rvts23">
    <w:name w:val="rvts23"/>
    <w:basedOn w:val="a0"/>
    <w:rsid w:val="003160E7"/>
  </w:style>
  <w:style w:type="character" w:customStyle="1" w:styleId="rvts15">
    <w:name w:val="rvts15"/>
    <w:basedOn w:val="a0"/>
    <w:rsid w:val="008F52D0"/>
  </w:style>
  <w:style w:type="paragraph" w:customStyle="1" w:styleId="20">
    <w:name w:val="Îñíîâíîé òåêñò 2"/>
    <w:basedOn w:val="a"/>
    <w:rsid w:val="00D02450"/>
    <w:pPr>
      <w:ind w:firstLine="567"/>
      <w:jc w:val="both"/>
    </w:pPr>
    <w:rPr>
      <w:sz w:val="24"/>
      <w:lang w:val="uk-UA"/>
    </w:rPr>
  </w:style>
  <w:style w:type="character" w:customStyle="1" w:styleId="longtext">
    <w:name w:val="long_text"/>
    <w:basedOn w:val="a0"/>
    <w:rsid w:val="00D02450"/>
  </w:style>
  <w:style w:type="paragraph" w:styleId="af">
    <w:name w:val="Balloon Text"/>
    <w:basedOn w:val="a"/>
    <w:link w:val="af0"/>
    <w:rsid w:val="00B841AB"/>
    <w:rPr>
      <w:rFonts w:ascii="Segoe UI" w:hAnsi="Segoe UI" w:cs="Segoe UI"/>
      <w:sz w:val="18"/>
      <w:szCs w:val="18"/>
    </w:rPr>
  </w:style>
  <w:style w:type="character" w:customStyle="1" w:styleId="af0">
    <w:name w:val="Текст выноски Знак"/>
    <w:link w:val="af"/>
    <w:rsid w:val="00B841AB"/>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27470">
      <w:bodyDiv w:val="1"/>
      <w:marLeft w:val="0"/>
      <w:marRight w:val="0"/>
      <w:marTop w:val="0"/>
      <w:marBottom w:val="0"/>
      <w:divBdr>
        <w:top w:val="none" w:sz="0" w:space="0" w:color="auto"/>
        <w:left w:val="none" w:sz="0" w:space="0" w:color="auto"/>
        <w:bottom w:val="none" w:sz="0" w:space="0" w:color="auto"/>
        <w:right w:val="none" w:sz="0" w:space="0" w:color="auto"/>
      </w:divBdr>
    </w:div>
    <w:div w:id="725183282">
      <w:bodyDiv w:val="1"/>
      <w:marLeft w:val="0"/>
      <w:marRight w:val="0"/>
      <w:marTop w:val="0"/>
      <w:marBottom w:val="0"/>
      <w:divBdr>
        <w:top w:val="none" w:sz="0" w:space="0" w:color="auto"/>
        <w:left w:val="none" w:sz="0" w:space="0" w:color="auto"/>
        <w:bottom w:val="none" w:sz="0" w:space="0" w:color="auto"/>
        <w:right w:val="none" w:sz="0" w:space="0" w:color="auto"/>
      </w:divBdr>
      <w:divsChild>
        <w:div w:id="1292134575">
          <w:marLeft w:val="0"/>
          <w:marRight w:val="0"/>
          <w:marTop w:val="0"/>
          <w:marBottom w:val="0"/>
          <w:divBdr>
            <w:top w:val="none" w:sz="0" w:space="0" w:color="auto"/>
            <w:left w:val="none" w:sz="0" w:space="0" w:color="auto"/>
            <w:bottom w:val="none" w:sz="0" w:space="0" w:color="auto"/>
            <w:right w:val="none" w:sz="0" w:space="0" w:color="auto"/>
          </w:divBdr>
        </w:div>
      </w:divsChild>
    </w:div>
    <w:div w:id="14366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__________Microsoft_Excel.xls"/><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4BC1-0E62-4E95-B323-0931A054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4832</Words>
  <Characters>27545</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 впливу регуляторного акта</vt:lpstr>
      <vt:lpstr>Аналіз впливу регуляторного акта</vt:lpstr>
    </vt:vector>
  </TitlesOfParts>
  <Company>SSMSC</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впливу регуляторного акта</dc:title>
  <dc:subject/>
  <dc:creator>kozlovska</dc:creator>
  <cp:keywords/>
  <dc:description/>
  <cp:lastModifiedBy>Руслан Кисляк</cp:lastModifiedBy>
  <cp:revision>3</cp:revision>
  <cp:lastPrinted>2019-04-16T11:56:00Z</cp:lastPrinted>
  <dcterms:created xsi:type="dcterms:W3CDTF">2019-04-23T07:24:00Z</dcterms:created>
  <dcterms:modified xsi:type="dcterms:W3CDTF">2019-04-23T07:24:00Z</dcterms:modified>
</cp:coreProperties>
</file>