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7DB" w:rsidRPr="00F5021B" w:rsidRDefault="003C47DB" w:rsidP="003C47DB">
      <w:pPr>
        <w:jc w:val="right"/>
        <w:rPr>
          <w:b/>
          <w:sz w:val="28"/>
          <w:szCs w:val="28"/>
        </w:rPr>
      </w:pPr>
      <w:bookmarkStart w:id="0" w:name="_GoBack"/>
      <w:bookmarkEnd w:id="0"/>
      <w:r w:rsidRPr="00F5021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4.75pt;margin-top:0;width:58.5pt;height:69.75pt;z-index:2" fillcolor="window">
            <v:imagedata r:id="rId7" o:title=""/>
            <w10:wrap type="square" side="right"/>
          </v:shape>
        </w:pict>
      </w:r>
      <w:r w:rsidRPr="00F5021B">
        <w:rPr>
          <w:b/>
          <w:sz w:val="28"/>
          <w:szCs w:val="28"/>
        </w:rPr>
        <w:t xml:space="preserve"> </w:t>
      </w:r>
      <w:r w:rsidRPr="00F5021B">
        <w:rPr>
          <w:b/>
          <w:sz w:val="28"/>
          <w:szCs w:val="28"/>
        </w:rPr>
        <w:br w:type="textWrapping" w:clear="all"/>
      </w:r>
    </w:p>
    <w:p w:rsidR="003C47DB" w:rsidRPr="00F5021B" w:rsidRDefault="003C47DB" w:rsidP="003C47DB">
      <w:pPr>
        <w:jc w:val="center"/>
        <w:rPr>
          <w:b/>
          <w:sz w:val="28"/>
          <w:szCs w:val="28"/>
        </w:rPr>
      </w:pPr>
    </w:p>
    <w:p w:rsidR="003C47DB" w:rsidRPr="00F5021B" w:rsidRDefault="003C47DB" w:rsidP="003C47DB">
      <w:pPr>
        <w:pStyle w:val="1"/>
        <w:rPr>
          <w:szCs w:val="28"/>
        </w:rPr>
      </w:pPr>
      <w:r w:rsidRPr="00F5021B">
        <w:rPr>
          <w:szCs w:val="28"/>
        </w:rPr>
        <w:t>НАЦІОНАЛЬНА КОМІСІЯ З ЦІННИХ ПАПЕРІВ</w:t>
      </w:r>
    </w:p>
    <w:p w:rsidR="003C47DB" w:rsidRPr="00F5021B" w:rsidRDefault="003C47DB" w:rsidP="003C47DB">
      <w:pPr>
        <w:pStyle w:val="caaieiaie1"/>
        <w:jc w:val="center"/>
        <w:rPr>
          <w:b/>
          <w:sz w:val="28"/>
          <w:szCs w:val="28"/>
          <w:lang w:val="uk-UA"/>
        </w:rPr>
      </w:pPr>
      <w:r w:rsidRPr="00F5021B">
        <w:rPr>
          <w:b/>
          <w:sz w:val="28"/>
          <w:szCs w:val="28"/>
          <w:lang w:val="uk-UA"/>
        </w:rPr>
        <w:t>ТА ФОНДОВОГО РИНКУ</w:t>
      </w:r>
    </w:p>
    <w:p w:rsidR="003C47DB" w:rsidRPr="00F5021B" w:rsidRDefault="003C47DB" w:rsidP="003C47DB">
      <w:pPr>
        <w:jc w:val="center"/>
        <w:rPr>
          <w:b/>
          <w:sz w:val="28"/>
          <w:szCs w:val="28"/>
        </w:rPr>
      </w:pPr>
      <w:r w:rsidRPr="00F5021B">
        <w:pict>
          <v:shape id="_x0000_s1026" style="position:absolute;left:0;text-align:left;margin-left:27pt;margin-top:.85pt;width:424.8pt;height:7.2pt;z-index:1;mso-position-horizontal:absolute;mso-position-horizontal-relative:text;mso-position-vertical:absolute;mso-position-vertical-relative:text" coordsize="20000,20000" path="m,l,20000r20000,l20000,,,xe">
            <v:fill r:id="rId8" o:title="" type="pattern"/>
            <v:path arrowok="t"/>
          </v:shape>
        </w:pict>
      </w:r>
    </w:p>
    <w:p w:rsidR="003C47DB" w:rsidRPr="00F5021B" w:rsidRDefault="003C47DB" w:rsidP="003C47DB">
      <w:pPr>
        <w:jc w:val="center"/>
        <w:rPr>
          <w:b/>
          <w:sz w:val="28"/>
          <w:szCs w:val="28"/>
        </w:rPr>
      </w:pPr>
      <w:r w:rsidRPr="00F5021B">
        <w:rPr>
          <w:b/>
          <w:sz w:val="28"/>
          <w:szCs w:val="28"/>
        </w:rPr>
        <w:t>Р І Ш Е Н Н Я</w:t>
      </w:r>
    </w:p>
    <w:p w:rsidR="003C47DB" w:rsidRPr="00F5021B" w:rsidRDefault="003C47DB" w:rsidP="003C47DB">
      <w:pPr>
        <w:jc w:val="both"/>
        <w:rPr>
          <w:sz w:val="28"/>
          <w:szCs w:val="28"/>
        </w:rPr>
      </w:pPr>
    </w:p>
    <w:p w:rsidR="003C47DB" w:rsidRPr="00F5021B" w:rsidRDefault="00106CDA" w:rsidP="003C47DB">
      <w:pPr>
        <w:jc w:val="both"/>
        <w:rPr>
          <w:sz w:val="28"/>
          <w:szCs w:val="28"/>
        </w:rPr>
      </w:pPr>
      <w:r w:rsidRPr="00F5021B">
        <w:rPr>
          <w:sz w:val="28"/>
          <w:szCs w:val="28"/>
        </w:rPr>
        <w:t xml:space="preserve">    _____________</w:t>
      </w:r>
      <w:r w:rsidR="00B26A87" w:rsidRPr="00F5021B">
        <w:rPr>
          <w:sz w:val="28"/>
          <w:szCs w:val="28"/>
        </w:rPr>
        <w:t xml:space="preserve"> 201</w:t>
      </w:r>
      <w:r w:rsidR="002201AA" w:rsidRPr="00F5021B">
        <w:rPr>
          <w:sz w:val="28"/>
          <w:szCs w:val="28"/>
        </w:rPr>
        <w:t>9</w:t>
      </w:r>
      <w:r w:rsidR="002164C7">
        <w:rPr>
          <w:sz w:val="28"/>
          <w:szCs w:val="28"/>
        </w:rPr>
        <w:t xml:space="preserve">                      м. Київ</w:t>
      </w:r>
      <w:r w:rsidR="002164C7">
        <w:rPr>
          <w:sz w:val="28"/>
          <w:szCs w:val="28"/>
        </w:rPr>
        <w:tab/>
      </w:r>
      <w:r w:rsidR="004F43F9" w:rsidRPr="00F5021B">
        <w:rPr>
          <w:sz w:val="28"/>
          <w:szCs w:val="28"/>
        </w:rPr>
        <w:t xml:space="preserve">  </w:t>
      </w:r>
      <w:r w:rsidR="003C47DB" w:rsidRPr="00F5021B">
        <w:rPr>
          <w:sz w:val="28"/>
          <w:szCs w:val="28"/>
        </w:rPr>
        <w:t xml:space="preserve">         </w:t>
      </w:r>
      <w:r w:rsidR="003C47DB" w:rsidRPr="00F5021B">
        <w:rPr>
          <w:sz w:val="28"/>
          <w:szCs w:val="28"/>
        </w:rPr>
        <w:tab/>
        <w:t xml:space="preserve">№ </w:t>
      </w:r>
      <w:r w:rsidR="00674B24" w:rsidRPr="00F5021B">
        <w:rPr>
          <w:sz w:val="28"/>
          <w:szCs w:val="28"/>
        </w:rPr>
        <w:t>_______</w:t>
      </w:r>
    </w:p>
    <w:p w:rsidR="004F43F9" w:rsidRPr="00F5021B" w:rsidRDefault="004F43F9" w:rsidP="003C47DB">
      <w:pPr>
        <w:jc w:val="both"/>
        <w:rPr>
          <w:b/>
          <w:sz w:val="28"/>
          <w:szCs w:val="28"/>
        </w:rPr>
      </w:pPr>
    </w:p>
    <w:p w:rsidR="00E00D53" w:rsidRPr="00F5021B" w:rsidRDefault="00E00D53" w:rsidP="003C47DB">
      <w:pPr>
        <w:jc w:val="both"/>
        <w:rPr>
          <w:b/>
          <w:sz w:val="28"/>
          <w:szCs w:val="28"/>
        </w:rPr>
      </w:pPr>
    </w:p>
    <w:p w:rsidR="00B64EA4" w:rsidRPr="00F5021B" w:rsidRDefault="00753130" w:rsidP="009A5AD4">
      <w:pPr>
        <w:pStyle w:val="a3"/>
        <w:tabs>
          <w:tab w:val="left" w:pos="0"/>
        </w:tabs>
        <w:ind w:right="4392"/>
        <w:rPr>
          <w:szCs w:val="28"/>
        </w:rPr>
      </w:pPr>
      <w:r w:rsidRPr="00F5021B">
        <w:rPr>
          <w:szCs w:val="28"/>
        </w:rPr>
        <w:t xml:space="preserve">Про </w:t>
      </w:r>
      <w:r w:rsidR="002201AA" w:rsidRPr="00F5021B">
        <w:rPr>
          <w:szCs w:val="28"/>
        </w:rPr>
        <w:t>внесення змін до Положення про порядок</w:t>
      </w:r>
      <w:r w:rsidR="009A5AD4" w:rsidRPr="00F5021B">
        <w:rPr>
          <w:szCs w:val="28"/>
        </w:rPr>
        <w:t xml:space="preserve"> </w:t>
      </w:r>
      <w:r w:rsidR="002201AA" w:rsidRPr="00F5021B">
        <w:rPr>
          <w:szCs w:val="28"/>
        </w:rPr>
        <w:t>складання адміністративних даних щодо</w:t>
      </w:r>
      <w:r w:rsidR="009A5AD4" w:rsidRPr="00F5021B">
        <w:rPr>
          <w:szCs w:val="28"/>
        </w:rPr>
        <w:t xml:space="preserve"> </w:t>
      </w:r>
      <w:r w:rsidR="002201AA" w:rsidRPr="00F5021B">
        <w:rPr>
          <w:szCs w:val="28"/>
        </w:rPr>
        <w:t>здійснення діяльності організаторами торгівлі,</w:t>
      </w:r>
      <w:r w:rsidR="009A5AD4" w:rsidRPr="00F5021B">
        <w:rPr>
          <w:szCs w:val="28"/>
        </w:rPr>
        <w:t xml:space="preserve"> </w:t>
      </w:r>
      <w:r w:rsidR="002201AA" w:rsidRPr="00F5021B">
        <w:rPr>
          <w:szCs w:val="28"/>
        </w:rPr>
        <w:t>оприлюднення інформації та подання відповідних документів до Національної комісії</w:t>
      </w:r>
      <w:r w:rsidR="009A5AD4" w:rsidRPr="00F5021B">
        <w:rPr>
          <w:szCs w:val="28"/>
        </w:rPr>
        <w:t xml:space="preserve"> </w:t>
      </w:r>
      <w:r w:rsidR="002201AA" w:rsidRPr="00F5021B">
        <w:rPr>
          <w:szCs w:val="28"/>
        </w:rPr>
        <w:t>з цінних паперів та фондового ринку</w:t>
      </w:r>
    </w:p>
    <w:p w:rsidR="00F5464C" w:rsidRPr="00F5021B" w:rsidRDefault="00F5464C" w:rsidP="00F5464C">
      <w:pPr>
        <w:pStyle w:val="a3"/>
        <w:ind w:right="5139" w:firstLine="720"/>
        <w:rPr>
          <w:szCs w:val="28"/>
        </w:rPr>
      </w:pPr>
    </w:p>
    <w:p w:rsidR="00F5464C" w:rsidRPr="00F5021B" w:rsidRDefault="00F5464C" w:rsidP="00F5464C">
      <w:pPr>
        <w:pStyle w:val="a5"/>
        <w:overflowPunct w:val="0"/>
        <w:autoSpaceDE w:val="0"/>
        <w:autoSpaceDN w:val="0"/>
        <w:adjustRightInd w:val="0"/>
        <w:ind w:firstLine="708"/>
        <w:rPr>
          <w:szCs w:val="28"/>
        </w:rPr>
      </w:pPr>
    </w:p>
    <w:p w:rsidR="00085154" w:rsidRPr="00F5021B" w:rsidRDefault="006D4741" w:rsidP="00085154">
      <w:pPr>
        <w:pStyle w:val="a6"/>
        <w:ind w:firstLine="720"/>
        <w:jc w:val="both"/>
        <w:rPr>
          <w:b w:val="0"/>
          <w:lang w:val="uk-UA"/>
        </w:rPr>
      </w:pPr>
      <w:r w:rsidRPr="00F5021B">
        <w:rPr>
          <w:b w:val="0"/>
          <w:lang w:val="uk-UA"/>
        </w:rPr>
        <w:t>Відповідно до</w:t>
      </w:r>
      <w:r w:rsidR="00414921" w:rsidRPr="00F5021B">
        <w:rPr>
          <w:b w:val="0"/>
          <w:lang w:val="uk-UA"/>
        </w:rPr>
        <w:t xml:space="preserve"> абзацу другого статті 3, пункт</w:t>
      </w:r>
      <w:r w:rsidR="00DE4B30" w:rsidRPr="00F5021B">
        <w:rPr>
          <w:b w:val="0"/>
          <w:lang w:val="uk-UA"/>
        </w:rPr>
        <w:t>у</w:t>
      </w:r>
      <w:r w:rsidRPr="00F5021B">
        <w:rPr>
          <w:b w:val="0"/>
          <w:lang w:val="uk-UA"/>
        </w:rPr>
        <w:t xml:space="preserve"> 1</w:t>
      </w:r>
      <w:r w:rsidR="00DE4B30" w:rsidRPr="00F5021B">
        <w:rPr>
          <w:b w:val="0"/>
          <w:lang w:val="uk-UA"/>
        </w:rPr>
        <w:t xml:space="preserve"> частини першої</w:t>
      </w:r>
      <w:r w:rsidR="00414921" w:rsidRPr="00F5021B">
        <w:rPr>
          <w:b w:val="0"/>
          <w:lang w:val="uk-UA"/>
        </w:rPr>
        <w:t xml:space="preserve">, </w:t>
      </w:r>
      <w:r w:rsidR="00DE4B30" w:rsidRPr="00F5021B">
        <w:rPr>
          <w:b w:val="0"/>
          <w:lang w:val="uk-UA"/>
        </w:rPr>
        <w:t xml:space="preserve">пункту </w:t>
      </w:r>
      <w:r w:rsidR="00414921" w:rsidRPr="00F5021B">
        <w:rPr>
          <w:b w:val="0"/>
          <w:lang w:val="uk-UA"/>
        </w:rPr>
        <w:t>10</w:t>
      </w:r>
      <w:r w:rsidRPr="00F5021B">
        <w:rPr>
          <w:b w:val="0"/>
          <w:lang w:val="uk-UA"/>
        </w:rPr>
        <w:t xml:space="preserve"> </w:t>
      </w:r>
      <w:r w:rsidR="00DE4B30" w:rsidRPr="00F5021B">
        <w:rPr>
          <w:b w:val="0"/>
          <w:lang w:val="uk-UA"/>
        </w:rPr>
        <w:t xml:space="preserve">частини другої </w:t>
      </w:r>
      <w:r w:rsidRPr="00F5021B">
        <w:rPr>
          <w:b w:val="0"/>
          <w:lang w:val="uk-UA"/>
        </w:rPr>
        <w:t>статті 7, пункту 13 статті 8 Закону України «Про державне регулювання ринку цінних паперів в Україні», статті 23 Закону України «Про цінні папери та фондовий ринок»</w:t>
      </w:r>
    </w:p>
    <w:p w:rsidR="005432D5" w:rsidRPr="00F5021B" w:rsidRDefault="005432D5" w:rsidP="00016EE9">
      <w:pPr>
        <w:pStyle w:val="a6"/>
        <w:ind w:firstLine="720"/>
        <w:jc w:val="both"/>
        <w:rPr>
          <w:lang w:val="uk-UA"/>
        </w:rPr>
      </w:pPr>
    </w:p>
    <w:p w:rsidR="00F5464C" w:rsidRPr="00F5021B" w:rsidRDefault="00F5464C" w:rsidP="00C10DB0">
      <w:pPr>
        <w:pStyle w:val="a3"/>
        <w:ind w:firstLine="720"/>
        <w:rPr>
          <w:szCs w:val="28"/>
        </w:rPr>
      </w:pPr>
      <w:r w:rsidRPr="00F5021B">
        <w:t>Національна  комісія з цінних паперів та фондового ринку</w:t>
      </w:r>
    </w:p>
    <w:p w:rsidR="00F5464C" w:rsidRPr="00F5021B" w:rsidRDefault="00F5464C" w:rsidP="00F5464C">
      <w:pPr>
        <w:rPr>
          <w:sz w:val="28"/>
          <w:szCs w:val="28"/>
        </w:rPr>
      </w:pPr>
    </w:p>
    <w:p w:rsidR="00F5464C" w:rsidRPr="00F5021B" w:rsidRDefault="00F5464C" w:rsidP="00F5464C">
      <w:pPr>
        <w:rPr>
          <w:sz w:val="28"/>
          <w:szCs w:val="28"/>
        </w:rPr>
      </w:pPr>
    </w:p>
    <w:p w:rsidR="00F5464C" w:rsidRPr="00F5021B" w:rsidRDefault="00F5464C" w:rsidP="00F5464C">
      <w:pPr>
        <w:pStyle w:val="20"/>
        <w:rPr>
          <w:b/>
          <w:szCs w:val="28"/>
          <w:lang w:val="uk-UA"/>
        </w:rPr>
      </w:pPr>
      <w:r w:rsidRPr="00F5021B">
        <w:rPr>
          <w:b/>
          <w:szCs w:val="28"/>
          <w:lang w:val="uk-UA"/>
        </w:rPr>
        <w:t>ВИРІШИЛА:</w:t>
      </w:r>
    </w:p>
    <w:p w:rsidR="00E25DD5" w:rsidRPr="00F5021B" w:rsidRDefault="00E25DD5" w:rsidP="00F5464C">
      <w:pPr>
        <w:pStyle w:val="a3"/>
        <w:ind w:right="-104" w:firstLine="708"/>
        <w:rPr>
          <w:szCs w:val="28"/>
        </w:rPr>
      </w:pPr>
    </w:p>
    <w:p w:rsidR="00391A5C" w:rsidRPr="00F5021B" w:rsidRDefault="002201AA" w:rsidP="007032EE">
      <w:pPr>
        <w:pStyle w:val="a3"/>
        <w:tabs>
          <w:tab w:val="left" w:pos="5040"/>
          <w:tab w:val="left" w:pos="5580"/>
        </w:tabs>
        <w:rPr>
          <w:szCs w:val="28"/>
        </w:rPr>
      </w:pPr>
      <w:r w:rsidRPr="00F5021B">
        <w:rPr>
          <w:szCs w:val="28"/>
        </w:rPr>
        <w:t xml:space="preserve">         </w:t>
      </w:r>
      <w:r w:rsidR="00880C73" w:rsidRPr="00F5021B">
        <w:rPr>
          <w:szCs w:val="28"/>
        </w:rPr>
        <w:t xml:space="preserve"> </w:t>
      </w:r>
      <w:r w:rsidRPr="00F5021B">
        <w:rPr>
          <w:szCs w:val="28"/>
        </w:rPr>
        <w:t xml:space="preserve"> 1. Унести до 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 затвердженого рішенням Національної комісії з цінних паперів та фондового ринку від 25 вересня 2012 року </w:t>
      </w:r>
      <w:r w:rsidR="00512309">
        <w:rPr>
          <w:szCs w:val="28"/>
        </w:rPr>
        <w:t xml:space="preserve">       </w:t>
      </w:r>
      <w:r w:rsidRPr="00F5021B">
        <w:rPr>
          <w:szCs w:val="28"/>
        </w:rPr>
        <w:t>№ 1284, зареєстрованого в Міністерстві юстиції України 16 жовтня 2012 року за № 1738/22050 (зі змінами), такі зміни:</w:t>
      </w:r>
    </w:p>
    <w:p w:rsidR="003557A8" w:rsidRPr="00F5021B" w:rsidRDefault="003557A8" w:rsidP="007032EE">
      <w:pPr>
        <w:pStyle w:val="a3"/>
        <w:tabs>
          <w:tab w:val="left" w:pos="5040"/>
          <w:tab w:val="left" w:pos="5580"/>
        </w:tabs>
        <w:ind w:firstLine="708"/>
        <w:rPr>
          <w:szCs w:val="28"/>
        </w:rPr>
      </w:pPr>
    </w:p>
    <w:p w:rsidR="003557A8" w:rsidRPr="00F5021B" w:rsidRDefault="00245A9D" w:rsidP="007032EE">
      <w:pPr>
        <w:pStyle w:val="a3"/>
        <w:tabs>
          <w:tab w:val="left" w:pos="5040"/>
          <w:tab w:val="left" w:pos="5580"/>
        </w:tabs>
        <w:ind w:firstLine="708"/>
        <w:rPr>
          <w:szCs w:val="28"/>
        </w:rPr>
      </w:pPr>
      <w:r w:rsidRPr="00F5021B">
        <w:rPr>
          <w:szCs w:val="28"/>
        </w:rPr>
        <w:t xml:space="preserve">1) </w:t>
      </w:r>
      <w:r w:rsidR="003557A8" w:rsidRPr="00F5021B">
        <w:rPr>
          <w:szCs w:val="28"/>
        </w:rPr>
        <w:t>абзац другий пункту 9 розділу I</w:t>
      </w:r>
      <w:r w:rsidR="00461CF7" w:rsidRPr="00F5021B">
        <w:rPr>
          <w:szCs w:val="28"/>
        </w:rPr>
        <w:t xml:space="preserve">  вик</w:t>
      </w:r>
      <w:r w:rsidR="005C3BAB" w:rsidRPr="00F5021B">
        <w:rPr>
          <w:szCs w:val="28"/>
        </w:rPr>
        <w:t>лючити;</w:t>
      </w:r>
    </w:p>
    <w:p w:rsidR="00DE4B30" w:rsidRDefault="00DE4B30" w:rsidP="007032EE">
      <w:pPr>
        <w:pStyle w:val="a3"/>
        <w:tabs>
          <w:tab w:val="left" w:pos="5040"/>
          <w:tab w:val="left" w:pos="5580"/>
        </w:tabs>
        <w:ind w:firstLine="708"/>
        <w:rPr>
          <w:szCs w:val="28"/>
        </w:rPr>
      </w:pPr>
    </w:p>
    <w:p w:rsidR="005D2949" w:rsidRDefault="005D2949" w:rsidP="005D2949">
      <w:pPr>
        <w:pStyle w:val="a3"/>
        <w:tabs>
          <w:tab w:val="left" w:pos="5040"/>
          <w:tab w:val="left" w:pos="5580"/>
        </w:tabs>
        <w:ind w:firstLine="708"/>
        <w:rPr>
          <w:szCs w:val="28"/>
        </w:rPr>
      </w:pPr>
      <w:r>
        <w:rPr>
          <w:szCs w:val="28"/>
        </w:rPr>
        <w:lastRenderedPageBreak/>
        <w:t xml:space="preserve">2) </w:t>
      </w:r>
      <w:r w:rsidRPr="00F5021B">
        <w:rPr>
          <w:szCs w:val="28"/>
        </w:rPr>
        <w:t xml:space="preserve">у розділі ІІІ: </w:t>
      </w:r>
    </w:p>
    <w:p w:rsidR="00A66021" w:rsidRPr="00F5021B" w:rsidRDefault="00A66021" w:rsidP="00A66021">
      <w:pPr>
        <w:pStyle w:val="a3"/>
        <w:tabs>
          <w:tab w:val="left" w:pos="5040"/>
          <w:tab w:val="left" w:pos="5580"/>
        </w:tabs>
        <w:ind w:firstLine="709"/>
        <w:rPr>
          <w:szCs w:val="28"/>
        </w:rPr>
      </w:pPr>
      <w:r w:rsidRPr="00F5021B">
        <w:rPr>
          <w:szCs w:val="28"/>
        </w:rPr>
        <w:t xml:space="preserve">доповнити </w:t>
      </w:r>
      <w:r>
        <w:rPr>
          <w:szCs w:val="28"/>
        </w:rPr>
        <w:t xml:space="preserve">пункт 4 </w:t>
      </w:r>
      <w:r w:rsidRPr="00F5021B">
        <w:rPr>
          <w:szCs w:val="28"/>
        </w:rPr>
        <w:t>глав</w:t>
      </w:r>
      <w:r>
        <w:rPr>
          <w:szCs w:val="28"/>
        </w:rPr>
        <w:t>и</w:t>
      </w:r>
      <w:r w:rsidRPr="00F5021B">
        <w:rPr>
          <w:szCs w:val="28"/>
        </w:rPr>
        <w:t xml:space="preserve"> </w:t>
      </w:r>
      <w:r>
        <w:rPr>
          <w:szCs w:val="28"/>
        </w:rPr>
        <w:t xml:space="preserve">1 </w:t>
      </w:r>
      <w:r w:rsidRPr="00F5021B">
        <w:rPr>
          <w:szCs w:val="28"/>
        </w:rPr>
        <w:t xml:space="preserve">новим </w:t>
      </w:r>
      <w:r>
        <w:rPr>
          <w:szCs w:val="28"/>
        </w:rPr>
        <w:t>під</w:t>
      </w:r>
      <w:r w:rsidRPr="00F5021B">
        <w:rPr>
          <w:szCs w:val="28"/>
        </w:rPr>
        <w:t xml:space="preserve">пунктом </w:t>
      </w:r>
      <w:r>
        <w:rPr>
          <w:szCs w:val="28"/>
        </w:rPr>
        <w:t>4.</w:t>
      </w:r>
      <w:r w:rsidR="00512309">
        <w:rPr>
          <w:szCs w:val="28"/>
        </w:rPr>
        <w:t>5</w:t>
      </w:r>
      <w:r w:rsidRPr="00F5021B">
        <w:rPr>
          <w:szCs w:val="28"/>
        </w:rPr>
        <w:t xml:space="preserve"> такого змісту:</w:t>
      </w:r>
    </w:p>
    <w:p w:rsidR="00A66021" w:rsidRPr="00F5021B" w:rsidRDefault="00A66021" w:rsidP="00A66021">
      <w:pPr>
        <w:pStyle w:val="a3"/>
        <w:tabs>
          <w:tab w:val="left" w:pos="5040"/>
          <w:tab w:val="left" w:pos="5580"/>
        </w:tabs>
        <w:ind w:firstLine="708"/>
        <w:rPr>
          <w:szCs w:val="28"/>
        </w:rPr>
      </w:pPr>
      <w:r w:rsidRPr="00F5021B">
        <w:rPr>
          <w:szCs w:val="28"/>
        </w:rPr>
        <w:t>«4.</w:t>
      </w:r>
      <w:r w:rsidR="00512309">
        <w:rPr>
          <w:szCs w:val="28"/>
        </w:rPr>
        <w:t>5</w:t>
      </w:r>
      <w:r w:rsidRPr="00F5021B">
        <w:rPr>
          <w:szCs w:val="28"/>
        </w:rPr>
        <w:t xml:space="preserve"> </w:t>
      </w:r>
      <w:r>
        <w:rPr>
          <w:szCs w:val="28"/>
        </w:rPr>
        <w:t xml:space="preserve">Довідки </w:t>
      </w:r>
      <w:r w:rsidRPr="00A66021">
        <w:rPr>
          <w:szCs w:val="28"/>
        </w:rPr>
        <w:t xml:space="preserve">про подані безадресні заявки на продаж цінних паперів, </w:t>
      </w:r>
      <w:r w:rsidRPr="00A66021">
        <w:rPr>
          <w:color w:val="000000"/>
          <w:szCs w:val="28"/>
        </w:rPr>
        <w:t xml:space="preserve">щодо яких не здійснювалася публічна пропозиція (крім цінних паперів емітентів, які вважаються такими, що здійснили публічну пропозицію відповідно до закону), </w:t>
      </w:r>
      <w:r w:rsidRPr="00A66021">
        <w:rPr>
          <w:szCs w:val="28"/>
        </w:rPr>
        <w:t>торговцями цінними паперами, які діяли в інтересах клієнтів, яким надано прямий електронний доступ до біржових торгів та які не розкрили інформацію про себе в обсязі, визначеному Комісією</w:t>
      </w:r>
      <w:r w:rsidRPr="00F5021B">
        <w:rPr>
          <w:szCs w:val="28"/>
        </w:rPr>
        <w:t xml:space="preserve"> (додаток 1</w:t>
      </w:r>
      <w:r>
        <w:rPr>
          <w:szCs w:val="28"/>
        </w:rPr>
        <w:t>5</w:t>
      </w:r>
      <w:r w:rsidRPr="00F5021B">
        <w:rPr>
          <w:szCs w:val="28"/>
        </w:rPr>
        <w:t xml:space="preserve"> до цього П</w:t>
      </w:r>
      <w:r>
        <w:rPr>
          <w:szCs w:val="28"/>
        </w:rPr>
        <w:t>оложення).»;</w:t>
      </w:r>
    </w:p>
    <w:p w:rsidR="005D2949" w:rsidRPr="00F5021B" w:rsidRDefault="005D2949" w:rsidP="005D2949">
      <w:pPr>
        <w:pStyle w:val="a3"/>
        <w:tabs>
          <w:tab w:val="left" w:pos="5040"/>
          <w:tab w:val="left" w:pos="5580"/>
        </w:tabs>
        <w:rPr>
          <w:szCs w:val="28"/>
        </w:rPr>
      </w:pPr>
      <w:r w:rsidRPr="00F5021B">
        <w:rPr>
          <w:szCs w:val="28"/>
        </w:rPr>
        <w:t xml:space="preserve">           доповнити </w:t>
      </w:r>
      <w:r w:rsidR="00A66021">
        <w:rPr>
          <w:szCs w:val="28"/>
        </w:rPr>
        <w:t xml:space="preserve">пункт 2 </w:t>
      </w:r>
      <w:r w:rsidRPr="00F5021B">
        <w:rPr>
          <w:szCs w:val="28"/>
        </w:rPr>
        <w:t>глав</w:t>
      </w:r>
      <w:r w:rsidR="00A66021">
        <w:rPr>
          <w:szCs w:val="28"/>
        </w:rPr>
        <w:t>и</w:t>
      </w:r>
      <w:r w:rsidR="00A66021" w:rsidRPr="00F5021B">
        <w:rPr>
          <w:szCs w:val="28"/>
        </w:rPr>
        <w:t xml:space="preserve"> 2</w:t>
      </w:r>
      <w:r w:rsidR="00A66021">
        <w:rPr>
          <w:szCs w:val="28"/>
        </w:rPr>
        <w:t xml:space="preserve"> </w:t>
      </w:r>
      <w:r w:rsidRPr="00F5021B">
        <w:rPr>
          <w:szCs w:val="28"/>
        </w:rPr>
        <w:t xml:space="preserve">новим </w:t>
      </w:r>
      <w:r w:rsidR="00A66021">
        <w:rPr>
          <w:szCs w:val="28"/>
        </w:rPr>
        <w:t>абзацом</w:t>
      </w:r>
      <w:r w:rsidRPr="00F5021B">
        <w:rPr>
          <w:szCs w:val="28"/>
        </w:rPr>
        <w:t xml:space="preserve"> такого змісту:</w:t>
      </w:r>
    </w:p>
    <w:p w:rsidR="005D2949" w:rsidRPr="00F5021B" w:rsidRDefault="005D2949" w:rsidP="005D2949">
      <w:pPr>
        <w:pStyle w:val="a3"/>
        <w:tabs>
          <w:tab w:val="left" w:pos="5040"/>
          <w:tab w:val="left" w:pos="5580"/>
        </w:tabs>
        <w:ind w:firstLine="708"/>
        <w:rPr>
          <w:szCs w:val="28"/>
        </w:rPr>
      </w:pPr>
      <w:r w:rsidRPr="00F5021B">
        <w:rPr>
          <w:szCs w:val="28"/>
        </w:rPr>
        <w:t>«</w:t>
      </w:r>
      <w:r w:rsidR="00A66021">
        <w:rPr>
          <w:szCs w:val="28"/>
        </w:rPr>
        <w:t xml:space="preserve">у разі </w:t>
      </w:r>
      <w:r w:rsidR="002C6327">
        <w:rPr>
          <w:szCs w:val="28"/>
        </w:rPr>
        <w:t>подачі безадресної за</w:t>
      </w:r>
      <w:r w:rsidR="00512309">
        <w:rPr>
          <w:szCs w:val="28"/>
        </w:rPr>
        <w:t>явки</w:t>
      </w:r>
      <w:r w:rsidR="002C6327">
        <w:rPr>
          <w:szCs w:val="28"/>
        </w:rPr>
        <w:t xml:space="preserve"> </w:t>
      </w:r>
      <w:r w:rsidR="002164C7" w:rsidRPr="002164C7">
        <w:rPr>
          <w:szCs w:val="28"/>
        </w:rPr>
        <w:t xml:space="preserve">на продаж цінних паперів, </w:t>
      </w:r>
      <w:r w:rsidR="002164C7" w:rsidRPr="002164C7">
        <w:rPr>
          <w:color w:val="000000"/>
          <w:szCs w:val="28"/>
        </w:rPr>
        <w:t xml:space="preserve">щодо яких не здійснювалася публічна пропозиція (крім цінних паперів емітентів, які вважаються такими, що здійснили публічну пропозицію відповідно до закону), </w:t>
      </w:r>
      <w:r w:rsidR="002164C7" w:rsidRPr="002164C7">
        <w:rPr>
          <w:szCs w:val="28"/>
        </w:rPr>
        <w:t>торговцями цінними паперами, які діяли в інтересах клієнтів, яким надано прямий електронний доступ до біржових торгів та які не розкрили інформацію про себе в обсязі, визначеному Комісією</w:t>
      </w:r>
      <w:r w:rsidR="002164C7">
        <w:rPr>
          <w:szCs w:val="28"/>
        </w:rPr>
        <w:t>.»;</w:t>
      </w:r>
    </w:p>
    <w:p w:rsidR="005D2949" w:rsidRPr="00F5021B" w:rsidRDefault="005D2949" w:rsidP="007032EE">
      <w:pPr>
        <w:pStyle w:val="a3"/>
        <w:tabs>
          <w:tab w:val="left" w:pos="5040"/>
          <w:tab w:val="left" w:pos="5580"/>
        </w:tabs>
        <w:ind w:firstLine="708"/>
        <w:rPr>
          <w:szCs w:val="28"/>
        </w:rPr>
      </w:pPr>
    </w:p>
    <w:p w:rsidR="00880C73" w:rsidRPr="00F5021B" w:rsidRDefault="00690F37" w:rsidP="007032EE">
      <w:pPr>
        <w:pStyle w:val="a3"/>
        <w:tabs>
          <w:tab w:val="left" w:pos="5040"/>
          <w:tab w:val="left" w:pos="5580"/>
        </w:tabs>
        <w:rPr>
          <w:szCs w:val="28"/>
        </w:rPr>
      </w:pPr>
      <w:r w:rsidRPr="00F5021B">
        <w:rPr>
          <w:szCs w:val="28"/>
        </w:rPr>
        <w:t xml:space="preserve">          </w:t>
      </w:r>
      <w:r w:rsidR="002164C7">
        <w:rPr>
          <w:szCs w:val="28"/>
        </w:rPr>
        <w:t>3</w:t>
      </w:r>
      <w:r w:rsidR="003557A8" w:rsidRPr="00F5021B">
        <w:rPr>
          <w:szCs w:val="28"/>
        </w:rPr>
        <w:t>) у додатках</w:t>
      </w:r>
      <w:r w:rsidR="00880C73" w:rsidRPr="00F5021B">
        <w:rPr>
          <w:szCs w:val="28"/>
        </w:rPr>
        <w:t>:</w:t>
      </w:r>
    </w:p>
    <w:p w:rsidR="00C23415" w:rsidRDefault="00F5021B" w:rsidP="00C23415">
      <w:pPr>
        <w:pStyle w:val="a3"/>
        <w:tabs>
          <w:tab w:val="left" w:pos="5040"/>
          <w:tab w:val="left" w:pos="5580"/>
        </w:tabs>
        <w:ind w:firstLine="708"/>
        <w:rPr>
          <w:szCs w:val="28"/>
        </w:rPr>
      </w:pPr>
      <w:r>
        <w:rPr>
          <w:szCs w:val="28"/>
        </w:rPr>
        <w:t>у додатку 1:</w:t>
      </w:r>
    </w:p>
    <w:p w:rsidR="00C23415" w:rsidRDefault="00512309" w:rsidP="00C23415">
      <w:pPr>
        <w:pStyle w:val="a3"/>
        <w:tabs>
          <w:tab w:val="left" w:pos="5040"/>
          <w:tab w:val="left" w:pos="5580"/>
        </w:tabs>
        <w:ind w:firstLine="708"/>
        <w:rPr>
          <w:szCs w:val="28"/>
        </w:rPr>
      </w:pPr>
      <w:r>
        <w:rPr>
          <w:szCs w:val="28"/>
        </w:rPr>
        <w:t>д</w:t>
      </w:r>
      <w:r w:rsidR="00C23415">
        <w:rPr>
          <w:szCs w:val="28"/>
        </w:rPr>
        <w:t>оповнити додаток після рядка 10 новим рядком 11 такого змісту:</w:t>
      </w:r>
    </w:p>
    <w:p w:rsidR="00C23415" w:rsidRDefault="00575E75" w:rsidP="00C23415">
      <w:pPr>
        <w:pStyle w:val="a3"/>
        <w:tabs>
          <w:tab w:val="left" w:pos="5040"/>
          <w:tab w:val="left" w:pos="5580"/>
        </w:tabs>
        <w:ind w:firstLine="708"/>
        <w:rPr>
          <w:szCs w:val="28"/>
        </w:rPr>
      </w:pPr>
      <w:r>
        <w:rPr>
          <w:szCs w:val="28"/>
        </w:rPr>
        <w:t>«</w:t>
      </w:r>
      <w:r w:rsidR="00C23415">
        <w:rPr>
          <w:szCs w:val="28"/>
        </w:rPr>
        <w:t>Щодо цінного папера було здійснено публічна пропозиція</w:t>
      </w:r>
      <w:r w:rsidR="00B75AB7">
        <w:rPr>
          <w:szCs w:val="28"/>
        </w:rPr>
        <w:t xml:space="preserve">, </w:t>
      </w:r>
      <w:r w:rsidR="00B75AB7" w:rsidRPr="00B75AB7">
        <w:rPr>
          <w:szCs w:val="28"/>
        </w:rPr>
        <w:t>або емітент цінних паперів вважається таким, що здійснив публічну пропозицію відповідно до закону: «1» - так, «0» - ні</w:t>
      </w:r>
      <w:r w:rsidR="00C23415" w:rsidRPr="00F5021B">
        <w:rPr>
          <w:szCs w:val="28"/>
        </w:rPr>
        <w:t>»</w:t>
      </w:r>
      <w:r w:rsidR="00C23415">
        <w:rPr>
          <w:szCs w:val="28"/>
        </w:rPr>
        <w:t>.</w:t>
      </w:r>
    </w:p>
    <w:p w:rsidR="00C23415" w:rsidRPr="00F5021B" w:rsidRDefault="00C23415" w:rsidP="00C23415">
      <w:pPr>
        <w:pStyle w:val="a3"/>
        <w:tabs>
          <w:tab w:val="left" w:pos="5040"/>
          <w:tab w:val="left" w:pos="5580"/>
        </w:tabs>
        <w:ind w:firstLine="708"/>
        <w:rPr>
          <w:szCs w:val="28"/>
        </w:rPr>
      </w:pPr>
      <w:r>
        <w:rPr>
          <w:szCs w:val="28"/>
        </w:rPr>
        <w:t xml:space="preserve">У зв’язку з цим </w:t>
      </w:r>
      <w:r w:rsidR="000019ED">
        <w:rPr>
          <w:szCs w:val="28"/>
        </w:rPr>
        <w:t>рядки 11</w:t>
      </w:r>
      <w:r>
        <w:rPr>
          <w:szCs w:val="28"/>
        </w:rPr>
        <w:t xml:space="preserve"> – 17 вважати відпов</w:t>
      </w:r>
      <w:r w:rsidR="000019ED">
        <w:rPr>
          <w:szCs w:val="28"/>
        </w:rPr>
        <w:t>ідно рядками 12</w:t>
      </w:r>
      <w:r>
        <w:rPr>
          <w:szCs w:val="28"/>
        </w:rPr>
        <w:t xml:space="preserve"> – 18</w:t>
      </w:r>
      <w:r w:rsidR="000019ED">
        <w:rPr>
          <w:szCs w:val="28"/>
        </w:rPr>
        <w:t>;</w:t>
      </w:r>
    </w:p>
    <w:p w:rsidR="00F5021B" w:rsidRPr="00F5021B" w:rsidRDefault="000019ED" w:rsidP="007032EE">
      <w:pPr>
        <w:pStyle w:val="a3"/>
        <w:tabs>
          <w:tab w:val="left" w:pos="5040"/>
          <w:tab w:val="left" w:pos="5580"/>
        </w:tabs>
        <w:ind w:firstLine="709"/>
        <w:rPr>
          <w:szCs w:val="28"/>
        </w:rPr>
      </w:pPr>
      <w:r>
        <w:rPr>
          <w:szCs w:val="28"/>
        </w:rPr>
        <w:t>рядок дванадцятий</w:t>
      </w:r>
      <w:r w:rsidR="00F5021B" w:rsidRPr="00F5021B">
        <w:rPr>
          <w:szCs w:val="28"/>
        </w:rPr>
        <w:t xml:space="preserve"> викласти у такій редакції:</w:t>
      </w:r>
    </w:p>
    <w:p w:rsidR="00F5021B" w:rsidRPr="00F5021B" w:rsidRDefault="00F5021B" w:rsidP="007032EE">
      <w:pPr>
        <w:pStyle w:val="a3"/>
        <w:tabs>
          <w:tab w:val="left" w:pos="5040"/>
          <w:tab w:val="left" w:pos="5580"/>
        </w:tabs>
        <w:rPr>
          <w:szCs w:val="28"/>
        </w:rPr>
      </w:pPr>
      <w:r w:rsidRPr="00F5021B">
        <w:rPr>
          <w:szCs w:val="28"/>
        </w:rPr>
        <w:t xml:space="preserve">          ««1» - лістингові, «0» - позалістингові»;</w:t>
      </w:r>
    </w:p>
    <w:p w:rsidR="00880C73" w:rsidRPr="00F5021B" w:rsidRDefault="00A33D74" w:rsidP="007032EE">
      <w:pPr>
        <w:pStyle w:val="a3"/>
        <w:tabs>
          <w:tab w:val="left" w:pos="5040"/>
          <w:tab w:val="left" w:pos="5580"/>
        </w:tabs>
        <w:ind w:firstLine="709"/>
        <w:rPr>
          <w:szCs w:val="28"/>
        </w:rPr>
      </w:pPr>
      <w:r>
        <w:rPr>
          <w:szCs w:val="28"/>
        </w:rPr>
        <w:t>у додатку 10</w:t>
      </w:r>
      <w:r w:rsidR="00880C73" w:rsidRPr="00F5021B">
        <w:rPr>
          <w:szCs w:val="28"/>
        </w:rPr>
        <w:t>:</w:t>
      </w:r>
    </w:p>
    <w:p w:rsidR="002B6CCA" w:rsidRPr="00F5021B" w:rsidRDefault="00880C73" w:rsidP="007032EE">
      <w:pPr>
        <w:pStyle w:val="a3"/>
        <w:tabs>
          <w:tab w:val="left" w:pos="5040"/>
          <w:tab w:val="left" w:pos="5580"/>
        </w:tabs>
        <w:rPr>
          <w:szCs w:val="28"/>
        </w:rPr>
      </w:pPr>
      <w:r w:rsidRPr="00F5021B">
        <w:rPr>
          <w:szCs w:val="28"/>
        </w:rPr>
        <w:t xml:space="preserve">          рядок шістнадцятий </w:t>
      </w:r>
      <w:r w:rsidR="002B6CCA" w:rsidRPr="00F5021B">
        <w:rPr>
          <w:szCs w:val="28"/>
        </w:rPr>
        <w:t>виключити.</w:t>
      </w:r>
    </w:p>
    <w:p w:rsidR="00880C73" w:rsidRPr="00F5021B" w:rsidRDefault="002B6CCA" w:rsidP="007032EE">
      <w:pPr>
        <w:pStyle w:val="a3"/>
        <w:tabs>
          <w:tab w:val="left" w:pos="5040"/>
          <w:tab w:val="left" w:pos="5580"/>
        </w:tabs>
        <w:rPr>
          <w:szCs w:val="28"/>
        </w:rPr>
      </w:pPr>
      <w:r w:rsidRPr="00F5021B">
        <w:rPr>
          <w:szCs w:val="28"/>
        </w:rPr>
        <w:t xml:space="preserve">          У зв’язку із цим рядки сімнадцятий – дев’ятнадцятий вважати в</w:t>
      </w:r>
      <w:r w:rsidR="007B48BF" w:rsidRPr="00F5021B">
        <w:rPr>
          <w:szCs w:val="28"/>
        </w:rPr>
        <w:t xml:space="preserve">ідповідно рядками шістнадцятим –  </w:t>
      </w:r>
      <w:r w:rsidRPr="00F5021B">
        <w:rPr>
          <w:szCs w:val="28"/>
        </w:rPr>
        <w:t>вісімнадцятим;</w:t>
      </w:r>
    </w:p>
    <w:p w:rsidR="002B6CCA" w:rsidRPr="00F5021B" w:rsidRDefault="002B6CCA" w:rsidP="007032EE">
      <w:pPr>
        <w:pStyle w:val="a3"/>
        <w:tabs>
          <w:tab w:val="left" w:pos="5040"/>
          <w:tab w:val="left" w:pos="5580"/>
        </w:tabs>
        <w:rPr>
          <w:szCs w:val="28"/>
        </w:rPr>
      </w:pPr>
      <w:r w:rsidRPr="00F5021B">
        <w:rPr>
          <w:szCs w:val="28"/>
        </w:rPr>
        <w:t xml:space="preserve">          рядок сімнадцятий викласти у такій редакції:</w:t>
      </w:r>
    </w:p>
    <w:p w:rsidR="002B6CCA" w:rsidRPr="00F5021B" w:rsidRDefault="002B6CCA" w:rsidP="007032EE">
      <w:pPr>
        <w:pStyle w:val="a3"/>
        <w:tabs>
          <w:tab w:val="left" w:pos="5040"/>
          <w:tab w:val="left" w:pos="5580"/>
        </w:tabs>
        <w:rPr>
          <w:szCs w:val="28"/>
        </w:rPr>
      </w:pPr>
      <w:r w:rsidRPr="00F5021B">
        <w:rPr>
          <w:szCs w:val="28"/>
        </w:rPr>
        <w:t xml:space="preserve">          ««1» - лістингові</w:t>
      </w:r>
      <w:r w:rsidR="007B48BF" w:rsidRPr="00F5021B">
        <w:rPr>
          <w:szCs w:val="28"/>
        </w:rPr>
        <w:t>,</w:t>
      </w:r>
      <w:r w:rsidRPr="00F5021B">
        <w:rPr>
          <w:szCs w:val="28"/>
        </w:rPr>
        <w:t xml:space="preserve"> «0» - позалістингові»;</w:t>
      </w:r>
    </w:p>
    <w:p w:rsidR="002B6CCA" w:rsidRPr="00F5021B" w:rsidRDefault="002B6CCA" w:rsidP="007032EE">
      <w:pPr>
        <w:pStyle w:val="a3"/>
        <w:tabs>
          <w:tab w:val="left" w:pos="5040"/>
          <w:tab w:val="left" w:pos="5580"/>
        </w:tabs>
        <w:ind w:firstLine="284"/>
        <w:rPr>
          <w:szCs w:val="28"/>
        </w:rPr>
      </w:pPr>
      <w:r w:rsidRPr="00F5021B">
        <w:rPr>
          <w:szCs w:val="28"/>
        </w:rPr>
        <w:t xml:space="preserve">      </w:t>
      </w:r>
      <w:r w:rsidR="007B48BF" w:rsidRPr="00F5021B">
        <w:rPr>
          <w:szCs w:val="28"/>
        </w:rPr>
        <w:t>в</w:t>
      </w:r>
      <w:r w:rsidR="004B2AFB" w:rsidRPr="00F5021B">
        <w:rPr>
          <w:szCs w:val="28"/>
        </w:rPr>
        <w:t>иноску «</w:t>
      </w:r>
      <w:r w:rsidR="009A5AD4" w:rsidRPr="00F5021B">
        <w:rPr>
          <w:szCs w:val="28"/>
        </w:rPr>
        <w:t xml:space="preserve"> </w:t>
      </w:r>
      <w:r w:rsidR="004B2AFB" w:rsidRPr="00F5021B">
        <w:rPr>
          <w:szCs w:val="28"/>
          <w:vertAlign w:val="superscript"/>
        </w:rPr>
        <w:t>4</w:t>
      </w:r>
      <w:r w:rsidRPr="00F5021B">
        <w:rPr>
          <w:szCs w:val="28"/>
        </w:rPr>
        <w:t xml:space="preserve">  </w:t>
      </w:r>
      <w:r w:rsidR="007B48BF" w:rsidRPr="00F5021B">
        <w:rPr>
          <w:szCs w:val="28"/>
        </w:rPr>
        <w:t>З</w:t>
      </w:r>
      <w:r w:rsidR="009A5AD4" w:rsidRPr="00F5021B">
        <w:rPr>
          <w:szCs w:val="28"/>
        </w:rPr>
        <w:t>аповнюється у разі зміни рівня лістингу</w:t>
      </w:r>
      <w:r w:rsidR="007B48BF" w:rsidRPr="00F5021B">
        <w:rPr>
          <w:szCs w:val="28"/>
        </w:rPr>
        <w:t>.</w:t>
      </w:r>
      <w:r w:rsidR="009A5AD4" w:rsidRPr="00F5021B">
        <w:rPr>
          <w:szCs w:val="28"/>
        </w:rPr>
        <w:t>» виключити;</w:t>
      </w:r>
    </w:p>
    <w:p w:rsidR="006D4741" w:rsidRPr="00F5021B" w:rsidRDefault="006D4741" w:rsidP="007032EE">
      <w:pPr>
        <w:pStyle w:val="a3"/>
        <w:tabs>
          <w:tab w:val="left" w:pos="5040"/>
          <w:tab w:val="left" w:pos="5580"/>
        </w:tabs>
        <w:rPr>
          <w:szCs w:val="28"/>
        </w:rPr>
      </w:pPr>
      <w:r w:rsidRPr="00F5021B">
        <w:rPr>
          <w:szCs w:val="28"/>
        </w:rPr>
        <w:t xml:space="preserve">          рядок чотирнадцятий</w:t>
      </w:r>
      <w:r w:rsidR="00E11FC4">
        <w:rPr>
          <w:szCs w:val="28"/>
        </w:rPr>
        <w:t xml:space="preserve"> додатка 13</w:t>
      </w:r>
      <w:r w:rsidRPr="00F5021B">
        <w:rPr>
          <w:szCs w:val="28"/>
        </w:rPr>
        <w:t xml:space="preserve"> викласти у такій редакції:</w:t>
      </w:r>
    </w:p>
    <w:p w:rsidR="006D4741" w:rsidRDefault="006D4741" w:rsidP="007032EE">
      <w:pPr>
        <w:pStyle w:val="a3"/>
        <w:tabs>
          <w:tab w:val="left" w:pos="5040"/>
          <w:tab w:val="left" w:pos="5580"/>
        </w:tabs>
        <w:rPr>
          <w:szCs w:val="28"/>
        </w:rPr>
      </w:pPr>
      <w:r w:rsidRPr="00F5021B">
        <w:rPr>
          <w:szCs w:val="28"/>
        </w:rPr>
        <w:t xml:space="preserve">          ««1» - лістингові</w:t>
      </w:r>
      <w:r w:rsidR="003557A8" w:rsidRPr="00F5021B">
        <w:rPr>
          <w:szCs w:val="28"/>
        </w:rPr>
        <w:t>,</w:t>
      </w:r>
      <w:r w:rsidRPr="00F5021B">
        <w:rPr>
          <w:szCs w:val="28"/>
        </w:rPr>
        <w:t xml:space="preserve"> «0» - позалістингові»</w:t>
      </w:r>
      <w:r w:rsidR="007032EE">
        <w:rPr>
          <w:szCs w:val="28"/>
        </w:rPr>
        <w:t xml:space="preserve">, </w:t>
      </w:r>
    </w:p>
    <w:p w:rsidR="002164C7" w:rsidRDefault="00461CF7" w:rsidP="002164C7">
      <w:pPr>
        <w:pStyle w:val="a3"/>
        <w:tabs>
          <w:tab w:val="left" w:pos="5040"/>
          <w:tab w:val="left" w:pos="5580"/>
        </w:tabs>
        <w:rPr>
          <w:szCs w:val="28"/>
          <w:lang w:eastAsia="uk-UA"/>
        </w:rPr>
      </w:pPr>
      <w:r w:rsidRPr="002164C7">
        <w:rPr>
          <w:szCs w:val="28"/>
        </w:rPr>
        <w:t xml:space="preserve">        </w:t>
      </w:r>
      <w:r w:rsidR="002164C7">
        <w:rPr>
          <w:szCs w:val="28"/>
        </w:rPr>
        <w:t xml:space="preserve">  </w:t>
      </w:r>
      <w:r w:rsidR="002164C7" w:rsidRPr="00F5021B">
        <w:rPr>
          <w:szCs w:val="28"/>
        </w:rPr>
        <w:t>у додатках слова «</w:t>
      </w:r>
      <w:r w:rsidR="002164C7">
        <w:rPr>
          <w:szCs w:val="28"/>
          <w:lang w:eastAsia="uk-UA"/>
        </w:rPr>
        <w:t>і</w:t>
      </w:r>
      <w:r w:rsidR="002164C7" w:rsidRPr="00F5021B">
        <w:rPr>
          <w:szCs w:val="28"/>
          <w:lang w:eastAsia="uk-UA"/>
        </w:rPr>
        <w:t>дентифікаційний код за </w:t>
      </w:r>
      <w:bookmarkStart w:id="1" w:name="w11"/>
      <w:r w:rsidR="002164C7" w:rsidRPr="00F5021B">
        <w:rPr>
          <w:szCs w:val="28"/>
          <w:lang w:eastAsia="uk-UA"/>
        </w:rPr>
        <w:t xml:space="preserve"> ЄДРПО</w:t>
      </w:r>
      <w:bookmarkEnd w:id="1"/>
      <w:r w:rsidR="002164C7" w:rsidRPr="00F5021B">
        <w:rPr>
          <w:szCs w:val="28"/>
          <w:lang w:eastAsia="uk-UA"/>
        </w:rPr>
        <w:t>У» замінити словами «</w:t>
      </w:r>
      <w:r w:rsidR="002164C7">
        <w:rPr>
          <w:szCs w:val="28"/>
          <w:lang w:eastAsia="uk-UA"/>
        </w:rPr>
        <w:t>і</w:t>
      </w:r>
      <w:r w:rsidR="002164C7" w:rsidRPr="00F5021B">
        <w:rPr>
          <w:szCs w:val="28"/>
          <w:lang w:eastAsia="uk-UA"/>
        </w:rPr>
        <w:t>денти</w:t>
      </w:r>
      <w:r w:rsidR="002164C7">
        <w:rPr>
          <w:szCs w:val="28"/>
          <w:lang w:eastAsia="uk-UA"/>
        </w:rPr>
        <w:t>фікаційний код юридичної особи»;</w:t>
      </w:r>
    </w:p>
    <w:p w:rsidR="005D2949" w:rsidRPr="002164C7" w:rsidRDefault="005D2949" w:rsidP="002164C7">
      <w:pPr>
        <w:ind w:firstLine="709"/>
        <w:jc w:val="both"/>
        <w:rPr>
          <w:sz w:val="28"/>
          <w:szCs w:val="28"/>
        </w:rPr>
      </w:pPr>
      <w:r w:rsidRPr="002164C7">
        <w:rPr>
          <w:sz w:val="28"/>
          <w:szCs w:val="28"/>
        </w:rPr>
        <w:t>доповнити Положення новим додатком 1</w:t>
      </w:r>
      <w:r w:rsidR="002164C7">
        <w:rPr>
          <w:sz w:val="28"/>
          <w:szCs w:val="28"/>
        </w:rPr>
        <w:t>5</w:t>
      </w:r>
      <w:r w:rsidR="00E11FC4">
        <w:rPr>
          <w:sz w:val="28"/>
          <w:szCs w:val="28"/>
        </w:rPr>
        <w:t>, що додається.</w:t>
      </w:r>
      <w:r w:rsidRPr="002164C7">
        <w:rPr>
          <w:sz w:val="28"/>
          <w:szCs w:val="28"/>
        </w:rPr>
        <w:t xml:space="preserve"> </w:t>
      </w:r>
    </w:p>
    <w:p w:rsidR="008E7757" w:rsidRPr="00F5021B" w:rsidRDefault="008E7757" w:rsidP="007032EE">
      <w:pPr>
        <w:pStyle w:val="a3"/>
        <w:tabs>
          <w:tab w:val="left" w:pos="5040"/>
          <w:tab w:val="left" w:pos="5580"/>
        </w:tabs>
        <w:rPr>
          <w:szCs w:val="28"/>
        </w:rPr>
      </w:pPr>
    </w:p>
    <w:p w:rsidR="003C47DB" w:rsidRPr="00F5021B" w:rsidRDefault="00880C73" w:rsidP="007032EE">
      <w:pPr>
        <w:jc w:val="both"/>
        <w:rPr>
          <w:sz w:val="28"/>
          <w:szCs w:val="28"/>
        </w:rPr>
      </w:pPr>
      <w:r w:rsidRPr="00F5021B">
        <w:rPr>
          <w:sz w:val="28"/>
          <w:szCs w:val="28"/>
        </w:rPr>
        <w:t xml:space="preserve">          2</w:t>
      </w:r>
      <w:r w:rsidR="003C47DB" w:rsidRPr="00F5021B">
        <w:rPr>
          <w:sz w:val="28"/>
          <w:szCs w:val="28"/>
        </w:rPr>
        <w:t xml:space="preserve">. </w:t>
      </w:r>
      <w:r w:rsidR="00753130" w:rsidRPr="00F5021B">
        <w:rPr>
          <w:sz w:val="28"/>
          <w:szCs w:val="28"/>
        </w:rPr>
        <w:t>Департаменту методології регулювання професійних учасників ринку ці</w:t>
      </w:r>
      <w:r w:rsidR="00251077" w:rsidRPr="00F5021B">
        <w:rPr>
          <w:sz w:val="28"/>
          <w:szCs w:val="28"/>
        </w:rPr>
        <w:t>нних паперів (</w:t>
      </w:r>
      <w:r w:rsidR="00085154" w:rsidRPr="00F5021B">
        <w:rPr>
          <w:sz w:val="28"/>
          <w:szCs w:val="28"/>
        </w:rPr>
        <w:t>Курочкіна</w:t>
      </w:r>
      <w:r w:rsidR="00251077" w:rsidRPr="00F5021B">
        <w:rPr>
          <w:sz w:val="28"/>
          <w:szCs w:val="28"/>
        </w:rPr>
        <w:t xml:space="preserve"> І.</w:t>
      </w:r>
      <w:r w:rsidR="00753130" w:rsidRPr="00F5021B">
        <w:rPr>
          <w:sz w:val="28"/>
          <w:szCs w:val="28"/>
        </w:rPr>
        <w:t>) забезпечити:</w:t>
      </w:r>
    </w:p>
    <w:p w:rsidR="003C47DB" w:rsidRPr="00F5021B" w:rsidRDefault="003C47DB" w:rsidP="007032EE">
      <w:pPr>
        <w:tabs>
          <w:tab w:val="left" w:pos="540"/>
        </w:tabs>
        <w:ind w:firstLine="720"/>
        <w:jc w:val="both"/>
        <w:rPr>
          <w:sz w:val="28"/>
          <w:szCs w:val="28"/>
        </w:rPr>
      </w:pPr>
      <w:r w:rsidRPr="00F5021B">
        <w:rPr>
          <w:sz w:val="28"/>
          <w:szCs w:val="28"/>
        </w:rPr>
        <w:t xml:space="preserve">подання цього рішення на здійснення експертизи на відповідність Конвенції про захист прав людини і основоположних свобод до Секретаріату  </w:t>
      </w:r>
      <w:r w:rsidR="002201AA" w:rsidRPr="00F5021B">
        <w:rPr>
          <w:sz w:val="28"/>
          <w:szCs w:val="28"/>
        </w:rPr>
        <w:t>У</w:t>
      </w:r>
      <w:r w:rsidRPr="00F5021B">
        <w:rPr>
          <w:sz w:val="28"/>
          <w:szCs w:val="28"/>
        </w:rPr>
        <w:t xml:space="preserve">повноваженого у справах Європейського суду з прав людини Міністерства юстиції України; </w:t>
      </w:r>
    </w:p>
    <w:p w:rsidR="003C47DB" w:rsidRPr="00F5021B" w:rsidRDefault="003C47DB" w:rsidP="007032EE">
      <w:pPr>
        <w:pStyle w:val="a3"/>
        <w:ind w:firstLine="720"/>
        <w:rPr>
          <w:szCs w:val="28"/>
        </w:rPr>
      </w:pPr>
      <w:r w:rsidRPr="00F5021B">
        <w:rPr>
          <w:szCs w:val="28"/>
        </w:rPr>
        <w:lastRenderedPageBreak/>
        <w:t xml:space="preserve">подання цього рішення на державну реєстрацію </w:t>
      </w:r>
      <w:r w:rsidR="00085154" w:rsidRPr="00F5021B">
        <w:rPr>
          <w:szCs w:val="28"/>
        </w:rPr>
        <w:t>до Міністерства юстиції України;</w:t>
      </w:r>
    </w:p>
    <w:p w:rsidR="00085154" w:rsidRPr="00F5021B" w:rsidRDefault="00085154" w:rsidP="007032EE">
      <w:pPr>
        <w:pStyle w:val="a3"/>
        <w:ind w:firstLine="720"/>
        <w:rPr>
          <w:szCs w:val="28"/>
        </w:rPr>
      </w:pPr>
      <w:r w:rsidRPr="00F5021B">
        <w:rPr>
          <w:szCs w:val="28"/>
        </w:rPr>
        <w:t>оприлюднення цього рішення на офіційному веб-сайті Національної комісії з цінних паперів та фондового ринку</w:t>
      </w:r>
      <w:r w:rsidR="00A35D77" w:rsidRPr="00F5021B">
        <w:rPr>
          <w:szCs w:val="28"/>
        </w:rPr>
        <w:t>.</w:t>
      </w:r>
    </w:p>
    <w:p w:rsidR="00BE419B" w:rsidRPr="00F5021B" w:rsidRDefault="00BE419B" w:rsidP="007032EE">
      <w:pPr>
        <w:jc w:val="both"/>
        <w:rPr>
          <w:sz w:val="28"/>
          <w:szCs w:val="28"/>
        </w:rPr>
      </w:pPr>
    </w:p>
    <w:p w:rsidR="003C47DB" w:rsidRPr="00F5021B" w:rsidRDefault="00E6055A" w:rsidP="007032EE">
      <w:pPr>
        <w:ind w:firstLine="708"/>
        <w:jc w:val="both"/>
        <w:rPr>
          <w:bCs/>
          <w:sz w:val="28"/>
          <w:szCs w:val="28"/>
        </w:rPr>
      </w:pPr>
      <w:r w:rsidRPr="00F5021B">
        <w:rPr>
          <w:sz w:val="28"/>
          <w:szCs w:val="28"/>
        </w:rPr>
        <w:t>3</w:t>
      </w:r>
      <w:r w:rsidR="003C47DB" w:rsidRPr="00F5021B">
        <w:rPr>
          <w:sz w:val="28"/>
          <w:szCs w:val="28"/>
        </w:rPr>
        <w:t>.</w:t>
      </w:r>
      <w:r w:rsidR="00BE419B" w:rsidRPr="00F5021B">
        <w:rPr>
          <w:sz w:val="28"/>
          <w:szCs w:val="28"/>
        </w:rPr>
        <w:t xml:space="preserve"> Це рішення набирає чинності </w:t>
      </w:r>
      <w:r w:rsidR="00B577AD" w:rsidRPr="00F5021B">
        <w:rPr>
          <w:sz w:val="28"/>
          <w:szCs w:val="28"/>
        </w:rPr>
        <w:t xml:space="preserve">з дня його </w:t>
      </w:r>
      <w:r w:rsidR="00C1666C" w:rsidRPr="00F5021B">
        <w:rPr>
          <w:bCs/>
          <w:sz w:val="28"/>
          <w:szCs w:val="28"/>
        </w:rPr>
        <w:t>офіційного опублікування.</w:t>
      </w:r>
    </w:p>
    <w:p w:rsidR="00D37A07" w:rsidRPr="00F5021B" w:rsidRDefault="00D37A07" w:rsidP="007032EE">
      <w:pPr>
        <w:pStyle w:val="a3"/>
        <w:ind w:firstLine="720"/>
        <w:rPr>
          <w:szCs w:val="28"/>
        </w:rPr>
      </w:pPr>
    </w:p>
    <w:p w:rsidR="003C47DB" w:rsidRPr="00F5021B" w:rsidRDefault="00E6055A" w:rsidP="007032EE">
      <w:pPr>
        <w:pStyle w:val="a3"/>
        <w:ind w:firstLine="720"/>
        <w:rPr>
          <w:szCs w:val="28"/>
        </w:rPr>
      </w:pPr>
      <w:r w:rsidRPr="00F5021B">
        <w:rPr>
          <w:szCs w:val="28"/>
        </w:rPr>
        <w:t>4</w:t>
      </w:r>
      <w:r w:rsidR="003C47DB" w:rsidRPr="00F5021B">
        <w:rPr>
          <w:szCs w:val="28"/>
        </w:rPr>
        <w:t xml:space="preserve">. </w:t>
      </w:r>
      <w:r w:rsidR="00077F5B" w:rsidRPr="00F5021B">
        <w:rPr>
          <w:szCs w:val="28"/>
        </w:rPr>
        <w:t xml:space="preserve">Контроль за виконанням цього рішення покласти на члена </w:t>
      </w:r>
      <w:r w:rsidR="009C1716" w:rsidRPr="00F5021B">
        <w:rPr>
          <w:szCs w:val="28"/>
        </w:rPr>
        <w:t>Національної комісії з цінних паперів та фондового ринку</w:t>
      </w:r>
      <w:r w:rsidR="00077F5B" w:rsidRPr="00F5021B">
        <w:rPr>
          <w:szCs w:val="28"/>
        </w:rPr>
        <w:t xml:space="preserve"> </w:t>
      </w:r>
      <w:r w:rsidR="00B577AD" w:rsidRPr="00F5021B">
        <w:rPr>
          <w:szCs w:val="28"/>
        </w:rPr>
        <w:t>Тарабакіна</w:t>
      </w:r>
      <w:r w:rsidR="00251077" w:rsidRPr="00F5021B">
        <w:rPr>
          <w:szCs w:val="28"/>
        </w:rPr>
        <w:t xml:space="preserve"> Д</w:t>
      </w:r>
      <w:r w:rsidR="00077F5B" w:rsidRPr="00F5021B">
        <w:rPr>
          <w:szCs w:val="28"/>
        </w:rPr>
        <w:t>.</w:t>
      </w:r>
    </w:p>
    <w:p w:rsidR="003C47DB" w:rsidRPr="00F5021B" w:rsidRDefault="003C47DB" w:rsidP="007032EE">
      <w:pPr>
        <w:pStyle w:val="a5"/>
        <w:tabs>
          <w:tab w:val="left" w:pos="426"/>
        </w:tabs>
        <w:ind w:firstLine="0"/>
        <w:rPr>
          <w:b/>
        </w:rPr>
      </w:pPr>
      <w:r w:rsidRPr="00F5021B">
        <w:rPr>
          <w:b/>
        </w:rPr>
        <w:tab/>
        <w:t xml:space="preserve"> </w:t>
      </w:r>
      <w:r w:rsidRPr="00F5021B">
        <w:rPr>
          <w:b/>
        </w:rPr>
        <w:tab/>
      </w:r>
    </w:p>
    <w:p w:rsidR="001846BF" w:rsidRPr="00F5021B" w:rsidRDefault="00B2563C" w:rsidP="007032EE">
      <w:pPr>
        <w:pStyle w:val="a5"/>
        <w:tabs>
          <w:tab w:val="left" w:pos="426"/>
        </w:tabs>
        <w:ind w:firstLine="0"/>
        <w:rPr>
          <w:b/>
        </w:rPr>
      </w:pPr>
      <w:r w:rsidRPr="00F5021B">
        <w:rPr>
          <w:b/>
        </w:rPr>
        <w:t xml:space="preserve">                     </w:t>
      </w:r>
    </w:p>
    <w:p w:rsidR="00E25DD5" w:rsidRPr="00F5021B" w:rsidRDefault="003C47DB" w:rsidP="007032EE">
      <w:pPr>
        <w:pStyle w:val="a5"/>
        <w:tabs>
          <w:tab w:val="left" w:pos="426"/>
        </w:tabs>
        <w:ind w:firstLine="0"/>
        <w:rPr>
          <w:b/>
        </w:rPr>
      </w:pPr>
      <w:r w:rsidRPr="00F5021B">
        <w:rPr>
          <w:b/>
        </w:rPr>
        <w:t xml:space="preserve">          </w:t>
      </w:r>
    </w:p>
    <w:p w:rsidR="00E25DD5" w:rsidRPr="008F0E3E" w:rsidRDefault="003C47DB" w:rsidP="008F0E3E">
      <w:pPr>
        <w:pStyle w:val="a5"/>
        <w:ind w:firstLine="709"/>
        <w:rPr>
          <w:b/>
        </w:rPr>
      </w:pPr>
      <w:r w:rsidRPr="00F5021B">
        <w:rPr>
          <w:b/>
        </w:rPr>
        <w:t xml:space="preserve"> Голова Комісії</w:t>
      </w:r>
      <w:r w:rsidRPr="00F5021B">
        <w:rPr>
          <w:b/>
        </w:rPr>
        <w:tab/>
      </w:r>
      <w:r w:rsidRPr="00F5021B">
        <w:rPr>
          <w:b/>
        </w:rPr>
        <w:tab/>
      </w:r>
      <w:r w:rsidRPr="00F5021B">
        <w:rPr>
          <w:b/>
        </w:rPr>
        <w:tab/>
      </w:r>
      <w:r w:rsidRPr="00F5021B">
        <w:rPr>
          <w:b/>
        </w:rPr>
        <w:tab/>
        <w:t xml:space="preserve">    </w:t>
      </w:r>
      <w:r w:rsidR="0058495A" w:rsidRPr="00F5021B">
        <w:rPr>
          <w:b/>
        </w:rPr>
        <w:t xml:space="preserve">            </w:t>
      </w:r>
      <w:r w:rsidR="003509E1" w:rsidRPr="00F5021B">
        <w:rPr>
          <w:b/>
        </w:rPr>
        <w:t xml:space="preserve">                     Т. Хромаєв</w:t>
      </w:r>
      <w:r w:rsidR="001846BF" w:rsidRPr="00F5021B">
        <w:rPr>
          <w:b/>
          <w:sz w:val="20"/>
        </w:rPr>
        <w:t xml:space="preserve"> </w:t>
      </w:r>
      <w:r w:rsidR="008F0E3E">
        <w:rPr>
          <w:b/>
          <w:sz w:val="20"/>
        </w:rPr>
        <w:t xml:space="preserve">               </w:t>
      </w:r>
    </w:p>
    <w:p w:rsidR="00E25DD5" w:rsidRPr="00F5021B" w:rsidRDefault="00E25DD5" w:rsidP="007032EE">
      <w:pPr>
        <w:pStyle w:val="4"/>
        <w:jc w:val="center"/>
        <w:rPr>
          <w:b w:val="0"/>
          <w:sz w:val="20"/>
        </w:rPr>
      </w:pPr>
    </w:p>
    <w:p w:rsidR="00E25DD5" w:rsidRDefault="00E25DD5" w:rsidP="002164C7">
      <w:pPr>
        <w:pStyle w:val="4"/>
        <w:rPr>
          <w:b w:val="0"/>
          <w:sz w:val="20"/>
        </w:rPr>
      </w:pPr>
    </w:p>
    <w:p w:rsidR="002164C7" w:rsidRDefault="002164C7" w:rsidP="002164C7"/>
    <w:p w:rsidR="002164C7" w:rsidRDefault="002164C7" w:rsidP="002164C7"/>
    <w:p w:rsidR="002164C7" w:rsidRDefault="002164C7" w:rsidP="002164C7"/>
    <w:p w:rsidR="002164C7" w:rsidRDefault="002164C7" w:rsidP="002164C7"/>
    <w:p w:rsidR="002164C7" w:rsidRDefault="002164C7" w:rsidP="002164C7"/>
    <w:p w:rsidR="002164C7" w:rsidRDefault="002164C7" w:rsidP="002164C7"/>
    <w:p w:rsidR="003C47DB" w:rsidRPr="002164C7" w:rsidRDefault="00E25DD5" w:rsidP="007032EE">
      <w:pPr>
        <w:pStyle w:val="4"/>
        <w:jc w:val="center"/>
        <w:rPr>
          <w:b w:val="0"/>
          <w:sz w:val="24"/>
          <w:szCs w:val="24"/>
        </w:rPr>
      </w:pPr>
      <w:r w:rsidRPr="002164C7">
        <w:rPr>
          <w:b w:val="0"/>
          <w:sz w:val="24"/>
          <w:szCs w:val="24"/>
        </w:rPr>
        <w:t xml:space="preserve">                                             </w:t>
      </w:r>
      <w:r w:rsidR="007032EE" w:rsidRPr="002164C7">
        <w:rPr>
          <w:b w:val="0"/>
          <w:sz w:val="24"/>
          <w:szCs w:val="24"/>
        </w:rPr>
        <w:t xml:space="preserve">                     </w:t>
      </w:r>
      <w:r w:rsidR="002164C7">
        <w:rPr>
          <w:b w:val="0"/>
          <w:sz w:val="24"/>
          <w:szCs w:val="24"/>
        </w:rPr>
        <w:t xml:space="preserve">                         </w:t>
      </w:r>
      <w:r w:rsidR="003C47DB" w:rsidRPr="002164C7">
        <w:rPr>
          <w:b w:val="0"/>
          <w:sz w:val="24"/>
          <w:szCs w:val="24"/>
        </w:rPr>
        <w:t xml:space="preserve">Протокол засідання Комісії </w:t>
      </w:r>
    </w:p>
    <w:p w:rsidR="00051A9C" w:rsidRDefault="003C47DB" w:rsidP="007032EE">
      <w:pPr>
        <w:jc w:val="right"/>
        <w:rPr>
          <w:sz w:val="24"/>
          <w:szCs w:val="24"/>
        </w:rPr>
      </w:pPr>
      <w:r w:rsidRPr="002164C7">
        <w:rPr>
          <w:sz w:val="24"/>
          <w:szCs w:val="24"/>
        </w:rPr>
        <w:t xml:space="preserve">                                                                                        </w:t>
      </w:r>
      <w:r w:rsidR="002164C7">
        <w:rPr>
          <w:sz w:val="24"/>
          <w:szCs w:val="24"/>
        </w:rPr>
        <w:t xml:space="preserve">           </w:t>
      </w:r>
      <w:r w:rsidR="002164C7">
        <w:rPr>
          <w:sz w:val="24"/>
          <w:szCs w:val="24"/>
        </w:rPr>
        <w:tab/>
        <w:t xml:space="preserve">                      від</w:t>
      </w:r>
      <w:r w:rsidR="00524E67" w:rsidRPr="002164C7">
        <w:rPr>
          <w:sz w:val="24"/>
          <w:szCs w:val="24"/>
        </w:rPr>
        <w:t>_____________</w:t>
      </w:r>
      <w:r w:rsidR="0086219B" w:rsidRPr="002164C7">
        <w:rPr>
          <w:sz w:val="24"/>
          <w:szCs w:val="24"/>
          <w:lang w:val="ru-RU"/>
        </w:rPr>
        <w:t>201</w:t>
      </w:r>
      <w:r w:rsidR="006D4741" w:rsidRPr="002164C7">
        <w:rPr>
          <w:sz w:val="24"/>
          <w:szCs w:val="24"/>
          <w:lang w:val="ru-RU"/>
        </w:rPr>
        <w:t>9</w:t>
      </w:r>
      <w:r w:rsidR="0086219B" w:rsidRPr="002164C7">
        <w:rPr>
          <w:sz w:val="24"/>
          <w:szCs w:val="24"/>
        </w:rPr>
        <w:t xml:space="preserve"> </w:t>
      </w:r>
      <w:r w:rsidR="00D37A07" w:rsidRPr="002164C7">
        <w:rPr>
          <w:sz w:val="24"/>
          <w:szCs w:val="24"/>
        </w:rPr>
        <w:t xml:space="preserve">№ </w:t>
      </w:r>
      <w:r w:rsidR="0086219B" w:rsidRPr="002164C7">
        <w:rPr>
          <w:sz w:val="24"/>
          <w:szCs w:val="24"/>
        </w:rPr>
        <w:t>____</w:t>
      </w:r>
    </w:p>
    <w:p w:rsidR="00AA42FE" w:rsidRDefault="00AA42FE" w:rsidP="007032EE">
      <w:pPr>
        <w:jc w:val="right"/>
        <w:rPr>
          <w:sz w:val="24"/>
          <w:szCs w:val="24"/>
        </w:rPr>
      </w:pPr>
    </w:p>
    <w:p w:rsidR="00AA42FE" w:rsidRDefault="00AA42FE" w:rsidP="007032EE">
      <w:pPr>
        <w:jc w:val="right"/>
        <w:rPr>
          <w:sz w:val="24"/>
          <w:szCs w:val="24"/>
        </w:rPr>
      </w:pPr>
    </w:p>
    <w:p w:rsidR="00AA42FE" w:rsidRDefault="00AA42FE" w:rsidP="007032EE">
      <w:pPr>
        <w:jc w:val="right"/>
        <w:rPr>
          <w:sz w:val="24"/>
          <w:szCs w:val="24"/>
        </w:rPr>
      </w:pPr>
    </w:p>
    <w:p w:rsidR="00AA42FE" w:rsidRDefault="00AA42FE" w:rsidP="00AA42FE">
      <w:pPr>
        <w:jc w:val="both"/>
        <w:rPr>
          <w:sz w:val="28"/>
          <w:szCs w:val="28"/>
        </w:rPr>
      </w:pPr>
    </w:p>
    <w:p w:rsidR="00AA42FE" w:rsidRDefault="00AA42FE" w:rsidP="00AA42FE">
      <w:pPr>
        <w:jc w:val="both"/>
        <w:rPr>
          <w:sz w:val="28"/>
          <w:szCs w:val="28"/>
        </w:rPr>
      </w:pPr>
    </w:p>
    <w:p w:rsidR="00AA42FE" w:rsidRDefault="00AA42FE" w:rsidP="00AA42FE">
      <w:pPr>
        <w:jc w:val="both"/>
        <w:rPr>
          <w:sz w:val="28"/>
          <w:szCs w:val="28"/>
        </w:rPr>
      </w:pPr>
    </w:p>
    <w:p w:rsidR="00AA42FE" w:rsidRDefault="00AA42FE" w:rsidP="00AA42FE">
      <w:pPr>
        <w:jc w:val="both"/>
        <w:rPr>
          <w:sz w:val="28"/>
          <w:szCs w:val="28"/>
        </w:rPr>
      </w:pPr>
    </w:p>
    <w:p w:rsidR="00AA42FE" w:rsidRDefault="00AA42FE" w:rsidP="00AA42FE">
      <w:pPr>
        <w:jc w:val="both"/>
        <w:rPr>
          <w:sz w:val="28"/>
          <w:szCs w:val="28"/>
        </w:rPr>
      </w:pPr>
    </w:p>
    <w:p w:rsidR="00AA42FE" w:rsidRDefault="00AA42FE" w:rsidP="00AA42FE">
      <w:pPr>
        <w:jc w:val="both"/>
        <w:rPr>
          <w:sz w:val="28"/>
          <w:szCs w:val="28"/>
        </w:rPr>
      </w:pPr>
    </w:p>
    <w:p w:rsidR="00AA42FE" w:rsidRDefault="00AA42FE" w:rsidP="00AA42FE">
      <w:pPr>
        <w:jc w:val="both"/>
        <w:rPr>
          <w:sz w:val="28"/>
          <w:szCs w:val="28"/>
        </w:rPr>
      </w:pPr>
    </w:p>
    <w:p w:rsidR="00AA42FE" w:rsidRDefault="00AA42FE" w:rsidP="00AA42FE">
      <w:pPr>
        <w:jc w:val="both"/>
        <w:rPr>
          <w:sz w:val="28"/>
          <w:szCs w:val="28"/>
        </w:rPr>
      </w:pPr>
    </w:p>
    <w:p w:rsidR="00AA42FE" w:rsidRDefault="00AA42FE" w:rsidP="00AA42FE">
      <w:pPr>
        <w:jc w:val="both"/>
        <w:rPr>
          <w:sz w:val="28"/>
          <w:szCs w:val="28"/>
        </w:rPr>
      </w:pPr>
    </w:p>
    <w:p w:rsidR="00AA42FE" w:rsidRDefault="00AA42FE" w:rsidP="00AA42FE">
      <w:pPr>
        <w:jc w:val="both"/>
        <w:rPr>
          <w:sz w:val="28"/>
          <w:szCs w:val="28"/>
        </w:rPr>
      </w:pPr>
    </w:p>
    <w:p w:rsidR="00AA42FE" w:rsidRDefault="00AA42FE" w:rsidP="00AA42FE">
      <w:pPr>
        <w:jc w:val="both"/>
        <w:rPr>
          <w:sz w:val="28"/>
          <w:szCs w:val="28"/>
        </w:rPr>
      </w:pPr>
    </w:p>
    <w:p w:rsidR="00AA42FE" w:rsidRDefault="00AA42FE" w:rsidP="00AA42FE">
      <w:pPr>
        <w:jc w:val="both"/>
        <w:rPr>
          <w:sz w:val="28"/>
          <w:szCs w:val="28"/>
        </w:rPr>
      </w:pPr>
    </w:p>
    <w:p w:rsidR="00AA42FE" w:rsidRDefault="00AA42FE" w:rsidP="00AA42FE">
      <w:pPr>
        <w:jc w:val="both"/>
        <w:rPr>
          <w:sz w:val="28"/>
          <w:szCs w:val="28"/>
        </w:rPr>
      </w:pPr>
    </w:p>
    <w:p w:rsidR="00AA42FE" w:rsidRDefault="00AA42FE" w:rsidP="00AA42FE">
      <w:pPr>
        <w:jc w:val="both"/>
        <w:rPr>
          <w:sz w:val="28"/>
          <w:szCs w:val="28"/>
        </w:rPr>
      </w:pPr>
    </w:p>
    <w:p w:rsidR="00AA42FE" w:rsidRDefault="00AA42FE" w:rsidP="00AA42FE">
      <w:pPr>
        <w:jc w:val="both"/>
        <w:rPr>
          <w:sz w:val="28"/>
          <w:szCs w:val="28"/>
        </w:rPr>
      </w:pPr>
    </w:p>
    <w:p w:rsidR="00AA42FE" w:rsidRDefault="00AA42FE" w:rsidP="00AA42FE">
      <w:pPr>
        <w:jc w:val="both"/>
        <w:rPr>
          <w:sz w:val="28"/>
          <w:szCs w:val="28"/>
        </w:rPr>
      </w:pPr>
    </w:p>
    <w:p w:rsidR="00AA42FE" w:rsidRDefault="00AA42FE" w:rsidP="00AA42FE">
      <w:pPr>
        <w:jc w:val="both"/>
        <w:rPr>
          <w:sz w:val="28"/>
          <w:szCs w:val="28"/>
        </w:rPr>
      </w:pPr>
    </w:p>
    <w:p w:rsidR="00AA42FE" w:rsidRDefault="00AA42FE" w:rsidP="00AA42FE">
      <w:pPr>
        <w:jc w:val="both"/>
        <w:rPr>
          <w:sz w:val="28"/>
          <w:szCs w:val="28"/>
        </w:rPr>
      </w:pPr>
    </w:p>
    <w:p w:rsidR="00AA42FE" w:rsidRDefault="00AA42FE" w:rsidP="00AA42FE">
      <w:pPr>
        <w:jc w:val="both"/>
        <w:rPr>
          <w:sz w:val="28"/>
          <w:szCs w:val="28"/>
        </w:rPr>
      </w:pPr>
    </w:p>
    <w:p w:rsidR="00AA42FE" w:rsidRDefault="00AA42FE" w:rsidP="00AA42FE">
      <w:pPr>
        <w:jc w:val="both"/>
        <w:rPr>
          <w:sz w:val="28"/>
          <w:szCs w:val="28"/>
        </w:rPr>
      </w:pPr>
    </w:p>
    <w:p w:rsidR="00AA42FE" w:rsidRDefault="00AA42FE" w:rsidP="00AA42FE">
      <w:pPr>
        <w:jc w:val="both"/>
        <w:rPr>
          <w:sz w:val="28"/>
          <w:szCs w:val="28"/>
        </w:rPr>
      </w:pPr>
    </w:p>
    <w:p w:rsidR="00AA42FE" w:rsidRDefault="00AA42FE" w:rsidP="00AA42FE">
      <w:pPr>
        <w:jc w:val="both"/>
        <w:rPr>
          <w:sz w:val="28"/>
          <w:szCs w:val="28"/>
        </w:rPr>
      </w:pPr>
    </w:p>
    <w:tbl>
      <w:tblPr>
        <w:tblW w:w="4819" w:type="dxa"/>
        <w:tblInd w:w="5245" w:type="dxa"/>
        <w:tblLayout w:type="fixed"/>
        <w:tblLook w:val="0000" w:firstRow="0" w:lastRow="0" w:firstColumn="0" w:lastColumn="0" w:noHBand="0" w:noVBand="0"/>
      </w:tblPr>
      <w:tblGrid>
        <w:gridCol w:w="4819"/>
      </w:tblGrid>
      <w:tr w:rsidR="00AA42FE" w:rsidRPr="00AA42FE" w:rsidTr="004311C7">
        <w:tc>
          <w:tcPr>
            <w:tcW w:w="4819" w:type="dxa"/>
          </w:tcPr>
          <w:p w:rsidR="00AA42FE" w:rsidRPr="00AA42FE" w:rsidRDefault="00AA42FE" w:rsidP="00AA42FE">
            <w:pPr>
              <w:spacing w:after="160" w:line="259" w:lineRule="auto"/>
              <w:rPr>
                <w:rFonts w:ascii="Calibri" w:eastAsia="Calibri" w:hAnsi="Calibri"/>
                <w:sz w:val="22"/>
                <w:szCs w:val="22"/>
                <w:lang w:eastAsia="en-US"/>
              </w:rPr>
            </w:pPr>
          </w:p>
          <w:p w:rsidR="00AA42FE" w:rsidRPr="00AA42FE" w:rsidRDefault="00AA42FE" w:rsidP="00AA42FE">
            <w:pPr>
              <w:spacing w:after="160" w:line="259" w:lineRule="auto"/>
              <w:rPr>
                <w:rFonts w:eastAsia="Calibri"/>
                <w:sz w:val="24"/>
                <w:szCs w:val="22"/>
                <w:lang w:eastAsia="en-US"/>
              </w:rPr>
            </w:pPr>
            <w:r w:rsidRPr="00AA42FE">
              <w:rPr>
                <w:rFonts w:eastAsia="Calibri"/>
                <w:sz w:val="24"/>
                <w:szCs w:val="22"/>
                <w:lang w:eastAsia="en-US"/>
              </w:rPr>
              <w:t>Додаток 15</w:t>
            </w:r>
          </w:p>
          <w:p w:rsidR="00AA42FE" w:rsidRPr="00AA42FE" w:rsidRDefault="00AA42FE" w:rsidP="00AA42FE">
            <w:pPr>
              <w:spacing w:after="160" w:line="259" w:lineRule="auto"/>
              <w:rPr>
                <w:rFonts w:eastAsia="Calibri"/>
                <w:sz w:val="24"/>
                <w:szCs w:val="22"/>
                <w:lang w:eastAsia="en-US"/>
              </w:rPr>
            </w:pPr>
            <w:r w:rsidRPr="00AA42FE">
              <w:rPr>
                <w:rFonts w:eastAsia="Calibri"/>
                <w:sz w:val="24"/>
                <w:szCs w:val="22"/>
                <w:lang w:eastAsia="en-US"/>
              </w:rPr>
              <w:t>до Положення про порядок складання та подання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p>
          <w:p w:rsidR="00AA42FE" w:rsidRPr="00AA42FE" w:rsidRDefault="00AA42FE" w:rsidP="00AA42FE">
            <w:pPr>
              <w:spacing w:after="160" w:line="259" w:lineRule="auto"/>
              <w:rPr>
                <w:rFonts w:ascii="Calibri" w:eastAsia="Calibri" w:hAnsi="Calibri"/>
                <w:sz w:val="22"/>
                <w:szCs w:val="22"/>
                <w:lang w:eastAsia="en-US"/>
              </w:rPr>
            </w:pPr>
            <w:r w:rsidRPr="00AA42FE">
              <w:rPr>
                <w:rFonts w:eastAsia="Calibri"/>
                <w:sz w:val="24"/>
                <w:szCs w:val="22"/>
                <w:lang w:eastAsia="en-US"/>
              </w:rPr>
              <w:t>(підпункт 4.5 пункту 4 глави 1 розділу III)</w:t>
            </w:r>
          </w:p>
        </w:tc>
      </w:tr>
    </w:tbl>
    <w:p w:rsidR="00AA42FE" w:rsidRPr="00AA42FE" w:rsidRDefault="00AA42FE" w:rsidP="00AA42FE">
      <w:pPr>
        <w:spacing w:after="160" w:line="259" w:lineRule="auto"/>
        <w:rPr>
          <w:rFonts w:ascii="Calibri" w:eastAsia="Calibri" w:hAnsi="Calibri"/>
          <w:sz w:val="24"/>
          <w:szCs w:val="22"/>
          <w:lang w:eastAsia="en-US"/>
        </w:rPr>
      </w:pPr>
    </w:p>
    <w:p w:rsidR="00AA42FE" w:rsidRPr="00AA42FE" w:rsidRDefault="00AA42FE" w:rsidP="00AA42FE">
      <w:pPr>
        <w:spacing w:after="160" w:line="259" w:lineRule="auto"/>
        <w:rPr>
          <w:rFonts w:ascii="Calibri" w:eastAsia="Calibri" w:hAnsi="Calibri"/>
          <w:szCs w:val="22"/>
          <w:lang w:eastAsia="en-US"/>
        </w:rPr>
      </w:pPr>
    </w:p>
    <w:p w:rsidR="00AA42FE" w:rsidRPr="00AA42FE" w:rsidRDefault="00AA42FE" w:rsidP="00AA42FE">
      <w:pPr>
        <w:spacing w:after="160" w:line="259" w:lineRule="auto"/>
        <w:ind w:left="709"/>
        <w:rPr>
          <w:rFonts w:ascii="Calibri" w:eastAsia="Calibri" w:hAnsi="Calibri"/>
          <w:sz w:val="22"/>
          <w:szCs w:val="22"/>
          <w:lang w:eastAsia="en-US"/>
        </w:rPr>
      </w:pPr>
    </w:p>
    <w:p w:rsidR="00AA42FE" w:rsidRPr="00AA42FE" w:rsidRDefault="00AA42FE" w:rsidP="00AA42FE">
      <w:pPr>
        <w:spacing w:after="160" w:line="259" w:lineRule="auto"/>
        <w:jc w:val="center"/>
        <w:rPr>
          <w:rFonts w:eastAsia="Calibri"/>
          <w:b/>
          <w:sz w:val="28"/>
          <w:szCs w:val="28"/>
          <w:lang w:eastAsia="en-US"/>
        </w:rPr>
      </w:pPr>
      <w:r w:rsidRPr="00AA42FE">
        <w:rPr>
          <w:rFonts w:eastAsia="Calibri"/>
          <w:b/>
          <w:sz w:val="28"/>
          <w:szCs w:val="28"/>
          <w:lang w:eastAsia="en-US"/>
        </w:rPr>
        <w:t xml:space="preserve">Довідка про подані безадресні заявки на продаж цінних паперів, </w:t>
      </w:r>
      <w:r w:rsidRPr="00AA42FE">
        <w:rPr>
          <w:rFonts w:eastAsia="Calibri"/>
          <w:b/>
          <w:color w:val="000000"/>
          <w:sz w:val="28"/>
          <w:szCs w:val="28"/>
          <w:lang w:eastAsia="en-US"/>
        </w:rPr>
        <w:t xml:space="preserve">щодо яких не здійснювалася публічна пропозиція (крім цінних паперів емітентів, які вважаються такими, що здійснили публічну пропозицію відповідно до закону), </w:t>
      </w:r>
      <w:r w:rsidRPr="00AA42FE">
        <w:rPr>
          <w:rFonts w:eastAsia="Calibri"/>
          <w:b/>
          <w:sz w:val="28"/>
          <w:szCs w:val="28"/>
          <w:lang w:eastAsia="en-US"/>
        </w:rPr>
        <w:t>торговцями цінними паперами, які діяли в інтересах клієнтів, яким надано прямий електронний доступ до біржових торгів та які не розкрили інформацію про себе в обсязі, визначеному Комісією</w:t>
      </w:r>
    </w:p>
    <w:p w:rsidR="00AA42FE" w:rsidRPr="00AA42FE" w:rsidRDefault="00AA42FE" w:rsidP="00AA42FE">
      <w:pPr>
        <w:spacing w:after="160" w:line="259" w:lineRule="auto"/>
        <w:jc w:val="center"/>
        <w:rPr>
          <w:rFonts w:eastAsia="Calibri"/>
          <w:b/>
          <w:sz w:val="28"/>
          <w:szCs w:val="28"/>
          <w:lang w:eastAsia="en-US"/>
        </w:rPr>
      </w:pPr>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2"/>
      </w:tblGrid>
      <w:tr w:rsidR="00AA42FE" w:rsidRPr="00AA42FE" w:rsidTr="004311C7">
        <w:tc>
          <w:tcPr>
            <w:tcW w:w="5000" w:type="pct"/>
          </w:tcPr>
          <w:p w:rsidR="00AA42FE" w:rsidRPr="00AA42FE" w:rsidRDefault="00AA42FE" w:rsidP="00AA42FE">
            <w:pPr>
              <w:spacing w:after="160" w:line="259" w:lineRule="auto"/>
              <w:rPr>
                <w:rFonts w:eastAsia="Calibri"/>
                <w:sz w:val="24"/>
                <w:szCs w:val="24"/>
                <w:lang w:eastAsia="en-US"/>
              </w:rPr>
            </w:pPr>
            <w:r w:rsidRPr="00AA42FE">
              <w:rPr>
                <w:rFonts w:eastAsia="Calibri"/>
                <w:sz w:val="24"/>
                <w:szCs w:val="24"/>
                <w:lang w:eastAsia="en-US"/>
              </w:rPr>
              <w:t>Ідентифікаційний код за ЄДРПОУ організатора торгівлі</w:t>
            </w:r>
          </w:p>
        </w:tc>
      </w:tr>
      <w:tr w:rsidR="00AA42FE" w:rsidRPr="00AA42FE" w:rsidTr="004311C7">
        <w:tc>
          <w:tcPr>
            <w:tcW w:w="5000" w:type="pct"/>
          </w:tcPr>
          <w:p w:rsidR="00AA42FE" w:rsidRPr="00AA42FE" w:rsidRDefault="00AA42FE" w:rsidP="00AA42FE">
            <w:pPr>
              <w:spacing w:after="160" w:line="259" w:lineRule="auto"/>
              <w:rPr>
                <w:rFonts w:eastAsia="Calibri"/>
                <w:sz w:val="24"/>
                <w:szCs w:val="24"/>
                <w:lang w:eastAsia="en-US"/>
              </w:rPr>
            </w:pPr>
            <w:r w:rsidRPr="00AA42FE">
              <w:rPr>
                <w:rFonts w:eastAsia="Calibri"/>
                <w:sz w:val="24"/>
                <w:szCs w:val="24"/>
                <w:lang w:eastAsia="en-US"/>
              </w:rPr>
              <w:t>Дата, станом на яку складено Дані</w:t>
            </w:r>
          </w:p>
        </w:tc>
      </w:tr>
      <w:tr w:rsidR="00AA42FE" w:rsidRPr="00AA42FE" w:rsidTr="004311C7">
        <w:tc>
          <w:tcPr>
            <w:tcW w:w="5000" w:type="pct"/>
          </w:tcPr>
          <w:p w:rsidR="00AA42FE" w:rsidRPr="00AA42FE" w:rsidRDefault="00AA42FE" w:rsidP="00AA42FE">
            <w:pPr>
              <w:spacing w:after="160" w:line="259" w:lineRule="auto"/>
              <w:rPr>
                <w:rFonts w:eastAsia="Calibri"/>
                <w:sz w:val="24"/>
                <w:szCs w:val="24"/>
                <w:lang w:eastAsia="en-US"/>
              </w:rPr>
            </w:pPr>
            <w:r w:rsidRPr="00AA42FE">
              <w:rPr>
                <w:rFonts w:eastAsia="Calibri"/>
                <w:sz w:val="24"/>
                <w:szCs w:val="24"/>
                <w:lang w:eastAsia="en-US"/>
              </w:rPr>
              <w:t>Дата подання заявки</w:t>
            </w:r>
          </w:p>
        </w:tc>
      </w:tr>
      <w:tr w:rsidR="00AA42FE" w:rsidRPr="00AA42FE" w:rsidTr="004311C7">
        <w:tc>
          <w:tcPr>
            <w:tcW w:w="5000" w:type="pct"/>
          </w:tcPr>
          <w:p w:rsidR="00AA42FE" w:rsidRPr="00AA42FE" w:rsidRDefault="00AA42FE" w:rsidP="00AA42FE">
            <w:pPr>
              <w:spacing w:after="160" w:line="259" w:lineRule="auto"/>
              <w:rPr>
                <w:rFonts w:eastAsia="Calibri"/>
                <w:sz w:val="24"/>
                <w:szCs w:val="24"/>
                <w:lang w:eastAsia="en-US"/>
              </w:rPr>
            </w:pPr>
            <w:r w:rsidRPr="00AA42FE">
              <w:rPr>
                <w:rFonts w:eastAsia="Calibri"/>
                <w:sz w:val="24"/>
                <w:szCs w:val="24"/>
                <w:lang w:eastAsia="en-US"/>
              </w:rPr>
              <w:t>Час подання заявки</w:t>
            </w:r>
          </w:p>
        </w:tc>
      </w:tr>
      <w:tr w:rsidR="00AA42FE" w:rsidRPr="00AA42FE" w:rsidTr="004311C7">
        <w:tc>
          <w:tcPr>
            <w:tcW w:w="5000" w:type="pct"/>
          </w:tcPr>
          <w:p w:rsidR="00AA42FE" w:rsidRPr="00AA42FE" w:rsidRDefault="00AA42FE" w:rsidP="00AA42FE">
            <w:pPr>
              <w:spacing w:after="160" w:line="259" w:lineRule="auto"/>
              <w:rPr>
                <w:rFonts w:eastAsia="Calibri"/>
                <w:sz w:val="24"/>
                <w:szCs w:val="24"/>
                <w:lang w:eastAsia="en-US"/>
              </w:rPr>
            </w:pPr>
            <w:r w:rsidRPr="00AA42FE">
              <w:rPr>
                <w:rFonts w:eastAsia="Calibri"/>
                <w:sz w:val="24"/>
                <w:szCs w:val="24"/>
                <w:lang w:eastAsia="en-US"/>
              </w:rPr>
              <w:t xml:space="preserve">Найменування емітента цінних паперів </w:t>
            </w:r>
          </w:p>
        </w:tc>
      </w:tr>
      <w:tr w:rsidR="00AA42FE" w:rsidRPr="00AA42FE" w:rsidTr="004311C7">
        <w:tc>
          <w:tcPr>
            <w:tcW w:w="5000" w:type="pct"/>
          </w:tcPr>
          <w:p w:rsidR="00AA42FE" w:rsidRPr="00AA42FE" w:rsidRDefault="00AA42FE" w:rsidP="00AA42FE">
            <w:pPr>
              <w:spacing w:after="160" w:line="259" w:lineRule="auto"/>
              <w:rPr>
                <w:rFonts w:eastAsia="Calibri"/>
                <w:sz w:val="24"/>
                <w:szCs w:val="24"/>
                <w:lang w:eastAsia="en-US"/>
              </w:rPr>
            </w:pPr>
            <w:r w:rsidRPr="00AA42FE">
              <w:rPr>
                <w:rFonts w:eastAsia="Calibri"/>
                <w:sz w:val="24"/>
                <w:szCs w:val="24"/>
                <w:lang w:eastAsia="en-US"/>
              </w:rPr>
              <w:t xml:space="preserve">Ідентифікаційний код за ЄДРПОУ емітента цінних паперів </w:t>
            </w:r>
          </w:p>
        </w:tc>
      </w:tr>
      <w:tr w:rsidR="00AA42FE" w:rsidRPr="00AA42FE" w:rsidTr="004311C7">
        <w:tc>
          <w:tcPr>
            <w:tcW w:w="5000" w:type="pct"/>
          </w:tcPr>
          <w:p w:rsidR="00AA42FE" w:rsidRPr="00AA42FE" w:rsidRDefault="00AA42FE" w:rsidP="00AA42FE">
            <w:pPr>
              <w:spacing w:after="160" w:line="259" w:lineRule="auto"/>
              <w:rPr>
                <w:rFonts w:eastAsia="Calibri"/>
                <w:sz w:val="24"/>
                <w:szCs w:val="24"/>
                <w:lang w:eastAsia="en-US"/>
              </w:rPr>
            </w:pPr>
            <w:r w:rsidRPr="00AA42FE">
              <w:rPr>
                <w:rFonts w:eastAsia="Calibri"/>
                <w:sz w:val="24"/>
                <w:szCs w:val="24"/>
                <w:lang w:eastAsia="en-US"/>
              </w:rPr>
              <w:t>Класифікація цінного паперу</w:t>
            </w:r>
            <w:r w:rsidRPr="00AA42FE">
              <w:rPr>
                <w:rFonts w:eastAsia="Calibri"/>
                <w:sz w:val="24"/>
                <w:szCs w:val="24"/>
                <w:vertAlign w:val="superscript"/>
                <w:lang w:eastAsia="en-US"/>
              </w:rPr>
              <w:t xml:space="preserve"> 1</w:t>
            </w:r>
          </w:p>
        </w:tc>
      </w:tr>
      <w:tr w:rsidR="00AA42FE" w:rsidRPr="00AA42FE" w:rsidTr="004311C7">
        <w:tc>
          <w:tcPr>
            <w:tcW w:w="5000" w:type="pct"/>
          </w:tcPr>
          <w:p w:rsidR="00AA42FE" w:rsidRPr="00AA42FE" w:rsidRDefault="00AA42FE" w:rsidP="00AA42FE">
            <w:pPr>
              <w:spacing w:after="160" w:line="259" w:lineRule="auto"/>
              <w:rPr>
                <w:rFonts w:eastAsia="Calibri"/>
                <w:sz w:val="24"/>
                <w:szCs w:val="24"/>
                <w:lang w:eastAsia="en-US"/>
              </w:rPr>
            </w:pPr>
            <w:r w:rsidRPr="00AA42FE">
              <w:rPr>
                <w:rFonts w:eastAsia="Calibri"/>
                <w:sz w:val="24"/>
                <w:szCs w:val="24"/>
                <w:lang w:eastAsia="en-US"/>
              </w:rPr>
              <w:t>Вид ринку</w:t>
            </w:r>
            <w:r w:rsidRPr="00AA42FE">
              <w:rPr>
                <w:rFonts w:eastAsia="Calibri"/>
                <w:sz w:val="24"/>
                <w:szCs w:val="24"/>
                <w:vertAlign w:val="superscript"/>
                <w:lang w:eastAsia="en-US"/>
              </w:rPr>
              <w:t xml:space="preserve"> 2</w:t>
            </w:r>
          </w:p>
        </w:tc>
      </w:tr>
      <w:tr w:rsidR="00AA42FE" w:rsidRPr="00AA42FE" w:rsidTr="004311C7">
        <w:tc>
          <w:tcPr>
            <w:tcW w:w="5000" w:type="pct"/>
          </w:tcPr>
          <w:p w:rsidR="00AA42FE" w:rsidRPr="00AA42FE" w:rsidRDefault="00AA42FE" w:rsidP="00AA42FE">
            <w:pPr>
              <w:spacing w:after="160" w:line="259" w:lineRule="auto"/>
              <w:rPr>
                <w:rFonts w:eastAsia="Calibri"/>
                <w:sz w:val="24"/>
                <w:szCs w:val="24"/>
                <w:lang w:eastAsia="en-US"/>
              </w:rPr>
            </w:pPr>
            <w:r w:rsidRPr="00AA42FE">
              <w:rPr>
                <w:rFonts w:eastAsia="Calibri"/>
                <w:sz w:val="24"/>
                <w:szCs w:val="24"/>
                <w:lang w:eastAsia="en-US"/>
              </w:rPr>
              <w:t>Технологія проведення торгів</w:t>
            </w:r>
            <w:r w:rsidRPr="00AA42FE">
              <w:rPr>
                <w:rFonts w:eastAsia="Calibri"/>
                <w:sz w:val="24"/>
                <w:szCs w:val="24"/>
                <w:vertAlign w:val="superscript"/>
                <w:lang w:eastAsia="en-US"/>
              </w:rPr>
              <w:t xml:space="preserve"> 3</w:t>
            </w:r>
          </w:p>
        </w:tc>
      </w:tr>
      <w:tr w:rsidR="00AA42FE" w:rsidRPr="00AA42FE" w:rsidTr="004311C7">
        <w:tc>
          <w:tcPr>
            <w:tcW w:w="5000" w:type="pct"/>
          </w:tcPr>
          <w:p w:rsidR="00AA42FE" w:rsidRPr="00AA42FE" w:rsidRDefault="00AA42FE" w:rsidP="00AA42FE">
            <w:pPr>
              <w:spacing w:after="160" w:line="259" w:lineRule="auto"/>
              <w:rPr>
                <w:rFonts w:eastAsia="Calibri"/>
                <w:sz w:val="24"/>
                <w:szCs w:val="24"/>
                <w:lang w:eastAsia="en-US"/>
              </w:rPr>
            </w:pPr>
            <w:r w:rsidRPr="00AA42FE">
              <w:rPr>
                <w:rFonts w:eastAsia="Calibri"/>
                <w:sz w:val="24"/>
                <w:szCs w:val="24"/>
                <w:lang w:eastAsia="en-US"/>
              </w:rPr>
              <w:t>Види ринку за характером проведення операцій</w:t>
            </w:r>
            <w:r w:rsidRPr="00AA42FE">
              <w:rPr>
                <w:rFonts w:eastAsia="Calibri"/>
                <w:sz w:val="24"/>
                <w:szCs w:val="24"/>
                <w:vertAlign w:val="superscript"/>
                <w:lang w:eastAsia="en-US"/>
              </w:rPr>
              <w:t xml:space="preserve"> 4</w:t>
            </w:r>
          </w:p>
        </w:tc>
      </w:tr>
      <w:tr w:rsidR="00AA42FE" w:rsidRPr="00AA42FE" w:rsidTr="004311C7">
        <w:tc>
          <w:tcPr>
            <w:tcW w:w="5000" w:type="pct"/>
          </w:tcPr>
          <w:p w:rsidR="00AA42FE" w:rsidRPr="00AA42FE" w:rsidRDefault="00AA42FE" w:rsidP="00AA42FE">
            <w:pPr>
              <w:spacing w:after="160" w:line="259" w:lineRule="auto"/>
              <w:rPr>
                <w:rFonts w:eastAsia="Calibri"/>
                <w:sz w:val="24"/>
                <w:szCs w:val="24"/>
                <w:lang w:eastAsia="en-US"/>
              </w:rPr>
            </w:pPr>
            <w:r w:rsidRPr="00AA42FE">
              <w:rPr>
                <w:rFonts w:eastAsia="Calibri"/>
                <w:sz w:val="24"/>
                <w:szCs w:val="24"/>
                <w:lang w:eastAsia="en-US"/>
              </w:rPr>
              <w:t>Клієнт, в інтересах якого виступає торговець: вид особи (юридична особа - резидент або інститут спільного інвестування - "1", юридична особа - нерезидент - "2", фізична особа - резидент - "3", фізична особа - нерезидент - "4", торговець цінними паперами - "5")</w:t>
            </w:r>
            <w:r w:rsidRPr="00AA42FE">
              <w:rPr>
                <w:rFonts w:eastAsia="Calibri"/>
                <w:sz w:val="24"/>
                <w:szCs w:val="24"/>
                <w:vertAlign w:val="superscript"/>
                <w:lang w:eastAsia="en-US"/>
              </w:rPr>
              <w:t xml:space="preserve"> 5</w:t>
            </w:r>
          </w:p>
        </w:tc>
      </w:tr>
      <w:tr w:rsidR="00AA42FE" w:rsidRPr="00AA42FE" w:rsidTr="004311C7">
        <w:tc>
          <w:tcPr>
            <w:tcW w:w="5000" w:type="pct"/>
          </w:tcPr>
          <w:p w:rsidR="00AA42FE" w:rsidRPr="00AA42FE" w:rsidRDefault="00AA42FE" w:rsidP="00AA42FE">
            <w:pPr>
              <w:spacing w:after="160" w:line="259" w:lineRule="auto"/>
              <w:rPr>
                <w:rFonts w:eastAsia="Calibri"/>
                <w:sz w:val="24"/>
                <w:szCs w:val="24"/>
                <w:lang w:eastAsia="en-US"/>
              </w:rPr>
            </w:pPr>
            <w:r w:rsidRPr="00AA42FE">
              <w:rPr>
                <w:rFonts w:eastAsia="Calibri"/>
                <w:sz w:val="24"/>
                <w:szCs w:val="24"/>
                <w:lang w:eastAsia="en-US"/>
              </w:rPr>
              <w:lastRenderedPageBreak/>
              <w:t>Клієнт, в інтересах якого виступає торговець: ідентифікаційний код за ЄДРПОУ юридичної особи, реєстраційний код за ЄДРІСІ інституту спільного інвестування,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w:t>
            </w:r>
            <w:r w:rsidRPr="00AA42FE">
              <w:rPr>
                <w:rFonts w:eastAsia="Calibri"/>
                <w:sz w:val="24"/>
                <w:szCs w:val="24"/>
                <w:vertAlign w:val="superscript"/>
                <w:lang w:eastAsia="en-US"/>
              </w:rPr>
              <w:t xml:space="preserve"> 5</w:t>
            </w:r>
          </w:p>
        </w:tc>
      </w:tr>
      <w:tr w:rsidR="00AA42FE" w:rsidRPr="00AA42FE" w:rsidTr="004311C7">
        <w:tc>
          <w:tcPr>
            <w:tcW w:w="5000" w:type="pct"/>
          </w:tcPr>
          <w:p w:rsidR="00AA42FE" w:rsidRPr="00AA42FE" w:rsidRDefault="00AA42FE" w:rsidP="00AA42FE">
            <w:pPr>
              <w:spacing w:after="160" w:line="259" w:lineRule="auto"/>
              <w:rPr>
                <w:rFonts w:eastAsia="Calibri"/>
                <w:sz w:val="24"/>
                <w:szCs w:val="24"/>
                <w:lang w:eastAsia="en-US"/>
              </w:rPr>
            </w:pPr>
            <w:r w:rsidRPr="00AA42FE">
              <w:rPr>
                <w:rFonts w:eastAsia="Calibri"/>
                <w:sz w:val="24"/>
                <w:szCs w:val="24"/>
                <w:lang w:eastAsia="en-US"/>
              </w:rPr>
              <w:t>Клієнт, в інтересах якого виступає торговець: П. І. Б. фізичної особи, найменування юридичної особи, найменування інституту спільного інвестування</w:t>
            </w:r>
            <w:r w:rsidRPr="00AA42FE">
              <w:rPr>
                <w:rFonts w:eastAsia="Calibri"/>
                <w:sz w:val="24"/>
                <w:szCs w:val="24"/>
                <w:vertAlign w:val="superscript"/>
                <w:lang w:eastAsia="en-US"/>
              </w:rPr>
              <w:t xml:space="preserve"> 5</w:t>
            </w:r>
          </w:p>
        </w:tc>
      </w:tr>
      <w:tr w:rsidR="00AA42FE" w:rsidRPr="00AA42FE" w:rsidTr="004311C7">
        <w:tc>
          <w:tcPr>
            <w:tcW w:w="5000" w:type="pct"/>
          </w:tcPr>
          <w:p w:rsidR="00AA42FE" w:rsidRPr="00AA42FE" w:rsidRDefault="00AA42FE" w:rsidP="00AA42FE">
            <w:pPr>
              <w:spacing w:after="160" w:line="259" w:lineRule="auto"/>
              <w:rPr>
                <w:rFonts w:eastAsia="Calibri"/>
                <w:sz w:val="24"/>
                <w:szCs w:val="24"/>
                <w:lang w:eastAsia="en-US"/>
              </w:rPr>
            </w:pPr>
            <w:r w:rsidRPr="00AA42FE">
              <w:rPr>
                <w:rFonts w:eastAsia="Calibri"/>
                <w:sz w:val="24"/>
                <w:szCs w:val="24"/>
                <w:lang w:eastAsia="en-US"/>
              </w:rPr>
              <w:t>Клієнт, в інтересах якого виступає торговець - продавець: країна реєстрації</w:t>
            </w:r>
            <w:r w:rsidRPr="00AA42FE">
              <w:rPr>
                <w:rFonts w:eastAsia="Calibri"/>
                <w:sz w:val="24"/>
                <w:szCs w:val="24"/>
                <w:vertAlign w:val="superscript"/>
                <w:lang w:eastAsia="en-US"/>
              </w:rPr>
              <w:t xml:space="preserve"> 6</w:t>
            </w:r>
          </w:p>
        </w:tc>
      </w:tr>
    </w:tbl>
    <w:p w:rsidR="00AA42FE" w:rsidRPr="00AA42FE" w:rsidRDefault="00AA42FE" w:rsidP="00AA42FE">
      <w:pPr>
        <w:spacing w:after="160" w:line="259" w:lineRule="auto"/>
        <w:rPr>
          <w:rFonts w:eastAsia="Calibri"/>
          <w:sz w:val="24"/>
          <w:szCs w:val="22"/>
          <w:lang w:eastAsia="en-US"/>
        </w:rPr>
      </w:pPr>
      <w:r w:rsidRPr="00AA42FE">
        <w:rPr>
          <w:rFonts w:eastAsia="Calibri"/>
          <w:sz w:val="24"/>
          <w:szCs w:val="22"/>
          <w:lang w:eastAsia="en-US"/>
        </w:rPr>
        <w:t>____________</w:t>
      </w:r>
    </w:p>
    <w:p w:rsidR="00AA42FE" w:rsidRPr="00AA42FE" w:rsidRDefault="00AA42FE" w:rsidP="00AA42FE">
      <w:pPr>
        <w:spacing w:after="160" w:line="259" w:lineRule="auto"/>
        <w:rPr>
          <w:rFonts w:eastAsia="Calibri"/>
          <w:color w:val="000000"/>
          <w:sz w:val="24"/>
          <w:szCs w:val="22"/>
          <w:lang w:eastAsia="en-US"/>
        </w:rPr>
      </w:pPr>
      <w:r w:rsidRPr="00AA42FE">
        <w:rPr>
          <w:rFonts w:eastAsia="Calibri"/>
          <w:color w:val="000000"/>
          <w:sz w:val="18"/>
          <w:szCs w:val="22"/>
          <w:vertAlign w:val="superscript"/>
          <w:lang w:eastAsia="en-US"/>
        </w:rPr>
        <w:t>1</w:t>
      </w:r>
      <w:r w:rsidRPr="00AA42FE">
        <w:rPr>
          <w:rFonts w:eastAsia="Calibri"/>
          <w:color w:val="000000"/>
          <w:szCs w:val="22"/>
          <w:lang w:eastAsia="en-US"/>
        </w:rPr>
        <w:t xml:space="preserve"> Заповнюється відповідно до Довідника 7 "Класифікація фінансових інструментів" Системи довідників та класифікаторів.</w:t>
      </w:r>
    </w:p>
    <w:p w:rsidR="00AA42FE" w:rsidRPr="00AA42FE" w:rsidRDefault="00AA42FE" w:rsidP="00AA42FE">
      <w:pPr>
        <w:spacing w:after="160" w:line="259" w:lineRule="auto"/>
        <w:rPr>
          <w:rFonts w:ascii="Calibri" w:eastAsia="Calibri" w:hAnsi="Calibri"/>
          <w:color w:val="000000"/>
          <w:sz w:val="22"/>
          <w:szCs w:val="22"/>
          <w:lang w:eastAsia="en-US"/>
        </w:rPr>
      </w:pPr>
    </w:p>
    <w:p w:rsidR="00AA42FE" w:rsidRPr="00AA42FE" w:rsidRDefault="00AA42FE" w:rsidP="00AA42FE">
      <w:pPr>
        <w:spacing w:after="160" w:line="259" w:lineRule="auto"/>
        <w:rPr>
          <w:rFonts w:eastAsia="Calibri"/>
          <w:color w:val="000000"/>
          <w:sz w:val="24"/>
          <w:szCs w:val="22"/>
          <w:lang w:eastAsia="en-US"/>
        </w:rPr>
      </w:pPr>
      <w:r w:rsidRPr="00AA42FE">
        <w:rPr>
          <w:rFonts w:eastAsia="Calibri"/>
          <w:color w:val="000000"/>
          <w:sz w:val="18"/>
          <w:szCs w:val="22"/>
          <w:vertAlign w:val="superscript"/>
          <w:lang w:eastAsia="en-US"/>
        </w:rPr>
        <w:t>2</w:t>
      </w:r>
      <w:r w:rsidRPr="00AA42FE">
        <w:rPr>
          <w:rFonts w:eastAsia="Calibri"/>
          <w:color w:val="000000"/>
          <w:szCs w:val="22"/>
          <w:lang w:eastAsia="en-US"/>
        </w:rPr>
        <w:t xml:space="preserve"> Заповнюється відповідно до Довідника 8 "Види ринку" Системи довідників та класифікаторів</w:t>
      </w:r>
      <w:r w:rsidRPr="00AA42FE">
        <w:rPr>
          <w:rFonts w:eastAsia="Calibri"/>
          <w:color w:val="000000"/>
          <w:sz w:val="24"/>
          <w:szCs w:val="22"/>
          <w:lang w:eastAsia="en-US"/>
        </w:rPr>
        <w:t>.</w:t>
      </w:r>
    </w:p>
    <w:p w:rsidR="00AA42FE" w:rsidRPr="00AA42FE" w:rsidRDefault="00AA42FE" w:rsidP="00AA42FE">
      <w:pPr>
        <w:spacing w:after="160" w:line="259" w:lineRule="auto"/>
        <w:rPr>
          <w:rFonts w:ascii="Calibri" w:eastAsia="Calibri" w:hAnsi="Calibri"/>
          <w:color w:val="000000"/>
          <w:sz w:val="22"/>
          <w:szCs w:val="22"/>
          <w:lang w:eastAsia="en-US"/>
        </w:rPr>
      </w:pPr>
    </w:p>
    <w:p w:rsidR="00AA42FE" w:rsidRPr="00AA42FE" w:rsidRDefault="00AA42FE" w:rsidP="00AA42FE">
      <w:pPr>
        <w:spacing w:after="160" w:line="259" w:lineRule="auto"/>
        <w:rPr>
          <w:rFonts w:eastAsia="Calibri"/>
          <w:color w:val="000000"/>
          <w:sz w:val="24"/>
          <w:szCs w:val="22"/>
          <w:lang w:eastAsia="en-US"/>
        </w:rPr>
      </w:pPr>
      <w:r w:rsidRPr="00AA42FE">
        <w:rPr>
          <w:rFonts w:eastAsia="Calibri"/>
          <w:color w:val="000000"/>
          <w:sz w:val="18"/>
          <w:szCs w:val="22"/>
          <w:vertAlign w:val="superscript"/>
          <w:lang w:eastAsia="en-US"/>
        </w:rPr>
        <w:t>3</w:t>
      </w:r>
      <w:r w:rsidRPr="00AA42FE">
        <w:rPr>
          <w:rFonts w:eastAsia="Calibri"/>
          <w:color w:val="000000"/>
          <w:szCs w:val="22"/>
          <w:lang w:eastAsia="en-US"/>
        </w:rPr>
        <w:t xml:space="preserve"> Заповнюється відповідно до Довідника 25 "Технології проведення торгів" Системи довідників та класифікаторів.</w:t>
      </w:r>
    </w:p>
    <w:p w:rsidR="00AA42FE" w:rsidRPr="00AA42FE" w:rsidRDefault="00AA42FE" w:rsidP="00AA42FE">
      <w:pPr>
        <w:spacing w:after="160" w:line="259" w:lineRule="auto"/>
        <w:rPr>
          <w:rFonts w:ascii="Calibri" w:eastAsia="Calibri" w:hAnsi="Calibri"/>
          <w:color w:val="000000"/>
          <w:sz w:val="22"/>
          <w:szCs w:val="22"/>
          <w:lang w:eastAsia="en-US"/>
        </w:rPr>
      </w:pPr>
    </w:p>
    <w:p w:rsidR="00AA42FE" w:rsidRPr="00AA42FE" w:rsidRDefault="00AA42FE" w:rsidP="00AA42FE">
      <w:pPr>
        <w:spacing w:after="160" w:line="259" w:lineRule="auto"/>
        <w:rPr>
          <w:rFonts w:eastAsia="Calibri"/>
          <w:color w:val="000000"/>
          <w:sz w:val="24"/>
          <w:szCs w:val="22"/>
          <w:lang w:eastAsia="en-US"/>
        </w:rPr>
      </w:pPr>
      <w:r w:rsidRPr="00AA42FE">
        <w:rPr>
          <w:rFonts w:eastAsia="Calibri"/>
          <w:color w:val="000000"/>
          <w:sz w:val="18"/>
          <w:szCs w:val="22"/>
          <w:vertAlign w:val="superscript"/>
          <w:lang w:eastAsia="en-US"/>
        </w:rPr>
        <w:t>4</w:t>
      </w:r>
      <w:r w:rsidRPr="00AA42FE">
        <w:rPr>
          <w:rFonts w:eastAsia="Calibri"/>
          <w:color w:val="000000"/>
          <w:szCs w:val="22"/>
          <w:lang w:eastAsia="en-US"/>
        </w:rPr>
        <w:t xml:space="preserve"> Заповнюється відповідно до Довідника 9 "Види ринку за характером проведення операцій" Системи довідників та класифікаторів.</w:t>
      </w:r>
    </w:p>
    <w:p w:rsidR="00AA42FE" w:rsidRPr="00AA42FE" w:rsidRDefault="00AA42FE" w:rsidP="00AA42FE">
      <w:pPr>
        <w:spacing w:after="160" w:line="259" w:lineRule="auto"/>
        <w:rPr>
          <w:rFonts w:ascii="Calibri" w:eastAsia="Calibri" w:hAnsi="Calibri"/>
          <w:color w:val="000000"/>
          <w:sz w:val="22"/>
          <w:szCs w:val="22"/>
          <w:lang w:eastAsia="en-US"/>
        </w:rPr>
      </w:pPr>
    </w:p>
    <w:p w:rsidR="00AA42FE" w:rsidRPr="00AA42FE" w:rsidRDefault="00AA42FE" w:rsidP="00AA42FE">
      <w:pPr>
        <w:spacing w:after="160" w:line="259" w:lineRule="auto"/>
        <w:rPr>
          <w:rFonts w:eastAsia="Calibri"/>
          <w:color w:val="000000"/>
          <w:sz w:val="24"/>
          <w:szCs w:val="22"/>
          <w:lang w:eastAsia="en-US"/>
        </w:rPr>
      </w:pPr>
      <w:r w:rsidRPr="00AA42FE">
        <w:rPr>
          <w:rFonts w:eastAsia="Calibri"/>
          <w:color w:val="000000"/>
          <w:sz w:val="18"/>
          <w:szCs w:val="22"/>
          <w:vertAlign w:val="superscript"/>
          <w:lang w:eastAsia="en-US"/>
        </w:rPr>
        <w:t>5</w:t>
      </w:r>
      <w:r w:rsidRPr="00AA42FE">
        <w:rPr>
          <w:rFonts w:eastAsia="Calibri"/>
          <w:color w:val="000000"/>
          <w:szCs w:val="22"/>
          <w:lang w:eastAsia="en-US"/>
        </w:rPr>
        <w:t xml:space="preserve"> При здійсненні дилерської діяльності торговцем цінними паперами поля не заповнюються.</w:t>
      </w:r>
    </w:p>
    <w:p w:rsidR="00AA42FE" w:rsidRPr="00AA42FE" w:rsidRDefault="00AA42FE" w:rsidP="00AA42FE">
      <w:pPr>
        <w:spacing w:after="160" w:line="259" w:lineRule="auto"/>
        <w:rPr>
          <w:rFonts w:ascii="Calibri" w:eastAsia="Calibri" w:hAnsi="Calibri"/>
          <w:color w:val="000000"/>
          <w:sz w:val="22"/>
          <w:szCs w:val="22"/>
          <w:lang w:eastAsia="en-US"/>
        </w:rPr>
      </w:pPr>
    </w:p>
    <w:p w:rsidR="00AA42FE" w:rsidRPr="00AA42FE" w:rsidRDefault="00AA42FE" w:rsidP="00AA42FE">
      <w:pPr>
        <w:spacing w:after="160" w:line="259" w:lineRule="auto"/>
        <w:rPr>
          <w:rFonts w:eastAsia="Calibri"/>
          <w:color w:val="000000"/>
          <w:sz w:val="24"/>
          <w:szCs w:val="22"/>
          <w:lang w:eastAsia="en-US"/>
        </w:rPr>
      </w:pPr>
      <w:r w:rsidRPr="00AA42FE">
        <w:rPr>
          <w:rFonts w:eastAsia="Calibri"/>
          <w:color w:val="000000"/>
          <w:sz w:val="18"/>
          <w:szCs w:val="22"/>
          <w:vertAlign w:val="superscript"/>
          <w:lang w:eastAsia="en-US"/>
        </w:rPr>
        <w:t>6</w:t>
      </w:r>
      <w:r w:rsidRPr="00AA42FE">
        <w:rPr>
          <w:rFonts w:eastAsia="Calibri"/>
          <w:color w:val="000000"/>
          <w:szCs w:val="22"/>
          <w:lang w:eastAsia="en-US"/>
        </w:rPr>
        <w:t xml:space="preserve"> Заповнюється відповідно до Довідника 45 "Класифікація країн світу" Системи довідників та класифікаторів.</w:t>
      </w:r>
    </w:p>
    <w:p w:rsidR="00AA42FE" w:rsidRPr="00AA42FE" w:rsidRDefault="00AA42FE" w:rsidP="00AA42FE">
      <w:pPr>
        <w:jc w:val="both"/>
        <w:rPr>
          <w:sz w:val="28"/>
          <w:szCs w:val="28"/>
        </w:rPr>
      </w:pPr>
    </w:p>
    <w:sectPr w:rsidR="00AA42FE" w:rsidRPr="00AA42FE" w:rsidSect="002164C7">
      <w:headerReference w:type="even" r:id="rId9"/>
      <w:headerReference w:type="default" r:id="rId10"/>
      <w:pgSz w:w="11906" w:h="16838"/>
      <w:pgMar w:top="1134" w:right="1416"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75D" w:rsidRDefault="0031275D">
      <w:r>
        <w:separator/>
      </w:r>
    </w:p>
  </w:endnote>
  <w:endnote w:type="continuationSeparator" w:id="0">
    <w:p w:rsidR="0031275D" w:rsidRDefault="0031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75D" w:rsidRDefault="0031275D">
      <w:r>
        <w:separator/>
      </w:r>
    </w:p>
  </w:footnote>
  <w:footnote w:type="continuationSeparator" w:id="0">
    <w:p w:rsidR="0031275D" w:rsidRDefault="0031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A4" w:rsidRDefault="00B64EA4" w:rsidP="003C47D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64EA4" w:rsidRDefault="00B64EA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A4" w:rsidRDefault="00B64EA4" w:rsidP="003C47D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C0DFB">
      <w:rPr>
        <w:rStyle w:val="a8"/>
        <w:noProof/>
      </w:rPr>
      <w:t>2</w:t>
    </w:r>
    <w:r>
      <w:rPr>
        <w:rStyle w:val="a8"/>
      </w:rPr>
      <w:fldChar w:fldCharType="end"/>
    </w:r>
  </w:p>
  <w:p w:rsidR="00B64EA4" w:rsidRDefault="00B64EA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455"/>
    <w:multiLevelType w:val="hybridMultilevel"/>
    <w:tmpl w:val="175A5BC2"/>
    <w:lvl w:ilvl="0" w:tplc="C02A8EC8">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1" w15:restartNumberingAfterBreak="0">
    <w:nsid w:val="0E017651"/>
    <w:multiLevelType w:val="hybridMultilevel"/>
    <w:tmpl w:val="5AA28BA6"/>
    <w:lvl w:ilvl="0" w:tplc="10A881E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15341A62"/>
    <w:multiLevelType w:val="hybridMultilevel"/>
    <w:tmpl w:val="073A8F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50437E"/>
    <w:multiLevelType w:val="hybridMultilevel"/>
    <w:tmpl w:val="2C22603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3A7D91"/>
    <w:multiLevelType w:val="hybridMultilevel"/>
    <w:tmpl w:val="2904EC06"/>
    <w:lvl w:ilvl="0" w:tplc="6074D9C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15:restartNumberingAfterBreak="0">
    <w:nsid w:val="3D7C7CC5"/>
    <w:multiLevelType w:val="hybridMultilevel"/>
    <w:tmpl w:val="D91E01A0"/>
    <w:lvl w:ilvl="0" w:tplc="5808A36C">
      <w:start w:val="1"/>
      <w:numFmt w:val="decimal"/>
      <w:lvlText w:val="%1."/>
      <w:lvlJc w:val="left"/>
      <w:pPr>
        <w:ind w:left="1125" w:hanging="360"/>
      </w:pPr>
      <w:rPr>
        <w:rFonts w:hint="default"/>
      </w:r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6" w15:restartNumberingAfterBreak="0">
    <w:nsid w:val="3FC17DD7"/>
    <w:multiLevelType w:val="hybridMultilevel"/>
    <w:tmpl w:val="ED741378"/>
    <w:lvl w:ilvl="0" w:tplc="5B647474">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7" w15:restartNumberingAfterBreak="0">
    <w:nsid w:val="443450DF"/>
    <w:multiLevelType w:val="hybridMultilevel"/>
    <w:tmpl w:val="D03C36B4"/>
    <w:lvl w:ilvl="0" w:tplc="40AEB01C">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8" w15:restartNumberingAfterBreak="0">
    <w:nsid w:val="46D05210"/>
    <w:multiLevelType w:val="hybridMultilevel"/>
    <w:tmpl w:val="D9807CBE"/>
    <w:lvl w:ilvl="0" w:tplc="0FC8C494">
      <w:start w:val="1"/>
      <w:numFmt w:val="decimal"/>
      <w:lvlText w:val="%1)"/>
      <w:lvlJc w:val="left"/>
      <w:pPr>
        <w:ind w:left="990" w:hanging="360"/>
      </w:pPr>
      <w:rPr>
        <w:rFonts w:hint="default"/>
      </w:rPr>
    </w:lvl>
    <w:lvl w:ilvl="1" w:tplc="04220019" w:tentative="1">
      <w:start w:val="1"/>
      <w:numFmt w:val="lowerLetter"/>
      <w:lvlText w:val="%2."/>
      <w:lvlJc w:val="left"/>
      <w:pPr>
        <w:ind w:left="1710" w:hanging="360"/>
      </w:pPr>
    </w:lvl>
    <w:lvl w:ilvl="2" w:tplc="0422001B" w:tentative="1">
      <w:start w:val="1"/>
      <w:numFmt w:val="lowerRoman"/>
      <w:lvlText w:val="%3."/>
      <w:lvlJc w:val="right"/>
      <w:pPr>
        <w:ind w:left="2430" w:hanging="180"/>
      </w:pPr>
    </w:lvl>
    <w:lvl w:ilvl="3" w:tplc="0422000F" w:tentative="1">
      <w:start w:val="1"/>
      <w:numFmt w:val="decimal"/>
      <w:lvlText w:val="%4."/>
      <w:lvlJc w:val="left"/>
      <w:pPr>
        <w:ind w:left="3150" w:hanging="360"/>
      </w:pPr>
    </w:lvl>
    <w:lvl w:ilvl="4" w:tplc="04220019" w:tentative="1">
      <w:start w:val="1"/>
      <w:numFmt w:val="lowerLetter"/>
      <w:lvlText w:val="%5."/>
      <w:lvlJc w:val="left"/>
      <w:pPr>
        <w:ind w:left="3870" w:hanging="360"/>
      </w:pPr>
    </w:lvl>
    <w:lvl w:ilvl="5" w:tplc="0422001B" w:tentative="1">
      <w:start w:val="1"/>
      <w:numFmt w:val="lowerRoman"/>
      <w:lvlText w:val="%6."/>
      <w:lvlJc w:val="right"/>
      <w:pPr>
        <w:ind w:left="4590" w:hanging="180"/>
      </w:pPr>
    </w:lvl>
    <w:lvl w:ilvl="6" w:tplc="0422000F" w:tentative="1">
      <w:start w:val="1"/>
      <w:numFmt w:val="decimal"/>
      <w:lvlText w:val="%7."/>
      <w:lvlJc w:val="left"/>
      <w:pPr>
        <w:ind w:left="5310" w:hanging="360"/>
      </w:pPr>
    </w:lvl>
    <w:lvl w:ilvl="7" w:tplc="04220019" w:tentative="1">
      <w:start w:val="1"/>
      <w:numFmt w:val="lowerLetter"/>
      <w:lvlText w:val="%8."/>
      <w:lvlJc w:val="left"/>
      <w:pPr>
        <w:ind w:left="6030" w:hanging="360"/>
      </w:pPr>
    </w:lvl>
    <w:lvl w:ilvl="8" w:tplc="0422001B" w:tentative="1">
      <w:start w:val="1"/>
      <w:numFmt w:val="lowerRoman"/>
      <w:lvlText w:val="%9."/>
      <w:lvlJc w:val="right"/>
      <w:pPr>
        <w:ind w:left="6750" w:hanging="180"/>
      </w:pPr>
    </w:lvl>
  </w:abstractNum>
  <w:abstractNum w:abstractNumId="9" w15:restartNumberingAfterBreak="0">
    <w:nsid w:val="4C367290"/>
    <w:multiLevelType w:val="hybridMultilevel"/>
    <w:tmpl w:val="C13CC286"/>
    <w:lvl w:ilvl="0" w:tplc="57386254">
      <w:start w:val="1"/>
      <w:numFmt w:val="decimal"/>
      <w:lvlText w:val="%1."/>
      <w:lvlJc w:val="left"/>
      <w:pPr>
        <w:ind w:left="795" w:hanging="360"/>
      </w:pPr>
      <w:rPr>
        <w:rFonts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10" w15:restartNumberingAfterBreak="0">
    <w:nsid w:val="523E6542"/>
    <w:multiLevelType w:val="hybridMultilevel"/>
    <w:tmpl w:val="61906278"/>
    <w:lvl w:ilvl="0" w:tplc="5BFE819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1" w15:restartNumberingAfterBreak="0">
    <w:nsid w:val="52E9771B"/>
    <w:multiLevelType w:val="hybridMultilevel"/>
    <w:tmpl w:val="1C3A3684"/>
    <w:lvl w:ilvl="0" w:tplc="483698F2">
      <w:start w:val="1"/>
      <w:numFmt w:val="decimal"/>
      <w:lvlText w:val="%1"/>
      <w:lvlJc w:val="left"/>
      <w:pPr>
        <w:ind w:left="495" w:hanging="360"/>
      </w:pPr>
      <w:rPr>
        <w:rFonts w:hint="default"/>
      </w:rPr>
    </w:lvl>
    <w:lvl w:ilvl="1" w:tplc="04220019" w:tentative="1">
      <w:start w:val="1"/>
      <w:numFmt w:val="lowerLetter"/>
      <w:lvlText w:val="%2."/>
      <w:lvlJc w:val="left"/>
      <w:pPr>
        <w:ind w:left="1215" w:hanging="360"/>
      </w:pPr>
    </w:lvl>
    <w:lvl w:ilvl="2" w:tplc="0422001B" w:tentative="1">
      <w:start w:val="1"/>
      <w:numFmt w:val="lowerRoman"/>
      <w:lvlText w:val="%3."/>
      <w:lvlJc w:val="right"/>
      <w:pPr>
        <w:ind w:left="1935" w:hanging="180"/>
      </w:pPr>
    </w:lvl>
    <w:lvl w:ilvl="3" w:tplc="0422000F" w:tentative="1">
      <w:start w:val="1"/>
      <w:numFmt w:val="decimal"/>
      <w:lvlText w:val="%4."/>
      <w:lvlJc w:val="left"/>
      <w:pPr>
        <w:ind w:left="2655" w:hanging="360"/>
      </w:pPr>
    </w:lvl>
    <w:lvl w:ilvl="4" w:tplc="04220019" w:tentative="1">
      <w:start w:val="1"/>
      <w:numFmt w:val="lowerLetter"/>
      <w:lvlText w:val="%5."/>
      <w:lvlJc w:val="left"/>
      <w:pPr>
        <w:ind w:left="3375" w:hanging="360"/>
      </w:pPr>
    </w:lvl>
    <w:lvl w:ilvl="5" w:tplc="0422001B" w:tentative="1">
      <w:start w:val="1"/>
      <w:numFmt w:val="lowerRoman"/>
      <w:lvlText w:val="%6."/>
      <w:lvlJc w:val="right"/>
      <w:pPr>
        <w:ind w:left="4095" w:hanging="180"/>
      </w:pPr>
    </w:lvl>
    <w:lvl w:ilvl="6" w:tplc="0422000F" w:tentative="1">
      <w:start w:val="1"/>
      <w:numFmt w:val="decimal"/>
      <w:lvlText w:val="%7."/>
      <w:lvlJc w:val="left"/>
      <w:pPr>
        <w:ind w:left="4815" w:hanging="360"/>
      </w:pPr>
    </w:lvl>
    <w:lvl w:ilvl="7" w:tplc="04220019" w:tentative="1">
      <w:start w:val="1"/>
      <w:numFmt w:val="lowerLetter"/>
      <w:lvlText w:val="%8."/>
      <w:lvlJc w:val="left"/>
      <w:pPr>
        <w:ind w:left="5535" w:hanging="360"/>
      </w:pPr>
    </w:lvl>
    <w:lvl w:ilvl="8" w:tplc="0422001B" w:tentative="1">
      <w:start w:val="1"/>
      <w:numFmt w:val="lowerRoman"/>
      <w:lvlText w:val="%9."/>
      <w:lvlJc w:val="right"/>
      <w:pPr>
        <w:ind w:left="6255" w:hanging="180"/>
      </w:pPr>
    </w:lvl>
  </w:abstractNum>
  <w:abstractNum w:abstractNumId="12" w15:restartNumberingAfterBreak="0">
    <w:nsid w:val="590311C7"/>
    <w:multiLevelType w:val="hybridMultilevel"/>
    <w:tmpl w:val="5A386FB2"/>
    <w:lvl w:ilvl="0" w:tplc="0ED4485C">
      <w:start w:val="1"/>
      <w:numFmt w:val="decimal"/>
      <w:lvlText w:val="%1)"/>
      <w:lvlJc w:val="left"/>
      <w:pPr>
        <w:ind w:left="855" w:hanging="360"/>
      </w:pPr>
      <w:rPr>
        <w:rFonts w:hint="default"/>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abstractNum w:abstractNumId="13" w15:restartNumberingAfterBreak="0">
    <w:nsid w:val="750505D9"/>
    <w:multiLevelType w:val="hybridMultilevel"/>
    <w:tmpl w:val="BB182040"/>
    <w:lvl w:ilvl="0" w:tplc="9606F3D4">
      <w:start w:val="1"/>
      <w:numFmt w:val="decimal"/>
      <w:lvlText w:val="%1)"/>
      <w:lvlJc w:val="left"/>
      <w:pPr>
        <w:ind w:left="495" w:hanging="360"/>
      </w:pPr>
      <w:rPr>
        <w:rFonts w:hint="default"/>
      </w:rPr>
    </w:lvl>
    <w:lvl w:ilvl="1" w:tplc="04220019" w:tentative="1">
      <w:start w:val="1"/>
      <w:numFmt w:val="lowerLetter"/>
      <w:lvlText w:val="%2."/>
      <w:lvlJc w:val="left"/>
      <w:pPr>
        <w:ind w:left="1215" w:hanging="360"/>
      </w:pPr>
    </w:lvl>
    <w:lvl w:ilvl="2" w:tplc="0422001B" w:tentative="1">
      <w:start w:val="1"/>
      <w:numFmt w:val="lowerRoman"/>
      <w:lvlText w:val="%3."/>
      <w:lvlJc w:val="right"/>
      <w:pPr>
        <w:ind w:left="1935" w:hanging="180"/>
      </w:pPr>
    </w:lvl>
    <w:lvl w:ilvl="3" w:tplc="0422000F" w:tentative="1">
      <w:start w:val="1"/>
      <w:numFmt w:val="decimal"/>
      <w:lvlText w:val="%4."/>
      <w:lvlJc w:val="left"/>
      <w:pPr>
        <w:ind w:left="2655" w:hanging="360"/>
      </w:pPr>
    </w:lvl>
    <w:lvl w:ilvl="4" w:tplc="04220019" w:tentative="1">
      <w:start w:val="1"/>
      <w:numFmt w:val="lowerLetter"/>
      <w:lvlText w:val="%5."/>
      <w:lvlJc w:val="left"/>
      <w:pPr>
        <w:ind w:left="3375" w:hanging="360"/>
      </w:pPr>
    </w:lvl>
    <w:lvl w:ilvl="5" w:tplc="0422001B" w:tentative="1">
      <w:start w:val="1"/>
      <w:numFmt w:val="lowerRoman"/>
      <w:lvlText w:val="%6."/>
      <w:lvlJc w:val="right"/>
      <w:pPr>
        <w:ind w:left="4095" w:hanging="180"/>
      </w:pPr>
    </w:lvl>
    <w:lvl w:ilvl="6" w:tplc="0422000F" w:tentative="1">
      <w:start w:val="1"/>
      <w:numFmt w:val="decimal"/>
      <w:lvlText w:val="%7."/>
      <w:lvlJc w:val="left"/>
      <w:pPr>
        <w:ind w:left="4815" w:hanging="360"/>
      </w:pPr>
    </w:lvl>
    <w:lvl w:ilvl="7" w:tplc="04220019" w:tentative="1">
      <w:start w:val="1"/>
      <w:numFmt w:val="lowerLetter"/>
      <w:lvlText w:val="%8."/>
      <w:lvlJc w:val="left"/>
      <w:pPr>
        <w:ind w:left="5535" w:hanging="360"/>
      </w:pPr>
    </w:lvl>
    <w:lvl w:ilvl="8" w:tplc="0422001B" w:tentative="1">
      <w:start w:val="1"/>
      <w:numFmt w:val="lowerRoman"/>
      <w:lvlText w:val="%9."/>
      <w:lvlJc w:val="right"/>
      <w:pPr>
        <w:ind w:left="6255" w:hanging="180"/>
      </w:pPr>
    </w:lvl>
  </w:abstractNum>
  <w:num w:numId="1">
    <w:abstractNumId w:val="5"/>
  </w:num>
  <w:num w:numId="2">
    <w:abstractNumId w:val="10"/>
  </w:num>
  <w:num w:numId="3">
    <w:abstractNumId w:val="2"/>
  </w:num>
  <w:num w:numId="4">
    <w:abstractNumId w:val="9"/>
  </w:num>
  <w:num w:numId="5">
    <w:abstractNumId w:val="4"/>
  </w:num>
  <w:num w:numId="6">
    <w:abstractNumId w:val="8"/>
  </w:num>
  <w:num w:numId="7">
    <w:abstractNumId w:val="0"/>
  </w:num>
  <w:num w:numId="8">
    <w:abstractNumId w:val="7"/>
  </w:num>
  <w:num w:numId="9">
    <w:abstractNumId w:val="13"/>
  </w:num>
  <w:num w:numId="10">
    <w:abstractNumId w:val="11"/>
  </w:num>
  <w:num w:numId="11">
    <w:abstractNumId w:val="12"/>
  </w:num>
  <w:num w:numId="12">
    <w:abstractNumId w:val="6"/>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7DB"/>
    <w:rsid w:val="000019ED"/>
    <w:rsid w:val="00016EE9"/>
    <w:rsid w:val="00026E65"/>
    <w:rsid w:val="000469E2"/>
    <w:rsid w:val="00051A9C"/>
    <w:rsid w:val="0006424D"/>
    <w:rsid w:val="00077F5B"/>
    <w:rsid w:val="00085154"/>
    <w:rsid w:val="000859B5"/>
    <w:rsid w:val="00090543"/>
    <w:rsid w:val="000B4D0B"/>
    <w:rsid w:val="000B5672"/>
    <w:rsid w:val="000D6BB8"/>
    <w:rsid w:val="000F4857"/>
    <w:rsid w:val="00106CDA"/>
    <w:rsid w:val="0013229D"/>
    <w:rsid w:val="001439A0"/>
    <w:rsid w:val="00145E6C"/>
    <w:rsid w:val="001846BF"/>
    <w:rsid w:val="00192E34"/>
    <w:rsid w:val="00192F51"/>
    <w:rsid w:val="0019491E"/>
    <w:rsid w:val="001A4B7B"/>
    <w:rsid w:val="001B3BEF"/>
    <w:rsid w:val="001D1613"/>
    <w:rsid w:val="001D65CC"/>
    <w:rsid w:val="002041F3"/>
    <w:rsid w:val="002043F8"/>
    <w:rsid w:val="002164C7"/>
    <w:rsid w:val="00216BC5"/>
    <w:rsid w:val="002201AA"/>
    <w:rsid w:val="00240D8A"/>
    <w:rsid w:val="00245A9D"/>
    <w:rsid w:val="00251077"/>
    <w:rsid w:val="00276623"/>
    <w:rsid w:val="00296350"/>
    <w:rsid w:val="002A00A1"/>
    <w:rsid w:val="002B6CCA"/>
    <w:rsid w:val="002C2004"/>
    <w:rsid w:val="002C6327"/>
    <w:rsid w:val="002E5972"/>
    <w:rsid w:val="002F65E5"/>
    <w:rsid w:val="002F740B"/>
    <w:rsid w:val="0031275D"/>
    <w:rsid w:val="003155EE"/>
    <w:rsid w:val="00324F03"/>
    <w:rsid w:val="003509E1"/>
    <w:rsid w:val="00351155"/>
    <w:rsid w:val="003557A8"/>
    <w:rsid w:val="00366F55"/>
    <w:rsid w:val="00391A5C"/>
    <w:rsid w:val="0039283D"/>
    <w:rsid w:val="003A3D5B"/>
    <w:rsid w:val="003C198C"/>
    <w:rsid w:val="003C47DB"/>
    <w:rsid w:val="003E2F9D"/>
    <w:rsid w:val="00414921"/>
    <w:rsid w:val="00415D58"/>
    <w:rsid w:val="00420E7C"/>
    <w:rsid w:val="0043007C"/>
    <w:rsid w:val="004311C7"/>
    <w:rsid w:val="004352DB"/>
    <w:rsid w:val="00444305"/>
    <w:rsid w:val="00447047"/>
    <w:rsid w:val="00454867"/>
    <w:rsid w:val="00461CF7"/>
    <w:rsid w:val="004640DF"/>
    <w:rsid w:val="00474824"/>
    <w:rsid w:val="0049243E"/>
    <w:rsid w:val="004A362C"/>
    <w:rsid w:val="004B0982"/>
    <w:rsid w:val="004B2AFB"/>
    <w:rsid w:val="004B7B2B"/>
    <w:rsid w:val="004B7DF9"/>
    <w:rsid w:val="004C50A0"/>
    <w:rsid w:val="004E4BE8"/>
    <w:rsid w:val="004F43F9"/>
    <w:rsid w:val="00510F14"/>
    <w:rsid w:val="00512309"/>
    <w:rsid w:val="00524E67"/>
    <w:rsid w:val="005365FC"/>
    <w:rsid w:val="005432D5"/>
    <w:rsid w:val="00547F61"/>
    <w:rsid w:val="005731D3"/>
    <w:rsid w:val="00575E75"/>
    <w:rsid w:val="00577D33"/>
    <w:rsid w:val="0058495A"/>
    <w:rsid w:val="005A0FB3"/>
    <w:rsid w:val="005A4E7E"/>
    <w:rsid w:val="005B19FC"/>
    <w:rsid w:val="005B59A5"/>
    <w:rsid w:val="005C3BAB"/>
    <w:rsid w:val="005D2949"/>
    <w:rsid w:val="005D76B5"/>
    <w:rsid w:val="00645A81"/>
    <w:rsid w:val="00674B24"/>
    <w:rsid w:val="0067593F"/>
    <w:rsid w:val="00675FA7"/>
    <w:rsid w:val="00687CC5"/>
    <w:rsid w:val="00690F37"/>
    <w:rsid w:val="0069413E"/>
    <w:rsid w:val="006B7CA6"/>
    <w:rsid w:val="006C3D11"/>
    <w:rsid w:val="006D4741"/>
    <w:rsid w:val="006F14DE"/>
    <w:rsid w:val="006F6621"/>
    <w:rsid w:val="006F711F"/>
    <w:rsid w:val="007032EE"/>
    <w:rsid w:val="00706F5C"/>
    <w:rsid w:val="00714DB6"/>
    <w:rsid w:val="00715E5A"/>
    <w:rsid w:val="007225B7"/>
    <w:rsid w:val="007522A8"/>
    <w:rsid w:val="00753130"/>
    <w:rsid w:val="00762831"/>
    <w:rsid w:val="00764450"/>
    <w:rsid w:val="00767155"/>
    <w:rsid w:val="00777AEE"/>
    <w:rsid w:val="00782328"/>
    <w:rsid w:val="0078373A"/>
    <w:rsid w:val="0079558B"/>
    <w:rsid w:val="007A0271"/>
    <w:rsid w:val="007B48BF"/>
    <w:rsid w:val="007B49EF"/>
    <w:rsid w:val="007B5BAA"/>
    <w:rsid w:val="007C5D0B"/>
    <w:rsid w:val="007D7623"/>
    <w:rsid w:val="007E2B93"/>
    <w:rsid w:val="00817C95"/>
    <w:rsid w:val="00831169"/>
    <w:rsid w:val="00836374"/>
    <w:rsid w:val="00843B08"/>
    <w:rsid w:val="00843ED7"/>
    <w:rsid w:val="00846DA3"/>
    <w:rsid w:val="0086219B"/>
    <w:rsid w:val="008653BA"/>
    <w:rsid w:val="00876821"/>
    <w:rsid w:val="00880C73"/>
    <w:rsid w:val="008926FE"/>
    <w:rsid w:val="008D6650"/>
    <w:rsid w:val="008E2501"/>
    <w:rsid w:val="008E7757"/>
    <w:rsid w:val="008F02C8"/>
    <w:rsid w:val="008F0E3E"/>
    <w:rsid w:val="00917870"/>
    <w:rsid w:val="0093095A"/>
    <w:rsid w:val="009369DD"/>
    <w:rsid w:val="0098117E"/>
    <w:rsid w:val="00985125"/>
    <w:rsid w:val="00987C6D"/>
    <w:rsid w:val="009912BB"/>
    <w:rsid w:val="009A08E6"/>
    <w:rsid w:val="009A5AD4"/>
    <w:rsid w:val="009B1894"/>
    <w:rsid w:val="009B6FD8"/>
    <w:rsid w:val="009C1716"/>
    <w:rsid w:val="009E50DB"/>
    <w:rsid w:val="009F7B81"/>
    <w:rsid w:val="00A13FC5"/>
    <w:rsid w:val="00A16830"/>
    <w:rsid w:val="00A22719"/>
    <w:rsid w:val="00A243C2"/>
    <w:rsid w:val="00A308D1"/>
    <w:rsid w:val="00A33D74"/>
    <w:rsid w:val="00A35D77"/>
    <w:rsid w:val="00A53007"/>
    <w:rsid w:val="00A66021"/>
    <w:rsid w:val="00A81D86"/>
    <w:rsid w:val="00A871D5"/>
    <w:rsid w:val="00A87826"/>
    <w:rsid w:val="00A93C4A"/>
    <w:rsid w:val="00AA42FE"/>
    <w:rsid w:val="00AC3F44"/>
    <w:rsid w:val="00AD2B8B"/>
    <w:rsid w:val="00AF4850"/>
    <w:rsid w:val="00B2563C"/>
    <w:rsid w:val="00B26A87"/>
    <w:rsid w:val="00B30C87"/>
    <w:rsid w:val="00B37EE7"/>
    <w:rsid w:val="00B47EEB"/>
    <w:rsid w:val="00B56E19"/>
    <w:rsid w:val="00B577AD"/>
    <w:rsid w:val="00B64EA4"/>
    <w:rsid w:val="00B75AB7"/>
    <w:rsid w:val="00B84556"/>
    <w:rsid w:val="00B85602"/>
    <w:rsid w:val="00BB2728"/>
    <w:rsid w:val="00BB6DBF"/>
    <w:rsid w:val="00BC4170"/>
    <w:rsid w:val="00BE3FFE"/>
    <w:rsid w:val="00BE419B"/>
    <w:rsid w:val="00C10DB0"/>
    <w:rsid w:val="00C114B2"/>
    <w:rsid w:val="00C1666C"/>
    <w:rsid w:val="00C23415"/>
    <w:rsid w:val="00C67FF1"/>
    <w:rsid w:val="00C70259"/>
    <w:rsid w:val="00C767DF"/>
    <w:rsid w:val="00CB1BB2"/>
    <w:rsid w:val="00CB4AC7"/>
    <w:rsid w:val="00CC2F7A"/>
    <w:rsid w:val="00CE3827"/>
    <w:rsid w:val="00CE6C6F"/>
    <w:rsid w:val="00D25D04"/>
    <w:rsid w:val="00D2699F"/>
    <w:rsid w:val="00D27F36"/>
    <w:rsid w:val="00D37A07"/>
    <w:rsid w:val="00D43053"/>
    <w:rsid w:val="00D45778"/>
    <w:rsid w:val="00D55EA3"/>
    <w:rsid w:val="00D72419"/>
    <w:rsid w:val="00D82747"/>
    <w:rsid w:val="00DA55B4"/>
    <w:rsid w:val="00DA5629"/>
    <w:rsid w:val="00DB7A31"/>
    <w:rsid w:val="00DD2C8C"/>
    <w:rsid w:val="00DE4B30"/>
    <w:rsid w:val="00DE6467"/>
    <w:rsid w:val="00E00D53"/>
    <w:rsid w:val="00E104A2"/>
    <w:rsid w:val="00E11FC4"/>
    <w:rsid w:val="00E15225"/>
    <w:rsid w:val="00E25DD5"/>
    <w:rsid w:val="00E5727A"/>
    <w:rsid w:val="00E6055A"/>
    <w:rsid w:val="00E64CDD"/>
    <w:rsid w:val="00EA37D1"/>
    <w:rsid w:val="00EC0C6E"/>
    <w:rsid w:val="00EC0DFB"/>
    <w:rsid w:val="00EC5372"/>
    <w:rsid w:val="00EE735C"/>
    <w:rsid w:val="00F038B1"/>
    <w:rsid w:val="00F14279"/>
    <w:rsid w:val="00F207F8"/>
    <w:rsid w:val="00F223B8"/>
    <w:rsid w:val="00F5021B"/>
    <w:rsid w:val="00F5464C"/>
    <w:rsid w:val="00F753AF"/>
    <w:rsid w:val="00FE049D"/>
    <w:rsid w:val="00FF3C08"/>
    <w:rsid w:val="00FF4DEB"/>
    <w:rsid w:val="00FF7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C6F500A-D671-41A5-8BFC-57B989A8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7DB"/>
    <w:rPr>
      <w:lang w:val="uk-UA" w:eastAsia="ru-RU"/>
    </w:rPr>
  </w:style>
  <w:style w:type="paragraph" w:styleId="1">
    <w:name w:val="heading 1"/>
    <w:basedOn w:val="a"/>
    <w:next w:val="a"/>
    <w:link w:val="10"/>
    <w:qFormat/>
    <w:rsid w:val="003C47DB"/>
    <w:pPr>
      <w:keepNext/>
      <w:jc w:val="center"/>
      <w:outlineLvl w:val="0"/>
    </w:pPr>
    <w:rPr>
      <w:b/>
      <w:sz w:val="28"/>
    </w:rPr>
  </w:style>
  <w:style w:type="paragraph" w:styleId="2">
    <w:name w:val="heading 2"/>
    <w:basedOn w:val="a"/>
    <w:next w:val="a"/>
    <w:qFormat/>
    <w:rsid w:val="009F7B81"/>
    <w:pPr>
      <w:keepNext/>
      <w:spacing w:before="240" w:after="60"/>
      <w:outlineLvl w:val="1"/>
    </w:pPr>
    <w:rPr>
      <w:rFonts w:ascii="Arial" w:hAnsi="Arial" w:cs="Arial"/>
      <w:b/>
      <w:bCs/>
      <w:i/>
      <w:iCs/>
      <w:sz w:val="28"/>
      <w:szCs w:val="28"/>
    </w:rPr>
  </w:style>
  <w:style w:type="paragraph" w:styleId="4">
    <w:name w:val="heading 4"/>
    <w:basedOn w:val="a"/>
    <w:next w:val="a"/>
    <w:qFormat/>
    <w:rsid w:val="003C47DB"/>
    <w:pPr>
      <w:keepNext/>
      <w:outlineLvl w:val="3"/>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3C47DB"/>
    <w:pPr>
      <w:jc w:val="both"/>
    </w:pPr>
    <w:rPr>
      <w:sz w:val="28"/>
    </w:rPr>
  </w:style>
  <w:style w:type="paragraph" w:styleId="a5">
    <w:name w:val="Body Text Indent"/>
    <w:basedOn w:val="a"/>
    <w:rsid w:val="003C47DB"/>
    <w:pPr>
      <w:ind w:firstLine="720"/>
      <w:jc w:val="both"/>
    </w:pPr>
    <w:rPr>
      <w:sz w:val="28"/>
    </w:rPr>
  </w:style>
  <w:style w:type="paragraph" w:customStyle="1" w:styleId="20">
    <w:name w:val="çàãîëîâîê 2"/>
    <w:basedOn w:val="a"/>
    <w:next w:val="a"/>
    <w:rsid w:val="003C47DB"/>
    <w:pPr>
      <w:keepNext/>
      <w:ind w:firstLine="851"/>
      <w:jc w:val="center"/>
    </w:pPr>
    <w:rPr>
      <w:sz w:val="28"/>
      <w:lang w:val="x-none"/>
    </w:rPr>
  </w:style>
  <w:style w:type="paragraph" w:customStyle="1" w:styleId="caaieiaie1">
    <w:name w:val="caaieiaie 1"/>
    <w:basedOn w:val="a"/>
    <w:next w:val="a"/>
    <w:rsid w:val="003C47DB"/>
    <w:pPr>
      <w:keepNext/>
    </w:pPr>
    <w:rPr>
      <w:sz w:val="24"/>
      <w:lang w:val="ru-RU"/>
    </w:rPr>
  </w:style>
  <w:style w:type="paragraph" w:styleId="a6">
    <w:name w:val="Title"/>
    <w:basedOn w:val="a"/>
    <w:qFormat/>
    <w:rsid w:val="003C47DB"/>
    <w:pPr>
      <w:jc w:val="center"/>
    </w:pPr>
    <w:rPr>
      <w:b/>
      <w:sz w:val="28"/>
      <w:lang w:val="ru-RU"/>
    </w:rPr>
  </w:style>
  <w:style w:type="paragraph" w:styleId="a7">
    <w:name w:val="header"/>
    <w:basedOn w:val="a"/>
    <w:rsid w:val="003C47DB"/>
    <w:pPr>
      <w:tabs>
        <w:tab w:val="center" w:pos="4819"/>
        <w:tab w:val="right" w:pos="9639"/>
      </w:tabs>
    </w:pPr>
  </w:style>
  <w:style w:type="character" w:styleId="a8">
    <w:name w:val="page number"/>
    <w:basedOn w:val="a0"/>
    <w:rsid w:val="003C47DB"/>
  </w:style>
  <w:style w:type="paragraph" w:customStyle="1" w:styleId="a9">
    <w:name w:val=" Знак"/>
    <w:basedOn w:val="a"/>
    <w:rsid w:val="0067593F"/>
    <w:rPr>
      <w:rFonts w:ascii="Verdana" w:hAnsi="Verdana" w:cs="Verdana"/>
      <w:lang w:val="en-US" w:eastAsia="en-US"/>
    </w:rPr>
  </w:style>
  <w:style w:type="paragraph" w:customStyle="1" w:styleId="aa">
    <w:name w:val="Стиль Знак Знак"/>
    <w:basedOn w:val="a"/>
    <w:link w:val="a0"/>
    <w:rsid w:val="0098117E"/>
    <w:rPr>
      <w:rFonts w:ascii="Verdana" w:hAnsi="Verdana" w:cs="Verdana"/>
      <w:lang w:val="en-US" w:eastAsia="en-US"/>
    </w:rPr>
  </w:style>
  <w:style w:type="paragraph" w:styleId="ab">
    <w:name w:val="Balloon Text"/>
    <w:basedOn w:val="a"/>
    <w:semiHidden/>
    <w:rsid w:val="00645A81"/>
    <w:rPr>
      <w:rFonts w:ascii="Tahoma" w:hAnsi="Tahoma" w:cs="Tahoma"/>
      <w:sz w:val="16"/>
      <w:szCs w:val="16"/>
    </w:rPr>
  </w:style>
  <w:style w:type="character" w:customStyle="1" w:styleId="rvts23">
    <w:name w:val="rvts23"/>
    <w:basedOn w:val="a0"/>
    <w:rsid w:val="00753130"/>
  </w:style>
  <w:style w:type="character" w:customStyle="1" w:styleId="a4">
    <w:name w:val="Основной текст Знак"/>
    <w:link w:val="a3"/>
    <w:rsid w:val="002201AA"/>
    <w:rPr>
      <w:sz w:val="28"/>
      <w:lang w:eastAsia="ru-RU"/>
    </w:rPr>
  </w:style>
  <w:style w:type="table" w:styleId="ac">
    <w:name w:val="Table Grid"/>
    <w:basedOn w:val="a1"/>
    <w:uiPriority w:val="39"/>
    <w:rsid w:val="007225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5D2949"/>
    <w:rPr>
      <w:b/>
      <w:sz w:val="28"/>
      <w:lang w:eastAsia="ru-RU"/>
    </w:rPr>
  </w:style>
  <w:style w:type="character" w:styleId="ad">
    <w:name w:val="Emphasis"/>
    <w:qFormat/>
    <w:rsid w:val="002164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6140</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SSMSCU</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glagola</dc:creator>
  <cp:keywords/>
  <cp:lastModifiedBy>Руслан Кисляк</cp:lastModifiedBy>
  <cp:revision>2</cp:revision>
  <cp:lastPrinted>2019-03-26T15:20:00Z</cp:lastPrinted>
  <dcterms:created xsi:type="dcterms:W3CDTF">2019-04-05T11:32:00Z</dcterms:created>
  <dcterms:modified xsi:type="dcterms:W3CDTF">2019-04-05T11:32:00Z</dcterms:modified>
</cp:coreProperties>
</file>