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47D" w:rsidRPr="00C701A1" w:rsidRDefault="0093247D" w:rsidP="007E30AD">
      <w:pPr>
        <w:jc w:val="center"/>
        <w:rPr>
          <w:b/>
          <w:sz w:val="28"/>
          <w:szCs w:val="28"/>
        </w:rPr>
      </w:pPr>
      <w:bookmarkStart w:id="0" w:name="_GoBack"/>
      <w:bookmarkEnd w:id="0"/>
      <w:r w:rsidRPr="00C701A1">
        <w:rPr>
          <w:b/>
          <w:sz w:val="28"/>
          <w:szCs w:val="28"/>
        </w:rPr>
        <w:t>Порівняльна таблиця</w:t>
      </w:r>
    </w:p>
    <w:p w:rsidR="004D1687" w:rsidRPr="00C701A1" w:rsidRDefault="002D5FD4" w:rsidP="007E30AD">
      <w:pPr>
        <w:jc w:val="center"/>
        <w:rPr>
          <w:b/>
          <w:sz w:val="28"/>
          <w:szCs w:val="28"/>
        </w:rPr>
      </w:pPr>
      <w:r w:rsidRPr="00C701A1">
        <w:rPr>
          <w:b/>
          <w:sz w:val="28"/>
          <w:szCs w:val="28"/>
        </w:rPr>
        <w:t xml:space="preserve">змін </w:t>
      </w:r>
      <w:r w:rsidR="007C0E0A" w:rsidRPr="007C0E0A">
        <w:rPr>
          <w:b/>
          <w:sz w:val="28"/>
          <w:szCs w:val="28"/>
        </w:rPr>
        <w:t>до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 затвердженого рішенням Національної комісії з цінних паперів та фондового ринку від 25 вересня 2012 року № 1284, зареєстрованого в Міністерстві юстиції України 16 жовтня 2012 року за № 1738/22050 (зі змінами)</w:t>
      </w:r>
    </w:p>
    <w:p w:rsidR="0093247D" w:rsidRPr="002D5FD4" w:rsidRDefault="0093247D"/>
    <w:tbl>
      <w:tblPr>
        <w:tblW w:w="151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7144"/>
        <w:gridCol w:w="7371"/>
      </w:tblGrid>
      <w:tr w:rsidR="000B17A0" w:rsidRPr="00CA799C" w:rsidTr="00296069">
        <w:tc>
          <w:tcPr>
            <w:tcW w:w="626" w:type="dxa"/>
            <w:shd w:val="clear" w:color="auto" w:fill="auto"/>
          </w:tcPr>
          <w:p w:rsidR="000B17A0" w:rsidRPr="00CA799C" w:rsidRDefault="000B17A0"/>
        </w:tc>
        <w:tc>
          <w:tcPr>
            <w:tcW w:w="7144" w:type="dxa"/>
            <w:shd w:val="clear" w:color="auto" w:fill="auto"/>
          </w:tcPr>
          <w:p w:rsidR="000B17A0" w:rsidRPr="00CA799C" w:rsidRDefault="00464798" w:rsidP="000B17A0">
            <w:pPr>
              <w:jc w:val="center"/>
              <w:rPr>
                <w:b/>
              </w:rPr>
            </w:pPr>
            <w:r w:rsidRPr="00CA799C">
              <w:rPr>
                <w:b/>
              </w:rPr>
              <w:t>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p>
        </w:tc>
        <w:tc>
          <w:tcPr>
            <w:tcW w:w="7371" w:type="dxa"/>
            <w:shd w:val="clear" w:color="auto" w:fill="auto"/>
          </w:tcPr>
          <w:p w:rsidR="000B17A0" w:rsidRPr="00CA799C" w:rsidRDefault="000B17A0" w:rsidP="00464798">
            <w:pPr>
              <w:jc w:val="center"/>
              <w:rPr>
                <w:b/>
              </w:rPr>
            </w:pPr>
            <w:r w:rsidRPr="00CA799C">
              <w:rPr>
                <w:b/>
              </w:rPr>
              <w:t xml:space="preserve">Зміни до </w:t>
            </w:r>
            <w:r w:rsidR="00464798" w:rsidRPr="00CA799C">
              <w:rPr>
                <w:b/>
              </w:rPr>
              <w:t>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p>
        </w:tc>
      </w:tr>
      <w:tr w:rsidR="000B17A0" w:rsidRPr="00CA799C" w:rsidTr="00296069">
        <w:tc>
          <w:tcPr>
            <w:tcW w:w="626" w:type="dxa"/>
            <w:shd w:val="clear" w:color="auto" w:fill="auto"/>
          </w:tcPr>
          <w:p w:rsidR="000B17A0" w:rsidRPr="00CA799C" w:rsidRDefault="000B17A0"/>
        </w:tc>
        <w:tc>
          <w:tcPr>
            <w:tcW w:w="7144" w:type="dxa"/>
            <w:shd w:val="clear" w:color="auto" w:fill="auto"/>
          </w:tcPr>
          <w:p w:rsidR="000B17A0" w:rsidRPr="00CA799C" w:rsidRDefault="000B17A0" w:rsidP="00A45F22">
            <w:pPr>
              <w:ind w:firstLine="284"/>
              <w:jc w:val="center"/>
              <w:rPr>
                <w:b/>
              </w:rPr>
            </w:pPr>
            <w:r w:rsidRPr="00CA799C">
              <w:rPr>
                <w:b/>
              </w:rPr>
              <w:t>I. Загальні положення</w:t>
            </w:r>
          </w:p>
          <w:p w:rsidR="007C0E0A" w:rsidRPr="00CA799C" w:rsidRDefault="007C0E0A" w:rsidP="007C0E0A">
            <w:pPr>
              <w:pStyle w:val="rvps2"/>
              <w:shd w:val="clear" w:color="auto" w:fill="FFFFFF"/>
              <w:spacing w:before="0" w:beforeAutospacing="0" w:after="150" w:afterAutospacing="0"/>
              <w:jc w:val="both"/>
              <w:rPr>
                <w:color w:val="000000"/>
              </w:rPr>
            </w:pPr>
            <w:r w:rsidRPr="00CA799C">
              <w:rPr>
                <w:color w:val="000000"/>
              </w:rPr>
              <w:t xml:space="preserve">      9. Фінансова звітність організатора торгівлі, утвореного у формі акціонерного товариства, розкривається відповідно до нормативно-правових актів, що регулюють питання розкриття інформації емітентами цінних паперів.</w:t>
            </w:r>
          </w:p>
          <w:p w:rsidR="007C0E0A" w:rsidRPr="00CA799C" w:rsidRDefault="007C0E0A" w:rsidP="007C0E0A">
            <w:pPr>
              <w:pStyle w:val="rvps2"/>
              <w:shd w:val="clear" w:color="auto" w:fill="FFFFFF"/>
              <w:spacing w:before="0" w:beforeAutospacing="0" w:after="150" w:afterAutospacing="0"/>
              <w:ind w:firstLine="450"/>
              <w:jc w:val="both"/>
              <w:rPr>
                <w:strike/>
                <w:color w:val="000000"/>
              </w:rPr>
            </w:pPr>
            <w:bookmarkStart w:id="1" w:name="n35"/>
            <w:bookmarkEnd w:id="1"/>
            <w:r w:rsidRPr="00CA799C">
              <w:rPr>
                <w:strike/>
                <w:color w:val="000000"/>
              </w:rPr>
              <w:t>Річна фінансова звітність підтверджується аудиторським висновком, що складається аудиторською фірмою, яка внесена до реєстру аудиторів та аудиторських фірм, які можуть проводити аудиторські перевірки фінансових установ, що здійснюють діяльність на ринку цінних паперів, та розкривається у складі регулярної річної інформації емітента.</w:t>
            </w:r>
          </w:p>
          <w:p w:rsidR="000B17A0" w:rsidRPr="00CA799C" w:rsidRDefault="000B17A0" w:rsidP="00A45F22">
            <w:pPr>
              <w:ind w:firstLine="284"/>
              <w:jc w:val="both"/>
            </w:pPr>
          </w:p>
        </w:tc>
        <w:tc>
          <w:tcPr>
            <w:tcW w:w="7371" w:type="dxa"/>
            <w:shd w:val="clear" w:color="auto" w:fill="auto"/>
          </w:tcPr>
          <w:p w:rsidR="000B17A0" w:rsidRPr="00CA799C" w:rsidRDefault="000B17A0" w:rsidP="00A45F22">
            <w:pPr>
              <w:ind w:firstLine="284"/>
              <w:jc w:val="center"/>
              <w:rPr>
                <w:b/>
              </w:rPr>
            </w:pPr>
            <w:r w:rsidRPr="00CA799C">
              <w:rPr>
                <w:b/>
              </w:rPr>
              <w:t>I. Загальні положення</w:t>
            </w:r>
          </w:p>
          <w:p w:rsidR="007C0E0A" w:rsidRPr="00CA799C" w:rsidRDefault="007C0E0A" w:rsidP="007C0E0A">
            <w:pPr>
              <w:pStyle w:val="rvps2"/>
              <w:shd w:val="clear" w:color="auto" w:fill="FFFFFF"/>
              <w:spacing w:before="0" w:beforeAutospacing="0" w:after="150" w:afterAutospacing="0"/>
              <w:ind w:firstLine="450"/>
              <w:jc w:val="both"/>
              <w:rPr>
                <w:color w:val="000000"/>
              </w:rPr>
            </w:pPr>
            <w:r w:rsidRPr="00CA799C">
              <w:rPr>
                <w:color w:val="000000"/>
              </w:rPr>
              <w:t>9. Фінансова звітність організатора торгівлі, утвореного у формі акціонерного товариства, розкривається відповідно до нормативно-правових актів, що регулюють питання розкриття інформації емітентами цінних паперів.</w:t>
            </w:r>
          </w:p>
          <w:p w:rsidR="000B17A0" w:rsidRPr="00750789" w:rsidRDefault="00750789" w:rsidP="007C0E0A">
            <w:pPr>
              <w:pStyle w:val="rvps2"/>
              <w:shd w:val="clear" w:color="auto" w:fill="FFFFFF"/>
              <w:spacing w:before="0" w:beforeAutospacing="0" w:after="150" w:afterAutospacing="0"/>
              <w:ind w:firstLine="450"/>
              <w:jc w:val="both"/>
              <w:rPr>
                <w:b/>
                <w:i/>
              </w:rPr>
            </w:pPr>
            <w:r w:rsidRPr="00750789">
              <w:rPr>
                <w:b/>
                <w:i/>
              </w:rPr>
              <w:t>Виключено</w:t>
            </w:r>
          </w:p>
        </w:tc>
      </w:tr>
      <w:tr w:rsidR="00CA799C" w:rsidRPr="006906AC" w:rsidTr="00296069">
        <w:tc>
          <w:tcPr>
            <w:tcW w:w="626" w:type="dxa"/>
            <w:shd w:val="clear" w:color="auto" w:fill="auto"/>
          </w:tcPr>
          <w:p w:rsidR="00CA799C" w:rsidRPr="006906AC" w:rsidRDefault="00CA799C"/>
        </w:tc>
        <w:tc>
          <w:tcPr>
            <w:tcW w:w="7144" w:type="dxa"/>
            <w:shd w:val="clear" w:color="auto" w:fill="auto"/>
          </w:tcPr>
          <w:p w:rsidR="006906AC" w:rsidRPr="006906AC" w:rsidRDefault="006906AC" w:rsidP="006906AC">
            <w:pPr>
              <w:pStyle w:val="rvps7"/>
              <w:shd w:val="clear" w:color="auto" w:fill="FFFFFF"/>
              <w:spacing w:before="150" w:beforeAutospacing="0" w:after="150" w:afterAutospacing="0"/>
              <w:ind w:left="450" w:right="450"/>
              <w:jc w:val="center"/>
              <w:rPr>
                <w:color w:val="000000"/>
              </w:rPr>
            </w:pPr>
            <w:r w:rsidRPr="006906AC">
              <w:rPr>
                <w:rStyle w:val="rvts15"/>
                <w:b/>
                <w:bCs/>
                <w:color w:val="000000"/>
              </w:rPr>
              <w:t>III. Подання Даних організаторами торгівлі</w:t>
            </w:r>
          </w:p>
          <w:p w:rsidR="006906AC" w:rsidRPr="006906AC" w:rsidRDefault="006906AC" w:rsidP="006906AC">
            <w:pPr>
              <w:pStyle w:val="rvps7"/>
              <w:shd w:val="clear" w:color="auto" w:fill="FFFFFF"/>
              <w:spacing w:before="150" w:beforeAutospacing="0" w:after="150" w:afterAutospacing="0"/>
              <w:ind w:left="450" w:right="450"/>
              <w:jc w:val="center"/>
              <w:rPr>
                <w:color w:val="000000"/>
              </w:rPr>
            </w:pPr>
            <w:bookmarkStart w:id="2" w:name="n60"/>
            <w:bookmarkEnd w:id="2"/>
            <w:r w:rsidRPr="006906AC">
              <w:rPr>
                <w:rStyle w:val="rvts15"/>
                <w:b/>
                <w:bCs/>
                <w:color w:val="000000"/>
              </w:rPr>
              <w:t>1. Склад Даних</w:t>
            </w:r>
          </w:p>
          <w:p w:rsidR="00CA799C" w:rsidRPr="009C46E5" w:rsidRDefault="006906AC" w:rsidP="00CA799C">
            <w:pPr>
              <w:pStyle w:val="rvps2"/>
              <w:shd w:val="clear" w:color="auto" w:fill="FFFFFF"/>
              <w:spacing w:before="0" w:beforeAutospacing="0" w:after="150" w:afterAutospacing="0"/>
              <w:ind w:firstLine="450"/>
              <w:jc w:val="both"/>
              <w:rPr>
                <w:color w:val="000000"/>
              </w:rPr>
            </w:pPr>
            <w:r w:rsidRPr="009C46E5">
              <w:rPr>
                <w:color w:val="000000"/>
              </w:rPr>
              <w:t xml:space="preserve">4. </w:t>
            </w:r>
            <w:r w:rsidR="00CA799C" w:rsidRPr="009C46E5">
              <w:rPr>
                <w:color w:val="000000"/>
              </w:rPr>
              <w:t>Нерегулярні Дані складаються з:</w:t>
            </w:r>
          </w:p>
          <w:p w:rsidR="00CA799C" w:rsidRPr="009C46E5" w:rsidRDefault="00CA799C" w:rsidP="00CA799C">
            <w:pPr>
              <w:pStyle w:val="rvps2"/>
              <w:shd w:val="clear" w:color="auto" w:fill="FFFFFF"/>
              <w:spacing w:before="0" w:beforeAutospacing="0" w:after="150" w:afterAutospacing="0"/>
              <w:ind w:firstLine="450"/>
              <w:jc w:val="both"/>
              <w:rPr>
                <w:color w:val="000000"/>
              </w:rPr>
            </w:pPr>
            <w:bookmarkStart w:id="3" w:name="n72"/>
            <w:bookmarkEnd w:id="3"/>
            <w:r w:rsidRPr="009C46E5">
              <w:rPr>
                <w:color w:val="000000"/>
              </w:rPr>
              <w:t>4.1. </w:t>
            </w:r>
            <w:hyperlink r:id="rId7" w:anchor="n114" w:history="1">
              <w:r w:rsidRPr="009C46E5">
                <w:rPr>
                  <w:rStyle w:val="a8"/>
                  <w:color w:val="000000"/>
                  <w:u w:val="none"/>
                </w:rPr>
                <w:t>Довідки про зміни у біржовому списку</w:t>
              </w:r>
            </w:hyperlink>
            <w:r w:rsidRPr="009C46E5">
              <w:rPr>
                <w:color w:val="000000"/>
              </w:rPr>
              <w:t> (додаток 10 до цього Положення).</w:t>
            </w:r>
          </w:p>
          <w:p w:rsidR="00CA799C" w:rsidRPr="009C46E5" w:rsidRDefault="00CA799C" w:rsidP="00CA799C">
            <w:pPr>
              <w:pStyle w:val="rvps2"/>
              <w:shd w:val="clear" w:color="auto" w:fill="FFFFFF"/>
              <w:spacing w:before="0" w:beforeAutospacing="0" w:after="150" w:afterAutospacing="0"/>
              <w:ind w:firstLine="450"/>
              <w:jc w:val="both"/>
              <w:rPr>
                <w:color w:val="000000"/>
              </w:rPr>
            </w:pPr>
            <w:bookmarkStart w:id="4" w:name="n73"/>
            <w:bookmarkEnd w:id="4"/>
            <w:r w:rsidRPr="009C46E5">
              <w:rPr>
                <w:color w:val="000000"/>
              </w:rPr>
              <w:t>4.2. </w:t>
            </w:r>
            <w:hyperlink r:id="rId8" w:anchor="n118" w:history="1">
              <w:r w:rsidRPr="009C46E5">
                <w:rPr>
                  <w:rStyle w:val="a8"/>
                  <w:color w:val="000000"/>
                  <w:u w:val="none"/>
                </w:rPr>
                <w:t>Довідки про зміни в переліку членів фондової біржі, торговців цінними паперами, допущених до біржових торгів на організаторі торгівлі</w:t>
              </w:r>
            </w:hyperlink>
            <w:r w:rsidRPr="009C46E5">
              <w:rPr>
                <w:color w:val="000000"/>
              </w:rPr>
              <w:t> (додаток 11 до цього Положення).</w:t>
            </w:r>
          </w:p>
          <w:p w:rsidR="00CA799C" w:rsidRPr="009C46E5" w:rsidRDefault="00CA799C" w:rsidP="00CA799C">
            <w:pPr>
              <w:pStyle w:val="rvps2"/>
              <w:shd w:val="clear" w:color="auto" w:fill="FFFFFF"/>
              <w:spacing w:before="0" w:beforeAutospacing="0" w:after="150" w:afterAutospacing="0"/>
              <w:ind w:firstLine="450"/>
              <w:jc w:val="both"/>
              <w:rPr>
                <w:color w:val="000000"/>
              </w:rPr>
            </w:pPr>
            <w:bookmarkStart w:id="5" w:name="n168"/>
            <w:bookmarkStart w:id="6" w:name="n74"/>
            <w:bookmarkEnd w:id="5"/>
            <w:bookmarkEnd w:id="6"/>
            <w:r w:rsidRPr="009C46E5">
              <w:rPr>
                <w:color w:val="000000"/>
              </w:rPr>
              <w:lastRenderedPageBreak/>
              <w:t>4.3. </w:t>
            </w:r>
            <w:hyperlink r:id="rId9" w:anchor="n121" w:history="1">
              <w:r w:rsidRPr="009C46E5">
                <w:rPr>
                  <w:rStyle w:val="a8"/>
                  <w:color w:val="000000"/>
                  <w:u w:val="none"/>
                </w:rPr>
                <w:t>Довідки про біржові контракти (договори РЕПО) з цінними паперами та іншими фінансовими інструментами на організаторі торгівлі, щодо яких відбулися зміни</w:t>
              </w:r>
            </w:hyperlink>
            <w:r w:rsidRPr="009C46E5">
              <w:rPr>
                <w:color w:val="000000"/>
              </w:rPr>
              <w:t> (додаток 12 до цього Положення).</w:t>
            </w:r>
          </w:p>
          <w:p w:rsidR="00CA799C" w:rsidRPr="009C46E5" w:rsidRDefault="00CA799C" w:rsidP="00CA799C">
            <w:pPr>
              <w:pStyle w:val="rvps2"/>
              <w:shd w:val="clear" w:color="auto" w:fill="FFFFFF"/>
              <w:spacing w:before="0" w:beforeAutospacing="0" w:after="150" w:afterAutospacing="0"/>
              <w:ind w:firstLine="450"/>
              <w:jc w:val="both"/>
              <w:rPr>
                <w:color w:val="000000"/>
              </w:rPr>
            </w:pPr>
            <w:bookmarkStart w:id="7" w:name="n75"/>
            <w:bookmarkEnd w:id="7"/>
            <w:r w:rsidRPr="009C46E5">
              <w:rPr>
                <w:color w:val="000000"/>
              </w:rPr>
              <w:t>4.4. </w:t>
            </w:r>
            <w:hyperlink r:id="rId10" w:anchor="n125" w:history="1">
              <w:r w:rsidRPr="009C46E5">
                <w:rPr>
                  <w:rStyle w:val="a8"/>
                  <w:color w:val="000000"/>
                  <w:u w:val="none"/>
                </w:rPr>
                <w:t>Довідки про ситуації цінової нестабільності</w:t>
              </w:r>
            </w:hyperlink>
            <w:r w:rsidRPr="009C46E5">
              <w:rPr>
                <w:color w:val="000000"/>
              </w:rPr>
              <w:t> (додаток 13 до цього Положення).</w:t>
            </w:r>
          </w:p>
          <w:p w:rsidR="00CA799C" w:rsidRPr="009C46E5" w:rsidRDefault="00CA799C" w:rsidP="00A45F22">
            <w:pPr>
              <w:ind w:firstLine="284"/>
              <w:jc w:val="center"/>
              <w:rPr>
                <w:b/>
                <w:color w:val="000000"/>
              </w:rPr>
            </w:pPr>
          </w:p>
        </w:tc>
        <w:tc>
          <w:tcPr>
            <w:tcW w:w="7371" w:type="dxa"/>
            <w:shd w:val="clear" w:color="auto" w:fill="auto"/>
          </w:tcPr>
          <w:p w:rsidR="006906AC" w:rsidRPr="006906AC" w:rsidRDefault="006906AC" w:rsidP="006906AC">
            <w:pPr>
              <w:pStyle w:val="rvps7"/>
              <w:shd w:val="clear" w:color="auto" w:fill="FFFFFF"/>
              <w:spacing w:before="150" w:beforeAutospacing="0" w:after="150" w:afterAutospacing="0"/>
              <w:ind w:left="450" w:right="450"/>
              <w:jc w:val="center"/>
              <w:rPr>
                <w:color w:val="000000"/>
              </w:rPr>
            </w:pPr>
            <w:r w:rsidRPr="006906AC">
              <w:rPr>
                <w:rStyle w:val="rvts15"/>
                <w:b/>
                <w:bCs/>
                <w:color w:val="000000"/>
              </w:rPr>
              <w:lastRenderedPageBreak/>
              <w:t>III. Подання Даних організаторами торгівлі</w:t>
            </w:r>
          </w:p>
          <w:p w:rsidR="006906AC" w:rsidRPr="006906AC" w:rsidRDefault="006906AC" w:rsidP="006906AC">
            <w:pPr>
              <w:pStyle w:val="rvps7"/>
              <w:shd w:val="clear" w:color="auto" w:fill="FFFFFF"/>
              <w:spacing w:before="150" w:beforeAutospacing="0" w:after="150" w:afterAutospacing="0"/>
              <w:ind w:left="450" w:right="450"/>
              <w:jc w:val="center"/>
              <w:rPr>
                <w:color w:val="000000"/>
              </w:rPr>
            </w:pPr>
            <w:r w:rsidRPr="006906AC">
              <w:rPr>
                <w:rStyle w:val="rvts15"/>
                <w:b/>
                <w:bCs/>
                <w:color w:val="000000"/>
              </w:rPr>
              <w:t>1. Склад Даних</w:t>
            </w:r>
          </w:p>
          <w:p w:rsidR="00CA799C" w:rsidRPr="006906AC" w:rsidRDefault="006906AC" w:rsidP="00CA799C">
            <w:pPr>
              <w:pStyle w:val="rvps2"/>
              <w:shd w:val="clear" w:color="auto" w:fill="FFFFFF"/>
              <w:spacing w:before="0" w:beforeAutospacing="0" w:after="150" w:afterAutospacing="0"/>
              <w:ind w:firstLine="450"/>
              <w:jc w:val="both"/>
              <w:rPr>
                <w:color w:val="000000"/>
              </w:rPr>
            </w:pPr>
            <w:r>
              <w:rPr>
                <w:color w:val="000000"/>
              </w:rPr>
              <w:t xml:space="preserve">4. </w:t>
            </w:r>
            <w:r w:rsidR="00CA799C" w:rsidRPr="006906AC">
              <w:rPr>
                <w:color w:val="000000"/>
              </w:rPr>
              <w:t>Нерегулярні Дані складаються з:</w:t>
            </w:r>
          </w:p>
          <w:p w:rsidR="00CA799C" w:rsidRPr="006906AC" w:rsidRDefault="00CA799C" w:rsidP="00CA799C">
            <w:pPr>
              <w:pStyle w:val="rvps2"/>
              <w:shd w:val="clear" w:color="auto" w:fill="FFFFFF"/>
              <w:spacing w:before="0" w:beforeAutospacing="0" w:after="150" w:afterAutospacing="0"/>
              <w:ind w:firstLine="450"/>
              <w:jc w:val="both"/>
              <w:rPr>
                <w:color w:val="000000"/>
              </w:rPr>
            </w:pPr>
            <w:r w:rsidRPr="006906AC">
              <w:rPr>
                <w:color w:val="000000"/>
              </w:rPr>
              <w:t>4.1. </w:t>
            </w:r>
            <w:hyperlink r:id="rId11" w:anchor="n114" w:history="1">
              <w:r w:rsidRPr="006906AC">
                <w:rPr>
                  <w:rStyle w:val="a8"/>
                  <w:color w:val="000000"/>
                  <w:u w:val="none"/>
                </w:rPr>
                <w:t>Довідки про зміни у біржовому списку</w:t>
              </w:r>
            </w:hyperlink>
            <w:r w:rsidRPr="006906AC">
              <w:rPr>
                <w:color w:val="000000"/>
              </w:rPr>
              <w:t> (додаток 10 до цього Положення).</w:t>
            </w:r>
          </w:p>
          <w:p w:rsidR="00CA799C" w:rsidRPr="006906AC" w:rsidRDefault="00CA799C" w:rsidP="00CA799C">
            <w:pPr>
              <w:pStyle w:val="rvps2"/>
              <w:shd w:val="clear" w:color="auto" w:fill="FFFFFF"/>
              <w:spacing w:before="0" w:beforeAutospacing="0" w:after="150" w:afterAutospacing="0"/>
              <w:ind w:firstLine="450"/>
              <w:jc w:val="both"/>
              <w:rPr>
                <w:color w:val="000000"/>
              </w:rPr>
            </w:pPr>
            <w:r w:rsidRPr="006906AC">
              <w:rPr>
                <w:color w:val="000000"/>
              </w:rPr>
              <w:t>4.2. </w:t>
            </w:r>
            <w:hyperlink r:id="rId12" w:anchor="n118" w:history="1">
              <w:r w:rsidRPr="006906AC">
                <w:rPr>
                  <w:rStyle w:val="a8"/>
                  <w:color w:val="000000"/>
                  <w:u w:val="none"/>
                </w:rPr>
                <w:t>Довідки про зміни в переліку членів фондової біржі, торговців цінними паперами, допущених до біржових торгів на організаторі торгівлі</w:t>
              </w:r>
            </w:hyperlink>
            <w:r w:rsidRPr="006906AC">
              <w:rPr>
                <w:color w:val="000000"/>
              </w:rPr>
              <w:t> (додаток 11 до цього Положення).</w:t>
            </w:r>
          </w:p>
          <w:p w:rsidR="00CA799C" w:rsidRPr="006906AC" w:rsidRDefault="00CA799C" w:rsidP="006906AC">
            <w:pPr>
              <w:pStyle w:val="rvps2"/>
              <w:shd w:val="clear" w:color="auto" w:fill="FFFFFF"/>
              <w:spacing w:before="0" w:beforeAutospacing="0" w:after="150" w:afterAutospacing="0"/>
              <w:ind w:firstLine="464"/>
              <w:jc w:val="both"/>
              <w:rPr>
                <w:color w:val="000000"/>
              </w:rPr>
            </w:pPr>
            <w:r w:rsidRPr="006906AC">
              <w:rPr>
                <w:color w:val="000000"/>
              </w:rPr>
              <w:lastRenderedPageBreak/>
              <w:t>4.3. </w:t>
            </w:r>
            <w:hyperlink r:id="rId13" w:anchor="n121" w:history="1">
              <w:r w:rsidRPr="006906AC">
                <w:rPr>
                  <w:rStyle w:val="a8"/>
                  <w:color w:val="000000"/>
                  <w:u w:val="none"/>
                </w:rPr>
                <w:t>Довідки про біржові контракти (договори РЕПО) з цінними паперами та іншими фінансовими інструментами на організаторі торгівлі, щодо яких відбулися зміни</w:t>
              </w:r>
            </w:hyperlink>
            <w:r w:rsidRPr="006906AC">
              <w:rPr>
                <w:color w:val="000000"/>
              </w:rPr>
              <w:t> (додаток 12 до цього Положення).</w:t>
            </w:r>
          </w:p>
          <w:p w:rsidR="00CA799C" w:rsidRPr="006906AC" w:rsidRDefault="00CA799C" w:rsidP="00CA799C">
            <w:pPr>
              <w:pStyle w:val="rvps2"/>
              <w:shd w:val="clear" w:color="auto" w:fill="FFFFFF"/>
              <w:spacing w:before="0" w:beforeAutospacing="0" w:after="150" w:afterAutospacing="0"/>
              <w:ind w:firstLine="450"/>
              <w:jc w:val="both"/>
              <w:rPr>
                <w:color w:val="000000"/>
              </w:rPr>
            </w:pPr>
            <w:r w:rsidRPr="006906AC">
              <w:rPr>
                <w:color w:val="000000"/>
              </w:rPr>
              <w:t>4.4. </w:t>
            </w:r>
            <w:hyperlink r:id="rId14" w:anchor="n125" w:history="1">
              <w:r w:rsidRPr="006906AC">
                <w:rPr>
                  <w:rStyle w:val="a8"/>
                  <w:color w:val="000000"/>
                  <w:u w:val="none"/>
                </w:rPr>
                <w:t>Довідки про ситуації цінової нестабільності</w:t>
              </w:r>
            </w:hyperlink>
            <w:r w:rsidRPr="006906AC">
              <w:rPr>
                <w:color w:val="000000"/>
              </w:rPr>
              <w:t> (додаток 13 до цього Положення).</w:t>
            </w:r>
          </w:p>
          <w:p w:rsidR="00CA799C" w:rsidRPr="006906AC" w:rsidRDefault="00CA799C" w:rsidP="00CA799C">
            <w:pPr>
              <w:ind w:firstLine="464"/>
              <w:jc w:val="both"/>
              <w:rPr>
                <w:b/>
              </w:rPr>
            </w:pPr>
            <w:r w:rsidRPr="006906AC">
              <w:rPr>
                <w:b/>
              </w:rPr>
              <w:t xml:space="preserve">4.1. Довідки про подані безадресні заявки на продаж цінних паперів, </w:t>
            </w:r>
            <w:r w:rsidRPr="006906AC">
              <w:rPr>
                <w:b/>
                <w:color w:val="000000"/>
              </w:rPr>
              <w:t xml:space="preserve">щодо яких не здійснювалася публічна пропозиція (крім цінних паперів емітентів, які вважаються такими, що здійснили публічну пропозицію відповідно до закону), </w:t>
            </w:r>
            <w:r w:rsidRPr="006906AC">
              <w:rPr>
                <w:b/>
              </w:rPr>
              <w:t>торговцями цінними паперами, які діяли в інтересах клієнтів, яким надано прямий електронний доступ до біржових торгів та які не розкрили інформацію про себе в обсязі, визначеному Комісією (додаток 15 до цього Положення).</w:t>
            </w:r>
          </w:p>
        </w:tc>
      </w:tr>
      <w:tr w:rsidR="00CA799C" w:rsidRPr="00CA799C" w:rsidTr="00296069">
        <w:tc>
          <w:tcPr>
            <w:tcW w:w="626" w:type="dxa"/>
            <w:shd w:val="clear" w:color="auto" w:fill="auto"/>
          </w:tcPr>
          <w:p w:rsidR="00CA799C" w:rsidRPr="00CA799C" w:rsidRDefault="00CA799C"/>
        </w:tc>
        <w:tc>
          <w:tcPr>
            <w:tcW w:w="7144" w:type="dxa"/>
            <w:shd w:val="clear" w:color="auto" w:fill="auto"/>
          </w:tcPr>
          <w:p w:rsidR="006906AC" w:rsidRPr="006906AC" w:rsidRDefault="006906AC" w:rsidP="006906AC">
            <w:pPr>
              <w:ind w:firstLine="515"/>
            </w:pPr>
            <w:r w:rsidRPr="006906AC">
              <w:rPr>
                <w:b/>
                <w:bCs/>
                <w:color w:val="000000"/>
                <w:shd w:val="clear" w:color="auto" w:fill="FFFFFF"/>
              </w:rPr>
              <w:t>2. Строки подання Даних до Комісії</w:t>
            </w:r>
          </w:p>
          <w:p w:rsidR="006906AC" w:rsidRDefault="006906AC" w:rsidP="006906AC">
            <w:pPr>
              <w:ind w:firstLine="515"/>
            </w:pPr>
          </w:p>
          <w:p w:rsidR="006906AC" w:rsidRPr="006906AC" w:rsidRDefault="006906AC" w:rsidP="006906AC">
            <w:pPr>
              <w:ind w:firstLine="515"/>
            </w:pPr>
            <w:r w:rsidRPr="006906AC">
              <w:t>2. Нерегулярні Дані організатора торгівлі подаються за фактом їх виникнення у разі:</w:t>
            </w:r>
          </w:p>
          <w:p w:rsidR="006906AC" w:rsidRPr="006906AC" w:rsidRDefault="006906AC" w:rsidP="006906AC">
            <w:pPr>
              <w:ind w:firstLine="515"/>
            </w:pPr>
            <w:bookmarkStart w:id="8" w:name="n83"/>
            <w:bookmarkEnd w:id="8"/>
            <w:r w:rsidRPr="006906AC">
              <w:t>змін, що відбулись у переліку членів фондової біржі, торговців цінними паперами, допущених до укладення договорів купівлі-продажу цінних паперів та інших фінансових інструментів на фондовій біржі;</w:t>
            </w:r>
          </w:p>
          <w:p w:rsidR="006906AC" w:rsidRPr="006906AC" w:rsidRDefault="006906AC" w:rsidP="006906AC">
            <w:pPr>
              <w:ind w:firstLine="515"/>
            </w:pPr>
            <w:bookmarkStart w:id="9" w:name="n169"/>
            <w:bookmarkStart w:id="10" w:name="n84"/>
            <w:bookmarkEnd w:id="9"/>
            <w:bookmarkEnd w:id="10"/>
            <w:r w:rsidRPr="006906AC">
              <w:t>змін, що відбулись у біржовому списку;</w:t>
            </w:r>
          </w:p>
          <w:p w:rsidR="006906AC" w:rsidRPr="006906AC" w:rsidRDefault="006906AC" w:rsidP="006906AC">
            <w:pPr>
              <w:ind w:firstLine="515"/>
            </w:pPr>
            <w:bookmarkStart w:id="11" w:name="n85"/>
            <w:bookmarkEnd w:id="11"/>
            <w:r w:rsidRPr="006906AC">
              <w:t>змін щодо біржових контрактів;</w:t>
            </w:r>
          </w:p>
          <w:p w:rsidR="006906AC" w:rsidRPr="006906AC" w:rsidRDefault="006906AC" w:rsidP="006906AC">
            <w:pPr>
              <w:ind w:firstLine="515"/>
            </w:pPr>
            <w:bookmarkStart w:id="12" w:name="n86"/>
            <w:bookmarkEnd w:id="12"/>
            <w:r w:rsidRPr="006906AC">
              <w:t>виникнення ситуації цінової нестабільності.</w:t>
            </w:r>
          </w:p>
          <w:p w:rsidR="00CA799C" w:rsidRPr="006906AC" w:rsidRDefault="00CA799C" w:rsidP="006906AC">
            <w:pPr>
              <w:pStyle w:val="rvps2"/>
              <w:shd w:val="clear" w:color="auto" w:fill="FFFFFF"/>
              <w:spacing w:before="0" w:beforeAutospacing="0" w:after="150" w:afterAutospacing="0"/>
              <w:ind w:firstLine="450"/>
              <w:jc w:val="both"/>
              <w:rPr>
                <w:b/>
              </w:rPr>
            </w:pPr>
            <w:bookmarkStart w:id="13" w:name="n87"/>
            <w:bookmarkEnd w:id="13"/>
          </w:p>
        </w:tc>
        <w:tc>
          <w:tcPr>
            <w:tcW w:w="7371" w:type="dxa"/>
            <w:shd w:val="clear" w:color="auto" w:fill="auto"/>
          </w:tcPr>
          <w:p w:rsidR="006906AC" w:rsidRPr="006906AC" w:rsidRDefault="006906AC" w:rsidP="006906AC">
            <w:pPr>
              <w:ind w:firstLine="464"/>
            </w:pPr>
            <w:r w:rsidRPr="006906AC">
              <w:rPr>
                <w:b/>
                <w:bCs/>
                <w:color w:val="000000"/>
                <w:shd w:val="clear" w:color="auto" w:fill="FFFFFF"/>
              </w:rPr>
              <w:t>2. Строки подання Даних до Комісії</w:t>
            </w:r>
          </w:p>
          <w:p w:rsidR="006906AC" w:rsidRDefault="006906AC" w:rsidP="006906AC">
            <w:pPr>
              <w:ind w:firstLine="464"/>
            </w:pPr>
          </w:p>
          <w:p w:rsidR="006906AC" w:rsidRPr="006906AC" w:rsidRDefault="006906AC" w:rsidP="006906AC">
            <w:pPr>
              <w:ind w:firstLine="464"/>
            </w:pPr>
            <w:r w:rsidRPr="006906AC">
              <w:t>2. Нерегулярні Дані організатора торгівлі подаються за фактом їх виникнення у разі:</w:t>
            </w:r>
          </w:p>
          <w:p w:rsidR="006906AC" w:rsidRPr="006906AC" w:rsidRDefault="006906AC" w:rsidP="006906AC">
            <w:pPr>
              <w:ind w:firstLine="464"/>
            </w:pPr>
            <w:r w:rsidRPr="006906AC">
              <w:t>змін, що відбулись у переліку членів фондової біржі, торговців цінними паперами, допущених до укладення договорів купівлі-продажу цінних паперів та інших фінансових інструментів на фондовій біржі;</w:t>
            </w:r>
          </w:p>
          <w:p w:rsidR="006906AC" w:rsidRPr="006906AC" w:rsidRDefault="006906AC" w:rsidP="006906AC">
            <w:pPr>
              <w:ind w:firstLine="464"/>
            </w:pPr>
            <w:r w:rsidRPr="006906AC">
              <w:t>змін, що відбулись у біржовому списку;</w:t>
            </w:r>
          </w:p>
          <w:p w:rsidR="006906AC" w:rsidRPr="006906AC" w:rsidRDefault="006906AC" w:rsidP="006906AC">
            <w:pPr>
              <w:ind w:firstLine="464"/>
            </w:pPr>
            <w:r w:rsidRPr="006906AC">
              <w:t>змін щодо біржових контрактів;</w:t>
            </w:r>
          </w:p>
          <w:p w:rsidR="006906AC" w:rsidRPr="006906AC" w:rsidRDefault="006906AC" w:rsidP="006906AC">
            <w:pPr>
              <w:ind w:firstLine="464"/>
            </w:pPr>
            <w:r w:rsidRPr="006906AC">
              <w:t>виникнення ситуації цінової нестабільності;</w:t>
            </w:r>
          </w:p>
          <w:p w:rsidR="00CA799C" w:rsidRDefault="00CA799C" w:rsidP="008C4F3B">
            <w:pPr>
              <w:ind w:firstLine="464"/>
              <w:jc w:val="both"/>
              <w:rPr>
                <w:b/>
              </w:rPr>
            </w:pPr>
            <w:r w:rsidRPr="006906AC">
              <w:rPr>
                <w:b/>
              </w:rPr>
              <w:t>у разі подачі безадресної за</w:t>
            </w:r>
            <w:r w:rsidR="008C4F3B">
              <w:rPr>
                <w:b/>
              </w:rPr>
              <w:t>явки</w:t>
            </w:r>
            <w:r w:rsidRPr="006906AC">
              <w:rPr>
                <w:b/>
              </w:rPr>
              <w:t xml:space="preserve"> на продаж цінних паперів, </w:t>
            </w:r>
            <w:r w:rsidRPr="006906AC">
              <w:rPr>
                <w:b/>
                <w:color w:val="000000"/>
              </w:rPr>
              <w:t xml:space="preserve">щодо яких не здійснювалася публічна пропозиція (крім цінних паперів емітентів, які вважаються такими, що здійснили публічну пропозицію відповідно до закону), </w:t>
            </w:r>
            <w:r w:rsidRPr="006906AC">
              <w:rPr>
                <w:b/>
              </w:rPr>
              <w:t>торговцями цінними паперами, які діяли в інтересах клієнтів, яким надано прямий електронний доступ до біржових торгів та які не розкрили інформацію про себе в обсязі, визначеному Комісією.</w:t>
            </w:r>
          </w:p>
          <w:p w:rsidR="00296069" w:rsidRDefault="00296069" w:rsidP="008C4F3B">
            <w:pPr>
              <w:ind w:firstLine="464"/>
              <w:jc w:val="both"/>
              <w:rPr>
                <w:b/>
              </w:rPr>
            </w:pPr>
          </w:p>
          <w:p w:rsidR="00296069" w:rsidRDefault="00296069" w:rsidP="008C4F3B">
            <w:pPr>
              <w:ind w:firstLine="464"/>
              <w:jc w:val="both"/>
              <w:rPr>
                <w:b/>
              </w:rPr>
            </w:pPr>
          </w:p>
          <w:p w:rsidR="00296069" w:rsidRPr="006906AC" w:rsidRDefault="00296069" w:rsidP="008C4F3B">
            <w:pPr>
              <w:ind w:firstLine="464"/>
              <w:jc w:val="both"/>
              <w:rPr>
                <w:b/>
              </w:rPr>
            </w:pPr>
          </w:p>
        </w:tc>
      </w:tr>
      <w:tr w:rsidR="007C0E0A" w:rsidRPr="00CA799C" w:rsidTr="00296069">
        <w:tc>
          <w:tcPr>
            <w:tcW w:w="626" w:type="dxa"/>
            <w:shd w:val="clear" w:color="auto" w:fill="auto"/>
          </w:tcPr>
          <w:p w:rsidR="007C0E0A" w:rsidRPr="00CA799C" w:rsidRDefault="007C0E0A"/>
        </w:tc>
        <w:tc>
          <w:tcPr>
            <w:tcW w:w="7144" w:type="dxa"/>
            <w:shd w:val="clear" w:color="auto" w:fill="auto"/>
          </w:tcPr>
          <w:p w:rsidR="007C0E0A" w:rsidRPr="00CA799C" w:rsidRDefault="007C0E0A" w:rsidP="007C0E0A">
            <w:pPr>
              <w:shd w:val="clear" w:color="auto" w:fill="FFFFFF"/>
              <w:spacing w:after="150"/>
              <w:jc w:val="both"/>
            </w:pPr>
          </w:p>
          <w:tbl>
            <w:tblPr>
              <w:tblW w:w="5000" w:type="pct"/>
              <w:tblLayout w:type="fixed"/>
              <w:tblCellMar>
                <w:left w:w="0" w:type="dxa"/>
                <w:right w:w="0" w:type="dxa"/>
              </w:tblCellMar>
              <w:tblLook w:val="04A0" w:firstRow="1" w:lastRow="0" w:firstColumn="1" w:lastColumn="0" w:noHBand="0" w:noVBand="1"/>
            </w:tblPr>
            <w:tblGrid>
              <w:gridCol w:w="3115"/>
              <w:gridCol w:w="3807"/>
            </w:tblGrid>
            <w:tr w:rsidR="007C0E0A" w:rsidRPr="00CA799C" w:rsidTr="00637410">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7C0E0A" w:rsidRPr="00CA799C" w:rsidRDefault="007C0E0A" w:rsidP="007C0E0A">
                  <w:pPr>
                    <w:spacing w:before="150" w:after="150"/>
                  </w:pPr>
                  <w:bookmarkStart w:id="14" w:name="n98"/>
                  <w:bookmarkEnd w:id="14"/>
                </w:p>
              </w:tc>
              <w:tc>
                <w:tcPr>
                  <w:tcW w:w="2750" w:type="pct"/>
                  <w:tcBorders>
                    <w:top w:val="single" w:sz="2" w:space="0" w:color="auto"/>
                    <w:left w:val="single" w:sz="2" w:space="0" w:color="auto"/>
                    <w:bottom w:val="single" w:sz="2" w:space="0" w:color="auto"/>
                    <w:right w:val="single" w:sz="2" w:space="0" w:color="auto"/>
                  </w:tcBorders>
                  <w:shd w:val="clear" w:color="auto" w:fill="auto"/>
                  <w:hideMark/>
                </w:tcPr>
                <w:p w:rsidR="007C0E0A" w:rsidRPr="00CA799C" w:rsidRDefault="007C0E0A" w:rsidP="009577EB">
                  <w:pPr>
                    <w:spacing w:before="150" w:after="150"/>
                    <w:jc w:val="both"/>
                  </w:pPr>
                  <w:r w:rsidRPr="00CA799C">
                    <w:t>Додаток 1 </w:t>
                  </w:r>
                  <w:r w:rsidRPr="00CA799C">
                    <w:br/>
                    <w:t>до Положення про порядок </w:t>
                  </w:r>
                  <w:r w:rsidRPr="00CA799C">
                    <w:br/>
                    <w:t>складання адміністративних даних </w:t>
                  </w:r>
                  <w:r w:rsidRPr="00CA799C">
                    <w:br/>
                    <w:t>щодо здійснення діяльності </w:t>
                  </w:r>
                  <w:r w:rsidRPr="00CA799C">
                    <w:br/>
                    <w:t>організаторами торгівлі, </w:t>
                  </w:r>
                  <w:r w:rsidRPr="00CA799C">
                    <w:br/>
                    <w:t>оприлюднення інформації </w:t>
                  </w:r>
                  <w:r w:rsidRPr="00CA799C">
                    <w:br/>
                    <w:t>та подання відповідних документів </w:t>
                  </w:r>
                  <w:r w:rsidRPr="00CA799C">
                    <w:br/>
                    <w:t>до Національної комісії </w:t>
                  </w:r>
                  <w:r w:rsidRPr="00CA799C">
                    <w:br/>
                    <w:t>з цінних паперів та фондового ринку </w:t>
                  </w:r>
                  <w:r w:rsidRPr="00CA799C">
                    <w:br/>
                    <w:t>(підпункт 2.1 пункту 2 глави 1 розділу ІІІ)</w:t>
                  </w:r>
                </w:p>
              </w:tc>
            </w:tr>
          </w:tbl>
          <w:p w:rsidR="007C0E0A" w:rsidRPr="00CA799C" w:rsidRDefault="007C0E0A" w:rsidP="007C0E0A">
            <w:pPr>
              <w:shd w:val="clear" w:color="auto" w:fill="FFFFFF"/>
              <w:spacing w:before="150" w:after="150"/>
              <w:ind w:left="225" w:right="225"/>
              <w:jc w:val="center"/>
              <w:rPr>
                <w:color w:val="000000"/>
              </w:rPr>
            </w:pPr>
            <w:bookmarkStart w:id="15" w:name="n99"/>
            <w:bookmarkEnd w:id="15"/>
            <w:r w:rsidRPr="00CA799C">
              <w:rPr>
                <w:b/>
                <w:bCs/>
                <w:color w:val="000000"/>
              </w:rPr>
              <w:t>ДОВІДКА </w:t>
            </w:r>
            <w:r w:rsidRPr="00CA799C">
              <w:rPr>
                <w:color w:val="000000"/>
              </w:rPr>
              <w:br/>
            </w:r>
            <w:r w:rsidRPr="00CA799C">
              <w:rPr>
                <w:b/>
                <w:bCs/>
                <w:color w:val="000000"/>
              </w:rPr>
              <w:t>про цінні папери та інші фінансові інструменти, які знаходяться в біржовому списку організатора торгівлі</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6912"/>
            </w:tblGrid>
            <w:tr w:rsidR="007C0E0A" w:rsidRPr="00CA799C" w:rsidTr="00637410">
              <w:tc>
                <w:tcPr>
                  <w:tcW w:w="5000" w:type="pct"/>
                  <w:tcBorders>
                    <w:top w:val="single" w:sz="6" w:space="0" w:color="000000"/>
                    <w:left w:val="single" w:sz="6" w:space="0" w:color="000000"/>
                    <w:bottom w:val="single" w:sz="6" w:space="0" w:color="000000"/>
                    <w:right w:val="single" w:sz="6" w:space="0" w:color="000000"/>
                  </w:tcBorders>
                  <w:shd w:val="clear" w:color="auto" w:fill="auto"/>
                </w:tcPr>
                <w:p w:rsidR="007C0E0A" w:rsidRPr="00CA799C" w:rsidRDefault="00CA799C" w:rsidP="007C0E0A">
                  <w:pPr>
                    <w:spacing w:before="150" w:after="150"/>
                    <w:rPr>
                      <w:b/>
                      <w:i/>
                    </w:rPr>
                  </w:pPr>
                  <w:bookmarkStart w:id="16" w:name="n150"/>
                  <w:bookmarkEnd w:id="16"/>
                  <w:r w:rsidRPr="00CA799C">
                    <w:rPr>
                      <w:b/>
                      <w:i/>
                    </w:rPr>
                    <w:t xml:space="preserve">Відсутня </w:t>
                  </w:r>
                </w:p>
              </w:tc>
            </w:tr>
            <w:tr w:rsidR="007C0E0A" w:rsidRPr="00CA799C" w:rsidTr="00637410">
              <w:tc>
                <w:tcPr>
                  <w:tcW w:w="5000" w:type="pct"/>
                  <w:tcBorders>
                    <w:top w:val="single" w:sz="6" w:space="0" w:color="000000"/>
                    <w:left w:val="single" w:sz="6" w:space="0" w:color="000000"/>
                    <w:bottom w:val="single" w:sz="6" w:space="0" w:color="000000"/>
                    <w:right w:val="single" w:sz="6" w:space="0" w:color="000000"/>
                  </w:tcBorders>
                  <w:shd w:val="clear" w:color="auto" w:fill="auto"/>
                </w:tcPr>
                <w:p w:rsidR="007C0E0A" w:rsidRPr="00CA799C" w:rsidRDefault="00637410" w:rsidP="007C0E0A">
                  <w:pPr>
                    <w:spacing w:before="150" w:after="150"/>
                  </w:pPr>
                  <w:r w:rsidRPr="00CA799C">
                    <w:t>…</w:t>
                  </w:r>
                </w:p>
              </w:tc>
            </w:tr>
            <w:tr w:rsidR="007C0E0A" w:rsidRPr="00CA799C" w:rsidTr="00637410">
              <w:tc>
                <w:tcPr>
                  <w:tcW w:w="5000" w:type="pct"/>
                  <w:tcBorders>
                    <w:top w:val="single" w:sz="6" w:space="0" w:color="000000"/>
                    <w:left w:val="single" w:sz="6" w:space="0" w:color="000000"/>
                    <w:bottom w:val="single" w:sz="6" w:space="0" w:color="000000"/>
                    <w:right w:val="single" w:sz="6" w:space="0" w:color="000000"/>
                  </w:tcBorders>
                  <w:shd w:val="clear" w:color="auto" w:fill="auto"/>
                  <w:hideMark/>
                </w:tcPr>
                <w:p w:rsidR="007C0E0A" w:rsidRPr="00CA799C" w:rsidRDefault="007C0E0A" w:rsidP="007C0E0A">
                  <w:pPr>
                    <w:spacing w:before="150" w:after="150"/>
                    <w:rPr>
                      <w:strike/>
                    </w:rPr>
                  </w:pPr>
                  <w:r w:rsidRPr="00CA799C">
                    <w:rPr>
                      <w:strike/>
                    </w:rPr>
                    <w:t>Рівень лістингу: "1" - перший рівень лістингу, "2" - другий рівень лістингу, "0" - позалістингові</w:t>
                  </w:r>
                </w:p>
              </w:tc>
            </w:tr>
            <w:tr w:rsidR="007C0E0A" w:rsidRPr="00CA799C" w:rsidTr="00637410">
              <w:tc>
                <w:tcPr>
                  <w:tcW w:w="5000" w:type="pct"/>
                  <w:tcBorders>
                    <w:top w:val="single" w:sz="6" w:space="0" w:color="000000"/>
                    <w:left w:val="single" w:sz="6" w:space="0" w:color="000000"/>
                    <w:bottom w:val="single" w:sz="6" w:space="0" w:color="000000"/>
                    <w:right w:val="single" w:sz="6" w:space="0" w:color="000000"/>
                  </w:tcBorders>
                  <w:shd w:val="clear" w:color="auto" w:fill="auto"/>
                </w:tcPr>
                <w:p w:rsidR="007C0E0A" w:rsidRPr="00CA799C" w:rsidRDefault="00637410" w:rsidP="007C0E0A">
                  <w:pPr>
                    <w:spacing w:before="150" w:after="150"/>
                  </w:pPr>
                  <w:r w:rsidRPr="00CA799C">
                    <w:t>…</w:t>
                  </w:r>
                </w:p>
              </w:tc>
            </w:tr>
          </w:tbl>
          <w:p w:rsidR="007C0E0A" w:rsidRPr="00CA799C" w:rsidRDefault="007C0E0A" w:rsidP="00A45F22">
            <w:pPr>
              <w:ind w:firstLine="284"/>
              <w:jc w:val="center"/>
              <w:rPr>
                <w:b/>
              </w:rPr>
            </w:pPr>
          </w:p>
        </w:tc>
        <w:tc>
          <w:tcPr>
            <w:tcW w:w="7371" w:type="dxa"/>
            <w:shd w:val="clear" w:color="auto" w:fill="auto"/>
          </w:tcPr>
          <w:p w:rsidR="009577EB" w:rsidRPr="00CA799C" w:rsidRDefault="009577EB" w:rsidP="009577EB">
            <w:pPr>
              <w:shd w:val="clear" w:color="auto" w:fill="FFFFFF"/>
              <w:spacing w:after="150"/>
              <w:jc w:val="both"/>
            </w:pPr>
          </w:p>
          <w:tbl>
            <w:tblPr>
              <w:tblW w:w="5000" w:type="pct"/>
              <w:tblLayout w:type="fixed"/>
              <w:tblCellMar>
                <w:left w:w="0" w:type="dxa"/>
                <w:right w:w="0" w:type="dxa"/>
              </w:tblCellMar>
              <w:tblLook w:val="04A0" w:firstRow="1" w:lastRow="0" w:firstColumn="1" w:lastColumn="0" w:noHBand="0" w:noVBand="1"/>
            </w:tblPr>
            <w:tblGrid>
              <w:gridCol w:w="3785"/>
              <w:gridCol w:w="3364"/>
            </w:tblGrid>
            <w:tr w:rsidR="009577EB" w:rsidRPr="00CA799C" w:rsidTr="00637410">
              <w:tc>
                <w:tcPr>
                  <w:tcW w:w="2647" w:type="pct"/>
                  <w:tcBorders>
                    <w:top w:val="single" w:sz="2" w:space="0" w:color="auto"/>
                    <w:left w:val="single" w:sz="2" w:space="0" w:color="auto"/>
                    <w:bottom w:val="single" w:sz="2" w:space="0" w:color="auto"/>
                    <w:right w:val="single" w:sz="2" w:space="0" w:color="auto"/>
                  </w:tcBorders>
                  <w:shd w:val="clear" w:color="auto" w:fill="auto"/>
                  <w:hideMark/>
                </w:tcPr>
                <w:p w:rsidR="009577EB" w:rsidRPr="00CA799C" w:rsidRDefault="009577EB" w:rsidP="009577EB">
                  <w:pPr>
                    <w:spacing w:before="150" w:after="150"/>
                  </w:pPr>
                </w:p>
              </w:tc>
              <w:tc>
                <w:tcPr>
                  <w:tcW w:w="2353" w:type="pct"/>
                  <w:tcBorders>
                    <w:top w:val="single" w:sz="2" w:space="0" w:color="auto"/>
                    <w:left w:val="single" w:sz="2" w:space="0" w:color="auto"/>
                    <w:bottom w:val="single" w:sz="2" w:space="0" w:color="auto"/>
                    <w:right w:val="single" w:sz="2" w:space="0" w:color="auto"/>
                  </w:tcBorders>
                  <w:shd w:val="clear" w:color="auto" w:fill="auto"/>
                  <w:hideMark/>
                </w:tcPr>
                <w:p w:rsidR="009577EB" w:rsidRPr="00CA799C" w:rsidRDefault="009577EB" w:rsidP="009577EB">
                  <w:pPr>
                    <w:spacing w:before="150" w:after="150"/>
                    <w:jc w:val="both"/>
                  </w:pPr>
                  <w:r w:rsidRPr="00CA799C">
                    <w:t>Додаток 1 </w:t>
                  </w:r>
                  <w:r w:rsidRPr="00CA799C">
                    <w:br/>
                    <w:t>до Положення про порядок </w:t>
                  </w:r>
                  <w:r w:rsidRPr="00CA799C">
                    <w:br/>
                    <w:t>складання адміністративних даних </w:t>
                  </w:r>
                  <w:r w:rsidRPr="00CA799C">
                    <w:br/>
                    <w:t>щодо здійснення діяльності </w:t>
                  </w:r>
                  <w:r w:rsidRPr="00CA799C">
                    <w:br/>
                    <w:t>організаторами торгівлі, </w:t>
                  </w:r>
                  <w:r w:rsidRPr="00CA799C">
                    <w:br/>
                    <w:t>оприлюднення інформації </w:t>
                  </w:r>
                  <w:r w:rsidRPr="00CA799C">
                    <w:br/>
                    <w:t>та подання відповідних документів </w:t>
                  </w:r>
                  <w:r w:rsidRPr="00CA799C">
                    <w:br/>
                    <w:t>до Національної комісії </w:t>
                  </w:r>
                  <w:r w:rsidRPr="00CA799C">
                    <w:br/>
                    <w:t>з цінних паперів та фондового ринку </w:t>
                  </w:r>
                  <w:r w:rsidRPr="00CA799C">
                    <w:br/>
                    <w:t>(підпункт 2.1 пункту 2 глави 1 розділу ІІІ)</w:t>
                  </w:r>
                </w:p>
              </w:tc>
            </w:tr>
          </w:tbl>
          <w:p w:rsidR="009577EB" w:rsidRPr="00CA799C" w:rsidRDefault="009577EB" w:rsidP="009577EB">
            <w:pPr>
              <w:shd w:val="clear" w:color="auto" w:fill="FFFFFF"/>
              <w:spacing w:before="150" w:after="150"/>
              <w:ind w:left="225" w:right="225"/>
              <w:jc w:val="center"/>
              <w:rPr>
                <w:color w:val="000000"/>
              </w:rPr>
            </w:pPr>
            <w:r w:rsidRPr="00CA799C">
              <w:rPr>
                <w:b/>
                <w:bCs/>
                <w:color w:val="000000"/>
              </w:rPr>
              <w:t>ДОВІДКА </w:t>
            </w:r>
            <w:r w:rsidRPr="00CA799C">
              <w:rPr>
                <w:color w:val="000000"/>
              </w:rPr>
              <w:br/>
            </w:r>
            <w:r w:rsidRPr="00CA799C">
              <w:rPr>
                <w:b/>
                <w:bCs/>
                <w:color w:val="000000"/>
              </w:rPr>
              <w:t>про цінні папери та інші фінансові інструменти, які знаходяться в біржовому списку організатора торгівлі</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7139"/>
            </w:tblGrid>
            <w:tr w:rsidR="00CA799C" w:rsidRPr="00CA799C" w:rsidTr="00637410">
              <w:tc>
                <w:tcPr>
                  <w:tcW w:w="5000" w:type="pct"/>
                  <w:tcBorders>
                    <w:top w:val="single" w:sz="6" w:space="0" w:color="000000"/>
                    <w:left w:val="single" w:sz="6" w:space="0" w:color="000000"/>
                    <w:bottom w:val="single" w:sz="6" w:space="0" w:color="000000"/>
                    <w:right w:val="single" w:sz="6" w:space="0" w:color="000000"/>
                  </w:tcBorders>
                  <w:shd w:val="clear" w:color="auto" w:fill="auto"/>
                </w:tcPr>
                <w:p w:rsidR="00CA799C" w:rsidRPr="00CA799C" w:rsidRDefault="00CA799C" w:rsidP="00296069">
                  <w:pPr>
                    <w:spacing w:before="150" w:after="150"/>
                  </w:pPr>
                  <w:r w:rsidRPr="00296069">
                    <w:rPr>
                      <w:b/>
                    </w:rPr>
                    <w:t>Щодо цінн</w:t>
                  </w:r>
                  <w:r w:rsidR="008C4F3B" w:rsidRPr="00296069">
                    <w:rPr>
                      <w:b/>
                    </w:rPr>
                    <w:t>ого папера</w:t>
                  </w:r>
                  <w:r w:rsidRPr="00296069">
                    <w:rPr>
                      <w:b/>
                    </w:rPr>
                    <w:t xml:space="preserve"> здійсн</w:t>
                  </w:r>
                  <w:r w:rsidR="008C4F3B" w:rsidRPr="00296069">
                    <w:rPr>
                      <w:b/>
                    </w:rPr>
                    <w:t>ено</w:t>
                  </w:r>
                  <w:r w:rsidRPr="00296069">
                    <w:rPr>
                      <w:b/>
                    </w:rPr>
                    <w:t xml:space="preserve"> публічн</w:t>
                  </w:r>
                  <w:r w:rsidR="008C4F3B" w:rsidRPr="00296069">
                    <w:rPr>
                      <w:b/>
                    </w:rPr>
                    <w:t>у</w:t>
                  </w:r>
                  <w:r w:rsidRPr="00296069">
                    <w:rPr>
                      <w:b/>
                    </w:rPr>
                    <w:t xml:space="preserve"> пропозиці</w:t>
                  </w:r>
                  <w:r w:rsidR="008C4F3B" w:rsidRPr="00296069">
                    <w:rPr>
                      <w:b/>
                    </w:rPr>
                    <w:t>ю</w:t>
                  </w:r>
                  <w:r w:rsidRPr="00296069">
                    <w:rPr>
                      <w:b/>
                    </w:rPr>
                    <w:t xml:space="preserve">, або </w:t>
                  </w:r>
                  <w:r w:rsidR="00296069" w:rsidRPr="00296069">
                    <w:rPr>
                      <w:b/>
                    </w:rPr>
                    <w:t xml:space="preserve">емітент цінних паперів </w:t>
                  </w:r>
                  <w:r w:rsidRPr="00296069">
                    <w:rPr>
                      <w:b/>
                    </w:rPr>
                    <w:t>вважається так</w:t>
                  </w:r>
                  <w:r w:rsidR="00296069" w:rsidRPr="00296069">
                    <w:rPr>
                      <w:b/>
                    </w:rPr>
                    <w:t>им</w:t>
                  </w:r>
                  <w:r w:rsidRPr="00296069">
                    <w:rPr>
                      <w:b/>
                    </w:rPr>
                    <w:t>, що здійсни</w:t>
                  </w:r>
                  <w:r w:rsidR="00296069" w:rsidRPr="00296069">
                    <w:rPr>
                      <w:b/>
                    </w:rPr>
                    <w:t>в публічну пропозицію відповідно до закону</w:t>
                  </w:r>
                  <w:r w:rsidRPr="00296069">
                    <w:rPr>
                      <w:b/>
                    </w:rPr>
                    <w:t>: «1» - так, «0» - ні»</w:t>
                  </w:r>
                </w:p>
              </w:tc>
            </w:tr>
            <w:tr w:rsidR="00637410" w:rsidRPr="00CA799C" w:rsidTr="00637410">
              <w:tc>
                <w:tcPr>
                  <w:tcW w:w="5000" w:type="pct"/>
                  <w:tcBorders>
                    <w:top w:val="single" w:sz="6" w:space="0" w:color="000000"/>
                    <w:left w:val="single" w:sz="6" w:space="0" w:color="000000"/>
                    <w:bottom w:val="single" w:sz="6" w:space="0" w:color="000000"/>
                    <w:right w:val="single" w:sz="6" w:space="0" w:color="000000"/>
                  </w:tcBorders>
                  <w:shd w:val="clear" w:color="auto" w:fill="auto"/>
                </w:tcPr>
                <w:p w:rsidR="00637410" w:rsidRPr="00CA799C" w:rsidRDefault="00637410" w:rsidP="009577EB">
                  <w:pPr>
                    <w:spacing w:before="150" w:after="150"/>
                    <w:rPr>
                      <w:b/>
                    </w:rPr>
                  </w:pPr>
                  <w:r w:rsidRPr="00CA799C">
                    <w:t>…</w:t>
                  </w:r>
                </w:p>
              </w:tc>
            </w:tr>
            <w:tr w:rsidR="009577EB" w:rsidRPr="00CA799C" w:rsidTr="00637410">
              <w:tc>
                <w:tcPr>
                  <w:tcW w:w="5000" w:type="pct"/>
                  <w:tcBorders>
                    <w:top w:val="single" w:sz="6" w:space="0" w:color="000000"/>
                    <w:left w:val="single" w:sz="6" w:space="0" w:color="000000"/>
                    <w:bottom w:val="single" w:sz="6" w:space="0" w:color="000000"/>
                    <w:right w:val="single" w:sz="6" w:space="0" w:color="000000"/>
                  </w:tcBorders>
                  <w:shd w:val="clear" w:color="auto" w:fill="auto"/>
                  <w:hideMark/>
                </w:tcPr>
                <w:p w:rsidR="00637410" w:rsidRPr="00CA799C" w:rsidRDefault="009577EB" w:rsidP="009577EB">
                  <w:pPr>
                    <w:spacing w:before="150" w:after="150"/>
                    <w:rPr>
                      <w:b/>
                    </w:rPr>
                  </w:pPr>
                  <w:r w:rsidRPr="00CA799C">
                    <w:rPr>
                      <w:b/>
                    </w:rPr>
                    <w:t>«1» - лістингові, «0» - позалістингові»</w:t>
                  </w:r>
                </w:p>
              </w:tc>
            </w:tr>
            <w:tr w:rsidR="009577EB" w:rsidRPr="00CA799C" w:rsidTr="00637410">
              <w:tc>
                <w:tcPr>
                  <w:tcW w:w="5000" w:type="pct"/>
                  <w:tcBorders>
                    <w:top w:val="single" w:sz="6" w:space="0" w:color="000000"/>
                    <w:left w:val="single" w:sz="6" w:space="0" w:color="000000"/>
                    <w:bottom w:val="single" w:sz="6" w:space="0" w:color="000000"/>
                    <w:right w:val="single" w:sz="6" w:space="0" w:color="000000"/>
                  </w:tcBorders>
                  <w:shd w:val="clear" w:color="auto" w:fill="auto"/>
                </w:tcPr>
                <w:p w:rsidR="009577EB" w:rsidRPr="00CA799C" w:rsidRDefault="00637410" w:rsidP="009577EB">
                  <w:pPr>
                    <w:spacing w:before="150" w:after="150"/>
                  </w:pPr>
                  <w:r w:rsidRPr="00CA799C">
                    <w:t>…</w:t>
                  </w:r>
                </w:p>
              </w:tc>
            </w:tr>
          </w:tbl>
          <w:p w:rsidR="007C0E0A" w:rsidRPr="00CA799C" w:rsidRDefault="007C0E0A" w:rsidP="00A45F22">
            <w:pPr>
              <w:ind w:firstLine="284"/>
              <w:jc w:val="center"/>
              <w:rPr>
                <w:b/>
              </w:rPr>
            </w:pPr>
          </w:p>
        </w:tc>
      </w:tr>
      <w:tr w:rsidR="009577EB" w:rsidRPr="00CA799C" w:rsidTr="00296069">
        <w:tc>
          <w:tcPr>
            <w:tcW w:w="626" w:type="dxa"/>
            <w:shd w:val="clear" w:color="auto" w:fill="auto"/>
          </w:tcPr>
          <w:p w:rsidR="009577EB" w:rsidRPr="00CA799C" w:rsidRDefault="009577EB"/>
        </w:tc>
        <w:tc>
          <w:tcPr>
            <w:tcW w:w="7144" w:type="dxa"/>
            <w:shd w:val="clear" w:color="auto" w:fill="auto"/>
          </w:tcPr>
          <w:p w:rsidR="009577EB" w:rsidRPr="00CA799C" w:rsidRDefault="009577EB" w:rsidP="009577EB">
            <w:pPr>
              <w:shd w:val="clear" w:color="auto" w:fill="FFFFFF"/>
            </w:pPr>
            <w:r w:rsidRPr="00CA799C">
              <w:rPr>
                <w:color w:val="000000"/>
              </w:rPr>
              <w:pict>
                <v:rect id="_x0000_i1025" style="width:0;height:0" o:hralign="center" o:hrstd="t" o:hrnoshade="t" o:hr="t" fillcolor="black" stroked="f"/>
              </w:pict>
            </w:r>
          </w:p>
          <w:tbl>
            <w:tblPr>
              <w:tblW w:w="5000" w:type="pct"/>
              <w:tblLayout w:type="fixed"/>
              <w:tblCellMar>
                <w:left w:w="0" w:type="dxa"/>
                <w:right w:w="0" w:type="dxa"/>
              </w:tblCellMar>
              <w:tblLook w:val="04A0" w:firstRow="1" w:lastRow="0" w:firstColumn="1" w:lastColumn="0" w:noHBand="0" w:noVBand="1"/>
            </w:tblPr>
            <w:tblGrid>
              <w:gridCol w:w="3665"/>
              <w:gridCol w:w="3257"/>
            </w:tblGrid>
            <w:tr w:rsidR="009577EB" w:rsidRPr="00CA799C" w:rsidTr="00DA33F1">
              <w:tc>
                <w:tcPr>
                  <w:tcW w:w="2647" w:type="pct"/>
                  <w:tcBorders>
                    <w:top w:val="single" w:sz="2" w:space="0" w:color="auto"/>
                    <w:left w:val="single" w:sz="2" w:space="0" w:color="auto"/>
                    <w:bottom w:val="single" w:sz="2" w:space="0" w:color="auto"/>
                    <w:right w:val="single" w:sz="2" w:space="0" w:color="auto"/>
                  </w:tcBorders>
                  <w:shd w:val="clear" w:color="auto" w:fill="auto"/>
                  <w:hideMark/>
                </w:tcPr>
                <w:p w:rsidR="009577EB" w:rsidRPr="00CA799C" w:rsidRDefault="009577EB" w:rsidP="009577EB">
                  <w:pPr>
                    <w:spacing w:before="150" w:after="150"/>
                  </w:pPr>
                  <w:bookmarkStart w:id="17" w:name="n113"/>
                  <w:bookmarkEnd w:id="17"/>
                </w:p>
              </w:tc>
              <w:tc>
                <w:tcPr>
                  <w:tcW w:w="2353" w:type="pct"/>
                  <w:tcBorders>
                    <w:top w:val="single" w:sz="2" w:space="0" w:color="auto"/>
                    <w:left w:val="single" w:sz="2" w:space="0" w:color="auto"/>
                    <w:bottom w:val="single" w:sz="2" w:space="0" w:color="auto"/>
                    <w:right w:val="single" w:sz="2" w:space="0" w:color="auto"/>
                  </w:tcBorders>
                  <w:shd w:val="clear" w:color="auto" w:fill="auto"/>
                  <w:hideMark/>
                </w:tcPr>
                <w:p w:rsidR="009577EB" w:rsidRPr="00CA799C" w:rsidRDefault="009577EB" w:rsidP="009577EB">
                  <w:pPr>
                    <w:spacing w:before="150" w:after="150"/>
                  </w:pPr>
                  <w:r w:rsidRPr="00CA799C">
                    <w:t>Додаток 10 </w:t>
                  </w:r>
                  <w:r w:rsidRPr="00CA799C">
                    <w:br/>
                    <w:t>до Положення про порядок </w:t>
                  </w:r>
                  <w:r w:rsidRPr="00CA799C">
                    <w:br/>
                  </w:r>
                  <w:r w:rsidRPr="00CA799C">
                    <w:lastRenderedPageBreak/>
                    <w:t>складання адміністративних даних </w:t>
                  </w:r>
                  <w:r w:rsidRPr="00CA799C">
                    <w:br/>
                    <w:t>щодо здійснення діяльності </w:t>
                  </w:r>
                  <w:r w:rsidRPr="00CA799C">
                    <w:br/>
                    <w:t>організаторами торгівлі, </w:t>
                  </w:r>
                  <w:r w:rsidRPr="00CA799C">
                    <w:br/>
                    <w:t>оприлюднення інформації </w:t>
                  </w:r>
                  <w:r w:rsidRPr="00CA799C">
                    <w:br/>
                    <w:t>та подання відповідних документів </w:t>
                  </w:r>
                  <w:r w:rsidRPr="00CA799C">
                    <w:br/>
                    <w:t>до Національної комісії </w:t>
                  </w:r>
                  <w:r w:rsidRPr="00CA799C">
                    <w:br/>
                    <w:t>з цінних паперів та фондового ринку </w:t>
                  </w:r>
                  <w:r w:rsidRPr="00CA799C">
                    <w:br/>
                    <w:t>(підпункт 5.1 пункту 5 глави 1 розділу ІІІ)</w:t>
                  </w:r>
                </w:p>
              </w:tc>
            </w:tr>
          </w:tbl>
          <w:p w:rsidR="009577EB" w:rsidRPr="00CA799C" w:rsidRDefault="009577EB" w:rsidP="009577EB">
            <w:pPr>
              <w:shd w:val="clear" w:color="auto" w:fill="FFFFFF"/>
              <w:spacing w:before="150" w:after="150"/>
              <w:ind w:left="225" w:right="225"/>
              <w:jc w:val="center"/>
              <w:rPr>
                <w:color w:val="000000"/>
              </w:rPr>
            </w:pPr>
            <w:bookmarkStart w:id="18" w:name="n114"/>
            <w:bookmarkEnd w:id="18"/>
            <w:r w:rsidRPr="00CA799C">
              <w:rPr>
                <w:b/>
                <w:bCs/>
                <w:color w:val="000000"/>
              </w:rPr>
              <w:lastRenderedPageBreak/>
              <w:t>ДОВІДКА </w:t>
            </w:r>
            <w:r w:rsidRPr="00CA799C">
              <w:rPr>
                <w:color w:val="000000"/>
              </w:rPr>
              <w:br/>
            </w:r>
            <w:r w:rsidRPr="00CA799C">
              <w:rPr>
                <w:b/>
                <w:bCs/>
                <w:color w:val="000000"/>
              </w:rPr>
              <w:t>про зміни у біржовому списку</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6912"/>
            </w:tblGrid>
            <w:tr w:rsidR="009577EB" w:rsidRPr="00CA799C" w:rsidTr="00DA33F1">
              <w:tc>
                <w:tcPr>
                  <w:tcW w:w="4992" w:type="pct"/>
                  <w:tcBorders>
                    <w:top w:val="single" w:sz="6" w:space="0" w:color="000000"/>
                    <w:left w:val="single" w:sz="6" w:space="0" w:color="000000"/>
                    <w:bottom w:val="single" w:sz="6" w:space="0" w:color="000000"/>
                    <w:right w:val="single" w:sz="6" w:space="0" w:color="000000"/>
                  </w:tcBorders>
                  <w:shd w:val="clear" w:color="auto" w:fill="auto"/>
                  <w:hideMark/>
                </w:tcPr>
                <w:p w:rsidR="009577EB" w:rsidRPr="00CA799C" w:rsidRDefault="009577EB" w:rsidP="009577EB">
                  <w:pPr>
                    <w:spacing w:before="150" w:after="150"/>
                  </w:pPr>
                  <w:bookmarkStart w:id="19" w:name="n158"/>
                  <w:bookmarkEnd w:id="19"/>
                </w:p>
              </w:tc>
            </w:tr>
            <w:tr w:rsidR="009577EB" w:rsidRPr="00CA799C" w:rsidTr="00DA33F1">
              <w:tc>
                <w:tcPr>
                  <w:tcW w:w="4992" w:type="pct"/>
                  <w:tcBorders>
                    <w:top w:val="single" w:sz="6" w:space="0" w:color="000000"/>
                    <w:left w:val="single" w:sz="6" w:space="0" w:color="000000"/>
                    <w:bottom w:val="single" w:sz="6" w:space="0" w:color="000000"/>
                    <w:right w:val="single" w:sz="6" w:space="0" w:color="000000"/>
                  </w:tcBorders>
                  <w:shd w:val="clear" w:color="auto" w:fill="auto"/>
                  <w:hideMark/>
                </w:tcPr>
                <w:p w:rsidR="009577EB" w:rsidRPr="00CA799C" w:rsidRDefault="00DA33F1" w:rsidP="009577EB">
                  <w:pPr>
                    <w:spacing w:before="150" w:after="150"/>
                  </w:pPr>
                  <w:r w:rsidRPr="00CA799C">
                    <w:t>…</w:t>
                  </w:r>
                </w:p>
              </w:tc>
            </w:tr>
            <w:tr w:rsidR="009577EB" w:rsidRPr="00CA799C" w:rsidTr="00DA33F1">
              <w:tc>
                <w:tcPr>
                  <w:tcW w:w="4992" w:type="pct"/>
                  <w:tcBorders>
                    <w:top w:val="single" w:sz="6" w:space="0" w:color="000000"/>
                    <w:left w:val="single" w:sz="6" w:space="0" w:color="000000"/>
                    <w:bottom w:val="single" w:sz="6" w:space="0" w:color="000000"/>
                    <w:right w:val="single" w:sz="6" w:space="0" w:color="000000"/>
                  </w:tcBorders>
                  <w:shd w:val="clear" w:color="auto" w:fill="auto"/>
                  <w:hideMark/>
                </w:tcPr>
                <w:p w:rsidR="009577EB" w:rsidRPr="00CA799C" w:rsidRDefault="009577EB" w:rsidP="009577EB">
                  <w:pPr>
                    <w:spacing w:before="150" w:after="150"/>
                    <w:rPr>
                      <w:strike/>
                    </w:rPr>
                  </w:pPr>
                  <w:r w:rsidRPr="00CA799C">
                    <w:rPr>
                      <w:strike/>
                    </w:rPr>
                    <w:t>Дата зміни рівня лістингу</w:t>
                  </w:r>
                  <w:r w:rsidRPr="00CA799C">
                    <w:rPr>
                      <w:b/>
                      <w:bCs/>
                      <w:strike/>
                      <w:color w:val="000000"/>
                      <w:vertAlign w:val="superscript"/>
                    </w:rPr>
                    <w:t>-4</w:t>
                  </w:r>
                </w:p>
              </w:tc>
            </w:tr>
            <w:tr w:rsidR="009577EB" w:rsidRPr="00CA799C" w:rsidTr="00DA33F1">
              <w:tc>
                <w:tcPr>
                  <w:tcW w:w="4992" w:type="pct"/>
                  <w:tcBorders>
                    <w:top w:val="single" w:sz="6" w:space="0" w:color="000000"/>
                    <w:left w:val="single" w:sz="6" w:space="0" w:color="000000"/>
                    <w:bottom w:val="single" w:sz="6" w:space="0" w:color="000000"/>
                    <w:right w:val="single" w:sz="6" w:space="0" w:color="000000"/>
                  </w:tcBorders>
                  <w:shd w:val="clear" w:color="auto" w:fill="auto"/>
                  <w:hideMark/>
                </w:tcPr>
                <w:p w:rsidR="009577EB" w:rsidRPr="00CA799C" w:rsidRDefault="00DA33F1" w:rsidP="009577EB">
                  <w:pPr>
                    <w:spacing w:before="150" w:after="150"/>
                  </w:pPr>
                  <w:r w:rsidRPr="00CA799C">
                    <w:t>…</w:t>
                  </w:r>
                </w:p>
              </w:tc>
            </w:tr>
            <w:tr w:rsidR="009577EB" w:rsidRPr="00CA799C" w:rsidTr="00DA33F1">
              <w:tc>
                <w:tcPr>
                  <w:tcW w:w="4992" w:type="pct"/>
                  <w:tcBorders>
                    <w:top w:val="single" w:sz="6" w:space="0" w:color="000000"/>
                    <w:left w:val="single" w:sz="6" w:space="0" w:color="000000"/>
                    <w:bottom w:val="single" w:sz="6" w:space="0" w:color="000000"/>
                    <w:right w:val="single" w:sz="6" w:space="0" w:color="000000"/>
                  </w:tcBorders>
                  <w:shd w:val="clear" w:color="auto" w:fill="auto"/>
                  <w:hideMark/>
                </w:tcPr>
                <w:p w:rsidR="009577EB" w:rsidRPr="00CA799C" w:rsidRDefault="009577EB" w:rsidP="009577EB">
                  <w:pPr>
                    <w:spacing w:before="150" w:after="150"/>
                  </w:pPr>
                  <w:r w:rsidRPr="00CA799C">
                    <w:rPr>
                      <w:strike/>
                    </w:rPr>
                    <w:t>Рівень лістингу:</w:t>
                  </w:r>
                  <w:r w:rsidRPr="00CA799C">
                    <w:t xml:space="preserve"> </w:t>
                  </w:r>
                  <w:r w:rsidRPr="00CA799C">
                    <w:rPr>
                      <w:strike/>
                    </w:rPr>
                    <w:t xml:space="preserve">"1" - перший рівень лістингу, "2" - другий рівень лістингу, "0" - позалістингові, </w:t>
                  </w:r>
                  <w:r w:rsidRPr="00CA799C">
                    <w:t>"9" - фінансові інструменти, відносно яких припинено торгівлю</w:t>
                  </w:r>
                </w:p>
              </w:tc>
            </w:tr>
            <w:tr w:rsidR="009577EB" w:rsidRPr="00CA799C" w:rsidTr="00DA33F1">
              <w:tc>
                <w:tcPr>
                  <w:tcW w:w="4992" w:type="pct"/>
                  <w:tcBorders>
                    <w:top w:val="single" w:sz="6" w:space="0" w:color="000000"/>
                    <w:left w:val="single" w:sz="6" w:space="0" w:color="000000"/>
                    <w:bottom w:val="single" w:sz="6" w:space="0" w:color="000000"/>
                    <w:right w:val="single" w:sz="6" w:space="0" w:color="000000"/>
                  </w:tcBorders>
                  <w:shd w:val="clear" w:color="auto" w:fill="auto"/>
                  <w:hideMark/>
                </w:tcPr>
                <w:p w:rsidR="009577EB" w:rsidRPr="00CA799C" w:rsidRDefault="00DA33F1" w:rsidP="009577EB">
                  <w:pPr>
                    <w:spacing w:before="150" w:after="150"/>
                  </w:pPr>
                  <w:r w:rsidRPr="00CA799C">
                    <w:t>…</w:t>
                  </w:r>
                </w:p>
              </w:tc>
            </w:tr>
          </w:tbl>
          <w:p w:rsidR="009577EB" w:rsidRPr="00CA799C" w:rsidRDefault="009577EB" w:rsidP="007C0E0A">
            <w:pPr>
              <w:shd w:val="clear" w:color="auto" w:fill="FFFFFF"/>
              <w:spacing w:after="150"/>
              <w:jc w:val="both"/>
            </w:pPr>
          </w:p>
        </w:tc>
        <w:tc>
          <w:tcPr>
            <w:tcW w:w="7371" w:type="dxa"/>
            <w:shd w:val="clear" w:color="auto" w:fill="auto"/>
          </w:tcPr>
          <w:p w:rsidR="009577EB" w:rsidRPr="00CA799C" w:rsidRDefault="009577EB" w:rsidP="009577EB">
            <w:pPr>
              <w:shd w:val="clear" w:color="auto" w:fill="FFFFFF"/>
            </w:pPr>
            <w:r w:rsidRPr="00CA799C">
              <w:rPr>
                <w:color w:val="000000"/>
              </w:rPr>
              <w:lastRenderedPageBreak/>
              <w:pict>
                <v:rect id="_x0000_i1026" style="width:0;height:0" o:hralign="center" o:hrstd="t" o:hrnoshade="t" o:hr="t" fillcolor="black" stroked="f"/>
              </w:pict>
            </w:r>
          </w:p>
          <w:tbl>
            <w:tblPr>
              <w:tblW w:w="5000" w:type="pct"/>
              <w:tblLayout w:type="fixed"/>
              <w:tblCellMar>
                <w:left w:w="0" w:type="dxa"/>
                <w:right w:w="0" w:type="dxa"/>
              </w:tblCellMar>
              <w:tblLook w:val="04A0" w:firstRow="1" w:lastRow="0" w:firstColumn="1" w:lastColumn="0" w:noHBand="0" w:noVBand="1"/>
            </w:tblPr>
            <w:tblGrid>
              <w:gridCol w:w="3785"/>
              <w:gridCol w:w="3364"/>
            </w:tblGrid>
            <w:tr w:rsidR="009577EB" w:rsidRPr="00CA799C" w:rsidTr="00DA33F1">
              <w:tc>
                <w:tcPr>
                  <w:tcW w:w="2647" w:type="pct"/>
                  <w:tcBorders>
                    <w:top w:val="single" w:sz="2" w:space="0" w:color="auto"/>
                    <w:left w:val="single" w:sz="2" w:space="0" w:color="auto"/>
                    <w:bottom w:val="single" w:sz="2" w:space="0" w:color="auto"/>
                    <w:right w:val="single" w:sz="2" w:space="0" w:color="auto"/>
                  </w:tcBorders>
                  <w:shd w:val="clear" w:color="auto" w:fill="auto"/>
                  <w:hideMark/>
                </w:tcPr>
                <w:p w:rsidR="009577EB" w:rsidRPr="00CA799C" w:rsidRDefault="009577EB" w:rsidP="009577EB">
                  <w:pPr>
                    <w:spacing w:before="150" w:after="150"/>
                  </w:pPr>
                </w:p>
              </w:tc>
              <w:tc>
                <w:tcPr>
                  <w:tcW w:w="2353" w:type="pct"/>
                  <w:tcBorders>
                    <w:top w:val="single" w:sz="2" w:space="0" w:color="auto"/>
                    <w:left w:val="single" w:sz="2" w:space="0" w:color="auto"/>
                    <w:bottom w:val="single" w:sz="2" w:space="0" w:color="auto"/>
                    <w:right w:val="single" w:sz="2" w:space="0" w:color="auto"/>
                  </w:tcBorders>
                  <w:shd w:val="clear" w:color="auto" w:fill="auto"/>
                  <w:hideMark/>
                </w:tcPr>
                <w:p w:rsidR="009577EB" w:rsidRPr="00CA799C" w:rsidRDefault="0078322C" w:rsidP="009577EB">
                  <w:pPr>
                    <w:spacing w:before="150" w:after="150"/>
                  </w:pPr>
                  <w:r w:rsidRPr="00CA799C">
                    <w:t>Додаток 10</w:t>
                  </w:r>
                  <w:r w:rsidR="009577EB" w:rsidRPr="00CA799C">
                    <w:t> </w:t>
                  </w:r>
                  <w:r w:rsidR="009577EB" w:rsidRPr="00CA799C">
                    <w:br/>
                    <w:t>до Положення про порядок </w:t>
                  </w:r>
                  <w:r w:rsidR="009577EB" w:rsidRPr="00CA799C">
                    <w:br/>
                  </w:r>
                  <w:r w:rsidR="009577EB" w:rsidRPr="00CA799C">
                    <w:lastRenderedPageBreak/>
                    <w:t>складання адміністративних даних </w:t>
                  </w:r>
                  <w:r w:rsidR="009577EB" w:rsidRPr="00CA799C">
                    <w:br/>
                    <w:t>щодо здійснення діяльності </w:t>
                  </w:r>
                  <w:r w:rsidR="009577EB" w:rsidRPr="00CA799C">
                    <w:br/>
                    <w:t>організаторами торгівлі, </w:t>
                  </w:r>
                  <w:r w:rsidR="009577EB" w:rsidRPr="00CA799C">
                    <w:br/>
                    <w:t>оприлюднення інформації </w:t>
                  </w:r>
                  <w:r w:rsidR="009577EB" w:rsidRPr="00CA799C">
                    <w:br/>
                    <w:t>та подання відповідних документів </w:t>
                  </w:r>
                  <w:r w:rsidR="009577EB" w:rsidRPr="00CA799C">
                    <w:br/>
                    <w:t>до Національної комісії </w:t>
                  </w:r>
                  <w:r w:rsidR="009577EB" w:rsidRPr="00CA799C">
                    <w:br/>
                    <w:t>з цінних паперів та фондового ринку </w:t>
                  </w:r>
                  <w:r w:rsidR="009577EB" w:rsidRPr="00CA799C">
                    <w:br/>
                    <w:t>(підпункт 5.1 пункту 5 глави 1 розділу ІІІ)</w:t>
                  </w:r>
                </w:p>
              </w:tc>
            </w:tr>
          </w:tbl>
          <w:p w:rsidR="009577EB" w:rsidRPr="00CA799C" w:rsidRDefault="009577EB" w:rsidP="009577EB">
            <w:pPr>
              <w:shd w:val="clear" w:color="auto" w:fill="FFFFFF"/>
              <w:spacing w:before="150" w:after="150"/>
              <w:ind w:left="225" w:right="225"/>
              <w:jc w:val="center"/>
              <w:rPr>
                <w:color w:val="000000"/>
              </w:rPr>
            </w:pPr>
            <w:r w:rsidRPr="00CA799C">
              <w:rPr>
                <w:b/>
                <w:bCs/>
                <w:color w:val="000000"/>
              </w:rPr>
              <w:lastRenderedPageBreak/>
              <w:t>ДОВІДКА </w:t>
            </w:r>
            <w:r w:rsidRPr="00CA799C">
              <w:rPr>
                <w:color w:val="000000"/>
              </w:rPr>
              <w:br/>
            </w:r>
            <w:r w:rsidRPr="00CA799C">
              <w:rPr>
                <w:b/>
                <w:bCs/>
                <w:color w:val="000000"/>
              </w:rPr>
              <w:t>про зміни у біржовому списку</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7139"/>
            </w:tblGrid>
            <w:tr w:rsidR="009577EB" w:rsidRPr="00CA799C" w:rsidTr="00DA33F1">
              <w:tc>
                <w:tcPr>
                  <w:tcW w:w="4992" w:type="pct"/>
                  <w:tcBorders>
                    <w:top w:val="single" w:sz="6" w:space="0" w:color="000000"/>
                    <w:left w:val="single" w:sz="6" w:space="0" w:color="000000"/>
                    <w:bottom w:val="single" w:sz="6" w:space="0" w:color="000000"/>
                    <w:right w:val="single" w:sz="6" w:space="0" w:color="000000"/>
                  </w:tcBorders>
                  <w:shd w:val="clear" w:color="auto" w:fill="auto"/>
                  <w:hideMark/>
                </w:tcPr>
                <w:p w:rsidR="009577EB" w:rsidRPr="00CA799C" w:rsidRDefault="00DA33F1" w:rsidP="009577EB">
                  <w:pPr>
                    <w:spacing w:before="150" w:after="150"/>
                  </w:pPr>
                  <w:r w:rsidRPr="00CA799C">
                    <w:t>…</w:t>
                  </w:r>
                </w:p>
              </w:tc>
            </w:tr>
            <w:tr w:rsidR="009577EB" w:rsidRPr="00CA799C" w:rsidTr="00DA33F1">
              <w:tc>
                <w:tcPr>
                  <w:tcW w:w="4992" w:type="pct"/>
                  <w:tcBorders>
                    <w:top w:val="single" w:sz="6" w:space="0" w:color="000000"/>
                    <w:left w:val="single" w:sz="6" w:space="0" w:color="000000"/>
                    <w:bottom w:val="single" w:sz="6" w:space="0" w:color="000000"/>
                    <w:right w:val="single" w:sz="6" w:space="0" w:color="000000"/>
                  </w:tcBorders>
                  <w:shd w:val="clear" w:color="auto" w:fill="auto"/>
                  <w:hideMark/>
                </w:tcPr>
                <w:p w:rsidR="009577EB" w:rsidRPr="00CA799C" w:rsidRDefault="009577EB" w:rsidP="009577EB">
                  <w:pPr>
                    <w:spacing w:before="150" w:after="150"/>
                    <w:rPr>
                      <w:b/>
                    </w:rPr>
                  </w:pPr>
                  <w:r w:rsidRPr="00CA799C">
                    <w:rPr>
                      <w:b/>
                    </w:rPr>
                    <w:t>Виключено</w:t>
                  </w:r>
                </w:p>
              </w:tc>
            </w:tr>
            <w:tr w:rsidR="009577EB" w:rsidRPr="00CA799C" w:rsidTr="00DA33F1">
              <w:tc>
                <w:tcPr>
                  <w:tcW w:w="4992" w:type="pct"/>
                  <w:tcBorders>
                    <w:top w:val="single" w:sz="6" w:space="0" w:color="000000"/>
                    <w:left w:val="single" w:sz="6" w:space="0" w:color="000000"/>
                    <w:bottom w:val="single" w:sz="6" w:space="0" w:color="000000"/>
                    <w:right w:val="single" w:sz="6" w:space="0" w:color="000000"/>
                  </w:tcBorders>
                  <w:shd w:val="clear" w:color="auto" w:fill="auto"/>
                  <w:hideMark/>
                </w:tcPr>
                <w:p w:rsidR="009577EB" w:rsidRPr="00CA799C" w:rsidRDefault="00DA33F1" w:rsidP="009577EB">
                  <w:pPr>
                    <w:spacing w:before="150" w:after="150"/>
                  </w:pPr>
                  <w:r w:rsidRPr="00CA799C">
                    <w:t>…</w:t>
                  </w:r>
                </w:p>
              </w:tc>
            </w:tr>
            <w:tr w:rsidR="009577EB" w:rsidRPr="00CA799C" w:rsidTr="00DA33F1">
              <w:tc>
                <w:tcPr>
                  <w:tcW w:w="4992" w:type="pct"/>
                  <w:tcBorders>
                    <w:top w:val="single" w:sz="6" w:space="0" w:color="000000"/>
                    <w:left w:val="single" w:sz="6" w:space="0" w:color="000000"/>
                    <w:bottom w:val="single" w:sz="6" w:space="0" w:color="000000"/>
                    <w:right w:val="single" w:sz="6" w:space="0" w:color="000000"/>
                  </w:tcBorders>
                  <w:shd w:val="clear" w:color="auto" w:fill="auto"/>
                  <w:hideMark/>
                </w:tcPr>
                <w:p w:rsidR="009577EB" w:rsidRPr="00CA799C" w:rsidRDefault="009577EB" w:rsidP="009577EB">
                  <w:pPr>
                    <w:spacing w:before="150" w:after="150"/>
                  </w:pPr>
                  <w:r w:rsidRPr="00CA799C">
                    <w:rPr>
                      <w:b/>
                    </w:rPr>
                    <w:t xml:space="preserve">«1» - лістингові, «0» - позалістингові», </w:t>
                  </w:r>
                  <w:r w:rsidRPr="00CA799C">
                    <w:t>"9" - фінансові інструменти, відносно яких припинено торгівлю</w:t>
                  </w:r>
                </w:p>
              </w:tc>
            </w:tr>
            <w:tr w:rsidR="009577EB" w:rsidRPr="00CA799C" w:rsidTr="00DA33F1">
              <w:tc>
                <w:tcPr>
                  <w:tcW w:w="4992" w:type="pct"/>
                  <w:tcBorders>
                    <w:top w:val="single" w:sz="6" w:space="0" w:color="000000"/>
                    <w:left w:val="single" w:sz="6" w:space="0" w:color="000000"/>
                    <w:bottom w:val="single" w:sz="6" w:space="0" w:color="000000"/>
                    <w:right w:val="single" w:sz="6" w:space="0" w:color="000000"/>
                  </w:tcBorders>
                  <w:shd w:val="clear" w:color="auto" w:fill="auto"/>
                  <w:hideMark/>
                </w:tcPr>
                <w:p w:rsidR="009577EB" w:rsidRPr="00CA799C" w:rsidRDefault="009577EB" w:rsidP="00DA33F1">
                  <w:pPr>
                    <w:spacing w:before="150" w:after="150"/>
                  </w:pPr>
                </w:p>
              </w:tc>
            </w:tr>
          </w:tbl>
          <w:p w:rsidR="009577EB" w:rsidRPr="00CA799C" w:rsidRDefault="009577EB" w:rsidP="009577EB">
            <w:pPr>
              <w:shd w:val="clear" w:color="auto" w:fill="FFFFFF"/>
              <w:spacing w:after="150"/>
              <w:jc w:val="both"/>
            </w:pPr>
          </w:p>
        </w:tc>
      </w:tr>
      <w:tr w:rsidR="009577EB" w:rsidRPr="00CA799C" w:rsidTr="00296069">
        <w:tc>
          <w:tcPr>
            <w:tcW w:w="626" w:type="dxa"/>
            <w:shd w:val="clear" w:color="auto" w:fill="auto"/>
          </w:tcPr>
          <w:p w:rsidR="009577EB" w:rsidRPr="00CA799C" w:rsidRDefault="009577EB"/>
        </w:tc>
        <w:tc>
          <w:tcPr>
            <w:tcW w:w="7144" w:type="dxa"/>
            <w:shd w:val="clear" w:color="auto" w:fill="auto"/>
          </w:tcPr>
          <w:p w:rsidR="009577EB" w:rsidRPr="00CA799C" w:rsidRDefault="009577EB" w:rsidP="009577EB">
            <w:pPr>
              <w:shd w:val="clear" w:color="auto" w:fill="FFFFFF"/>
            </w:pPr>
            <w:r w:rsidRPr="00CA799C">
              <w:rPr>
                <w:color w:val="000000"/>
              </w:rPr>
              <w:pict>
                <v:rect id="_x0000_i1027" style="width:0;height:0" o:hralign="center" o:hrstd="t" o:hrnoshade="t" o:hr="t" fillcolor="black" stroked="f"/>
              </w:pict>
            </w:r>
          </w:p>
          <w:tbl>
            <w:tblPr>
              <w:tblW w:w="5000" w:type="pct"/>
              <w:tblLayout w:type="fixed"/>
              <w:tblCellMar>
                <w:left w:w="0" w:type="dxa"/>
                <w:right w:w="0" w:type="dxa"/>
              </w:tblCellMar>
              <w:tblLook w:val="04A0" w:firstRow="1" w:lastRow="0" w:firstColumn="1" w:lastColumn="0" w:noHBand="0" w:noVBand="1"/>
            </w:tblPr>
            <w:tblGrid>
              <w:gridCol w:w="3665"/>
              <w:gridCol w:w="3257"/>
            </w:tblGrid>
            <w:tr w:rsidR="009577EB" w:rsidRPr="00CA799C" w:rsidTr="005C7E4E">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9577EB" w:rsidRPr="00CA799C" w:rsidRDefault="009577EB" w:rsidP="009577EB">
                  <w:pPr>
                    <w:spacing w:before="150" w:after="150"/>
                  </w:pPr>
                  <w:bookmarkStart w:id="20" w:name="n124"/>
                  <w:bookmarkEnd w:id="20"/>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9577EB" w:rsidRPr="00CA799C" w:rsidRDefault="00DA33F1" w:rsidP="009577EB">
                  <w:pPr>
                    <w:spacing w:before="150" w:after="150"/>
                  </w:pPr>
                  <w:r w:rsidRPr="00CA799C">
                    <w:t>Додаток 13</w:t>
                  </w:r>
                  <w:r w:rsidR="009577EB" w:rsidRPr="00CA799C">
                    <w:t> </w:t>
                  </w:r>
                  <w:r w:rsidR="009577EB" w:rsidRPr="00CA799C">
                    <w:br/>
                    <w:t>до Положення про порядок </w:t>
                  </w:r>
                  <w:r w:rsidR="009577EB" w:rsidRPr="00CA799C">
                    <w:br/>
                    <w:t>складання адміністративних даних </w:t>
                  </w:r>
                  <w:r w:rsidR="009577EB" w:rsidRPr="00CA799C">
                    <w:br/>
                    <w:t>щодо здійснення діяльності </w:t>
                  </w:r>
                  <w:r w:rsidR="009577EB" w:rsidRPr="00CA799C">
                    <w:br/>
                  </w:r>
                  <w:r w:rsidR="009577EB" w:rsidRPr="00CA799C">
                    <w:lastRenderedPageBreak/>
                    <w:t>організаторами торгівлі, </w:t>
                  </w:r>
                  <w:r w:rsidR="009577EB" w:rsidRPr="00CA799C">
                    <w:br/>
                    <w:t>оприлюднення інформації </w:t>
                  </w:r>
                  <w:r w:rsidR="009577EB" w:rsidRPr="00CA799C">
                    <w:br/>
                    <w:t>та подання відповідних документів </w:t>
                  </w:r>
                  <w:r w:rsidR="009577EB" w:rsidRPr="00CA799C">
                    <w:br/>
                    <w:t>до Національної комісії </w:t>
                  </w:r>
                  <w:r w:rsidR="009577EB" w:rsidRPr="00CA799C">
                    <w:br/>
                    <w:t>з цінних паперів та фондового ринку </w:t>
                  </w:r>
                  <w:r w:rsidR="009577EB" w:rsidRPr="00CA799C">
                    <w:br/>
                    <w:t>(підпункт 5.4 пункту 5 глави 1 розділу ІІІ)</w:t>
                  </w:r>
                </w:p>
              </w:tc>
            </w:tr>
          </w:tbl>
          <w:p w:rsidR="009577EB" w:rsidRPr="00CA799C" w:rsidRDefault="009577EB" w:rsidP="009577EB">
            <w:pPr>
              <w:shd w:val="clear" w:color="auto" w:fill="FFFFFF"/>
              <w:spacing w:before="150" w:after="150"/>
              <w:ind w:left="225" w:right="225"/>
              <w:jc w:val="center"/>
              <w:rPr>
                <w:color w:val="000000"/>
              </w:rPr>
            </w:pPr>
            <w:bookmarkStart w:id="21" w:name="n125"/>
            <w:bookmarkEnd w:id="21"/>
            <w:r w:rsidRPr="00CA799C">
              <w:rPr>
                <w:b/>
                <w:bCs/>
                <w:color w:val="000000"/>
              </w:rPr>
              <w:lastRenderedPageBreak/>
              <w:t>ДОВІДКА </w:t>
            </w:r>
            <w:r w:rsidRPr="00CA799C">
              <w:rPr>
                <w:color w:val="000000"/>
              </w:rPr>
              <w:br/>
            </w:r>
            <w:r w:rsidRPr="00CA799C">
              <w:rPr>
                <w:b/>
                <w:bCs/>
                <w:color w:val="000000"/>
              </w:rPr>
              <w:t>про ситуації цінової нестабільності</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6912"/>
            </w:tblGrid>
            <w:tr w:rsidR="009577EB" w:rsidRPr="00CA799C" w:rsidTr="00DA33F1">
              <w:tc>
                <w:tcPr>
                  <w:tcW w:w="5000" w:type="pct"/>
                  <w:tcBorders>
                    <w:top w:val="single" w:sz="6" w:space="0" w:color="000000"/>
                    <w:left w:val="single" w:sz="6" w:space="0" w:color="000000"/>
                    <w:bottom w:val="single" w:sz="6" w:space="0" w:color="000000"/>
                    <w:right w:val="single" w:sz="6" w:space="0" w:color="000000"/>
                  </w:tcBorders>
                  <w:shd w:val="clear" w:color="auto" w:fill="auto"/>
                  <w:hideMark/>
                </w:tcPr>
                <w:p w:rsidR="009577EB" w:rsidRPr="00CA799C" w:rsidRDefault="00DA33F1" w:rsidP="009577EB">
                  <w:pPr>
                    <w:spacing w:before="150" w:after="150"/>
                  </w:pPr>
                  <w:bookmarkStart w:id="22" w:name="n162"/>
                  <w:bookmarkEnd w:id="22"/>
                  <w:r w:rsidRPr="00CA799C">
                    <w:t>…</w:t>
                  </w:r>
                </w:p>
              </w:tc>
            </w:tr>
            <w:tr w:rsidR="009577EB" w:rsidRPr="00CA799C" w:rsidTr="00DA33F1">
              <w:tc>
                <w:tcPr>
                  <w:tcW w:w="5000" w:type="pct"/>
                  <w:tcBorders>
                    <w:top w:val="single" w:sz="6" w:space="0" w:color="000000"/>
                    <w:left w:val="single" w:sz="6" w:space="0" w:color="000000"/>
                    <w:bottom w:val="single" w:sz="6" w:space="0" w:color="000000"/>
                    <w:right w:val="single" w:sz="6" w:space="0" w:color="000000"/>
                  </w:tcBorders>
                  <w:shd w:val="clear" w:color="auto" w:fill="auto"/>
                  <w:hideMark/>
                </w:tcPr>
                <w:p w:rsidR="009577EB" w:rsidRPr="00CA799C" w:rsidRDefault="009577EB" w:rsidP="009577EB">
                  <w:pPr>
                    <w:spacing w:before="150" w:after="150"/>
                    <w:rPr>
                      <w:strike/>
                    </w:rPr>
                  </w:pPr>
                  <w:r w:rsidRPr="00CA799C">
                    <w:rPr>
                      <w:strike/>
                    </w:rPr>
                    <w:t>Рівень лістингу: "1" - перший рівень лістингу, "2" - другий рівень лістингу, "0" - позалістингові</w:t>
                  </w:r>
                </w:p>
              </w:tc>
            </w:tr>
            <w:tr w:rsidR="009577EB" w:rsidRPr="00CA799C" w:rsidTr="00DA33F1">
              <w:tc>
                <w:tcPr>
                  <w:tcW w:w="5000" w:type="pct"/>
                  <w:tcBorders>
                    <w:top w:val="single" w:sz="6" w:space="0" w:color="000000"/>
                    <w:left w:val="single" w:sz="6" w:space="0" w:color="000000"/>
                    <w:bottom w:val="single" w:sz="6" w:space="0" w:color="000000"/>
                    <w:right w:val="single" w:sz="6" w:space="0" w:color="000000"/>
                  </w:tcBorders>
                  <w:shd w:val="clear" w:color="auto" w:fill="auto"/>
                  <w:hideMark/>
                </w:tcPr>
                <w:p w:rsidR="009577EB" w:rsidRPr="00CA799C" w:rsidRDefault="00DA33F1" w:rsidP="009577EB">
                  <w:pPr>
                    <w:spacing w:before="150" w:after="150"/>
                  </w:pPr>
                  <w:r w:rsidRPr="00CA799C">
                    <w:t>…</w:t>
                  </w:r>
                </w:p>
              </w:tc>
            </w:tr>
          </w:tbl>
          <w:p w:rsidR="009577EB" w:rsidRPr="00CA799C" w:rsidRDefault="009577EB" w:rsidP="009577EB">
            <w:pPr>
              <w:shd w:val="clear" w:color="auto" w:fill="FFFFFF"/>
              <w:rPr>
                <w:color w:val="000000"/>
              </w:rPr>
            </w:pPr>
          </w:p>
        </w:tc>
        <w:tc>
          <w:tcPr>
            <w:tcW w:w="7371" w:type="dxa"/>
            <w:shd w:val="clear" w:color="auto" w:fill="auto"/>
          </w:tcPr>
          <w:p w:rsidR="009577EB" w:rsidRPr="00CA799C" w:rsidRDefault="009577EB" w:rsidP="009577EB">
            <w:pPr>
              <w:shd w:val="clear" w:color="auto" w:fill="FFFFFF"/>
            </w:pPr>
            <w:r w:rsidRPr="00CA799C">
              <w:rPr>
                <w:color w:val="000000"/>
              </w:rPr>
              <w:lastRenderedPageBreak/>
              <w:pict>
                <v:rect id="_x0000_i1028" style="width:0;height:0" o:hralign="center" o:hrstd="t" o:hrnoshade="t" o:hr="t" fillcolor="black" stroked="f"/>
              </w:pict>
            </w:r>
          </w:p>
          <w:tbl>
            <w:tblPr>
              <w:tblW w:w="5000" w:type="pct"/>
              <w:tblLayout w:type="fixed"/>
              <w:tblCellMar>
                <w:left w:w="0" w:type="dxa"/>
                <w:right w:w="0" w:type="dxa"/>
              </w:tblCellMar>
              <w:tblLook w:val="04A0" w:firstRow="1" w:lastRow="0" w:firstColumn="1" w:lastColumn="0" w:noHBand="0" w:noVBand="1"/>
            </w:tblPr>
            <w:tblGrid>
              <w:gridCol w:w="3785"/>
              <w:gridCol w:w="3364"/>
            </w:tblGrid>
            <w:tr w:rsidR="009577EB" w:rsidRPr="00CA799C" w:rsidTr="005C7E4E">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9577EB" w:rsidRPr="00CA799C" w:rsidRDefault="009577EB" w:rsidP="009577EB">
                  <w:pPr>
                    <w:spacing w:before="150" w:after="150"/>
                  </w:pP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9577EB" w:rsidRPr="00CA799C" w:rsidRDefault="0078322C" w:rsidP="009577EB">
                  <w:pPr>
                    <w:spacing w:before="150" w:after="150"/>
                  </w:pPr>
                  <w:r w:rsidRPr="00CA799C">
                    <w:t>Додаток 13</w:t>
                  </w:r>
                  <w:r w:rsidR="009577EB" w:rsidRPr="00CA799C">
                    <w:t> </w:t>
                  </w:r>
                  <w:r w:rsidR="009577EB" w:rsidRPr="00CA799C">
                    <w:br/>
                    <w:t>до Положення про порядок </w:t>
                  </w:r>
                  <w:r w:rsidR="009577EB" w:rsidRPr="00CA799C">
                    <w:br/>
                    <w:t>складання адміністративних даних </w:t>
                  </w:r>
                  <w:r w:rsidR="009577EB" w:rsidRPr="00CA799C">
                    <w:br/>
                    <w:t>щодо здійснення діяльності </w:t>
                  </w:r>
                  <w:r w:rsidR="009577EB" w:rsidRPr="00CA799C">
                    <w:br/>
                  </w:r>
                  <w:r w:rsidR="009577EB" w:rsidRPr="00CA799C">
                    <w:lastRenderedPageBreak/>
                    <w:t>організаторами торгівлі, </w:t>
                  </w:r>
                  <w:r w:rsidR="009577EB" w:rsidRPr="00CA799C">
                    <w:br/>
                    <w:t>оприлюднення інформації </w:t>
                  </w:r>
                  <w:r w:rsidR="009577EB" w:rsidRPr="00CA799C">
                    <w:br/>
                    <w:t>та подання відповідних документів </w:t>
                  </w:r>
                  <w:r w:rsidR="009577EB" w:rsidRPr="00CA799C">
                    <w:br/>
                    <w:t>до Національної комісії </w:t>
                  </w:r>
                  <w:r w:rsidR="009577EB" w:rsidRPr="00CA799C">
                    <w:br/>
                    <w:t>з цінних паперів та фондового ринку </w:t>
                  </w:r>
                  <w:r w:rsidR="009577EB" w:rsidRPr="00CA799C">
                    <w:br/>
                    <w:t>(підпункт 5.4 пункту 5 глави 1 розділу ІІІ)</w:t>
                  </w:r>
                </w:p>
              </w:tc>
            </w:tr>
          </w:tbl>
          <w:p w:rsidR="009577EB" w:rsidRPr="00CA799C" w:rsidRDefault="009577EB" w:rsidP="009577EB">
            <w:pPr>
              <w:shd w:val="clear" w:color="auto" w:fill="FFFFFF"/>
              <w:spacing w:before="150" w:after="150"/>
              <w:ind w:left="225" w:right="225"/>
              <w:jc w:val="center"/>
              <w:rPr>
                <w:color w:val="000000"/>
              </w:rPr>
            </w:pPr>
            <w:r w:rsidRPr="00CA799C">
              <w:rPr>
                <w:b/>
                <w:bCs/>
                <w:color w:val="000000"/>
              </w:rPr>
              <w:lastRenderedPageBreak/>
              <w:t>ДОВІДКА </w:t>
            </w:r>
            <w:r w:rsidRPr="00CA799C">
              <w:rPr>
                <w:color w:val="000000"/>
              </w:rPr>
              <w:br/>
            </w:r>
            <w:r w:rsidRPr="00CA799C">
              <w:rPr>
                <w:b/>
                <w:bCs/>
                <w:color w:val="000000"/>
              </w:rPr>
              <w:t>про ситуації цінової нестабільності</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7139"/>
            </w:tblGrid>
            <w:tr w:rsidR="009577EB" w:rsidRPr="00CA799C" w:rsidTr="005C7E4E">
              <w:tc>
                <w:tcPr>
                  <w:tcW w:w="5000" w:type="pct"/>
                  <w:tcBorders>
                    <w:top w:val="single" w:sz="6" w:space="0" w:color="000000"/>
                    <w:left w:val="single" w:sz="6" w:space="0" w:color="000000"/>
                    <w:bottom w:val="single" w:sz="6" w:space="0" w:color="000000"/>
                    <w:right w:val="single" w:sz="6" w:space="0" w:color="000000"/>
                  </w:tcBorders>
                  <w:shd w:val="clear" w:color="auto" w:fill="auto"/>
                  <w:hideMark/>
                </w:tcPr>
                <w:p w:rsidR="009577EB" w:rsidRPr="00CA799C" w:rsidRDefault="00DA33F1" w:rsidP="00DA33F1">
                  <w:pPr>
                    <w:spacing w:before="150" w:after="150"/>
                  </w:pPr>
                  <w:r w:rsidRPr="00CA799C">
                    <w:t>…</w:t>
                  </w:r>
                </w:p>
              </w:tc>
            </w:tr>
            <w:tr w:rsidR="009577EB" w:rsidRPr="00CA799C" w:rsidTr="005C7E4E">
              <w:tc>
                <w:tcPr>
                  <w:tcW w:w="5000" w:type="pct"/>
                  <w:tcBorders>
                    <w:top w:val="single" w:sz="6" w:space="0" w:color="000000"/>
                    <w:left w:val="single" w:sz="6" w:space="0" w:color="000000"/>
                    <w:bottom w:val="single" w:sz="6" w:space="0" w:color="000000"/>
                    <w:right w:val="single" w:sz="6" w:space="0" w:color="000000"/>
                  </w:tcBorders>
                  <w:shd w:val="clear" w:color="auto" w:fill="auto"/>
                  <w:hideMark/>
                </w:tcPr>
                <w:p w:rsidR="009577EB" w:rsidRPr="00CA799C" w:rsidRDefault="00187B14" w:rsidP="009577EB">
                  <w:pPr>
                    <w:spacing w:before="150" w:after="150"/>
                  </w:pPr>
                  <w:r w:rsidRPr="00CA799C">
                    <w:rPr>
                      <w:b/>
                    </w:rPr>
                    <w:t>«1» - лістингові, «0» - позалістингові»</w:t>
                  </w:r>
                </w:p>
              </w:tc>
            </w:tr>
            <w:tr w:rsidR="009577EB" w:rsidRPr="00CA799C" w:rsidTr="005C7E4E">
              <w:tc>
                <w:tcPr>
                  <w:tcW w:w="5000" w:type="pct"/>
                  <w:tcBorders>
                    <w:top w:val="single" w:sz="6" w:space="0" w:color="000000"/>
                    <w:left w:val="single" w:sz="6" w:space="0" w:color="000000"/>
                    <w:bottom w:val="single" w:sz="6" w:space="0" w:color="000000"/>
                    <w:right w:val="single" w:sz="6" w:space="0" w:color="000000"/>
                  </w:tcBorders>
                  <w:shd w:val="clear" w:color="auto" w:fill="auto"/>
                  <w:hideMark/>
                </w:tcPr>
                <w:p w:rsidR="009577EB" w:rsidRPr="00CA799C" w:rsidRDefault="00DA33F1" w:rsidP="009577EB">
                  <w:pPr>
                    <w:spacing w:before="150" w:after="150"/>
                  </w:pPr>
                  <w:r w:rsidRPr="00CA799C">
                    <w:t>…</w:t>
                  </w:r>
                </w:p>
              </w:tc>
            </w:tr>
          </w:tbl>
          <w:p w:rsidR="009577EB" w:rsidRPr="00CA799C" w:rsidRDefault="009577EB" w:rsidP="009577EB">
            <w:pPr>
              <w:shd w:val="clear" w:color="auto" w:fill="FFFFFF"/>
              <w:rPr>
                <w:color w:val="000000"/>
              </w:rPr>
            </w:pPr>
          </w:p>
        </w:tc>
      </w:tr>
      <w:tr w:rsidR="00403EAC" w:rsidRPr="00CA799C" w:rsidTr="00296069">
        <w:tc>
          <w:tcPr>
            <w:tcW w:w="626" w:type="dxa"/>
            <w:shd w:val="clear" w:color="auto" w:fill="auto"/>
          </w:tcPr>
          <w:p w:rsidR="00403EAC" w:rsidRPr="00CA799C" w:rsidRDefault="00403EAC"/>
        </w:tc>
        <w:tc>
          <w:tcPr>
            <w:tcW w:w="7144" w:type="dxa"/>
            <w:shd w:val="clear" w:color="auto" w:fill="auto"/>
          </w:tcPr>
          <w:p w:rsidR="00403EAC" w:rsidRPr="00CA799C" w:rsidRDefault="00403EAC" w:rsidP="009577EB">
            <w:pPr>
              <w:shd w:val="clear" w:color="auto" w:fill="FFFFFF"/>
              <w:rPr>
                <w:b/>
                <w:i/>
                <w:color w:val="000000"/>
              </w:rPr>
            </w:pPr>
            <w:r w:rsidRPr="00CA799C">
              <w:rPr>
                <w:b/>
                <w:i/>
                <w:color w:val="000000"/>
              </w:rPr>
              <w:t xml:space="preserve">Відсутній </w:t>
            </w:r>
          </w:p>
        </w:tc>
        <w:tc>
          <w:tcPr>
            <w:tcW w:w="7371" w:type="dxa"/>
            <w:shd w:val="clear" w:color="auto" w:fill="auto"/>
          </w:tcPr>
          <w:tbl>
            <w:tblPr>
              <w:tblW w:w="5385" w:type="dxa"/>
              <w:tblInd w:w="1455" w:type="dxa"/>
              <w:tblLayout w:type="fixed"/>
              <w:tblLook w:val="0000" w:firstRow="0" w:lastRow="0" w:firstColumn="0" w:lastColumn="0" w:noHBand="0" w:noVBand="0"/>
            </w:tblPr>
            <w:tblGrid>
              <w:gridCol w:w="5385"/>
            </w:tblGrid>
            <w:tr w:rsidR="00403EAC" w:rsidRPr="00CA799C" w:rsidTr="00296069">
              <w:tc>
                <w:tcPr>
                  <w:tcW w:w="5385" w:type="dxa"/>
                </w:tcPr>
                <w:p w:rsidR="00403EAC" w:rsidRPr="00CA799C" w:rsidRDefault="00403EAC" w:rsidP="00296069">
                  <w:pPr>
                    <w:ind w:left="886"/>
                  </w:pPr>
                </w:p>
                <w:p w:rsidR="00403EAC" w:rsidRPr="00CA799C" w:rsidRDefault="00403EAC" w:rsidP="00296069">
                  <w:pPr>
                    <w:ind w:left="886"/>
                  </w:pPr>
                  <w:r w:rsidRPr="00CA799C">
                    <w:t>Додаток 15</w:t>
                  </w:r>
                </w:p>
                <w:p w:rsidR="00403EAC" w:rsidRPr="00CA799C" w:rsidRDefault="00403EAC" w:rsidP="00296069">
                  <w:pPr>
                    <w:ind w:left="886"/>
                  </w:pPr>
                  <w:r w:rsidRPr="00CA799C">
                    <w:t>до Положення про порядок складання та подання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p>
                <w:p w:rsidR="00403EAC" w:rsidRPr="00CA799C" w:rsidRDefault="00403EAC" w:rsidP="00296069">
                  <w:pPr>
                    <w:ind w:left="886"/>
                  </w:pPr>
                  <w:r w:rsidRPr="00CA799C">
                    <w:t>(підпункт 4.5 пункту 4 глави 1 розділу III)</w:t>
                  </w:r>
                </w:p>
              </w:tc>
            </w:tr>
          </w:tbl>
          <w:p w:rsidR="00403EAC" w:rsidRPr="00CA799C" w:rsidRDefault="00403EAC" w:rsidP="00403EAC"/>
          <w:p w:rsidR="00403EAC" w:rsidRPr="00CA799C" w:rsidRDefault="00403EAC" w:rsidP="00403EAC"/>
          <w:p w:rsidR="00403EAC" w:rsidRPr="00CA799C" w:rsidRDefault="00403EAC" w:rsidP="00403EAC">
            <w:pPr>
              <w:ind w:left="709"/>
            </w:pPr>
          </w:p>
          <w:p w:rsidR="00403EAC" w:rsidRPr="00CA799C" w:rsidRDefault="00403EAC" w:rsidP="00403EAC">
            <w:pPr>
              <w:jc w:val="center"/>
              <w:rPr>
                <w:b/>
              </w:rPr>
            </w:pPr>
            <w:r w:rsidRPr="00CA799C">
              <w:rPr>
                <w:b/>
              </w:rPr>
              <w:t xml:space="preserve">Довідка про подані безадресні заявки на продаж цінних паперів, </w:t>
            </w:r>
            <w:r w:rsidRPr="00CA799C">
              <w:rPr>
                <w:b/>
                <w:color w:val="000000"/>
              </w:rPr>
              <w:lastRenderedPageBreak/>
              <w:t xml:space="preserve">щодо яких не здійснювалася публічна пропозиція (крім цінних паперів емітентів, які вважаються такими, що здійснили публічну пропозицію відповідно до закону), </w:t>
            </w:r>
            <w:r w:rsidRPr="00CA799C">
              <w:rPr>
                <w:b/>
              </w:rPr>
              <w:t>торговцями цінними паперами, які діяли в інтересах клієнтів, яким надано прямий електронний доступ до біржових торгів та які не розкрили інформацію про себе в обсязі, визначеному Комісією</w:t>
            </w:r>
          </w:p>
          <w:p w:rsidR="00403EAC" w:rsidRPr="00CA799C" w:rsidRDefault="00403EAC" w:rsidP="00403EAC">
            <w:pPr>
              <w:jc w:val="center"/>
              <w:rPr>
                <w:b/>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5"/>
            </w:tblGrid>
            <w:tr w:rsidR="00403EAC" w:rsidRPr="00CA799C" w:rsidTr="00403EAC">
              <w:tc>
                <w:tcPr>
                  <w:tcW w:w="5000" w:type="pct"/>
                </w:tcPr>
                <w:p w:rsidR="00403EAC" w:rsidRPr="00CA799C" w:rsidRDefault="00403EAC" w:rsidP="00403EAC">
                  <w:r w:rsidRPr="00CA799C">
                    <w:t>Ідентифікаційний код за ЄДРПОУ організатора торгівлі</w:t>
                  </w:r>
                </w:p>
              </w:tc>
            </w:tr>
            <w:tr w:rsidR="00403EAC" w:rsidRPr="00CA799C" w:rsidTr="00403EAC">
              <w:tc>
                <w:tcPr>
                  <w:tcW w:w="5000" w:type="pct"/>
                </w:tcPr>
                <w:p w:rsidR="00403EAC" w:rsidRPr="00CA799C" w:rsidRDefault="00403EAC" w:rsidP="00403EAC">
                  <w:r w:rsidRPr="00CA799C">
                    <w:t>Дата, станом на яку складено Дані</w:t>
                  </w:r>
                </w:p>
              </w:tc>
            </w:tr>
            <w:tr w:rsidR="00403EAC" w:rsidRPr="00CA799C" w:rsidTr="00403EAC">
              <w:tc>
                <w:tcPr>
                  <w:tcW w:w="5000" w:type="pct"/>
                </w:tcPr>
                <w:p w:rsidR="00403EAC" w:rsidRPr="00CA799C" w:rsidRDefault="00403EAC" w:rsidP="00403EAC">
                  <w:r w:rsidRPr="00CA799C">
                    <w:t>Дата подання заявки</w:t>
                  </w:r>
                </w:p>
              </w:tc>
            </w:tr>
            <w:tr w:rsidR="00403EAC" w:rsidRPr="00CA799C" w:rsidTr="00403EAC">
              <w:tc>
                <w:tcPr>
                  <w:tcW w:w="5000" w:type="pct"/>
                </w:tcPr>
                <w:p w:rsidR="00403EAC" w:rsidRPr="00CA799C" w:rsidRDefault="00403EAC" w:rsidP="00403EAC">
                  <w:r w:rsidRPr="00CA799C">
                    <w:t>Час подання заявки</w:t>
                  </w:r>
                </w:p>
              </w:tc>
            </w:tr>
            <w:tr w:rsidR="00403EAC" w:rsidRPr="00CA799C" w:rsidTr="00403EAC">
              <w:tc>
                <w:tcPr>
                  <w:tcW w:w="5000" w:type="pct"/>
                </w:tcPr>
                <w:p w:rsidR="00403EAC" w:rsidRPr="00CA799C" w:rsidRDefault="00403EAC" w:rsidP="00403EAC">
                  <w:r w:rsidRPr="00CA799C">
                    <w:t xml:space="preserve">Найменування емітента цінних паперів </w:t>
                  </w:r>
                </w:p>
              </w:tc>
            </w:tr>
            <w:tr w:rsidR="00403EAC" w:rsidRPr="00CA799C" w:rsidTr="00403EAC">
              <w:tc>
                <w:tcPr>
                  <w:tcW w:w="5000" w:type="pct"/>
                </w:tcPr>
                <w:p w:rsidR="00403EAC" w:rsidRPr="00CA799C" w:rsidRDefault="00403EAC" w:rsidP="00403EAC">
                  <w:r w:rsidRPr="00CA799C">
                    <w:t xml:space="preserve">Ідентифікаційний код за ЄДРПОУ емітента цінних паперів </w:t>
                  </w:r>
                </w:p>
              </w:tc>
            </w:tr>
            <w:tr w:rsidR="00403EAC" w:rsidRPr="00CA799C" w:rsidTr="00403EAC">
              <w:tc>
                <w:tcPr>
                  <w:tcW w:w="5000" w:type="pct"/>
                </w:tcPr>
                <w:p w:rsidR="00403EAC" w:rsidRPr="00CA799C" w:rsidRDefault="00403EAC" w:rsidP="00403EAC">
                  <w:r w:rsidRPr="00CA799C">
                    <w:t>Класифікація цінного паперу</w:t>
                  </w:r>
                  <w:r w:rsidRPr="00CA799C">
                    <w:rPr>
                      <w:vertAlign w:val="superscript"/>
                    </w:rPr>
                    <w:t xml:space="preserve"> 1</w:t>
                  </w:r>
                </w:p>
              </w:tc>
            </w:tr>
            <w:tr w:rsidR="00403EAC" w:rsidRPr="00CA799C" w:rsidTr="00403EAC">
              <w:tc>
                <w:tcPr>
                  <w:tcW w:w="5000" w:type="pct"/>
                </w:tcPr>
                <w:p w:rsidR="00403EAC" w:rsidRPr="00CA799C" w:rsidRDefault="00403EAC" w:rsidP="00403EAC">
                  <w:r w:rsidRPr="00CA799C">
                    <w:t>Вид ринку</w:t>
                  </w:r>
                  <w:r w:rsidRPr="00CA799C">
                    <w:rPr>
                      <w:vertAlign w:val="superscript"/>
                    </w:rPr>
                    <w:t xml:space="preserve"> 2</w:t>
                  </w:r>
                </w:p>
              </w:tc>
            </w:tr>
            <w:tr w:rsidR="00403EAC" w:rsidRPr="00CA799C" w:rsidTr="00403EAC">
              <w:tc>
                <w:tcPr>
                  <w:tcW w:w="5000" w:type="pct"/>
                </w:tcPr>
                <w:p w:rsidR="00403EAC" w:rsidRPr="00CA799C" w:rsidRDefault="00403EAC" w:rsidP="00403EAC">
                  <w:r w:rsidRPr="00CA799C">
                    <w:t>Технологія проведення торгів</w:t>
                  </w:r>
                  <w:r w:rsidRPr="00CA799C">
                    <w:rPr>
                      <w:vertAlign w:val="superscript"/>
                    </w:rPr>
                    <w:t xml:space="preserve"> 3</w:t>
                  </w:r>
                </w:p>
              </w:tc>
            </w:tr>
            <w:tr w:rsidR="00403EAC" w:rsidRPr="00CA799C" w:rsidTr="00403EAC">
              <w:tc>
                <w:tcPr>
                  <w:tcW w:w="5000" w:type="pct"/>
                </w:tcPr>
                <w:p w:rsidR="00403EAC" w:rsidRPr="00CA799C" w:rsidRDefault="00403EAC" w:rsidP="00403EAC">
                  <w:r w:rsidRPr="00CA799C">
                    <w:t>Види ринку за характером проведення операцій</w:t>
                  </w:r>
                  <w:r w:rsidRPr="00CA799C">
                    <w:rPr>
                      <w:vertAlign w:val="superscript"/>
                    </w:rPr>
                    <w:t xml:space="preserve"> 4</w:t>
                  </w:r>
                </w:p>
              </w:tc>
            </w:tr>
            <w:tr w:rsidR="00403EAC" w:rsidRPr="00CA799C" w:rsidTr="00403EAC">
              <w:tc>
                <w:tcPr>
                  <w:tcW w:w="5000" w:type="pct"/>
                </w:tcPr>
                <w:p w:rsidR="00403EAC" w:rsidRPr="00CA799C" w:rsidRDefault="00403EAC" w:rsidP="00403EAC">
                  <w:r w:rsidRPr="00CA799C">
                    <w:t>Клієнт, в інтересах якого виступає торговець: вид особи (юридична особа - резидент або інститут спільного інвестування - "1", юридична особа - нерезидент - "2", фізична особа - резидент - "3", фізична особа - нерезидент - "4", торговець цінними паперами - "5")</w:t>
                  </w:r>
                  <w:r w:rsidRPr="00CA799C">
                    <w:rPr>
                      <w:vertAlign w:val="superscript"/>
                    </w:rPr>
                    <w:t xml:space="preserve"> 5</w:t>
                  </w:r>
                </w:p>
              </w:tc>
            </w:tr>
            <w:tr w:rsidR="00403EAC" w:rsidRPr="00CA799C" w:rsidTr="00403EAC">
              <w:tc>
                <w:tcPr>
                  <w:tcW w:w="5000" w:type="pct"/>
                </w:tcPr>
                <w:p w:rsidR="00403EAC" w:rsidRPr="00CA799C" w:rsidRDefault="00403EAC" w:rsidP="00403EAC">
                  <w:r w:rsidRPr="00CA799C">
                    <w:t>Клієнт, в інтересах якого виступає торговець: ідентифікаційний код за ЄДРПОУ юридичної особи, реєстраційний код за ЄДРІСІ інституту спільного інвестування,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w:t>
                  </w:r>
                  <w:r w:rsidRPr="00CA799C">
                    <w:rPr>
                      <w:vertAlign w:val="superscript"/>
                    </w:rPr>
                    <w:t xml:space="preserve"> 5</w:t>
                  </w:r>
                </w:p>
              </w:tc>
            </w:tr>
            <w:tr w:rsidR="00403EAC" w:rsidRPr="00CA799C" w:rsidTr="00403EAC">
              <w:tc>
                <w:tcPr>
                  <w:tcW w:w="5000" w:type="pct"/>
                </w:tcPr>
                <w:p w:rsidR="00403EAC" w:rsidRPr="00CA799C" w:rsidRDefault="00403EAC" w:rsidP="00403EAC">
                  <w:r w:rsidRPr="00CA799C">
                    <w:t>Клієнт, в інтересах якого виступає торговець: П. І. Б. фізичної особи, найменування юридичної особи, найменування інституту спільного інвестування</w:t>
                  </w:r>
                  <w:r w:rsidRPr="00CA799C">
                    <w:rPr>
                      <w:vertAlign w:val="superscript"/>
                    </w:rPr>
                    <w:t xml:space="preserve"> 5</w:t>
                  </w:r>
                </w:p>
              </w:tc>
            </w:tr>
            <w:tr w:rsidR="00403EAC" w:rsidRPr="00CA799C" w:rsidTr="00403EAC">
              <w:tc>
                <w:tcPr>
                  <w:tcW w:w="5000" w:type="pct"/>
                </w:tcPr>
                <w:p w:rsidR="00403EAC" w:rsidRPr="00CA799C" w:rsidRDefault="00403EAC" w:rsidP="00403EAC">
                  <w:r w:rsidRPr="00CA799C">
                    <w:t>Клієнт, в інтересах якого виступає торговець - продавець: країна реєстрації</w:t>
                  </w:r>
                  <w:r w:rsidRPr="00CA799C">
                    <w:rPr>
                      <w:vertAlign w:val="superscript"/>
                    </w:rPr>
                    <w:t xml:space="preserve"> 6</w:t>
                  </w:r>
                </w:p>
              </w:tc>
            </w:tr>
          </w:tbl>
          <w:p w:rsidR="00403EAC" w:rsidRPr="00CA799C" w:rsidRDefault="00403EAC" w:rsidP="00403EAC">
            <w:r w:rsidRPr="00CA799C">
              <w:lastRenderedPageBreak/>
              <w:t>____________</w:t>
            </w:r>
          </w:p>
          <w:p w:rsidR="00403EAC" w:rsidRPr="00CA799C" w:rsidRDefault="00403EAC" w:rsidP="00403EAC">
            <w:pPr>
              <w:rPr>
                <w:color w:val="000000"/>
              </w:rPr>
            </w:pPr>
            <w:r w:rsidRPr="00CA799C">
              <w:rPr>
                <w:color w:val="000000"/>
                <w:vertAlign w:val="superscript"/>
              </w:rPr>
              <w:t>1</w:t>
            </w:r>
            <w:r w:rsidRPr="00CA799C">
              <w:rPr>
                <w:color w:val="000000"/>
              </w:rPr>
              <w:t xml:space="preserve"> Заповнюється відповідно до Довідника 7 "Класифікація фінансових інструментів" Системи довідників та класифікаторів.</w:t>
            </w:r>
          </w:p>
          <w:p w:rsidR="00403EAC" w:rsidRPr="00CA799C" w:rsidRDefault="00403EAC" w:rsidP="00403EAC">
            <w:pPr>
              <w:rPr>
                <w:color w:val="000000"/>
              </w:rPr>
            </w:pPr>
          </w:p>
          <w:p w:rsidR="00403EAC" w:rsidRPr="00CA799C" w:rsidRDefault="00403EAC" w:rsidP="00403EAC">
            <w:pPr>
              <w:rPr>
                <w:color w:val="000000"/>
              </w:rPr>
            </w:pPr>
            <w:r w:rsidRPr="00CA799C">
              <w:rPr>
                <w:color w:val="000000"/>
                <w:vertAlign w:val="superscript"/>
              </w:rPr>
              <w:t>2</w:t>
            </w:r>
            <w:r w:rsidRPr="00CA799C">
              <w:rPr>
                <w:color w:val="000000"/>
              </w:rPr>
              <w:t xml:space="preserve"> Заповнюється відповідно до Довідника 8 "Види ринку" Системи довідників та класифікаторів.</w:t>
            </w:r>
          </w:p>
          <w:p w:rsidR="00403EAC" w:rsidRPr="00CA799C" w:rsidRDefault="00403EAC" w:rsidP="00403EAC">
            <w:pPr>
              <w:rPr>
                <w:color w:val="000000"/>
              </w:rPr>
            </w:pPr>
          </w:p>
          <w:p w:rsidR="00403EAC" w:rsidRPr="00CA799C" w:rsidRDefault="00403EAC" w:rsidP="00403EAC">
            <w:pPr>
              <w:rPr>
                <w:color w:val="000000"/>
              </w:rPr>
            </w:pPr>
            <w:r w:rsidRPr="00CA799C">
              <w:rPr>
                <w:color w:val="000000"/>
                <w:vertAlign w:val="superscript"/>
              </w:rPr>
              <w:t>3</w:t>
            </w:r>
            <w:r w:rsidRPr="00CA799C">
              <w:rPr>
                <w:color w:val="000000"/>
              </w:rPr>
              <w:t xml:space="preserve"> Заповнюється відповідно до Довідника 25 "Технології проведення торгів" Системи довідників та класифікаторів.</w:t>
            </w:r>
          </w:p>
          <w:p w:rsidR="00403EAC" w:rsidRPr="00CA799C" w:rsidRDefault="00403EAC" w:rsidP="00403EAC">
            <w:pPr>
              <w:rPr>
                <w:color w:val="000000"/>
              </w:rPr>
            </w:pPr>
          </w:p>
          <w:p w:rsidR="00403EAC" w:rsidRPr="00CA799C" w:rsidRDefault="00403EAC" w:rsidP="00403EAC">
            <w:pPr>
              <w:rPr>
                <w:color w:val="000000"/>
              </w:rPr>
            </w:pPr>
            <w:r w:rsidRPr="00CA799C">
              <w:rPr>
                <w:color w:val="000000"/>
                <w:vertAlign w:val="superscript"/>
              </w:rPr>
              <w:t>4</w:t>
            </w:r>
            <w:r w:rsidRPr="00CA799C">
              <w:rPr>
                <w:color w:val="000000"/>
              </w:rPr>
              <w:t xml:space="preserve"> Заповнюється відповідно до Довідника 9 "Види ринку за характером проведення операцій" Системи довідників та класифікаторів.</w:t>
            </w:r>
          </w:p>
          <w:p w:rsidR="00403EAC" w:rsidRPr="00CA799C" w:rsidRDefault="00403EAC" w:rsidP="00403EAC">
            <w:pPr>
              <w:rPr>
                <w:color w:val="000000"/>
              </w:rPr>
            </w:pPr>
          </w:p>
          <w:p w:rsidR="00403EAC" w:rsidRPr="00CA799C" w:rsidRDefault="00403EAC" w:rsidP="00403EAC">
            <w:pPr>
              <w:rPr>
                <w:color w:val="000000"/>
              </w:rPr>
            </w:pPr>
            <w:r w:rsidRPr="00CA799C">
              <w:rPr>
                <w:color w:val="000000"/>
                <w:vertAlign w:val="superscript"/>
              </w:rPr>
              <w:t>5</w:t>
            </w:r>
            <w:r w:rsidRPr="00CA799C">
              <w:rPr>
                <w:color w:val="000000"/>
              </w:rPr>
              <w:t xml:space="preserve"> При здійсненні дилерської діяльності торговцем цінними паперами поля не заповнюються.</w:t>
            </w:r>
          </w:p>
          <w:p w:rsidR="00403EAC" w:rsidRPr="00CA799C" w:rsidRDefault="00403EAC" w:rsidP="00403EAC">
            <w:pPr>
              <w:rPr>
                <w:color w:val="000000"/>
              </w:rPr>
            </w:pPr>
          </w:p>
          <w:p w:rsidR="00403EAC" w:rsidRPr="00CA799C" w:rsidRDefault="00403EAC" w:rsidP="00403EAC">
            <w:pPr>
              <w:rPr>
                <w:color w:val="000000"/>
              </w:rPr>
            </w:pPr>
            <w:r w:rsidRPr="00CA799C">
              <w:rPr>
                <w:color w:val="000000"/>
                <w:vertAlign w:val="superscript"/>
              </w:rPr>
              <w:t>6</w:t>
            </w:r>
            <w:r w:rsidRPr="00CA799C">
              <w:rPr>
                <w:color w:val="000000"/>
              </w:rPr>
              <w:t xml:space="preserve"> Заповнюється відповідно до Довідника 45 "Класифікація країн світу" Системи довідників та класифікаторів.</w:t>
            </w:r>
          </w:p>
          <w:p w:rsidR="00403EAC" w:rsidRPr="00CA799C" w:rsidRDefault="00403EAC" w:rsidP="009577EB">
            <w:pPr>
              <w:shd w:val="clear" w:color="auto" w:fill="FFFFFF"/>
              <w:rPr>
                <w:color w:val="000000"/>
              </w:rPr>
            </w:pPr>
          </w:p>
          <w:p w:rsidR="00403EAC" w:rsidRPr="00CA799C" w:rsidRDefault="00403EAC" w:rsidP="009577EB">
            <w:pPr>
              <w:shd w:val="clear" w:color="auto" w:fill="FFFFFF"/>
              <w:rPr>
                <w:color w:val="000000"/>
              </w:rPr>
            </w:pPr>
          </w:p>
        </w:tc>
      </w:tr>
      <w:tr w:rsidR="006B7632" w:rsidRPr="00CA799C" w:rsidTr="00296069">
        <w:tc>
          <w:tcPr>
            <w:tcW w:w="626" w:type="dxa"/>
            <w:shd w:val="clear" w:color="auto" w:fill="auto"/>
          </w:tcPr>
          <w:p w:rsidR="006B7632" w:rsidRPr="00CA799C" w:rsidRDefault="006B7632"/>
        </w:tc>
        <w:tc>
          <w:tcPr>
            <w:tcW w:w="7144" w:type="dxa"/>
            <w:shd w:val="clear" w:color="auto" w:fill="auto"/>
          </w:tcPr>
          <w:p w:rsidR="006B7632" w:rsidRPr="00CA799C" w:rsidRDefault="006B7632" w:rsidP="009577EB">
            <w:pPr>
              <w:shd w:val="clear" w:color="auto" w:fill="FFFFFF"/>
              <w:rPr>
                <w:color w:val="000000"/>
              </w:rPr>
            </w:pPr>
          </w:p>
        </w:tc>
        <w:tc>
          <w:tcPr>
            <w:tcW w:w="7371" w:type="dxa"/>
            <w:shd w:val="clear" w:color="auto" w:fill="auto"/>
          </w:tcPr>
          <w:p w:rsidR="006B7632" w:rsidRPr="00CA799C" w:rsidRDefault="006B7632" w:rsidP="009577EB">
            <w:pPr>
              <w:shd w:val="clear" w:color="auto" w:fill="FFFFFF"/>
              <w:rPr>
                <w:b/>
                <w:color w:val="000000"/>
              </w:rPr>
            </w:pPr>
            <w:r w:rsidRPr="00CA799C">
              <w:rPr>
                <w:b/>
                <w:color w:val="000000"/>
              </w:rPr>
              <w:t>у додатках слова «ідентифікаційний код за  ЄДРПОУ» замінити словами «ідентифікаційний код юридичної особи»</w:t>
            </w:r>
          </w:p>
        </w:tc>
      </w:tr>
    </w:tbl>
    <w:p w:rsidR="00402F38" w:rsidRPr="004D1687" w:rsidRDefault="00402F38" w:rsidP="004A56B7">
      <w:pPr>
        <w:jc w:val="both"/>
      </w:pPr>
    </w:p>
    <w:sectPr w:rsidR="00402F38" w:rsidRPr="004D1687" w:rsidSect="002D5FD4">
      <w:headerReference w:type="even" r:id="rId15"/>
      <w:headerReference w:type="default" r:id="rId16"/>
      <w:pgSz w:w="16838" w:h="11906" w:orient="landscape" w:code="9"/>
      <w:pgMar w:top="850" w:right="850" w:bottom="850"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7D5" w:rsidRDefault="00E347D5">
      <w:r>
        <w:separator/>
      </w:r>
    </w:p>
  </w:endnote>
  <w:endnote w:type="continuationSeparator" w:id="0">
    <w:p w:rsidR="00E347D5" w:rsidRDefault="00E3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7D5" w:rsidRDefault="00E347D5">
      <w:r>
        <w:separator/>
      </w:r>
    </w:p>
  </w:footnote>
  <w:footnote w:type="continuationSeparator" w:id="0">
    <w:p w:rsidR="00E347D5" w:rsidRDefault="00E3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7CA" w:rsidRDefault="004157CA" w:rsidP="0081425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157CA" w:rsidRDefault="004157C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7CA" w:rsidRDefault="004157CA" w:rsidP="0081425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759A4">
      <w:rPr>
        <w:rStyle w:val="a6"/>
        <w:noProof/>
      </w:rPr>
      <w:t>2</w:t>
    </w:r>
    <w:r>
      <w:rPr>
        <w:rStyle w:val="a6"/>
      </w:rPr>
      <w:fldChar w:fldCharType="end"/>
    </w:r>
  </w:p>
  <w:p w:rsidR="004157CA" w:rsidRDefault="004157C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1B5"/>
    <w:rsid w:val="0002002E"/>
    <w:rsid w:val="000311CD"/>
    <w:rsid w:val="000558D2"/>
    <w:rsid w:val="00060E48"/>
    <w:rsid w:val="0007647A"/>
    <w:rsid w:val="00082DE4"/>
    <w:rsid w:val="000A237E"/>
    <w:rsid w:val="000B17A0"/>
    <w:rsid w:val="000B4366"/>
    <w:rsid w:val="000C1CA6"/>
    <w:rsid w:val="000C78AC"/>
    <w:rsid w:val="000D0D79"/>
    <w:rsid w:val="000D1CB0"/>
    <w:rsid w:val="000E5A13"/>
    <w:rsid w:val="000F274C"/>
    <w:rsid w:val="000F4A08"/>
    <w:rsid w:val="001152FE"/>
    <w:rsid w:val="00121E91"/>
    <w:rsid w:val="00136F29"/>
    <w:rsid w:val="0017214D"/>
    <w:rsid w:val="00177878"/>
    <w:rsid w:val="00187B14"/>
    <w:rsid w:val="001E54C7"/>
    <w:rsid w:val="001F5891"/>
    <w:rsid w:val="0020111C"/>
    <w:rsid w:val="00202A06"/>
    <w:rsid w:val="0021504B"/>
    <w:rsid w:val="00253DB5"/>
    <w:rsid w:val="00267703"/>
    <w:rsid w:val="00296069"/>
    <w:rsid w:val="002A2A0F"/>
    <w:rsid w:val="002A3BC3"/>
    <w:rsid w:val="002A59DD"/>
    <w:rsid w:val="002C0B5F"/>
    <w:rsid w:val="002C55EE"/>
    <w:rsid w:val="002D5FD4"/>
    <w:rsid w:val="002E3B47"/>
    <w:rsid w:val="00307417"/>
    <w:rsid w:val="00307AE7"/>
    <w:rsid w:val="00320DE0"/>
    <w:rsid w:val="00322F1E"/>
    <w:rsid w:val="00324F39"/>
    <w:rsid w:val="003409D1"/>
    <w:rsid w:val="00354926"/>
    <w:rsid w:val="00372A32"/>
    <w:rsid w:val="003759A4"/>
    <w:rsid w:val="00376691"/>
    <w:rsid w:val="00392CE5"/>
    <w:rsid w:val="003B3587"/>
    <w:rsid w:val="003B5065"/>
    <w:rsid w:val="003C3171"/>
    <w:rsid w:val="003E048B"/>
    <w:rsid w:val="00402F38"/>
    <w:rsid w:val="00403EAC"/>
    <w:rsid w:val="004157CA"/>
    <w:rsid w:val="00415F52"/>
    <w:rsid w:val="00435528"/>
    <w:rsid w:val="00464798"/>
    <w:rsid w:val="00482F3E"/>
    <w:rsid w:val="004849F1"/>
    <w:rsid w:val="0048672F"/>
    <w:rsid w:val="00497738"/>
    <w:rsid w:val="004A56B7"/>
    <w:rsid w:val="004D1687"/>
    <w:rsid w:val="0050488E"/>
    <w:rsid w:val="005325E5"/>
    <w:rsid w:val="005437AC"/>
    <w:rsid w:val="00552CC3"/>
    <w:rsid w:val="005926A7"/>
    <w:rsid w:val="005A4AA4"/>
    <w:rsid w:val="005B6659"/>
    <w:rsid w:val="005B71B5"/>
    <w:rsid w:val="005C7E4E"/>
    <w:rsid w:val="005D6035"/>
    <w:rsid w:val="005E3416"/>
    <w:rsid w:val="00637410"/>
    <w:rsid w:val="00655D67"/>
    <w:rsid w:val="00656636"/>
    <w:rsid w:val="00671D41"/>
    <w:rsid w:val="006906AC"/>
    <w:rsid w:val="006931EF"/>
    <w:rsid w:val="006B2A65"/>
    <w:rsid w:val="006B7632"/>
    <w:rsid w:val="006C516D"/>
    <w:rsid w:val="006E20AC"/>
    <w:rsid w:val="006F4C3C"/>
    <w:rsid w:val="007025D3"/>
    <w:rsid w:val="007038DB"/>
    <w:rsid w:val="00710DE0"/>
    <w:rsid w:val="00721F3F"/>
    <w:rsid w:val="00724911"/>
    <w:rsid w:val="00750789"/>
    <w:rsid w:val="007563F0"/>
    <w:rsid w:val="00756976"/>
    <w:rsid w:val="00756F45"/>
    <w:rsid w:val="00765146"/>
    <w:rsid w:val="00780403"/>
    <w:rsid w:val="007825F7"/>
    <w:rsid w:val="0078322C"/>
    <w:rsid w:val="0078762E"/>
    <w:rsid w:val="007B241C"/>
    <w:rsid w:val="007C0E0A"/>
    <w:rsid w:val="007C5E8B"/>
    <w:rsid w:val="007E30AD"/>
    <w:rsid w:val="007E620C"/>
    <w:rsid w:val="0081383D"/>
    <w:rsid w:val="0081425C"/>
    <w:rsid w:val="00817691"/>
    <w:rsid w:val="008178C2"/>
    <w:rsid w:val="0084602D"/>
    <w:rsid w:val="00847F76"/>
    <w:rsid w:val="00850E9F"/>
    <w:rsid w:val="008525C9"/>
    <w:rsid w:val="00875E3E"/>
    <w:rsid w:val="008765A8"/>
    <w:rsid w:val="00892A22"/>
    <w:rsid w:val="008C4F3B"/>
    <w:rsid w:val="008D55E9"/>
    <w:rsid w:val="0093247D"/>
    <w:rsid w:val="00942688"/>
    <w:rsid w:val="009440D3"/>
    <w:rsid w:val="00944E03"/>
    <w:rsid w:val="009577EB"/>
    <w:rsid w:val="00957BA9"/>
    <w:rsid w:val="00963C7B"/>
    <w:rsid w:val="00966106"/>
    <w:rsid w:val="009A6019"/>
    <w:rsid w:val="009B0373"/>
    <w:rsid w:val="009C46E5"/>
    <w:rsid w:val="009D6749"/>
    <w:rsid w:val="009E581D"/>
    <w:rsid w:val="009E7E90"/>
    <w:rsid w:val="009F2A44"/>
    <w:rsid w:val="00A0074C"/>
    <w:rsid w:val="00A00F26"/>
    <w:rsid w:val="00A41C0D"/>
    <w:rsid w:val="00A45095"/>
    <w:rsid w:val="00A45F22"/>
    <w:rsid w:val="00A60D1F"/>
    <w:rsid w:val="00A658E6"/>
    <w:rsid w:val="00A73DCE"/>
    <w:rsid w:val="00A82C18"/>
    <w:rsid w:val="00A8544B"/>
    <w:rsid w:val="00A90124"/>
    <w:rsid w:val="00AB49EA"/>
    <w:rsid w:val="00AF0E80"/>
    <w:rsid w:val="00AF3F25"/>
    <w:rsid w:val="00B12312"/>
    <w:rsid w:val="00B4484F"/>
    <w:rsid w:val="00B67498"/>
    <w:rsid w:val="00B75088"/>
    <w:rsid w:val="00B9323B"/>
    <w:rsid w:val="00BA30F8"/>
    <w:rsid w:val="00BA5CF6"/>
    <w:rsid w:val="00BA74C1"/>
    <w:rsid w:val="00BD2E83"/>
    <w:rsid w:val="00BD74B9"/>
    <w:rsid w:val="00BF08F2"/>
    <w:rsid w:val="00BF0B04"/>
    <w:rsid w:val="00C00867"/>
    <w:rsid w:val="00C057F8"/>
    <w:rsid w:val="00C22A3A"/>
    <w:rsid w:val="00C45226"/>
    <w:rsid w:val="00C467AD"/>
    <w:rsid w:val="00C64E08"/>
    <w:rsid w:val="00C701A1"/>
    <w:rsid w:val="00C72734"/>
    <w:rsid w:val="00CA3FB5"/>
    <w:rsid w:val="00CA799C"/>
    <w:rsid w:val="00CB52CA"/>
    <w:rsid w:val="00D105A1"/>
    <w:rsid w:val="00D12431"/>
    <w:rsid w:val="00D41353"/>
    <w:rsid w:val="00D64174"/>
    <w:rsid w:val="00D77C6E"/>
    <w:rsid w:val="00D90120"/>
    <w:rsid w:val="00D96457"/>
    <w:rsid w:val="00DA33F1"/>
    <w:rsid w:val="00DA5586"/>
    <w:rsid w:val="00DA56AD"/>
    <w:rsid w:val="00E005CC"/>
    <w:rsid w:val="00E10689"/>
    <w:rsid w:val="00E16B7E"/>
    <w:rsid w:val="00E249E3"/>
    <w:rsid w:val="00E347D5"/>
    <w:rsid w:val="00E64DFD"/>
    <w:rsid w:val="00E817A0"/>
    <w:rsid w:val="00E913F3"/>
    <w:rsid w:val="00EA6479"/>
    <w:rsid w:val="00ED2DA5"/>
    <w:rsid w:val="00F148AB"/>
    <w:rsid w:val="00F40D46"/>
    <w:rsid w:val="00F4404A"/>
    <w:rsid w:val="00F9727D"/>
    <w:rsid w:val="00FB1996"/>
    <w:rsid w:val="00FC3242"/>
    <w:rsid w:val="00FC5130"/>
    <w:rsid w:val="00FD622C"/>
    <w:rsid w:val="00FE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828AC2-5D3E-4279-9CFE-311E2447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1B5"/>
    <w:rPr>
      <w:sz w:val="24"/>
      <w:szCs w:val="24"/>
      <w:lang w:val="uk-UA" w:eastAsia="uk-UA"/>
    </w:rPr>
  </w:style>
  <w:style w:type="paragraph" w:styleId="1">
    <w:name w:val="heading 1"/>
    <w:basedOn w:val="a"/>
    <w:next w:val="a"/>
    <w:link w:val="10"/>
    <w:qFormat/>
    <w:rsid w:val="00DA33F1"/>
    <w:pPr>
      <w:keepNext/>
      <w:spacing w:before="240" w:after="60"/>
      <w:outlineLvl w:val="0"/>
    </w:pPr>
    <w:rPr>
      <w:rFonts w:ascii="Calibri Light" w:hAnsi="Calibri Light"/>
      <w:b/>
      <w:bCs/>
      <w:kern w:val="32"/>
      <w:sz w:val="32"/>
      <w:szCs w:val="32"/>
    </w:rPr>
  </w:style>
  <w:style w:type="paragraph" w:styleId="2">
    <w:name w:val="heading 2"/>
    <w:basedOn w:val="a"/>
    <w:qFormat/>
    <w:rsid w:val="000D0D79"/>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B7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44E03"/>
    <w:rPr>
      <w:rFonts w:ascii="Tahoma" w:hAnsi="Tahoma" w:cs="Tahoma"/>
      <w:sz w:val="16"/>
      <w:szCs w:val="16"/>
    </w:rPr>
  </w:style>
  <w:style w:type="paragraph" w:styleId="a5">
    <w:name w:val="header"/>
    <w:basedOn w:val="a"/>
    <w:rsid w:val="007E30AD"/>
    <w:pPr>
      <w:tabs>
        <w:tab w:val="center" w:pos="4819"/>
        <w:tab w:val="right" w:pos="9639"/>
      </w:tabs>
    </w:pPr>
  </w:style>
  <w:style w:type="character" w:styleId="a6">
    <w:name w:val="page number"/>
    <w:basedOn w:val="a0"/>
    <w:rsid w:val="007E30AD"/>
  </w:style>
  <w:style w:type="paragraph" w:styleId="a7">
    <w:name w:val="Normal (Web)"/>
    <w:basedOn w:val="a"/>
    <w:rsid w:val="00F9727D"/>
    <w:pPr>
      <w:spacing w:before="100" w:beforeAutospacing="1" w:after="100" w:afterAutospacing="1"/>
    </w:pPr>
  </w:style>
  <w:style w:type="paragraph" w:customStyle="1" w:styleId="HTMLPreformatted">
    <w:name w:val="HTML Preformatted"/>
    <w:basedOn w:val="a"/>
    <w:rsid w:val="0096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u-RU" w:eastAsia="ru-RU"/>
    </w:rPr>
  </w:style>
  <w:style w:type="paragraph" w:customStyle="1" w:styleId="rvps2">
    <w:name w:val="rvps2"/>
    <w:basedOn w:val="a"/>
    <w:rsid w:val="007C0E0A"/>
    <w:pPr>
      <w:spacing w:before="100" w:beforeAutospacing="1" w:after="100" w:afterAutospacing="1"/>
    </w:pPr>
  </w:style>
  <w:style w:type="character" w:customStyle="1" w:styleId="10">
    <w:name w:val="Заголовок 1 Знак"/>
    <w:link w:val="1"/>
    <w:rsid w:val="00DA33F1"/>
    <w:rPr>
      <w:rFonts w:ascii="Calibri Light" w:eastAsia="Times New Roman" w:hAnsi="Calibri Light" w:cs="Times New Roman"/>
      <w:b/>
      <w:bCs/>
      <w:kern w:val="32"/>
      <w:sz w:val="32"/>
      <w:szCs w:val="32"/>
    </w:rPr>
  </w:style>
  <w:style w:type="character" w:styleId="a8">
    <w:name w:val="Hyperlink"/>
    <w:uiPriority w:val="99"/>
    <w:unhideWhenUsed/>
    <w:rsid w:val="00CA799C"/>
    <w:rPr>
      <w:color w:val="0000FF"/>
      <w:u w:val="single"/>
    </w:rPr>
  </w:style>
  <w:style w:type="character" w:customStyle="1" w:styleId="rvts46">
    <w:name w:val="rvts46"/>
    <w:rsid w:val="00CA799C"/>
  </w:style>
  <w:style w:type="character" w:customStyle="1" w:styleId="rvts11">
    <w:name w:val="rvts11"/>
    <w:rsid w:val="00CA799C"/>
  </w:style>
  <w:style w:type="paragraph" w:customStyle="1" w:styleId="rvps7">
    <w:name w:val="rvps7"/>
    <w:basedOn w:val="a"/>
    <w:rsid w:val="006906AC"/>
    <w:pPr>
      <w:spacing w:before="100" w:beforeAutospacing="1" w:after="100" w:afterAutospacing="1"/>
    </w:pPr>
  </w:style>
  <w:style w:type="character" w:customStyle="1" w:styleId="rvts15">
    <w:name w:val="rvts15"/>
    <w:rsid w:val="00690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031284">
      <w:bodyDiv w:val="1"/>
      <w:marLeft w:val="0"/>
      <w:marRight w:val="0"/>
      <w:marTop w:val="0"/>
      <w:marBottom w:val="0"/>
      <w:divBdr>
        <w:top w:val="none" w:sz="0" w:space="0" w:color="auto"/>
        <w:left w:val="none" w:sz="0" w:space="0" w:color="auto"/>
        <w:bottom w:val="none" w:sz="0" w:space="0" w:color="auto"/>
        <w:right w:val="none" w:sz="0" w:space="0" w:color="auto"/>
      </w:divBdr>
    </w:div>
    <w:div w:id="1029526724">
      <w:bodyDiv w:val="1"/>
      <w:marLeft w:val="0"/>
      <w:marRight w:val="0"/>
      <w:marTop w:val="0"/>
      <w:marBottom w:val="0"/>
      <w:divBdr>
        <w:top w:val="none" w:sz="0" w:space="0" w:color="auto"/>
        <w:left w:val="none" w:sz="0" w:space="0" w:color="auto"/>
        <w:bottom w:val="none" w:sz="0" w:space="0" w:color="auto"/>
        <w:right w:val="none" w:sz="0" w:space="0" w:color="auto"/>
      </w:divBdr>
    </w:div>
    <w:div w:id="1134906013">
      <w:bodyDiv w:val="1"/>
      <w:marLeft w:val="0"/>
      <w:marRight w:val="0"/>
      <w:marTop w:val="0"/>
      <w:marBottom w:val="0"/>
      <w:divBdr>
        <w:top w:val="none" w:sz="0" w:space="0" w:color="auto"/>
        <w:left w:val="none" w:sz="0" w:space="0" w:color="auto"/>
        <w:bottom w:val="none" w:sz="0" w:space="0" w:color="auto"/>
        <w:right w:val="none" w:sz="0" w:space="0" w:color="auto"/>
      </w:divBdr>
    </w:div>
    <w:div w:id="1425808352">
      <w:bodyDiv w:val="1"/>
      <w:marLeft w:val="0"/>
      <w:marRight w:val="0"/>
      <w:marTop w:val="0"/>
      <w:marBottom w:val="0"/>
      <w:divBdr>
        <w:top w:val="none" w:sz="0" w:space="0" w:color="auto"/>
        <w:left w:val="none" w:sz="0" w:space="0" w:color="auto"/>
        <w:bottom w:val="none" w:sz="0" w:space="0" w:color="auto"/>
        <w:right w:val="none" w:sz="0" w:space="0" w:color="auto"/>
      </w:divBdr>
    </w:div>
    <w:div w:id="1438022562">
      <w:bodyDiv w:val="1"/>
      <w:marLeft w:val="0"/>
      <w:marRight w:val="0"/>
      <w:marTop w:val="0"/>
      <w:marBottom w:val="0"/>
      <w:divBdr>
        <w:top w:val="none" w:sz="0" w:space="0" w:color="auto"/>
        <w:left w:val="none" w:sz="0" w:space="0" w:color="auto"/>
        <w:bottom w:val="none" w:sz="0" w:space="0" w:color="auto"/>
        <w:right w:val="none" w:sz="0" w:space="0" w:color="auto"/>
      </w:divBdr>
    </w:div>
    <w:div w:id="1492672970">
      <w:bodyDiv w:val="1"/>
      <w:marLeft w:val="0"/>
      <w:marRight w:val="0"/>
      <w:marTop w:val="0"/>
      <w:marBottom w:val="0"/>
      <w:divBdr>
        <w:top w:val="none" w:sz="0" w:space="0" w:color="auto"/>
        <w:left w:val="none" w:sz="0" w:space="0" w:color="auto"/>
        <w:bottom w:val="none" w:sz="0" w:space="0" w:color="auto"/>
        <w:right w:val="none" w:sz="0" w:space="0" w:color="auto"/>
      </w:divBdr>
    </w:div>
    <w:div w:id="1850019985">
      <w:bodyDiv w:val="1"/>
      <w:marLeft w:val="0"/>
      <w:marRight w:val="0"/>
      <w:marTop w:val="0"/>
      <w:marBottom w:val="0"/>
      <w:divBdr>
        <w:top w:val="none" w:sz="0" w:space="0" w:color="auto"/>
        <w:left w:val="none" w:sz="0" w:space="0" w:color="auto"/>
        <w:bottom w:val="none" w:sz="0" w:space="0" w:color="auto"/>
        <w:right w:val="none" w:sz="0" w:space="0" w:color="auto"/>
      </w:divBdr>
    </w:div>
    <w:div w:id="1909262807">
      <w:bodyDiv w:val="1"/>
      <w:marLeft w:val="0"/>
      <w:marRight w:val="0"/>
      <w:marTop w:val="0"/>
      <w:marBottom w:val="0"/>
      <w:divBdr>
        <w:top w:val="none" w:sz="0" w:space="0" w:color="auto"/>
        <w:left w:val="none" w:sz="0" w:space="0" w:color="auto"/>
        <w:bottom w:val="none" w:sz="0" w:space="0" w:color="auto"/>
        <w:right w:val="none" w:sz="0" w:space="0" w:color="auto"/>
      </w:divBdr>
    </w:div>
    <w:div w:id="200423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738-12" TargetMode="External"/><Relationship Id="rId13" Type="http://schemas.openxmlformats.org/officeDocument/2006/relationships/hyperlink" Target="https://zakon.rada.gov.ua/laws/show/z1738-1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z1738-12" TargetMode="External"/><Relationship Id="rId12" Type="http://schemas.openxmlformats.org/officeDocument/2006/relationships/hyperlink" Target="https://zakon.rada.gov.ua/laws/show/z1738-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z1738-1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zakon.rada.gov.ua/laws/show/z1738-12" TargetMode="External"/><Relationship Id="rId4" Type="http://schemas.openxmlformats.org/officeDocument/2006/relationships/webSettings" Target="webSettings.xml"/><Relationship Id="rId9" Type="http://schemas.openxmlformats.org/officeDocument/2006/relationships/hyperlink" Target="https://zakon.rada.gov.ua/laws/show/z1738-12" TargetMode="External"/><Relationship Id="rId14" Type="http://schemas.openxmlformats.org/officeDocument/2006/relationships/hyperlink" Target="https://zakon.rada.gov.ua/laws/show/z1738-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E589A-540F-49D6-B53C-E5C69E43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1655</Words>
  <Characters>9440</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НАЦІОНАЛЬНА КОМІСІЯ З ЦІННИХ ПАПЕРІВ ТА ФОНДОВОГО РИНКУ</vt:lpstr>
      <vt:lpstr>НАЦІОНАЛЬНА КОМІСІЯ З ЦІННИХ ПАПЕРІВ ТА ФОНДОВОГО РИНКУ</vt:lpstr>
    </vt:vector>
  </TitlesOfParts>
  <Company>SSMSC</Company>
  <LinksUpToDate>false</LinksUpToDate>
  <CharactersWithSpaces>11073</CharactersWithSpaces>
  <SharedDoc>false</SharedDoc>
  <HLinks>
    <vt:vector size="48" baseType="variant">
      <vt:variant>
        <vt:i4>4325396</vt:i4>
      </vt:variant>
      <vt:variant>
        <vt:i4>21</vt:i4>
      </vt:variant>
      <vt:variant>
        <vt:i4>0</vt:i4>
      </vt:variant>
      <vt:variant>
        <vt:i4>5</vt:i4>
      </vt:variant>
      <vt:variant>
        <vt:lpwstr>https://zakon.rada.gov.ua/laws/show/z1738-12</vt:lpwstr>
      </vt:variant>
      <vt:variant>
        <vt:lpwstr>n125</vt:lpwstr>
      </vt:variant>
      <vt:variant>
        <vt:i4>4587540</vt:i4>
      </vt:variant>
      <vt:variant>
        <vt:i4>18</vt:i4>
      </vt:variant>
      <vt:variant>
        <vt:i4>0</vt:i4>
      </vt:variant>
      <vt:variant>
        <vt:i4>5</vt:i4>
      </vt:variant>
      <vt:variant>
        <vt:lpwstr>https://zakon.rada.gov.ua/laws/show/z1738-12</vt:lpwstr>
      </vt:variant>
      <vt:variant>
        <vt:lpwstr>n121</vt:lpwstr>
      </vt:variant>
      <vt:variant>
        <vt:i4>5177367</vt:i4>
      </vt:variant>
      <vt:variant>
        <vt:i4>15</vt:i4>
      </vt:variant>
      <vt:variant>
        <vt:i4>0</vt:i4>
      </vt:variant>
      <vt:variant>
        <vt:i4>5</vt:i4>
      </vt:variant>
      <vt:variant>
        <vt:lpwstr>https://zakon.rada.gov.ua/laws/show/z1738-12</vt:lpwstr>
      </vt:variant>
      <vt:variant>
        <vt:lpwstr>n118</vt:lpwstr>
      </vt:variant>
      <vt:variant>
        <vt:i4>4390935</vt:i4>
      </vt:variant>
      <vt:variant>
        <vt:i4>12</vt:i4>
      </vt:variant>
      <vt:variant>
        <vt:i4>0</vt:i4>
      </vt:variant>
      <vt:variant>
        <vt:i4>5</vt:i4>
      </vt:variant>
      <vt:variant>
        <vt:lpwstr>https://zakon.rada.gov.ua/laws/show/z1738-12</vt:lpwstr>
      </vt:variant>
      <vt:variant>
        <vt:lpwstr>n114</vt:lpwstr>
      </vt:variant>
      <vt:variant>
        <vt:i4>4325396</vt:i4>
      </vt:variant>
      <vt:variant>
        <vt:i4>9</vt:i4>
      </vt:variant>
      <vt:variant>
        <vt:i4>0</vt:i4>
      </vt:variant>
      <vt:variant>
        <vt:i4>5</vt:i4>
      </vt:variant>
      <vt:variant>
        <vt:lpwstr>https://zakon.rada.gov.ua/laws/show/z1738-12</vt:lpwstr>
      </vt:variant>
      <vt:variant>
        <vt:lpwstr>n125</vt:lpwstr>
      </vt:variant>
      <vt:variant>
        <vt:i4>4587540</vt:i4>
      </vt:variant>
      <vt:variant>
        <vt:i4>6</vt:i4>
      </vt:variant>
      <vt:variant>
        <vt:i4>0</vt:i4>
      </vt:variant>
      <vt:variant>
        <vt:i4>5</vt:i4>
      </vt:variant>
      <vt:variant>
        <vt:lpwstr>https://zakon.rada.gov.ua/laws/show/z1738-12</vt:lpwstr>
      </vt:variant>
      <vt:variant>
        <vt:lpwstr>n121</vt:lpwstr>
      </vt:variant>
      <vt:variant>
        <vt:i4>5177367</vt:i4>
      </vt:variant>
      <vt:variant>
        <vt:i4>3</vt:i4>
      </vt:variant>
      <vt:variant>
        <vt:i4>0</vt:i4>
      </vt:variant>
      <vt:variant>
        <vt:i4>5</vt:i4>
      </vt:variant>
      <vt:variant>
        <vt:lpwstr>https://zakon.rada.gov.ua/laws/show/z1738-12</vt:lpwstr>
      </vt:variant>
      <vt:variant>
        <vt:lpwstr>n118</vt:lpwstr>
      </vt:variant>
      <vt:variant>
        <vt:i4>4390935</vt:i4>
      </vt:variant>
      <vt:variant>
        <vt:i4>0</vt:i4>
      </vt:variant>
      <vt:variant>
        <vt:i4>0</vt:i4>
      </vt:variant>
      <vt:variant>
        <vt:i4>5</vt:i4>
      </vt:variant>
      <vt:variant>
        <vt:lpwstr>https://zakon.rada.gov.ua/laws/show/z1738-12</vt:lpwstr>
      </vt:variant>
      <vt:variant>
        <vt:lpwstr>n114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КОМІСІЯ З ЦІННИХ ПАПЕРІВ ТА ФОНДОВОГО РИНКУ</dc:title>
  <dc:subject/>
  <dc:creator>nechyporuk</dc:creator>
  <cp:keywords/>
  <dc:description/>
  <cp:lastModifiedBy>Руслан Кисляк</cp:lastModifiedBy>
  <cp:revision>2</cp:revision>
  <cp:lastPrinted>2019-03-26T15:59:00Z</cp:lastPrinted>
  <dcterms:created xsi:type="dcterms:W3CDTF">2019-04-05T11:33:00Z</dcterms:created>
  <dcterms:modified xsi:type="dcterms:W3CDTF">2019-04-05T11:33:00Z</dcterms:modified>
</cp:coreProperties>
</file>