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04" w:rsidRPr="00BB0A38" w:rsidRDefault="00F717F1" w:rsidP="001C62C0">
      <w:pPr>
        <w:jc w:val="center"/>
        <w:rPr>
          <w:b/>
          <w:sz w:val="22"/>
          <w:szCs w:val="22"/>
        </w:rPr>
      </w:pPr>
      <w:bookmarkStart w:id="0" w:name="_GoBack"/>
      <w:bookmarkEnd w:id="0"/>
      <w:r w:rsidRPr="00BB0A38">
        <w:rPr>
          <w:b/>
          <w:sz w:val="22"/>
          <w:szCs w:val="22"/>
        </w:rPr>
        <w:t>Порівняльна таблиця</w:t>
      </w:r>
    </w:p>
    <w:p w:rsidR="00CB0DB8" w:rsidRDefault="00F717F1" w:rsidP="001C62C0">
      <w:pPr>
        <w:jc w:val="center"/>
        <w:rPr>
          <w:sz w:val="22"/>
          <w:szCs w:val="22"/>
          <w:lang w:eastAsia="ru-RU"/>
        </w:rPr>
      </w:pPr>
      <w:r w:rsidRPr="00BB0A38">
        <w:rPr>
          <w:sz w:val="22"/>
          <w:szCs w:val="22"/>
        </w:rPr>
        <w:t>до проекту рішення Комісії «Про внесення змін</w:t>
      </w:r>
      <w:r w:rsidR="00686F9B" w:rsidRPr="00BB0A38">
        <w:rPr>
          <w:sz w:val="22"/>
          <w:szCs w:val="22"/>
        </w:rPr>
        <w:t xml:space="preserve"> </w:t>
      </w:r>
      <w:r w:rsidRPr="00BB0A38">
        <w:rPr>
          <w:sz w:val="22"/>
          <w:szCs w:val="22"/>
          <w:lang w:eastAsia="ru-RU"/>
        </w:rPr>
        <w:t>до</w:t>
      </w:r>
      <w:r w:rsidR="00686F9B" w:rsidRPr="00BB0A38">
        <w:rPr>
          <w:sz w:val="22"/>
          <w:szCs w:val="22"/>
          <w:lang w:eastAsia="ru-RU"/>
        </w:rPr>
        <w:t xml:space="preserve"> </w:t>
      </w:r>
      <w:r w:rsidR="00E7061B">
        <w:rPr>
          <w:sz w:val="22"/>
          <w:szCs w:val="22"/>
          <w:lang w:eastAsia="ru-RU"/>
        </w:rPr>
        <w:t xml:space="preserve">деяких </w:t>
      </w:r>
      <w:r w:rsidR="00686F9B" w:rsidRPr="00BB0A38">
        <w:rPr>
          <w:sz w:val="22"/>
          <w:szCs w:val="22"/>
          <w:lang w:eastAsia="ru-RU"/>
        </w:rPr>
        <w:t>н</w:t>
      </w:r>
      <w:r w:rsidR="00E534DD" w:rsidRPr="00BB0A38">
        <w:rPr>
          <w:sz w:val="22"/>
          <w:szCs w:val="22"/>
          <w:lang w:eastAsia="ru-RU"/>
        </w:rPr>
        <w:t xml:space="preserve">ормативно-правових актів </w:t>
      </w:r>
      <w:r w:rsidR="00CB0DB8">
        <w:rPr>
          <w:sz w:val="22"/>
          <w:szCs w:val="22"/>
          <w:lang w:eastAsia="ru-RU"/>
        </w:rPr>
        <w:t xml:space="preserve">Національної комісії з цінних паперів та фондового ринку </w:t>
      </w:r>
    </w:p>
    <w:p w:rsidR="00F717F1" w:rsidRDefault="00C93A54" w:rsidP="001C62C0">
      <w:pPr>
        <w:jc w:val="center"/>
        <w:rPr>
          <w:sz w:val="22"/>
          <w:szCs w:val="22"/>
        </w:rPr>
      </w:pPr>
      <w:r>
        <w:rPr>
          <w:sz w:val="22"/>
          <w:szCs w:val="22"/>
          <w:lang w:eastAsia="ru-RU"/>
        </w:rPr>
        <w:t>(</w:t>
      </w:r>
      <w:r w:rsidR="00E534DD" w:rsidRPr="00BB0A38">
        <w:rPr>
          <w:sz w:val="22"/>
          <w:szCs w:val="22"/>
          <w:lang w:eastAsia="ru-RU"/>
        </w:rPr>
        <w:t xml:space="preserve">щодо </w:t>
      </w:r>
      <w:r w:rsidR="00E7061B">
        <w:rPr>
          <w:sz w:val="22"/>
          <w:szCs w:val="22"/>
          <w:lang w:eastAsia="ru-RU"/>
        </w:rPr>
        <w:t xml:space="preserve">окремих </w:t>
      </w:r>
      <w:r w:rsidR="00CB0DB8">
        <w:rPr>
          <w:sz w:val="22"/>
          <w:szCs w:val="22"/>
          <w:lang w:eastAsia="ru-RU"/>
        </w:rPr>
        <w:t>змін законодавств</w:t>
      </w:r>
      <w:r w:rsidR="00E7061B">
        <w:rPr>
          <w:sz w:val="22"/>
          <w:szCs w:val="22"/>
          <w:lang w:eastAsia="ru-RU"/>
        </w:rPr>
        <w:t>а</w:t>
      </w:r>
      <w:r>
        <w:rPr>
          <w:sz w:val="22"/>
          <w:szCs w:val="22"/>
          <w:lang w:eastAsia="ru-RU"/>
        </w:rPr>
        <w:t>)</w:t>
      </w:r>
      <w:r w:rsidR="00F717F1" w:rsidRPr="00BB0A38">
        <w:rPr>
          <w:sz w:val="22"/>
          <w:szCs w:val="22"/>
        </w:rPr>
        <w:t>»</w:t>
      </w:r>
    </w:p>
    <w:p w:rsidR="00A94AB7" w:rsidRDefault="00A94AB7" w:rsidP="001C62C0">
      <w:pPr>
        <w:jc w:val="center"/>
        <w:rPr>
          <w:sz w:val="22"/>
          <w:szCs w:val="22"/>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60"/>
        <w:gridCol w:w="3420"/>
        <w:gridCol w:w="5940"/>
      </w:tblGrid>
      <w:tr w:rsidR="00A94AB7" w:rsidRPr="008D16E0" w:rsidTr="00E44C9F">
        <w:tc>
          <w:tcPr>
            <w:tcW w:w="648" w:type="dxa"/>
          </w:tcPr>
          <w:p w:rsidR="00A94AB7" w:rsidRPr="008D16E0" w:rsidRDefault="00A94AB7" w:rsidP="00E44C9F">
            <w:pPr>
              <w:ind w:right="16"/>
              <w:jc w:val="both"/>
              <w:rPr>
                <w:sz w:val="22"/>
                <w:szCs w:val="22"/>
              </w:rPr>
            </w:pPr>
          </w:p>
        </w:tc>
        <w:tc>
          <w:tcPr>
            <w:tcW w:w="5760" w:type="dxa"/>
            <w:shd w:val="clear" w:color="auto" w:fill="auto"/>
          </w:tcPr>
          <w:p w:rsidR="00A94AB7" w:rsidRPr="008D16E0" w:rsidRDefault="00A94AB7" w:rsidP="00E44C9F">
            <w:pPr>
              <w:ind w:right="16"/>
              <w:jc w:val="both"/>
              <w:rPr>
                <w:b/>
                <w:sz w:val="22"/>
                <w:szCs w:val="22"/>
              </w:rPr>
            </w:pPr>
            <w:r w:rsidRPr="008D16E0">
              <w:rPr>
                <w:b/>
                <w:sz w:val="22"/>
                <w:szCs w:val="22"/>
              </w:rPr>
              <w:t>Діюча редакція</w:t>
            </w:r>
          </w:p>
        </w:tc>
        <w:tc>
          <w:tcPr>
            <w:tcW w:w="3420" w:type="dxa"/>
            <w:shd w:val="clear" w:color="auto" w:fill="auto"/>
          </w:tcPr>
          <w:p w:rsidR="00A94AB7" w:rsidRPr="008D16E0" w:rsidRDefault="00A94AB7" w:rsidP="00E44C9F">
            <w:pPr>
              <w:ind w:right="16"/>
              <w:jc w:val="both"/>
              <w:rPr>
                <w:b/>
                <w:sz w:val="22"/>
                <w:szCs w:val="22"/>
              </w:rPr>
            </w:pPr>
          </w:p>
        </w:tc>
        <w:tc>
          <w:tcPr>
            <w:tcW w:w="5940" w:type="dxa"/>
            <w:shd w:val="clear" w:color="auto" w:fill="auto"/>
          </w:tcPr>
          <w:p w:rsidR="00A94AB7" w:rsidRPr="008D16E0" w:rsidRDefault="00A94AB7" w:rsidP="00E44C9F">
            <w:pPr>
              <w:ind w:right="16"/>
              <w:jc w:val="both"/>
              <w:rPr>
                <w:b/>
                <w:sz w:val="22"/>
                <w:szCs w:val="22"/>
              </w:rPr>
            </w:pPr>
            <w:r w:rsidRPr="008D16E0">
              <w:rPr>
                <w:b/>
                <w:sz w:val="22"/>
                <w:szCs w:val="22"/>
              </w:rPr>
              <w:t>Редакція із змінами</w:t>
            </w:r>
          </w:p>
        </w:tc>
      </w:tr>
      <w:tr w:rsidR="00A94AB7" w:rsidRPr="008D16E0" w:rsidTr="00E44C9F">
        <w:tc>
          <w:tcPr>
            <w:tcW w:w="648" w:type="dxa"/>
          </w:tcPr>
          <w:p w:rsidR="00A94AB7" w:rsidRPr="008D16E0" w:rsidRDefault="00A94AB7" w:rsidP="00E44C9F">
            <w:pPr>
              <w:spacing w:before="120" w:after="120"/>
              <w:jc w:val="both"/>
              <w:rPr>
                <w:b/>
                <w:sz w:val="22"/>
                <w:szCs w:val="22"/>
              </w:rPr>
            </w:pPr>
            <w:r w:rsidRPr="008D16E0">
              <w:rPr>
                <w:b/>
                <w:sz w:val="22"/>
                <w:szCs w:val="22"/>
              </w:rPr>
              <w:t>1</w:t>
            </w:r>
          </w:p>
        </w:tc>
        <w:tc>
          <w:tcPr>
            <w:tcW w:w="5760" w:type="dxa"/>
            <w:shd w:val="clear" w:color="auto" w:fill="auto"/>
          </w:tcPr>
          <w:p w:rsidR="00A94AB7" w:rsidRPr="008D16E0" w:rsidRDefault="00A94AB7" w:rsidP="00E44C9F">
            <w:pPr>
              <w:spacing w:before="120" w:after="120"/>
              <w:jc w:val="both"/>
              <w:rPr>
                <w:b/>
                <w:sz w:val="22"/>
                <w:szCs w:val="22"/>
                <w:u w:val="single"/>
              </w:rPr>
            </w:pPr>
            <w:r w:rsidRPr="008D16E0">
              <w:rPr>
                <w:b/>
                <w:sz w:val="22"/>
                <w:szCs w:val="22"/>
                <w:u w:val="single"/>
              </w:rPr>
              <w:t>Положення про склад та структуру активів інституту спільного інвестування, затверджене рішенням Національної комісії з цінних паперів та фондового ринку від 10.09.2013 року № 1753, зареєстроване в Міністерстві юстиції України 01.10.2013 за № 1689/24221 (із змінами).</w:t>
            </w:r>
          </w:p>
        </w:tc>
        <w:tc>
          <w:tcPr>
            <w:tcW w:w="3420" w:type="dxa"/>
            <w:shd w:val="clear" w:color="auto" w:fill="auto"/>
          </w:tcPr>
          <w:p w:rsidR="00A94AB7" w:rsidRPr="008D16E0" w:rsidRDefault="00A94AB7" w:rsidP="00E44C9F">
            <w:pPr>
              <w:spacing w:before="120" w:after="120"/>
              <w:jc w:val="both"/>
              <w:rPr>
                <w:b/>
                <w:sz w:val="22"/>
                <w:szCs w:val="22"/>
              </w:rPr>
            </w:pPr>
          </w:p>
        </w:tc>
        <w:tc>
          <w:tcPr>
            <w:tcW w:w="5940" w:type="dxa"/>
            <w:shd w:val="clear" w:color="auto" w:fill="auto"/>
          </w:tcPr>
          <w:p w:rsidR="00A94AB7" w:rsidRPr="008D16E0" w:rsidRDefault="00A94AB7" w:rsidP="00E44C9F">
            <w:pPr>
              <w:spacing w:before="120" w:after="120"/>
              <w:jc w:val="both"/>
              <w:rPr>
                <w:b/>
                <w:sz w:val="22"/>
                <w:szCs w:val="22"/>
              </w:rPr>
            </w:pPr>
            <w:r w:rsidRPr="008D16E0">
              <w:rPr>
                <w:b/>
                <w:sz w:val="22"/>
                <w:szCs w:val="22"/>
                <w:u w:val="single"/>
              </w:rPr>
              <w:t>Положення про склад та структуру активів інституту спільного інвестування, затверджене рішенням Національної комісії з цінних паперів та фондового ринку від 10.09.2013 року № 1753, зареєстроване в Міністерстві юстиції України 01.10.2013 за № 1689/24221 (із змінами).</w:t>
            </w:r>
          </w:p>
        </w:tc>
      </w:tr>
      <w:tr w:rsidR="00A94AB7" w:rsidRPr="008D16E0" w:rsidTr="00E44C9F">
        <w:tc>
          <w:tcPr>
            <w:tcW w:w="648" w:type="dxa"/>
          </w:tcPr>
          <w:p w:rsidR="00A94AB7" w:rsidRPr="008D16E0" w:rsidRDefault="00A94AB7" w:rsidP="00E44C9F">
            <w:pPr>
              <w:jc w:val="both"/>
              <w:rPr>
                <w:sz w:val="22"/>
                <w:szCs w:val="22"/>
              </w:rPr>
            </w:pPr>
          </w:p>
        </w:tc>
        <w:tc>
          <w:tcPr>
            <w:tcW w:w="5760" w:type="dxa"/>
            <w:shd w:val="clear" w:color="auto" w:fill="auto"/>
          </w:tcPr>
          <w:p w:rsidR="00A94AB7" w:rsidRPr="008D16E0" w:rsidRDefault="00A94AB7" w:rsidP="00E44C9F">
            <w:pPr>
              <w:jc w:val="both"/>
              <w:rPr>
                <w:b/>
                <w:sz w:val="22"/>
                <w:szCs w:val="22"/>
              </w:rPr>
            </w:pPr>
            <w:r w:rsidRPr="008D16E0">
              <w:rPr>
                <w:b/>
                <w:sz w:val="22"/>
                <w:szCs w:val="22"/>
              </w:rPr>
              <w:t>II. Загальні вимоги щодо складу та структури активів ІСІ</w:t>
            </w:r>
          </w:p>
        </w:tc>
        <w:tc>
          <w:tcPr>
            <w:tcW w:w="3420" w:type="dxa"/>
            <w:shd w:val="clear" w:color="auto" w:fill="auto"/>
          </w:tcPr>
          <w:p w:rsidR="00A94AB7" w:rsidRPr="008D16E0" w:rsidRDefault="00A94AB7" w:rsidP="00E44C9F">
            <w:pPr>
              <w:jc w:val="both"/>
              <w:rPr>
                <w:b/>
                <w:sz w:val="22"/>
                <w:szCs w:val="22"/>
              </w:rPr>
            </w:pPr>
          </w:p>
        </w:tc>
        <w:tc>
          <w:tcPr>
            <w:tcW w:w="5940" w:type="dxa"/>
            <w:shd w:val="clear" w:color="auto" w:fill="auto"/>
          </w:tcPr>
          <w:p w:rsidR="00A94AB7" w:rsidRPr="008D16E0" w:rsidRDefault="00A94AB7" w:rsidP="00E44C9F">
            <w:pPr>
              <w:jc w:val="both"/>
              <w:rPr>
                <w:b/>
                <w:sz w:val="22"/>
                <w:szCs w:val="22"/>
              </w:rPr>
            </w:pPr>
            <w:r w:rsidRPr="008D16E0">
              <w:rPr>
                <w:b/>
                <w:sz w:val="22"/>
                <w:szCs w:val="22"/>
              </w:rPr>
              <w:t>II. Загальні вимоги щодо складу та структури активів ІСІ</w:t>
            </w:r>
          </w:p>
        </w:tc>
      </w:tr>
      <w:tr w:rsidR="00A94AB7" w:rsidRPr="008D16E0" w:rsidTr="00E44C9F">
        <w:tc>
          <w:tcPr>
            <w:tcW w:w="648" w:type="dxa"/>
          </w:tcPr>
          <w:p w:rsidR="00A94AB7" w:rsidRPr="008D16E0" w:rsidRDefault="00A94AB7" w:rsidP="00E44C9F">
            <w:pPr>
              <w:pStyle w:val="tjbmf"/>
              <w:shd w:val="clear" w:color="auto" w:fill="FFFFFF"/>
              <w:spacing w:before="0" w:beforeAutospacing="0" w:after="0" w:afterAutospacing="0"/>
              <w:jc w:val="both"/>
              <w:rPr>
                <w:sz w:val="22"/>
                <w:szCs w:val="22"/>
              </w:rPr>
            </w:pPr>
          </w:p>
        </w:tc>
        <w:tc>
          <w:tcPr>
            <w:tcW w:w="576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3. До складу активів ІСІ не можуть входити цінні папери українських емітентів:</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2) якщо Комісією оприлюднена інформація, що емітенти цих цінних паперів:</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ab/>
              <w:t>протягом останніх двох років поспіль не розкривають регулярну річну інформацію;</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ab/>
              <w:t>перебувають у переліку підприємств, які відсутні за місцезнаходженням;</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ab/>
              <w:t>є збитковими протягом останніх двох років поспіль і при цьому їхні цінні папери не допущені до торгів на фондових біржах (для ІСІ диверсифікованого виду).</w:t>
            </w:r>
          </w:p>
          <w:p w:rsidR="00A94AB7" w:rsidRPr="008D16E0" w:rsidRDefault="00A94AB7" w:rsidP="00E44C9F">
            <w:pPr>
              <w:jc w:val="both"/>
              <w:rPr>
                <w:b/>
                <w:sz w:val="22"/>
                <w:szCs w:val="22"/>
              </w:rPr>
            </w:pPr>
            <w:r w:rsidRPr="008D16E0">
              <w:rPr>
                <w:sz w:val="22"/>
                <w:szCs w:val="22"/>
              </w:rPr>
              <w:tab/>
            </w:r>
            <w:r w:rsidRPr="008D16E0">
              <w:rPr>
                <w:b/>
                <w:sz w:val="22"/>
                <w:szCs w:val="22"/>
              </w:rPr>
              <w:t>Інформація про емітентів цінних паперів, зазначена у підпункті 2 цього пункту, оприлюднюється на сайті Комісії та/або в офіційному друкованому виданні Комісії.</w:t>
            </w:r>
          </w:p>
          <w:p w:rsidR="00A94AB7" w:rsidRPr="008D16E0" w:rsidRDefault="00A94AB7" w:rsidP="00E44C9F">
            <w:pPr>
              <w:jc w:val="both"/>
              <w:rPr>
                <w:b/>
                <w:sz w:val="22"/>
                <w:szCs w:val="22"/>
              </w:rPr>
            </w:pPr>
            <w:r w:rsidRPr="008D16E0">
              <w:rPr>
                <w:sz w:val="22"/>
                <w:szCs w:val="22"/>
              </w:rPr>
              <w:tab/>
              <w:t>У разі якщо цінні папери українських емітентів, зазначених у цьому пункті, перебувають у складі активів ІСІ на дату оприлюднення такої інформації, компанія з управління активами зобов'язана привести актив ІСІ у відповідність до вимог цього пункту протягом 30 робочих днів з дати оприлюднення такої інформації.</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A94AB7" w:rsidRDefault="00A94AB7" w:rsidP="00E44C9F">
            <w:pPr>
              <w:pStyle w:val="tjbmf"/>
              <w:shd w:val="clear" w:color="auto" w:fill="FFFFFF"/>
              <w:spacing w:before="0" w:beforeAutospacing="0" w:after="0" w:afterAutospacing="0"/>
              <w:jc w:val="both"/>
              <w:rPr>
                <w:sz w:val="22"/>
                <w:szCs w:val="22"/>
              </w:rPr>
            </w:pPr>
          </w:p>
          <w:p w:rsidR="00A94AB7" w:rsidRPr="00A94AB7"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Абзац п’ятий підпункту 2 пункту 3 розділу ІІ Положення викласти у такій редакції:</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 xml:space="preserve">«Інформація про емітентів цінних паперів, зазначена у підпункті 2 цього пункту, оприлюднюється на офіційному веб-сайті Комісії.» </w:t>
            </w:r>
          </w:p>
        </w:tc>
        <w:tc>
          <w:tcPr>
            <w:tcW w:w="594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3. До складу активів ІСІ не можуть входити цінні папери українських емітентів:</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2) якщо Комісією оприлюднена інформація, що емітенти цих цінних паперів:</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ab/>
              <w:t>протягом останніх двох років поспіль не розкривають регулярну річну інформацію;</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ab/>
              <w:t>перебувають у переліку підприємств, які відсутні за місцезнаходженням;</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ab/>
              <w:t>є збитковими протягом останніх двох років поспіль і при цьому їхні цінні папери не допущені до торгів на фондових біржах (для ІСІ диверсифікованого виду).</w:t>
            </w:r>
          </w:p>
          <w:p w:rsidR="00A94AB7" w:rsidRPr="008D16E0" w:rsidRDefault="00A94AB7" w:rsidP="00E44C9F">
            <w:pPr>
              <w:jc w:val="both"/>
              <w:rPr>
                <w:b/>
                <w:sz w:val="22"/>
                <w:szCs w:val="22"/>
              </w:rPr>
            </w:pPr>
            <w:r w:rsidRPr="008D16E0">
              <w:rPr>
                <w:sz w:val="22"/>
                <w:szCs w:val="22"/>
              </w:rPr>
              <w:tab/>
            </w:r>
            <w:r w:rsidRPr="008D16E0">
              <w:rPr>
                <w:b/>
                <w:sz w:val="22"/>
                <w:szCs w:val="22"/>
              </w:rPr>
              <w:t>Інформація про емітентів цінних паперів, зазначена у підпункті 2 цього пункту, оприлюднюється на офіційному веб-сайті Комісії.</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ab/>
              <w:t>У разі якщо цінні папери українських емітентів, зазначених у цьому пункті, перебувають у складі активів ІСІ на дату оприлюднення такої інформації, компанія з управління активами зобов'язана привести актив ІСІ у відповідність до вимог цього пункту протягом 30 робочих днів з дати оприлюднення такої інформації.</w:t>
            </w:r>
          </w:p>
          <w:p w:rsidR="00A94AB7" w:rsidRPr="008D16E0" w:rsidRDefault="00A94AB7" w:rsidP="00E44C9F">
            <w:pPr>
              <w:jc w:val="both"/>
              <w:rPr>
                <w:b/>
                <w:sz w:val="22"/>
                <w:szCs w:val="22"/>
              </w:rPr>
            </w:pPr>
          </w:p>
        </w:tc>
      </w:tr>
      <w:tr w:rsidR="00A94AB7" w:rsidRPr="008D16E0" w:rsidTr="00E44C9F">
        <w:tc>
          <w:tcPr>
            <w:tcW w:w="648" w:type="dxa"/>
          </w:tcPr>
          <w:p w:rsidR="00A94AB7" w:rsidRPr="008D16E0" w:rsidRDefault="00A94AB7" w:rsidP="00E44C9F">
            <w:pPr>
              <w:jc w:val="both"/>
              <w:rPr>
                <w:b/>
                <w:sz w:val="22"/>
                <w:szCs w:val="22"/>
              </w:rPr>
            </w:pPr>
            <w:r w:rsidRPr="008D16E0">
              <w:rPr>
                <w:b/>
                <w:sz w:val="22"/>
                <w:szCs w:val="22"/>
              </w:rPr>
              <w:t>2</w:t>
            </w:r>
          </w:p>
        </w:tc>
        <w:tc>
          <w:tcPr>
            <w:tcW w:w="5760" w:type="dxa"/>
            <w:shd w:val="clear" w:color="auto" w:fill="auto"/>
          </w:tcPr>
          <w:p w:rsidR="00A94AB7" w:rsidRPr="008D16E0" w:rsidRDefault="00A94AB7" w:rsidP="00E44C9F">
            <w:pPr>
              <w:jc w:val="both"/>
              <w:rPr>
                <w:b/>
                <w:bCs/>
                <w:sz w:val="22"/>
                <w:szCs w:val="22"/>
                <w:u w:val="single"/>
              </w:rPr>
            </w:pPr>
            <w:r w:rsidRPr="008D16E0">
              <w:rPr>
                <w:b/>
                <w:sz w:val="22"/>
                <w:szCs w:val="22"/>
                <w:u w:val="single"/>
              </w:rPr>
              <w:t xml:space="preserve">Положення про порядок розміщення, обігу та викупу цінних паперів інституту спільного інвестування, </w:t>
            </w:r>
            <w:r w:rsidRPr="008D16E0">
              <w:rPr>
                <w:b/>
                <w:sz w:val="22"/>
                <w:szCs w:val="22"/>
                <w:u w:val="single"/>
              </w:rPr>
              <w:lastRenderedPageBreak/>
              <w:t>затверджене рішенням Національної комісії з цінних паперів та фондового ринку від 30.07.2013 року № 1338, зареєстроване в Міністерстві юстиції України 28.08.2013 за № 1475/24007 (із змінами).</w:t>
            </w:r>
          </w:p>
        </w:tc>
        <w:tc>
          <w:tcPr>
            <w:tcW w:w="3420" w:type="dxa"/>
            <w:shd w:val="clear" w:color="auto" w:fill="auto"/>
          </w:tcPr>
          <w:p w:rsidR="00A94AB7" w:rsidRPr="008D16E0" w:rsidRDefault="00A94AB7" w:rsidP="00E44C9F">
            <w:pPr>
              <w:jc w:val="both"/>
              <w:rPr>
                <w:b/>
                <w:sz w:val="22"/>
                <w:szCs w:val="22"/>
              </w:rPr>
            </w:pPr>
          </w:p>
        </w:tc>
        <w:tc>
          <w:tcPr>
            <w:tcW w:w="5940" w:type="dxa"/>
            <w:shd w:val="clear" w:color="auto" w:fill="auto"/>
          </w:tcPr>
          <w:p w:rsidR="00A94AB7" w:rsidRPr="008D16E0" w:rsidRDefault="00A94AB7" w:rsidP="00E44C9F">
            <w:pPr>
              <w:spacing w:before="120" w:after="120"/>
              <w:jc w:val="both"/>
              <w:rPr>
                <w:b/>
                <w:sz w:val="22"/>
                <w:szCs w:val="22"/>
              </w:rPr>
            </w:pPr>
            <w:r w:rsidRPr="008D16E0">
              <w:rPr>
                <w:b/>
                <w:sz w:val="22"/>
                <w:szCs w:val="22"/>
                <w:u w:val="single"/>
              </w:rPr>
              <w:t xml:space="preserve">Положення про порядок розміщення, обігу та викупу цінних паперів інституту спільного інвестування, </w:t>
            </w:r>
            <w:r w:rsidRPr="008D16E0">
              <w:rPr>
                <w:b/>
                <w:sz w:val="22"/>
                <w:szCs w:val="22"/>
                <w:u w:val="single"/>
              </w:rPr>
              <w:lastRenderedPageBreak/>
              <w:t>затверджене рішенням Національної комісії з цінних паперів та фондового ринку від 30.07.2013 року № 1338, зареєстроване в Міністерстві юстиції України 28.08.2013 за № 1475/24007 (із змінами).</w:t>
            </w:r>
          </w:p>
        </w:tc>
      </w:tr>
      <w:tr w:rsidR="00A94AB7" w:rsidRPr="008D16E0" w:rsidTr="00E44C9F">
        <w:tc>
          <w:tcPr>
            <w:tcW w:w="648" w:type="dxa"/>
          </w:tcPr>
          <w:p w:rsidR="00A94AB7" w:rsidRPr="008D16E0" w:rsidRDefault="00A94AB7" w:rsidP="00E44C9F">
            <w:pPr>
              <w:shd w:val="clear" w:color="auto" w:fill="FFFFFF"/>
              <w:jc w:val="both"/>
              <w:rPr>
                <w:sz w:val="22"/>
                <w:szCs w:val="22"/>
              </w:rPr>
            </w:pPr>
          </w:p>
        </w:tc>
        <w:tc>
          <w:tcPr>
            <w:tcW w:w="5760" w:type="dxa"/>
            <w:shd w:val="clear" w:color="auto" w:fill="auto"/>
          </w:tcPr>
          <w:p w:rsidR="00A94AB7" w:rsidRPr="008D16E0" w:rsidRDefault="00A94AB7" w:rsidP="00E44C9F">
            <w:pPr>
              <w:shd w:val="clear" w:color="auto" w:fill="FFFFFF"/>
              <w:jc w:val="both"/>
              <w:rPr>
                <w:b/>
                <w:sz w:val="22"/>
                <w:szCs w:val="22"/>
              </w:rPr>
            </w:pPr>
            <w:r w:rsidRPr="008D16E0">
              <w:rPr>
                <w:b/>
                <w:sz w:val="22"/>
                <w:szCs w:val="22"/>
              </w:rPr>
              <w:t>V. Порядок подання звіту про досягнення мінімального обсягу активів інституту спільного інвестування</w:t>
            </w:r>
          </w:p>
          <w:p w:rsidR="00A94AB7" w:rsidRPr="008D16E0" w:rsidRDefault="00A94AB7" w:rsidP="00E44C9F">
            <w:pPr>
              <w:jc w:val="both"/>
              <w:rPr>
                <w:b/>
                <w:bCs/>
                <w:sz w:val="22"/>
                <w:szCs w:val="22"/>
              </w:rPr>
            </w:pP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tc>
        <w:tc>
          <w:tcPr>
            <w:tcW w:w="5940" w:type="dxa"/>
            <w:shd w:val="clear" w:color="auto" w:fill="auto"/>
          </w:tcPr>
          <w:p w:rsidR="00A94AB7" w:rsidRPr="008D16E0" w:rsidRDefault="00A94AB7" w:rsidP="00E44C9F">
            <w:pPr>
              <w:jc w:val="both"/>
              <w:rPr>
                <w:b/>
                <w:bCs/>
                <w:sz w:val="22"/>
                <w:szCs w:val="22"/>
              </w:rPr>
            </w:pPr>
            <w:r w:rsidRPr="008D16E0">
              <w:rPr>
                <w:b/>
                <w:sz w:val="22"/>
                <w:szCs w:val="22"/>
              </w:rPr>
              <w:t>V. Порядок подання звіту про досягнення мінімального обсягу активів інституту спільного інвестування</w:t>
            </w:r>
          </w:p>
        </w:tc>
      </w:tr>
      <w:tr w:rsidR="00A94AB7" w:rsidRPr="008D16E0" w:rsidTr="00E44C9F">
        <w:tc>
          <w:tcPr>
            <w:tcW w:w="648" w:type="dxa"/>
          </w:tcPr>
          <w:p w:rsidR="00A94AB7" w:rsidRPr="008D16E0" w:rsidRDefault="00A94AB7" w:rsidP="00E44C9F">
            <w:pPr>
              <w:pStyle w:val="tjbmf"/>
              <w:shd w:val="clear" w:color="auto" w:fill="FFFFFF"/>
              <w:jc w:val="both"/>
              <w:rPr>
                <w:sz w:val="22"/>
                <w:szCs w:val="22"/>
              </w:rPr>
            </w:pPr>
          </w:p>
        </w:tc>
        <w:tc>
          <w:tcPr>
            <w:tcW w:w="5760" w:type="dxa"/>
            <w:shd w:val="clear" w:color="auto" w:fill="auto"/>
          </w:tcPr>
          <w:p w:rsidR="00A94AB7" w:rsidRPr="008D16E0" w:rsidRDefault="00A94AB7" w:rsidP="00E44C9F">
            <w:pPr>
              <w:pStyle w:val="tjbmf"/>
              <w:shd w:val="clear" w:color="auto" w:fill="FFFFFF"/>
              <w:jc w:val="both"/>
              <w:rPr>
                <w:sz w:val="22"/>
                <w:szCs w:val="22"/>
              </w:rPr>
            </w:pPr>
            <w:r w:rsidRPr="008D16E0">
              <w:rPr>
                <w:sz w:val="22"/>
                <w:szCs w:val="22"/>
              </w:rPr>
              <w:t>5. Уповноважена особа Комісії на підставі Звіту протягом 15 робочих днів після отримання Звіту та документів, передбачених пунктом 4 цього розділу, видає розпорядження стосовно відповідності пайового фонду вимогам щодо мінімального обсягу активів пайового фонду (додаток 4) або визнання випуску інвестиційних сертифікатів пайового фонду таким, що не відбувся, або залишає Звіт без розгляду згідно з пунктом 6 цього розділу та направляє компанії з управління активами відповідне письмове повідомлення.</w:t>
            </w:r>
          </w:p>
          <w:p w:rsidR="00A94AB7" w:rsidRPr="008D16E0" w:rsidRDefault="00A94AB7" w:rsidP="00E44C9F">
            <w:pPr>
              <w:shd w:val="clear" w:color="auto" w:fill="FFFFFF"/>
              <w:jc w:val="both"/>
              <w:rPr>
                <w:b/>
                <w:sz w:val="22"/>
                <w:szCs w:val="22"/>
              </w:rPr>
            </w:pPr>
            <w:r w:rsidRPr="008D16E0">
              <w:rPr>
                <w:sz w:val="22"/>
                <w:szCs w:val="22"/>
              </w:rPr>
              <w:t xml:space="preserve">У разі прийняття рішення про відповідність пайового фонду вимогам щодо мінімального обсягу активів Комісія протягом п'яти робочих днів з дати видачі вищезазначеного розпорядження </w:t>
            </w:r>
            <w:r w:rsidRPr="008D16E0">
              <w:rPr>
                <w:b/>
                <w:sz w:val="22"/>
                <w:szCs w:val="22"/>
              </w:rPr>
              <w:t>публікує його в офіційному друкованому виданні</w:t>
            </w:r>
            <w:r w:rsidRPr="008D16E0">
              <w:rPr>
                <w:sz w:val="22"/>
                <w:szCs w:val="22"/>
              </w:rPr>
              <w:t xml:space="preserve"> Комісії.</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в абзаці другому пункту 5 розділу V Положення слова «публікує його в офіційному друкованому виданні» замінити словами «оприлюднює на офіційному веб-сайті».</w:t>
            </w:r>
          </w:p>
        </w:tc>
        <w:tc>
          <w:tcPr>
            <w:tcW w:w="5940" w:type="dxa"/>
            <w:shd w:val="clear" w:color="auto" w:fill="auto"/>
          </w:tcPr>
          <w:p w:rsidR="00A94AB7" w:rsidRPr="008D16E0" w:rsidRDefault="00A94AB7" w:rsidP="00E44C9F">
            <w:pPr>
              <w:pStyle w:val="tjbmf"/>
              <w:shd w:val="clear" w:color="auto" w:fill="FFFFFF"/>
              <w:jc w:val="both"/>
              <w:rPr>
                <w:sz w:val="22"/>
                <w:szCs w:val="22"/>
              </w:rPr>
            </w:pPr>
            <w:r w:rsidRPr="008D16E0">
              <w:rPr>
                <w:sz w:val="22"/>
                <w:szCs w:val="22"/>
              </w:rPr>
              <w:t>5. Уповноважена особа Комісії на підставі Звіту протягом 15 робочих днів після отримання Звіту та документів, передбачених пунктом 4 цього розділу, видає розпорядження стосовно відповідності пайового фонду вимогам щодо мінімального обсягу активів пайового фонду (додаток 4) або визнання випуску інвестиційних сертифікатів пайового фонду таким, що не відбувся, або залишає Звіт без розгляду згідно з пунктом 6 цього розділу та направляє компанії з управління активами відповідне письмове повідомлення.</w:t>
            </w:r>
          </w:p>
          <w:p w:rsidR="00A94AB7" w:rsidRPr="008D16E0" w:rsidRDefault="00A94AB7" w:rsidP="00E44C9F">
            <w:pPr>
              <w:shd w:val="clear" w:color="auto" w:fill="FFFFFF"/>
              <w:jc w:val="both"/>
              <w:rPr>
                <w:b/>
                <w:sz w:val="22"/>
                <w:szCs w:val="22"/>
              </w:rPr>
            </w:pPr>
            <w:r w:rsidRPr="008D16E0">
              <w:rPr>
                <w:sz w:val="22"/>
                <w:szCs w:val="22"/>
              </w:rPr>
              <w:t xml:space="preserve">У разі прийняття рішення про відповідність пайового фонду вимогам щодо мінімального обсягу активів Комісія протягом п'яти робочих днів з дати видачі вищезазначеного розпорядження </w:t>
            </w:r>
            <w:r w:rsidRPr="008D16E0">
              <w:rPr>
                <w:b/>
                <w:sz w:val="22"/>
                <w:szCs w:val="22"/>
              </w:rPr>
              <w:t xml:space="preserve">оприлюднює його на офіційному веб-сайті </w:t>
            </w:r>
            <w:r w:rsidRPr="008D16E0">
              <w:rPr>
                <w:sz w:val="22"/>
                <w:szCs w:val="22"/>
              </w:rPr>
              <w:t>Комісії.</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outlineLvl w:val="2"/>
              <w:rPr>
                <w:b/>
                <w:sz w:val="22"/>
                <w:szCs w:val="22"/>
              </w:rPr>
            </w:pPr>
            <w:r w:rsidRPr="008D16E0">
              <w:rPr>
                <w:b/>
                <w:sz w:val="22"/>
                <w:szCs w:val="22"/>
              </w:rPr>
              <w:t>3</w:t>
            </w:r>
          </w:p>
        </w:tc>
        <w:tc>
          <w:tcPr>
            <w:tcW w:w="5760" w:type="dxa"/>
            <w:shd w:val="clear" w:color="auto" w:fill="auto"/>
          </w:tcPr>
          <w:p w:rsidR="00A94AB7" w:rsidRPr="008D16E0" w:rsidRDefault="00A94AB7" w:rsidP="00E44C9F">
            <w:pPr>
              <w:shd w:val="clear" w:color="auto" w:fill="FFFFFF"/>
              <w:spacing w:before="100" w:beforeAutospacing="1" w:after="100" w:afterAutospacing="1"/>
              <w:jc w:val="both"/>
              <w:outlineLvl w:val="2"/>
              <w:rPr>
                <w:b/>
                <w:sz w:val="22"/>
                <w:szCs w:val="22"/>
                <w:u w:val="single"/>
              </w:rPr>
            </w:pPr>
            <w:r w:rsidRPr="008D16E0">
              <w:rPr>
                <w:b/>
                <w:sz w:val="22"/>
                <w:szCs w:val="22"/>
                <w:u w:val="single"/>
              </w:rPr>
              <w:t>Положення про порядок припинення корпоративного інвестиційного фонду, затверджене рішенням Національної комісії з цінних паперів та фондового ринку від 19.11.2013 № 2606, зареєстроване в Міністерстві юстиції України 17.12.2013 за № 2133/24665.</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tc>
        <w:tc>
          <w:tcPr>
            <w:tcW w:w="5940" w:type="dxa"/>
            <w:shd w:val="clear" w:color="auto" w:fill="auto"/>
          </w:tcPr>
          <w:p w:rsidR="00A94AB7" w:rsidRPr="008D16E0" w:rsidRDefault="00A94AB7" w:rsidP="00E44C9F">
            <w:pPr>
              <w:shd w:val="clear" w:color="auto" w:fill="FFFFFF"/>
              <w:spacing w:before="100" w:beforeAutospacing="1" w:after="100" w:afterAutospacing="1"/>
              <w:jc w:val="both"/>
              <w:outlineLvl w:val="2"/>
              <w:rPr>
                <w:b/>
                <w:sz w:val="22"/>
                <w:szCs w:val="22"/>
              </w:rPr>
            </w:pPr>
            <w:r w:rsidRPr="008D16E0">
              <w:rPr>
                <w:b/>
                <w:sz w:val="22"/>
                <w:szCs w:val="22"/>
                <w:u w:val="single"/>
              </w:rPr>
              <w:t>Положення про порядок припинення корпоративного інвестиційного фонду, затверджене рішенням Національної комісії з цінних паперів та фондового ринку від 19.11.2013 № 2606, зареєстроване в Міністерстві юстиції України 17.12.2013 за № 2133/24665.</w:t>
            </w:r>
          </w:p>
        </w:tc>
      </w:tr>
      <w:tr w:rsidR="00A94AB7" w:rsidRPr="008D16E0" w:rsidTr="00E44C9F">
        <w:tc>
          <w:tcPr>
            <w:tcW w:w="648" w:type="dxa"/>
          </w:tcPr>
          <w:p w:rsidR="00A94AB7" w:rsidRPr="008D16E0" w:rsidRDefault="00A94AB7" w:rsidP="00E44C9F">
            <w:pPr>
              <w:jc w:val="both"/>
              <w:rPr>
                <w:bCs/>
                <w:sz w:val="22"/>
                <w:szCs w:val="22"/>
              </w:rPr>
            </w:pPr>
          </w:p>
        </w:tc>
        <w:tc>
          <w:tcPr>
            <w:tcW w:w="5760" w:type="dxa"/>
            <w:shd w:val="clear" w:color="auto" w:fill="auto"/>
          </w:tcPr>
          <w:p w:rsidR="00A94AB7" w:rsidRPr="008D16E0" w:rsidRDefault="00A94AB7" w:rsidP="00E44C9F">
            <w:pPr>
              <w:jc w:val="both"/>
              <w:rPr>
                <w:sz w:val="22"/>
                <w:szCs w:val="22"/>
              </w:rPr>
            </w:pPr>
            <w:r w:rsidRPr="008D16E0">
              <w:rPr>
                <w:b/>
                <w:bCs/>
                <w:sz w:val="22"/>
                <w:szCs w:val="22"/>
              </w:rPr>
              <w:t>I. Загальні положення</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tc>
        <w:tc>
          <w:tcPr>
            <w:tcW w:w="5940" w:type="dxa"/>
            <w:shd w:val="clear" w:color="auto" w:fill="auto"/>
          </w:tcPr>
          <w:p w:rsidR="00A94AB7" w:rsidRPr="008D16E0" w:rsidRDefault="00A94AB7" w:rsidP="00E44C9F">
            <w:pPr>
              <w:jc w:val="both"/>
              <w:rPr>
                <w:sz w:val="22"/>
                <w:szCs w:val="22"/>
              </w:rPr>
            </w:pPr>
            <w:r w:rsidRPr="008D16E0">
              <w:rPr>
                <w:b/>
                <w:bCs/>
                <w:sz w:val="22"/>
                <w:szCs w:val="22"/>
              </w:rPr>
              <w:t>I. Загальні положення</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2. У цьому Положенні наведені терміни вживаються в таких значеннях:</w:t>
            </w:r>
          </w:p>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виключення відомостей про Фонд з Реєстру - внесення відповідного запису про припинення Фонду до Реєстру;</w:t>
            </w:r>
          </w:p>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 xml:space="preserve">ліквідаційна комісія Фонду (далі - ліквідаційна комісія) - колегіальний орган, який створюється під час припинення </w:t>
            </w:r>
            <w:r w:rsidRPr="008D16E0">
              <w:rPr>
                <w:sz w:val="22"/>
                <w:szCs w:val="22"/>
              </w:rPr>
              <w:lastRenderedPageBreak/>
              <w:t>Фонду шляхом ліквідації та здійснює свою діяльність відповідно до вимог Цивільного кодексу України, Закону України "Про інститути спільного інвестування" та цього Положення;</w:t>
            </w:r>
          </w:p>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ліквідація Фонду - дії, спрямовані на припинення діяльності Фонду, які здійснюються у порядку, передбаченому Законом України "Про інститути спільного інвестування" (далі - Закон), з дотриманням вимог Цивільного кодексу України та цього Положення;</w:t>
            </w:r>
          </w:p>
          <w:p w:rsidR="00A94AB7" w:rsidRPr="008D16E0" w:rsidRDefault="00A94AB7" w:rsidP="00E44C9F">
            <w:pPr>
              <w:pStyle w:val="tjbmf"/>
              <w:shd w:val="clear" w:color="auto" w:fill="FFFFFF"/>
              <w:jc w:val="both"/>
              <w:rPr>
                <w:b/>
                <w:sz w:val="22"/>
                <w:szCs w:val="22"/>
                <w:u w:val="single"/>
              </w:rPr>
            </w:pPr>
            <w:r w:rsidRPr="008D16E0">
              <w:rPr>
                <w:b/>
                <w:sz w:val="22"/>
                <w:szCs w:val="22"/>
                <w:u w:val="single"/>
              </w:rPr>
              <w:t>офіційний друкований орган - одне з офіційних друкованих видань Верховної Ради України, Кабінету Міністрів України</w:t>
            </w:r>
            <w:r w:rsidRPr="008D16E0">
              <w:rPr>
                <w:sz w:val="22"/>
                <w:szCs w:val="22"/>
                <w:u w:val="single"/>
              </w:rPr>
              <w:t xml:space="preserve"> </w:t>
            </w:r>
            <w:r w:rsidRPr="008D16E0">
              <w:rPr>
                <w:b/>
                <w:sz w:val="22"/>
                <w:szCs w:val="22"/>
                <w:u w:val="single"/>
              </w:rPr>
              <w:t>або Національної комісії з цінних паперів та фондового ринку (далі - Комісія);</w:t>
            </w:r>
          </w:p>
          <w:p w:rsidR="00A94AB7" w:rsidRPr="008D16E0" w:rsidRDefault="00A94AB7" w:rsidP="00E44C9F">
            <w:pPr>
              <w:pStyle w:val="tjbmf"/>
              <w:shd w:val="clear" w:color="auto" w:fill="FFFFFF"/>
              <w:jc w:val="both"/>
              <w:rPr>
                <w:sz w:val="22"/>
                <w:szCs w:val="22"/>
                <w:u w:val="single"/>
              </w:rPr>
            </w:pP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абзац п’ятий пункту 2 розділу І виключити.</w:t>
            </w:r>
          </w:p>
        </w:tc>
        <w:tc>
          <w:tcPr>
            <w:tcW w:w="5940" w:type="dxa"/>
            <w:shd w:val="clear" w:color="auto" w:fill="auto"/>
          </w:tcPr>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lastRenderedPageBreak/>
              <w:t>2. У цьому Положенні наведені терміни вживаються в таких значеннях:</w:t>
            </w:r>
          </w:p>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виключення відомостей про Фонд з Реєстру - внесення відповідного запису про припинення Фонду до Реєстру;</w:t>
            </w:r>
          </w:p>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 xml:space="preserve">ліквідаційна комісія Фонду (далі - ліквідаційна комісія) - колегіальний орган, який створюється під час припинення </w:t>
            </w:r>
            <w:r w:rsidRPr="008D16E0">
              <w:rPr>
                <w:sz w:val="22"/>
                <w:szCs w:val="22"/>
              </w:rPr>
              <w:lastRenderedPageBreak/>
              <w:t>Фонду шляхом ліквідації та здійснює свою діяльність відповідно до вимог Цивільного кодексу України, Закону України "Про інститути спільного інвестування" та цього Положення;</w:t>
            </w:r>
          </w:p>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ліквідація Фонду - дії, спрямовані на припинення діяльності Фонду, які здійснюються у порядку, передбаченому Законом України "Про інститути спільного інвестування" (далі - Закон), з дотриманням вимог Цивільного кодексу України та цього Положення.</w:t>
            </w:r>
          </w:p>
          <w:p w:rsidR="00A94AB7" w:rsidRPr="008D16E0" w:rsidRDefault="00A94AB7" w:rsidP="00E44C9F">
            <w:pPr>
              <w:pStyle w:val="tjbmf"/>
              <w:shd w:val="clear" w:color="auto" w:fill="FFFFFF"/>
              <w:jc w:val="both"/>
              <w:rPr>
                <w:sz w:val="22"/>
                <w:szCs w:val="22"/>
              </w:rPr>
            </w:pP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12. Документи, що подаються до Комісії згідно з цим Положенням на двох і більше аркушах, повинні бути прошиті</w:t>
            </w:r>
            <w:r w:rsidRPr="008D16E0">
              <w:rPr>
                <w:b/>
                <w:sz w:val="22"/>
                <w:szCs w:val="22"/>
              </w:rPr>
              <w:t xml:space="preserve">, </w:t>
            </w:r>
            <w:r w:rsidRPr="008D16E0">
              <w:rPr>
                <w:sz w:val="22"/>
                <w:szCs w:val="22"/>
              </w:rPr>
              <w:t xml:space="preserve">пронумеровані та засвідчені </w:t>
            </w:r>
            <w:r w:rsidRPr="008D16E0">
              <w:rPr>
                <w:b/>
                <w:sz w:val="22"/>
                <w:szCs w:val="22"/>
              </w:rPr>
              <w:t>в установленому порядку.</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У пункті 12 слова: "в установленому порядку" замінити словами: "підписами відповідних уповноважених осіб.»;</w:t>
            </w:r>
          </w:p>
        </w:tc>
        <w:tc>
          <w:tcPr>
            <w:tcW w:w="5940" w:type="dxa"/>
            <w:shd w:val="clear" w:color="auto" w:fill="auto"/>
          </w:tcPr>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 xml:space="preserve">12. Документи, що подаються до Комісії згідно з цим Положенням на двох і більше аркушах, повинні бути прошиті, пронумеровані та засвідчені </w:t>
            </w:r>
            <w:r w:rsidRPr="008D16E0">
              <w:rPr>
                <w:b/>
                <w:sz w:val="22"/>
                <w:szCs w:val="22"/>
              </w:rPr>
              <w:t>підписами відповідних уповноважених осіб</w:t>
            </w:r>
            <w:r w:rsidRPr="008D16E0">
              <w:rPr>
                <w:sz w:val="22"/>
                <w:szCs w:val="22"/>
              </w:rPr>
              <w:t xml:space="preserve">. </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ind w:right="16"/>
              <w:jc w:val="both"/>
              <w:rPr>
                <w:b/>
                <w:sz w:val="22"/>
                <w:szCs w:val="22"/>
                <w:lang w:val="ru-RU"/>
              </w:rPr>
            </w:pPr>
            <w:r w:rsidRPr="008D16E0">
              <w:rPr>
                <w:b/>
                <w:sz w:val="22"/>
                <w:szCs w:val="22"/>
              </w:rPr>
              <w:t>13. Документи (їх копії), які відповідно до цього Положення подаються до Комісії та мають бути засвідчені печаткою (печатками), потребують такого засвідчення у разі наявності у юридичної особи відповідної(их) печатки (печаток).</w:t>
            </w:r>
          </w:p>
        </w:tc>
        <w:tc>
          <w:tcPr>
            <w:tcW w:w="3420" w:type="dxa"/>
            <w:shd w:val="clear" w:color="auto" w:fill="auto"/>
          </w:tcPr>
          <w:p w:rsidR="00A94AB7" w:rsidRPr="008D16E0" w:rsidRDefault="00A94AB7" w:rsidP="00E44C9F">
            <w:pPr>
              <w:pStyle w:val="ac"/>
              <w:ind w:firstLine="72"/>
              <w:rPr>
                <w:sz w:val="22"/>
                <w:szCs w:val="22"/>
              </w:rPr>
            </w:pPr>
            <w:r w:rsidRPr="008D16E0">
              <w:rPr>
                <w:sz w:val="22"/>
                <w:szCs w:val="22"/>
              </w:rPr>
              <w:t>Пункт 13 виключити.</w:t>
            </w:r>
          </w:p>
          <w:p w:rsidR="00A94AB7" w:rsidRPr="008D16E0" w:rsidRDefault="00A94AB7" w:rsidP="00E44C9F">
            <w:pPr>
              <w:pStyle w:val="ac"/>
              <w:ind w:firstLine="720"/>
              <w:rPr>
                <w:sz w:val="22"/>
                <w:szCs w:val="22"/>
              </w:rPr>
            </w:pPr>
          </w:p>
        </w:tc>
        <w:tc>
          <w:tcPr>
            <w:tcW w:w="5940" w:type="dxa"/>
            <w:shd w:val="clear" w:color="auto" w:fill="auto"/>
          </w:tcPr>
          <w:p w:rsidR="00A94AB7" w:rsidRPr="008D16E0" w:rsidRDefault="00A94AB7" w:rsidP="00E44C9F">
            <w:pPr>
              <w:pStyle w:val="ab"/>
              <w:jc w:val="both"/>
              <w:rPr>
                <w:sz w:val="22"/>
                <w:szCs w:val="22"/>
              </w:rPr>
            </w:pP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shd w:val="clear" w:color="auto" w:fill="FFFFFF"/>
              <w:spacing w:before="100" w:beforeAutospacing="1" w:after="100" w:afterAutospacing="1"/>
              <w:jc w:val="both"/>
              <w:rPr>
                <w:b/>
                <w:sz w:val="22"/>
                <w:szCs w:val="22"/>
              </w:rPr>
            </w:pPr>
            <w:r w:rsidRPr="008D16E0">
              <w:rPr>
                <w:b/>
              </w:rPr>
              <w:t>II. Послідовність дій та організаційних заходів щодо підготовки і проведення ліквідації Фонду у разі прийняття рішення про ліквідацію уповноваженим органом Фонду</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b/>
                <w:sz w:val="22"/>
                <w:szCs w:val="22"/>
              </w:rPr>
            </w:pPr>
          </w:p>
        </w:tc>
        <w:tc>
          <w:tcPr>
            <w:tcW w:w="5940" w:type="dxa"/>
            <w:shd w:val="clear" w:color="auto" w:fill="auto"/>
          </w:tcPr>
          <w:p w:rsidR="00A94AB7" w:rsidRPr="008D16E0" w:rsidRDefault="00A94AB7" w:rsidP="00E44C9F">
            <w:pPr>
              <w:shd w:val="clear" w:color="auto" w:fill="FFFFFF"/>
              <w:spacing w:before="100" w:beforeAutospacing="1" w:after="100" w:afterAutospacing="1"/>
              <w:jc w:val="both"/>
              <w:rPr>
                <w:b/>
                <w:sz w:val="22"/>
                <w:szCs w:val="22"/>
              </w:rPr>
            </w:pPr>
            <w:r w:rsidRPr="008D16E0">
              <w:rPr>
                <w:b/>
              </w:rPr>
              <w:t>II. Послідовність дій та організаційних заходів щодо підготовки і проведення ліквідації Фонду у разі прийняття рішення про ліквідацію уповноваженим органом Фонду</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5. Ліквідаційна комісія здійснює такі заходи:</w:t>
            </w:r>
          </w:p>
          <w:p w:rsidR="00A94AB7" w:rsidRPr="008D16E0" w:rsidRDefault="00A94AB7" w:rsidP="00E44C9F">
            <w:pPr>
              <w:spacing w:before="100" w:beforeAutospacing="1" w:after="100" w:afterAutospacing="1"/>
              <w:jc w:val="both"/>
              <w:rPr>
                <w:sz w:val="22"/>
                <w:szCs w:val="22"/>
              </w:rPr>
            </w:pPr>
            <w:r w:rsidRPr="008D16E0">
              <w:rPr>
                <w:sz w:val="22"/>
                <w:szCs w:val="22"/>
              </w:rPr>
              <w:t xml:space="preserve">1) у день прийняття рішення про ліквідацію Фонду письмово повідомляє щодо прийнятого рішення про ліквідацію Фонду Комісію, компанію з управління активами Фонду, зберігача активів Фонду (за наявності), Центральний депозитарій, аудитора (аудиторську фірму), оцінювача майна Фонду (у разі укладення договору про надання послуг з оцінки вартості нерухомого майна ІСІ), </w:t>
            </w:r>
            <w:r w:rsidRPr="008D16E0">
              <w:rPr>
                <w:sz w:val="22"/>
                <w:szCs w:val="22"/>
              </w:rPr>
              <w:lastRenderedPageBreak/>
              <w:t>торговців цінними паперами, які здійснюють розміщення та/або викуп акцій Фонду, а також інформує фондову біржу (у разі якщо акції Фонду перебувають в обігу на цій фондовій біржі).</w:t>
            </w:r>
          </w:p>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Зазначене повідомлення засвідчується підписами голови наглядової ради, уповноваженої особи компанії з управління активами, голови ліквідаційної комісії</w:t>
            </w:r>
            <w:r w:rsidRPr="008D16E0">
              <w:rPr>
                <w:b/>
                <w:sz w:val="22"/>
                <w:szCs w:val="22"/>
              </w:rPr>
              <w:t>, а також печатками Фонду та компанії з управління активами.</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lang w:val="ru-RU"/>
              </w:rPr>
            </w:pPr>
            <w:r w:rsidRPr="008D16E0">
              <w:rPr>
                <w:sz w:val="22"/>
                <w:szCs w:val="22"/>
              </w:rPr>
              <w:t>в абзаці другому підпункту 1  пункту 5 слова та знак «, а також печатками Фонду та компанії з управління активами»  виключити;</w:t>
            </w:r>
          </w:p>
        </w:tc>
        <w:tc>
          <w:tcPr>
            <w:tcW w:w="5940" w:type="dxa"/>
            <w:shd w:val="clear" w:color="auto" w:fill="auto"/>
          </w:tcPr>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lastRenderedPageBreak/>
              <w:t>5. Ліквідаційна комісія здійснює такі заходи:</w:t>
            </w:r>
          </w:p>
          <w:p w:rsidR="00A94AB7" w:rsidRPr="008D16E0" w:rsidRDefault="00A94AB7" w:rsidP="00E44C9F">
            <w:pPr>
              <w:spacing w:before="100" w:beforeAutospacing="1" w:after="100" w:afterAutospacing="1"/>
              <w:jc w:val="both"/>
              <w:rPr>
                <w:sz w:val="22"/>
                <w:szCs w:val="22"/>
              </w:rPr>
            </w:pPr>
            <w:r w:rsidRPr="008D16E0">
              <w:rPr>
                <w:sz w:val="22"/>
                <w:szCs w:val="22"/>
              </w:rPr>
              <w:t xml:space="preserve">1) у день прийняття рішення про ліквідацію Фонду письмово повідомляє щодо прийнятого рішення про ліквідацію Фонду Комісію, компанію з управління активами Фонду, зберігача активів Фонду (за наявності), Центральний депозитарій, аудитора (аудиторську фірму), оцінювача майна Фонду (у разі укладення договору про надання послуг з оцінки вартості нерухомого майна ІСІ), торговців </w:t>
            </w:r>
            <w:r w:rsidRPr="008D16E0">
              <w:rPr>
                <w:sz w:val="22"/>
                <w:szCs w:val="22"/>
              </w:rPr>
              <w:lastRenderedPageBreak/>
              <w:t>цінними паперами, які здійснюють розміщення та/або викуп акцій Фонду, а також інформує фондову біржу (у разі якщо акції Фонду перебувають в обігу на цій фондовій біржі).</w:t>
            </w:r>
          </w:p>
          <w:p w:rsidR="00A94AB7" w:rsidRPr="008D16E0" w:rsidRDefault="00A94AB7" w:rsidP="00E44C9F">
            <w:pPr>
              <w:spacing w:before="100" w:beforeAutospacing="1" w:after="100" w:afterAutospacing="1"/>
              <w:jc w:val="both"/>
              <w:rPr>
                <w:sz w:val="22"/>
                <w:szCs w:val="22"/>
              </w:rPr>
            </w:pPr>
            <w:r w:rsidRPr="008D16E0">
              <w:rPr>
                <w:sz w:val="22"/>
                <w:szCs w:val="22"/>
              </w:rPr>
              <w:t>Зазначене повідомлення засвідчується підписами голови наглядової ради, уповноваженої особи компанії з управління активами, голови ліквідаційної комісії.</w:t>
            </w:r>
          </w:p>
          <w:p w:rsidR="00A94AB7" w:rsidRPr="008D16E0" w:rsidRDefault="00A94AB7" w:rsidP="00E44C9F">
            <w:pPr>
              <w:shd w:val="clear" w:color="auto" w:fill="FFFFFF"/>
              <w:spacing w:before="100" w:beforeAutospacing="1" w:after="100" w:afterAutospacing="1"/>
              <w:jc w:val="both"/>
              <w:rPr>
                <w:sz w:val="22"/>
                <w:szCs w:val="22"/>
              </w:rPr>
            </w:pP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st2"/>
              <w:ind w:firstLine="0"/>
              <w:rPr>
                <w:rFonts w:ascii="Times New Roman" w:hAnsi="Times New Roman" w:cs="Times New Roman"/>
                <w:sz w:val="22"/>
                <w:szCs w:val="22"/>
                <w:lang w:val="uk-UA" w:eastAsia="uk-UA"/>
              </w:rPr>
            </w:pPr>
            <w:r w:rsidRPr="008D16E0">
              <w:rPr>
                <w:rFonts w:ascii="Times New Roman" w:hAnsi="Times New Roman" w:cs="Times New Roman"/>
                <w:sz w:val="22"/>
                <w:szCs w:val="22"/>
                <w:lang w:val="uk-UA" w:eastAsia="uk-UA"/>
              </w:rPr>
              <w:t xml:space="preserve">3) протягом п'яти робочих днів з дати прийняття рішення про ліквідацію Фонду: </w:t>
            </w:r>
          </w:p>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публікує в офіційному друкованому органі інформацію щодо ліквідації Фонду, порядку та строку пред'явлення кредиторами вимог до Фонду і розміщує зазначену інформацію на сайті загальнодоступної інформаційної бази даних Комісії, а також на сайті компанії з управління активами, яка здійснювала управління активами Фонду;</w:t>
            </w:r>
          </w:p>
          <w:p w:rsidR="00A94AB7" w:rsidRPr="008D16E0" w:rsidRDefault="00A94AB7" w:rsidP="00E44C9F">
            <w:pPr>
              <w:shd w:val="clear" w:color="auto" w:fill="FFFFFF"/>
              <w:spacing w:before="100" w:beforeAutospacing="1" w:after="100" w:afterAutospacing="1"/>
              <w:jc w:val="both"/>
              <w:rPr>
                <w:sz w:val="22"/>
                <w:szCs w:val="22"/>
              </w:rPr>
            </w:pPr>
          </w:p>
          <w:p w:rsidR="00A94AB7" w:rsidRPr="008D16E0" w:rsidRDefault="00A94AB7" w:rsidP="00E44C9F">
            <w:pPr>
              <w:shd w:val="clear" w:color="auto" w:fill="FFFFFF"/>
              <w:spacing w:before="100" w:beforeAutospacing="1" w:after="100" w:afterAutospacing="1"/>
              <w:jc w:val="both"/>
              <w:rPr>
                <w:sz w:val="22"/>
                <w:szCs w:val="22"/>
              </w:rPr>
            </w:pPr>
          </w:p>
          <w:p w:rsidR="00A94AB7" w:rsidRPr="008D16E0" w:rsidRDefault="00A94AB7" w:rsidP="00E44C9F">
            <w:pPr>
              <w:spacing w:before="100" w:beforeAutospacing="1" w:after="100" w:afterAutospacing="1"/>
              <w:jc w:val="both"/>
              <w:rPr>
                <w:sz w:val="22"/>
                <w:szCs w:val="22"/>
              </w:rPr>
            </w:pPr>
          </w:p>
          <w:p w:rsidR="00A94AB7" w:rsidRPr="008D16E0" w:rsidRDefault="00A94AB7" w:rsidP="00E44C9F">
            <w:pPr>
              <w:spacing w:before="100" w:beforeAutospacing="1" w:after="100" w:afterAutospacing="1"/>
              <w:jc w:val="both"/>
              <w:rPr>
                <w:sz w:val="22"/>
                <w:szCs w:val="22"/>
              </w:rPr>
            </w:pPr>
            <w:r w:rsidRPr="008D16E0">
              <w:rPr>
                <w:sz w:val="22"/>
                <w:szCs w:val="22"/>
              </w:rPr>
              <w:t xml:space="preserve">розробляє та затверджує порядок проведення розрахунків з учасниками Фонду (далі - Порядок про розрахунки). </w:t>
            </w:r>
          </w:p>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 xml:space="preserve">Порядок про розрахунки затверджується ліквідаційною комісією відповідно до положення про ліквідаційну комісію, підписується членами ліквідаційної комісії </w:t>
            </w:r>
            <w:r w:rsidRPr="008D16E0">
              <w:rPr>
                <w:b/>
                <w:sz w:val="22"/>
                <w:szCs w:val="22"/>
              </w:rPr>
              <w:t>та засвідчується печаткою Фонду;</w:t>
            </w:r>
          </w:p>
        </w:tc>
        <w:tc>
          <w:tcPr>
            <w:tcW w:w="3420" w:type="dxa"/>
            <w:shd w:val="clear" w:color="auto" w:fill="auto"/>
          </w:tcPr>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Абзац перший підпункту 3 пункту 5 розділу ІІ викласти в такій редакції:</w:t>
            </w:r>
          </w:p>
          <w:p w:rsidR="00A94AB7" w:rsidRPr="008D16E0" w:rsidRDefault="00A94AB7" w:rsidP="00E44C9F">
            <w:pPr>
              <w:pStyle w:val="ac"/>
              <w:rPr>
                <w:sz w:val="22"/>
                <w:szCs w:val="22"/>
              </w:rPr>
            </w:pPr>
            <w:r w:rsidRPr="008D16E0">
              <w:rPr>
                <w:sz w:val="22"/>
                <w:szCs w:val="22"/>
              </w:rPr>
              <w:t>«</w:t>
            </w:r>
            <w:r w:rsidRPr="008D16E0">
              <w:rPr>
                <w:b/>
                <w:sz w:val="22"/>
                <w:szCs w:val="22"/>
              </w:rPr>
              <w:t>розміщує інформацію щодо ліквідації Фонду, порядку та строку пред'явлення кредиторами вимог до Фонду в загальнодоступній інформаційній базі даних Комісії про ринок цінних паперів, а також на веб-сайті компанії з управління активами, яка здійснювала управління активами Фонду;</w:t>
            </w:r>
            <w:r w:rsidRPr="008D16E0">
              <w:rPr>
                <w:sz w:val="22"/>
                <w:szCs w:val="22"/>
              </w:rPr>
              <w:t>»</w:t>
            </w: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r w:rsidRPr="008D16E0">
              <w:rPr>
                <w:sz w:val="22"/>
                <w:szCs w:val="22"/>
              </w:rPr>
              <w:t>в абзаці четвертому підпункту 3 слова «та засвідчується печаткою Фонду» виключити;</w:t>
            </w:r>
          </w:p>
          <w:p w:rsidR="00A94AB7" w:rsidRPr="008D16E0" w:rsidRDefault="00A94AB7" w:rsidP="00E44C9F">
            <w:pPr>
              <w:pStyle w:val="ac"/>
              <w:ind w:firstLine="720"/>
              <w:rPr>
                <w:sz w:val="22"/>
                <w:szCs w:val="22"/>
              </w:rPr>
            </w:pPr>
          </w:p>
        </w:tc>
        <w:tc>
          <w:tcPr>
            <w:tcW w:w="5940" w:type="dxa"/>
            <w:shd w:val="clear" w:color="auto" w:fill="auto"/>
          </w:tcPr>
          <w:p w:rsidR="00A94AB7" w:rsidRPr="008D16E0" w:rsidRDefault="00A94AB7" w:rsidP="00E44C9F">
            <w:pPr>
              <w:pStyle w:val="st2"/>
              <w:ind w:firstLine="0"/>
              <w:rPr>
                <w:rFonts w:ascii="Times New Roman" w:hAnsi="Times New Roman" w:cs="Times New Roman"/>
                <w:sz w:val="22"/>
                <w:szCs w:val="22"/>
                <w:lang w:val="uk-UA" w:eastAsia="uk-UA"/>
              </w:rPr>
            </w:pPr>
            <w:r w:rsidRPr="008D16E0">
              <w:rPr>
                <w:rFonts w:ascii="Times New Roman" w:hAnsi="Times New Roman" w:cs="Times New Roman"/>
                <w:sz w:val="22"/>
                <w:szCs w:val="22"/>
                <w:lang w:val="uk-UA" w:eastAsia="uk-UA"/>
              </w:rPr>
              <w:t xml:space="preserve">3) протягом п'яти робочих днів з дати прийняття рішення про ліквідацію Фонду: </w:t>
            </w:r>
          </w:p>
          <w:p w:rsidR="00A94AB7" w:rsidRPr="008D16E0" w:rsidRDefault="00A94AB7" w:rsidP="00E44C9F">
            <w:pPr>
              <w:shd w:val="clear" w:color="auto" w:fill="FFFFFF"/>
              <w:spacing w:before="100" w:beforeAutospacing="1" w:after="100" w:afterAutospacing="1"/>
              <w:jc w:val="both"/>
              <w:rPr>
                <w:sz w:val="22"/>
                <w:szCs w:val="22"/>
              </w:rPr>
            </w:pPr>
            <w:r w:rsidRPr="008D16E0">
              <w:rPr>
                <w:b/>
                <w:sz w:val="22"/>
                <w:szCs w:val="22"/>
              </w:rPr>
              <w:t>розміщує інформацію щодо ліквідації Фонду, порядку та строку пред'явлення кредиторами вимог до Фонду в загальнодоступній інформаційній базі даних Комісії про ринок цінних паперів, а також на веб-сайті компанії з управління активами, яка здійснювала управління активами Фонду;</w:t>
            </w:r>
          </w:p>
          <w:p w:rsidR="00A94AB7" w:rsidRPr="008D16E0" w:rsidRDefault="00A94AB7" w:rsidP="00E44C9F">
            <w:pPr>
              <w:shd w:val="clear" w:color="auto" w:fill="FFFFFF"/>
              <w:spacing w:before="100" w:beforeAutospacing="1" w:after="100" w:afterAutospacing="1"/>
              <w:jc w:val="both"/>
              <w:rPr>
                <w:sz w:val="22"/>
                <w:szCs w:val="22"/>
              </w:rPr>
            </w:pPr>
          </w:p>
          <w:p w:rsidR="00A94AB7" w:rsidRPr="008D16E0" w:rsidRDefault="00A94AB7" w:rsidP="00E44C9F">
            <w:pPr>
              <w:shd w:val="clear" w:color="auto" w:fill="FFFFFF"/>
              <w:spacing w:before="100" w:beforeAutospacing="1" w:after="100" w:afterAutospacing="1"/>
              <w:jc w:val="both"/>
              <w:rPr>
                <w:sz w:val="22"/>
                <w:szCs w:val="22"/>
              </w:rPr>
            </w:pPr>
          </w:p>
          <w:p w:rsidR="00A94AB7" w:rsidRPr="008D16E0" w:rsidRDefault="00A94AB7" w:rsidP="00E44C9F">
            <w:pPr>
              <w:shd w:val="clear" w:color="auto" w:fill="FFFFFF"/>
              <w:spacing w:before="100" w:beforeAutospacing="1" w:after="100" w:afterAutospacing="1"/>
              <w:jc w:val="both"/>
              <w:rPr>
                <w:sz w:val="22"/>
                <w:szCs w:val="22"/>
              </w:rPr>
            </w:pPr>
          </w:p>
          <w:p w:rsidR="00A94AB7" w:rsidRPr="008D16E0" w:rsidRDefault="00A94AB7" w:rsidP="00E44C9F">
            <w:pPr>
              <w:spacing w:before="100" w:beforeAutospacing="1" w:after="100" w:afterAutospacing="1"/>
              <w:jc w:val="both"/>
              <w:rPr>
                <w:sz w:val="22"/>
                <w:szCs w:val="22"/>
              </w:rPr>
            </w:pPr>
            <w:r w:rsidRPr="008D16E0">
              <w:rPr>
                <w:sz w:val="22"/>
                <w:szCs w:val="22"/>
              </w:rPr>
              <w:t xml:space="preserve">розробляє та затверджує порядок проведення розрахунків з учасниками Фонду (далі - Порядок про розрахунки). </w:t>
            </w:r>
          </w:p>
          <w:p w:rsidR="00A94AB7" w:rsidRPr="008D16E0" w:rsidRDefault="00A94AB7" w:rsidP="00E44C9F">
            <w:pPr>
              <w:shd w:val="clear" w:color="auto" w:fill="FFFFFF"/>
              <w:spacing w:before="100" w:beforeAutospacing="1" w:after="100" w:afterAutospacing="1"/>
              <w:jc w:val="both"/>
              <w:rPr>
                <w:b/>
                <w:sz w:val="22"/>
                <w:szCs w:val="22"/>
              </w:rPr>
            </w:pPr>
            <w:r w:rsidRPr="008D16E0">
              <w:rPr>
                <w:sz w:val="22"/>
                <w:szCs w:val="22"/>
              </w:rPr>
              <w:t>Порядок про розрахунки затверджується ліквідаційною комісією відповідно до положення про ліквідаційну комісію, підписується членами ліквідаційної комісії</w:t>
            </w:r>
            <w:r w:rsidRPr="008D16E0">
              <w:rPr>
                <w:b/>
                <w:sz w:val="22"/>
                <w:szCs w:val="22"/>
              </w:rPr>
              <w:t>;</w:t>
            </w:r>
          </w:p>
          <w:p w:rsidR="00A94AB7" w:rsidRPr="008D16E0" w:rsidRDefault="00A94AB7" w:rsidP="00E44C9F">
            <w:pPr>
              <w:shd w:val="clear" w:color="auto" w:fill="FFFFFF"/>
              <w:spacing w:before="100" w:beforeAutospacing="1" w:after="100" w:afterAutospacing="1"/>
              <w:jc w:val="both"/>
              <w:rPr>
                <w:sz w:val="22"/>
                <w:szCs w:val="22"/>
              </w:rPr>
            </w:pP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st2"/>
              <w:ind w:firstLine="0"/>
              <w:rPr>
                <w:rFonts w:ascii="Times New Roman" w:hAnsi="Times New Roman" w:cs="Times New Roman"/>
                <w:sz w:val="22"/>
                <w:szCs w:val="22"/>
                <w:lang w:val="uk-UA" w:eastAsia="uk-UA"/>
              </w:rPr>
            </w:pPr>
            <w:r w:rsidRPr="008D16E0">
              <w:rPr>
                <w:rFonts w:ascii="Times New Roman" w:hAnsi="Times New Roman" w:cs="Times New Roman"/>
                <w:sz w:val="22"/>
                <w:szCs w:val="22"/>
                <w:lang w:val="uk-UA" w:eastAsia="uk-UA"/>
              </w:rPr>
              <w:t xml:space="preserve">6) протягом п'яти робочих днів з дати затвердження Порядку про розрахунки повідомляє учасників Фонду про порядок розрахунків з ними у зв'язку з ліквідацією Фонду (далі - Повідомлення про розрахунки) шляхом його: </w:t>
            </w:r>
          </w:p>
          <w:p w:rsidR="00A94AB7" w:rsidRPr="008D16E0" w:rsidRDefault="00A94AB7" w:rsidP="00E44C9F">
            <w:pPr>
              <w:shd w:val="clear" w:color="auto" w:fill="FFFFFF"/>
              <w:spacing w:before="100" w:beforeAutospacing="1" w:after="100" w:afterAutospacing="1"/>
              <w:jc w:val="both"/>
              <w:rPr>
                <w:sz w:val="22"/>
                <w:szCs w:val="22"/>
              </w:rPr>
            </w:pPr>
            <w:r w:rsidRPr="008D16E0">
              <w:rPr>
                <w:b/>
                <w:sz w:val="22"/>
                <w:szCs w:val="22"/>
              </w:rPr>
              <w:t>опублікування в офіційному друкованому органі</w:t>
            </w:r>
            <w:r w:rsidRPr="008D16E0">
              <w:rPr>
                <w:sz w:val="22"/>
                <w:szCs w:val="22"/>
              </w:rPr>
              <w:t xml:space="preserve">, </w:t>
            </w:r>
            <w:r w:rsidRPr="008D16E0">
              <w:rPr>
                <w:sz w:val="22"/>
                <w:szCs w:val="22"/>
              </w:rPr>
              <w:lastRenderedPageBreak/>
              <w:t>розміщення на сайті загальнодоступної інформаційної бази даних Комісії, а також на сайті компанії з управління активами (у разі публічного розміщення акцій Фонду);</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 xml:space="preserve">Абзац другий підпункту 6 пункту 5 розділу ІІ викласти в такій </w:t>
            </w:r>
            <w:r w:rsidRPr="008D16E0">
              <w:rPr>
                <w:sz w:val="22"/>
                <w:szCs w:val="22"/>
              </w:rPr>
              <w:lastRenderedPageBreak/>
              <w:t>редакції:</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 xml:space="preserve">«розміщення у загальнодоступній інформаційній базі даних Комісії про ринок цінних паперів, а також на веб-сайті компанії з управління активами (у разі публічного розміщення акцій Фонду);» </w:t>
            </w:r>
          </w:p>
        </w:tc>
        <w:tc>
          <w:tcPr>
            <w:tcW w:w="5940" w:type="dxa"/>
            <w:shd w:val="clear" w:color="auto" w:fill="auto"/>
          </w:tcPr>
          <w:p w:rsidR="00A94AB7" w:rsidRPr="008D16E0" w:rsidRDefault="00A94AB7" w:rsidP="00E44C9F">
            <w:pPr>
              <w:pStyle w:val="st2"/>
              <w:ind w:firstLine="0"/>
              <w:rPr>
                <w:rFonts w:ascii="Times New Roman" w:hAnsi="Times New Roman" w:cs="Times New Roman"/>
                <w:sz w:val="22"/>
                <w:szCs w:val="22"/>
                <w:lang w:val="uk-UA" w:eastAsia="uk-UA"/>
              </w:rPr>
            </w:pPr>
            <w:r w:rsidRPr="008D16E0">
              <w:rPr>
                <w:rFonts w:ascii="Times New Roman" w:hAnsi="Times New Roman" w:cs="Times New Roman"/>
                <w:sz w:val="22"/>
                <w:szCs w:val="22"/>
                <w:lang w:val="uk-UA" w:eastAsia="uk-UA"/>
              </w:rPr>
              <w:lastRenderedPageBreak/>
              <w:t xml:space="preserve">6) протягом п'яти робочих днів з дати затвердження Порядку про розрахунки повідомляє учасників Фонду про порядок розрахунків з ними у зв'язку з ліквідацією Фонду (далі - Повідомлення про розрахунки) шляхом його: </w:t>
            </w:r>
          </w:p>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 xml:space="preserve">розміщення у загальнодоступній інформаційній базі даних </w:t>
            </w:r>
            <w:r w:rsidRPr="008D16E0">
              <w:rPr>
                <w:sz w:val="22"/>
                <w:szCs w:val="22"/>
              </w:rPr>
              <w:lastRenderedPageBreak/>
              <w:t>Комісії про ринок цінних паперів, а також на веб-сайті компанії з управління активами (у разі публічного розміщення акцій Фонду);</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bCs/>
                <w:sz w:val="22"/>
                <w:szCs w:val="22"/>
              </w:rPr>
            </w:pPr>
          </w:p>
        </w:tc>
        <w:tc>
          <w:tcPr>
            <w:tcW w:w="5760" w:type="dxa"/>
            <w:shd w:val="clear" w:color="auto" w:fill="auto"/>
          </w:tcPr>
          <w:p w:rsidR="00A94AB7" w:rsidRPr="008D16E0" w:rsidRDefault="00A94AB7" w:rsidP="00E44C9F">
            <w:pPr>
              <w:pStyle w:val="3"/>
              <w:spacing w:before="0" w:after="0"/>
              <w:jc w:val="both"/>
              <w:rPr>
                <w:b w:val="0"/>
                <w:sz w:val="22"/>
                <w:szCs w:val="22"/>
              </w:rPr>
            </w:pPr>
            <w:r w:rsidRPr="008D16E0">
              <w:rPr>
                <w:rFonts w:ascii="Times New Roman" w:hAnsi="Times New Roman" w:cs="Times New Roman"/>
                <w:b w:val="0"/>
                <w:bCs w:val="0"/>
                <w:sz w:val="22"/>
                <w:szCs w:val="22"/>
              </w:rPr>
              <w:t xml:space="preserve">12) складає звіт про результати ліквідації Фонду (додаток 1) та в довільній формі інформаційну довідку, підписану головою та членами ліквідаційної комісії, </w:t>
            </w:r>
            <w:r w:rsidRPr="008D16E0">
              <w:rPr>
                <w:rFonts w:ascii="Times New Roman" w:hAnsi="Times New Roman" w:cs="Times New Roman"/>
                <w:bCs w:val="0"/>
                <w:sz w:val="22"/>
                <w:szCs w:val="22"/>
              </w:rPr>
              <w:t>засвідчену печаткою Фонду</w:t>
            </w:r>
            <w:r w:rsidRPr="008D16E0">
              <w:rPr>
                <w:rFonts w:ascii="Times New Roman" w:hAnsi="Times New Roman" w:cs="Times New Roman"/>
                <w:b w:val="0"/>
                <w:bCs w:val="0"/>
                <w:sz w:val="22"/>
                <w:szCs w:val="22"/>
              </w:rPr>
              <w:t xml:space="preserve"> із зазначенням дати її підписання, щодо причин зменшення загальної вартості чистих активів Фонду понад 10 відсотків (за період від дати прийняття рішення про ліквідацію Фонду до дати початку розрахунків з його учасниками) (далі - інформаційна довідка).</w:t>
            </w:r>
          </w:p>
        </w:tc>
        <w:tc>
          <w:tcPr>
            <w:tcW w:w="3420" w:type="dxa"/>
            <w:shd w:val="clear" w:color="auto" w:fill="auto"/>
          </w:tcPr>
          <w:p w:rsidR="00A94AB7" w:rsidRPr="008D16E0" w:rsidRDefault="00A94AB7" w:rsidP="00E44C9F">
            <w:pPr>
              <w:pStyle w:val="ac"/>
              <w:rPr>
                <w:sz w:val="22"/>
                <w:szCs w:val="22"/>
              </w:rPr>
            </w:pPr>
            <w:r w:rsidRPr="008D16E0">
              <w:rPr>
                <w:sz w:val="22"/>
                <w:szCs w:val="22"/>
              </w:rPr>
              <w:t>в абзаці першому підпункту 12 слова «засвідчену печаткою Фонду» виключити;</w:t>
            </w:r>
          </w:p>
          <w:p w:rsidR="00A94AB7" w:rsidRPr="008D16E0" w:rsidRDefault="00A94AB7" w:rsidP="00E44C9F">
            <w:pPr>
              <w:pStyle w:val="ac"/>
              <w:ind w:firstLine="720"/>
              <w:rPr>
                <w:sz w:val="22"/>
                <w:szCs w:val="22"/>
              </w:rPr>
            </w:pPr>
          </w:p>
        </w:tc>
        <w:tc>
          <w:tcPr>
            <w:tcW w:w="5940" w:type="dxa"/>
            <w:shd w:val="clear" w:color="auto" w:fill="auto"/>
          </w:tcPr>
          <w:p w:rsidR="00A94AB7" w:rsidRPr="008D16E0" w:rsidRDefault="00A94AB7" w:rsidP="00E44C9F">
            <w:pPr>
              <w:pStyle w:val="3"/>
              <w:spacing w:before="0" w:after="0"/>
              <w:jc w:val="both"/>
              <w:rPr>
                <w:rFonts w:ascii="Times New Roman" w:hAnsi="Times New Roman" w:cs="Times New Roman"/>
                <w:b w:val="0"/>
                <w:bCs w:val="0"/>
                <w:sz w:val="22"/>
                <w:szCs w:val="22"/>
              </w:rPr>
            </w:pPr>
            <w:r w:rsidRPr="008D16E0">
              <w:rPr>
                <w:rFonts w:ascii="Times New Roman" w:hAnsi="Times New Roman" w:cs="Times New Roman"/>
                <w:b w:val="0"/>
                <w:bCs w:val="0"/>
                <w:sz w:val="22"/>
                <w:szCs w:val="22"/>
              </w:rPr>
              <w:t>12) складає звіт про результати ліквідації Фонду (додаток 1) та в довільній формі інформаційну довідку, підписану головою та членами ліквідаційної комісії із зазначенням дати її підписання, щодо причин зменшення загальної вартості чистих активів Фонду понад 10 відсотків (за період від дати прийняття рішення про ліквідацію Фонду до дати початку розрахунків з його учасниками) (далі - інформаційна довідка).</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bCs/>
                <w:sz w:val="22"/>
                <w:szCs w:val="22"/>
              </w:rPr>
            </w:pPr>
          </w:p>
        </w:tc>
        <w:tc>
          <w:tcPr>
            <w:tcW w:w="5760" w:type="dxa"/>
            <w:shd w:val="clear" w:color="auto" w:fill="auto"/>
          </w:tcPr>
          <w:p w:rsidR="00A94AB7" w:rsidRPr="008D16E0" w:rsidRDefault="00A94AB7" w:rsidP="00E44C9F">
            <w:pPr>
              <w:shd w:val="clear" w:color="auto" w:fill="FFFFFF"/>
              <w:spacing w:before="100" w:beforeAutospacing="1" w:after="100" w:afterAutospacing="1"/>
              <w:jc w:val="both"/>
              <w:rPr>
                <w:sz w:val="22"/>
                <w:szCs w:val="22"/>
              </w:rPr>
            </w:pPr>
            <w:r w:rsidRPr="008D16E0">
              <w:rPr>
                <w:b/>
                <w:bCs/>
                <w:sz w:val="22"/>
                <w:szCs w:val="22"/>
              </w:rPr>
              <w:t>IV. Порядок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Фонду у разі припинення Фонду</w:t>
            </w:r>
          </w:p>
        </w:tc>
        <w:tc>
          <w:tcPr>
            <w:tcW w:w="3420" w:type="dxa"/>
            <w:shd w:val="clear" w:color="auto" w:fill="auto"/>
          </w:tcPr>
          <w:p w:rsidR="00A94AB7" w:rsidRPr="008D16E0" w:rsidRDefault="00A94AB7" w:rsidP="00E44C9F">
            <w:pPr>
              <w:shd w:val="clear" w:color="auto" w:fill="FFFFFF"/>
              <w:spacing w:before="100" w:beforeAutospacing="1" w:after="100" w:afterAutospacing="1"/>
              <w:jc w:val="both"/>
              <w:outlineLvl w:val="2"/>
              <w:rPr>
                <w:sz w:val="22"/>
                <w:szCs w:val="22"/>
              </w:rPr>
            </w:pPr>
          </w:p>
        </w:tc>
        <w:tc>
          <w:tcPr>
            <w:tcW w:w="5940" w:type="dxa"/>
            <w:shd w:val="clear" w:color="auto" w:fill="auto"/>
          </w:tcPr>
          <w:p w:rsidR="00A94AB7" w:rsidRPr="008D16E0" w:rsidRDefault="00A94AB7" w:rsidP="00E44C9F">
            <w:pPr>
              <w:shd w:val="clear" w:color="auto" w:fill="FFFFFF"/>
              <w:spacing w:before="100" w:beforeAutospacing="1" w:after="100" w:afterAutospacing="1"/>
              <w:jc w:val="both"/>
              <w:rPr>
                <w:sz w:val="22"/>
                <w:szCs w:val="22"/>
              </w:rPr>
            </w:pPr>
            <w:r w:rsidRPr="008D16E0">
              <w:rPr>
                <w:b/>
                <w:bCs/>
                <w:sz w:val="22"/>
                <w:szCs w:val="22"/>
              </w:rPr>
              <w:t>IV. Порядок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Фонду у разі припинення Фонду</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ab"/>
              <w:spacing w:before="0" w:beforeAutospacing="0" w:after="0" w:afterAutospacing="0"/>
              <w:jc w:val="both"/>
              <w:rPr>
                <w:sz w:val="22"/>
                <w:szCs w:val="22"/>
              </w:rPr>
            </w:pPr>
            <w:r w:rsidRPr="008D16E0">
              <w:rPr>
                <w:sz w:val="22"/>
                <w:szCs w:val="22"/>
              </w:rPr>
              <w:t>1. Для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Фонду у разі ліквідації Фонду ліквідаційна комісія подає до Комісії такі документи:</w:t>
            </w:r>
          </w:p>
          <w:p w:rsidR="00A94AB7" w:rsidRPr="008D16E0" w:rsidRDefault="00A94AB7" w:rsidP="00E44C9F">
            <w:pPr>
              <w:pStyle w:val="ab"/>
              <w:jc w:val="both"/>
              <w:rPr>
                <w:sz w:val="22"/>
                <w:szCs w:val="22"/>
              </w:rPr>
            </w:pPr>
            <w:r w:rsidRPr="008D16E0">
              <w:rPr>
                <w:sz w:val="22"/>
                <w:szCs w:val="22"/>
              </w:rPr>
              <w:t xml:space="preserve">1) заяву про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Фонду, підписану головою ліквідаційної комісії </w:t>
            </w:r>
            <w:r w:rsidRPr="008D16E0">
              <w:rPr>
                <w:b/>
                <w:sz w:val="22"/>
                <w:szCs w:val="22"/>
              </w:rPr>
              <w:t>та засвідчену печаткою Фонду</w:t>
            </w:r>
            <w:r w:rsidRPr="008D16E0">
              <w:rPr>
                <w:sz w:val="22"/>
                <w:szCs w:val="22"/>
              </w:rPr>
              <w:t xml:space="preserve"> (додаток 3);</w:t>
            </w:r>
          </w:p>
          <w:p w:rsidR="00A94AB7" w:rsidRPr="008D16E0" w:rsidRDefault="00A94AB7" w:rsidP="00E44C9F">
            <w:pPr>
              <w:pStyle w:val="ab"/>
              <w:jc w:val="both"/>
              <w:rPr>
                <w:sz w:val="22"/>
                <w:szCs w:val="22"/>
              </w:rPr>
            </w:pPr>
            <w:r w:rsidRPr="008D16E0">
              <w:rPr>
                <w:sz w:val="22"/>
                <w:szCs w:val="22"/>
              </w:rPr>
              <w:t xml:space="preserve">2) довідку, складену в довільній формі, </w:t>
            </w:r>
            <w:r w:rsidRPr="008D16E0">
              <w:rPr>
                <w:b/>
                <w:sz w:val="22"/>
                <w:szCs w:val="22"/>
              </w:rPr>
              <w:t>яка свідчить про публікацію</w:t>
            </w:r>
            <w:r w:rsidRPr="008D16E0">
              <w:rPr>
                <w:sz w:val="22"/>
                <w:szCs w:val="22"/>
              </w:rPr>
              <w:t xml:space="preserve"> Повідомлення про розрахунки (у разі публічного розміщення акцій Фонду), засвідчену підписом голови ліквідаційної комісії </w:t>
            </w:r>
            <w:r w:rsidRPr="008D16E0">
              <w:rPr>
                <w:b/>
                <w:sz w:val="22"/>
                <w:szCs w:val="22"/>
              </w:rPr>
              <w:t>та печаткою Фонду</w:t>
            </w:r>
            <w:r w:rsidRPr="008D16E0">
              <w:rPr>
                <w:sz w:val="22"/>
                <w:szCs w:val="22"/>
              </w:rPr>
              <w:t>;</w:t>
            </w:r>
          </w:p>
          <w:p w:rsidR="00A94AB7" w:rsidRPr="008D16E0" w:rsidRDefault="00A94AB7" w:rsidP="00E44C9F">
            <w:pPr>
              <w:pStyle w:val="ab"/>
              <w:jc w:val="both"/>
              <w:rPr>
                <w:sz w:val="22"/>
                <w:szCs w:val="22"/>
              </w:rPr>
            </w:pPr>
          </w:p>
          <w:p w:rsidR="00A94AB7" w:rsidRPr="008D16E0" w:rsidRDefault="00A94AB7" w:rsidP="00E44C9F">
            <w:pPr>
              <w:pStyle w:val="ab"/>
              <w:jc w:val="both"/>
              <w:rPr>
                <w:sz w:val="22"/>
                <w:szCs w:val="22"/>
              </w:rPr>
            </w:pPr>
          </w:p>
          <w:p w:rsidR="00A94AB7" w:rsidRPr="008D16E0" w:rsidRDefault="00A94AB7" w:rsidP="00E44C9F">
            <w:pPr>
              <w:pStyle w:val="ab"/>
              <w:jc w:val="both"/>
              <w:rPr>
                <w:sz w:val="22"/>
                <w:szCs w:val="22"/>
              </w:rPr>
            </w:pPr>
          </w:p>
          <w:p w:rsidR="00A94AB7" w:rsidRPr="008D16E0" w:rsidRDefault="00A94AB7" w:rsidP="00E44C9F">
            <w:pPr>
              <w:pStyle w:val="ab"/>
              <w:jc w:val="both"/>
              <w:rPr>
                <w:sz w:val="22"/>
                <w:szCs w:val="22"/>
              </w:rPr>
            </w:pPr>
          </w:p>
          <w:p w:rsidR="00A94AB7" w:rsidRPr="008D16E0" w:rsidRDefault="00A94AB7" w:rsidP="00E44C9F">
            <w:pPr>
              <w:pStyle w:val="ab"/>
              <w:jc w:val="both"/>
              <w:rPr>
                <w:sz w:val="22"/>
                <w:szCs w:val="22"/>
              </w:rPr>
            </w:pPr>
          </w:p>
          <w:p w:rsidR="00A94AB7" w:rsidRPr="008D16E0" w:rsidRDefault="00A94AB7" w:rsidP="00E44C9F">
            <w:pPr>
              <w:rPr>
                <w:sz w:val="22"/>
                <w:szCs w:val="22"/>
              </w:rPr>
            </w:pPr>
            <w:r w:rsidRPr="008D16E0">
              <w:rPr>
                <w:sz w:val="22"/>
                <w:szCs w:val="22"/>
              </w:rPr>
              <w:t xml:space="preserve">3) довідку, яка свідчить про персональне повідомлення учасників щодо порядку розрахунків з учасниками, засвідчену підписом голови ліквідаційної комісії </w:t>
            </w:r>
            <w:r w:rsidRPr="008D16E0">
              <w:rPr>
                <w:b/>
                <w:sz w:val="22"/>
                <w:szCs w:val="22"/>
              </w:rPr>
              <w:t>та печаткою Фонду</w:t>
            </w:r>
            <w:r w:rsidRPr="008D16E0">
              <w:rPr>
                <w:sz w:val="22"/>
                <w:szCs w:val="22"/>
              </w:rPr>
              <w:t xml:space="preserve"> (у разі приватного розміщення акцій Фонду);</w:t>
            </w:r>
          </w:p>
          <w:p w:rsidR="00A94AB7" w:rsidRPr="008D16E0" w:rsidRDefault="00A94AB7" w:rsidP="00E44C9F">
            <w:pPr>
              <w:rPr>
                <w:sz w:val="22"/>
                <w:szCs w:val="22"/>
              </w:rPr>
            </w:pPr>
            <w:r w:rsidRPr="008D16E0">
              <w:rPr>
                <w:sz w:val="22"/>
                <w:szCs w:val="22"/>
              </w:rPr>
              <w:t>……………….</w:t>
            </w:r>
          </w:p>
          <w:p w:rsidR="00A94AB7" w:rsidRPr="008D16E0" w:rsidRDefault="00A94AB7" w:rsidP="00E44C9F">
            <w:pPr>
              <w:rPr>
                <w:b/>
                <w:sz w:val="22"/>
                <w:szCs w:val="22"/>
              </w:rPr>
            </w:pPr>
            <w:r w:rsidRPr="008D16E0">
              <w:rPr>
                <w:sz w:val="22"/>
                <w:szCs w:val="22"/>
              </w:rPr>
              <w:t>6) копію балансу Фонду, затвердженого на дату прийняття рішення про ліквідацію Фонду, засвідчену підписами голови ліквідаційної комісії та уповноваженої особи аудитора (аудиторської фірми),</w:t>
            </w:r>
            <w:r w:rsidRPr="008D16E0">
              <w:rPr>
                <w:b/>
                <w:sz w:val="22"/>
                <w:szCs w:val="22"/>
              </w:rPr>
              <w:t xml:space="preserve"> а також печатками Фонду та аудиторської фірми;</w:t>
            </w:r>
          </w:p>
          <w:p w:rsidR="00A94AB7" w:rsidRPr="008D16E0" w:rsidRDefault="00A94AB7" w:rsidP="00E44C9F">
            <w:pPr>
              <w:pStyle w:val="ab"/>
              <w:spacing w:before="0" w:beforeAutospacing="0" w:after="0" w:afterAutospacing="0"/>
              <w:jc w:val="right"/>
              <w:rPr>
                <w:b/>
                <w:sz w:val="22"/>
                <w:szCs w:val="22"/>
              </w:rPr>
            </w:pPr>
          </w:p>
          <w:p w:rsidR="00A94AB7" w:rsidRPr="008D16E0" w:rsidRDefault="00A94AB7" w:rsidP="00E44C9F">
            <w:pPr>
              <w:pStyle w:val="ab"/>
              <w:spacing w:before="0" w:beforeAutospacing="0" w:after="0" w:afterAutospacing="0"/>
              <w:jc w:val="both"/>
              <w:rPr>
                <w:b/>
                <w:sz w:val="22"/>
                <w:szCs w:val="22"/>
              </w:rPr>
            </w:pPr>
            <w:r w:rsidRPr="008D16E0">
              <w:rPr>
                <w:sz w:val="22"/>
                <w:szCs w:val="22"/>
              </w:rPr>
              <w:t>7) копію довідки про вартість чистих активів Фонду, затвердженої на дату прийняття рішення про ліквідацію Фонду, засвідчену підписом голови ліквідаційної комісії</w:t>
            </w:r>
            <w:r w:rsidRPr="008D16E0">
              <w:rPr>
                <w:b/>
                <w:sz w:val="22"/>
                <w:szCs w:val="22"/>
              </w:rPr>
              <w:t xml:space="preserve"> та печаткою Фонду;</w:t>
            </w:r>
          </w:p>
          <w:p w:rsidR="00A94AB7" w:rsidRPr="008D16E0" w:rsidRDefault="00A94AB7" w:rsidP="00E44C9F">
            <w:pPr>
              <w:pStyle w:val="ab"/>
              <w:jc w:val="both"/>
              <w:rPr>
                <w:sz w:val="22"/>
                <w:szCs w:val="22"/>
              </w:rPr>
            </w:pPr>
            <w:r w:rsidRPr="008D16E0">
              <w:rPr>
                <w:sz w:val="22"/>
                <w:szCs w:val="22"/>
              </w:rPr>
              <w:t xml:space="preserve">8) звіт про результати ліквідації Фонду, підписаний усіма членами ліквідаційної комісії </w:t>
            </w:r>
            <w:r w:rsidRPr="008D16E0">
              <w:rPr>
                <w:b/>
                <w:sz w:val="22"/>
                <w:szCs w:val="22"/>
              </w:rPr>
              <w:t>та засвідчений печатками Фонду</w:t>
            </w:r>
            <w:r w:rsidRPr="008D16E0">
              <w:rPr>
                <w:sz w:val="22"/>
                <w:szCs w:val="22"/>
              </w:rPr>
              <w:t xml:space="preserve"> (додаток 1) з доданням інформаційної довідки, передбаченої підпунктом 12 пункту 5 розділу II цього Положення;</w:t>
            </w:r>
          </w:p>
          <w:p w:rsidR="00A94AB7" w:rsidRPr="008D16E0" w:rsidRDefault="00A94AB7" w:rsidP="00E44C9F">
            <w:pPr>
              <w:pStyle w:val="ab"/>
              <w:spacing w:before="0" w:beforeAutospacing="0" w:after="0" w:afterAutospacing="0"/>
              <w:jc w:val="both"/>
              <w:rPr>
                <w:sz w:val="22"/>
                <w:szCs w:val="22"/>
              </w:rPr>
            </w:pPr>
            <w:r w:rsidRPr="008D16E0">
              <w:rPr>
                <w:sz w:val="22"/>
                <w:szCs w:val="22"/>
              </w:rPr>
              <w:t xml:space="preserve">10) копію Договору, укладеного між ліквідаційною комісією та всіма учасниками Фонду, засвідчену підписом голови наглядової ради </w:t>
            </w:r>
            <w:r w:rsidRPr="008D16E0">
              <w:rPr>
                <w:b/>
                <w:sz w:val="22"/>
                <w:szCs w:val="22"/>
              </w:rPr>
              <w:t>та печаткою Фонду</w:t>
            </w:r>
            <w:r w:rsidRPr="008D16E0">
              <w:rPr>
                <w:sz w:val="22"/>
                <w:szCs w:val="22"/>
              </w:rPr>
              <w:t xml:space="preserve">. Подається в разі здійснення розрахунків іншими, ніж кошти, активами Фонду; </w:t>
            </w:r>
          </w:p>
        </w:tc>
        <w:tc>
          <w:tcPr>
            <w:tcW w:w="3420" w:type="dxa"/>
            <w:shd w:val="clear" w:color="auto" w:fill="auto"/>
          </w:tcPr>
          <w:p w:rsidR="00A94AB7" w:rsidRPr="008D16E0" w:rsidRDefault="00A94AB7" w:rsidP="00E44C9F">
            <w:pPr>
              <w:pStyle w:val="ac"/>
              <w:rPr>
                <w:sz w:val="22"/>
                <w:szCs w:val="22"/>
              </w:rPr>
            </w:pPr>
            <w:r w:rsidRPr="008D16E0">
              <w:rPr>
                <w:sz w:val="22"/>
                <w:szCs w:val="22"/>
              </w:rPr>
              <w:lastRenderedPageBreak/>
              <w:t>У пункті 1:</w:t>
            </w:r>
          </w:p>
          <w:p w:rsidR="00A94AB7" w:rsidRPr="008D16E0" w:rsidRDefault="00A94AB7" w:rsidP="00E44C9F">
            <w:pPr>
              <w:pStyle w:val="ac"/>
              <w:tabs>
                <w:tab w:val="left" w:pos="1103"/>
              </w:tabs>
              <w:ind w:firstLine="720"/>
              <w:rPr>
                <w:sz w:val="22"/>
                <w:szCs w:val="22"/>
              </w:rPr>
            </w:pPr>
            <w:r w:rsidRPr="008D16E0">
              <w:rPr>
                <w:sz w:val="22"/>
                <w:szCs w:val="22"/>
              </w:rPr>
              <w:tab/>
            </w: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rPr>
                <w:sz w:val="22"/>
                <w:szCs w:val="22"/>
              </w:rPr>
            </w:pPr>
            <w:r w:rsidRPr="008D16E0">
              <w:rPr>
                <w:sz w:val="22"/>
                <w:szCs w:val="22"/>
              </w:rPr>
              <w:t>У підпункті 1 слова «та засвідчену печаткою Фонду» виключити;</w:t>
            </w: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rPr>
                <w:sz w:val="22"/>
                <w:szCs w:val="22"/>
              </w:rPr>
            </w:pPr>
            <w:r w:rsidRPr="008D16E0">
              <w:rPr>
                <w:sz w:val="22"/>
                <w:szCs w:val="22"/>
              </w:rPr>
              <w:t>підпункт 2 викласти в такій редакції:</w:t>
            </w:r>
          </w:p>
          <w:p w:rsidR="00A94AB7" w:rsidRPr="008D16E0" w:rsidRDefault="00A94AB7" w:rsidP="00E44C9F">
            <w:pPr>
              <w:pStyle w:val="ab"/>
              <w:spacing w:before="0" w:beforeAutospacing="0" w:after="0" w:afterAutospacing="0"/>
              <w:jc w:val="both"/>
              <w:rPr>
                <w:sz w:val="22"/>
                <w:szCs w:val="22"/>
              </w:rPr>
            </w:pPr>
            <w:r w:rsidRPr="008D16E0">
              <w:rPr>
                <w:sz w:val="22"/>
                <w:szCs w:val="22"/>
              </w:rPr>
              <w:t xml:space="preserve">2) довідку, складену в довільній формі, із зазначенням </w:t>
            </w:r>
            <w:r w:rsidRPr="008D16E0">
              <w:rPr>
                <w:rStyle w:val="rvts0"/>
                <w:sz w:val="22"/>
                <w:szCs w:val="22"/>
              </w:rPr>
              <w:t xml:space="preserve">посилання на конкретну веб-сторінку веб-сайту (URL-адреси) компанії з управління активами, а також </w:t>
            </w:r>
            <w:r w:rsidRPr="008D16E0">
              <w:rPr>
                <w:sz w:val="22"/>
                <w:szCs w:val="22"/>
              </w:rPr>
              <w:lastRenderedPageBreak/>
              <w:t>вихідного реєстраційного номеру та дати реєстрації електронного документа в загальнодоступній інформаційній базі даних Комісії про ринок цінних паперів, де розміщено Повідомлення про розрахунки (у разі публічного розміщення акцій Фонду), засвідчену підписом голови ліквідаційної комісії;</w:t>
            </w: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rPr>
                <w:sz w:val="22"/>
                <w:szCs w:val="22"/>
              </w:rPr>
            </w:pPr>
            <w:r w:rsidRPr="008D16E0">
              <w:rPr>
                <w:sz w:val="22"/>
                <w:szCs w:val="22"/>
              </w:rPr>
              <w:t>у підпункті 3 слова «та печаткою Фонду» виключити;</w:t>
            </w: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E5076D" w:rsidRPr="007512DA" w:rsidRDefault="00E5076D" w:rsidP="00E5076D">
            <w:pPr>
              <w:rPr>
                <w:sz w:val="22"/>
                <w:szCs w:val="22"/>
              </w:rPr>
            </w:pPr>
            <w:r w:rsidRPr="007512DA">
              <w:rPr>
                <w:sz w:val="22"/>
                <w:szCs w:val="22"/>
              </w:rPr>
              <w:t>У підпункті 6 слова «уповноваженої особи аудитора (аудиторської фірми), а також печатками Фонду та аудиторської фірми» замінити словами «аудитора аудиторської фірми»;</w:t>
            </w: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b"/>
              <w:spacing w:before="0" w:beforeAutospacing="0" w:after="0" w:afterAutospacing="0"/>
              <w:jc w:val="both"/>
              <w:rPr>
                <w:sz w:val="22"/>
                <w:szCs w:val="22"/>
              </w:rPr>
            </w:pPr>
            <w:r w:rsidRPr="008D16E0">
              <w:rPr>
                <w:sz w:val="22"/>
                <w:szCs w:val="22"/>
              </w:rPr>
              <w:t>У підпункті 7 слова "та печаткою Фонду;" виключити.</w:t>
            </w: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r w:rsidRPr="008D16E0">
              <w:rPr>
                <w:sz w:val="22"/>
                <w:szCs w:val="22"/>
              </w:rPr>
              <w:t>У підпункті 8 слова "та засвідчений печатками Фонду" виключити.</w:t>
            </w: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r w:rsidRPr="008D16E0">
              <w:rPr>
                <w:sz w:val="22"/>
                <w:szCs w:val="22"/>
              </w:rPr>
              <w:t>у підпункті 10 слова «та печаткою Фонду» виключити;</w:t>
            </w:r>
          </w:p>
          <w:p w:rsidR="00A94AB7" w:rsidRPr="008D16E0" w:rsidRDefault="00A94AB7" w:rsidP="00E44C9F">
            <w:pPr>
              <w:pStyle w:val="ac"/>
              <w:rPr>
                <w:sz w:val="22"/>
                <w:szCs w:val="22"/>
              </w:rPr>
            </w:pPr>
          </w:p>
          <w:p w:rsidR="00A94AB7" w:rsidRPr="008D16E0" w:rsidRDefault="00A94AB7" w:rsidP="00E44C9F">
            <w:pPr>
              <w:pStyle w:val="ac"/>
              <w:rPr>
                <w:sz w:val="22"/>
                <w:szCs w:val="22"/>
              </w:rPr>
            </w:pPr>
          </w:p>
        </w:tc>
        <w:tc>
          <w:tcPr>
            <w:tcW w:w="5940" w:type="dxa"/>
            <w:shd w:val="clear" w:color="auto" w:fill="auto"/>
          </w:tcPr>
          <w:p w:rsidR="00A94AB7" w:rsidRPr="008D16E0" w:rsidRDefault="00A94AB7" w:rsidP="00E44C9F">
            <w:pPr>
              <w:pStyle w:val="ab"/>
              <w:spacing w:before="0" w:beforeAutospacing="0" w:after="0" w:afterAutospacing="0"/>
              <w:jc w:val="both"/>
              <w:rPr>
                <w:sz w:val="22"/>
                <w:szCs w:val="22"/>
              </w:rPr>
            </w:pPr>
            <w:r w:rsidRPr="008D16E0">
              <w:rPr>
                <w:sz w:val="22"/>
                <w:szCs w:val="22"/>
              </w:rPr>
              <w:lastRenderedPageBreak/>
              <w:t>1. Для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Фонду у разі ліквідації Фонду ліквідаційна комісія подає до Комісії такі документи:</w:t>
            </w:r>
          </w:p>
          <w:p w:rsidR="00A94AB7" w:rsidRPr="008D16E0" w:rsidRDefault="00A94AB7" w:rsidP="00E44C9F">
            <w:pPr>
              <w:pStyle w:val="ab"/>
              <w:jc w:val="both"/>
              <w:rPr>
                <w:sz w:val="22"/>
                <w:szCs w:val="22"/>
              </w:rPr>
            </w:pPr>
            <w:r w:rsidRPr="008D16E0">
              <w:rPr>
                <w:sz w:val="22"/>
                <w:szCs w:val="22"/>
              </w:rPr>
              <w:t>1) заяву про скасування реєстрації випуску (випусків) акцій Фонду, проспекту (проспектів) емісії акцій Фонду та анулювання свідоцтва (свідоцтв) про реєстрацію випуску (випусків) акцій Фонду, підписану головою ліквідаційної комісії (додаток 3);</w:t>
            </w:r>
          </w:p>
          <w:p w:rsidR="00A94AB7" w:rsidRPr="008D16E0" w:rsidRDefault="00A94AB7" w:rsidP="00E44C9F">
            <w:pPr>
              <w:pStyle w:val="ab"/>
              <w:jc w:val="both"/>
              <w:rPr>
                <w:sz w:val="22"/>
                <w:szCs w:val="22"/>
              </w:rPr>
            </w:pPr>
            <w:r w:rsidRPr="008D16E0">
              <w:rPr>
                <w:sz w:val="22"/>
                <w:szCs w:val="22"/>
              </w:rPr>
              <w:t xml:space="preserve">2) довідку, складену в довільній формі, </w:t>
            </w:r>
            <w:r w:rsidRPr="008D16E0">
              <w:rPr>
                <w:b/>
                <w:sz w:val="22"/>
                <w:szCs w:val="22"/>
              </w:rPr>
              <w:t xml:space="preserve">із зазначенням </w:t>
            </w:r>
            <w:r w:rsidRPr="008D16E0">
              <w:rPr>
                <w:rStyle w:val="rvts0"/>
                <w:b/>
                <w:sz w:val="22"/>
                <w:szCs w:val="22"/>
              </w:rPr>
              <w:t xml:space="preserve">посилання на конкретну веб-сторінку веб-сайту (URL-адреси) компанії з управління активами, а також </w:t>
            </w:r>
            <w:r w:rsidRPr="008D16E0">
              <w:rPr>
                <w:b/>
                <w:sz w:val="22"/>
                <w:szCs w:val="22"/>
              </w:rPr>
              <w:t xml:space="preserve">вихідного реєстраційного номеру та дати реєстрації електронного документа в загальнодоступній інформаційній базі даних Комісії про ринок цінних </w:t>
            </w:r>
            <w:r w:rsidRPr="008D16E0">
              <w:rPr>
                <w:b/>
                <w:sz w:val="22"/>
                <w:szCs w:val="22"/>
              </w:rPr>
              <w:lastRenderedPageBreak/>
              <w:t>паперів, де розміщено П</w:t>
            </w:r>
            <w:r w:rsidRPr="008D16E0">
              <w:rPr>
                <w:sz w:val="22"/>
                <w:szCs w:val="22"/>
              </w:rPr>
              <w:t>овідомлення про розрахунки (у разі публічного розміщення акцій Фонду), засвідчену підписом голови ліквідаційної комісії;</w:t>
            </w:r>
          </w:p>
          <w:p w:rsidR="00A94AB7" w:rsidRPr="008D16E0" w:rsidRDefault="00A94AB7" w:rsidP="00E44C9F">
            <w:pPr>
              <w:pStyle w:val="ab"/>
              <w:jc w:val="both"/>
              <w:rPr>
                <w:sz w:val="22"/>
                <w:szCs w:val="22"/>
              </w:rPr>
            </w:pPr>
          </w:p>
          <w:p w:rsidR="00A94AB7" w:rsidRPr="008D16E0" w:rsidRDefault="00A94AB7" w:rsidP="00E44C9F">
            <w:pPr>
              <w:pStyle w:val="ab"/>
              <w:jc w:val="both"/>
              <w:rPr>
                <w:sz w:val="22"/>
                <w:szCs w:val="22"/>
              </w:rPr>
            </w:pPr>
          </w:p>
          <w:p w:rsidR="00A94AB7" w:rsidRPr="008D16E0" w:rsidRDefault="00A94AB7" w:rsidP="00E44C9F">
            <w:pPr>
              <w:pStyle w:val="ab"/>
              <w:jc w:val="both"/>
              <w:rPr>
                <w:sz w:val="22"/>
                <w:szCs w:val="22"/>
              </w:rPr>
            </w:pPr>
          </w:p>
          <w:p w:rsidR="00A94AB7" w:rsidRPr="00090AC9" w:rsidRDefault="00A94AB7" w:rsidP="00E44C9F">
            <w:pPr>
              <w:pStyle w:val="ab"/>
              <w:jc w:val="both"/>
              <w:rPr>
                <w:sz w:val="22"/>
                <w:szCs w:val="22"/>
              </w:rPr>
            </w:pPr>
            <w:r w:rsidRPr="008D16E0">
              <w:rPr>
                <w:sz w:val="22"/>
                <w:szCs w:val="22"/>
              </w:rPr>
              <w:t xml:space="preserve">3) довідку, яка свідчить про персональне повідомлення учасників щодо порядку розрахунків з учасниками, засвідчену підписом голови ліквідаційної комісії (у разі </w:t>
            </w:r>
            <w:r w:rsidRPr="00090AC9">
              <w:rPr>
                <w:sz w:val="22"/>
                <w:szCs w:val="22"/>
              </w:rPr>
              <w:t>приватного розміщення акцій Фонду);</w:t>
            </w:r>
          </w:p>
          <w:p w:rsidR="00A94AB7" w:rsidRPr="00090AC9" w:rsidRDefault="00A94AB7" w:rsidP="00E44C9F">
            <w:pPr>
              <w:pStyle w:val="ab"/>
              <w:spacing w:before="0" w:beforeAutospacing="0" w:after="0" w:afterAutospacing="0"/>
              <w:jc w:val="both"/>
              <w:rPr>
                <w:sz w:val="22"/>
                <w:szCs w:val="22"/>
              </w:rPr>
            </w:pPr>
            <w:r w:rsidRPr="00090AC9">
              <w:rPr>
                <w:sz w:val="22"/>
                <w:szCs w:val="22"/>
              </w:rPr>
              <w:t>…………………….</w:t>
            </w:r>
          </w:p>
          <w:p w:rsidR="00A94AB7" w:rsidRPr="008D16E0" w:rsidRDefault="00A94AB7" w:rsidP="00E44C9F">
            <w:pPr>
              <w:pStyle w:val="ab"/>
              <w:spacing w:before="0" w:beforeAutospacing="0" w:after="0" w:afterAutospacing="0"/>
              <w:jc w:val="both"/>
              <w:rPr>
                <w:sz w:val="22"/>
                <w:szCs w:val="22"/>
              </w:rPr>
            </w:pPr>
            <w:r w:rsidRPr="00090AC9">
              <w:rPr>
                <w:sz w:val="22"/>
                <w:szCs w:val="22"/>
              </w:rPr>
              <w:t>6) копію балансу Фонду, затвердженого на дату прийняття рішення про ліквідацію Фонду, засвідчену підписами голови ліквідаційної комісії та аудитора аудиторської фірми.</w:t>
            </w: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b/>
                <w:sz w:val="22"/>
                <w:szCs w:val="22"/>
              </w:rPr>
            </w:pPr>
            <w:r w:rsidRPr="008D16E0">
              <w:rPr>
                <w:sz w:val="22"/>
                <w:szCs w:val="22"/>
              </w:rPr>
              <w:t>7) копію довідки про вартість чистих активів Фонду, затвердженої на дату прийняття рішення про ліквідацію Фонду, засвідчену підписом голови ліквідаційної комісії</w:t>
            </w:r>
            <w:r w:rsidRPr="008D16E0">
              <w:rPr>
                <w:b/>
                <w:sz w:val="22"/>
                <w:szCs w:val="22"/>
              </w:rPr>
              <w:t>;</w:t>
            </w:r>
          </w:p>
          <w:p w:rsidR="00A94AB7" w:rsidRPr="008D16E0" w:rsidRDefault="00A94AB7" w:rsidP="00E44C9F">
            <w:pPr>
              <w:pStyle w:val="ab"/>
              <w:jc w:val="both"/>
              <w:rPr>
                <w:sz w:val="22"/>
                <w:szCs w:val="22"/>
              </w:rPr>
            </w:pPr>
            <w:r w:rsidRPr="008D16E0">
              <w:rPr>
                <w:sz w:val="22"/>
                <w:szCs w:val="22"/>
              </w:rPr>
              <w:t>8) звіт про результати ліквідації Фонду, підписаний усіма членами ліквідаційної комісії (додаток 1) з доданням інформаційної довідки, передбаченої підпунктом 12 пункту 5 розділу II цього Положення;</w:t>
            </w:r>
          </w:p>
          <w:p w:rsidR="00A94AB7" w:rsidRPr="008D16E0" w:rsidRDefault="00A94AB7" w:rsidP="00E44C9F">
            <w:pPr>
              <w:pStyle w:val="ab"/>
              <w:spacing w:before="0" w:beforeAutospacing="0" w:after="0" w:afterAutospacing="0"/>
              <w:jc w:val="both"/>
              <w:rPr>
                <w:sz w:val="22"/>
                <w:szCs w:val="22"/>
              </w:rPr>
            </w:pPr>
            <w:r w:rsidRPr="008D16E0">
              <w:rPr>
                <w:sz w:val="22"/>
                <w:szCs w:val="22"/>
              </w:rPr>
              <w:t xml:space="preserve">10) копію Договору, укладеного між ліквідаційною комісією та всіма учасниками Фонду, засвідчену підписом голови наглядової ради. Подається в разі здійснення розрахунків іншими, ніж кошти, активами Фонду; </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5. Комісія протягом п'яти робочих днів з дати винесення Розпорядження про скасування:</w:t>
            </w:r>
          </w:p>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направляє Центральному депозитарію Розпорядження про скасування;</w:t>
            </w:r>
          </w:p>
          <w:p w:rsidR="00A94AB7" w:rsidRPr="008D16E0" w:rsidRDefault="00A94AB7" w:rsidP="00E44C9F">
            <w:pPr>
              <w:shd w:val="clear" w:color="auto" w:fill="FFFFFF"/>
              <w:spacing w:before="100" w:beforeAutospacing="1" w:after="100" w:afterAutospacing="1"/>
              <w:jc w:val="both"/>
              <w:rPr>
                <w:b/>
                <w:sz w:val="22"/>
                <w:szCs w:val="22"/>
              </w:rPr>
            </w:pPr>
            <w:r w:rsidRPr="008D16E0">
              <w:rPr>
                <w:b/>
                <w:sz w:val="22"/>
                <w:szCs w:val="22"/>
              </w:rPr>
              <w:t>розміщує інформацію щодо</w:t>
            </w:r>
            <w:r w:rsidRPr="008D16E0">
              <w:rPr>
                <w:sz w:val="22"/>
                <w:szCs w:val="22"/>
              </w:rPr>
              <w:t xml:space="preserve"> </w:t>
            </w:r>
            <w:r w:rsidRPr="008D16E0">
              <w:rPr>
                <w:b/>
                <w:sz w:val="22"/>
                <w:szCs w:val="22"/>
              </w:rPr>
              <w:t>скасування випуску акцій Фонду на сайті загальнодоступної інформаційної бази даних Комісії;</w:t>
            </w:r>
          </w:p>
          <w:p w:rsidR="00A94AB7" w:rsidRPr="008D16E0" w:rsidRDefault="00A94AB7" w:rsidP="00E44C9F">
            <w:pPr>
              <w:shd w:val="clear" w:color="auto" w:fill="FFFFFF"/>
              <w:spacing w:after="100" w:afterAutospacing="1"/>
              <w:jc w:val="both"/>
              <w:rPr>
                <w:b/>
                <w:sz w:val="22"/>
                <w:szCs w:val="22"/>
              </w:rPr>
            </w:pPr>
            <w:r w:rsidRPr="008D16E0">
              <w:rPr>
                <w:b/>
                <w:sz w:val="22"/>
                <w:szCs w:val="22"/>
              </w:rPr>
              <w:t>публікує Розпорядження про скасування в офіційному друкованому виданні Комісії.</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 xml:space="preserve">       абзац третій викласти в такій редакції:</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 xml:space="preserve">      «оприлюднює Розпорядження про скасування на офіційному веб-сайті Комісії.»;</w:t>
            </w: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 xml:space="preserve">       абзац четвертий виключити</w:t>
            </w:r>
          </w:p>
        </w:tc>
        <w:tc>
          <w:tcPr>
            <w:tcW w:w="5940" w:type="dxa"/>
            <w:shd w:val="clear" w:color="auto" w:fill="auto"/>
          </w:tcPr>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5. Комісія протягом п'яти робочих днів з дати винесення Розпорядження про скасування:</w:t>
            </w:r>
          </w:p>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направляє Центральному депозитарію Розпорядження про скасування;</w:t>
            </w:r>
          </w:p>
          <w:p w:rsidR="00A94AB7" w:rsidRPr="008D16E0" w:rsidRDefault="00A94AB7" w:rsidP="00E44C9F">
            <w:pPr>
              <w:shd w:val="clear" w:color="auto" w:fill="FFFFFF"/>
              <w:spacing w:before="100" w:beforeAutospacing="1" w:after="100" w:afterAutospacing="1"/>
              <w:jc w:val="both"/>
              <w:rPr>
                <w:b/>
                <w:sz w:val="22"/>
                <w:szCs w:val="22"/>
              </w:rPr>
            </w:pPr>
            <w:r w:rsidRPr="008D16E0">
              <w:rPr>
                <w:b/>
                <w:sz w:val="22"/>
                <w:szCs w:val="22"/>
              </w:rPr>
              <w:t>оприлюднює Розпорядження про скасування на офіційному веб-сайті Комісії.</w:t>
            </w:r>
          </w:p>
          <w:p w:rsidR="00A94AB7" w:rsidRPr="008D16E0" w:rsidRDefault="00A94AB7" w:rsidP="00E44C9F">
            <w:pPr>
              <w:shd w:val="clear" w:color="auto" w:fill="FFFFFF"/>
              <w:spacing w:before="100" w:beforeAutospacing="1" w:after="100" w:afterAutospacing="1"/>
              <w:jc w:val="both"/>
              <w:rPr>
                <w:b/>
                <w:sz w:val="22"/>
                <w:szCs w:val="22"/>
              </w:rPr>
            </w:pP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outlineLvl w:val="2"/>
              <w:rPr>
                <w:sz w:val="22"/>
                <w:szCs w:val="22"/>
              </w:rPr>
            </w:pPr>
          </w:p>
        </w:tc>
        <w:tc>
          <w:tcPr>
            <w:tcW w:w="5760" w:type="dxa"/>
            <w:shd w:val="clear" w:color="auto" w:fill="auto"/>
          </w:tcPr>
          <w:p w:rsidR="00A94AB7" w:rsidRPr="008D16E0" w:rsidRDefault="00A94AB7" w:rsidP="00E44C9F">
            <w:pPr>
              <w:shd w:val="clear" w:color="auto" w:fill="FFFFFF"/>
              <w:spacing w:before="100" w:beforeAutospacing="1" w:after="100" w:afterAutospacing="1"/>
              <w:jc w:val="both"/>
              <w:outlineLvl w:val="2"/>
              <w:rPr>
                <w:b/>
                <w:sz w:val="22"/>
                <w:szCs w:val="22"/>
              </w:rPr>
            </w:pPr>
            <w:r w:rsidRPr="008D16E0">
              <w:rPr>
                <w:b/>
                <w:sz w:val="22"/>
                <w:szCs w:val="22"/>
              </w:rPr>
              <w:t>V. Порядок виключення відомостей про Фонд з Реєстру</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tc>
        <w:tc>
          <w:tcPr>
            <w:tcW w:w="5940" w:type="dxa"/>
            <w:shd w:val="clear" w:color="auto" w:fill="auto"/>
          </w:tcPr>
          <w:p w:rsidR="00A94AB7" w:rsidRPr="008D16E0" w:rsidRDefault="00A94AB7" w:rsidP="00E44C9F">
            <w:pPr>
              <w:shd w:val="clear" w:color="auto" w:fill="FFFFFF"/>
              <w:spacing w:before="100" w:beforeAutospacing="1" w:after="100" w:afterAutospacing="1"/>
              <w:jc w:val="both"/>
              <w:outlineLvl w:val="2"/>
              <w:rPr>
                <w:b/>
                <w:bCs/>
                <w:sz w:val="22"/>
                <w:szCs w:val="22"/>
              </w:rPr>
            </w:pPr>
            <w:r w:rsidRPr="008D16E0">
              <w:rPr>
                <w:b/>
                <w:bCs/>
                <w:sz w:val="22"/>
                <w:szCs w:val="22"/>
              </w:rPr>
              <w:t>V. Порядок виключення відомостей про Фонд з Реєстру</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ab"/>
              <w:spacing w:before="0" w:beforeAutospacing="0" w:after="0" w:afterAutospacing="0"/>
              <w:jc w:val="both"/>
              <w:rPr>
                <w:sz w:val="22"/>
                <w:szCs w:val="22"/>
              </w:rPr>
            </w:pPr>
            <w:r w:rsidRPr="008D16E0">
              <w:rPr>
                <w:sz w:val="22"/>
                <w:szCs w:val="22"/>
              </w:rPr>
              <w:t>1. Для виключення відомостей про Фонд з Реєстру ліквідаційна комісія подає до Комісії такі документи:</w:t>
            </w: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r w:rsidRPr="008D16E0">
              <w:rPr>
                <w:sz w:val="22"/>
                <w:szCs w:val="22"/>
              </w:rPr>
              <w:t xml:space="preserve">1) заяву про виключення відомостей про Фонд з Реєстру, підписану головою ліквідаційної комісії Фонду </w:t>
            </w:r>
            <w:r w:rsidRPr="008D16E0">
              <w:rPr>
                <w:b/>
                <w:sz w:val="22"/>
                <w:szCs w:val="22"/>
              </w:rPr>
              <w:t>та засвідчену печаткою Фонду</w:t>
            </w:r>
            <w:r w:rsidRPr="008D16E0">
              <w:rPr>
                <w:sz w:val="22"/>
                <w:szCs w:val="22"/>
              </w:rPr>
              <w:t xml:space="preserve"> (додаток 4);</w:t>
            </w:r>
          </w:p>
          <w:p w:rsidR="00A94AB7" w:rsidRPr="008D16E0" w:rsidRDefault="00A94AB7" w:rsidP="00E44C9F">
            <w:pPr>
              <w:pStyle w:val="ab"/>
              <w:spacing w:before="0" w:beforeAutospacing="0" w:after="0" w:afterAutospacing="0"/>
              <w:jc w:val="both"/>
              <w:rPr>
                <w:sz w:val="22"/>
                <w:szCs w:val="22"/>
              </w:rPr>
            </w:pPr>
            <w:r w:rsidRPr="008D16E0">
              <w:rPr>
                <w:sz w:val="22"/>
                <w:szCs w:val="22"/>
              </w:rPr>
              <w:t>………………………..</w:t>
            </w:r>
          </w:p>
          <w:p w:rsidR="00A94AB7" w:rsidRPr="008D16E0" w:rsidRDefault="00A94AB7" w:rsidP="00E44C9F">
            <w:pPr>
              <w:pStyle w:val="ab"/>
              <w:spacing w:before="0" w:beforeAutospacing="0" w:after="0" w:afterAutospacing="0"/>
              <w:jc w:val="both"/>
              <w:rPr>
                <w:sz w:val="22"/>
                <w:szCs w:val="22"/>
              </w:rPr>
            </w:pPr>
            <w:r w:rsidRPr="008D16E0">
              <w:rPr>
                <w:sz w:val="22"/>
                <w:szCs w:val="22"/>
              </w:rPr>
              <w:t>4) засвідчені підписом голови ліквідаційної комісії</w:t>
            </w:r>
            <w:r w:rsidRPr="008D16E0">
              <w:rPr>
                <w:b/>
                <w:bCs/>
                <w:sz w:val="22"/>
                <w:szCs w:val="22"/>
              </w:rPr>
              <w:t xml:space="preserve"> </w:t>
            </w:r>
            <w:r w:rsidRPr="008D16E0">
              <w:rPr>
                <w:b/>
                <w:sz w:val="22"/>
                <w:szCs w:val="22"/>
              </w:rPr>
              <w:t>та печаткою Фонду</w:t>
            </w:r>
            <w:r w:rsidRPr="008D16E0">
              <w:rPr>
                <w:sz w:val="22"/>
                <w:szCs w:val="22"/>
              </w:rPr>
              <w:t xml:space="preserve"> копії документів банківських(ої) установ(и), що підтверджують закриття рахунків, які були відкриті з метою обслуговування діяльності Фонду.</w:t>
            </w:r>
          </w:p>
        </w:tc>
        <w:tc>
          <w:tcPr>
            <w:tcW w:w="3420" w:type="dxa"/>
            <w:shd w:val="clear" w:color="auto" w:fill="auto"/>
          </w:tcPr>
          <w:p w:rsidR="00A94AB7" w:rsidRPr="008D16E0" w:rsidRDefault="00A94AB7" w:rsidP="00E44C9F">
            <w:pPr>
              <w:pStyle w:val="ac"/>
              <w:ind w:firstLine="720"/>
              <w:rPr>
                <w:sz w:val="22"/>
                <w:szCs w:val="22"/>
              </w:rPr>
            </w:pPr>
            <w:r w:rsidRPr="008D16E0">
              <w:rPr>
                <w:sz w:val="22"/>
                <w:szCs w:val="22"/>
              </w:rPr>
              <w:t>У пункті 1:</w:t>
            </w:r>
          </w:p>
          <w:p w:rsidR="00A94AB7" w:rsidRPr="00A94AB7" w:rsidRDefault="00A94AB7" w:rsidP="00E44C9F">
            <w:pPr>
              <w:pStyle w:val="ac"/>
              <w:ind w:firstLine="72"/>
              <w:rPr>
                <w:sz w:val="22"/>
                <w:szCs w:val="22"/>
                <w:lang w:val="ru-RU"/>
              </w:rPr>
            </w:pPr>
          </w:p>
          <w:p w:rsidR="00A94AB7" w:rsidRPr="00A94AB7" w:rsidRDefault="00A94AB7" w:rsidP="00E44C9F">
            <w:pPr>
              <w:pStyle w:val="ac"/>
              <w:ind w:firstLine="72"/>
              <w:rPr>
                <w:sz w:val="22"/>
                <w:szCs w:val="22"/>
                <w:lang w:val="ru-RU"/>
              </w:rPr>
            </w:pPr>
          </w:p>
          <w:p w:rsidR="00A94AB7" w:rsidRPr="008D16E0" w:rsidRDefault="00A94AB7" w:rsidP="00E44C9F">
            <w:pPr>
              <w:pStyle w:val="ac"/>
              <w:ind w:firstLine="72"/>
              <w:rPr>
                <w:sz w:val="22"/>
                <w:szCs w:val="22"/>
              </w:rPr>
            </w:pPr>
            <w:r w:rsidRPr="008D16E0">
              <w:rPr>
                <w:sz w:val="22"/>
                <w:szCs w:val="22"/>
              </w:rPr>
              <w:t>у підпункті 1 слова «та засвідчену печаткою Фонду» виключити;</w:t>
            </w:r>
          </w:p>
          <w:p w:rsidR="00A94AB7" w:rsidRPr="008D16E0" w:rsidRDefault="00A94AB7" w:rsidP="00E44C9F">
            <w:pPr>
              <w:pStyle w:val="ac"/>
              <w:ind w:firstLine="72"/>
              <w:rPr>
                <w:sz w:val="22"/>
                <w:szCs w:val="22"/>
              </w:rPr>
            </w:pPr>
          </w:p>
          <w:p w:rsidR="00A94AB7" w:rsidRPr="008D16E0" w:rsidRDefault="00A94AB7" w:rsidP="00E44C9F">
            <w:pPr>
              <w:pStyle w:val="ac"/>
              <w:ind w:firstLine="72"/>
              <w:rPr>
                <w:sz w:val="22"/>
                <w:szCs w:val="22"/>
              </w:rPr>
            </w:pPr>
            <w:r w:rsidRPr="008D16E0">
              <w:rPr>
                <w:sz w:val="22"/>
                <w:szCs w:val="22"/>
              </w:rPr>
              <w:t>у підпункті 4 слова «та печаткою Фонду» виключити;</w:t>
            </w:r>
          </w:p>
          <w:p w:rsidR="00A94AB7" w:rsidRPr="008D16E0" w:rsidRDefault="00A94AB7" w:rsidP="00E44C9F">
            <w:pPr>
              <w:pStyle w:val="ac"/>
              <w:ind w:firstLine="720"/>
              <w:rPr>
                <w:sz w:val="22"/>
                <w:szCs w:val="22"/>
              </w:rPr>
            </w:pPr>
          </w:p>
        </w:tc>
        <w:tc>
          <w:tcPr>
            <w:tcW w:w="5940" w:type="dxa"/>
            <w:shd w:val="clear" w:color="auto" w:fill="auto"/>
          </w:tcPr>
          <w:p w:rsidR="00A94AB7" w:rsidRPr="008D16E0" w:rsidRDefault="00A94AB7" w:rsidP="00E44C9F">
            <w:pPr>
              <w:pStyle w:val="ab"/>
              <w:spacing w:before="0" w:beforeAutospacing="0" w:after="0" w:afterAutospacing="0"/>
              <w:jc w:val="both"/>
              <w:rPr>
                <w:sz w:val="22"/>
                <w:szCs w:val="22"/>
              </w:rPr>
            </w:pPr>
            <w:r w:rsidRPr="008D16E0">
              <w:rPr>
                <w:sz w:val="22"/>
                <w:szCs w:val="22"/>
              </w:rPr>
              <w:t>1. Для виключення відомостей про Фонд з Реєстру ліквідаційна комісія подає до Комісії такі документи:</w:t>
            </w: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r w:rsidRPr="008D16E0">
              <w:rPr>
                <w:sz w:val="22"/>
                <w:szCs w:val="22"/>
              </w:rPr>
              <w:t>1) заяву про виключення відомостей про Фонд з Реєстру, підписану головою ліквідаційної комісії Фонду (додаток 4);</w:t>
            </w:r>
          </w:p>
          <w:p w:rsidR="00A94AB7" w:rsidRPr="008D16E0" w:rsidRDefault="00A94AB7" w:rsidP="00E44C9F">
            <w:pPr>
              <w:pStyle w:val="ab"/>
              <w:spacing w:before="0" w:beforeAutospacing="0" w:after="0" w:afterAutospacing="0"/>
              <w:jc w:val="both"/>
              <w:rPr>
                <w:sz w:val="22"/>
                <w:szCs w:val="22"/>
              </w:rPr>
            </w:pPr>
            <w:r w:rsidRPr="008D16E0">
              <w:rPr>
                <w:sz w:val="22"/>
                <w:szCs w:val="22"/>
              </w:rPr>
              <w:t>………………………..</w:t>
            </w:r>
          </w:p>
          <w:p w:rsidR="00A94AB7" w:rsidRPr="008D16E0" w:rsidRDefault="00A94AB7" w:rsidP="00E44C9F">
            <w:pPr>
              <w:pStyle w:val="ab"/>
              <w:spacing w:before="0" w:beforeAutospacing="0" w:after="0" w:afterAutospacing="0"/>
              <w:jc w:val="both"/>
              <w:rPr>
                <w:sz w:val="22"/>
                <w:szCs w:val="22"/>
              </w:rPr>
            </w:pPr>
            <w:r w:rsidRPr="008D16E0">
              <w:rPr>
                <w:sz w:val="22"/>
                <w:szCs w:val="22"/>
              </w:rPr>
              <w:t>4) засвідчені підписом голови ліквідаційної комісії</w:t>
            </w:r>
            <w:r w:rsidRPr="008D16E0">
              <w:rPr>
                <w:b/>
                <w:bCs/>
                <w:sz w:val="22"/>
                <w:szCs w:val="22"/>
              </w:rPr>
              <w:t xml:space="preserve"> </w:t>
            </w:r>
            <w:r w:rsidRPr="008D16E0">
              <w:rPr>
                <w:sz w:val="22"/>
                <w:szCs w:val="22"/>
              </w:rPr>
              <w:t>копії документів банківських(ої) установ(и), що підтверджують закриття рахунків, які були відкриті з метою обслуговування діяльності Фонду.</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ab"/>
              <w:jc w:val="both"/>
              <w:rPr>
                <w:sz w:val="22"/>
                <w:szCs w:val="22"/>
              </w:rPr>
            </w:pPr>
          </w:p>
        </w:tc>
        <w:tc>
          <w:tcPr>
            <w:tcW w:w="3420" w:type="dxa"/>
            <w:shd w:val="clear" w:color="auto" w:fill="auto"/>
          </w:tcPr>
          <w:p w:rsidR="00A94AB7" w:rsidRPr="008D16E0" w:rsidRDefault="00A94AB7" w:rsidP="00E44C9F">
            <w:pPr>
              <w:pStyle w:val="ac"/>
              <w:ind w:firstLine="72"/>
              <w:rPr>
                <w:sz w:val="22"/>
                <w:szCs w:val="22"/>
              </w:rPr>
            </w:pPr>
            <w:r w:rsidRPr="008D16E0">
              <w:rPr>
                <w:sz w:val="22"/>
                <w:szCs w:val="22"/>
              </w:rPr>
              <w:t>У додатках 1, 3 та 4 літери, слова та знаки «М.П. (за наявності)» виключити.</w:t>
            </w:r>
          </w:p>
          <w:p w:rsidR="00A94AB7" w:rsidRPr="008D16E0" w:rsidRDefault="00A94AB7" w:rsidP="00E44C9F">
            <w:pPr>
              <w:pStyle w:val="ac"/>
              <w:ind w:firstLine="72"/>
              <w:rPr>
                <w:sz w:val="22"/>
                <w:szCs w:val="22"/>
              </w:rPr>
            </w:pPr>
            <w:r w:rsidRPr="008D16E0">
              <w:rPr>
                <w:sz w:val="22"/>
                <w:szCs w:val="22"/>
              </w:rPr>
              <w:t xml:space="preserve">У додатках 2 та 5 літери та знаки «М.П.» виключити. </w:t>
            </w:r>
          </w:p>
        </w:tc>
        <w:tc>
          <w:tcPr>
            <w:tcW w:w="5940" w:type="dxa"/>
            <w:shd w:val="clear" w:color="auto" w:fill="auto"/>
          </w:tcPr>
          <w:p w:rsidR="00A94AB7" w:rsidRPr="008D16E0" w:rsidRDefault="00A94AB7" w:rsidP="00E44C9F">
            <w:pPr>
              <w:pStyle w:val="a7"/>
              <w:jc w:val="both"/>
              <w:rPr>
                <w:sz w:val="22"/>
                <w:szCs w:val="22"/>
                <w:lang w:val="uk-UA"/>
              </w:rPr>
            </w:pP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b/>
                <w:sz w:val="22"/>
                <w:szCs w:val="22"/>
              </w:rPr>
            </w:pPr>
            <w:r w:rsidRPr="008D16E0">
              <w:rPr>
                <w:b/>
                <w:sz w:val="22"/>
                <w:szCs w:val="22"/>
              </w:rPr>
              <w:t>4</w:t>
            </w:r>
          </w:p>
        </w:tc>
        <w:tc>
          <w:tcPr>
            <w:tcW w:w="5760" w:type="dxa"/>
            <w:shd w:val="clear" w:color="auto" w:fill="auto"/>
          </w:tcPr>
          <w:p w:rsidR="00A94AB7" w:rsidRPr="008D16E0" w:rsidRDefault="00A94AB7" w:rsidP="00E44C9F">
            <w:pPr>
              <w:shd w:val="clear" w:color="auto" w:fill="FFFFFF"/>
              <w:spacing w:before="100" w:beforeAutospacing="1" w:after="100" w:afterAutospacing="1"/>
              <w:jc w:val="both"/>
              <w:rPr>
                <w:b/>
                <w:sz w:val="22"/>
                <w:szCs w:val="22"/>
                <w:u w:val="single"/>
              </w:rPr>
            </w:pPr>
            <w:r w:rsidRPr="008D16E0">
              <w:rPr>
                <w:b/>
                <w:sz w:val="22"/>
                <w:szCs w:val="22"/>
                <w:u w:val="single"/>
              </w:rPr>
              <w:t>Положення про порядок припинення пайового інвестиційного фонду, затверджене рішенням Національної комісії з цінних паперів та фондового ринку від 19.11.2013 № 2605, зареєстроване в Міністерстві юстиції України 17.12.2013 за № 2128/24660.</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tc>
        <w:tc>
          <w:tcPr>
            <w:tcW w:w="5940" w:type="dxa"/>
            <w:shd w:val="clear" w:color="auto" w:fill="auto"/>
          </w:tcPr>
          <w:p w:rsidR="00A94AB7" w:rsidRPr="008D16E0" w:rsidRDefault="00A94AB7" w:rsidP="00E44C9F">
            <w:pPr>
              <w:jc w:val="both"/>
              <w:rPr>
                <w:sz w:val="22"/>
                <w:szCs w:val="22"/>
              </w:rPr>
            </w:pPr>
            <w:r w:rsidRPr="008D16E0">
              <w:rPr>
                <w:b/>
                <w:sz w:val="22"/>
                <w:szCs w:val="22"/>
                <w:u w:val="single"/>
              </w:rPr>
              <w:t>Положення про порядок припинення пайового інвестиційного фонду, затверджене рішенням Національної комісії з цінних паперів та фондового ринку від 19.11.2013 № 2605, зареєстроване в Міністерстві юстиції України 17.12.2013 за № 2128/24660.</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outlineLvl w:val="2"/>
              <w:rPr>
                <w:sz w:val="22"/>
                <w:szCs w:val="22"/>
              </w:rPr>
            </w:pPr>
          </w:p>
        </w:tc>
        <w:tc>
          <w:tcPr>
            <w:tcW w:w="5760" w:type="dxa"/>
            <w:shd w:val="clear" w:color="auto" w:fill="auto"/>
          </w:tcPr>
          <w:p w:rsidR="00A94AB7" w:rsidRPr="008D16E0" w:rsidRDefault="00A94AB7" w:rsidP="00E44C9F">
            <w:pPr>
              <w:shd w:val="clear" w:color="auto" w:fill="FFFFFF"/>
              <w:spacing w:before="100" w:beforeAutospacing="1" w:after="100" w:afterAutospacing="1"/>
              <w:jc w:val="both"/>
              <w:outlineLvl w:val="2"/>
              <w:rPr>
                <w:b/>
                <w:sz w:val="22"/>
                <w:szCs w:val="22"/>
              </w:rPr>
            </w:pPr>
            <w:r w:rsidRPr="008D16E0">
              <w:rPr>
                <w:b/>
                <w:sz w:val="22"/>
                <w:szCs w:val="22"/>
              </w:rPr>
              <w:t>I. Загальні положення</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tc>
        <w:tc>
          <w:tcPr>
            <w:tcW w:w="5940" w:type="dxa"/>
            <w:shd w:val="clear" w:color="auto" w:fill="auto"/>
          </w:tcPr>
          <w:p w:rsidR="00A94AB7" w:rsidRPr="008D16E0" w:rsidRDefault="00A94AB7" w:rsidP="00E44C9F">
            <w:pPr>
              <w:jc w:val="both"/>
              <w:rPr>
                <w:b/>
                <w:sz w:val="22"/>
                <w:szCs w:val="22"/>
              </w:rPr>
            </w:pPr>
            <w:r w:rsidRPr="008D16E0">
              <w:rPr>
                <w:b/>
                <w:sz w:val="22"/>
                <w:szCs w:val="22"/>
              </w:rPr>
              <w:t>I. Загальні положення</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shd w:val="clear" w:color="auto" w:fill="FFFFFF"/>
              <w:jc w:val="both"/>
              <w:rPr>
                <w:sz w:val="22"/>
                <w:szCs w:val="22"/>
              </w:rPr>
            </w:pPr>
            <w:r w:rsidRPr="008D16E0">
              <w:rPr>
                <w:sz w:val="22"/>
                <w:szCs w:val="22"/>
              </w:rPr>
              <w:t>2. У цьому Положенні наведені терміни вживаються в таких значеннях: ...</w:t>
            </w:r>
          </w:p>
          <w:p w:rsidR="00A94AB7" w:rsidRPr="008D16E0" w:rsidRDefault="00A94AB7" w:rsidP="00E44C9F">
            <w:pPr>
              <w:shd w:val="clear" w:color="auto" w:fill="FFFFFF"/>
              <w:spacing w:before="120"/>
              <w:jc w:val="both"/>
              <w:rPr>
                <w:b/>
                <w:sz w:val="22"/>
                <w:szCs w:val="22"/>
                <w:u w:val="single"/>
              </w:rPr>
            </w:pPr>
            <w:r w:rsidRPr="008D16E0">
              <w:rPr>
                <w:b/>
                <w:sz w:val="22"/>
                <w:szCs w:val="22"/>
                <w:u w:val="single"/>
              </w:rPr>
              <w:t xml:space="preserve">офіційний друкований орган - одне з офіційних </w:t>
            </w:r>
            <w:r w:rsidRPr="008D16E0">
              <w:rPr>
                <w:b/>
                <w:sz w:val="22"/>
                <w:szCs w:val="22"/>
                <w:u w:val="single"/>
              </w:rPr>
              <w:lastRenderedPageBreak/>
              <w:t>друкованих видань Верховної Ради України, Кабінету Міністрів України або Комісії;</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A94AB7"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lastRenderedPageBreak/>
              <w:t>Абзац п’ятий пункту 2 розділу І виключити.</w:t>
            </w:r>
          </w:p>
        </w:tc>
        <w:tc>
          <w:tcPr>
            <w:tcW w:w="5940" w:type="dxa"/>
            <w:shd w:val="clear" w:color="auto" w:fill="auto"/>
          </w:tcPr>
          <w:p w:rsidR="00A94AB7" w:rsidRPr="008D16E0" w:rsidRDefault="00A94AB7" w:rsidP="00E44C9F">
            <w:pPr>
              <w:jc w:val="both"/>
              <w:rPr>
                <w:b/>
                <w:sz w:val="22"/>
                <w:szCs w:val="22"/>
              </w:rPr>
            </w:pP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ind w:right="16"/>
              <w:jc w:val="both"/>
              <w:rPr>
                <w:b/>
                <w:sz w:val="22"/>
                <w:szCs w:val="22"/>
              </w:rPr>
            </w:pPr>
            <w:r w:rsidRPr="008D16E0">
              <w:rPr>
                <w:sz w:val="22"/>
                <w:szCs w:val="22"/>
              </w:rPr>
              <w:t>10. Документи на двох і більше аркушах, які подаються до Комісії згідно з цим Положенням, повинні бути прошиті та пронумеровані.</w:t>
            </w:r>
          </w:p>
        </w:tc>
        <w:tc>
          <w:tcPr>
            <w:tcW w:w="3420" w:type="dxa"/>
            <w:shd w:val="clear" w:color="auto" w:fill="auto"/>
          </w:tcPr>
          <w:p w:rsidR="00A94AB7" w:rsidRPr="008D16E0" w:rsidRDefault="00A94AB7" w:rsidP="00E44C9F">
            <w:pPr>
              <w:pStyle w:val="ac"/>
              <w:rPr>
                <w:sz w:val="20"/>
              </w:rPr>
            </w:pPr>
            <w:r w:rsidRPr="008D16E0">
              <w:rPr>
                <w:sz w:val="20"/>
              </w:rPr>
              <w:t xml:space="preserve">Пункт 10 доповнити словами: </w:t>
            </w:r>
            <w:r w:rsidRPr="008D16E0">
              <w:rPr>
                <w:b/>
                <w:sz w:val="20"/>
              </w:rPr>
              <w:t>"та засвідчені підписами відповідних уповноважених осіб."</w:t>
            </w:r>
          </w:p>
        </w:tc>
        <w:tc>
          <w:tcPr>
            <w:tcW w:w="5940" w:type="dxa"/>
            <w:shd w:val="clear" w:color="auto" w:fill="auto"/>
          </w:tcPr>
          <w:p w:rsidR="00A94AB7" w:rsidRPr="008D16E0" w:rsidRDefault="00A94AB7" w:rsidP="00E44C9F">
            <w:pPr>
              <w:ind w:right="16"/>
              <w:jc w:val="both"/>
              <w:rPr>
                <w:b/>
                <w:sz w:val="20"/>
                <w:szCs w:val="20"/>
              </w:rPr>
            </w:pPr>
            <w:r w:rsidRPr="008D16E0">
              <w:rPr>
                <w:sz w:val="20"/>
                <w:szCs w:val="20"/>
              </w:rPr>
              <w:t xml:space="preserve">10. Документи на двох і більше аркушах, які подаються до Комісії згідно з цим Положенням, повинні бути прошиті та пронумеровані </w:t>
            </w:r>
            <w:r w:rsidRPr="008D16E0">
              <w:rPr>
                <w:b/>
                <w:sz w:val="20"/>
                <w:szCs w:val="20"/>
              </w:rPr>
              <w:t>та засвідчені підписами відповідних уповноважених осіб</w:t>
            </w:r>
            <w:r w:rsidRPr="008D16E0">
              <w:rPr>
                <w:sz w:val="20"/>
                <w:szCs w:val="20"/>
              </w:rPr>
              <w:t>.</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ind w:right="16"/>
              <w:jc w:val="both"/>
              <w:rPr>
                <w:b/>
                <w:sz w:val="22"/>
                <w:szCs w:val="22"/>
                <w:lang w:val="ru-RU"/>
              </w:rPr>
            </w:pPr>
            <w:r w:rsidRPr="008D16E0">
              <w:rPr>
                <w:b/>
                <w:sz w:val="22"/>
                <w:szCs w:val="22"/>
              </w:rPr>
              <w:t>11. Документи (їх копії), які відповідно до цього Положення подаються до Комісії та мають бути засвідчені печаткою (печатками), потребують такого засвідчення у разі наявності у юридичної особи відповідної(их) печатки (печаток).</w:t>
            </w:r>
          </w:p>
        </w:tc>
        <w:tc>
          <w:tcPr>
            <w:tcW w:w="3420" w:type="dxa"/>
            <w:shd w:val="clear" w:color="auto" w:fill="auto"/>
          </w:tcPr>
          <w:p w:rsidR="00A94AB7" w:rsidRPr="008D16E0" w:rsidRDefault="00A94AB7" w:rsidP="00E44C9F">
            <w:pPr>
              <w:pStyle w:val="ac"/>
              <w:ind w:firstLine="720"/>
              <w:rPr>
                <w:sz w:val="22"/>
                <w:szCs w:val="22"/>
              </w:rPr>
            </w:pPr>
            <w:r w:rsidRPr="008D16E0">
              <w:rPr>
                <w:sz w:val="22"/>
                <w:szCs w:val="22"/>
              </w:rPr>
              <w:t>Пункт 11 виключити.</w:t>
            </w:r>
          </w:p>
          <w:p w:rsidR="00A94AB7" w:rsidRPr="008D16E0" w:rsidRDefault="00A94AB7" w:rsidP="00E44C9F">
            <w:pPr>
              <w:pStyle w:val="ac"/>
              <w:ind w:firstLine="720"/>
              <w:rPr>
                <w:sz w:val="22"/>
                <w:szCs w:val="22"/>
              </w:rPr>
            </w:pPr>
          </w:p>
        </w:tc>
        <w:tc>
          <w:tcPr>
            <w:tcW w:w="5940" w:type="dxa"/>
            <w:shd w:val="clear" w:color="auto" w:fill="auto"/>
          </w:tcPr>
          <w:p w:rsidR="00A94AB7" w:rsidRPr="008D16E0" w:rsidRDefault="00A94AB7" w:rsidP="00E44C9F">
            <w:pPr>
              <w:jc w:val="both"/>
              <w:rPr>
                <w:b/>
                <w:sz w:val="22"/>
                <w:szCs w:val="22"/>
              </w:rPr>
            </w:pP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shd w:val="clear" w:color="auto" w:fill="FFFFFF"/>
              <w:spacing w:before="100" w:beforeAutospacing="1" w:after="100" w:afterAutospacing="1"/>
              <w:jc w:val="both"/>
              <w:rPr>
                <w:b/>
                <w:sz w:val="22"/>
                <w:szCs w:val="22"/>
              </w:rPr>
            </w:pPr>
            <w:r w:rsidRPr="008D16E0">
              <w:rPr>
                <w:b/>
                <w:sz w:val="22"/>
                <w:szCs w:val="22"/>
              </w:rPr>
              <w:t>II. Послідовність дій та організаційних заходів щодо підготовки та проведення ліквідації Фонду у разі прийняття рішення щодо його припинення уповноваженим органом КУА</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tc>
        <w:tc>
          <w:tcPr>
            <w:tcW w:w="5940" w:type="dxa"/>
            <w:shd w:val="clear" w:color="auto" w:fill="auto"/>
          </w:tcPr>
          <w:p w:rsidR="00A94AB7" w:rsidRPr="008D16E0" w:rsidRDefault="00A94AB7" w:rsidP="00E44C9F">
            <w:pPr>
              <w:jc w:val="both"/>
              <w:rPr>
                <w:b/>
                <w:sz w:val="22"/>
                <w:szCs w:val="22"/>
              </w:rPr>
            </w:pPr>
            <w:r w:rsidRPr="008D16E0">
              <w:rPr>
                <w:b/>
                <w:sz w:val="22"/>
                <w:szCs w:val="22"/>
              </w:rPr>
              <w:t>II. Послідовність дій та організаційних заходів щодо підготовки та проведення ліквідації Фонду у разі прийняття рішення щодо його припинення уповноваженим органом КУА</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ab"/>
              <w:jc w:val="both"/>
              <w:rPr>
                <w:sz w:val="22"/>
                <w:szCs w:val="22"/>
              </w:rPr>
            </w:pPr>
            <w:r w:rsidRPr="008D16E0">
              <w:rPr>
                <w:sz w:val="22"/>
                <w:szCs w:val="22"/>
              </w:rPr>
              <w:t xml:space="preserve">3. Рішення про ліквідацію Фонду оформлюється протоколом або іншим документом уповноваженого органу КУА, який повинен бути засвідчений підписами представників уповноваженого органу КУА </w:t>
            </w:r>
            <w:r w:rsidRPr="008D16E0">
              <w:rPr>
                <w:b/>
                <w:sz w:val="22"/>
                <w:szCs w:val="22"/>
              </w:rPr>
              <w:t>та печаткою КУА</w:t>
            </w:r>
            <w:r w:rsidRPr="008D16E0">
              <w:rPr>
                <w:sz w:val="22"/>
                <w:szCs w:val="22"/>
              </w:rPr>
              <w:t>, а якщо зазначений документ складається з двох і більше аркушів, також прошитий та пронумерований.</w:t>
            </w:r>
          </w:p>
        </w:tc>
        <w:tc>
          <w:tcPr>
            <w:tcW w:w="3420" w:type="dxa"/>
            <w:shd w:val="clear" w:color="auto" w:fill="auto"/>
          </w:tcPr>
          <w:p w:rsidR="00A94AB7" w:rsidRPr="008D16E0" w:rsidRDefault="00A94AB7" w:rsidP="00E44C9F">
            <w:pPr>
              <w:pStyle w:val="ac"/>
              <w:ind w:firstLine="720"/>
              <w:rPr>
                <w:sz w:val="22"/>
                <w:szCs w:val="22"/>
              </w:rPr>
            </w:pPr>
          </w:p>
          <w:p w:rsidR="00A94AB7" w:rsidRPr="008D16E0" w:rsidRDefault="00A94AB7" w:rsidP="00E44C9F">
            <w:pPr>
              <w:pStyle w:val="ac"/>
              <w:rPr>
                <w:sz w:val="22"/>
                <w:szCs w:val="22"/>
              </w:rPr>
            </w:pPr>
            <w:r w:rsidRPr="008D16E0">
              <w:rPr>
                <w:sz w:val="22"/>
                <w:szCs w:val="22"/>
              </w:rPr>
              <w:t>в абзаці першому пункту 3 слова «та печаткою КУА» виключити;</w:t>
            </w:r>
          </w:p>
        </w:tc>
        <w:tc>
          <w:tcPr>
            <w:tcW w:w="5940" w:type="dxa"/>
            <w:shd w:val="clear" w:color="auto" w:fill="auto"/>
          </w:tcPr>
          <w:p w:rsidR="00A94AB7" w:rsidRPr="008D16E0" w:rsidRDefault="00A94AB7" w:rsidP="00E44C9F">
            <w:pPr>
              <w:pStyle w:val="ab"/>
              <w:jc w:val="both"/>
              <w:rPr>
                <w:sz w:val="22"/>
                <w:szCs w:val="22"/>
              </w:rPr>
            </w:pPr>
            <w:r w:rsidRPr="008D16E0">
              <w:rPr>
                <w:sz w:val="22"/>
                <w:szCs w:val="22"/>
              </w:rPr>
              <w:t>3. Рішення про ліквідацію Фонду оформлюється протоколом або іншим документом уповноваженого органу КУА, який повинен бути засвідчений підписами представників уповноваженого органу КУА, а якщо зазначений документ складається з двох і більше аркушів, також прошитий та пронумерований.</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5. Ліквідаційна комісія здійснює такі заходи:</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tc>
        <w:tc>
          <w:tcPr>
            <w:tcW w:w="594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5. Ліквідаційна комісія здійснює такі заходи:</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ab"/>
              <w:jc w:val="both"/>
              <w:rPr>
                <w:sz w:val="22"/>
                <w:szCs w:val="22"/>
              </w:rPr>
            </w:pPr>
            <w:r w:rsidRPr="008D16E0">
              <w:rPr>
                <w:sz w:val="22"/>
                <w:szCs w:val="22"/>
              </w:rPr>
              <w:t>1) у день прийняття рішення про ліквідацію Фонду письмово повідомляє щодо прийнятого рішення про ліквідацію Фонду Комісію, кредиторів КУА Фонду, зберігача активів Фонду (за наявності), Центральний депозитарій, аудитора (аудиторську фірму), оцінювача майна Фонду (у разі укладення договору про надання послуг з оцінки вартості нерухомого майна ІСІ), торговців цінними паперами, які здійснюють розміщення та викуп інвестиційних сертифікатів Фонду, а також інформує фондову біржу (у разі якщо інвестиційні сертифікати Фонду перебувають в обігу на цій фондовій біржі).</w:t>
            </w:r>
          </w:p>
          <w:p w:rsidR="00A94AB7" w:rsidRPr="008D16E0" w:rsidRDefault="00A94AB7" w:rsidP="00E44C9F">
            <w:pPr>
              <w:pStyle w:val="ab"/>
              <w:jc w:val="both"/>
              <w:rPr>
                <w:sz w:val="22"/>
                <w:szCs w:val="22"/>
              </w:rPr>
            </w:pPr>
            <w:r w:rsidRPr="008D16E0">
              <w:rPr>
                <w:sz w:val="22"/>
                <w:szCs w:val="22"/>
              </w:rPr>
              <w:t xml:space="preserve">Зазначене повідомлення засвідчується підписами голови ліквідаційної комісії, уповноваженої посадової особи КУА </w:t>
            </w:r>
            <w:r w:rsidRPr="008D16E0">
              <w:rPr>
                <w:b/>
                <w:sz w:val="22"/>
                <w:szCs w:val="22"/>
              </w:rPr>
              <w:t>та печаткою КУА</w:t>
            </w:r>
            <w:r w:rsidRPr="008D16E0">
              <w:rPr>
                <w:sz w:val="22"/>
                <w:szCs w:val="22"/>
              </w:rPr>
              <w:t>.</w:t>
            </w:r>
          </w:p>
          <w:p w:rsidR="00A94AB7" w:rsidRPr="008D16E0" w:rsidRDefault="00A94AB7" w:rsidP="00E44C9F">
            <w:pPr>
              <w:pStyle w:val="ab"/>
              <w:jc w:val="both"/>
              <w:rPr>
                <w:sz w:val="22"/>
                <w:szCs w:val="22"/>
              </w:rPr>
            </w:pPr>
            <w:r w:rsidRPr="008D16E0">
              <w:rPr>
                <w:sz w:val="22"/>
                <w:szCs w:val="22"/>
              </w:rPr>
              <w:t>…………………………………………..</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lastRenderedPageBreak/>
              <w:t xml:space="preserve">протокол (копія протоколу) або інший документ, який містить рішення про ліквідацію Фонду та причини прийняття такого рішення, засвідчений підписом уповноваженої посадової особи </w:t>
            </w:r>
            <w:r w:rsidRPr="008D16E0">
              <w:rPr>
                <w:b/>
                <w:sz w:val="22"/>
                <w:szCs w:val="22"/>
              </w:rPr>
              <w:t>та печаткою</w:t>
            </w:r>
            <w:r w:rsidRPr="008D16E0">
              <w:rPr>
                <w:sz w:val="22"/>
                <w:szCs w:val="22"/>
              </w:rPr>
              <w:t xml:space="preserve"> КУА;</w:t>
            </w:r>
          </w:p>
        </w:tc>
        <w:tc>
          <w:tcPr>
            <w:tcW w:w="3420" w:type="dxa"/>
            <w:shd w:val="clear" w:color="auto" w:fill="auto"/>
          </w:tcPr>
          <w:p w:rsidR="00A94AB7" w:rsidRPr="008D16E0" w:rsidRDefault="00A94AB7" w:rsidP="00E44C9F">
            <w:pPr>
              <w:pStyle w:val="ac"/>
              <w:ind w:firstLine="720"/>
              <w:rPr>
                <w:sz w:val="22"/>
                <w:szCs w:val="22"/>
              </w:rPr>
            </w:pPr>
            <w:r w:rsidRPr="008D16E0">
              <w:rPr>
                <w:sz w:val="22"/>
                <w:szCs w:val="22"/>
              </w:rPr>
              <w:lastRenderedPageBreak/>
              <w:t>У пункті 5:</w:t>
            </w: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rPr>
                <w:sz w:val="22"/>
                <w:szCs w:val="22"/>
              </w:rPr>
            </w:pPr>
            <w:r w:rsidRPr="008D16E0">
              <w:rPr>
                <w:sz w:val="22"/>
                <w:szCs w:val="22"/>
              </w:rPr>
              <w:t>в абзаці другому підпункту 1 слова «та печаткою КУА» виключити;</w:t>
            </w: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r w:rsidRPr="008D16E0">
              <w:rPr>
                <w:sz w:val="22"/>
                <w:szCs w:val="22"/>
              </w:rPr>
              <w:t xml:space="preserve">в абзаці п'ятому підпункту 1 </w:t>
            </w:r>
            <w:r w:rsidRPr="008D16E0">
              <w:rPr>
                <w:sz w:val="22"/>
                <w:szCs w:val="22"/>
              </w:rPr>
              <w:lastRenderedPageBreak/>
              <w:t>пункту 5 розділу ІІ слова «та печаткою» виключити;</w:t>
            </w:r>
          </w:p>
          <w:p w:rsidR="00A94AB7" w:rsidRPr="008D16E0" w:rsidRDefault="00A94AB7" w:rsidP="00E44C9F">
            <w:pPr>
              <w:pStyle w:val="ab"/>
              <w:spacing w:before="0" w:beforeAutospacing="0" w:after="0" w:afterAutospacing="0"/>
              <w:jc w:val="both"/>
              <w:rPr>
                <w:sz w:val="22"/>
                <w:szCs w:val="22"/>
              </w:rPr>
            </w:pPr>
          </w:p>
        </w:tc>
        <w:tc>
          <w:tcPr>
            <w:tcW w:w="5940" w:type="dxa"/>
            <w:shd w:val="clear" w:color="auto" w:fill="auto"/>
          </w:tcPr>
          <w:p w:rsidR="00A94AB7" w:rsidRPr="008D16E0" w:rsidRDefault="00A94AB7" w:rsidP="00E44C9F">
            <w:pPr>
              <w:pStyle w:val="ab"/>
              <w:spacing w:before="0" w:beforeAutospacing="0" w:after="0" w:afterAutospacing="0"/>
              <w:jc w:val="both"/>
              <w:rPr>
                <w:sz w:val="22"/>
                <w:szCs w:val="22"/>
              </w:rPr>
            </w:pPr>
            <w:r w:rsidRPr="008D16E0">
              <w:rPr>
                <w:sz w:val="22"/>
                <w:szCs w:val="22"/>
              </w:rPr>
              <w:lastRenderedPageBreak/>
              <w:t>1) у день прийняття рішення про ліквідацію Фонду письмово повідомляє щодо прийнятого рішення про ліквідацію Фонду Комісію, кредиторів КУА Фонду, зберігача активів Фонду (за наявності), Центральний депозитарій, аудитора (аудиторську фірму), оцінювача майна Фонду (у разі укладення договору про надання послуг з оцінки вартості нерухомого майна ІСІ), торговців цінними паперами, які здійснюють розміщення та викуп інвестиційних сертифікатів Фонду, а також інформує фондову біржу (у разі якщо інвестиційні сертифікати Фонду перебувають в обігу на цій фондовій біржі).</w:t>
            </w:r>
          </w:p>
          <w:p w:rsidR="00A94AB7" w:rsidRPr="008D16E0" w:rsidRDefault="00A94AB7" w:rsidP="00E44C9F">
            <w:pPr>
              <w:pStyle w:val="ab"/>
              <w:jc w:val="both"/>
              <w:rPr>
                <w:sz w:val="22"/>
                <w:szCs w:val="22"/>
              </w:rPr>
            </w:pPr>
            <w:r w:rsidRPr="008D16E0">
              <w:rPr>
                <w:sz w:val="22"/>
                <w:szCs w:val="22"/>
              </w:rPr>
              <w:t>Зазначене повідомлення засвідчується підписами голови ліквідаційної комісії, уповноваженої посадової особи КУА.</w:t>
            </w:r>
          </w:p>
          <w:p w:rsidR="00A94AB7" w:rsidRPr="008D16E0" w:rsidRDefault="00A94AB7" w:rsidP="00E44C9F">
            <w:pPr>
              <w:pStyle w:val="ab"/>
              <w:spacing w:before="0" w:beforeAutospacing="0" w:after="0" w:afterAutospacing="0"/>
              <w:jc w:val="both"/>
              <w:rPr>
                <w:sz w:val="22"/>
                <w:szCs w:val="22"/>
              </w:rPr>
            </w:pPr>
            <w:r w:rsidRPr="008D16E0">
              <w:rPr>
                <w:sz w:val="22"/>
                <w:szCs w:val="22"/>
              </w:rPr>
              <w:t>…………………………..</w:t>
            </w:r>
          </w:p>
          <w:p w:rsidR="00A94AB7" w:rsidRPr="008D16E0" w:rsidRDefault="00A94AB7" w:rsidP="00E44C9F">
            <w:pPr>
              <w:pStyle w:val="ab"/>
              <w:jc w:val="both"/>
              <w:rPr>
                <w:sz w:val="22"/>
                <w:szCs w:val="22"/>
              </w:rPr>
            </w:pPr>
            <w:r w:rsidRPr="008D16E0">
              <w:rPr>
                <w:sz w:val="22"/>
                <w:szCs w:val="22"/>
              </w:rPr>
              <w:t xml:space="preserve">протокол (копія протоколу) або інший документ, який </w:t>
            </w:r>
            <w:r w:rsidRPr="008D16E0">
              <w:rPr>
                <w:sz w:val="22"/>
                <w:szCs w:val="22"/>
              </w:rPr>
              <w:lastRenderedPageBreak/>
              <w:t>містить рішення про ліквідацію Фонду та причини прийняття такого рішення, засвідчений підписом уповноваженої посадової особи КУА;</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3) протягом п'яти робочих днів з дати прийняття рішення про ліквідацію Фонду:</w:t>
            </w:r>
          </w:p>
          <w:p w:rsidR="00A94AB7" w:rsidRPr="008D16E0" w:rsidRDefault="00A94AB7" w:rsidP="00E44C9F">
            <w:pPr>
              <w:shd w:val="clear" w:color="auto" w:fill="FFFFFF"/>
              <w:spacing w:before="100" w:beforeAutospacing="1" w:after="100" w:afterAutospacing="1"/>
              <w:jc w:val="both"/>
              <w:rPr>
                <w:sz w:val="22"/>
                <w:szCs w:val="22"/>
              </w:rPr>
            </w:pPr>
            <w:r w:rsidRPr="008D16E0">
              <w:rPr>
                <w:b/>
                <w:sz w:val="22"/>
                <w:szCs w:val="22"/>
              </w:rPr>
              <w:t>публікує в офіційному друкованому органі інформацію щодо ліквідації Фонду, порядку та строку пред'явлення кредиторами вимог до Фонду та розміщує зазначену інформацію на сайті загальнодоступної інформаційної бази даних Комісії, а також на сайті КУА;</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Абзац другий підпункту 3 пункту 5 розділу ІІ викласти у такій редакції:</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 xml:space="preserve">     «розміщує інформацію щодо ліквідації Фонду, порядку та строку пред'явлення кредиторами вимог до Фонду в загальнодоступній інформаційній базі даних Комісії про ринок цінних паперів, а також на веб-сайті КУА;»;</w:t>
            </w:r>
          </w:p>
        </w:tc>
        <w:tc>
          <w:tcPr>
            <w:tcW w:w="594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3) протягом п'яти робочих днів з дати прийняття рішення про ліквідацію Фонду:</w:t>
            </w: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b/>
                <w:sz w:val="22"/>
                <w:szCs w:val="22"/>
              </w:rPr>
            </w:pPr>
            <w:r w:rsidRPr="008D16E0">
              <w:rPr>
                <w:b/>
                <w:sz w:val="22"/>
                <w:szCs w:val="22"/>
              </w:rPr>
              <w:t>розміщує інформацію щодо ліквідації Фонду, порядку та строку пред'явлення кредиторами вимог до Фонду в загальнодоступній інформаційній базі даних Комісії про ринок цінних паперів, а також на веб-сайті КУА;</w:t>
            </w:r>
          </w:p>
          <w:p w:rsidR="00A94AB7" w:rsidRPr="008D16E0" w:rsidRDefault="00A94AB7" w:rsidP="00E44C9F">
            <w:pPr>
              <w:shd w:val="clear" w:color="auto" w:fill="FFFFFF"/>
              <w:spacing w:before="100" w:beforeAutospacing="1" w:after="100" w:afterAutospacing="1"/>
              <w:jc w:val="both"/>
              <w:rPr>
                <w:b/>
                <w:sz w:val="22"/>
                <w:szCs w:val="22"/>
              </w:rPr>
            </w:pP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ab"/>
              <w:spacing w:before="0" w:beforeAutospacing="0" w:after="0" w:afterAutospacing="0"/>
              <w:jc w:val="both"/>
              <w:rPr>
                <w:sz w:val="22"/>
                <w:szCs w:val="22"/>
              </w:rPr>
            </w:pPr>
            <w:r w:rsidRPr="008D16E0">
              <w:rPr>
                <w:sz w:val="22"/>
                <w:szCs w:val="22"/>
              </w:rPr>
              <w:t xml:space="preserve">Порядок про розрахунки затверджується ліквідаційною комісією відповідно до положення про ліквідаційну комісію, підписується членами ліквідаційної комісії </w:t>
            </w:r>
            <w:r w:rsidRPr="008D16E0">
              <w:rPr>
                <w:b/>
                <w:sz w:val="22"/>
                <w:szCs w:val="22"/>
              </w:rPr>
              <w:t>та засвідчується печаткою КУА;</w:t>
            </w:r>
          </w:p>
        </w:tc>
        <w:tc>
          <w:tcPr>
            <w:tcW w:w="3420" w:type="dxa"/>
            <w:shd w:val="clear" w:color="auto" w:fill="auto"/>
          </w:tcPr>
          <w:p w:rsidR="00A94AB7" w:rsidRPr="008D16E0" w:rsidRDefault="00A94AB7" w:rsidP="00E44C9F">
            <w:pPr>
              <w:pStyle w:val="ac"/>
              <w:ind w:firstLine="720"/>
              <w:rPr>
                <w:sz w:val="22"/>
                <w:szCs w:val="22"/>
              </w:rPr>
            </w:pPr>
            <w:r w:rsidRPr="008D16E0">
              <w:rPr>
                <w:sz w:val="22"/>
                <w:szCs w:val="22"/>
              </w:rPr>
              <w:t>в абзаці четвертому підпункту 3 пункту 5 слова «та засвідчується печаткою КУА» виключити;</w:t>
            </w:r>
          </w:p>
        </w:tc>
        <w:tc>
          <w:tcPr>
            <w:tcW w:w="5940" w:type="dxa"/>
            <w:shd w:val="clear" w:color="auto" w:fill="auto"/>
          </w:tcPr>
          <w:p w:rsidR="00A94AB7" w:rsidRPr="008D16E0" w:rsidRDefault="00A94AB7" w:rsidP="00E44C9F">
            <w:pPr>
              <w:pStyle w:val="ab"/>
              <w:spacing w:before="0" w:beforeAutospacing="0" w:after="0" w:afterAutospacing="0"/>
              <w:jc w:val="both"/>
              <w:rPr>
                <w:sz w:val="22"/>
                <w:szCs w:val="22"/>
              </w:rPr>
            </w:pPr>
            <w:r w:rsidRPr="008D16E0">
              <w:rPr>
                <w:sz w:val="22"/>
                <w:szCs w:val="22"/>
              </w:rPr>
              <w:t>Порядок про розрахунки затверджується ліквідаційною комісією відповідно до положення про ліквідаційну комісію, підписується членами ліквідаційної комісії;</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st2"/>
              <w:ind w:firstLine="0"/>
              <w:rPr>
                <w:rFonts w:ascii="Times New Roman" w:hAnsi="Times New Roman" w:cs="Times New Roman"/>
                <w:sz w:val="22"/>
                <w:szCs w:val="22"/>
                <w:lang w:val="uk-UA" w:eastAsia="uk-UA"/>
              </w:rPr>
            </w:pPr>
            <w:r w:rsidRPr="008D16E0">
              <w:rPr>
                <w:rFonts w:ascii="Times New Roman" w:hAnsi="Times New Roman" w:cs="Times New Roman"/>
                <w:sz w:val="22"/>
                <w:szCs w:val="22"/>
                <w:lang w:val="uk-UA" w:eastAsia="uk-UA"/>
              </w:rPr>
              <w:t>5) протягом п'яти робочих днів з дати затвердження Порядку про розрахунки повідомляє учасників Фонду про порядок розрахунків з ними у зв'язку з ліквідацією Фонду (далі - Повідомлення про розрахунки) шляхом його:</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b/>
                <w:sz w:val="22"/>
                <w:szCs w:val="22"/>
              </w:rPr>
              <w:t>опублікування в офіційному друкованому органі</w:t>
            </w:r>
            <w:r w:rsidRPr="008D16E0">
              <w:rPr>
                <w:sz w:val="22"/>
                <w:szCs w:val="22"/>
              </w:rPr>
              <w:t>, розміщення на сайті загальнодоступної інформаційної бази даних Комісії, а також на сайті КУА (у разі публічного розміщення інвестиційних сертифікатів Фонду);</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A94AB7"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Абзац другий підпункт 5 пункту 5 розділу ІІ викласти в такій редакції: «розміщення у загальнодоступній інформаційній базі даних Комісії про ринок цінних паперів, а також на веб-сайті КУА (у разі публічного розміщення інвестиційних сертифікатів Фонду);".</w:t>
            </w:r>
          </w:p>
        </w:tc>
        <w:tc>
          <w:tcPr>
            <w:tcW w:w="5940" w:type="dxa"/>
            <w:shd w:val="clear" w:color="auto" w:fill="auto"/>
          </w:tcPr>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5) протягом п'яти робочих днів з дати затвердження Порядку про розрахунки повідомляє учасників Фонду про порядок розрахунків з ними у зв'язку з ліквідацією Фонду (далі - Повідомлення про розрахунки) шляхом його:</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розміщення у загальнодоступній інформаційній базі даних Комісії про ринок цінних паперів, а також на веб-сайті КУА (у разі публічного розміщення інвестиційних сертифікатів Фонду);</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ab"/>
              <w:jc w:val="both"/>
              <w:rPr>
                <w:sz w:val="22"/>
                <w:szCs w:val="22"/>
              </w:rPr>
            </w:pPr>
            <w:r w:rsidRPr="008D16E0">
              <w:rPr>
                <w:sz w:val="22"/>
                <w:szCs w:val="22"/>
              </w:rPr>
              <w:t xml:space="preserve">10) складає звіт про результати ліквідації Фонду (додаток 1) та в довільній формі інформаційну довідку, підписану головою та членами ліквідаційної комісії, </w:t>
            </w:r>
            <w:r w:rsidRPr="008D16E0">
              <w:rPr>
                <w:b/>
                <w:sz w:val="22"/>
                <w:szCs w:val="22"/>
              </w:rPr>
              <w:t>засвідчену печаткою КУА</w:t>
            </w:r>
            <w:r w:rsidRPr="008D16E0">
              <w:rPr>
                <w:sz w:val="22"/>
                <w:szCs w:val="22"/>
              </w:rPr>
              <w:t xml:space="preserve">, із зазначенням дати її підписання щодо причин зменшення загальної вартості чистих активів Фонду понад 10 відсотків (за період від дати прийняття рішення про ліквідацію Фонду до дати початку </w:t>
            </w:r>
            <w:r w:rsidRPr="008D16E0">
              <w:rPr>
                <w:sz w:val="22"/>
                <w:szCs w:val="22"/>
              </w:rPr>
              <w:lastRenderedPageBreak/>
              <w:t>розрахунків з його учасниками).</w:t>
            </w:r>
          </w:p>
        </w:tc>
        <w:tc>
          <w:tcPr>
            <w:tcW w:w="3420" w:type="dxa"/>
            <w:shd w:val="clear" w:color="auto" w:fill="auto"/>
          </w:tcPr>
          <w:p w:rsidR="00A94AB7" w:rsidRPr="008D16E0" w:rsidRDefault="00A94AB7" w:rsidP="00E44C9F">
            <w:pPr>
              <w:pStyle w:val="ac"/>
              <w:rPr>
                <w:sz w:val="22"/>
                <w:szCs w:val="22"/>
              </w:rPr>
            </w:pPr>
            <w:r w:rsidRPr="008D16E0">
              <w:rPr>
                <w:sz w:val="22"/>
                <w:szCs w:val="22"/>
              </w:rPr>
              <w:lastRenderedPageBreak/>
              <w:t>в абзаці першому підпункту 10 слова «засвідчену печаткою КУА» виключити;</w:t>
            </w:r>
          </w:p>
          <w:p w:rsidR="00A94AB7" w:rsidRPr="008D16E0" w:rsidRDefault="00A94AB7" w:rsidP="00E44C9F">
            <w:pPr>
              <w:pStyle w:val="ac"/>
              <w:ind w:firstLine="720"/>
              <w:rPr>
                <w:sz w:val="22"/>
                <w:szCs w:val="22"/>
              </w:rPr>
            </w:pPr>
          </w:p>
        </w:tc>
        <w:tc>
          <w:tcPr>
            <w:tcW w:w="5940" w:type="dxa"/>
            <w:shd w:val="clear" w:color="auto" w:fill="auto"/>
          </w:tcPr>
          <w:p w:rsidR="00A94AB7" w:rsidRPr="008D16E0" w:rsidRDefault="00A94AB7" w:rsidP="00E44C9F">
            <w:pPr>
              <w:pStyle w:val="ab"/>
              <w:jc w:val="both"/>
              <w:rPr>
                <w:sz w:val="22"/>
                <w:szCs w:val="22"/>
              </w:rPr>
            </w:pPr>
            <w:r w:rsidRPr="008D16E0">
              <w:rPr>
                <w:sz w:val="22"/>
                <w:szCs w:val="22"/>
              </w:rPr>
              <w:t>10) складає звіт про результати ліквідації Фонду (додаток 1) та в довільній формі інформаційну довідку, підписану головою та членами ліквідаційної комісії, із зазначенням дати її підписання щодо причин зменшення загальної вартості чистих активів Фонду понад 10 відсотків (за період від дати прийняття рішення про ліквідацію Фонду до дати початку розрахунків з його учасниками).</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ab"/>
              <w:spacing w:before="0" w:beforeAutospacing="0" w:after="0" w:afterAutospacing="0"/>
              <w:jc w:val="both"/>
              <w:rPr>
                <w:sz w:val="22"/>
                <w:szCs w:val="22"/>
              </w:rPr>
            </w:pPr>
            <w:r w:rsidRPr="008D16E0">
              <w:rPr>
                <w:sz w:val="22"/>
                <w:szCs w:val="22"/>
              </w:rPr>
              <w:t>12) у разі якщо форма існування інвестиційних сертифікатів Фонду документарна, на підставі розпорядження Комісії про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забезпечує вилучення та знищення сертифікатів інвестиційних сертифікатів випуску (випусків), що скасований (скасовані) у встановленому уповноваженим органом КУА порядку.</w:t>
            </w:r>
          </w:p>
          <w:p w:rsidR="00A94AB7" w:rsidRPr="008D16E0" w:rsidRDefault="00A94AB7" w:rsidP="00E44C9F">
            <w:pPr>
              <w:pStyle w:val="ab"/>
              <w:spacing w:before="0" w:beforeAutospacing="0" w:after="0" w:afterAutospacing="0"/>
              <w:jc w:val="both"/>
              <w:rPr>
                <w:sz w:val="22"/>
                <w:szCs w:val="22"/>
              </w:rPr>
            </w:pPr>
            <w:r w:rsidRPr="008D16E0">
              <w:rPr>
                <w:sz w:val="22"/>
                <w:szCs w:val="22"/>
              </w:rPr>
              <w:t>……………………..</w:t>
            </w:r>
          </w:p>
          <w:p w:rsidR="00A94AB7" w:rsidRPr="008D16E0" w:rsidRDefault="00A94AB7" w:rsidP="00E44C9F">
            <w:pPr>
              <w:pStyle w:val="ab"/>
              <w:spacing w:before="0" w:beforeAutospacing="0" w:after="0" w:afterAutospacing="0"/>
              <w:jc w:val="both"/>
              <w:rPr>
                <w:sz w:val="22"/>
                <w:szCs w:val="22"/>
              </w:rPr>
            </w:pPr>
            <w:r w:rsidRPr="008D16E0">
              <w:rPr>
                <w:sz w:val="22"/>
                <w:szCs w:val="22"/>
              </w:rPr>
              <w:t xml:space="preserve">Такий акт підписується всіма членами ліквідаційної комісії </w:t>
            </w:r>
            <w:r w:rsidRPr="008D16E0">
              <w:rPr>
                <w:b/>
                <w:sz w:val="22"/>
                <w:szCs w:val="22"/>
              </w:rPr>
              <w:t>та скріплюється печаткою КУА</w:t>
            </w:r>
            <w:r w:rsidRPr="008D16E0">
              <w:rPr>
                <w:sz w:val="22"/>
                <w:szCs w:val="22"/>
              </w:rPr>
              <w:t>;</w:t>
            </w:r>
          </w:p>
        </w:tc>
        <w:tc>
          <w:tcPr>
            <w:tcW w:w="3420" w:type="dxa"/>
            <w:shd w:val="clear" w:color="auto" w:fill="auto"/>
          </w:tcPr>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ind w:firstLine="720"/>
              <w:rPr>
                <w:sz w:val="22"/>
                <w:szCs w:val="22"/>
              </w:rPr>
            </w:pPr>
          </w:p>
          <w:p w:rsidR="00A94AB7" w:rsidRPr="008D16E0" w:rsidRDefault="00A94AB7" w:rsidP="00E44C9F">
            <w:pPr>
              <w:pStyle w:val="ac"/>
              <w:rPr>
                <w:sz w:val="22"/>
                <w:szCs w:val="22"/>
              </w:rPr>
            </w:pPr>
            <w:r w:rsidRPr="008D16E0">
              <w:rPr>
                <w:sz w:val="22"/>
                <w:szCs w:val="22"/>
              </w:rPr>
              <w:t>в абзаці четвертому підпункту 12  пункту 5 слова «та скріплюється печаткою КУА» виключити;</w:t>
            </w:r>
          </w:p>
        </w:tc>
        <w:tc>
          <w:tcPr>
            <w:tcW w:w="5940" w:type="dxa"/>
            <w:shd w:val="clear" w:color="auto" w:fill="auto"/>
          </w:tcPr>
          <w:p w:rsidR="00A94AB7" w:rsidRPr="008D16E0" w:rsidRDefault="00A94AB7" w:rsidP="00E44C9F">
            <w:pPr>
              <w:pStyle w:val="ab"/>
              <w:spacing w:before="0" w:beforeAutospacing="0" w:after="0" w:afterAutospacing="0"/>
              <w:jc w:val="both"/>
              <w:rPr>
                <w:sz w:val="22"/>
                <w:szCs w:val="22"/>
              </w:rPr>
            </w:pPr>
            <w:r w:rsidRPr="008D16E0">
              <w:rPr>
                <w:sz w:val="22"/>
                <w:szCs w:val="22"/>
              </w:rPr>
              <w:t>12) у разі якщо форма існування інвестиційних сертифікатів Фонду документарна, на підставі розпорядження Комісії про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забезпечує вилучення та знищення сертифікатів інвестиційних сертифікатів випуску (випусків), що скасований (скасовані) у встановленому уповноваженим органом КУА порядку.</w:t>
            </w: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r w:rsidRPr="008D16E0">
              <w:rPr>
                <w:sz w:val="22"/>
                <w:szCs w:val="22"/>
              </w:rPr>
              <w:t>…………………..</w:t>
            </w:r>
          </w:p>
          <w:p w:rsidR="00A94AB7" w:rsidRPr="008D16E0" w:rsidRDefault="00A94AB7" w:rsidP="00E44C9F">
            <w:pPr>
              <w:pStyle w:val="ab"/>
              <w:spacing w:before="0" w:beforeAutospacing="0" w:after="0" w:afterAutospacing="0"/>
              <w:jc w:val="both"/>
              <w:rPr>
                <w:sz w:val="22"/>
                <w:szCs w:val="22"/>
              </w:rPr>
            </w:pPr>
            <w:r w:rsidRPr="008D16E0">
              <w:rPr>
                <w:sz w:val="22"/>
                <w:szCs w:val="22"/>
              </w:rPr>
              <w:t>Такий акт підписується всіма членами ліквідаційної комісії;</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bCs/>
                <w:sz w:val="22"/>
                <w:szCs w:val="22"/>
              </w:rPr>
            </w:pPr>
          </w:p>
        </w:tc>
        <w:tc>
          <w:tcPr>
            <w:tcW w:w="5760" w:type="dxa"/>
            <w:shd w:val="clear" w:color="auto" w:fill="auto"/>
          </w:tcPr>
          <w:p w:rsidR="00A94AB7" w:rsidRPr="008D16E0" w:rsidRDefault="00A94AB7" w:rsidP="00E44C9F">
            <w:pPr>
              <w:shd w:val="clear" w:color="auto" w:fill="FFFFFF"/>
              <w:spacing w:before="100" w:beforeAutospacing="1" w:after="100" w:afterAutospacing="1"/>
              <w:jc w:val="both"/>
              <w:rPr>
                <w:b/>
                <w:bCs/>
                <w:sz w:val="22"/>
                <w:szCs w:val="22"/>
              </w:rPr>
            </w:pPr>
            <w:r w:rsidRPr="008D16E0">
              <w:rPr>
                <w:b/>
                <w:bCs/>
                <w:sz w:val="22"/>
                <w:szCs w:val="22"/>
              </w:rPr>
              <w:t>IV. Порядок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tc>
        <w:tc>
          <w:tcPr>
            <w:tcW w:w="5940" w:type="dxa"/>
            <w:shd w:val="clear" w:color="auto" w:fill="auto"/>
          </w:tcPr>
          <w:p w:rsidR="00A94AB7" w:rsidRPr="008D16E0" w:rsidRDefault="00A94AB7" w:rsidP="00E44C9F">
            <w:pPr>
              <w:jc w:val="both"/>
              <w:rPr>
                <w:b/>
                <w:bCs/>
                <w:sz w:val="22"/>
                <w:szCs w:val="22"/>
              </w:rPr>
            </w:pPr>
            <w:r w:rsidRPr="008D16E0">
              <w:rPr>
                <w:b/>
                <w:bCs/>
                <w:sz w:val="22"/>
                <w:szCs w:val="22"/>
              </w:rPr>
              <w:t>IV. Порядок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ab"/>
              <w:spacing w:before="0" w:beforeAutospacing="0" w:after="0" w:afterAutospacing="0"/>
              <w:jc w:val="both"/>
              <w:rPr>
                <w:sz w:val="22"/>
                <w:szCs w:val="22"/>
              </w:rPr>
            </w:pPr>
            <w:r w:rsidRPr="008D16E0">
              <w:rPr>
                <w:sz w:val="22"/>
                <w:szCs w:val="22"/>
              </w:rPr>
              <w:t>1. Для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у разі ліквідації Фонду ліквідаційна комісія або уповноважений орган КУА подає за кожним Фондом окремо такі документи:</w:t>
            </w:r>
          </w:p>
          <w:p w:rsidR="00A94AB7" w:rsidRPr="008D16E0" w:rsidRDefault="00A94AB7" w:rsidP="00E44C9F">
            <w:r w:rsidRPr="008D16E0">
              <w:rPr>
                <w:sz w:val="22"/>
                <w:szCs w:val="22"/>
              </w:rPr>
              <w:t xml:space="preserve">1) заяву про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підписану головою ліквідаційної комісії або уповноваженою особою </w:t>
            </w:r>
            <w:r w:rsidRPr="008D16E0">
              <w:t xml:space="preserve">КУА </w:t>
            </w:r>
            <w:r w:rsidRPr="008D16E0">
              <w:rPr>
                <w:b/>
              </w:rPr>
              <w:t>та засвідчену печаткою КУА</w:t>
            </w:r>
            <w:r w:rsidRPr="008D16E0">
              <w:t xml:space="preserve"> (додаток 2);</w:t>
            </w:r>
          </w:p>
          <w:p w:rsidR="00A94AB7" w:rsidRPr="008D16E0" w:rsidRDefault="00A94AB7" w:rsidP="00E44C9F">
            <w:r w:rsidRPr="008D16E0">
              <w:t>…………..</w:t>
            </w:r>
          </w:p>
          <w:p w:rsidR="00A94AB7" w:rsidRPr="008D16E0" w:rsidRDefault="00A94AB7" w:rsidP="00E44C9F">
            <w:pPr>
              <w:rPr>
                <w:sz w:val="22"/>
                <w:szCs w:val="22"/>
              </w:rPr>
            </w:pPr>
            <w:r w:rsidRPr="008D16E0">
              <w:t>2) довідку, складену</w:t>
            </w:r>
            <w:r w:rsidRPr="008D16E0">
              <w:rPr>
                <w:sz w:val="22"/>
                <w:szCs w:val="22"/>
              </w:rPr>
              <w:t xml:space="preserve"> в довільній формі, </w:t>
            </w:r>
            <w:r w:rsidRPr="008D16E0">
              <w:rPr>
                <w:b/>
                <w:sz w:val="22"/>
                <w:szCs w:val="22"/>
              </w:rPr>
              <w:t xml:space="preserve">яка свідчить про публікацію </w:t>
            </w:r>
            <w:r w:rsidRPr="008D16E0">
              <w:rPr>
                <w:sz w:val="22"/>
                <w:szCs w:val="22"/>
              </w:rPr>
              <w:t xml:space="preserve">Повідомлення про розрахунки з учасниками Фонду (у разі публічного розміщення </w:t>
            </w:r>
            <w:r w:rsidRPr="008D16E0">
              <w:rPr>
                <w:sz w:val="22"/>
                <w:szCs w:val="22"/>
              </w:rPr>
              <w:lastRenderedPageBreak/>
              <w:t>інвестиційних сертифікатів Фонду), засвідчену підписом голови ліквідаційної комісії та печаткою КУА;</w:t>
            </w:r>
          </w:p>
          <w:p w:rsidR="00A94AB7" w:rsidRPr="008D16E0" w:rsidRDefault="00A94AB7" w:rsidP="00E44C9F">
            <w:pPr>
              <w:rPr>
                <w:sz w:val="22"/>
                <w:szCs w:val="22"/>
              </w:rPr>
            </w:pPr>
          </w:p>
          <w:p w:rsidR="00A94AB7" w:rsidRPr="008D16E0" w:rsidRDefault="00A94AB7" w:rsidP="00E44C9F">
            <w:pPr>
              <w:rPr>
                <w:sz w:val="22"/>
                <w:szCs w:val="22"/>
              </w:rPr>
            </w:pPr>
          </w:p>
          <w:p w:rsidR="00A94AB7" w:rsidRPr="008D16E0" w:rsidRDefault="00A94AB7" w:rsidP="00E44C9F">
            <w:pPr>
              <w:rPr>
                <w:sz w:val="22"/>
                <w:szCs w:val="22"/>
              </w:rPr>
            </w:pPr>
          </w:p>
          <w:p w:rsidR="00A94AB7" w:rsidRPr="008D16E0" w:rsidRDefault="00A94AB7" w:rsidP="00E44C9F">
            <w:pPr>
              <w:rPr>
                <w:sz w:val="22"/>
                <w:szCs w:val="22"/>
              </w:rPr>
            </w:pPr>
          </w:p>
          <w:p w:rsidR="00A94AB7" w:rsidRPr="008D16E0" w:rsidRDefault="00A94AB7" w:rsidP="00E44C9F">
            <w:pPr>
              <w:rPr>
                <w:sz w:val="22"/>
                <w:szCs w:val="22"/>
              </w:rPr>
            </w:pPr>
          </w:p>
          <w:p w:rsidR="00A94AB7" w:rsidRPr="008D16E0" w:rsidRDefault="00A94AB7" w:rsidP="00E44C9F">
            <w:pPr>
              <w:rPr>
                <w:sz w:val="22"/>
                <w:szCs w:val="22"/>
              </w:rPr>
            </w:pPr>
          </w:p>
          <w:p w:rsidR="00A94AB7" w:rsidRPr="008D16E0" w:rsidRDefault="00A94AB7" w:rsidP="00E44C9F">
            <w:pPr>
              <w:rPr>
                <w:sz w:val="22"/>
                <w:szCs w:val="22"/>
              </w:rPr>
            </w:pPr>
          </w:p>
          <w:p w:rsidR="00A94AB7" w:rsidRPr="008D16E0" w:rsidRDefault="00A94AB7" w:rsidP="00E44C9F">
            <w:pPr>
              <w:rPr>
                <w:sz w:val="22"/>
                <w:szCs w:val="22"/>
              </w:rPr>
            </w:pPr>
          </w:p>
          <w:p w:rsidR="00A94AB7" w:rsidRPr="008D16E0" w:rsidRDefault="00A94AB7" w:rsidP="00E44C9F">
            <w:pPr>
              <w:rPr>
                <w:sz w:val="22"/>
                <w:szCs w:val="22"/>
              </w:rPr>
            </w:pPr>
          </w:p>
          <w:p w:rsidR="00A94AB7" w:rsidRPr="008D16E0" w:rsidRDefault="00A94AB7" w:rsidP="00E44C9F">
            <w:pPr>
              <w:rPr>
                <w:sz w:val="22"/>
                <w:szCs w:val="22"/>
              </w:rPr>
            </w:pPr>
          </w:p>
          <w:p w:rsidR="00A94AB7" w:rsidRPr="008D16E0" w:rsidRDefault="00A94AB7" w:rsidP="00E44C9F">
            <w:pPr>
              <w:rPr>
                <w:sz w:val="22"/>
                <w:szCs w:val="22"/>
              </w:rPr>
            </w:pPr>
          </w:p>
          <w:p w:rsidR="00A94AB7" w:rsidRPr="008D16E0" w:rsidRDefault="00A94AB7" w:rsidP="00E44C9F">
            <w:pPr>
              <w:pStyle w:val="ab"/>
              <w:jc w:val="both"/>
              <w:rPr>
                <w:sz w:val="22"/>
                <w:szCs w:val="22"/>
              </w:rPr>
            </w:pPr>
            <w:r w:rsidRPr="008D16E0">
              <w:rPr>
                <w:sz w:val="22"/>
                <w:szCs w:val="22"/>
              </w:rPr>
              <w:t xml:space="preserve">3) довідку, яка свідчить про персональне повідомлення учасників про порядок розрахунків з учасниками, засвідчену підписом голови ліквідаційної комісії </w:t>
            </w:r>
            <w:r w:rsidRPr="008D16E0">
              <w:rPr>
                <w:b/>
                <w:sz w:val="22"/>
                <w:szCs w:val="22"/>
              </w:rPr>
              <w:t>та печаткою КУА</w:t>
            </w:r>
            <w:r w:rsidRPr="008D16E0">
              <w:rPr>
                <w:sz w:val="22"/>
                <w:szCs w:val="22"/>
              </w:rPr>
              <w:t xml:space="preserve"> (у разі приватного розміщення інвестиційних сертифікатів Фонду);</w:t>
            </w:r>
          </w:p>
          <w:p w:rsidR="00A94AB7" w:rsidRPr="008D16E0" w:rsidRDefault="00A94AB7" w:rsidP="00E44C9F">
            <w:pPr>
              <w:pStyle w:val="ab"/>
              <w:spacing w:before="0" w:beforeAutospacing="0" w:after="0" w:afterAutospacing="0"/>
              <w:jc w:val="both"/>
              <w:rPr>
                <w:sz w:val="22"/>
                <w:szCs w:val="22"/>
              </w:rPr>
            </w:pPr>
            <w:r w:rsidRPr="008D16E0">
              <w:rPr>
                <w:sz w:val="22"/>
                <w:szCs w:val="22"/>
              </w:rPr>
              <w:t xml:space="preserve">4) довідку КУА щодо переліку учасників Фонду станом на дату прийняття рішення про ліквідацію Фонду із зазначенням частки інвестиційних сертифікатів, які належать кожному учаснику Фонду, від їх загальної кількості, що перебуває в обігу, засвідчену підписом уповноваженої особи </w:t>
            </w:r>
            <w:r w:rsidRPr="008D16E0">
              <w:rPr>
                <w:b/>
                <w:sz w:val="22"/>
                <w:szCs w:val="22"/>
              </w:rPr>
              <w:t>та печаткою</w:t>
            </w:r>
            <w:r w:rsidRPr="008D16E0">
              <w:rPr>
                <w:sz w:val="22"/>
                <w:szCs w:val="22"/>
              </w:rPr>
              <w:t xml:space="preserve"> КУА (подається у разі дострокової ліквідації Фонду або здійснення розрахунків іншими, ніж кошти, активами Фонду);</w:t>
            </w:r>
          </w:p>
          <w:p w:rsidR="00A94AB7" w:rsidRPr="008D16E0" w:rsidRDefault="00A94AB7" w:rsidP="00E44C9F">
            <w:pPr>
              <w:pStyle w:val="ab"/>
              <w:spacing w:before="0" w:beforeAutospacing="0" w:after="0" w:afterAutospacing="0"/>
              <w:jc w:val="both"/>
              <w:rPr>
                <w:sz w:val="22"/>
                <w:szCs w:val="22"/>
              </w:rPr>
            </w:pPr>
            <w:r w:rsidRPr="008D16E0">
              <w:rPr>
                <w:sz w:val="22"/>
                <w:szCs w:val="22"/>
              </w:rPr>
              <w:t>……………………………..</w:t>
            </w:r>
          </w:p>
          <w:p w:rsidR="00A94AB7" w:rsidRPr="008D16E0" w:rsidRDefault="00A94AB7" w:rsidP="00E44C9F">
            <w:pPr>
              <w:pStyle w:val="ab"/>
              <w:spacing w:before="0" w:beforeAutospacing="0" w:after="0" w:afterAutospacing="0"/>
              <w:jc w:val="both"/>
              <w:rPr>
                <w:sz w:val="22"/>
                <w:szCs w:val="22"/>
              </w:rPr>
            </w:pPr>
            <w:r w:rsidRPr="008D16E0">
              <w:rPr>
                <w:sz w:val="22"/>
                <w:szCs w:val="22"/>
              </w:rPr>
              <w:t xml:space="preserve">9) звіт про результати ліквідації Фонду, підписаний усіма членами ліквідаційної комісії </w:t>
            </w:r>
            <w:r w:rsidRPr="008D16E0">
              <w:rPr>
                <w:b/>
                <w:sz w:val="22"/>
                <w:szCs w:val="22"/>
              </w:rPr>
              <w:t>та засвідчений печаткою КУА</w:t>
            </w:r>
            <w:r w:rsidRPr="008D16E0">
              <w:rPr>
                <w:sz w:val="22"/>
                <w:szCs w:val="22"/>
              </w:rPr>
              <w:t xml:space="preserve"> (додаток 1), з доданням інформаційної довідки, передбаченої підпунктом 10 пункту 5 розділу II цього Положення;</w:t>
            </w: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jc w:val="both"/>
              <w:rPr>
                <w:sz w:val="22"/>
                <w:szCs w:val="22"/>
              </w:rPr>
            </w:pPr>
            <w:r w:rsidRPr="008D16E0">
              <w:rPr>
                <w:sz w:val="22"/>
                <w:szCs w:val="22"/>
              </w:rPr>
              <w:t xml:space="preserve">10) копію Договору, укладеного між ліквідаційною комісією та всіма учасниками Фонду, засвідчену підписом голови ліквідаційної комісії </w:t>
            </w:r>
            <w:r w:rsidRPr="008D16E0">
              <w:rPr>
                <w:b/>
                <w:sz w:val="22"/>
                <w:szCs w:val="22"/>
              </w:rPr>
              <w:t>та печаткою КУА</w:t>
            </w:r>
            <w:r w:rsidRPr="008D16E0">
              <w:rPr>
                <w:sz w:val="22"/>
                <w:szCs w:val="22"/>
              </w:rPr>
              <w:t xml:space="preserve"> (подається в разі здійснення розрахунків іншими, ніж кошти, </w:t>
            </w:r>
            <w:r w:rsidRPr="008D16E0">
              <w:rPr>
                <w:sz w:val="22"/>
                <w:szCs w:val="22"/>
              </w:rPr>
              <w:lastRenderedPageBreak/>
              <w:t>активами Фонду);</w:t>
            </w:r>
          </w:p>
          <w:p w:rsidR="00A94AB7" w:rsidRPr="008D16E0" w:rsidRDefault="00A94AB7" w:rsidP="00E44C9F">
            <w:pPr>
              <w:pStyle w:val="ab"/>
              <w:jc w:val="both"/>
              <w:rPr>
                <w:sz w:val="22"/>
                <w:szCs w:val="22"/>
              </w:rPr>
            </w:pPr>
            <w:r w:rsidRPr="008D16E0">
              <w:rPr>
                <w:sz w:val="22"/>
                <w:szCs w:val="22"/>
              </w:rPr>
              <w:t xml:space="preserve">11) копію протоколу або іншого документа, який містить рішення уповноваженого органу КУА щодо змін у складі ліквідаційної комісії (за наявності таких змін), засвідчену підписом уповноваженої особи </w:t>
            </w:r>
            <w:r w:rsidRPr="008D16E0">
              <w:rPr>
                <w:b/>
                <w:sz w:val="22"/>
                <w:szCs w:val="22"/>
              </w:rPr>
              <w:t>та печаткою</w:t>
            </w:r>
            <w:r w:rsidRPr="008D16E0">
              <w:rPr>
                <w:sz w:val="22"/>
                <w:szCs w:val="22"/>
              </w:rPr>
              <w:t xml:space="preserve"> КУА.</w:t>
            </w:r>
          </w:p>
        </w:tc>
        <w:tc>
          <w:tcPr>
            <w:tcW w:w="3420" w:type="dxa"/>
            <w:shd w:val="clear" w:color="auto" w:fill="auto"/>
          </w:tcPr>
          <w:p w:rsidR="00A94AB7" w:rsidRPr="008D16E0" w:rsidRDefault="00A94AB7" w:rsidP="00E44C9F">
            <w:pPr>
              <w:pStyle w:val="ac"/>
              <w:rPr>
                <w:sz w:val="22"/>
                <w:szCs w:val="22"/>
              </w:rPr>
            </w:pPr>
            <w:r w:rsidRPr="008D16E0">
              <w:rPr>
                <w:sz w:val="22"/>
                <w:szCs w:val="22"/>
              </w:rPr>
              <w:lastRenderedPageBreak/>
              <w:t>У пункті 1:</w:t>
            </w: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r w:rsidRPr="008D16E0">
              <w:rPr>
                <w:sz w:val="22"/>
                <w:szCs w:val="22"/>
              </w:rPr>
              <w:t>у підпункті 1 слова «та засвідчену печаткою КУА» виключити;</w:t>
            </w:r>
          </w:p>
          <w:p w:rsidR="00A94AB7" w:rsidRPr="008D16E0" w:rsidRDefault="00A94AB7" w:rsidP="00E44C9F">
            <w:pPr>
              <w:pStyle w:val="ac"/>
              <w:rPr>
                <w:sz w:val="22"/>
                <w:szCs w:val="22"/>
              </w:rPr>
            </w:pPr>
          </w:p>
          <w:p w:rsidR="00A94AB7" w:rsidRPr="008D16E0" w:rsidRDefault="00A94AB7" w:rsidP="00E44C9F">
            <w:pPr>
              <w:pStyle w:val="ac"/>
              <w:rPr>
                <w:sz w:val="22"/>
                <w:szCs w:val="22"/>
              </w:rPr>
            </w:pPr>
            <w:r w:rsidRPr="008D16E0">
              <w:rPr>
                <w:sz w:val="22"/>
                <w:szCs w:val="22"/>
              </w:rPr>
              <w:t>підпункт 2 викласти в такій редакції:</w:t>
            </w:r>
          </w:p>
          <w:p w:rsidR="00A94AB7" w:rsidRPr="008D16E0" w:rsidRDefault="00A94AB7" w:rsidP="00E44C9F">
            <w:pPr>
              <w:pStyle w:val="ab"/>
              <w:spacing w:before="0" w:beforeAutospacing="0" w:after="0" w:afterAutospacing="0"/>
              <w:jc w:val="both"/>
              <w:rPr>
                <w:sz w:val="22"/>
                <w:szCs w:val="22"/>
              </w:rPr>
            </w:pPr>
            <w:r w:rsidRPr="008D16E0">
              <w:rPr>
                <w:sz w:val="22"/>
                <w:szCs w:val="22"/>
              </w:rPr>
              <w:t xml:space="preserve">«2) довідку, складену в довільній формі, </w:t>
            </w:r>
            <w:r w:rsidRPr="008D16E0">
              <w:rPr>
                <w:b/>
                <w:sz w:val="22"/>
                <w:szCs w:val="22"/>
              </w:rPr>
              <w:t xml:space="preserve">із зазначенням </w:t>
            </w:r>
            <w:r w:rsidRPr="008D16E0">
              <w:rPr>
                <w:rStyle w:val="rvts0"/>
                <w:b/>
                <w:sz w:val="22"/>
                <w:szCs w:val="22"/>
              </w:rPr>
              <w:lastRenderedPageBreak/>
              <w:t xml:space="preserve">посилання на конкретну веб-сторінку веб-сайту (URL-адреси) КУА, а також </w:t>
            </w:r>
            <w:r w:rsidRPr="008D16E0">
              <w:rPr>
                <w:b/>
                <w:sz w:val="22"/>
                <w:szCs w:val="22"/>
              </w:rPr>
              <w:t>вихідного реєстраційного номеру та дати реєстрації електронного документа в загальнодоступній інформаційній базі даних Комісії про ринок цінних паперів, де розміщено П</w:t>
            </w:r>
            <w:r w:rsidRPr="008D16E0">
              <w:rPr>
                <w:sz w:val="22"/>
                <w:szCs w:val="22"/>
              </w:rPr>
              <w:t>овідомлення про розрахунки (у разі публічного розміщення інвестиційних сертифікатів Фонду), засвідчену підписом голови ліквідаційної комісії;»;</w:t>
            </w: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r w:rsidRPr="008D16E0">
              <w:rPr>
                <w:sz w:val="22"/>
                <w:szCs w:val="22"/>
              </w:rPr>
              <w:t xml:space="preserve">У підпункті 3 </w:t>
            </w:r>
          </w:p>
          <w:p w:rsidR="00A94AB7" w:rsidRPr="008D16E0" w:rsidRDefault="00A94AB7" w:rsidP="00E44C9F">
            <w:pPr>
              <w:pStyle w:val="ac"/>
              <w:rPr>
                <w:sz w:val="22"/>
                <w:szCs w:val="22"/>
              </w:rPr>
            </w:pPr>
            <w:r w:rsidRPr="008D16E0">
              <w:rPr>
                <w:sz w:val="22"/>
                <w:szCs w:val="22"/>
              </w:rPr>
              <w:t>слова «та печаткою КУА» виключити;</w:t>
            </w: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r w:rsidRPr="008D16E0">
              <w:rPr>
                <w:sz w:val="22"/>
                <w:szCs w:val="22"/>
              </w:rPr>
              <w:t>У підпункті 4 слова «та печаткою» виключити;</w:t>
            </w: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A94AB7" w:rsidRDefault="00A94AB7" w:rsidP="00E44C9F">
            <w:pPr>
              <w:pStyle w:val="ac"/>
              <w:rPr>
                <w:sz w:val="22"/>
                <w:szCs w:val="22"/>
                <w:lang w:val="ru-RU"/>
              </w:rPr>
            </w:pPr>
          </w:p>
          <w:p w:rsidR="00A94AB7" w:rsidRPr="00A94AB7" w:rsidRDefault="00A94AB7" w:rsidP="00E44C9F">
            <w:pPr>
              <w:pStyle w:val="ac"/>
              <w:rPr>
                <w:sz w:val="22"/>
                <w:szCs w:val="22"/>
                <w:lang w:val="ru-RU"/>
              </w:rPr>
            </w:pPr>
          </w:p>
          <w:p w:rsidR="00A94AB7" w:rsidRPr="00A94AB7" w:rsidRDefault="00A94AB7" w:rsidP="00E44C9F">
            <w:pPr>
              <w:pStyle w:val="ac"/>
              <w:rPr>
                <w:sz w:val="22"/>
                <w:szCs w:val="22"/>
                <w:lang w:val="ru-RU"/>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r w:rsidRPr="008D16E0">
              <w:rPr>
                <w:sz w:val="22"/>
                <w:szCs w:val="22"/>
              </w:rPr>
              <w:t>у підпункті 9 слова «та засвідчений печаткою КУА» виключити;</w:t>
            </w: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r w:rsidRPr="008D16E0">
              <w:rPr>
                <w:sz w:val="22"/>
                <w:szCs w:val="22"/>
              </w:rPr>
              <w:t>у підпункті 10 слова «та печаткою КУА» виключити;</w:t>
            </w: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A94AB7" w:rsidRDefault="00A94AB7" w:rsidP="00E44C9F">
            <w:pPr>
              <w:pStyle w:val="ac"/>
              <w:rPr>
                <w:sz w:val="22"/>
                <w:szCs w:val="22"/>
                <w:lang w:val="ru-RU"/>
              </w:rPr>
            </w:pPr>
          </w:p>
          <w:p w:rsidR="00A94AB7" w:rsidRPr="00A94AB7" w:rsidRDefault="00A94AB7" w:rsidP="00E44C9F">
            <w:pPr>
              <w:pStyle w:val="ac"/>
              <w:rPr>
                <w:sz w:val="22"/>
                <w:szCs w:val="22"/>
                <w:lang w:val="ru-RU"/>
              </w:rPr>
            </w:pPr>
          </w:p>
          <w:p w:rsidR="00A94AB7" w:rsidRPr="008D16E0" w:rsidRDefault="00A94AB7" w:rsidP="00E44C9F">
            <w:pPr>
              <w:pStyle w:val="ac"/>
              <w:rPr>
                <w:sz w:val="22"/>
                <w:szCs w:val="22"/>
              </w:rPr>
            </w:pPr>
            <w:r w:rsidRPr="008D16E0">
              <w:rPr>
                <w:sz w:val="22"/>
                <w:szCs w:val="22"/>
              </w:rPr>
              <w:t>у підпункті 11 слова «та печаткою» виключити;</w:t>
            </w:r>
          </w:p>
          <w:p w:rsidR="00A94AB7" w:rsidRPr="008D16E0" w:rsidRDefault="00A94AB7" w:rsidP="00E44C9F">
            <w:pPr>
              <w:pStyle w:val="ac"/>
              <w:rPr>
                <w:sz w:val="22"/>
                <w:szCs w:val="22"/>
              </w:rPr>
            </w:pPr>
          </w:p>
        </w:tc>
        <w:tc>
          <w:tcPr>
            <w:tcW w:w="5940" w:type="dxa"/>
            <w:shd w:val="clear" w:color="auto" w:fill="auto"/>
          </w:tcPr>
          <w:p w:rsidR="00A94AB7" w:rsidRPr="008D16E0" w:rsidRDefault="00A94AB7" w:rsidP="00E44C9F">
            <w:pPr>
              <w:pStyle w:val="ab"/>
              <w:spacing w:before="0" w:beforeAutospacing="0" w:after="0" w:afterAutospacing="0"/>
              <w:jc w:val="both"/>
              <w:rPr>
                <w:sz w:val="22"/>
                <w:szCs w:val="22"/>
              </w:rPr>
            </w:pPr>
            <w:r w:rsidRPr="008D16E0">
              <w:rPr>
                <w:sz w:val="22"/>
                <w:szCs w:val="22"/>
              </w:rPr>
              <w:lastRenderedPageBreak/>
              <w:t>1. Для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у разі ліквідації Фонду ліквідаційна комісія або уповноважений орган КУА подає за кожним Фондом окремо такі документи:</w:t>
            </w:r>
          </w:p>
          <w:p w:rsidR="00A94AB7" w:rsidRPr="008D16E0" w:rsidRDefault="00A94AB7" w:rsidP="00E44C9F">
            <w:pPr>
              <w:pStyle w:val="ab"/>
              <w:spacing w:before="0" w:beforeAutospacing="0" w:after="0" w:afterAutospacing="0"/>
              <w:jc w:val="both"/>
              <w:rPr>
                <w:sz w:val="22"/>
                <w:szCs w:val="22"/>
              </w:rPr>
            </w:pPr>
            <w:r w:rsidRPr="008D16E0">
              <w:rPr>
                <w:sz w:val="22"/>
                <w:szCs w:val="22"/>
              </w:rPr>
              <w:t>1) заяву про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підписану головою ліквідаційної комісії або уповноваженою особою КУА (додаток 2);</w:t>
            </w:r>
          </w:p>
          <w:p w:rsidR="00A94AB7" w:rsidRPr="008D16E0" w:rsidRDefault="00A94AB7" w:rsidP="00E44C9F">
            <w:pPr>
              <w:pStyle w:val="ab"/>
              <w:spacing w:before="0" w:beforeAutospacing="0" w:after="0" w:afterAutospacing="0"/>
              <w:jc w:val="both"/>
              <w:rPr>
                <w:sz w:val="22"/>
                <w:szCs w:val="22"/>
              </w:rPr>
            </w:pPr>
            <w:r w:rsidRPr="008D16E0">
              <w:rPr>
                <w:sz w:val="22"/>
                <w:szCs w:val="22"/>
              </w:rPr>
              <w:t>……………………………..</w:t>
            </w:r>
          </w:p>
          <w:p w:rsidR="00A94AB7" w:rsidRPr="008D16E0" w:rsidRDefault="00A94AB7" w:rsidP="00E44C9F">
            <w:pPr>
              <w:pStyle w:val="ab"/>
              <w:spacing w:before="0" w:beforeAutospacing="0" w:after="0" w:afterAutospacing="0"/>
              <w:jc w:val="both"/>
              <w:rPr>
                <w:sz w:val="22"/>
                <w:szCs w:val="22"/>
              </w:rPr>
            </w:pPr>
            <w:r w:rsidRPr="008D16E0">
              <w:rPr>
                <w:sz w:val="22"/>
                <w:szCs w:val="22"/>
              </w:rPr>
              <w:t xml:space="preserve">2) довідку, складену в довільній формі, </w:t>
            </w:r>
            <w:r w:rsidRPr="008D16E0">
              <w:rPr>
                <w:b/>
                <w:sz w:val="22"/>
                <w:szCs w:val="22"/>
              </w:rPr>
              <w:t xml:space="preserve">із зазначенням </w:t>
            </w:r>
            <w:r w:rsidRPr="008D16E0">
              <w:rPr>
                <w:rStyle w:val="rvts0"/>
                <w:b/>
                <w:sz w:val="22"/>
                <w:szCs w:val="22"/>
              </w:rPr>
              <w:t xml:space="preserve">посилання на конкретну веб-сторінку веб-сайту (URL-адреси) КУА, а також </w:t>
            </w:r>
            <w:r w:rsidRPr="008D16E0">
              <w:rPr>
                <w:b/>
                <w:sz w:val="22"/>
                <w:szCs w:val="22"/>
              </w:rPr>
              <w:t xml:space="preserve">вихідного реєстраційного номеру та дати реєстрації електронного документа в </w:t>
            </w:r>
            <w:r w:rsidRPr="008D16E0">
              <w:rPr>
                <w:b/>
                <w:sz w:val="22"/>
                <w:szCs w:val="22"/>
              </w:rPr>
              <w:lastRenderedPageBreak/>
              <w:t>загальнодоступній інформаційній базі даних Комісії про ринок цінних паперів, де розміщено П</w:t>
            </w:r>
            <w:r w:rsidRPr="008D16E0">
              <w:rPr>
                <w:sz w:val="22"/>
                <w:szCs w:val="22"/>
              </w:rPr>
              <w:t>овідомлення про розрахунки (у разі публічного розміщення інвестиційних сертифікатів Фонду), засвідчену підписом голови ліквідаційної комісії;</w:t>
            </w: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jc w:val="both"/>
              <w:rPr>
                <w:sz w:val="22"/>
                <w:szCs w:val="22"/>
              </w:rPr>
            </w:pPr>
            <w:r w:rsidRPr="008D16E0">
              <w:rPr>
                <w:sz w:val="22"/>
                <w:szCs w:val="22"/>
              </w:rPr>
              <w:t>3) довідку, яка свідчить про персональне повідомлення учасників про порядок розрахунків з учасниками, засвідчену підписом голови ліквідаційної комісії (у разі приватного розміщення інвестиційних сертифікатів Фонду);</w:t>
            </w:r>
          </w:p>
          <w:p w:rsidR="00A94AB7" w:rsidRPr="008D16E0" w:rsidRDefault="00A94AB7" w:rsidP="00E44C9F">
            <w:pPr>
              <w:pStyle w:val="ab"/>
              <w:spacing w:before="0" w:beforeAutospacing="0" w:after="0" w:afterAutospacing="0"/>
              <w:jc w:val="both"/>
              <w:rPr>
                <w:sz w:val="22"/>
                <w:szCs w:val="22"/>
              </w:rPr>
            </w:pPr>
            <w:r w:rsidRPr="008D16E0">
              <w:rPr>
                <w:sz w:val="22"/>
                <w:szCs w:val="22"/>
              </w:rPr>
              <w:t>4) довідку КУА щодо переліку учасників Фонду станом на дату прийняття рішення про ліквідацію Фонду із зазначенням частки інвестиційних сертифікатів, які належать кожному учаснику Фонду, від їх загальної кількості, що перебуває в обігу, засвідчену підписом уповноваженої особи КУА (подається у разі дострокової ліквідації Фонду або здійснення розрахунків іншими, ніж кошти, активами Фонду);</w:t>
            </w: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r w:rsidRPr="008D16E0">
              <w:rPr>
                <w:sz w:val="22"/>
                <w:szCs w:val="22"/>
              </w:rPr>
              <w:t>……………………………</w:t>
            </w:r>
          </w:p>
          <w:p w:rsidR="00A94AB7" w:rsidRPr="008D16E0" w:rsidRDefault="00A94AB7" w:rsidP="00E44C9F">
            <w:pPr>
              <w:pStyle w:val="ab"/>
              <w:spacing w:before="0" w:beforeAutospacing="0" w:after="0" w:afterAutospacing="0"/>
              <w:jc w:val="both"/>
              <w:rPr>
                <w:sz w:val="22"/>
                <w:szCs w:val="22"/>
              </w:rPr>
            </w:pPr>
            <w:r w:rsidRPr="008D16E0">
              <w:rPr>
                <w:sz w:val="22"/>
                <w:szCs w:val="22"/>
              </w:rPr>
              <w:t>9) звіт про результати ліквідації Фонду, підписаний усіма членами ліквідаційної комісії (додаток 1), з доданням інформаційної довідки, передбаченої підпунктом 10 пункту 5 розділу II цього Положення;</w:t>
            </w: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jc w:val="both"/>
              <w:rPr>
                <w:sz w:val="22"/>
                <w:szCs w:val="22"/>
              </w:rPr>
            </w:pPr>
            <w:r w:rsidRPr="008D16E0">
              <w:rPr>
                <w:sz w:val="22"/>
                <w:szCs w:val="22"/>
              </w:rPr>
              <w:t xml:space="preserve">10) копію Договору, укладеного між ліквідаційною комісією та всіма учасниками Фонду, засвідчену підписом голови ліквідаційної комісії (подається в разі здійснення </w:t>
            </w:r>
            <w:r w:rsidRPr="008D16E0">
              <w:rPr>
                <w:sz w:val="22"/>
                <w:szCs w:val="22"/>
              </w:rPr>
              <w:lastRenderedPageBreak/>
              <w:t>розрахунків іншими, ніж кошти, активами Фонду);</w:t>
            </w:r>
          </w:p>
          <w:p w:rsidR="00A94AB7" w:rsidRPr="008D16E0" w:rsidRDefault="00A94AB7" w:rsidP="00E44C9F">
            <w:pPr>
              <w:pStyle w:val="ab"/>
              <w:spacing w:before="0" w:beforeAutospacing="0" w:after="0" w:afterAutospacing="0"/>
              <w:jc w:val="both"/>
              <w:rPr>
                <w:sz w:val="22"/>
                <w:szCs w:val="22"/>
              </w:rPr>
            </w:pPr>
            <w:r w:rsidRPr="008D16E0">
              <w:rPr>
                <w:sz w:val="22"/>
                <w:szCs w:val="22"/>
              </w:rPr>
              <w:t>11) копію протоколу або іншого документа, який містить рішення уповноваженого органу КУА щодо змін у складі ліквідаційної комісії (за наявності таких змін), засвідчену підписом уповноваженої особи КУА.</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ab"/>
              <w:jc w:val="both"/>
              <w:rPr>
                <w:sz w:val="22"/>
                <w:szCs w:val="22"/>
              </w:rPr>
            </w:pPr>
            <w:r w:rsidRPr="008D16E0">
              <w:rPr>
                <w:sz w:val="22"/>
                <w:szCs w:val="22"/>
              </w:rPr>
              <w:t>2. Для скасування реєстрації випуску інвестиційних сертифікатів Фонду, проспекту емісії інвестиційних сертифікатів Фонду та анулювання свідоцтва про реєстрацію випуску інвестиційних сертифікатів Фонду, у разі якщо після реєстрації випуску та проспекту емісії інвестиційних сертифікатів Фонду жоден з інвестиційних сертифікатів не розміщено, ліквідаційна комісія подає такі документи:</w:t>
            </w:r>
          </w:p>
          <w:p w:rsidR="00A94AB7" w:rsidRPr="008D16E0" w:rsidRDefault="00A94AB7" w:rsidP="00E44C9F">
            <w:pPr>
              <w:pStyle w:val="ab"/>
              <w:jc w:val="both"/>
              <w:rPr>
                <w:sz w:val="22"/>
                <w:szCs w:val="22"/>
              </w:rPr>
            </w:pPr>
            <w:r w:rsidRPr="008D16E0">
              <w:rPr>
                <w:sz w:val="22"/>
                <w:szCs w:val="22"/>
              </w:rPr>
              <w:t xml:space="preserve">1) заяву про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підписану головою ліквідаційної комісії </w:t>
            </w:r>
            <w:r w:rsidRPr="008D16E0">
              <w:rPr>
                <w:b/>
                <w:sz w:val="22"/>
                <w:szCs w:val="22"/>
              </w:rPr>
              <w:t>та засвідчену печаткою КУА</w:t>
            </w:r>
            <w:r w:rsidRPr="008D16E0">
              <w:rPr>
                <w:sz w:val="22"/>
                <w:szCs w:val="22"/>
              </w:rPr>
              <w:t xml:space="preserve"> (додаток ;</w:t>
            </w:r>
          </w:p>
          <w:p w:rsidR="00A94AB7" w:rsidRPr="008D16E0" w:rsidRDefault="00A94AB7" w:rsidP="00E44C9F">
            <w:pPr>
              <w:pStyle w:val="ab"/>
              <w:jc w:val="both"/>
              <w:rPr>
                <w:sz w:val="22"/>
                <w:szCs w:val="22"/>
              </w:rPr>
            </w:pPr>
            <w:r w:rsidRPr="008D16E0">
              <w:rPr>
                <w:sz w:val="22"/>
                <w:szCs w:val="22"/>
              </w:rPr>
              <w:t>3) копію балансу Фонду, затвердженого на дату прийняття рішення про ліквідацію Фонду, засвідчену підписами уповноважених осіб КУА, аудитора (аудиторської фірми)</w:t>
            </w:r>
            <w:r w:rsidRPr="008D16E0">
              <w:rPr>
                <w:b/>
                <w:sz w:val="22"/>
                <w:szCs w:val="22"/>
              </w:rPr>
              <w:t xml:space="preserve"> та їх печатками;</w:t>
            </w:r>
          </w:p>
        </w:tc>
        <w:tc>
          <w:tcPr>
            <w:tcW w:w="3420" w:type="dxa"/>
            <w:shd w:val="clear" w:color="auto" w:fill="auto"/>
          </w:tcPr>
          <w:p w:rsidR="00A94AB7" w:rsidRPr="008D16E0" w:rsidRDefault="00A94AB7" w:rsidP="00E44C9F">
            <w:pPr>
              <w:pStyle w:val="ac"/>
              <w:rPr>
                <w:sz w:val="22"/>
                <w:szCs w:val="22"/>
              </w:rPr>
            </w:pPr>
          </w:p>
          <w:p w:rsidR="00A94AB7" w:rsidRPr="00A94AB7" w:rsidRDefault="00A94AB7" w:rsidP="00E44C9F">
            <w:pPr>
              <w:pStyle w:val="ac"/>
              <w:rPr>
                <w:sz w:val="22"/>
                <w:szCs w:val="22"/>
                <w:lang w:val="ru-RU"/>
              </w:rPr>
            </w:pPr>
          </w:p>
          <w:p w:rsidR="00A94AB7" w:rsidRPr="008D16E0" w:rsidRDefault="00A94AB7" w:rsidP="00E44C9F">
            <w:pPr>
              <w:pStyle w:val="ac"/>
              <w:rPr>
                <w:sz w:val="22"/>
                <w:szCs w:val="22"/>
              </w:rPr>
            </w:pPr>
            <w:r w:rsidRPr="008D16E0">
              <w:rPr>
                <w:sz w:val="22"/>
                <w:szCs w:val="22"/>
              </w:rPr>
              <w:t>У пункті 2:</w:t>
            </w: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r w:rsidRPr="008D16E0">
              <w:rPr>
                <w:sz w:val="22"/>
                <w:szCs w:val="22"/>
              </w:rPr>
              <w:t>у підпункті 1 пункту 2 слова «та засвідчену печаткою КУА» виключити;</w:t>
            </w: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8D16E0" w:rsidRDefault="00A94AB7" w:rsidP="00E44C9F">
            <w:pPr>
              <w:pStyle w:val="ac"/>
              <w:rPr>
                <w:sz w:val="22"/>
                <w:szCs w:val="22"/>
              </w:rPr>
            </w:pPr>
          </w:p>
          <w:p w:rsidR="00A94AB7" w:rsidRPr="00E5076D" w:rsidRDefault="009C3D68" w:rsidP="00E44C9F">
            <w:pPr>
              <w:pStyle w:val="ac"/>
              <w:rPr>
                <w:sz w:val="22"/>
                <w:szCs w:val="22"/>
              </w:rPr>
            </w:pPr>
            <w:r w:rsidRPr="00E5076D">
              <w:rPr>
                <w:sz w:val="22"/>
                <w:szCs w:val="22"/>
              </w:rPr>
              <w:t xml:space="preserve">у підпункті 3 </w:t>
            </w:r>
            <w:r>
              <w:rPr>
                <w:sz w:val="22"/>
                <w:szCs w:val="22"/>
              </w:rPr>
              <w:t xml:space="preserve">знак та </w:t>
            </w:r>
            <w:r w:rsidRPr="00E5076D">
              <w:rPr>
                <w:sz w:val="22"/>
                <w:szCs w:val="22"/>
              </w:rPr>
              <w:t xml:space="preserve">слова </w:t>
            </w:r>
            <w:r>
              <w:rPr>
                <w:sz w:val="22"/>
                <w:szCs w:val="22"/>
              </w:rPr>
              <w:t>«</w:t>
            </w:r>
            <w:r w:rsidRPr="00E5076D">
              <w:rPr>
                <w:sz w:val="22"/>
                <w:szCs w:val="22"/>
              </w:rPr>
              <w:t>, аудитора (аудиторської фірми) та їх печатками</w:t>
            </w:r>
            <w:r>
              <w:rPr>
                <w:sz w:val="22"/>
                <w:szCs w:val="22"/>
              </w:rPr>
              <w:t>»</w:t>
            </w:r>
            <w:r w:rsidRPr="00E5076D">
              <w:rPr>
                <w:sz w:val="22"/>
                <w:szCs w:val="22"/>
              </w:rPr>
              <w:t xml:space="preserve"> замінити словами «та аудитора аудиторської фірми»</w:t>
            </w:r>
          </w:p>
        </w:tc>
        <w:tc>
          <w:tcPr>
            <w:tcW w:w="5940" w:type="dxa"/>
            <w:shd w:val="clear" w:color="auto" w:fill="auto"/>
          </w:tcPr>
          <w:p w:rsidR="00A94AB7" w:rsidRPr="008D16E0" w:rsidRDefault="00A94AB7" w:rsidP="00E44C9F">
            <w:pPr>
              <w:pStyle w:val="ab"/>
              <w:jc w:val="both"/>
              <w:rPr>
                <w:sz w:val="22"/>
                <w:szCs w:val="22"/>
              </w:rPr>
            </w:pPr>
            <w:r w:rsidRPr="008D16E0">
              <w:rPr>
                <w:sz w:val="22"/>
                <w:szCs w:val="22"/>
              </w:rPr>
              <w:t>2. Для скасування реєстрації випуску інвестиційних сертифікатів Фонду, проспекту емісії інвестиційних сертифікатів Фонду та анулювання свідоцтва про реєстрацію випуску інвестиційних сертифікатів Фонду, у разі якщо після реєстрації випуску та проспекту емісії інвестиційних сертифікатів Фонду жоден з інвестиційних сертифікатів не розміщено, ліквідаційна комісія подає такі документи:</w:t>
            </w:r>
          </w:p>
          <w:p w:rsidR="00A94AB7" w:rsidRPr="008D16E0" w:rsidRDefault="00A94AB7" w:rsidP="00E44C9F">
            <w:pPr>
              <w:pStyle w:val="ab"/>
              <w:jc w:val="both"/>
              <w:rPr>
                <w:sz w:val="22"/>
                <w:szCs w:val="22"/>
              </w:rPr>
            </w:pPr>
            <w:r w:rsidRPr="008D16E0">
              <w:rPr>
                <w:sz w:val="22"/>
                <w:szCs w:val="22"/>
              </w:rPr>
              <w:t>1) заяву про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підписану головою ліквідаційної комісії (додаток 2);</w:t>
            </w:r>
          </w:p>
          <w:p w:rsidR="00A94AB7" w:rsidRPr="008D16E0" w:rsidRDefault="00A94AB7" w:rsidP="00E44C9F">
            <w:pPr>
              <w:pStyle w:val="ab"/>
              <w:jc w:val="both"/>
              <w:rPr>
                <w:sz w:val="22"/>
                <w:szCs w:val="22"/>
              </w:rPr>
            </w:pPr>
            <w:r w:rsidRPr="00090AC9">
              <w:rPr>
                <w:sz w:val="22"/>
                <w:szCs w:val="22"/>
              </w:rPr>
              <w:t>3) копію балансу Фонду, затвердженого на дату прийняття рішення про ліквідацію Фонду, засвідчену підписами уп</w:t>
            </w:r>
            <w:r w:rsidR="00167B75" w:rsidRPr="00090AC9">
              <w:rPr>
                <w:sz w:val="22"/>
                <w:szCs w:val="22"/>
              </w:rPr>
              <w:t>овноважених осіб КУА</w:t>
            </w:r>
            <w:r w:rsidR="00167B75" w:rsidRPr="00090AC9">
              <w:rPr>
                <w:sz w:val="22"/>
                <w:szCs w:val="22"/>
                <w:lang w:val="ru-RU"/>
              </w:rPr>
              <w:t xml:space="preserve"> </w:t>
            </w:r>
            <w:r w:rsidR="00167B75" w:rsidRPr="00090AC9">
              <w:rPr>
                <w:sz w:val="22"/>
                <w:szCs w:val="22"/>
              </w:rPr>
              <w:t>та</w:t>
            </w:r>
            <w:r w:rsidRPr="00090AC9">
              <w:rPr>
                <w:sz w:val="22"/>
                <w:szCs w:val="22"/>
              </w:rPr>
              <w:t xml:space="preserve"> аудитора аудиторської фірми;</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5. ….</w:t>
            </w:r>
          </w:p>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Комісія протягом п'яти робочих днів з дати винесення Розпорядження про скасування:</w:t>
            </w:r>
          </w:p>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направляє Центральному депозитарію Розпорядження про скасування;</w:t>
            </w:r>
          </w:p>
          <w:p w:rsidR="00A94AB7" w:rsidRPr="008D16E0" w:rsidRDefault="00A94AB7" w:rsidP="00E44C9F">
            <w:pPr>
              <w:shd w:val="clear" w:color="auto" w:fill="FFFFFF"/>
              <w:spacing w:before="100" w:beforeAutospacing="1" w:after="100" w:afterAutospacing="1"/>
              <w:jc w:val="both"/>
              <w:rPr>
                <w:b/>
                <w:sz w:val="22"/>
                <w:szCs w:val="22"/>
              </w:rPr>
            </w:pPr>
            <w:r w:rsidRPr="008D16E0">
              <w:rPr>
                <w:b/>
                <w:sz w:val="22"/>
                <w:szCs w:val="22"/>
              </w:rPr>
              <w:t>розміщує інформацію щодо скасування випуску інвестиційних сертифікатів Фонду на сайті загальнодоступної інформаційної бази даних Комісії;</w:t>
            </w:r>
          </w:p>
          <w:p w:rsidR="00A94AB7" w:rsidRPr="008D16E0" w:rsidRDefault="00A94AB7" w:rsidP="00E44C9F">
            <w:pPr>
              <w:shd w:val="clear" w:color="auto" w:fill="FFFFFF"/>
              <w:spacing w:before="100" w:beforeAutospacing="1" w:after="100" w:afterAutospacing="1"/>
              <w:jc w:val="both"/>
              <w:outlineLvl w:val="2"/>
              <w:rPr>
                <w:b/>
                <w:bCs/>
                <w:sz w:val="22"/>
                <w:szCs w:val="22"/>
              </w:rPr>
            </w:pPr>
            <w:r w:rsidRPr="008D16E0">
              <w:rPr>
                <w:b/>
                <w:sz w:val="22"/>
                <w:szCs w:val="22"/>
              </w:rPr>
              <w:lastRenderedPageBreak/>
              <w:t>публікує Розпорядження про скасування в офіційному друкованому виданні Комісії.</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shd w:val="clear" w:color="auto" w:fill="FFFFFF"/>
              <w:jc w:val="both"/>
              <w:rPr>
                <w:bCs/>
                <w:sz w:val="22"/>
                <w:szCs w:val="22"/>
              </w:rPr>
            </w:pPr>
            <w:r w:rsidRPr="008D16E0">
              <w:rPr>
                <w:sz w:val="22"/>
                <w:szCs w:val="22"/>
              </w:rPr>
              <w:t xml:space="preserve">Абзац п'ятий пункту 5 розділу </w:t>
            </w:r>
            <w:r w:rsidRPr="008D16E0">
              <w:rPr>
                <w:bCs/>
                <w:sz w:val="22"/>
                <w:szCs w:val="22"/>
              </w:rPr>
              <w:t xml:space="preserve">IV викласти в такій редакції: </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 xml:space="preserve">      «оприлюднює Розпорядження про скасування на офіційному веб-сайті Комісії.»;</w:t>
            </w: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lastRenderedPageBreak/>
              <w:t xml:space="preserve">Абзац шостий пункту 5 розділу </w:t>
            </w:r>
            <w:r w:rsidRPr="008D16E0">
              <w:rPr>
                <w:bCs/>
                <w:sz w:val="22"/>
                <w:szCs w:val="22"/>
              </w:rPr>
              <w:t>IV виключити.</w:t>
            </w:r>
          </w:p>
        </w:tc>
        <w:tc>
          <w:tcPr>
            <w:tcW w:w="5940" w:type="dxa"/>
            <w:shd w:val="clear" w:color="auto" w:fill="auto"/>
          </w:tcPr>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lastRenderedPageBreak/>
              <w:t>5. ….</w:t>
            </w:r>
          </w:p>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Комісія протягом п'яти робочих днів з дати винесення Розпорядження про скасування:</w:t>
            </w:r>
          </w:p>
          <w:p w:rsidR="00A94AB7" w:rsidRPr="008D16E0" w:rsidRDefault="00A94AB7" w:rsidP="00E44C9F">
            <w:pPr>
              <w:shd w:val="clear" w:color="auto" w:fill="FFFFFF"/>
              <w:spacing w:before="100" w:beforeAutospacing="1" w:after="100" w:afterAutospacing="1"/>
              <w:jc w:val="both"/>
              <w:rPr>
                <w:sz w:val="22"/>
                <w:szCs w:val="22"/>
              </w:rPr>
            </w:pPr>
            <w:r w:rsidRPr="008D16E0">
              <w:rPr>
                <w:sz w:val="22"/>
                <w:szCs w:val="22"/>
              </w:rPr>
              <w:t>направляє Центральному депозитарію Розпорядження про скасування;</w:t>
            </w:r>
          </w:p>
          <w:p w:rsidR="00A94AB7" w:rsidRPr="008D16E0" w:rsidRDefault="00A94AB7" w:rsidP="00E44C9F">
            <w:pPr>
              <w:jc w:val="both"/>
              <w:rPr>
                <w:b/>
                <w:bCs/>
                <w:sz w:val="22"/>
                <w:szCs w:val="22"/>
              </w:rPr>
            </w:pPr>
            <w:r w:rsidRPr="008D16E0">
              <w:rPr>
                <w:b/>
                <w:sz w:val="22"/>
                <w:szCs w:val="22"/>
              </w:rPr>
              <w:t xml:space="preserve">оприлюднює </w:t>
            </w:r>
            <w:r w:rsidRPr="008D16E0">
              <w:rPr>
                <w:sz w:val="22"/>
                <w:szCs w:val="22"/>
              </w:rPr>
              <w:t>Розпорядження про скасування</w:t>
            </w:r>
            <w:r w:rsidRPr="008D16E0">
              <w:rPr>
                <w:b/>
                <w:sz w:val="22"/>
                <w:szCs w:val="22"/>
              </w:rPr>
              <w:t xml:space="preserve"> на офіційному веб-сайті Комісії.</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bCs/>
                <w:sz w:val="22"/>
                <w:szCs w:val="22"/>
              </w:rPr>
            </w:pPr>
          </w:p>
        </w:tc>
        <w:tc>
          <w:tcPr>
            <w:tcW w:w="5760" w:type="dxa"/>
            <w:shd w:val="clear" w:color="auto" w:fill="auto"/>
          </w:tcPr>
          <w:p w:rsidR="00A94AB7" w:rsidRPr="008D16E0" w:rsidRDefault="00A94AB7" w:rsidP="00E44C9F">
            <w:pPr>
              <w:shd w:val="clear" w:color="auto" w:fill="FFFFFF"/>
              <w:spacing w:before="100" w:beforeAutospacing="1" w:after="100" w:afterAutospacing="1"/>
              <w:jc w:val="both"/>
              <w:rPr>
                <w:sz w:val="22"/>
                <w:szCs w:val="22"/>
              </w:rPr>
            </w:pPr>
            <w:r w:rsidRPr="008D16E0">
              <w:rPr>
                <w:b/>
                <w:bCs/>
                <w:sz w:val="22"/>
                <w:szCs w:val="22"/>
              </w:rPr>
              <w:t>V. Порядок виключення відомостей про Фонд з Реєстру</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sz w:val="22"/>
                <w:szCs w:val="22"/>
              </w:rPr>
            </w:pPr>
          </w:p>
        </w:tc>
        <w:tc>
          <w:tcPr>
            <w:tcW w:w="5940" w:type="dxa"/>
            <w:shd w:val="clear" w:color="auto" w:fill="auto"/>
          </w:tcPr>
          <w:p w:rsidR="00A94AB7" w:rsidRPr="008D16E0" w:rsidRDefault="00A94AB7" w:rsidP="00E44C9F">
            <w:pPr>
              <w:jc w:val="both"/>
              <w:rPr>
                <w:b/>
                <w:sz w:val="22"/>
                <w:szCs w:val="22"/>
              </w:rPr>
            </w:pPr>
            <w:r w:rsidRPr="008D16E0">
              <w:rPr>
                <w:b/>
                <w:bCs/>
                <w:sz w:val="22"/>
                <w:szCs w:val="22"/>
              </w:rPr>
              <w:t>V. Порядок виключення відомостей про Фонд з Реєстру</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ab"/>
              <w:spacing w:before="0" w:beforeAutospacing="0" w:after="0" w:afterAutospacing="0"/>
              <w:jc w:val="both"/>
              <w:rPr>
                <w:sz w:val="22"/>
                <w:szCs w:val="22"/>
              </w:rPr>
            </w:pPr>
            <w:r w:rsidRPr="008D16E0">
              <w:rPr>
                <w:sz w:val="22"/>
                <w:szCs w:val="22"/>
              </w:rPr>
              <w:t>2. Протягом п'ятнадцяти робочих днів з дати винесення уповноваженою особою Комісії розпорядження про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або з дати прийняття уповноваженим органом КУА рішення про ліквідацію Фонду, у разі якщо випуск (випуски) інвестиційних сертифікатів Фонду Державною комісією з цінних паперів та фондового ринку або Комісією не реєструвався (не реєструвались),</w:t>
            </w:r>
            <w:r w:rsidRPr="008D16E0">
              <w:rPr>
                <w:i/>
                <w:iCs/>
                <w:sz w:val="22"/>
                <w:szCs w:val="22"/>
              </w:rPr>
              <w:t xml:space="preserve"> </w:t>
            </w:r>
            <w:r w:rsidRPr="008D16E0">
              <w:rPr>
                <w:sz w:val="22"/>
                <w:szCs w:val="22"/>
              </w:rPr>
              <w:t>для виключення відомостей про Фонд з Реєстру ліквідаційна комісія або уповноважений орган КУА подає до Комісії такі документи:</w:t>
            </w:r>
          </w:p>
          <w:p w:rsidR="00A94AB7" w:rsidRPr="008D16E0" w:rsidRDefault="00A94AB7" w:rsidP="00E44C9F">
            <w:pPr>
              <w:pStyle w:val="ab"/>
              <w:spacing w:before="0" w:beforeAutospacing="0" w:after="0" w:afterAutospacing="0"/>
              <w:jc w:val="both"/>
              <w:rPr>
                <w:sz w:val="22"/>
                <w:szCs w:val="22"/>
              </w:rPr>
            </w:pPr>
            <w:r w:rsidRPr="008D16E0">
              <w:rPr>
                <w:sz w:val="22"/>
                <w:szCs w:val="22"/>
              </w:rPr>
              <w:t>……………………………..</w:t>
            </w:r>
          </w:p>
          <w:p w:rsidR="00A94AB7" w:rsidRPr="008D16E0" w:rsidRDefault="00A94AB7" w:rsidP="00E44C9F">
            <w:pPr>
              <w:pStyle w:val="ab"/>
              <w:spacing w:before="0" w:beforeAutospacing="0" w:after="0" w:afterAutospacing="0"/>
              <w:jc w:val="both"/>
              <w:rPr>
                <w:sz w:val="22"/>
                <w:szCs w:val="22"/>
              </w:rPr>
            </w:pPr>
            <w:r w:rsidRPr="008D16E0">
              <w:rPr>
                <w:sz w:val="22"/>
                <w:szCs w:val="22"/>
              </w:rPr>
              <w:t xml:space="preserve">1) заяву про виключення відомостей про Фонд з Реєстру, засвідчену підписом голови ліквідаційної комісії або уповноваженої особи КУА </w:t>
            </w:r>
            <w:r w:rsidRPr="008D16E0">
              <w:rPr>
                <w:b/>
                <w:sz w:val="22"/>
                <w:szCs w:val="22"/>
              </w:rPr>
              <w:t>та печаткою КУА</w:t>
            </w:r>
            <w:r w:rsidRPr="008D16E0">
              <w:rPr>
                <w:sz w:val="22"/>
                <w:szCs w:val="22"/>
              </w:rPr>
              <w:t xml:space="preserve"> (додаток 4);</w:t>
            </w:r>
          </w:p>
          <w:p w:rsidR="00A94AB7" w:rsidRPr="008D16E0" w:rsidRDefault="00A94AB7" w:rsidP="00E44C9F">
            <w:pPr>
              <w:pStyle w:val="ab"/>
              <w:spacing w:before="0" w:beforeAutospacing="0" w:after="0" w:afterAutospacing="0"/>
              <w:jc w:val="both"/>
              <w:rPr>
                <w:sz w:val="22"/>
                <w:szCs w:val="22"/>
              </w:rPr>
            </w:pPr>
            <w:r w:rsidRPr="008D16E0">
              <w:rPr>
                <w:sz w:val="22"/>
                <w:szCs w:val="22"/>
              </w:rPr>
              <w:t>………………………..</w:t>
            </w:r>
          </w:p>
          <w:p w:rsidR="00A94AB7" w:rsidRPr="008D16E0" w:rsidRDefault="00A94AB7" w:rsidP="00E44C9F">
            <w:pPr>
              <w:pStyle w:val="ab"/>
              <w:spacing w:before="0" w:beforeAutospacing="0" w:after="0" w:afterAutospacing="0"/>
              <w:jc w:val="both"/>
              <w:rPr>
                <w:sz w:val="22"/>
                <w:szCs w:val="22"/>
              </w:rPr>
            </w:pPr>
            <w:r w:rsidRPr="008D16E0">
              <w:rPr>
                <w:sz w:val="22"/>
                <w:szCs w:val="22"/>
              </w:rPr>
              <w:t xml:space="preserve">4) засвідчені підписом уповноваженої особи КУА </w:t>
            </w:r>
            <w:r w:rsidRPr="008D16E0">
              <w:rPr>
                <w:b/>
                <w:sz w:val="22"/>
                <w:szCs w:val="22"/>
              </w:rPr>
              <w:t>та печаткою КУА</w:t>
            </w:r>
            <w:r w:rsidRPr="008D16E0">
              <w:rPr>
                <w:sz w:val="22"/>
                <w:szCs w:val="22"/>
              </w:rPr>
              <w:t xml:space="preserve"> копії документів банку(ів), що підтверджують закриття рахунків, які були відкриті КУА з метою обслуговування діяльності з управління активами Фонду.</w:t>
            </w:r>
          </w:p>
        </w:tc>
        <w:tc>
          <w:tcPr>
            <w:tcW w:w="3420" w:type="dxa"/>
            <w:shd w:val="clear" w:color="auto" w:fill="auto"/>
          </w:tcPr>
          <w:p w:rsidR="00A94AB7" w:rsidRPr="00A94AB7" w:rsidRDefault="00A94AB7" w:rsidP="00E44C9F">
            <w:pPr>
              <w:jc w:val="both"/>
              <w:rPr>
                <w:sz w:val="22"/>
                <w:szCs w:val="22"/>
              </w:rPr>
            </w:pPr>
          </w:p>
          <w:p w:rsidR="00A94AB7" w:rsidRPr="00A94AB7" w:rsidRDefault="00A94AB7" w:rsidP="00E44C9F">
            <w:pPr>
              <w:jc w:val="both"/>
              <w:rPr>
                <w:sz w:val="22"/>
                <w:szCs w:val="22"/>
              </w:rPr>
            </w:pPr>
          </w:p>
          <w:p w:rsidR="00A94AB7" w:rsidRPr="00A94AB7" w:rsidRDefault="00A94AB7" w:rsidP="00E44C9F">
            <w:pPr>
              <w:jc w:val="both"/>
              <w:rPr>
                <w:sz w:val="22"/>
                <w:szCs w:val="22"/>
              </w:rPr>
            </w:pPr>
          </w:p>
          <w:p w:rsidR="00A94AB7" w:rsidRPr="00A94AB7" w:rsidRDefault="00A94AB7" w:rsidP="00E44C9F">
            <w:pPr>
              <w:jc w:val="both"/>
              <w:rPr>
                <w:sz w:val="22"/>
                <w:szCs w:val="22"/>
              </w:rPr>
            </w:pPr>
          </w:p>
          <w:p w:rsidR="00A94AB7" w:rsidRPr="00A94AB7" w:rsidRDefault="00A94AB7" w:rsidP="00E44C9F">
            <w:pPr>
              <w:jc w:val="both"/>
              <w:rPr>
                <w:sz w:val="22"/>
                <w:szCs w:val="22"/>
              </w:rPr>
            </w:pPr>
          </w:p>
          <w:p w:rsidR="00A94AB7" w:rsidRPr="00A94AB7" w:rsidRDefault="00A94AB7" w:rsidP="00E44C9F">
            <w:pPr>
              <w:jc w:val="both"/>
              <w:rPr>
                <w:sz w:val="22"/>
                <w:szCs w:val="22"/>
              </w:rPr>
            </w:pPr>
          </w:p>
          <w:p w:rsidR="00A94AB7" w:rsidRPr="00A94AB7" w:rsidRDefault="00A94AB7" w:rsidP="00E44C9F">
            <w:pPr>
              <w:jc w:val="both"/>
              <w:rPr>
                <w:sz w:val="22"/>
                <w:szCs w:val="22"/>
              </w:rPr>
            </w:pPr>
          </w:p>
          <w:p w:rsidR="00A94AB7" w:rsidRPr="00A94AB7" w:rsidRDefault="00A94AB7" w:rsidP="00E44C9F">
            <w:pPr>
              <w:jc w:val="both"/>
              <w:rPr>
                <w:sz w:val="22"/>
                <w:szCs w:val="22"/>
              </w:rPr>
            </w:pPr>
          </w:p>
          <w:p w:rsidR="00A94AB7" w:rsidRPr="00A94AB7" w:rsidRDefault="00A94AB7" w:rsidP="00E44C9F">
            <w:pPr>
              <w:jc w:val="both"/>
              <w:rPr>
                <w:sz w:val="22"/>
                <w:szCs w:val="22"/>
              </w:rPr>
            </w:pPr>
          </w:p>
          <w:p w:rsidR="00A94AB7" w:rsidRPr="00A94AB7" w:rsidRDefault="00A94AB7" w:rsidP="00E44C9F">
            <w:pPr>
              <w:jc w:val="both"/>
              <w:rPr>
                <w:sz w:val="22"/>
                <w:szCs w:val="22"/>
              </w:rPr>
            </w:pPr>
          </w:p>
          <w:p w:rsidR="00A94AB7" w:rsidRPr="00A94AB7" w:rsidRDefault="00A94AB7" w:rsidP="00E44C9F">
            <w:pPr>
              <w:jc w:val="both"/>
              <w:rPr>
                <w:sz w:val="22"/>
                <w:szCs w:val="22"/>
              </w:rPr>
            </w:pPr>
          </w:p>
          <w:p w:rsidR="00A94AB7" w:rsidRPr="00A94AB7" w:rsidRDefault="00A94AB7" w:rsidP="00E44C9F">
            <w:pPr>
              <w:jc w:val="both"/>
              <w:rPr>
                <w:sz w:val="22"/>
                <w:szCs w:val="22"/>
              </w:rPr>
            </w:pPr>
          </w:p>
          <w:p w:rsidR="00A94AB7" w:rsidRPr="00A94AB7" w:rsidRDefault="00A94AB7" w:rsidP="00E44C9F">
            <w:pPr>
              <w:jc w:val="both"/>
              <w:rPr>
                <w:sz w:val="22"/>
                <w:szCs w:val="22"/>
              </w:rPr>
            </w:pPr>
          </w:p>
          <w:p w:rsidR="00A94AB7" w:rsidRPr="00A94AB7" w:rsidRDefault="00A94AB7" w:rsidP="00E44C9F">
            <w:pPr>
              <w:jc w:val="both"/>
              <w:rPr>
                <w:sz w:val="22"/>
                <w:szCs w:val="22"/>
              </w:rPr>
            </w:pPr>
          </w:p>
          <w:p w:rsidR="00A94AB7" w:rsidRPr="00A94AB7" w:rsidRDefault="00A94AB7" w:rsidP="00E44C9F">
            <w:pPr>
              <w:jc w:val="both"/>
              <w:rPr>
                <w:sz w:val="22"/>
                <w:szCs w:val="22"/>
              </w:rPr>
            </w:pPr>
          </w:p>
          <w:p w:rsidR="00A94AB7" w:rsidRPr="00A94AB7" w:rsidRDefault="00A94AB7" w:rsidP="00E44C9F">
            <w:pPr>
              <w:jc w:val="both"/>
              <w:rPr>
                <w:sz w:val="22"/>
                <w:szCs w:val="22"/>
              </w:rPr>
            </w:pPr>
            <w:r w:rsidRPr="008D16E0">
              <w:rPr>
                <w:sz w:val="22"/>
                <w:szCs w:val="22"/>
              </w:rPr>
              <w:t xml:space="preserve"> </w:t>
            </w:r>
          </w:p>
          <w:p w:rsidR="00A94AB7" w:rsidRPr="00A94AB7" w:rsidRDefault="00A94AB7" w:rsidP="00E44C9F">
            <w:pPr>
              <w:jc w:val="both"/>
              <w:rPr>
                <w:sz w:val="22"/>
                <w:szCs w:val="22"/>
              </w:rPr>
            </w:pPr>
          </w:p>
          <w:p w:rsidR="00A94AB7" w:rsidRPr="00A94AB7" w:rsidRDefault="00A94AB7" w:rsidP="00E44C9F">
            <w:pPr>
              <w:jc w:val="both"/>
              <w:rPr>
                <w:sz w:val="22"/>
                <w:szCs w:val="22"/>
              </w:rPr>
            </w:pPr>
          </w:p>
          <w:p w:rsidR="00A94AB7" w:rsidRPr="008D16E0" w:rsidRDefault="00A94AB7" w:rsidP="00E44C9F">
            <w:pPr>
              <w:jc w:val="both"/>
              <w:rPr>
                <w:sz w:val="22"/>
                <w:szCs w:val="22"/>
              </w:rPr>
            </w:pPr>
            <w:r w:rsidRPr="008D16E0">
              <w:rPr>
                <w:sz w:val="22"/>
                <w:szCs w:val="22"/>
              </w:rPr>
              <w:t xml:space="preserve">   в підпунктах 1 та 4 пункту 2 розділу V слова «та печаткою КУА» виключити.</w:t>
            </w:r>
          </w:p>
        </w:tc>
        <w:tc>
          <w:tcPr>
            <w:tcW w:w="5940" w:type="dxa"/>
            <w:shd w:val="clear" w:color="auto" w:fill="auto"/>
          </w:tcPr>
          <w:p w:rsidR="00A94AB7" w:rsidRPr="008D16E0" w:rsidRDefault="00A94AB7" w:rsidP="00E44C9F">
            <w:pPr>
              <w:pStyle w:val="ab"/>
              <w:spacing w:before="0" w:beforeAutospacing="0" w:after="0" w:afterAutospacing="0"/>
              <w:jc w:val="both"/>
              <w:rPr>
                <w:sz w:val="22"/>
                <w:szCs w:val="22"/>
              </w:rPr>
            </w:pPr>
            <w:r w:rsidRPr="008D16E0">
              <w:rPr>
                <w:sz w:val="22"/>
                <w:szCs w:val="22"/>
              </w:rPr>
              <w:t>2. Протягом п'ятнадцяти робочих днів з дати винесення уповноваженою особою Комісії розпорядження про скасування реєстрації випуску (випусків) інвестиційних сертифікатів Фонду, проспекту (проспектів) емісії інвестиційних сертифікатів Фонду та анулювання свідоцтва (свідоцтв) про реєстрацію випуску (випусків) інвестиційних сертифікатів Фонду або з дати прийняття уповноваженим органом КУА рішення про ліквідацію Фонду, у разі якщо випуск (випуски) інвестиційних сертифікатів Фонду Державною комісією з цінних паперів та фондового ринку або Комісією не реєструвався (не реєструвались),</w:t>
            </w:r>
            <w:r w:rsidRPr="008D16E0">
              <w:rPr>
                <w:i/>
                <w:iCs/>
                <w:sz w:val="22"/>
                <w:szCs w:val="22"/>
              </w:rPr>
              <w:t xml:space="preserve"> </w:t>
            </w:r>
            <w:r w:rsidRPr="008D16E0">
              <w:rPr>
                <w:sz w:val="22"/>
                <w:szCs w:val="22"/>
              </w:rPr>
              <w:t>для виключення відомостей про Фонд з Реєстру ліквідаційна комісія або уповноважений орган КУА подає до Комісії такі документи:</w:t>
            </w:r>
          </w:p>
          <w:p w:rsidR="00A94AB7" w:rsidRPr="008D16E0" w:rsidRDefault="00A94AB7" w:rsidP="00E44C9F">
            <w:pPr>
              <w:pStyle w:val="ab"/>
              <w:spacing w:before="0" w:beforeAutospacing="0" w:after="0" w:afterAutospacing="0"/>
              <w:jc w:val="both"/>
              <w:rPr>
                <w:sz w:val="22"/>
                <w:szCs w:val="22"/>
              </w:rPr>
            </w:pPr>
            <w:r w:rsidRPr="008D16E0">
              <w:rPr>
                <w:sz w:val="22"/>
                <w:szCs w:val="22"/>
              </w:rPr>
              <w:t>……………………………..</w:t>
            </w:r>
          </w:p>
          <w:p w:rsidR="00A94AB7" w:rsidRPr="008D16E0" w:rsidRDefault="00A94AB7" w:rsidP="00E44C9F">
            <w:pPr>
              <w:pStyle w:val="ab"/>
              <w:spacing w:before="0" w:beforeAutospacing="0" w:after="0" w:afterAutospacing="0"/>
              <w:jc w:val="both"/>
              <w:rPr>
                <w:sz w:val="22"/>
                <w:szCs w:val="22"/>
              </w:rPr>
            </w:pPr>
            <w:r w:rsidRPr="008D16E0">
              <w:rPr>
                <w:sz w:val="22"/>
                <w:szCs w:val="22"/>
              </w:rPr>
              <w:t>1) заяву про виключення відомостей про Фонд з Реєстру, засвідчену підписом голови ліквідаційної комісії або уповноваженої особи КУА (додаток 4);</w:t>
            </w:r>
          </w:p>
          <w:p w:rsidR="00A94AB7" w:rsidRPr="008D16E0" w:rsidRDefault="00A94AB7" w:rsidP="00E44C9F">
            <w:pPr>
              <w:pStyle w:val="ab"/>
              <w:spacing w:before="0" w:beforeAutospacing="0" w:after="0" w:afterAutospacing="0"/>
              <w:jc w:val="both"/>
              <w:rPr>
                <w:sz w:val="22"/>
                <w:szCs w:val="22"/>
              </w:rPr>
            </w:pPr>
            <w:r w:rsidRPr="008D16E0">
              <w:rPr>
                <w:sz w:val="22"/>
                <w:szCs w:val="22"/>
              </w:rPr>
              <w:t>………………………..</w:t>
            </w:r>
          </w:p>
          <w:p w:rsidR="00A94AB7" w:rsidRPr="008D16E0" w:rsidRDefault="00A94AB7" w:rsidP="00E44C9F">
            <w:pPr>
              <w:pStyle w:val="ab"/>
              <w:spacing w:before="0" w:beforeAutospacing="0" w:after="0" w:afterAutospacing="0"/>
              <w:jc w:val="both"/>
              <w:rPr>
                <w:sz w:val="22"/>
                <w:szCs w:val="22"/>
              </w:rPr>
            </w:pPr>
            <w:r w:rsidRPr="008D16E0">
              <w:rPr>
                <w:sz w:val="22"/>
                <w:szCs w:val="22"/>
              </w:rPr>
              <w:t>4) засвідчені підписом уповноваженої особи КУА копії документів банку(ів), що підтверджують закриття рахунків, які були відкриті КУА з метою обслуговування діяльності з управління активами Фонду.</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jc w:val="both"/>
              <w:rPr>
                <w:b/>
                <w:sz w:val="22"/>
                <w:szCs w:val="22"/>
              </w:rPr>
            </w:pPr>
            <w:r w:rsidRPr="008D16E0">
              <w:rPr>
                <w:b/>
                <w:sz w:val="22"/>
                <w:szCs w:val="22"/>
              </w:rPr>
              <w:t>4. Комісія протягом п'яти робочих днів з дати винесення розпорядження про виключення відомостей про Фонд з Реєстру:</w:t>
            </w:r>
          </w:p>
          <w:p w:rsidR="00A94AB7" w:rsidRPr="008D16E0" w:rsidRDefault="00A94AB7" w:rsidP="00E44C9F">
            <w:pPr>
              <w:spacing w:before="120"/>
              <w:jc w:val="both"/>
              <w:rPr>
                <w:b/>
                <w:sz w:val="22"/>
                <w:szCs w:val="22"/>
              </w:rPr>
            </w:pPr>
            <w:r w:rsidRPr="008D16E0">
              <w:rPr>
                <w:b/>
                <w:sz w:val="22"/>
                <w:szCs w:val="22"/>
              </w:rPr>
              <w:t>розміщує інформацію</w:t>
            </w:r>
            <w:r w:rsidRPr="008D16E0">
              <w:rPr>
                <w:sz w:val="22"/>
                <w:szCs w:val="22"/>
              </w:rPr>
              <w:t xml:space="preserve"> щодо виключення відомостей про Фонд з Реєстру</w:t>
            </w:r>
            <w:r w:rsidRPr="008D16E0">
              <w:rPr>
                <w:b/>
                <w:sz w:val="22"/>
                <w:szCs w:val="22"/>
              </w:rPr>
              <w:t xml:space="preserve"> на сайті загальнодоступної інформаційної бази даних Комісії;</w:t>
            </w:r>
          </w:p>
          <w:p w:rsidR="00A94AB7" w:rsidRPr="008D16E0" w:rsidRDefault="00A94AB7" w:rsidP="00E44C9F">
            <w:pPr>
              <w:spacing w:before="120"/>
              <w:jc w:val="both"/>
              <w:rPr>
                <w:b/>
                <w:sz w:val="22"/>
                <w:szCs w:val="22"/>
              </w:rPr>
            </w:pPr>
            <w:r w:rsidRPr="008D16E0">
              <w:rPr>
                <w:b/>
                <w:sz w:val="22"/>
                <w:szCs w:val="22"/>
              </w:rPr>
              <w:t>публікує розпорядження щодо виключення відомостей про Фонд з Реєстру в офіційному друкованому виданні Комісії.</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bCs/>
                <w:sz w:val="22"/>
                <w:szCs w:val="22"/>
              </w:rPr>
            </w:pPr>
            <w:r w:rsidRPr="008D16E0">
              <w:rPr>
                <w:bCs/>
                <w:sz w:val="22"/>
                <w:szCs w:val="22"/>
              </w:rPr>
              <w:t>Пункт 4 розділу V викласти у такій редакції:</w:t>
            </w:r>
          </w:p>
          <w:p w:rsidR="00A94AB7" w:rsidRPr="008D16E0" w:rsidRDefault="00A94AB7" w:rsidP="00E44C9F">
            <w:pPr>
              <w:pStyle w:val="tjbmf"/>
              <w:shd w:val="clear" w:color="auto" w:fill="FFFFFF"/>
              <w:spacing w:before="0" w:beforeAutospacing="0" w:after="0" w:afterAutospacing="0"/>
              <w:jc w:val="both"/>
              <w:rPr>
                <w:sz w:val="22"/>
                <w:szCs w:val="22"/>
              </w:rPr>
            </w:pPr>
            <w:r w:rsidRPr="008D16E0">
              <w:rPr>
                <w:sz w:val="22"/>
                <w:szCs w:val="22"/>
              </w:rPr>
              <w:t xml:space="preserve">     «Комісія протягом п'яти робочих днів з дати винесення розпорядження про виключення відомостей про Фонд з Реєстру оприлюднює розпорядження щодо виключення відомостей про Фонд з Реєстру на офіційному веб-сайті Комісії.»;</w:t>
            </w:r>
          </w:p>
        </w:tc>
        <w:tc>
          <w:tcPr>
            <w:tcW w:w="5940" w:type="dxa"/>
            <w:shd w:val="clear" w:color="auto" w:fill="auto"/>
          </w:tcPr>
          <w:p w:rsidR="00A94AB7" w:rsidRPr="008D16E0" w:rsidRDefault="00A94AB7" w:rsidP="00E44C9F">
            <w:pPr>
              <w:jc w:val="both"/>
              <w:rPr>
                <w:sz w:val="22"/>
                <w:szCs w:val="22"/>
              </w:rPr>
            </w:pPr>
            <w:r w:rsidRPr="008D16E0">
              <w:rPr>
                <w:sz w:val="22"/>
                <w:szCs w:val="22"/>
              </w:rPr>
              <w:t xml:space="preserve">4. Комісія протягом п'яти робочих днів з дати винесення розпорядження про виключення відомостей про Фонд з Реєстру </w:t>
            </w:r>
            <w:r w:rsidRPr="008D16E0">
              <w:rPr>
                <w:b/>
                <w:sz w:val="22"/>
                <w:szCs w:val="22"/>
              </w:rPr>
              <w:t>оприлюднює розпорядження</w:t>
            </w:r>
            <w:r w:rsidRPr="008D16E0">
              <w:rPr>
                <w:sz w:val="22"/>
                <w:szCs w:val="22"/>
              </w:rPr>
              <w:t xml:space="preserve"> щодо виключення відомостей про Фонд з Реєстру</w:t>
            </w:r>
            <w:r w:rsidRPr="008D16E0">
              <w:rPr>
                <w:b/>
                <w:sz w:val="22"/>
                <w:szCs w:val="22"/>
              </w:rPr>
              <w:t xml:space="preserve"> на офіційному веб-сайті Комісії.</w:t>
            </w:r>
          </w:p>
          <w:p w:rsidR="00A94AB7" w:rsidRPr="008D16E0" w:rsidRDefault="00A94AB7" w:rsidP="00E44C9F">
            <w:pPr>
              <w:jc w:val="both"/>
              <w:rPr>
                <w:b/>
                <w:sz w:val="22"/>
                <w:szCs w:val="22"/>
              </w:rPr>
            </w:pP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jc w:val="both"/>
              <w:rPr>
                <w:b/>
                <w:sz w:val="22"/>
                <w:szCs w:val="22"/>
              </w:rPr>
            </w:pPr>
          </w:p>
        </w:tc>
        <w:tc>
          <w:tcPr>
            <w:tcW w:w="3420" w:type="dxa"/>
            <w:shd w:val="clear" w:color="auto" w:fill="auto"/>
          </w:tcPr>
          <w:p w:rsidR="00A94AB7" w:rsidRPr="008D16E0" w:rsidRDefault="00A94AB7" w:rsidP="00E44C9F">
            <w:pPr>
              <w:jc w:val="both"/>
              <w:rPr>
                <w:sz w:val="22"/>
                <w:szCs w:val="22"/>
                <w:lang w:eastAsia="ru-RU"/>
              </w:rPr>
            </w:pPr>
            <w:r w:rsidRPr="008D16E0">
              <w:rPr>
                <w:sz w:val="22"/>
                <w:szCs w:val="22"/>
                <w:lang w:eastAsia="ru-RU"/>
              </w:rPr>
              <w:t>У додатках:</w:t>
            </w:r>
          </w:p>
          <w:p w:rsidR="00A94AB7" w:rsidRPr="008D16E0" w:rsidRDefault="00A94AB7" w:rsidP="00E44C9F">
            <w:pPr>
              <w:jc w:val="both"/>
              <w:rPr>
                <w:sz w:val="22"/>
                <w:szCs w:val="22"/>
                <w:lang w:eastAsia="ru-RU"/>
              </w:rPr>
            </w:pPr>
            <w:r w:rsidRPr="008D16E0">
              <w:rPr>
                <w:sz w:val="22"/>
                <w:szCs w:val="22"/>
                <w:lang w:eastAsia="ru-RU"/>
              </w:rPr>
              <w:t xml:space="preserve">1) у додатках 1, 2 та 4 до </w:t>
            </w:r>
            <w:r w:rsidRPr="008D16E0">
              <w:rPr>
                <w:sz w:val="22"/>
                <w:szCs w:val="22"/>
                <w:lang w:eastAsia="ru-RU"/>
              </w:rPr>
              <w:lastRenderedPageBreak/>
              <w:t>Положення літери, слова та знаки «М.П. (за наявності)» виключити;</w:t>
            </w:r>
          </w:p>
          <w:p w:rsidR="00A94AB7" w:rsidRPr="008D16E0" w:rsidRDefault="00A94AB7" w:rsidP="00E44C9F">
            <w:pPr>
              <w:pStyle w:val="tjbmf"/>
              <w:shd w:val="clear" w:color="auto" w:fill="FFFFFF"/>
              <w:spacing w:before="0" w:beforeAutospacing="0" w:after="0" w:afterAutospacing="0"/>
              <w:jc w:val="both"/>
              <w:rPr>
                <w:bCs/>
                <w:sz w:val="22"/>
                <w:szCs w:val="22"/>
              </w:rPr>
            </w:pPr>
            <w:r w:rsidRPr="008D16E0">
              <w:rPr>
                <w:sz w:val="22"/>
                <w:szCs w:val="22"/>
                <w:lang w:eastAsia="ru-RU"/>
              </w:rPr>
              <w:t>2) у додатках 3 та 5 літери та знаки «М.П.» виключити.</w:t>
            </w:r>
          </w:p>
        </w:tc>
        <w:tc>
          <w:tcPr>
            <w:tcW w:w="5940" w:type="dxa"/>
            <w:shd w:val="clear" w:color="auto" w:fill="auto"/>
          </w:tcPr>
          <w:p w:rsidR="00A94AB7" w:rsidRPr="008D16E0" w:rsidRDefault="00A94AB7" w:rsidP="00E44C9F">
            <w:pPr>
              <w:jc w:val="both"/>
              <w:rPr>
                <w:sz w:val="22"/>
                <w:szCs w:val="22"/>
              </w:rPr>
            </w:pP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b/>
                <w:sz w:val="22"/>
                <w:szCs w:val="22"/>
              </w:rPr>
            </w:pPr>
            <w:r w:rsidRPr="008D16E0">
              <w:rPr>
                <w:b/>
                <w:sz w:val="22"/>
                <w:szCs w:val="22"/>
              </w:rPr>
              <w:t>5</w:t>
            </w:r>
          </w:p>
        </w:tc>
        <w:tc>
          <w:tcPr>
            <w:tcW w:w="5760" w:type="dxa"/>
            <w:shd w:val="clear" w:color="auto" w:fill="auto"/>
          </w:tcPr>
          <w:p w:rsidR="00A94AB7" w:rsidRPr="008D16E0" w:rsidRDefault="00A94AB7" w:rsidP="00E44C9F">
            <w:pPr>
              <w:pStyle w:val="tjbmf"/>
              <w:shd w:val="clear" w:color="auto" w:fill="FFFFFF"/>
              <w:jc w:val="both"/>
              <w:rPr>
                <w:b/>
                <w:sz w:val="22"/>
                <w:szCs w:val="22"/>
                <w:u w:val="single"/>
              </w:rPr>
            </w:pPr>
            <w:r w:rsidRPr="008D16E0">
              <w:rPr>
                <w:b/>
                <w:sz w:val="22"/>
                <w:szCs w:val="22"/>
                <w:u w:val="single"/>
              </w:rPr>
              <w:t>Порядок розпорядження коштами, не сплаченими учасникам інститутів спільного інвестування у зв'язку з непред'явленням ними в установлений строк до викупу належних їм цінних паперів інститутів спільного інвестування, що ліквідуються, затверджений рішенням  Національної комісії з цінних паперів та фондового ринку від 29.07.2014 № 972, зареєстрований у Міністерстві юстиції 24 грудня 2014 року за № 1631/26408.</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bCs/>
                <w:sz w:val="22"/>
                <w:szCs w:val="22"/>
              </w:rPr>
            </w:pPr>
          </w:p>
        </w:tc>
        <w:tc>
          <w:tcPr>
            <w:tcW w:w="5940" w:type="dxa"/>
            <w:shd w:val="clear" w:color="auto" w:fill="auto"/>
          </w:tcPr>
          <w:p w:rsidR="00A94AB7" w:rsidRPr="008D16E0" w:rsidRDefault="00A94AB7" w:rsidP="00E44C9F">
            <w:pPr>
              <w:jc w:val="both"/>
              <w:rPr>
                <w:b/>
                <w:sz w:val="22"/>
                <w:szCs w:val="22"/>
              </w:rPr>
            </w:pPr>
            <w:r w:rsidRPr="008D16E0">
              <w:rPr>
                <w:b/>
                <w:sz w:val="22"/>
                <w:szCs w:val="22"/>
                <w:u w:val="single"/>
              </w:rPr>
              <w:t>Порядок розпорядження коштами, не сплаченими учасникам інститутів спільного інвестування у зв'язку з непред'явленням ними в установлений строк до викупу належних їм цінних паперів інститутів спільного інвестування, що ліквідуються, затверджений рішенням  Національної комісії з цінних паперів та фондового ринку від 29.07.2014 № 972, зареєстрований у Міністерстві юстиції 24 грудня 2014 року за № 1631/26408.</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jc w:val="both"/>
              <w:rPr>
                <w:sz w:val="22"/>
                <w:szCs w:val="22"/>
              </w:rPr>
            </w:pPr>
            <w:r w:rsidRPr="008D16E0">
              <w:rPr>
                <w:sz w:val="22"/>
                <w:szCs w:val="22"/>
              </w:rPr>
              <w:t>ІІ. Порядок, строки депонування коштів, не сплачених учасникам ІСІ за не пред’явленими до викупу цінними паперами ІСІ</w:t>
            </w:r>
          </w:p>
          <w:p w:rsidR="00A94AB7" w:rsidRPr="008D16E0" w:rsidRDefault="00A94AB7" w:rsidP="00E44C9F">
            <w:pPr>
              <w:jc w:val="both"/>
              <w:rPr>
                <w:sz w:val="22"/>
                <w:szCs w:val="22"/>
              </w:rPr>
            </w:pPr>
            <w:r w:rsidRPr="008D16E0">
              <w:rPr>
                <w:sz w:val="22"/>
                <w:szCs w:val="22"/>
              </w:rPr>
              <w:t>…</w:t>
            </w:r>
          </w:p>
          <w:p w:rsidR="00A94AB7" w:rsidRPr="008D16E0" w:rsidRDefault="00A94AB7" w:rsidP="00E44C9F">
            <w:pPr>
              <w:spacing w:before="100" w:beforeAutospacing="1" w:after="100" w:afterAutospacing="1"/>
              <w:jc w:val="both"/>
              <w:rPr>
                <w:sz w:val="22"/>
                <w:szCs w:val="22"/>
              </w:rPr>
            </w:pPr>
            <w:r w:rsidRPr="008D16E0">
              <w:rPr>
                <w:sz w:val="22"/>
                <w:szCs w:val="22"/>
              </w:rPr>
              <w:t>4. Ліквідаційна комісія зобов’язана забезпечити доступ до інформації про порядок депонування та виплати задепонованих коштів (далі – Інформація) для всіх учасників відповідного ліквідованого ІСІ, які не пред’явили в установлений строк до викупу (з метою розрахунків) належні їм цінні папери ІСІ, шляхом виконання таких заходів:</w:t>
            </w:r>
          </w:p>
          <w:p w:rsidR="00A94AB7" w:rsidRPr="008D16E0" w:rsidRDefault="00A94AB7" w:rsidP="00E44C9F">
            <w:pPr>
              <w:pStyle w:val="tjbmf"/>
              <w:shd w:val="clear" w:color="auto" w:fill="FFFFFF"/>
              <w:jc w:val="both"/>
              <w:rPr>
                <w:sz w:val="22"/>
                <w:szCs w:val="22"/>
              </w:rPr>
            </w:pPr>
            <w:r w:rsidRPr="008D16E0">
              <w:rPr>
                <w:sz w:val="22"/>
                <w:szCs w:val="22"/>
              </w:rPr>
              <w:t xml:space="preserve">1) протягом десяти робочих днів з дати депонування коштів </w:t>
            </w:r>
            <w:r w:rsidRPr="008D16E0">
              <w:rPr>
                <w:b/>
                <w:sz w:val="22"/>
                <w:szCs w:val="22"/>
              </w:rPr>
              <w:t xml:space="preserve">опублікувати </w:t>
            </w:r>
            <w:r w:rsidRPr="008D16E0">
              <w:rPr>
                <w:sz w:val="22"/>
                <w:szCs w:val="22"/>
              </w:rPr>
              <w:t>Інформацію</w:t>
            </w:r>
            <w:r w:rsidRPr="008D16E0">
              <w:rPr>
                <w:b/>
                <w:sz w:val="22"/>
                <w:szCs w:val="22"/>
              </w:rPr>
              <w:t xml:space="preserve"> </w:t>
            </w:r>
            <w:r w:rsidRPr="008D16E0">
              <w:rPr>
                <w:sz w:val="22"/>
                <w:szCs w:val="22"/>
              </w:rPr>
              <w:t>в</w:t>
            </w:r>
            <w:r w:rsidRPr="008D16E0">
              <w:rPr>
                <w:b/>
                <w:sz w:val="22"/>
                <w:szCs w:val="22"/>
              </w:rPr>
              <w:t xml:space="preserve"> офіційному друкованому виданні Комісії </w:t>
            </w:r>
            <w:r w:rsidRPr="008D16E0">
              <w:rPr>
                <w:sz w:val="22"/>
                <w:szCs w:val="22"/>
              </w:rPr>
              <w:t>та письмово повідомити про неї кожного з таких учасників ІСІ;</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r w:rsidRPr="008D16E0">
              <w:rPr>
                <w:bCs/>
                <w:sz w:val="22"/>
                <w:szCs w:val="22"/>
              </w:rPr>
              <w:t>Підпункт перший пункту 4 розділу ІІ викласти в такій редакції:</w:t>
            </w:r>
          </w:p>
          <w:p w:rsidR="00A94AB7" w:rsidRPr="008D16E0" w:rsidRDefault="00A94AB7" w:rsidP="00E44C9F">
            <w:pPr>
              <w:pStyle w:val="tjbmf"/>
              <w:shd w:val="clear" w:color="auto" w:fill="FFFFFF"/>
              <w:spacing w:before="0" w:beforeAutospacing="0" w:after="0" w:afterAutospacing="0"/>
              <w:jc w:val="both"/>
              <w:rPr>
                <w:b/>
                <w:bCs/>
                <w:sz w:val="22"/>
                <w:szCs w:val="22"/>
              </w:rPr>
            </w:pPr>
            <w:r w:rsidRPr="008D16E0">
              <w:rPr>
                <w:b/>
                <w:bCs/>
                <w:sz w:val="22"/>
                <w:szCs w:val="22"/>
              </w:rPr>
              <w:t>"</w:t>
            </w:r>
            <w:r w:rsidRPr="008D16E0">
              <w:rPr>
                <w:sz w:val="22"/>
                <w:szCs w:val="22"/>
              </w:rPr>
              <w:t>протягом десяти робочих днів з дати депонування коштів розмістити Інформацію в загальнодоступній інформаційній базі даних Комісії про ринок цінних паперів та письмово повідомити про неї кожного з таких учасників ІСІ;</w:t>
            </w:r>
            <w:r w:rsidRPr="008D16E0">
              <w:rPr>
                <w:bCs/>
                <w:sz w:val="22"/>
                <w:szCs w:val="22"/>
              </w:rPr>
              <w:t>"</w:t>
            </w:r>
          </w:p>
        </w:tc>
        <w:tc>
          <w:tcPr>
            <w:tcW w:w="5940" w:type="dxa"/>
            <w:shd w:val="clear" w:color="auto" w:fill="auto"/>
          </w:tcPr>
          <w:p w:rsidR="00A94AB7" w:rsidRPr="008D16E0" w:rsidRDefault="00A94AB7" w:rsidP="00E44C9F">
            <w:pPr>
              <w:jc w:val="both"/>
              <w:rPr>
                <w:sz w:val="22"/>
                <w:szCs w:val="22"/>
              </w:rPr>
            </w:pPr>
            <w:r w:rsidRPr="008D16E0">
              <w:rPr>
                <w:sz w:val="22"/>
                <w:szCs w:val="22"/>
              </w:rPr>
              <w:t>ІІ. Порядок, строки депонування коштів, не сплачених учасникам ІСІ за не пред’явленими до викупу цінними паперами ІСІ</w:t>
            </w:r>
          </w:p>
          <w:p w:rsidR="00A94AB7" w:rsidRPr="008D16E0" w:rsidRDefault="00A94AB7" w:rsidP="00E44C9F">
            <w:pPr>
              <w:jc w:val="both"/>
              <w:rPr>
                <w:sz w:val="22"/>
                <w:szCs w:val="22"/>
              </w:rPr>
            </w:pPr>
            <w:r w:rsidRPr="008D16E0">
              <w:rPr>
                <w:sz w:val="22"/>
                <w:szCs w:val="22"/>
              </w:rPr>
              <w:t>…</w:t>
            </w:r>
          </w:p>
          <w:p w:rsidR="00A94AB7" w:rsidRPr="008D16E0" w:rsidRDefault="00A94AB7" w:rsidP="00E44C9F">
            <w:pPr>
              <w:spacing w:before="100" w:beforeAutospacing="1" w:after="100" w:afterAutospacing="1"/>
              <w:jc w:val="both"/>
              <w:rPr>
                <w:sz w:val="22"/>
                <w:szCs w:val="22"/>
              </w:rPr>
            </w:pPr>
            <w:r w:rsidRPr="008D16E0">
              <w:rPr>
                <w:sz w:val="22"/>
                <w:szCs w:val="22"/>
              </w:rPr>
              <w:t>4. Ліквідаційна комісія зобов’язана забезпечити доступ до інформації про порядок депонування та виплати задепонованих коштів (далі – Інформація) для всіх учасників відповідного ліквідованого ІСІ, які не пред’явили в установлений строк до викупу (з метою розрахунків) належні їм цінні папери ІСІ, шляхом виконання таких заходів:</w:t>
            </w:r>
          </w:p>
          <w:p w:rsidR="00A94AB7" w:rsidRPr="008D16E0" w:rsidRDefault="00A94AB7" w:rsidP="00E44C9F">
            <w:pPr>
              <w:jc w:val="both"/>
              <w:rPr>
                <w:b/>
                <w:sz w:val="22"/>
                <w:szCs w:val="22"/>
              </w:rPr>
            </w:pPr>
            <w:r w:rsidRPr="008D16E0">
              <w:rPr>
                <w:sz w:val="22"/>
                <w:szCs w:val="22"/>
              </w:rPr>
              <w:t>1</w:t>
            </w:r>
            <w:r w:rsidRPr="008D16E0">
              <w:rPr>
                <w:b/>
                <w:sz w:val="22"/>
                <w:szCs w:val="22"/>
              </w:rPr>
              <w:t xml:space="preserve">) </w:t>
            </w:r>
            <w:r w:rsidRPr="008D16E0">
              <w:rPr>
                <w:sz w:val="22"/>
                <w:szCs w:val="22"/>
              </w:rPr>
              <w:t xml:space="preserve">протягом десяти робочих днів з дати депонування коштів </w:t>
            </w:r>
            <w:r w:rsidRPr="008D16E0">
              <w:rPr>
                <w:b/>
                <w:sz w:val="22"/>
                <w:szCs w:val="22"/>
              </w:rPr>
              <w:t xml:space="preserve">розмістити </w:t>
            </w:r>
            <w:r w:rsidRPr="008D16E0">
              <w:rPr>
                <w:sz w:val="22"/>
                <w:szCs w:val="22"/>
              </w:rPr>
              <w:t>Інформацію</w:t>
            </w:r>
            <w:r w:rsidRPr="008D16E0">
              <w:rPr>
                <w:b/>
                <w:sz w:val="22"/>
                <w:szCs w:val="22"/>
              </w:rPr>
              <w:t xml:space="preserve"> в загальнодоступній інформаційній базі даних Комісії про ринок цінних паперів </w:t>
            </w:r>
            <w:r w:rsidRPr="008D16E0">
              <w:rPr>
                <w:sz w:val="22"/>
                <w:szCs w:val="22"/>
              </w:rPr>
              <w:t>та письмово повідомити про неї кожного з таких учасників ІСІ;</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b/>
                <w:sz w:val="22"/>
                <w:szCs w:val="22"/>
              </w:rPr>
            </w:pPr>
            <w:r w:rsidRPr="008D16E0">
              <w:rPr>
                <w:b/>
                <w:sz w:val="22"/>
                <w:szCs w:val="22"/>
              </w:rPr>
              <w:t>6</w:t>
            </w:r>
          </w:p>
        </w:tc>
        <w:tc>
          <w:tcPr>
            <w:tcW w:w="5760" w:type="dxa"/>
            <w:shd w:val="clear" w:color="auto" w:fill="auto"/>
          </w:tcPr>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u w:val="single"/>
              </w:rPr>
            </w:pPr>
            <w:r w:rsidRPr="008D16E0">
              <w:rPr>
                <w:b/>
                <w:sz w:val="22"/>
                <w:szCs w:val="22"/>
                <w:u w:val="single"/>
              </w:rPr>
              <w:t>Положення про порядок заміни особи, яка провадить діяльність з управління активами пенсійного фонду, затверджене рішенням Державної комісії з цінних паперів та фондового ринку від 18.08.2004 № 348 (у редакції рішення Національної комісії з цінних паперів та фондового ринку від 09.07.2013 № 1186), зареєстроване в Міністерстві юстиції України 25.08.2004 за № 1049/9648.</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bCs/>
                <w:sz w:val="22"/>
                <w:szCs w:val="22"/>
              </w:rPr>
            </w:pPr>
          </w:p>
        </w:tc>
        <w:tc>
          <w:tcPr>
            <w:tcW w:w="5940" w:type="dxa"/>
            <w:shd w:val="clear" w:color="auto" w:fill="auto"/>
          </w:tcPr>
          <w:p w:rsidR="00A94AB7" w:rsidRPr="008D16E0" w:rsidRDefault="00A94AB7" w:rsidP="00E44C9F">
            <w:pPr>
              <w:jc w:val="both"/>
              <w:rPr>
                <w:b/>
                <w:sz w:val="22"/>
                <w:szCs w:val="22"/>
              </w:rPr>
            </w:pPr>
            <w:r w:rsidRPr="008D16E0">
              <w:rPr>
                <w:b/>
                <w:sz w:val="22"/>
                <w:szCs w:val="22"/>
                <w:u w:val="single"/>
              </w:rPr>
              <w:t>Положення про порядок заміни особи, яка провадить діяльність з управління активами пенсійного фонду, затверджене рішенням Державної комісії з цінних паперів та фондового ринку від 18.08.2004 № 348 (у редакції рішення Національної комісії з цінних паперів та фондового ринку від 09.07.2013 № 1186), зареєстроване в Міністерстві юстиції України 25.08.2004 за № 1049/9648.</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D16E0">
              <w:rPr>
                <w:sz w:val="22"/>
                <w:szCs w:val="22"/>
              </w:rPr>
              <w:t xml:space="preserve">ІІ. Порядок заміни Особи у разі закінчення строку </w:t>
            </w:r>
            <w:r w:rsidRPr="008D16E0">
              <w:rPr>
                <w:sz w:val="22"/>
                <w:szCs w:val="22"/>
              </w:rPr>
              <w:lastRenderedPageBreak/>
              <w:t>договору про управління активами</w:t>
            </w:r>
          </w:p>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D16E0">
              <w:rPr>
                <w:sz w:val="22"/>
                <w:szCs w:val="22"/>
              </w:rPr>
              <w:t>…</w:t>
            </w:r>
          </w:p>
          <w:p w:rsidR="00A94AB7" w:rsidRPr="008D16E0" w:rsidRDefault="00A94AB7" w:rsidP="00E44C9F">
            <w:pPr>
              <w:jc w:val="both"/>
              <w:rPr>
                <w:sz w:val="22"/>
                <w:szCs w:val="22"/>
              </w:rPr>
            </w:pPr>
            <w:r w:rsidRPr="008D16E0">
              <w:rPr>
                <w:sz w:val="22"/>
                <w:szCs w:val="22"/>
              </w:rPr>
              <w:t>3. Щодо призначення Особи, яка тимчасово здійснюватиме управління активами цього пенсійного фонду, Комісія здійснює такі заходи:</w:t>
            </w:r>
          </w:p>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D16E0">
              <w:rPr>
                <w:sz w:val="22"/>
                <w:szCs w:val="22"/>
              </w:rPr>
              <w:t xml:space="preserve">1) протягом 10 робочих днів з дати отримання повідомлення від ради фонду про неукладання договору про управління активами пенсійного фонду Комісія </w:t>
            </w:r>
            <w:r w:rsidRPr="008D16E0">
              <w:rPr>
                <w:b/>
                <w:sz w:val="22"/>
                <w:szCs w:val="22"/>
                <w:u w:val="single"/>
              </w:rPr>
              <w:t xml:space="preserve">публікує </w:t>
            </w:r>
            <w:r w:rsidRPr="008D16E0">
              <w:rPr>
                <w:sz w:val="22"/>
                <w:szCs w:val="22"/>
              </w:rPr>
              <w:t xml:space="preserve">інформацію про цей пенсійний фонд, склад та структуру активів фонду </w:t>
            </w:r>
            <w:r w:rsidRPr="008D16E0">
              <w:rPr>
                <w:b/>
                <w:sz w:val="22"/>
                <w:szCs w:val="22"/>
                <w:u w:val="single"/>
              </w:rPr>
              <w:t>в одному з офіційних видань</w:t>
            </w:r>
            <w:r w:rsidRPr="008D16E0">
              <w:rPr>
                <w:sz w:val="22"/>
                <w:szCs w:val="22"/>
              </w:rPr>
              <w:t xml:space="preserve"> Комісії та повідомляє про прийняття заяв від Осіб щодо їх бажання здійснювати тимчасове управління активами цього пенсійного фонду;</w:t>
            </w:r>
          </w:p>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D16E0">
              <w:rPr>
                <w:sz w:val="22"/>
                <w:szCs w:val="22"/>
              </w:rPr>
              <w:t>2) протягом 10 робочих днів з дати</w:t>
            </w:r>
            <w:r w:rsidRPr="008D16E0">
              <w:rPr>
                <w:b/>
                <w:sz w:val="22"/>
                <w:szCs w:val="22"/>
                <w:u w:val="single"/>
              </w:rPr>
              <w:t xml:space="preserve"> публікації</w:t>
            </w:r>
            <w:r w:rsidRPr="008D16E0">
              <w:rPr>
                <w:sz w:val="22"/>
                <w:szCs w:val="22"/>
              </w:rPr>
              <w:t xml:space="preserve"> Комісія приймає заяви від Осіб, які виявили бажання здійснювати тимчасове управління активами цього пенсійного фонду. До цих заяв Особи додають інформацію щодо наявної ліцензії, фінансового стану, переліку інституційних інвесторів, управління активами яких здійснює така Особа, наявності застосування санкцій до цієї Особи;</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r w:rsidRPr="008D16E0">
              <w:rPr>
                <w:bCs/>
                <w:sz w:val="22"/>
                <w:szCs w:val="22"/>
              </w:rPr>
              <w:t>У підпункті 1 пункту 3 розділу ІІ:</w:t>
            </w:r>
          </w:p>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r w:rsidRPr="008D16E0">
              <w:rPr>
                <w:bCs/>
                <w:sz w:val="22"/>
                <w:szCs w:val="22"/>
              </w:rPr>
              <w:t>слово "публікує" замінити словом "оприлюднює";</w:t>
            </w:r>
          </w:p>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r w:rsidRPr="008D16E0">
              <w:rPr>
                <w:bCs/>
                <w:sz w:val="22"/>
                <w:szCs w:val="22"/>
              </w:rPr>
              <w:t>слова "</w:t>
            </w:r>
            <w:r w:rsidRPr="008D16E0">
              <w:rPr>
                <w:sz w:val="22"/>
                <w:szCs w:val="22"/>
              </w:rPr>
              <w:t>в одному з офіційних видань</w:t>
            </w:r>
            <w:r w:rsidRPr="008D16E0">
              <w:rPr>
                <w:bCs/>
                <w:sz w:val="22"/>
                <w:szCs w:val="22"/>
              </w:rPr>
              <w:t>" замінити словами "на офіційному веб-сайті Комісії".</w:t>
            </w:r>
          </w:p>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r w:rsidRPr="008D16E0">
              <w:rPr>
                <w:bCs/>
                <w:sz w:val="22"/>
                <w:szCs w:val="22"/>
              </w:rPr>
              <w:t>У підпункті 2 пункту 3 розділу ІІ слово "публікації" замінити словом "оприлюднення".</w:t>
            </w:r>
          </w:p>
          <w:p w:rsidR="00A94AB7" w:rsidRPr="008D16E0" w:rsidRDefault="00A94AB7" w:rsidP="00E44C9F">
            <w:pPr>
              <w:pStyle w:val="tjbmf"/>
              <w:shd w:val="clear" w:color="auto" w:fill="FFFFFF"/>
              <w:spacing w:before="0" w:beforeAutospacing="0" w:after="0" w:afterAutospacing="0"/>
              <w:jc w:val="both"/>
              <w:rPr>
                <w:bCs/>
                <w:sz w:val="22"/>
                <w:szCs w:val="22"/>
              </w:rPr>
            </w:pPr>
          </w:p>
        </w:tc>
        <w:tc>
          <w:tcPr>
            <w:tcW w:w="5940" w:type="dxa"/>
            <w:shd w:val="clear" w:color="auto" w:fill="auto"/>
          </w:tcPr>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D16E0">
              <w:rPr>
                <w:sz w:val="22"/>
                <w:szCs w:val="22"/>
              </w:rPr>
              <w:lastRenderedPageBreak/>
              <w:t xml:space="preserve">ІІ. Порядок заміни Особи у разі закінчення строку договору </w:t>
            </w:r>
            <w:r w:rsidRPr="008D16E0">
              <w:rPr>
                <w:sz w:val="22"/>
                <w:szCs w:val="22"/>
              </w:rPr>
              <w:lastRenderedPageBreak/>
              <w:t>про управління активами</w:t>
            </w:r>
          </w:p>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D16E0">
              <w:rPr>
                <w:sz w:val="22"/>
                <w:szCs w:val="22"/>
              </w:rPr>
              <w:t>…</w:t>
            </w:r>
          </w:p>
          <w:p w:rsidR="00A94AB7" w:rsidRPr="008D16E0" w:rsidRDefault="00A94AB7" w:rsidP="00E44C9F">
            <w:pPr>
              <w:jc w:val="both"/>
              <w:rPr>
                <w:sz w:val="22"/>
                <w:szCs w:val="22"/>
              </w:rPr>
            </w:pPr>
            <w:r w:rsidRPr="008D16E0">
              <w:rPr>
                <w:sz w:val="22"/>
                <w:szCs w:val="22"/>
              </w:rPr>
              <w:t>3. Щодо призначення Особи, яка тимчасово здійснюватиме управління активами цього пенсійного фонду, Комісія здійснює такі заходи:</w:t>
            </w:r>
          </w:p>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D16E0">
              <w:rPr>
                <w:sz w:val="22"/>
                <w:szCs w:val="22"/>
              </w:rPr>
              <w:t xml:space="preserve">1) протягом 10 робочих днів з дати отримання повідомлення від ради фонду про неукладання договору про управління активами пенсійного фонду Комісія </w:t>
            </w:r>
            <w:r w:rsidRPr="008D16E0">
              <w:rPr>
                <w:b/>
                <w:sz w:val="22"/>
                <w:szCs w:val="22"/>
                <w:u w:val="single"/>
              </w:rPr>
              <w:t xml:space="preserve">оприлюднює </w:t>
            </w:r>
            <w:r w:rsidRPr="008D16E0">
              <w:rPr>
                <w:sz w:val="22"/>
                <w:szCs w:val="22"/>
              </w:rPr>
              <w:t xml:space="preserve">інформацію про цей пенсійний фонд, склад та структуру активів фонду </w:t>
            </w:r>
            <w:r w:rsidRPr="008D16E0">
              <w:rPr>
                <w:b/>
                <w:sz w:val="22"/>
                <w:szCs w:val="22"/>
                <w:u w:val="single"/>
              </w:rPr>
              <w:t>на офіційному веб-сайті</w:t>
            </w:r>
            <w:r w:rsidRPr="008D16E0">
              <w:rPr>
                <w:sz w:val="22"/>
                <w:szCs w:val="22"/>
              </w:rPr>
              <w:t xml:space="preserve"> Комісії та повідомляє про прийняття заяв від Осіб щодо їх бажання здійснювати тимчасове управління активами цього пенсійного фонду;</w:t>
            </w:r>
          </w:p>
          <w:p w:rsidR="00A94AB7" w:rsidRPr="008D16E0" w:rsidRDefault="00A94AB7" w:rsidP="00E44C9F">
            <w:pPr>
              <w:jc w:val="both"/>
              <w:rPr>
                <w:b/>
                <w:sz w:val="22"/>
                <w:szCs w:val="22"/>
              </w:rPr>
            </w:pPr>
            <w:r w:rsidRPr="008D16E0">
              <w:rPr>
                <w:sz w:val="22"/>
                <w:szCs w:val="22"/>
              </w:rPr>
              <w:t xml:space="preserve">2) протягом 10 робочих днів з дати </w:t>
            </w:r>
            <w:r w:rsidRPr="008D16E0">
              <w:rPr>
                <w:b/>
                <w:sz w:val="22"/>
                <w:szCs w:val="22"/>
                <w:u w:val="single"/>
              </w:rPr>
              <w:t xml:space="preserve">оприлюднення </w:t>
            </w:r>
            <w:r w:rsidRPr="008D16E0">
              <w:rPr>
                <w:sz w:val="22"/>
                <w:szCs w:val="22"/>
              </w:rPr>
              <w:t>Комісія приймає заяви від Осіб, які виявили бажання здійснювати тимчасове управління активами цього пенсійного фонду. До цих заяв Особи додають інформацію щодо наявної ліцензії, фінансового стану, переліку інституційних інвесторів, управління активами яких здійснює така Особа, наявності застосування санкцій до цієї Особи;</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b/>
                <w:sz w:val="22"/>
                <w:szCs w:val="22"/>
              </w:rPr>
            </w:pPr>
            <w:r w:rsidRPr="008D16E0">
              <w:rPr>
                <w:b/>
                <w:sz w:val="22"/>
                <w:szCs w:val="22"/>
              </w:rPr>
              <w:lastRenderedPageBreak/>
              <w:t>7</w:t>
            </w:r>
          </w:p>
        </w:tc>
        <w:tc>
          <w:tcPr>
            <w:tcW w:w="5760" w:type="dxa"/>
            <w:shd w:val="clear" w:color="auto" w:fill="auto"/>
          </w:tcPr>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u w:val="single"/>
              </w:rPr>
            </w:pPr>
            <w:r w:rsidRPr="008D16E0">
              <w:rPr>
                <w:b/>
                <w:sz w:val="22"/>
                <w:szCs w:val="22"/>
                <w:u w:val="single"/>
              </w:rPr>
              <w:t xml:space="preserve">Положення про об’єднання професійних учасників фондового ринку», затверджене рішенням НКЦПФР від 27.12.2012  № 1925, </w:t>
            </w:r>
            <w:r w:rsidRPr="008D16E0">
              <w:rPr>
                <w:rStyle w:val="rvts9"/>
                <w:b/>
                <w:sz w:val="22"/>
                <w:szCs w:val="22"/>
                <w:u w:val="single"/>
              </w:rPr>
              <w:t>зареєстроване в Міністерстві</w:t>
            </w:r>
            <w:r w:rsidRPr="008D16E0">
              <w:rPr>
                <w:b/>
                <w:sz w:val="22"/>
                <w:szCs w:val="22"/>
                <w:u w:val="single"/>
              </w:rPr>
              <w:t xml:space="preserve"> </w:t>
            </w:r>
            <w:r w:rsidRPr="008D16E0">
              <w:rPr>
                <w:rStyle w:val="rvts9"/>
                <w:b/>
                <w:sz w:val="22"/>
                <w:szCs w:val="22"/>
                <w:u w:val="single"/>
              </w:rPr>
              <w:t>юстиції України 25 січня 2013 р. за № 182/22714.</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bCs/>
                <w:sz w:val="22"/>
                <w:szCs w:val="22"/>
              </w:rPr>
            </w:pPr>
          </w:p>
        </w:tc>
        <w:tc>
          <w:tcPr>
            <w:tcW w:w="5940" w:type="dxa"/>
            <w:shd w:val="clear" w:color="auto" w:fill="auto"/>
          </w:tcPr>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D16E0">
              <w:rPr>
                <w:b/>
                <w:sz w:val="22"/>
                <w:szCs w:val="22"/>
                <w:u w:val="single"/>
              </w:rPr>
              <w:t xml:space="preserve">Рішення НКЦПФР від 27.12.2012  № 1925 «Про затвердження Положення про об’єднання професійних учасників фондового ринку», </w:t>
            </w:r>
            <w:r w:rsidRPr="008D16E0">
              <w:rPr>
                <w:rStyle w:val="rvts9"/>
                <w:b/>
                <w:sz w:val="22"/>
                <w:szCs w:val="22"/>
                <w:u w:val="single"/>
              </w:rPr>
              <w:t>зареєстровано в Міністерстві</w:t>
            </w:r>
            <w:r w:rsidRPr="008D16E0">
              <w:rPr>
                <w:b/>
                <w:sz w:val="22"/>
                <w:szCs w:val="22"/>
                <w:u w:val="single"/>
              </w:rPr>
              <w:t xml:space="preserve"> </w:t>
            </w:r>
            <w:r w:rsidRPr="008D16E0">
              <w:rPr>
                <w:rStyle w:val="rvts9"/>
                <w:b/>
                <w:sz w:val="22"/>
                <w:szCs w:val="22"/>
                <w:u w:val="single"/>
              </w:rPr>
              <w:t>юстиції України 25 січня 2013 р. за № 182/22714.</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rvps7"/>
              <w:spacing w:before="0" w:beforeAutospacing="0" w:after="0" w:afterAutospacing="0"/>
              <w:jc w:val="both"/>
              <w:rPr>
                <w:rStyle w:val="rvts15"/>
                <w:b/>
                <w:sz w:val="22"/>
                <w:szCs w:val="22"/>
              </w:rPr>
            </w:pPr>
            <w:r w:rsidRPr="008D16E0">
              <w:rPr>
                <w:rStyle w:val="rvts15"/>
                <w:b/>
                <w:sz w:val="22"/>
                <w:szCs w:val="22"/>
              </w:rPr>
              <w:t>ІІ. Об’єднання професійних учасників фондового ринку</w:t>
            </w:r>
          </w:p>
          <w:p w:rsidR="00A94AB7" w:rsidRPr="008D16E0" w:rsidRDefault="00A94AB7" w:rsidP="00E44C9F">
            <w:pPr>
              <w:pStyle w:val="rvps7"/>
              <w:spacing w:before="0" w:beforeAutospacing="0" w:after="0" w:afterAutospacing="0"/>
              <w:jc w:val="both"/>
              <w:rPr>
                <w:b/>
                <w:sz w:val="22"/>
                <w:szCs w:val="22"/>
              </w:rPr>
            </w:pPr>
            <w:r w:rsidRPr="008D16E0">
              <w:rPr>
                <w:rStyle w:val="rvts15"/>
                <w:b/>
                <w:sz w:val="22"/>
                <w:szCs w:val="22"/>
              </w:rPr>
              <w:t>…</w:t>
            </w:r>
          </w:p>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u w:val="single"/>
              </w:rPr>
            </w:pPr>
            <w:r w:rsidRPr="008D16E0">
              <w:rPr>
                <w:b/>
                <w:sz w:val="22"/>
                <w:szCs w:val="22"/>
              </w:rPr>
              <w:t>8.</w:t>
            </w:r>
            <w:r w:rsidRPr="008D16E0">
              <w:rPr>
                <w:sz w:val="22"/>
                <w:szCs w:val="22"/>
              </w:rPr>
              <w:t xml:space="preserve"> Рішення НКЦПФР про реєстрацію ОПУ та видачу свідоцтва про реєстрацію ОПУ або відмову в реєстрації ОПУ і видачі свідоцтва про реєстрацію ОПУ </w:t>
            </w:r>
            <w:r w:rsidRPr="008D16E0">
              <w:rPr>
                <w:b/>
                <w:sz w:val="22"/>
                <w:szCs w:val="22"/>
                <w:u w:val="single"/>
              </w:rPr>
              <w:t>публікується в офіційному друкованому виданні НКЦПФР.</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bCs/>
                <w:sz w:val="22"/>
                <w:szCs w:val="22"/>
              </w:rPr>
            </w:pPr>
            <w:r w:rsidRPr="008D16E0">
              <w:rPr>
                <w:bCs/>
                <w:sz w:val="22"/>
                <w:szCs w:val="22"/>
              </w:rPr>
              <w:t>У пункті 8 розділу ІІ слова: "</w:t>
            </w:r>
            <w:r w:rsidRPr="008D16E0">
              <w:rPr>
                <w:sz w:val="22"/>
                <w:szCs w:val="22"/>
              </w:rPr>
              <w:t>публікується в офіційному друкованому виданні НКЦПФР.</w:t>
            </w:r>
            <w:r w:rsidRPr="008D16E0">
              <w:rPr>
                <w:bCs/>
                <w:sz w:val="22"/>
                <w:szCs w:val="22"/>
              </w:rPr>
              <w:t xml:space="preserve">" замінити словами: "оприлюднюється на офіційному веб-сайті Комісії" </w:t>
            </w:r>
          </w:p>
        </w:tc>
        <w:tc>
          <w:tcPr>
            <w:tcW w:w="5940" w:type="dxa"/>
            <w:shd w:val="clear" w:color="auto" w:fill="auto"/>
          </w:tcPr>
          <w:p w:rsidR="00A94AB7" w:rsidRPr="008D16E0" w:rsidRDefault="00A94AB7" w:rsidP="00E44C9F">
            <w:pPr>
              <w:pStyle w:val="rvps7"/>
              <w:spacing w:before="0" w:beforeAutospacing="0" w:after="0" w:afterAutospacing="0"/>
              <w:jc w:val="both"/>
              <w:rPr>
                <w:rStyle w:val="rvts15"/>
                <w:b/>
                <w:sz w:val="22"/>
                <w:szCs w:val="22"/>
              </w:rPr>
            </w:pPr>
            <w:r w:rsidRPr="008D16E0">
              <w:rPr>
                <w:rStyle w:val="rvts15"/>
                <w:b/>
                <w:sz w:val="22"/>
                <w:szCs w:val="22"/>
              </w:rPr>
              <w:t>ІІ. Об’єднання професійних учасників фондового ринку</w:t>
            </w:r>
          </w:p>
          <w:p w:rsidR="00A94AB7" w:rsidRPr="008D16E0" w:rsidRDefault="00A94AB7" w:rsidP="00E44C9F">
            <w:pPr>
              <w:pStyle w:val="rvps7"/>
              <w:spacing w:before="0" w:beforeAutospacing="0" w:after="0" w:afterAutospacing="0"/>
              <w:jc w:val="both"/>
              <w:rPr>
                <w:b/>
                <w:sz w:val="22"/>
                <w:szCs w:val="22"/>
              </w:rPr>
            </w:pPr>
            <w:r w:rsidRPr="008D16E0">
              <w:rPr>
                <w:rStyle w:val="rvts15"/>
                <w:b/>
                <w:sz w:val="22"/>
                <w:szCs w:val="22"/>
              </w:rPr>
              <w:t>…</w:t>
            </w:r>
          </w:p>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D16E0">
              <w:rPr>
                <w:b/>
                <w:sz w:val="22"/>
                <w:szCs w:val="22"/>
              </w:rPr>
              <w:t>8.</w:t>
            </w:r>
            <w:r w:rsidRPr="008D16E0">
              <w:rPr>
                <w:sz w:val="22"/>
                <w:szCs w:val="22"/>
              </w:rPr>
              <w:t xml:space="preserve"> Рішення НКЦПФР про реєстрацію ОПУ та видачу свідоцтва про реєстрацію ОПУ або відмову в реєстрації ОПУ і видачі свідоцтва про реєстрацію ОПУ </w:t>
            </w:r>
            <w:r w:rsidRPr="008D16E0">
              <w:rPr>
                <w:b/>
                <w:sz w:val="22"/>
                <w:szCs w:val="22"/>
              </w:rPr>
              <w:t>оприлюднюється на офіційному веб-сайті НКЦПФР</w:t>
            </w:r>
            <w:r w:rsidRPr="008D16E0">
              <w:rPr>
                <w:sz w:val="22"/>
                <w:szCs w:val="22"/>
              </w:rPr>
              <w:t>.</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jc w:val="both"/>
              <w:rPr>
                <w:b/>
                <w:sz w:val="22"/>
                <w:szCs w:val="22"/>
              </w:rPr>
            </w:pPr>
            <w:r w:rsidRPr="008D16E0">
              <w:rPr>
                <w:b/>
                <w:sz w:val="22"/>
                <w:szCs w:val="22"/>
              </w:rPr>
              <w:t>ІІІ. Саморегулівні організації професійних учасників фондового ринку</w:t>
            </w:r>
          </w:p>
          <w:p w:rsidR="00A94AB7" w:rsidRPr="008D16E0" w:rsidRDefault="00A94AB7" w:rsidP="00E44C9F">
            <w:pPr>
              <w:jc w:val="both"/>
              <w:rPr>
                <w:b/>
                <w:sz w:val="22"/>
                <w:szCs w:val="22"/>
              </w:rPr>
            </w:pPr>
            <w:r w:rsidRPr="008D16E0">
              <w:rPr>
                <w:b/>
                <w:sz w:val="22"/>
                <w:szCs w:val="22"/>
              </w:rPr>
              <w:t>…</w:t>
            </w:r>
          </w:p>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u w:val="single"/>
              </w:rPr>
            </w:pPr>
            <w:r w:rsidRPr="008D16E0">
              <w:rPr>
                <w:b/>
                <w:sz w:val="22"/>
                <w:szCs w:val="22"/>
              </w:rPr>
              <w:t>12.</w:t>
            </w:r>
            <w:r w:rsidRPr="008D16E0">
              <w:rPr>
                <w:sz w:val="22"/>
                <w:szCs w:val="22"/>
              </w:rPr>
              <w:t xml:space="preserve"> Рішення НКЦПФР про надання ОПУ статусу СРО та видачу Свідоцтва СРО та про відмову в наданні ОПУ статусу СРО та видачі Свідоцтва СРО </w:t>
            </w:r>
            <w:r w:rsidRPr="008D16E0">
              <w:rPr>
                <w:b/>
                <w:sz w:val="22"/>
                <w:szCs w:val="22"/>
                <w:u w:val="single"/>
              </w:rPr>
              <w:t>публікується в офіційному друкованому виданні НКЦПФР.</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bCs/>
                <w:sz w:val="22"/>
                <w:szCs w:val="22"/>
              </w:rPr>
            </w:pPr>
            <w:r w:rsidRPr="008D16E0">
              <w:rPr>
                <w:bCs/>
                <w:sz w:val="22"/>
                <w:szCs w:val="22"/>
              </w:rPr>
              <w:t>У пункті 12 розділу ІІІ слова: "</w:t>
            </w:r>
            <w:r w:rsidRPr="008D16E0">
              <w:rPr>
                <w:sz w:val="22"/>
                <w:szCs w:val="22"/>
              </w:rPr>
              <w:t>публікується в офіційному друкованому виданні НКЦПФР.</w:t>
            </w:r>
            <w:r w:rsidRPr="008D16E0">
              <w:rPr>
                <w:bCs/>
                <w:sz w:val="22"/>
                <w:szCs w:val="22"/>
              </w:rPr>
              <w:t>" замінити словами: "оприлюднюється на офіційному веб-сайті Комісії"</w:t>
            </w:r>
          </w:p>
        </w:tc>
        <w:tc>
          <w:tcPr>
            <w:tcW w:w="5940" w:type="dxa"/>
            <w:shd w:val="clear" w:color="auto" w:fill="auto"/>
          </w:tcPr>
          <w:p w:rsidR="00A94AB7" w:rsidRPr="008D16E0" w:rsidRDefault="00A94AB7" w:rsidP="00E44C9F">
            <w:pPr>
              <w:jc w:val="both"/>
              <w:rPr>
                <w:b/>
                <w:sz w:val="22"/>
                <w:szCs w:val="22"/>
              </w:rPr>
            </w:pPr>
            <w:r w:rsidRPr="008D16E0">
              <w:rPr>
                <w:b/>
                <w:sz w:val="22"/>
                <w:szCs w:val="22"/>
              </w:rPr>
              <w:t>ІІІ. Саморегулівні організації професійних учасників фондового ринку</w:t>
            </w:r>
          </w:p>
          <w:p w:rsidR="00A94AB7" w:rsidRPr="008D16E0" w:rsidRDefault="00A94AB7" w:rsidP="00E44C9F">
            <w:pPr>
              <w:jc w:val="both"/>
              <w:rPr>
                <w:b/>
                <w:sz w:val="22"/>
                <w:szCs w:val="22"/>
              </w:rPr>
            </w:pPr>
            <w:r w:rsidRPr="008D16E0">
              <w:rPr>
                <w:b/>
                <w:sz w:val="22"/>
                <w:szCs w:val="22"/>
              </w:rPr>
              <w:t>…</w:t>
            </w:r>
          </w:p>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D16E0">
              <w:rPr>
                <w:b/>
                <w:sz w:val="22"/>
                <w:szCs w:val="22"/>
              </w:rPr>
              <w:t>12.</w:t>
            </w:r>
            <w:r w:rsidRPr="008D16E0">
              <w:rPr>
                <w:sz w:val="22"/>
                <w:szCs w:val="22"/>
              </w:rPr>
              <w:t xml:space="preserve"> Рішення НКЦПФР про надання ОПУ статусу СРО та видачу Свідоцтва СРО та про відмову в наданні ОПУ статусу СРО та видачі Свідоцтва СРО </w:t>
            </w:r>
            <w:r w:rsidRPr="008D16E0">
              <w:rPr>
                <w:b/>
                <w:sz w:val="22"/>
                <w:szCs w:val="22"/>
              </w:rPr>
              <w:t>оприлюднюється на офіційному веб-сайті НКЦПФР.</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b/>
                <w:sz w:val="22"/>
                <w:szCs w:val="22"/>
              </w:rPr>
            </w:pPr>
            <w:r w:rsidRPr="008D16E0">
              <w:rPr>
                <w:b/>
                <w:sz w:val="22"/>
                <w:szCs w:val="22"/>
              </w:rPr>
              <w:lastRenderedPageBreak/>
              <w:t>8</w:t>
            </w:r>
          </w:p>
        </w:tc>
        <w:tc>
          <w:tcPr>
            <w:tcW w:w="5760" w:type="dxa"/>
            <w:shd w:val="clear" w:color="auto" w:fill="auto"/>
          </w:tcPr>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u w:val="single"/>
              </w:rPr>
            </w:pPr>
            <w:r w:rsidRPr="008D16E0">
              <w:rPr>
                <w:b/>
                <w:sz w:val="22"/>
                <w:szCs w:val="22"/>
                <w:u w:val="single"/>
              </w:rPr>
              <w:t xml:space="preserve">Порядок зупинення дії та анулювання ліцензії на окремі види професійної діяльності на фондовому ринку (ринку цінних паперів)», затверджений рішенням НКЦПФР від 14.05.2013 № 816, </w:t>
            </w:r>
            <w:r w:rsidRPr="008D16E0">
              <w:rPr>
                <w:rStyle w:val="rvts9"/>
                <w:b/>
                <w:sz w:val="22"/>
                <w:szCs w:val="22"/>
                <w:u w:val="single"/>
              </w:rPr>
              <w:t>зареєстрований в Міністерстві</w:t>
            </w:r>
            <w:r w:rsidRPr="008D16E0">
              <w:rPr>
                <w:b/>
                <w:sz w:val="22"/>
                <w:szCs w:val="22"/>
                <w:u w:val="single"/>
              </w:rPr>
              <w:t xml:space="preserve"> </w:t>
            </w:r>
            <w:r w:rsidRPr="008D16E0">
              <w:rPr>
                <w:rStyle w:val="rvts9"/>
                <w:b/>
                <w:sz w:val="22"/>
                <w:szCs w:val="22"/>
                <w:u w:val="single"/>
              </w:rPr>
              <w:t>юстиції України</w:t>
            </w:r>
            <w:r w:rsidRPr="008D16E0">
              <w:rPr>
                <w:b/>
                <w:bCs/>
                <w:color w:val="000000"/>
                <w:sz w:val="22"/>
                <w:szCs w:val="22"/>
                <w:u w:val="single"/>
              </w:rPr>
              <w:t xml:space="preserve"> 01.06.2013 р.</w:t>
            </w:r>
            <w:r w:rsidRPr="008D16E0">
              <w:rPr>
                <w:b/>
                <w:sz w:val="22"/>
                <w:szCs w:val="22"/>
                <w:u w:val="single"/>
              </w:rPr>
              <w:t> </w:t>
            </w:r>
            <w:r w:rsidRPr="008D16E0">
              <w:rPr>
                <w:b/>
                <w:bCs/>
                <w:color w:val="000000"/>
                <w:sz w:val="22"/>
                <w:szCs w:val="22"/>
                <w:u w:val="single"/>
              </w:rPr>
              <w:t>за № 862/23394.</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bCs/>
                <w:sz w:val="22"/>
                <w:szCs w:val="22"/>
              </w:rPr>
            </w:pPr>
          </w:p>
        </w:tc>
        <w:tc>
          <w:tcPr>
            <w:tcW w:w="5940" w:type="dxa"/>
            <w:shd w:val="clear" w:color="auto" w:fill="auto"/>
          </w:tcPr>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D16E0">
              <w:rPr>
                <w:b/>
                <w:sz w:val="22"/>
                <w:szCs w:val="22"/>
                <w:u w:val="single"/>
              </w:rPr>
              <w:t xml:space="preserve">Рішення НКЦПФР від 14.05.2013 № 816 «Про затвердження Порядку зупинення дії та анулювання ліцензії на окремі види професійної діяльності на фондовому ринку (ринку цінних паперів)», </w:t>
            </w:r>
            <w:r w:rsidRPr="008D16E0">
              <w:rPr>
                <w:rStyle w:val="rvts9"/>
                <w:b/>
                <w:sz w:val="22"/>
                <w:szCs w:val="22"/>
                <w:u w:val="single"/>
              </w:rPr>
              <w:t>зареєстровано в Міністерстві</w:t>
            </w:r>
            <w:r w:rsidRPr="008D16E0">
              <w:rPr>
                <w:b/>
                <w:sz w:val="22"/>
                <w:szCs w:val="22"/>
                <w:u w:val="single"/>
              </w:rPr>
              <w:t xml:space="preserve"> </w:t>
            </w:r>
            <w:r w:rsidRPr="008D16E0">
              <w:rPr>
                <w:rStyle w:val="rvts9"/>
                <w:b/>
                <w:sz w:val="22"/>
                <w:szCs w:val="22"/>
                <w:u w:val="single"/>
              </w:rPr>
              <w:t>юстиції України</w:t>
            </w:r>
            <w:r w:rsidRPr="008D16E0">
              <w:rPr>
                <w:b/>
                <w:bCs/>
                <w:color w:val="000000"/>
                <w:sz w:val="22"/>
                <w:szCs w:val="22"/>
                <w:u w:val="single"/>
              </w:rPr>
              <w:t xml:space="preserve"> 1 червня 2013 р.</w:t>
            </w:r>
            <w:r w:rsidRPr="008D16E0">
              <w:rPr>
                <w:b/>
                <w:sz w:val="22"/>
                <w:szCs w:val="22"/>
                <w:u w:val="single"/>
              </w:rPr>
              <w:t> </w:t>
            </w:r>
            <w:r w:rsidRPr="008D16E0">
              <w:rPr>
                <w:b/>
                <w:bCs/>
                <w:color w:val="000000"/>
                <w:sz w:val="22"/>
                <w:szCs w:val="22"/>
                <w:u w:val="single"/>
              </w:rPr>
              <w:t>за № 862/23394.</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shd w:val="clear" w:color="auto" w:fill="FFFFFF"/>
              <w:jc w:val="both"/>
              <w:rPr>
                <w:b/>
                <w:bCs/>
                <w:color w:val="000000"/>
                <w:sz w:val="22"/>
                <w:szCs w:val="22"/>
              </w:rPr>
            </w:pPr>
            <w:r w:rsidRPr="008D16E0">
              <w:rPr>
                <w:b/>
                <w:bCs/>
                <w:color w:val="000000"/>
                <w:sz w:val="22"/>
                <w:szCs w:val="22"/>
              </w:rPr>
              <w:t>ІІ. Зупинення дії ліцензії</w:t>
            </w:r>
          </w:p>
          <w:p w:rsidR="00A94AB7" w:rsidRPr="008D16E0" w:rsidRDefault="00A94AB7" w:rsidP="00E44C9F">
            <w:pPr>
              <w:shd w:val="clear" w:color="auto" w:fill="FFFFFF"/>
              <w:jc w:val="both"/>
              <w:rPr>
                <w:color w:val="000000"/>
                <w:sz w:val="22"/>
                <w:szCs w:val="22"/>
              </w:rPr>
            </w:pPr>
            <w:r w:rsidRPr="008D16E0">
              <w:rPr>
                <w:b/>
                <w:bCs/>
                <w:color w:val="000000"/>
                <w:sz w:val="22"/>
                <w:szCs w:val="22"/>
              </w:rPr>
              <w:t>……</w:t>
            </w:r>
          </w:p>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u w:val="single"/>
              </w:rPr>
            </w:pPr>
            <w:r w:rsidRPr="008D16E0">
              <w:rPr>
                <w:b/>
                <w:color w:val="000000"/>
                <w:sz w:val="22"/>
                <w:szCs w:val="22"/>
              </w:rPr>
              <w:t>6.</w:t>
            </w:r>
            <w:r w:rsidRPr="008D16E0">
              <w:rPr>
                <w:color w:val="000000"/>
                <w:sz w:val="22"/>
                <w:szCs w:val="22"/>
              </w:rPr>
              <w:t xml:space="preserve"> Комісія протягом 5 робочих днів з дати прийняття відповідної постанови (рішення) розміщує </w:t>
            </w:r>
            <w:r w:rsidRPr="008D16E0">
              <w:rPr>
                <w:b/>
                <w:color w:val="000000"/>
                <w:sz w:val="22"/>
                <w:szCs w:val="22"/>
              </w:rPr>
              <w:t xml:space="preserve">на офіційному сайті Комісії та публікує в офіційному виданні </w:t>
            </w:r>
            <w:r w:rsidRPr="008D16E0">
              <w:rPr>
                <w:color w:val="000000"/>
                <w:sz w:val="22"/>
                <w:szCs w:val="22"/>
              </w:rPr>
              <w:t>Комісії інформацію про зупинення (відновлення) дії ліцензії, а також у разі зупинення дії (відновлення дії) ліцензії на провадження депозитарної діяльності депозитарної установи надсилає копію такої постанови (такого рішення) Центральному депозитарію цінних паперів та Національному банку України.</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sz w:val="22"/>
                <w:szCs w:val="22"/>
              </w:rPr>
            </w:pPr>
            <w:r w:rsidRPr="008D16E0">
              <w:rPr>
                <w:bCs/>
                <w:sz w:val="22"/>
                <w:szCs w:val="22"/>
              </w:rPr>
              <w:t>У пункті 6 розділу ІІ слова: "</w:t>
            </w:r>
            <w:r w:rsidRPr="008D16E0">
              <w:rPr>
                <w:color w:val="000000"/>
                <w:sz w:val="22"/>
                <w:szCs w:val="22"/>
              </w:rPr>
              <w:t xml:space="preserve"> на офіційному сайті Комісії та публікує в офіційному виданні </w:t>
            </w:r>
            <w:r w:rsidRPr="008D16E0">
              <w:rPr>
                <w:bCs/>
                <w:sz w:val="22"/>
                <w:szCs w:val="22"/>
              </w:rPr>
              <w:t>" замінити словами: "</w:t>
            </w:r>
            <w:r w:rsidRPr="008D16E0">
              <w:rPr>
                <w:color w:val="000000"/>
                <w:sz w:val="22"/>
                <w:szCs w:val="22"/>
              </w:rPr>
              <w:t>розміщує на офіційному веб-сайті</w:t>
            </w:r>
            <w:r w:rsidRPr="008D16E0">
              <w:rPr>
                <w:bCs/>
                <w:sz w:val="22"/>
                <w:szCs w:val="22"/>
              </w:rPr>
              <w:t xml:space="preserve">". </w:t>
            </w:r>
          </w:p>
          <w:p w:rsidR="00A94AB7" w:rsidRPr="008D16E0" w:rsidRDefault="00A94AB7" w:rsidP="00E44C9F">
            <w:pPr>
              <w:pStyle w:val="tjbmf"/>
              <w:shd w:val="clear" w:color="auto" w:fill="FFFFFF"/>
              <w:spacing w:before="0" w:beforeAutospacing="0" w:after="0" w:afterAutospacing="0"/>
              <w:jc w:val="both"/>
              <w:rPr>
                <w:bCs/>
                <w:sz w:val="22"/>
                <w:szCs w:val="22"/>
              </w:rPr>
            </w:pPr>
          </w:p>
        </w:tc>
        <w:tc>
          <w:tcPr>
            <w:tcW w:w="5940" w:type="dxa"/>
            <w:shd w:val="clear" w:color="auto" w:fill="auto"/>
          </w:tcPr>
          <w:p w:rsidR="00A94AB7" w:rsidRPr="008D16E0" w:rsidRDefault="00A94AB7" w:rsidP="00E44C9F">
            <w:pPr>
              <w:shd w:val="clear" w:color="auto" w:fill="FFFFFF"/>
              <w:jc w:val="both"/>
              <w:rPr>
                <w:b/>
                <w:bCs/>
                <w:color w:val="000000"/>
                <w:sz w:val="22"/>
                <w:szCs w:val="22"/>
              </w:rPr>
            </w:pPr>
            <w:r w:rsidRPr="008D16E0">
              <w:rPr>
                <w:b/>
                <w:bCs/>
                <w:color w:val="000000"/>
                <w:sz w:val="22"/>
                <w:szCs w:val="22"/>
              </w:rPr>
              <w:t>ІІ. Зупинення дії ліцензії</w:t>
            </w:r>
          </w:p>
          <w:p w:rsidR="00A94AB7" w:rsidRPr="008D16E0" w:rsidRDefault="00A94AB7" w:rsidP="00E44C9F">
            <w:pPr>
              <w:shd w:val="clear" w:color="auto" w:fill="FFFFFF"/>
              <w:jc w:val="both"/>
              <w:rPr>
                <w:color w:val="000000"/>
                <w:sz w:val="22"/>
                <w:szCs w:val="22"/>
              </w:rPr>
            </w:pPr>
            <w:r w:rsidRPr="008D16E0">
              <w:rPr>
                <w:b/>
                <w:bCs/>
                <w:color w:val="000000"/>
                <w:sz w:val="22"/>
                <w:szCs w:val="22"/>
              </w:rPr>
              <w:t>……</w:t>
            </w:r>
          </w:p>
          <w:p w:rsidR="00A94AB7" w:rsidRPr="008D16E0" w:rsidRDefault="00A94AB7" w:rsidP="00E4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D16E0">
              <w:rPr>
                <w:b/>
                <w:color w:val="000000"/>
                <w:sz w:val="22"/>
                <w:szCs w:val="22"/>
              </w:rPr>
              <w:t>6.</w:t>
            </w:r>
            <w:r w:rsidRPr="008D16E0">
              <w:rPr>
                <w:color w:val="000000"/>
                <w:sz w:val="22"/>
                <w:szCs w:val="22"/>
              </w:rPr>
              <w:t xml:space="preserve"> Комісія протягом 5 робочих днів з дати прийняття відповідної постанови (рішення) </w:t>
            </w:r>
            <w:r w:rsidRPr="008D16E0">
              <w:rPr>
                <w:b/>
                <w:color w:val="000000"/>
                <w:sz w:val="22"/>
                <w:szCs w:val="22"/>
              </w:rPr>
              <w:t>розміщує на офіційному веб-сайті</w:t>
            </w:r>
            <w:r w:rsidRPr="008D16E0">
              <w:rPr>
                <w:color w:val="000000"/>
                <w:sz w:val="22"/>
                <w:szCs w:val="22"/>
              </w:rPr>
              <w:t xml:space="preserve"> Комісії інформацію про зупинення (відновлення) дії ліцензії, а також у разі зупинення дії (відновлення дії) ліцензії на провадження депозитарної діяльності депозитарної установи надсилає копію такої постанови (такого рішення) Центральному депозитарію цінних паперів та Національному банку України.</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shd w:val="clear" w:color="auto" w:fill="FFFFFF"/>
              <w:jc w:val="both"/>
              <w:rPr>
                <w:b/>
                <w:bCs/>
                <w:color w:val="000000"/>
                <w:sz w:val="22"/>
                <w:szCs w:val="22"/>
              </w:rPr>
            </w:pPr>
            <w:r w:rsidRPr="008D16E0">
              <w:rPr>
                <w:b/>
                <w:bCs/>
                <w:color w:val="000000"/>
                <w:sz w:val="22"/>
                <w:szCs w:val="22"/>
              </w:rPr>
              <w:t>IV. Анулювання ліцензії</w:t>
            </w:r>
          </w:p>
          <w:p w:rsidR="00A94AB7" w:rsidRPr="008D16E0" w:rsidRDefault="00A94AB7" w:rsidP="00E44C9F">
            <w:pPr>
              <w:shd w:val="clear" w:color="auto" w:fill="FFFFFF"/>
              <w:jc w:val="both"/>
              <w:rPr>
                <w:color w:val="000000"/>
                <w:sz w:val="22"/>
                <w:szCs w:val="22"/>
              </w:rPr>
            </w:pPr>
            <w:r w:rsidRPr="008D16E0">
              <w:rPr>
                <w:b/>
                <w:bCs/>
                <w:color w:val="000000"/>
                <w:sz w:val="22"/>
                <w:szCs w:val="22"/>
              </w:rPr>
              <w:t>….</w:t>
            </w:r>
          </w:p>
          <w:p w:rsidR="00A94AB7" w:rsidRPr="008D16E0" w:rsidRDefault="00A94AB7" w:rsidP="00E44C9F">
            <w:pPr>
              <w:shd w:val="clear" w:color="auto" w:fill="FFFFFF"/>
              <w:jc w:val="both"/>
              <w:rPr>
                <w:color w:val="000000"/>
                <w:sz w:val="22"/>
                <w:szCs w:val="22"/>
              </w:rPr>
            </w:pPr>
            <w:r w:rsidRPr="008D16E0">
              <w:rPr>
                <w:b/>
                <w:color w:val="000000"/>
                <w:sz w:val="22"/>
                <w:szCs w:val="22"/>
              </w:rPr>
              <w:t>26.</w:t>
            </w:r>
            <w:r w:rsidRPr="008D16E0">
              <w:rPr>
                <w:color w:val="000000"/>
                <w:sz w:val="22"/>
                <w:szCs w:val="22"/>
              </w:rPr>
              <w:t xml:space="preserve"> У разі якщо рішення про анулювання ліцензії скасовується Комісією, то воно набирає чинності з дати його прийняття та підлягає обов'язковому</w:t>
            </w:r>
            <w:r w:rsidRPr="008D16E0">
              <w:rPr>
                <w:b/>
                <w:color w:val="000000"/>
                <w:sz w:val="22"/>
                <w:szCs w:val="22"/>
                <w:u w:val="single"/>
              </w:rPr>
              <w:t xml:space="preserve"> опублікуванню в офіційному виданні Комісії </w:t>
            </w:r>
            <w:r w:rsidRPr="008D16E0">
              <w:rPr>
                <w:color w:val="000000"/>
                <w:sz w:val="22"/>
                <w:szCs w:val="22"/>
              </w:rPr>
              <w:t>протягом 3 робочих днів з дати його прийняття.</w:t>
            </w:r>
          </w:p>
          <w:p w:rsidR="00A94AB7" w:rsidRPr="008D16E0" w:rsidRDefault="00A94AB7" w:rsidP="00E44C9F">
            <w:pPr>
              <w:shd w:val="clear" w:color="auto" w:fill="FFFFFF"/>
              <w:jc w:val="both"/>
              <w:rPr>
                <w:b/>
                <w:bCs/>
                <w:color w:val="000000"/>
                <w:sz w:val="22"/>
                <w:szCs w:val="22"/>
              </w:rPr>
            </w:pPr>
            <w:r w:rsidRPr="008D16E0">
              <w:rPr>
                <w:color w:val="000000"/>
                <w:sz w:val="22"/>
                <w:szCs w:val="22"/>
              </w:rPr>
              <w:t xml:space="preserve">У разі якщо рішення Комісії про анулювання ліцензії скасовується в судовому порядку, то це рішення суду підлягає обов'язковому опублікуванню Комісією </w:t>
            </w:r>
            <w:r w:rsidRPr="008D16E0">
              <w:rPr>
                <w:b/>
                <w:color w:val="000000"/>
                <w:sz w:val="22"/>
                <w:szCs w:val="22"/>
                <w:u w:val="single"/>
              </w:rPr>
              <w:t>в її офіційному виданні</w:t>
            </w:r>
            <w:r w:rsidRPr="008D16E0">
              <w:rPr>
                <w:color w:val="000000"/>
                <w:sz w:val="22"/>
                <w:szCs w:val="22"/>
              </w:rPr>
              <w:t xml:space="preserve"> протягом 3 робочих днів з дати набрання законної сили цим рішенням.</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bCs/>
                <w:sz w:val="22"/>
                <w:szCs w:val="22"/>
              </w:rPr>
            </w:pPr>
          </w:p>
          <w:p w:rsidR="00A94AB7" w:rsidRPr="008D16E0" w:rsidRDefault="00A94AB7" w:rsidP="00E44C9F">
            <w:pPr>
              <w:pStyle w:val="tjbmf"/>
              <w:shd w:val="clear" w:color="auto" w:fill="FFFFFF"/>
              <w:spacing w:before="0" w:beforeAutospacing="0" w:after="0" w:afterAutospacing="0"/>
              <w:jc w:val="both"/>
              <w:rPr>
                <w:bCs/>
                <w:color w:val="000000"/>
                <w:sz w:val="22"/>
                <w:szCs w:val="22"/>
              </w:rPr>
            </w:pPr>
            <w:r w:rsidRPr="008D16E0">
              <w:rPr>
                <w:bCs/>
                <w:sz w:val="22"/>
                <w:szCs w:val="22"/>
              </w:rPr>
              <w:t xml:space="preserve">В абзаці першому пункту 26 розділу </w:t>
            </w:r>
            <w:r w:rsidRPr="008D16E0">
              <w:rPr>
                <w:bCs/>
                <w:color w:val="000000"/>
                <w:sz w:val="22"/>
                <w:szCs w:val="22"/>
              </w:rPr>
              <w:t>IV слова: "</w:t>
            </w:r>
            <w:r w:rsidRPr="008D16E0">
              <w:rPr>
                <w:color w:val="000000"/>
                <w:sz w:val="22"/>
                <w:szCs w:val="22"/>
              </w:rPr>
              <w:t>опублікуванню в офіційному виданні Комісії</w:t>
            </w:r>
            <w:r w:rsidRPr="008D16E0">
              <w:rPr>
                <w:bCs/>
                <w:color w:val="000000"/>
                <w:sz w:val="22"/>
                <w:szCs w:val="22"/>
              </w:rPr>
              <w:t>" замінити словами: "</w:t>
            </w:r>
            <w:r w:rsidRPr="008D16E0">
              <w:rPr>
                <w:color w:val="000000"/>
                <w:sz w:val="22"/>
                <w:szCs w:val="22"/>
              </w:rPr>
              <w:t xml:space="preserve">оприлюдненню </w:t>
            </w:r>
            <w:r w:rsidRPr="008D16E0">
              <w:rPr>
                <w:sz w:val="22"/>
                <w:szCs w:val="22"/>
              </w:rPr>
              <w:t>на офіційному веб-сайті</w:t>
            </w:r>
            <w:r w:rsidRPr="008D16E0">
              <w:rPr>
                <w:color w:val="000000"/>
                <w:sz w:val="22"/>
                <w:szCs w:val="22"/>
              </w:rPr>
              <w:t xml:space="preserve"> Комісії</w:t>
            </w:r>
            <w:r w:rsidRPr="008D16E0">
              <w:rPr>
                <w:bCs/>
                <w:color w:val="000000"/>
                <w:sz w:val="22"/>
                <w:szCs w:val="22"/>
              </w:rPr>
              <w:t xml:space="preserve">".  </w:t>
            </w:r>
          </w:p>
          <w:p w:rsidR="00A94AB7" w:rsidRPr="008D16E0" w:rsidRDefault="00A94AB7" w:rsidP="00E44C9F">
            <w:pPr>
              <w:pStyle w:val="tjbmf"/>
              <w:shd w:val="clear" w:color="auto" w:fill="FFFFFF"/>
              <w:spacing w:before="0" w:beforeAutospacing="0" w:after="0" w:afterAutospacing="0"/>
              <w:jc w:val="both"/>
              <w:rPr>
                <w:bCs/>
                <w:sz w:val="22"/>
                <w:szCs w:val="22"/>
              </w:rPr>
            </w:pPr>
            <w:r w:rsidRPr="008D16E0">
              <w:rPr>
                <w:bCs/>
                <w:sz w:val="22"/>
                <w:szCs w:val="22"/>
              </w:rPr>
              <w:t xml:space="preserve">В абзаці другому першому пункту 26 розділу </w:t>
            </w:r>
            <w:r w:rsidRPr="008D16E0">
              <w:rPr>
                <w:bCs/>
                <w:color w:val="000000"/>
                <w:sz w:val="22"/>
                <w:szCs w:val="22"/>
              </w:rPr>
              <w:t>IV слова: "в її офіційному виданні" замінити словами: "на її офіційному веб-сайті".</w:t>
            </w:r>
          </w:p>
        </w:tc>
        <w:tc>
          <w:tcPr>
            <w:tcW w:w="5940" w:type="dxa"/>
            <w:shd w:val="clear" w:color="auto" w:fill="auto"/>
          </w:tcPr>
          <w:p w:rsidR="00A94AB7" w:rsidRPr="008D16E0" w:rsidRDefault="00A94AB7" w:rsidP="00E44C9F">
            <w:pPr>
              <w:shd w:val="clear" w:color="auto" w:fill="FFFFFF"/>
              <w:jc w:val="both"/>
              <w:rPr>
                <w:b/>
                <w:bCs/>
                <w:color w:val="000000"/>
                <w:sz w:val="22"/>
                <w:szCs w:val="22"/>
              </w:rPr>
            </w:pPr>
            <w:r w:rsidRPr="008D16E0">
              <w:rPr>
                <w:b/>
                <w:bCs/>
                <w:color w:val="000000"/>
                <w:sz w:val="22"/>
                <w:szCs w:val="22"/>
              </w:rPr>
              <w:t>IV. Анулювання ліцензії</w:t>
            </w:r>
          </w:p>
          <w:p w:rsidR="00A94AB7" w:rsidRPr="008D16E0" w:rsidRDefault="00A94AB7" w:rsidP="00E44C9F">
            <w:pPr>
              <w:shd w:val="clear" w:color="auto" w:fill="FFFFFF"/>
              <w:jc w:val="both"/>
              <w:rPr>
                <w:color w:val="000000"/>
                <w:sz w:val="22"/>
                <w:szCs w:val="22"/>
              </w:rPr>
            </w:pPr>
            <w:r w:rsidRPr="008D16E0">
              <w:rPr>
                <w:b/>
                <w:bCs/>
                <w:color w:val="000000"/>
                <w:sz w:val="22"/>
                <w:szCs w:val="22"/>
              </w:rPr>
              <w:t>….</w:t>
            </w:r>
          </w:p>
          <w:p w:rsidR="00A94AB7" w:rsidRPr="008D16E0" w:rsidRDefault="00A94AB7" w:rsidP="00E44C9F">
            <w:pPr>
              <w:shd w:val="clear" w:color="auto" w:fill="FFFFFF"/>
              <w:jc w:val="both"/>
              <w:rPr>
                <w:color w:val="000000"/>
                <w:sz w:val="22"/>
                <w:szCs w:val="22"/>
              </w:rPr>
            </w:pPr>
            <w:r w:rsidRPr="008D16E0">
              <w:rPr>
                <w:b/>
                <w:color w:val="000000"/>
                <w:sz w:val="22"/>
                <w:szCs w:val="22"/>
              </w:rPr>
              <w:t>26.</w:t>
            </w:r>
            <w:r w:rsidRPr="008D16E0">
              <w:rPr>
                <w:color w:val="000000"/>
                <w:sz w:val="22"/>
                <w:szCs w:val="22"/>
              </w:rPr>
              <w:t xml:space="preserve"> У разі якщо рішення про анулювання ліцензії скасовується Комісією, то воно набирає чинності з дати його прийняття та підлягає обов'язковому </w:t>
            </w:r>
            <w:r w:rsidRPr="008D16E0">
              <w:rPr>
                <w:b/>
                <w:color w:val="000000"/>
                <w:sz w:val="22"/>
                <w:szCs w:val="22"/>
              </w:rPr>
              <w:t>оприлюдненню</w:t>
            </w:r>
            <w:r w:rsidRPr="008D16E0">
              <w:rPr>
                <w:color w:val="000000"/>
                <w:sz w:val="22"/>
                <w:szCs w:val="22"/>
              </w:rPr>
              <w:t xml:space="preserve"> </w:t>
            </w:r>
            <w:r w:rsidRPr="008D16E0">
              <w:rPr>
                <w:b/>
                <w:sz w:val="22"/>
                <w:szCs w:val="22"/>
              </w:rPr>
              <w:t>на офіційному веб-сайті</w:t>
            </w:r>
            <w:r w:rsidRPr="008D16E0">
              <w:rPr>
                <w:b/>
                <w:color w:val="000000"/>
                <w:sz w:val="22"/>
                <w:szCs w:val="22"/>
              </w:rPr>
              <w:t xml:space="preserve"> Комісії </w:t>
            </w:r>
            <w:r w:rsidRPr="008D16E0">
              <w:rPr>
                <w:color w:val="000000"/>
                <w:sz w:val="22"/>
                <w:szCs w:val="22"/>
              </w:rPr>
              <w:t>протягом 3 робочих днів з дати його прийняття.</w:t>
            </w:r>
          </w:p>
          <w:p w:rsidR="00A94AB7" w:rsidRPr="008D16E0" w:rsidRDefault="00A94AB7" w:rsidP="00E44C9F">
            <w:pPr>
              <w:shd w:val="clear" w:color="auto" w:fill="FFFFFF"/>
              <w:jc w:val="both"/>
              <w:rPr>
                <w:b/>
                <w:bCs/>
                <w:color w:val="000000"/>
                <w:sz w:val="22"/>
                <w:szCs w:val="22"/>
              </w:rPr>
            </w:pPr>
            <w:r w:rsidRPr="008D16E0">
              <w:rPr>
                <w:color w:val="000000"/>
                <w:sz w:val="22"/>
                <w:szCs w:val="22"/>
              </w:rPr>
              <w:t xml:space="preserve">У разі якщо рішення Комісії про анулювання ліцензії скасовується в судовому порядку, то це рішення суду підлягає обов'язковому опублікуванню Комісією </w:t>
            </w:r>
            <w:r w:rsidRPr="008D16E0">
              <w:rPr>
                <w:b/>
                <w:sz w:val="22"/>
                <w:szCs w:val="22"/>
              </w:rPr>
              <w:t xml:space="preserve">на її офіційному веб-сайті </w:t>
            </w:r>
            <w:r w:rsidRPr="008D16E0">
              <w:rPr>
                <w:color w:val="000000"/>
                <w:sz w:val="22"/>
                <w:szCs w:val="22"/>
              </w:rPr>
              <w:t>протягом 3 робочих днів з дати набрання законної сили цим рішенням.</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b/>
                <w:sz w:val="22"/>
                <w:szCs w:val="22"/>
              </w:rPr>
            </w:pPr>
            <w:r w:rsidRPr="008D16E0">
              <w:rPr>
                <w:b/>
                <w:sz w:val="22"/>
                <w:szCs w:val="22"/>
              </w:rPr>
              <w:t>9</w:t>
            </w:r>
          </w:p>
        </w:tc>
        <w:tc>
          <w:tcPr>
            <w:tcW w:w="5760" w:type="dxa"/>
            <w:shd w:val="clear" w:color="auto" w:fill="auto"/>
          </w:tcPr>
          <w:p w:rsidR="00A94AB7" w:rsidRPr="008D16E0" w:rsidRDefault="00A94AB7" w:rsidP="00E44C9F">
            <w:pPr>
              <w:shd w:val="clear" w:color="auto" w:fill="FFFFFF"/>
              <w:jc w:val="both"/>
              <w:rPr>
                <w:b/>
                <w:bCs/>
                <w:color w:val="000000"/>
                <w:sz w:val="22"/>
                <w:szCs w:val="22"/>
              </w:rPr>
            </w:pPr>
            <w:r w:rsidRPr="008D16E0">
              <w:rPr>
                <w:b/>
                <w:sz w:val="22"/>
                <w:szCs w:val="22"/>
                <w:u w:val="single"/>
              </w:rPr>
              <w:t>Порядок забезпечення інтересів власників іменних цінних паперів у разі відсутності документів системи реєстру власників іменних цінних паперів певного випуску, затвердженого рішенням НКЦПФР від 24.06.2014 року № 805, зареєстрований в Міністерстві юстиції України 26.08.2014 року за № 1021/25798 (зі змінами).</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bCs/>
                <w:sz w:val="22"/>
                <w:szCs w:val="22"/>
              </w:rPr>
            </w:pPr>
          </w:p>
        </w:tc>
        <w:tc>
          <w:tcPr>
            <w:tcW w:w="5940" w:type="dxa"/>
            <w:shd w:val="clear" w:color="auto" w:fill="auto"/>
          </w:tcPr>
          <w:p w:rsidR="00A94AB7" w:rsidRPr="008D16E0" w:rsidRDefault="00A94AB7" w:rsidP="00E44C9F">
            <w:pPr>
              <w:shd w:val="clear" w:color="auto" w:fill="FFFFFF"/>
              <w:jc w:val="both"/>
              <w:rPr>
                <w:b/>
                <w:bCs/>
                <w:color w:val="000000"/>
                <w:sz w:val="22"/>
                <w:szCs w:val="22"/>
              </w:rPr>
            </w:pPr>
            <w:r w:rsidRPr="008D16E0">
              <w:rPr>
                <w:b/>
                <w:sz w:val="22"/>
                <w:szCs w:val="22"/>
                <w:u w:val="single"/>
              </w:rPr>
              <w:t>Порядок забезпечення інтересів власників іменних цінних паперів у разі відсутності документів системи реєстру власників іменних цінних паперів певного випуску, затвердженого рішенням НКЦПФР від 24.06.2014 року № 805, зареєстрований в Міністерстві юстиції України 26.08.2014 року за № 1021/25798 (зі змінами).</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jc w:val="both"/>
              <w:rPr>
                <w:i/>
                <w:sz w:val="22"/>
                <w:szCs w:val="22"/>
                <w:u w:val="single"/>
              </w:rPr>
            </w:pPr>
            <w:r w:rsidRPr="008D16E0">
              <w:rPr>
                <w:sz w:val="22"/>
                <w:szCs w:val="22"/>
              </w:rPr>
              <w:t>3. Емітент не пізніше 10 робочих днів після прийняття рішення про відновлення інформації про власників іменних цінних паперів певного випуску:</w:t>
            </w:r>
          </w:p>
        </w:tc>
        <w:tc>
          <w:tcPr>
            <w:tcW w:w="3420" w:type="dxa"/>
            <w:shd w:val="clear" w:color="auto" w:fill="auto"/>
          </w:tcPr>
          <w:p w:rsidR="00A94AB7" w:rsidRPr="008D16E0" w:rsidRDefault="00A94AB7" w:rsidP="00E44C9F">
            <w:pPr>
              <w:jc w:val="both"/>
              <w:rPr>
                <w:i/>
                <w:sz w:val="22"/>
                <w:szCs w:val="22"/>
                <w:u w:val="single"/>
              </w:rPr>
            </w:pPr>
          </w:p>
        </w:tc>
        <w:tc>
          <w:tcPr>
            <w:tcW w:w="5940" w:type="dxa"/>
            <w:shd w:val="clear" w:color="auto" w:fill="auto"/>
          </w:tcPr>
          <w:p w:rsidR="00A94AB7" w:rsidRPr="008D16E0" w:rsidRDefault="00A94AB7" w:rsidP="00E44C9F">
            <w:pPr>
              <w:shd w:val="clear" w:color="auto" w:fill="FFFFFF"/>
              <w:jc w:val="both"/>
              <w:rPr>
                <w:sz w:val="22"/>
                <w:szCs w:val="22"/>
              </w:rPr>
            </w:pPr>
            <w:r w:rsidRPr="008D16E0">
              <w:rPr>
                <w:sz w:val="22"/>
                <w:szCs w:val="22"/>
              </w:rPr>
              <w:t>3. Емітент не пізніше 10 робочих днів після прийняття рішення про відновлення інформації про власників іменних цінних паперів певного випуску:</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jc w:val="both"/>
              <w:rPr>
                <w:sz w:val="22"/>
                <w:szCs w:val="22"/>
              </w:rPr>
            </w:pPr>
            <w:r w:rsidRPr="008D16E0">
              <w:rPr>
                <w:sz w:val="22"/>
                <w:szCs w:val="22"/>
              </w:rPr>
              <w:t>…..</w:t>
            </w:r>
          </w:p>
          <w:p w:rsidR="00A94AB7" w:rsidRPr="008D16E0" w:rsidRDefault="00A94AB7" w:rsidP="00E44C9F">
            <w:pPr>
              <w:shd w:val="clear" w:color="auto" w:fill="FFFFFF"/>
              <w:jc w:val="both"/>
              <w:rPr>
                <w:b/>
                <w:bCs/>
                <w:color w:val="000000"/>
                <w:sz w:val="22"/>
                <w:szCs w:val="22"/>
              </w:rPr>
            </w:pPr>
            <w:r w:rsidRPr="008D16E0">
              <w:rPr>
                <w:rFonts w:eastAsia="Calibri"/>
                <w:sz w:val="22"/>
                <w:szCs w:val="22"/>
                <w:shd w:val="clear" w:color="auto" w:fill="FFFFFF"/>
                <w:lang w:eastAsia="en-US"/>
              </w:rPr>
              <w:lastRenderedPageBreak/>
              <w:t xml:space="preserve">здійснює публікацію (повідомлення) про прийняття такого рішення в одному з офіційних друкованих видань Верховної Ради України, Кабінету Міністрів України, а також </w:t>
            </w:r>
            <w:r w:rsidRPr="008D16E0">
              <w:rPr>
                <w:rFonts w:eastAsia="Calibri"/>
                <w:b/>
                <w:sz w:val="22"/>
                <w:szCs w:val="22"/>
                <w:shd w:val="clear" w:color="auto" w:fill="FFFFFF"/>
                <w:lang w:eastAsia="en-US"/>
              </w:rPr>
              <w:t>в офіційному друкованому виданні Комісії та</w:t>
            </w:r>
            <w:r w:rsidRPr="008D16E0">
              <w:rPr>
                <w:rFonts w:eastAsia="Calibri"/>
                <w:sz w:val="22"/>
                <w:szCs w:val="22"/>
                <w:shd w:val="clear" w:color="auto" w:fill="FFFFFF"/>
                <w:lang w:eastAsia="en-US"/>
              </w:rPr>
              <w:t xml:space="preserve"> в одному з друкованих видань за місцезнаходженням емітента;</w:t>
            </w:r>
          </w:p>
        </w:tc>
        <w:tc>
          <w:tcPr>
            <w:tcW w:w="3420" w:type="dxa"/>
            <w:shd w:val="clear" w:color="auto" w:fill="auto"/>
          </w:tcPr>
          <w:p w:rsidR="00A94AB7" w:rsidRPr="008D16E0" w:rsidRDefault="00A94AB7" w:rsidP="00E44C9F">
            <w:pPr>
              <w:pStyle w:val="tjbmf"/>
              <w:shd w:val="clear" w:color="auto" w:fill="FFFFFF"/>
              <w:spacing w:before="0" w:beforeAutospacing="0" w:after="0" w:afterAutospacing="0"/>
              <w:jc w:val="both"/>
              <w:rPr>
                <w:bCs/>
                <w:sz w:val="22"/>
                <w:szCs w:val="22"/>
              </w:rPr>
            </w:pPr>
            <w:r w:rsidRPr="008D16E0">
              <w:rPr>
                <w:rFonts w:eastAsia="Calibri"/>
                <w:sz w:val="22"/>
                <w:szCs w:val="22"/>
                <w:shd w:val="clear" w:color="auto" w:fill="FFFFFF"/>
                <w:lang w:eastAsia="en-US"/>
              </w:rPr>
              <w:lastRenderedPageBreak/>
              <w:t xml:space="preserve">В абзаці четвертому пункту 3 </w:t>
            </w:r>
            <w:r w:rsidRPr="008D16E0">
              <w:rPr>
                <w:rFonts w:eastAsia="Calibri"/>
                <w:sz w:val="22"/>
                <w:szCs w:val="22"/>
                <w:shd w:val="clear" w:color="auto" w:fill="FFFFFF"/>
                <w:lang w:eastAsia="en-US"/>
              </w:rPr>
              <w:lastRenderedPageBreak/>
              <w:t>Порядку слова: "в офіційному друкованому виданні Комісії та" виключити.</w:t>
            </w:r>
          </w:p>
        </w:tc>
        <w:tc>
          <w:tcPr>
            <w:tcW w:w="5940" w:type="dxa"/>
            <w:shd w:val="clear" w:color="auto" w:fill="auto"/>
          </w:tcPr>
          <w:p w:rsidR="00A94AB7" w:rsidRPr="008D16E0" w:rsidRDefault="00A94AB7" w:rsidP="00E44C9F">
            <w:pPr>
              <w:jc w:val="both"/>
              <w:rPr>
                <w:sz w:val="22"/>
                <w:szCs w:val="22"/>
              </w:rPr>
            </w:pPr>
            <w:r w:rsidRPr="008D16E0">
              <w:rPr>
                <w:sz w:val="22"/>
                <w:szCs w:val="22"/>
              </w:rPr>
              <w:lastRenderedPageBreak/>
              <w:t>…..</w:t>
            </w:r>
          </w:p>
          <w:p w:rsidR="00A94AB7" w:rsidRPr="008D16E0" w:rsidRDefault="00A94AB7" w:rsidP="00E44C9F">
            <w:pPr>
              <w:shd w:val="clear" w:color="auto" w:fill="FFFFFF"/>
              <w:jc w:val="both"/>
              <w:rPr>
                <w:b/>
                <w:bCs/>
                <w:color w:val="000000"/>
                <w:sz w:val="22"/>
                <w:szCs w:val="22"/>
              </w:rPr>
            </w:pPr>
            <w:r w:rsidRPr="008D16E0">
              <w:rPr>
                <w:rFonts w:eastAsia="Calibri"/>
                <w:sz w:val="22"/>
                <w:szCs w:val="22"/>
                <w:shd w:val="clear" w:color="auto" w:fill="FFFFFF"/>
                <w:lang w:eastAsia="en-US"/>
              </w:rPr>
              <w:lastRenderedPageBreak/>
              <w:t>здійснює публікацію (повідомлення) про прийняття такого рішення в одному з офіційних друкованих видань Верховної Ради України, Кабінету Міністрів України, а також в одному з друкованих видань за місцезнаходженням емітента;</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ab"/>
              <w:spacing w:before="0" w:beforeAutospacing="0" w:after="0" w:afterAutospacing="0"/>
              <w:jc w:val="both"/>
              <w:rPr>
                <w:sz w:val="22"/>
                <w:szCs w:val="22"/>
              </w:rPr>
            </w:pPr>
            <w:r w:rsidRPr="008D16E0">
              <w:rPr>
                <w:sz w:val="22"/>
                <w:szCs w:val="22"/>
              </w:rPr>
              <w:t>14. Акти приймання-передавання документів (копій документів), документи (копії документів) оформлені (надані) відповідно до цього Порядку, які мають бути засвідчені печаткою (печатками), потребують такого засвідчення у разі наявності відповідної печатки (печаток).</w:t>
            </w:r>
          </w:p>
          <w:p w:rsidR="00A94AB7" w:rsidRPr="008D16E0" w:rsidRDefault="00A94AB7" w:rsidP="00E44C9F">
            <w:pPr>
              <w:shd w:val="clear" w:color="auto" w:fill="FFFFFF"/>
              <w:jc w:val="both"/>
              <w:rPr>
                <w:b/>
                <w:bCs/>
                <w:color w:val="000000"/>
                <w:sz w:val="22"/>
                <w:szCs w:val="22"/>
              </w:rPr>
            </w:pPr>
          </w:p>
        </w:tc>
        <w:tc>
          <w:tcPr>
            <w:tcW w:w="3420" w:type="dxa"/>
            <w:shd w:val="clear" w:color="auto" w:fill="auto"/>
          </w:tcPr>
          <w:p w:rsidR="00A94AB7" w:rsidRPr="008D16E0" w:rsidRDefault="00A94AB7" w:rsidP="00E44C9F">
            <w:pPr>
              <w:jc w:val="both"/>
              <w:rPr>
                <w:i/>
                <w:sz w:val="22"/>
                <w:szCs w:val="22"/>
                <w:u w:val="single"/>
              </w:rPr>
            </w:pPr>
            <w:r w:rsidRPr="008D16E0">
              <w:rPr>
                <w:i/>
                <w:sz w:val="22"/>
                <w:szCs w:val="22"/>
                <w:u w:val="single"/>
              </w:rPr>
              <w:t>Пункт 14 викласти в такій редакції:</w:t>
            </w:r>
          </w:p>
          <w:p w:rsidR="00A94AB7" w:rsidRPr="008D16E0" w:rsidRDefault="00A94AB7" w:rsidP="00E44C9F">
            <w:pPr>
              <w:pStyle w:val="tjbmf"/>
              <w:shd w:val="clear" w:color="auto" w:fill="FFFFFF"/>
              <w:spacing w:before="0" w:beforeAutospacing="0" w:after="0" w:afterAutospacing="0"/>
              <w:jc w:val="both"/>
              <w:rPr>
                <w:bCs/>
                <w:sz w:val="22"/>
                <w:szCs w:val="22"/>
              </w:rPr>
            </w:pPr>
            <w:r w:rsidRPr="008D16E0">
              <w:rPr>
                <w:sz w:val="20"/>
                <w:szCs w:val="20"/>
              </w:rPr>
              <w:t>14. Акти приймання-передавання документів (копій документів), документи (копії документів), оформлені (надані) відповідно до цього Порядку, які потребують засвідчення печаткою (печатками), можуть бути засвідчені печаткою (печатками) у разі використання особою у своїй діяльності печатки (печаток).</w:t>
            </w:r>
          </w:p>
        </w:tc>
        <w:tc>
          <w:tcPr>
            <w:tcW w:w="5940" w:type="dxa"/>
            <w:shd w:val="clear" w:color="auto" w:fill="auto"/>
          </w:tcPr>
          <w:p w:rsidR="00A94AB7" w:rsidRPr="008D16E0" w:rsidRDefault="00A94AB7" w:rsidP="00E44C9F">
            <w:pPr>
              <w:pStyle w:val="ab"/>
              <w:spacing w:before="0" w:beforeAutospacing="0" w:after="0" w:afterAutospacing="0"/>
              <w:jc w:val="both"/>
              <w:rPr>
                <w:b/>
                <w:sz w:val="22"/>
                <w:szCs w:val="22"/>
              </w:rPr>
            </w:pPr>
            <w:r w:rsidRPr="008D16E0">
              <w:rPr>
                <w:sz w:val="22"/>
                <w:szCs w:val="22"/>
              </w:rPr>
              <w:t>14. Акти приймання-передавання документів (копій документів), документи (копії документів), оформлені (надані) відповідно до цього Порядку, які потребують засвідчення печаткою (печатками), можуть бути засвідчені печаткою (печатками) у разі використання особою у своїй діяльності печатки (печаток).</w:t>
            </w:r>
          </w:p>
          <w:p w:rsidR="00A94AB7" w:rsidRPr="008D16E0" w:rsidRDefault="00A94AB7" w:rsidP="00E44C9F">
            <w:pPr>
              <w:shd w:val="clear" w:color="auto" w:fill="FFFFFF"/>
              <w:jc w:val="both"/>
              <w:rPr>
                <w:b/>
                <w:bCs/>
                <w:color w:val="000000"/>
                <w:sz w:val="22"/>
                <w:szCs w:val="22"/>
              </w:rPr>
            </w:pP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b/>
                <w:sz w:val="22"/>
                <w:szCs w:val="22"/>
              </w:rPr>
            </w:pPr>
            <w:r w:rsidRPr="008D16E0">
              <w:rPr>
                <w:b/>
                <w:sz w:val="22"/>
                <w:szCs w:val="22"/>
              </w:rPr>
              <w:t>10</w:t>
            </w:r>
          </w:p>
        </w:tc>
        <w:tc>
          <w:tcPr>
            <w:tcW w:w="5760" w:type="dxa"/>
            <w:shd w:val="clear" w:color="auto" w:fill="auto"/>
          </w:tcPr>
          <w:p w:rsidR="00A94AB7" w:rsidRPr="008D16E0" w:rsidRDefault="00A94AB7" w:rsidP="00E44C9F">
            <w:pPr>
              <w:shd w:val="clear" w:color="auto" w:fill="FFFFFF"/>
              <w:jc w:val="both"/>
              <w:rPr>
                <w:b/>
                <w:sz w:val="22"/>
                <w:szCs w:val="22"/>
                <w:u w:val="single"/>
              </w:rPr>
            </w:pPr>
            <w:r w:rsidRPr="008D16E0">
              <w:rPr>
                <w:b/>
                <w:sz w:val="22"/>
                <w:szCs w:val="22"/>
                <w:u w:val="single"/>
              </w:rPr>
              <w:t>Ліцензійні умови провадження професійної діяльності на фондовому ринку (ринку цінних паперів) – діяльності з організації торгівлі на фондовому ринку, затверджені рішенням НКЦПФР від 14.05.2013 року    № 818, зареєстровані в Міністерстві юстиції України 01.06.2013 року за № 856/23388 (із змінами)</w:t>
            </w:r>
          </w:p>
        </w:tc>
        <w:tc>
          <w:tcPr>
            <w:tcW w:w="3420" w:type="dxa"/>
            <w:shd w:val="clear" w:color="auto" w:fill="auto"/>
          </w:tcPr>
          <w:p w:rsidR="00A94AB7" w:rsidRPr="008D16E0" w:rsidRDefault="00A94AB7" w:rsidP="00E44C9F">
            <w:pPr>
              <w:jc w:val="both"/>
              <w:rPr>
                <w:i/>
                <w:sz w:val="22"/>
                <w:szCs w:val="22"/>
                <w:u w:val="single"/>
              </w:rPr>
            </w:pPr>
          </w:p>
        </w:tc>
        <w:tc>
          <w:tcPr>
            <w:tcW w:w="5940" w:type="dxa"/>
            <w:shd w:val="clear" w:color="auto" w:fill="auto"/>
          </w:tcPr>
          <w:p w:rsidR="00A94AB7" w:rsidRPr="008D16E0" w:rsidRDefault="00A94AB7" w:rsidP="00E44C9F">
            <w:pPr>
              <w:shd w:val="clear" w:color="auto" w:fill="FFFFFF"/>
              <w:jc w:val="both"/>
              <w:rPr>
                <w:b/>
                <w:sz w:val="22"/>
                <w:szCs w:val="22"/>
                <w:u w:val="single"/>
              </w:rPr>
            </w:pPr>
            <w:r w:rsidRPr="008D16E0">
              <w:rPr>
                <w:b/>
                <w:sz w:val="22"/>
                <w:szCs w:val="22"/>
                <w:u w:val="single"/>
              </w:rPr>
              <w:t>Ліцензійні умови провадження професійної діяльності на фондовому ринку (ринку цінних паперів) – діяльності з організації торгівлі на фондовому ринку, затверджені рішенням НКЦПФР від 14.05.2013 року    № 818, зареєстровані в Міністерстві юстиції України 01.06.2013 року за № 856/23388 (із змінами)</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ab"/>
              <w:spacing w:before="0" w:beforeAutospacing="0" w:after="0" w:afterAutospacing="0"/>
              <w:jc w:val="both"/>
              <w:rPr>
                <w:b/>
                <w:color w:val="000000"/>
              </w:rPr>
            </w:pPr>
            <w:r w:rsidRPr="008D16E0">
              <w:rPr>
                <w:b/>
                <w:color w:val="000000"/>
              </w:rPr>
              <w:t>Розділ ІІ. Умови провадження професійної діяльності на фондовому ринку - діяльності з організації торгівлі на фондовому ринку</w:t>
            </w:r>
          </w:p>
          <w:p w:rsidR="00A94AB7" w:rsidRPr="008D16E0" w:rsidRDefault="00A94AB7" w:rsidP="00E44C9F">
            <w:pPr>
              <w:pStyle w:val="ab"/>
              <w:spacing w:before="0" w:beforeAutospacing="0" w:after="0" w:afterAutospacing="0"/>
              <w:jc w:val="both"/>
              <w:rPr>
                <w:b/>
                <w:color w:val="000000"/>
              </w:rPr>
            </w:pPr>
          </w:p>
          <w:p w:rsidR="00A94AB7" w:rsidRPr="008D16E0" w:rsidRDefault="00A94AB7" w:rsidP="00E44C9F">
            <w:pPr>
              <w:pStyle w:val="ab"/>
              <w:spacing w:before="0" w:beforeAutospacing="0" w:after="0" w:afterAutospacing="0"/>
              <w:jc w:val="both"/>
              <w:rPr>
                <w:b/>
                <w:color w:val="000000"/>
              </w:rPr>
            </w:pPr>
            <w:r w:rsidRPr="008D16E0">
              <w:rPr>
                <w:color w:val="000000"/>
              </w:rPr>
              <w:t>3. Ліцензіат зобов’язаний протягом усього строку провадження діяльності з організації торгівлі на фондовому ринку виконувати вимоги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A94AB7" w:rsidRPr="008D16E0" w:rsidRDefault="00A94AB7" w:rsidP="00E44C9F">
            <w:pPr>
              <w:pStyle w:val="ab"/>
              <w:spacing w:before="0" w:beforeAutospacing="0" w:after="0" w:afterAutospacing="0"/>
              <w:jc w:val="both"/>
              <w:rPr>
                <w:sz w:val="22"/>
                <w:szCs w:val="22"/>
              </w:rPr>
            </w:pPr>
          </w:p>
        </w:tc>
        <w:tc>
          <w:tcPr>
            <w:tcW w:w="3420" w:type="dxa"/>
            <w:shd w:val="clear" w:color="auto" w:fill="auto"/>
          </w:tcPr>
          <w:p w:rsidR="00A94AB7" w:rsidRPr="008D16E0" w:rsidRDefault="00A94AB7" w:rsidP="00E44C9F">
            <w:pPr>
              <w:spacing w:line="276" w:lineRule="auto"/>
              <w:ind w:right="-17" w:firstLine="720"/>
              <w:jc w:val="both"/>
              <w:rPr>
                <w:color w:val="000000"/>
                <w:sz w:val="22"/>
                <w:szCs w:val="22"/>
              </w:rPr>
            </w:pPr>
            <w:r w:rsidRPr="008D16E0">
              <w:rPr>
                <w:color w:val="000000"/>
                <w:sz w:val="22"/>
                <w:szCs w:val="22"/>
                <w:lang w:val="ru-RU"/>
              </w:rPr>
              <w:t>1</w:t>
            </w:r>
            <w:r w:rsidRPr="008D16E0">
              <w:rPr>
                <w:color w:val="000000"/>
                <w:sz w:val="22"/>
                <w:szCs w:val="22"/>
              </w:rPr>
              <w:t>) у розділі ІІ:</w:t>
            </w:r>
          </w:p>
          <w:p w:rsidR="00A94AB7" w:rsidRPr="008D16E0" w:rsidRDefault="00A94AB7" w:rsidP="00E44C9F">
            <w:pPr>
              <w:spacing w:line="276" w:lineRule="auto"/>
              <w:ind w:right="-17"/>
              <w:jc w:val="both"/>
              <w:rPr>
                <w:color w:val="000000"/>
                <w:sz w:val="22"/>
                <w:szCs w:val="22"/>
              </w:rPr>
            </w:pPr>
            <w:r w:rsidRPr="008D16E0">
              <w:rPr>
                <w:color w:val="000000"/>
                <w:sz w:val="22"/>
                <w:szCs w:val="22"/>
              </w:rPr>
              <w:t>пункт 3 доповнити новим абзацом такого змісту:</w:t>
            </w:r>
          </w:p>
          <w:p w:rsidR="00A94AB7" w:rsidRPr="008D16E0" w:rsidRDefault="00A94AB7" w:rsidP="00E44C9F">
            <w:pPr>
              <w:spacing w:line="276" w:lineRule="auto"/>
              <w:ind w:right="-17" w:firstLine="720"/>
              <w:jc w:val="both"/>
              <w:rPr>
                <w:color w:val="000000"/>
                <w:sz w:val="22"/>
                <w:szCs w:val="22"/>
              </w:rPr>
            </w:pPr>
            <w:r w:rsidRPr="008D16E0">
              <w:rPr>
                <w:color w:val="000000"/>
                <w:sz w:val="22"/>
                <w:szCs w:val="22"/>
              </w:rPr>
              <w:t xml:space="preserve">«Ліцензіат не може мати контролю (вирішального впливу) у значенні, наведеному у статті 1 Закону України «Про захист економічної конкуренції», з боку резидентів держав, що здійснюють збройну агресію проти України у значенні наведеному у статті 1 Закону України «Про оборону України», та/або дії яких створюють умови для виникнення воєнного </w:t>
            </w:r>
            <w:r w:rsidRPr="008D16E0">
              <w:rPr>
                <w:color w:val="000000"/>
                <w:sz w:val="22"/>
                <w:szCs w:val="22"/>
              </w:rPr>
              <w:lastRenderedPageBreak/>
              <w:t>конфлікту та застосування воєнної сили проти України.»;</w:t>
            </w:r>
          </w:p>
          <w:p w:rsidR="00A94AB7" w:rsidRPr="008D16E0" w:rsidRDefault="00A94AB7" w:rsidP="00E44C9F">
            <w:pPr>
              <w:jc w:val="both"/>
              <w:rPr>
                <w:i/>
                <w:sz w:val="22"/>
                <w:szCs w:val="22"/>
                <w:u w:val="single"/>
              </w:rPr>
            </w:pPr>
          </w:p>
        </w:tc>
        <w:tc>
          <w:tcPr>
            <w:tcW w:w="5940" w:type="dxa"/>
            <w:shd w:val="clear" w:color="auto" w:fill="auto"/>
          </w:tcPr>
          <w:p w:rsidR="00A94AB7" w:rsidRPr="008D16E0" w:rsidRDefault="00A94AB7" w:rsidP="00E44C9F">
            <w:pPr>
              <w:pStyle w:val="ab"/>
              <w:spacing w:before="0" w:beforeAutospacing="0" w:after="0" w:afterAutospacing="0"/>
              <w:jc w:val="both"/>
              <w:rPr>
                <w:b/>
                <w:color w:val="000000"/>
              </w:rPr>
            </w:pPr>
            <w:r w:rsidRPr="008D16E0">
              <w:rPr>
                <w:b/>
                <w:color w:val="000000"/>
              </w:rPr>
              <w:lastRenderedPageBreak/>
              <w:t>Розділ ІІ. Умови провадження професійної діяльності на фондовому ринку - діяльності з організації торгівлі на фондовому ринку</w:t>
            </w:r>
          </w:p>
          <w:p w:rsidR="00A94AB7" w:rsidRPr="008D16E0" w:rsidRDefault="00A94AB7" w:rsidP="00E44C9F">
            <w:pPr>
              <w:spacing w:line="240" w:lineRule="atLeast"/>
              <w:jc w:val="both"/>
              <w:rPr>
                <w:color w:val="000000"/>
              </w:rPr>
            </w:pPr>
          </w:p>
          <w:p w:rsidR="00A94AB7" w:rsidRPr="008D16E0" w:rsidRDefault="00A94AB7" w:rsidP="00E44C9F">
            <w:pPr>
              <w:spacing w:line="240" w:lineRule="atLeast"/>
              <w:jc w:val="both"/>
              <w:rPr>
                <w:color w:val="000000"/>
              </w:rPr>
            </w:pPr>
            <w:r w:rsidRPr="008D16E0">
              <w:rPr>
                <w:color w:val="000000"/>
              </w:rPr>
              <w:t>3. Ліцензіат зобов’язаний протягом усього строку провадження діяльності з організації торгівлі на фондовому ринку виконувати вимоги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A94AB7" w:rsidRPr="008D16E0" w:rsidRDefault="00A94AB7" w:rsidP="00E44C9F"/>
          <w:p w:rsidR="00A94AB7" w:rsidRPr="008D16E0" w:rsidRDefault="00A94AB7" w:rsidP="00E44C9F">
            <w:pPr>
              <w:pStyle w:val="ab"/>
              <w:spacing w:before="0" w:beforeAutospacing="0" w:after="0" w:afterAutospacing="0"/>
              <w:jc w:val="both"/>
              <w:rPr>
                <w:sz w:val="22"/>
                <w:szCs w:val="22"/>
              </w:rPr>
            </w:pPr>
            <w:r w:rsidRPr="008D16E0">
              <w:rPr>
                <w:b/>
                <w:color w:val="000000"/>
              </w:rPr>
              <w:t xml:space="preserve">Ліцензіат не може мати контролю (вирішального впливу) у значенні, наведеному у статті 1 Закону України «Про захист економічної конкуренції», з боку резидентів держав, що здійснюють збройну </w:t>
            </w:r>
            <w:r w:rsidRPr="008D16E0">
              <w:rPr>
                <w:b/>
                <w:color w:val="000000"/>
              </w:rPr>
              <w:lastRenderedPageBreak/>
              <w:t>агресію проти України у значенні наведеному у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ind w:firstLine="240"/>
              <w:jc w:val="both"/>
            </w:pPr>
            <w:r w:rsidRPr="008D16E0">
              <w:rPr>
                <w:color w:val="000000"/>
              </w:rPr>
              <w:t xml:space="preserve">16. Фондова біржа повинна мати програмно-технічний комплекс, який забезпечить функціонування електронної торговельної системи, а також виконання вимог, установлених Комісією для цієї діяльності, у тому числі забезпечить подання до Комісії адміністративних даних та інформації у вигляді електронних документів із застосуванням електронного </w:t>
            </w:r>
            <w:r w:rsidRPr="008D16E0">
              <w:rPr>
                <w:b/>
                <w:strike/>
                <w:color w:val="000000"/>
              </w:rPr>
              <w:t>цифрового</w:t>
            </w:r>
            <w:r w:rsidRPr="008D16E0">
              <w:rPr>
                <w:color w:val="000000"/>
              </w:rPr>
              <w:t xml:space="preserve"> підпису.</w:t>
            </w:r>
          </w:p>
          <w:p w:rsidR="00A94AB7" w:rsidRPr="008D16E0" w:rsidRDefault="00A94AB7" w:rsidP="00E44C9F">
            <w:pPr>
              <w:pStyle w:val="ab"/>
              <w:spacing w:before="0" w:beforeAutospacing="0" w:after="0" w:afterAutospacing="0"/>
              <w:jc w:val="both"/>
              <w:rPr>
                <w:sz w:val="22"/>
                <w:szCs w:val="22"/>
              </w:rPr>
            </w:pPr>
          </w:p>
        </w:tc>
        <w:tc>
          <w:tcPr>
            <w:tcW w:w="3420" w:type="dxa"/>
            <w:shd w:val="clear" w:color="auto" w:fill="auto"/>
          </w:tcPr>
          <w:p w:rsidR="00A94AB7" w:rsidRPr="008D16E0" w:rsidRDefault="00A94AB7" w:rsidP="00E44C9F">
            <w:pPr>
              <w:spacing w:line="276" w:lineRule="auto"/>
              <w:ind w:right="-17"/>
              <w:jc w:val="both"/>
            </w:pPr>
            <w:r w:rsidRPr="008D16E0">
              <w:rPr>
                <w:color w:val="000000"/>
              </w:rPr>
              <w:t>у пункті 16 слова «електронного цифрового» замінити словами «</w:t>
            </w:r>
            <w:r w:rsidRPr="008D16E0">
              <w:t>кваліфікованого електронного»;</w:t>
            </w:r>
          </w:p>
          <w:p w:rsidR="00A94AB7" w:rsidRPr="008D16E0" w:rsidRDefault="00A94AB7" w:rsidP="00E44C9F">
            <w:pPr>
              <w:jc w:val="both"/>
              <w:rPr>
                <w:i/>
                <w:u w:val="single"/>
              </w:rPr>
            </w:pPr>
          </w:p>
        </w:tc>
        <w:tc>
          <w:tcPr>
            <w:tcW w:w="5940" w:type="dxa"/>
            <w:shd w:val="clear" w:color="auto" w:fill="auto"/>
          </w:tcPr>
          <w:p w:rsidR="00A94AB7" w:rsidRPr="008D16E0" w:rsidRDefault="00A94AB7" w:rsidP="00E44C9F">
            <w:pPr>
              <w:spacing w:line="240" w:lineRule="atLeast"/>
              <w:jc w:val="both"/>
              <w:rPr>
                <w:b/>
              </w:rPr>
            </w:pPr>
            <w:r w:rsidRPr="008D16E0">
              <w:rPr>
                <w:color w:val="000000"/>
              </w:rPr>
              <w:t xml:space="preserve">16. Фондова біржа повинна мати програмно-технічний комплекс, який забезпечить функціонування електронної торговельної системи, а також виконання вимог, установлених Комісією для цієї діяльності, у тому числі забезпечить подання до Комісії адміністративних даних та інформації у вигляді електронних документів із застосуванням </w:t>
            </w:r>
            <w:r w:rsidRPr="008D16E0">
              <w:rPr>
                <w:b/>
              </w:rPr>
              <w:t xml:space="preserve">кваліфікованого </w:t>
            </w:r>
            <w:r w:rsidRPr="008D16E0">
              <w:t>електронного підпису</w:t>
            </w:r>
            <w:r w:rsidRPr="008D16E0">
              <w:rPr>
                <w:b/>
              </w:rPr>
              <w:t>.</w:t>
            </w:r>
          </w:p>
          <w:p w:rsidR="00A94AB7" w:rsidRPr="008D16E0" w:rsidRDefault="00A94AB7" w:rsidP="00E44C9F">
            <w:pPr>
              <w:pStyle w:val="ab"/>
              <w:spacing w:before="0" w:beforeAutospacing="0" w:after="0" w:afterAutospacing="0"/>
              <w:jc w:val="both"/>
              <w:rPr>
                <w:sz w:val="22"/>
                <w:szCs w:val="22"/>
              </w:rPr>
            </w:pP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ab"/>
              <w:spacing w:before="0" w:beforeAutospacing="0" w:after="0" w:afterAutospacing="0"/>
              <w:jc w:val="both"/>
              <w:rPr>
                <w:b/>
                <w:strike/>
              </w:rPr>
            </w:pPr>
            <w:r w:rsidRPr="008D16E0">
              <w:rPr>
                <w:b/>
                <w:strike/>
              </w:rPr>
              <w:t>18. Ліцензіат зобов'язаний не пізніше ніж до 30 квітня року, що настає за звітним періодом, оприлюднити річну фінансову звітність та річну консолідовану фінансову звітність, засвідчені заявником (крім товариств, у яких звітний період (рік) з дати створення не настав), разом з аудиторським висновком на власній веб-сторінці або веб-сайті (у повному обсязі) з опублікуванням у періодичному або неперіодичному виданні.</w:t>
            </w:r>
          </w:p>
          <w:p w:rsidR="00A94AB7" w:rsidRPr="008D16E0" w:rsidRDefault="00A94AB7" w:rsidP="00E44C9F">
            <w:pPr>
              <w:pStyle w:val="ab"/>
              <w:spacing w:before="0" w:beforeAutospacing="0" w:after="0" w:afterAutospacing="0"/>
              <w:jc w:val="both"/>
            </w:pPr>
          </w:p>
          <w:p w:rsidR="00A94AB7" w:rsidRPr="008D16E0" w:rsidRDefault="00A94AB7" w:rsidP="00E44C9F">
            <w:pPr>
              <w:pStyle w:val="ab"/>
              <w:spacing w:before="0" w:beforeAutospacing="0" w:after="0" w:afterAutospacing="0"/>
              <w:jc w:val="both"/>
            </w:pPr>
          </w:p>
          <w:p w:rsidR="00A94AB7" w:rsidRPr="008D16E0" w:rsidRDefault="00A94AB7" w:rsidP="00E44C9F">
            <w:pPr>
              <w:pStyle w:val="ab"/>
              <w:spacing w:before="0" w:beforeAutospacing="0" w:after="0" w:afterAutospacing="0"/>
              <w:jc w:val="both"/>
            </w:pPr>
          </w:p>
          <w:p w:rsidR="00A94AB7" w:rsidRPr="008D16E0" w:rsidRDefault="00A94AB7" w:rsidP="00E44C9F">
            <w:pPr>
              <w:pStyle w:val="ab"/>
              <w:spacing w:before="0" w:beforeAutospacing="0" w:after="0" w:afterAutospacing="0"/>
              <w:jc w:val="both"/>
            </w:pPr>
          </w:p>
          <w:p w:rsidR="00A94AB7" w:rsidRPr="008D16E0" w:rsidRDefault="00A94AB7" w:rsidP="00E44C9F">
            <w:pPr>
              <w:pStyle w:val="ab"/>
              <w:spacing w:before="0" w:beforeAutospacing="0" w:after="0" w:afterAutospacing="0"/>
              <w:jc w:val="both"/>
            </w:pPr>
            <w:r w:rsidRPr="008D16E0">
              <w:t>Фінансова звітність ліцензіата повинна відповідати вимогам Міжнародних стандартів фінансової звітності, які є її концептуальною основою.</w:t>
            </w:r>
          </w:p>
          <w:p w:rsidR="00A94AB7" w:rsidRPr="008D16E0" w:rsidRDefault="00A94AB7" w:rsidP="00E44C9F">
            <w:pPr>
              <w:pStyle w:val="ab"/>
              <w:spacing w:before="0" w:beforeAutospacing="0" w:after="0" w:afterAutospacing="0"/>
              <w:jc w:val="both"/>
              <w:rPr>
                <w:b/>
                <w:strike/>
              </w:rPr>
            </w:pPr>
          </w:p>
          <w:p w:rsidR="00A94AB7" w:rsidRPr="008D16E0" w:rsidRDefault="00A94AB7" w:rsidP="00E44C9F">
            <w:pPr>
              <w:pStyle w:val="ab"/>
              <w:spacing w:before="0" w:beforeAutospacing="0" w:after="0" w:afterAutospacing="0"/>
              <w:jc w:val="both"/>
              <w:rPr>
                <w:b/>
                <w:strike/>
              </w:rPr>
            </w:pPr>
            <w:r w:rsidRPr="008D16E0">
              <w:rPr>
                <w:b/>
                <w:strike/>
              </w:rPr>
              <w:t>Річна фінансова звітність ліцензіата має бути підтверджена аудитором (аудиторською фірмою).</w:t>
            </w:r>
          </w:p>
          <w:p w:rsidR="00A94AB7" w:rsidRPr="008D16E0" w:rsidRDefault="00A94AB7" w:rsidP="00E44C9F">
            <w:pPr>
              <w:pStyle w:val="ab"/>
              <w:spacing w:before="0" w:beforeAutospacing="0" w:after="0" w:afterAutospacing="0"/>
              <w:jc w:val="both"/>
              <w:rPr>
                <w:b/>
                <w:strike/>
              </w:rPr>
            </w:pPr>
          </w:p>
          <w:p w:rsidR="00A94AB7" w:rsidRPr="008D16E0" w:rsidRDefault="00A94AB7" w:rsidP="00E44C9F">
            <w:pPr>
              <w:pStyle w:val="ab"/>
              <w:spacing w:before="0" w:beforeAutospacing="0" w:after="0" w:afterAutospacing="0"/>
              <w:jc w:val="both"/>
              <w:rPr>
                <w:b/>
                <w:strike/>
                <w:color w:val="000000"/>
              </w:rPr>
            </w:pPr>
            <w:r w:rsidRPr="008D16E0">
              <w:rPr>
                <w:b/>
                <w:strike/>
                <w:color w:val="000000"/>
              </w:rPr>
              <w:t xml:space="preserve">Аудиторський висновок, який оприлюднюється ліцензіатом, має відповідати вимогам, встановленим </w:t>
            </w:r>
            <w:r w:rsidRPr="008D16E0">
              <w:rPr>
                <w:b/>
                <w:strike/>
              </w:rPr>
              <w:t xml:space="preserve">рішенням Комісії від 12 лютого </w:t>
            </w:r>
            <w:r w:rsidRPr="008D16E0">
              <w:rPr>
                <w:b/>
                <w:strike/>
              </w:rPr>
              <w:lastRenderedPageBreak/>
              <w:t>2013 року N 160 "Про затвердження Вимог до аудиторського висновку, що подається до Національної комісії з цінних паперів та фондового ринку при отриманні ліцензії на здійснення професійної діяльності на ринку цінних паперів"</w:t>
            </w:r>
            <w:r w:rsidRPr="008D16E0">
              <w:rPr>
                <w:b/>
                <w:strike/>
                <w:color w:val="000000"/>
              </w:rPr>
              <w:t>, зареєстрованим у Міністерстві юстиції України 11 березня 2013 року за N 386/22918 (із змінами).</w:t>
            </w:r>
          </w:p>
          <w:p w:rsidR="00A94AB7" w:rsidRPr="008D16E0" w:rsidRDefault="00A94AB7" w:rsidP="00E44C9F">
            <w:pPr>
              <w:pStyle w:val="ab"/>
              <w:spacing w:before="0" w:beforeAutospacing="0" w:after="0" w:afterAutospacing="0"/>
              <w:jc w:val="both"/>
              <w:rPr>
                <w:b/>
                <w:strike/>
                <w:color w:val="000000"/>
              </w:rPr>
            </w:pPr>
          </w:p>
          <w:p w:rsidR="00A94AB7" w:rsidRPr="008D16E0" w:rsidRDefault="00A94AB7" w:rsidP="00E44C9F">
            <w:pPr>
              <w:pStyle w:val="ab"/>
              <w:spacing w:before="0" w:beforeAutospacing="0" w:after="0" w:afterAutospacing="0"/>
              <w:jc w:val="both"/>
              <w:rPr>
                <w:b/>
                <w:strike/>
              </w:rPr>
            </w:pPr>
            <w:r w:rsidRPr="008D16E0">
              <w:rPr>
                <w:b/>
                <w:strike/>
              </w:rPr>
              <w:t>Аудиторський висновок (звіт незалежного аудитора) можуть надавати тільки аудиторські фірми, включені, у тому числі на період проведення аудиторської перевірки, до реєстру аудиторських фірм, які можуть проводити аудиторські перевірки професійних учасників ринку цінних паперів, що ведеться Комісією.</w:t>
            </w:r>
          </w:p>
          <w:p w:rsidR="00A94AB7" w:rsidRPr="008D16E0" w:rsidRDefault="00A94AB7" w:rsidP="00E44C9F">
            <w:pPr>
              <w:pStyle w:val="ab"/>
              <w:spacing w:before="0" w:beforeAutospacing="0" w:after="0" w:afterAutospacing="0"/>
              <w:jc w:val="both"/>
              <w:rPr>
                <w:b/>
                <w:strike/>
              </w:rPr>
            </w:pPr>
          </w:p>
          <w:p w:rsidR="00A94AB7" w:rsidRPr="008D16E0" w:rsidRDefault="00A94AB7" w:rsidP="00E44C9F">
            <w:pPr>
              <w:pStyle w:val="ab"/>
              <w:spacing w:before="0" w:beforeAutospacing="0" w:after="0" w:afterAutospacing="0"/>
              <w:jc w:val="both"/>
              <w:rPr>
                <w:color w:val="000000"/>
              </w:rPr>
            </w:pPr>
            <w:r w:rsidRPr="008D16E0">
              <w:rPr>
                <w:color w:val="000000"/>
              </w:rPr>
              <w:t xml:space="preserve">Зазначена інформація повинна бути оприлюднена у вигляді PDF-файлів у вільному доступі у цілодобовому режимі на власній </w:t>
            </w:r>
            <w:r w:rsidRPr="008D16E0">
              <w:rPr>
                <w:b/>
                <w:strike/>
                <w:color w:val="000000"/>
              </w:rPr>
              <w:t>веб-сторінці або</w:t>
            </w:r>
            <w:r w:rsidRPr="008D16E0">
              <w:rPr>
                <w:color w:val="000000"/>
              </w:rPr>
              <w:t xml:space="preserve"> веб-сайті за кожний звітний період та перебувати на такій </w:t>
            </w:r>
            <w:r w:rsidRPr="008D16E0">
              <w:rPr>
                <w:b/>
                <w:strike/>
                <w:color w:val="000000"/>
              </w:rPr>
              <w:t>веб-сторінці або</w:t>
            </w:r>
            <w:r w:rsidRPr="008D16E0">
              <w:rPr>
                <w:color w:val="000000"/>
              </w:rPr>
              <w:t xml:space="preserve"> веб-сайті протягом п'яти років з дати її оприлюднення.</w:t>
            </w:r>
          </w:p>
          <w:p w:rsidR="00A94AB7" w:rsidRPr="008D16E0" w:rsidRDefault="00A94AB7" w:rsidP="00E44C9F">
            <w:pPr>
              <w:pStyle w:val="ab"/>
              <w:spacing w:before="0" w:beforeAutospacing="0" w:after="0" w:afterAutospacing="0"/>
              <w:jc w:val="both"/>
              <w:rPr>
                <w:color w:val="000000"/>
              </w:rPr>
            </w:pPr>
          </w:p>
          <w:p w:rsidR="00A94AB7" w:rsidRPr="008D16E0" w:rsidRDefault="00A94AB7" w:rsidP="00E44C9F">
            <w:pPr>
              <w:pStyle w:val="ab"/>
              <w:spacing w:before="0" w:beforeAutospacing="0" w:after="0" w:afterAutospacing="0"/>
              <w:jc w:val="both"/>
              <w:rPr>
                <w:sz w:val="22"/>
                <w:szCs w:val="22"/>
              </w:rPr>
            </w:pPr>
            <w:r w:rsidRPr="008D16E0">
              <w:rPr>
                <w:b/>
                <w:strike/>
                <w:sz w:val="22"/>
                <w:szCs w:val="22"/>
              </w:rPr>
              <w:t>Протягом п'яти робочих днів після оприлюднення річної фінансової звітності та річної консолідованої фінансової звітності разом з аудиторським висновком ліцензіат письмово у довільній формі повідомляє про це Комісію із зазначенням веб-сторінки або веб-сайту, періодичного або неперіодичного видання (за наявності такої публікації), де було оприлюднено зазначену інформацію.</w:t>
            </w:r>
          </w:p>
        </w:tc>
        <w:tc>
          <w:tcPr>
            <w:tcW w:w="3420" w:type="dxa"/>
            <w:shd w:val="clear" w:color="auto" w:fill="auto"/>
          </w:tcPr>
          <w:p w:rsidR="00A94AB7" w:rsidRPr="008D16E0" w:rsidRDefault="00A94AB7" w:rsidP="00E44C9F">
            <w:pPr>
              <w:spacing w:line="276" w:lineRule="auto"/>
              <w:ind w:right="-17" w:firstLine="720"/>
              <w:jc w:val="both"/>
              <w:rPr>
                <w:sz w:val="20"/>
                <w:szCs w:val="20"/>
              </w:rPr>
            </w:pPr>
            <w:r w:rsidRPr="008D16E0">
              <w:rPr>
                <w:sz w:val="20"/>
                <w:szCs w:val="20"/>
              </w:rPr>
              <w:lastRenderedPageBreak/>
              <w:t>пункт 18 викласти у такій редакції:</w:t>
            </w:r>
          </w:p>
          <w:p w:rsidR="00A94AB7" w:rsidRPr="008D16E0" w:rsidRDefault="00A94AB7" w:rsidP="00E44C9F">
            <w:pPr>
              <w:spacing w:line="240" w:lineRule="atLeast"/>
              <w:ind w:firstLine="720"/>
              <w:jc w:val="both"/>
              <w:rPr>
                <w:sz w:val="20"/>
                <w:szCs w:val="20"/>
              </w:rPr>
            </w:pPr>
            <w:r w:rsidRPr="008D16E0">
              <w:rPr>
                <w:sz w:val="20"/>
                <w:szCs w:val="20"/>
              </w:rPr>
              <w:t>«18. Ліцензіат (у тому числі  новостворене товариство, перший звітний</w:t>
            </w:r>
            <w:r w:rsidR="00EA3947">
              <w:rPr>
                <w:sz w:val="20"/>
                <w:szCs w:val="20"/>
              </w:rPr>
              <w:t xml:space="preserve"> період якого менше 12 місяців або перевищує 12 місяців, </w:t>
            </w:r>
            <w:r w:rsidRPr="008D16E0">
              <w:rPr>
                <w:sz w:val="20"/>
                <w:szCs w:val="20"/>
              </w:rPr>
              <w:t xml:space="preserve">але </w:t>
            </w:r>
            <w:r w:rsidR="00EA3947">
              <w:rPr>
                <w:sz w:val="20"/>
                <w:szCs w:val="20"/>
              </w:rPr>
              <w:t>менше</w:t>
            </w:r>
            <w:r w:rsidRPr="008D16E0">
              <w:rPr>
                <w:sz w:val="20"/>
                <w:szCs w:val="20"/>
              </w:rPr>
              <w:t xml:space="preserve"> 15 місяців)</w:t>
            </w:r>
            <w:r w:rsidR="00EA3947">
              <w:rPr>
                <w:sz w:val="20"/>
                <w:szCs w:val="20"/>
              </w:rPr>
              <w:t>,</w:t>
            </w:r>
            <w:r w:rsidRPr="008D16E0">
              <w:rPr>
                <w:sz w:val="20"/>
                <w:szCs w:val="20"/>
              </w:rPr>
              <w:t xml:space="preserve"> зобов’язаний у строки, передбачені частиною 3 статті 14 Закону України «Про бухгалтерський облік та фінансову звітність в Україні», оприлюднювати річну фінансову звітність та річну консолідовану фінансову звітність, підписані відповідно до вимог частини першої статті 11 Закону України «Про бухгалтерський облік та фінансову звітність в Україні», разом з аудиторським звітом (звітом незалежного аудитора) на власному  веб-сайті (у повному обсязі).</w:t>
            </w:r>
          </w:p>
          <w:p w:rsidR="00A94AB7" w:rsidRPr="008D16E0" w:rsidRDefault="00A94AB7" w:rsidP="00E44C9F">
            <w:pPr>
              <w:spacing w:line="240" w:lineRule="atLeast"/>
              <w:ind w:firstLine="720"/>
              <w:jc w:val="both"/>
              <w:rPr>
                <w:sz w:val="20"/>
                <w:szCs w:val="20"/>
              </w:rPr>
            </w:pPr>
            <w:r w:rsidRPr="008D16E0">
              <w:rPr>
                <w:sz w:val="20"/>
                <w:szCs w:val="20"/>
              </w:rPr>
              <w:t>Фінансова звітність ліцензіата повинна відповідати вимогам Міжнародних стандартів фінансової звітності, які є її концептуальною основою.</w:t>
            </w:r>
          </w:p>
          <w:p w:rsidR="00A94AB7" w:rsidRPr="008D16E0" w:rsidRDefault="00A94AB7" w:rsidP="00E44C9F">
            <w:pPr>
              <w:pStyle w:val="ab"/>
              <w:spacing w:before="0" w:beforeAutospacing="0" w:after="0" w:afterAutospacing="0" w:line="240" w:lineRule="atLeast"/>
              <w:jc w:val="both"/>
              <w:rPr>
                <w:rStyle w:val="rvts23"/>
                <w:sz w:val="20"/>
                <w:szCs w:val="20"/>
              </w:rPr>
            </w:pPr>
            <w:r w:rsidRPr="008D16E0">
              <w:rPr>
                <w:sz w:val="20"/>
                <w:szCs w:val="20"/>
              </w:rPr>
              <w:t xml:space="preserve">          Аудиторський звіт (звіт незалежного аудитора) щодо річної </w:t>
            </w:r>
            <w:r w:rsidRPr="008D16E0">
              <w:rPr>
                <w:sz w:val="20"/>
                <w:szCs w:val="20"/>
              </w:rPr>
              <w:lastRenderedPageBreak/>
              <w:t>фінансової звітності (щодо річної консолідованої фінансової звітності), який оприлюднюється ліцензіатом, має бути складений відповідно до Міжнародних стандартів аудиту та законодавства</w:t>
            </w:r>
            <w:r w:rsidRPr="008D16E0">
              <w:rPr>
                <w:rStyle w:val="rvts23"/>
                <w:sz w:val="20"/>
                <w:szCs w:val="20"/>
              </w:rPr>
              <w:t>.</w:t>
            </w:r>
          </w:p>
          <w:p w:rsidR="00A94AB7" w:rsidRPr="008D16E0" w:rsidRDefault="00A94AB7" w:rsidP="00E44C9F">
            <w:pPr>
              <w:pStyle w:val="rvps2"/>
              <w:spacing w:before="0" w:beforeAutospacing="0" w:after="0" w:afterAutospacing="0" w:line="240" w:lineRule="atLeast"/>
              <w:ind w:firstLine="720"/>
              <w:jc w:val="both"/>
              <w:rPr>
                <w:color w:val="000000"/>
                <w:sz w:val="20"/>
                <w:szCs w:val="20"/>
              </w:rPr>
            </w:pPr>
            <w:r w:rsidRPr="008D16E0">
              <w:rPr>
                <w:color w:val="000000"/>
                <w:sz w:val="20"/>
                <w:szCs w:val="20"/>
              </w:rPr>
              <w:t>Аудиторський звіт (звіт незалежного аудитора) щодо річної фінансової звітності (щодо річної консолідованої фінансової звітності) можуть надавати тільки аудитор або аудиторська фірма, включені, у тому числі на період проведення перевірки, до Реєстру аудиторів та суб’єктів аудиторської діяльності,  що ведеться відповідно до Закону України «Про аудит фінансової звітності та аудиторську діяльність», а саме до розділу цього Реєстру, що включає суб’єктів аудиторської діяльності, які мають право проводити обов’язковий аудит фінансової звітності, та/або обов’язковий аудит фінансової звітності підприємств, що становлять суспільний інтерес.</w:t>
            </w:r>
          </w:p>
          <w:p w:rsidR="00A94AB7" w:rsidRPr="008D16E0" w:rsidRDefault="00A94AB7" w:rsidP="00E44C9F">
            <w:pPr>
              <w:spacing w:line="276" w:lineRule="auto"/>
              <w:ind w:right="-17" w:firstLine="720"/>
              <w:jc w:val="both"/>
              <w:rPr>
                <w:color w:val="000000"/>
                <w:sz w:val="20"/>
                <w:szCs w:val="20"/>
              </w:rPr>
            </w:pPr>
            <w:r w:rsidRPr="008D16E0">
              <w:rPr>
                <w:color w:val="000000"/>
                <w:sz w:val="20"/>
                <w:szCs w:val="20"/>
              </w:rPr>
              <w:t>Зазначена інформація повинна бути оприлюднена у вигляді PDF-файлів у вільному доступі у цілодобовому режимі на власному веб-сайті за кожний звітний період та перебувати на ньому протягом п'яти років з дати її оприлюднення..»;</w:t>
            </w:r>
          </w:p>
          <w:p w:rsidR="00A94AB7" w:rsidRPr="008D16E0" w:rsidRDefault="00A94AB7" w:rsidP="00E44C9F">
            <w:pPr>
              <w:jc w:val="both"/>
              <w:rPr>
                <w:i/>
                <w:sz w:val="20"/>
                <w:szCs w:val="20"/>
                <w:u w:val="single"/>
              </w:rPr>
            </w:pPr>
          </w:p>
        </w:tc>
        <w:tc>
          <w:tcPr>
            <w:tcW w:w="5940" w:type="dxa"/>
            <w:shd w:val="clear" w:color="auto" w:fill="auto"/>
          </w:tcPr>
          <w:p w:rsidR="00A94AB7" w:rsidRPr="008D16E0" w:rsidRDefault="00A94AB7" w:rsidP="00E44C9F">
            <w:pPr>
              <w:spacing w:line="240" w:lineRule="atLeast"/>
              <w:jc w:val="both"/>
            </w:pPr>
            <w:r w:rsidRPr="00090AC9">
              <w:rPr>
                <w:b/>
              </w:rPr>
              <w:lastRenderedPageBreak/>
              <w:t>18. Ліцензіат (</w:t>
            </w:r>
            <w:r w:rsidRPr="00090AC9">
              <w:rPr>
                <w:rStyle w:val="rvts23"/>
                <w:b/>
              </w:rPr>
              <w:t xml:space="preserve">у тому числі  новостворене товариство, перший звітний період якого </w:t>
            </w:r>
            <w:r w:rsidR="008151B1" w:rsidRPr="00090AC9">
              <w:rPr>
                <w:rStyle w:val="rvts23"/>
                <w:b/>
              </w:rPr>
              <w:t>менше 12</w:t>
            </w:r>
            <w:r w:rsidRPr="00090AC9">
              <w:rPr>
                <w:rStyle w:val="rvts23"/>
                <w:b/>
              </w:rPr>
              <w:t xml:space="preserve"> місяців</w:t>
            </w:r>
            <w:r w:rsidR="00167B75" w:rsidRPr="00090AC9">
              <w:rPr>
                <w:rStyle w:val="rvts23"/>
                <w:b/>
              </w:rPr>
              <w:t xml:space="preserve"> або перевищує 12 місяців</w:t>
            </w:r>
            <w:r w:rsidR="008151B1" w:rsidRPr="00090AC9">
              <w:rPr>
                <w:rStyle w:val="rvts23"/>
                <w:b/>
              </w:rPr>
              <w:t>,</w:t>
            </w:r>
            <w:r w:rsidR="00167B75" w:rsidRPr="00090AC9">
              <w:rPr>
                <w:rStyle w:val="rvts23"/>
                <w:b/>
              </w:rPr>
              <w:t xml:space="preserve"> але менше 15 місяців)</w:t>
            </w:r>
            <w:r w:rsidRPr="00090AC9">
              <w:rPr>
                <w:b/>
              </w:rPr>
              <w:t>, зобов’язаний у строки, передбачені частиною 3 статті 14 Закону України «Про бухгалтерський облік та фінансову звітність в Україні», оприлюднювати річну фінансову звітність та річну консолідовану фінансову звітність, підписані відповідно до вимог частини першої статті 11 Закону України «</w:t>
            </w:r>
            <w:r w:rsidRPr="00090AC9">
              <w:rPr>
                <w:rStyle w:val="rvts23"/>
                <w:b/>
              </w:rPr>
              <w:t xml:space="preserve">Про бухгалтерський облік та фінансову звітність в Україні», </w:t>
            </w:r>
            <w:r w:rsidRPr="00090AC9">
              <w:rPr>
                <w:b/>
              </w:rPr>
              <w:t>разом з аудиторським звітом (звітом незалежного аудитора) на власному  веб-сайті (у повному обсязі).</w:t>
            </w:r>
          </w:p>
          <w:p w:rsidR="00A94AB7" w:rsidRPr="008D16E0" w:rsidRDefault="00A94AB7" w:rsidP="00E44C9F">
            <w:pPr>
              <w:spacing w:before="120"/>
              <w:jc w:val="both"/>
            </w:pPr>
            <w:r w:rsidRPr="008D16E0">
              <w:t>Фінансова звітність ліцензіата повинна відповідати вимогам Міжнародних стандартів фінансової звітності, які є її концептуальною основою.</w:t>
            </w:r>
          </w:p>
          <w:p w:rsidR="00A94AB7" w:rsidRPr="008D16E0" w:rsidRDefault="00A94AB7" w:rsidP="00E44C9F">
            <w:pPr>
              <w:pStyle w:val="ab"/>
              <w:spacing w:before="0" w:beforeAutospacing="0" w:after="0" w:afterAutospacing="0" w:line="240" w:lineRule="atLeast"/>
              <w:jc w:val="both"/>
              <w:rPr>
                <w:b/>
              </w:rPr>
            </w:pPr>
          </w:p>
          <w:p w:rsidR="00A94AB7" w:rsidRPr="008D16E0" w:rsidRDefault="00A94AB7" w:rsidP="00E44C9F">
            <w:pPr>
              <w:pStyle w:val="ab"/>
              <w:spacing w:before="0" w:beforeAutospacing="0" w:after="0" w:afterAutospacing="0" w:line="240" w:lineRule="atLeast"/>
              <w:jc w:val="both"/>
              <w:rPr>
                <w:b/>
              </w:rPr>
            </w:pPr>
          </w:p>
          <w:p w:rsidR="00A94AB7" w:rsidRPr="008D16E0" w:rsidRDefault="00A94AB7" w:rsidP="00E44C9F">
            <w:pPr>
              <w:pStyle w:val="ab"/>
              <w:spacing w:before="0" w:beforeAutospacing="0" w:after="0" w:afterAutospacing="0" w:line="240" w:lineRule="atLeast"/>
              <w:jc w:val="both"/>
              <w:rPr>
                <w:b/>
              </w:rPr>
            </w:pPr>
          </w:p>
          <w:p w:rsidR="00A94AB7" w:rsidRPr="008D16E0" w:rsidRDefault="00A94AB7" w:rsidP="00E44C9F">
            <w:pPr>
              <w:pStyle w:val="ab"/>
              <w:spacing w:before="0" w:beforeAutospacing="0" w:after="0" w:afterAutospacing="0" w:line="240" w:lineRule="atLeast"/>
              <w:jc w:val="both"/>
              <w:rPr>
                <w:b/>
              </w:rPr>
            </w:pPr>
          </w:p>
          <w:p w:rsidR="00A94AB7" w:rsidRPr="008D16E0" w:rsidRDefault="00A94AB7" w:rsidP="00E44C9F">
            <w:pPr>
              <w:pStyle w:val="ab"/>
              <w:spacing w:before="0" w:beforeAutospacing="0" w:after="0" w:afterAutospacing="0" w:line="240" w:lineRule="atLeast"/>
              <w:jc w:val="both"/>
              <w:rPr>
                <w:rStyle w:val="rvts23"/>
                <w:b/>
              </w:rPr>
            </w:pPr>
            <w:r w:rsidRPr="008D16E0">
              <w:rPr>
                <w:b/>
              </w:rPr>
              <w:t xml:space="preserve">Аудиторський звіт (звіт незалежного аудитора) щодо річної фінансової звітності (щодо річної консолідованої фінансової звітності), який </w:t>
            </w:r>
            <w:r w:rsidRPr="008D16E0">
              <w:rPr>
                <w:b/>
              </w:rPr>
              <w:lastRenderedPageBreak/>
              <w:t>оприлюднюється ліцензіатом, має бути складений відповідно до Міжнародних стандартів аудиту та</w:t>
            </w:r>
            <w:r w:rsidRPr="008D16E0">
              <w:t xml:space="preserve"> </w:t>
            </w:r>
            <w:r w:rsidRPr="008D16E0">
              <w:rPr>
                <w:b/>
              </w:rPr>
              <w:t>законодавства</w:t>
            </w:r>
            <w:r w:rsidRPr="008D16E0">
              <w:rPr>
                <w:rStyle w:val="rvts23"/>
                <w:b/>
              </w:rPr>
              <w:t>.</w:t>
            </w: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sz w:val="22"/>
                <w:szCs w:val="22"/>
              </w:rPr>
            </w:pPr>
          </w:p>
          <w:p w:rsidR="00A94AB7" w:rsidRPr="008D16E0" w:rsidRDefault="00A94AB7" w:rsidP="00E44C9F">
            <w:pPr>
              <w:pStyle w:val="ab"/>
              <w:spacing w:before="0" w:beforeAutospacing="0" w:after="0" w:afterAutospacing="0"/>
              <w:jc w:val="both"/>
              <w:rPr>
                <w:b/>
              </w:rPr>
            </w:pPr>
            <w:r w:rsidRPr="008D16E0">
              <w:rPr>
                <w:b/>
              </w:rPr>
              <w:t>Аудиторський звіт (звіт незалежного аудитора) щодо річної фінансової звітності (щодо річної консолідованої фінансової звітності) можуть надавати тільки аудитор або аудиторська фірма, включені,  у тому числі на період проведення перевірки,  до Реєстру аудиторів та суб’єктів аудиторської діяльності, що ведеться відповідно до Закону України «Про аудит фінансової звітності та аудиторську діяльність»,  а саме до розділу цього Реєстру, що включає суб’єктів аудиторської діяльності, які мають право проводити обов’язковий аудит фінансової звітності, та/або обов’язковий аудит фінансової звітності підприємств, що становлять суспільний інтерес.</w:t>
            </w:r>
          </w:p>
          <w:p w:rsidR="00A94AB7" w:rsidRPr="008D16E0" w:rsidRDefault="00A94AB7" w:rsidP="00E44C9F">
            <w:pPr>
              <w:pStyle w:val="ab"/>
              <w:spacing w:before="0" w:beforeAutospacing="0" w:after="0" w:afterAutospacing="0"/>
              <w:jc w:val="both"/>
              <w:rPr>
                <w:b/>
              </w:rPr>
            </w:pPr>
          </w:p>
          <w:p w:rsidR="00A94AB7" w:rsidRPr="008D16E0" w:rsidRDefault="00A94AB7" w:rsidP="00E44C9F">
            <w:pPr>
              <w:pStyle w:val="ab"/>
              <w:spacing w:before="0" w:beforeAutospacing="0" w:after="0" w:afterAutospacing="0"/>
              <w:jc w:val="both"/>
            </w:pPr>
            <w:r w:rsidRPr="008D16E0">
              <w:t>Зазначена інформація повинна бути оприлюднена у вигляді PDF-файлів у вільному доступі</w:t>
            </w:r>
            <w:r w:rsidRPr="008D16E0">
              <w:rPr>
                <w:b/>
              </w:rPr>
              <w:t xml:space="preserve"> </w:t>
            </w:r>
            <w:r w:rsidRPr="008D16E0">
              <w:t>у цілодобовому режимі на власному веб-сайті за кожний звітний період та перебувати на ньому протягом п'яти років з дати її оприлюднення.</w:t>
            </w:r>
          </w:p>
          <w:p w:rsidR="00A94AB7" w:rsidRPr="008D16E0" w:rsidRDefault="00A94AB7" w:rsidP="00E44C9F">
            <w:pPr>
              <w:pStyle w:val="ab"/>
              <w:spacing w:before="0" w:beforeAutospacing="0" w:after="0" w:afterAutospacing="0"/>
              <w:jc w:val="both"/>
            </w:pPr>
          </w:p>
          <w:p w:rsidR="00A94AB7" w:rsidRPr="008D16E0" w:rsidRDefault="00A94AB7" w:rsidP="00E44C9F">
            <w:pPr>
              <w:pStyle w:val="ab"/>
              <w:spacing w:before="0" w:beforeAutospacing="0" w:after="0" w:afterAutospacing="0"/>
              <w:jc w:val="both"/>
            </w:pPr>
          </w:p>
          <w:p w:rsidR="00A94AB7" w:rsidRPr="008D16E0" w:rsidRDefault="00A94AB7" w:rsidP="00E44C9F">
            <w:pPr>
              <w:pStyle w:val="ab"/>
              <w:spacing w:before="0" w:beforeAutospacing="0" w:after="0" w:afterAutospacing="0"/>
              <w:jc w:val="both"/>
              <w:rPr>
                <w:sz w:val="22"/>
                <w:szCs w:val="22"/>
              </w:rPr>
            </w:pP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ab"/>
              <w:spacing w:before="0" w:beforeAutospacing="0" w:after="0" w:afterAutospacing="0"/>
              <w:jc w:val="both"/>
              <w:rPr>
                <w:b/>
                <w:color w:val="000000"/>
              </w:rPr>
            </w:pPr>
            <w:r w:rsidRPr="008D16E0">
              <w:rPr>
                <w:b/>
              </w:rPr>
              <w:t>Розділ ІІІ.</w:t>
            </w:r>
            <w:r w:rsidRPr="008D16E0">
              <w:rPr>
                <w:b/>
                <w:color w:val="000000"/>
              </w:rPr>
              <w:t xml:space="preserve"> Відомості, які ліцензіат подає до Комісії</w:t>
            </w:r>
          </w:p>
          <w:p w:rsidR="00A94AB7" w:rsidRPr="008D16E0" w:rsidRDefault="00A94AB7" w:rsidP="00E44C9F">
            <w:pPr>
              <w:pStyle w:val="ab"/>
              <w:spacing w:before="0" w:beforeAutospacing="0" w:after="0" w:afterAutospacing="0"/>
              <w:jc w:val="both"/>
              <w:rPr>
                <w:color w:val="000000"/>
              </w:rPr>
            </w:pPr>
            <w:r w:rsidRPr="008D16E0">
              <w:rPr>
                <w:color w:val="000000"/>
              </w:rPr>
              <w:t xml:space="preserve">7. Ліцензіат з дати виникнення змін у процесі здійснення професійної діяльності на фондовому ринку - діяльності з організації торгівлі зобов'язаний протягом двадцяти робочих днів повідомити Комісію </w:t>
            </w:r>
            <w:r w:rsidRPr="008D16E0">
              <w:rPr>
                <w:b/>
                <w:strike/>
                <w:color w:val="000000"/>
              </w:rPr>
              <w:t xml:space="preserve">(із зазначенням департаменту регулювання </w:t>
            </w:r>
            <w:r w:rsidRPr="008D16E0">
              <w:rPr>
                <w:b/>
                <w:strike/>
                <w:color w:val="000000"/>
              </w:rPr>
              <w:lastRenderedPageBreak/>
              <w:t>діяльності торговців цінними паперами та фондових бірж)</w:t>
            </w:r>
            <w:r w:rsidRPr="008D16E0">
              <w:rPr>
                <w:color w:val="000000"/>
              </w:rPr>
              <w:t>, а саме надати інформацію, яка підтверджує зазначені зміни, за такими змістом та формою:</w:t>
            </w:r>
          </w:p>
          <w:p w:rsidR="00A94AB7" w:rsidRPr="008D16E0" w:rsidRDefault="00A94AB7" w:rsidP="00E44C9F">
            <w:pPr>
              <w:pStyle w:val="ab"/>
              <w:spacing w:before="0" w:beforeAutospacing="0" w:after="0" w:afterAutospacing="0"/>
              <w:jc w:val="both"/>
              <w:rPr>
                <w:color w:val="000000"/>
              </w:rPr>
            </w:pPr>
            <w:r w:rsidRPr="008D16E0">
              <w:rPr>
                <w:color w:val="000000"/>
              </w:rPr>
              <w:t>………</w:t>
            </w:r>
          </w:p>
          <w:p w:rsidR="00A94AB7" w:rsidRPr="008D16E0" w:rsidRDefault="00A94AB7" w:rsidP="00E44C9F">
            <w:pPr>
              <w:pStyle w:val="ab"/>
              <w:spacing w:before="0" w:beforeAutospacing="0" w:after="0" w:afterAutospacing="0"/>
              <w:jc w:val="both"/>
              <w:rPr>
                <w:sz w:val="22"/>
                <w:szCs w:val="22"/>
              </w:rPr>
            </w:pPr>
            <w:r w:rsidRPr="008D16E0">
              <w:t xml:space="preserve">6) ліцензіат у разі тимчасової зміни місцезнаходження (ремонт приміщення тощо) менше ніж на шість місяців повинен не пізніше ніж за п'ять робочих днів до дати фактичної зміни місцезнаходження повідомити </w:t>
            </w:r>
            <w:r w:rsidRPr="008D16E0">
              <w:rPr>
                <w:b/>
                <w:strike/>
              </w:rPr>
              <w:t>центральний апарат Комісії</w:t>
            </w:r>
            <w:r w:rsidRPr="008D16E0">
              <w:t xml:space="preserve"> про ці зміни (із зазначенням нового місцезнаходження та графіка роботи) та протягом п'ятнадцяти робочих днів з дати виникнення таких змін надати до Комісії копію договору (крім випадку, коли тимчасова зміна місцезнаходження не буде перевищувати тридцять календарних днів, про що зазначається у відповідному повідомленні), що підтверджує право тимчасового користування приміщенням, яке повинно відповідати вимогам щодо приміщення ліцензіата, установленим для цього виду діяльності, та копію публікації про ці зміни в друкованому засобі масової інформації.</w:t>
            </w:r>
          </w:p>
        </w:tc>
        <w:tc>
          <w:tcPr>
            <w:tcW w:w="3420" w:type="dxa"/>
            <w:shd w:val="clear" w:color="auto" w:fill="auto"/>
          </w:tcPr>
          <w:p w:rsidR="00A94AB7" w:rsidRPr="008D16E0" w:rsidRDefault="00A94AB7" w:rsidP="00E44C9F">
            <w:pPr>
              <w:jc w:val="both"/>
              <w:rPr>
                <w:i/>
                <w:u w:val="single"/>
              </w:rPr>
            </w:pPr>
          </w:p>
          <w:p w:rsidR="00A94AB7" w:rsidRPr="008D16E0" w:rsidRDefault="00A94AB7" w:rsidP="00E44C9F">
            <w:pPr>
              <w:spacing w:line="276" w:lineRule="auto"/>
              <w:ind w:right="-17" w:firstLine="720"/>
              <w:jc w:val="both"/>
              <w:rPr>
                <w:color w:val="000000"/>
              </w:rPr>
            </w:pPr>
            <w:r w:rsidRPr="008D16E0">
              <w:rPr>
                <w:color w:val="000000"/>
              </w:rPr>
              <w:t>у пункті 7:</w:t>
            </w:r>
          </w:p>
          <w:p w:rsidR="00A94AB7" w:rsidRPr="008D16E0" w:rsidRDefault="00A94AB7" w:rsidP="00E44C9F">
            <w:pPr>
              <w:spacing w:line="276" w:lineRule="auto"/>
              <w:ind w:right="-17"/>
              <w:jc w:val="both"/>
              <w:rPr>
                <w:color w:val="000000"/>
              </w:rPr>
            </w:pPr>
            <w:r w:rsidRPr="008D16E0">
              <w:rPr>
                <w:color w:val="000000"/>
              </w:rPr>
              <w:t xml:space="preserve">      в абзаці першому слова «(із зазначенням департаменту регулювання діяльності </w:t>
            </w:r>
            <w:r w:rsidRPr="008D16E0">
              <w:rPr>
                <w:color w:val="000000"/>
              </w:rPr>
              <w:lastRenderedPageBreak/>
              <w:t>торговців цінними паперами та фондових бірж)» виключити;</w:t>
            </w:r>
          </w:p>
          <w:p w:rsidR="00A94AB7" w:rsidRPr="008D16E0" w:rsidRDefault="00A94AB7" w:rsidP="00E44C9F">
            <w:pPr>
              <w:spacing w:line="276" w:lineRule="auto"/>
              <w:ind w:right="-17"/>
              <w:jc w:val="both"/>
              <w:rPr>
                <w:color w:val="000000"/>
              </w:rPr>
            </w:pPr>
          </w:p>
          <w:p w:rsidR="00A94AB7" w:rsidRPr="008D16E0" w:rsidRDefault="00A94AB7" w:rsidP="00E44C9F">
            <w:pPr>
              <w:spacing w:line="276" w:lineRule="auto"/>
              <w:ind w:right="-17"/>
              <w:jc w:val="both"/>
              <w:rPr>
                <w:color w:val="000000"/>
              </w:rPr>
            </w:pPr>
          </w:p>
          <w:p w:rsidR="00A94AB7" w:rsidRPr="008D16E0" w:rsidRDefault="00A94AB7" w:rsidP="00E44C9F">
            <w:pPr>
              <w:spacing w:line="276" w:lineRule="auto"/>
              <w:ind w:right="-17"/>
              <w:jc w:val="both"/>
              <w:rPr>
                <w:color w:val="000000"/>
              </w:rPr>
            </w:pPr>
          </w:p>
          <w:p w:rsidR="00A94AB7" w:rsidRPr="008D16E0" w:rsidRDefault="00A94AB7" w:rsidP="00E44C9F">
            <w:pPr>
              <w:spacing w:line="276" w:lineRule="auto"/>
              <w:ind w:right="-17"/>
              <w:jc w:val="both"/>
              <w:rPr>
                <w:color w:val="000000"/>
              </w:rPr>
            </w:pPr>
          </w:p>
          <w:p w:rsidR="00A94AB7" w:rsidRPr="008D16E0" w:rsidRDefault="00A94AB7" w:rsidP="00E44C9F">
            <w:pPr>
              <w:spacing w:line="276" w:lineRule="auto"/>
              <w:ind w:right="-17"/>
              <w:jc w:val="both"/>
              <w:rPr>
                <w:color w:val="000000"/>
              </w:rPr>
            </w:pPr>
            <w:r w:rsidRPr="008D16E0">
              <w:rPr>
                <w:color w:val="000000"/>
              </w:rPr>
              <w:t xml:space="preserve">      у підпункті 6 слова «центральний апарат Комісії» замінити словом «Комісію»;</w:t>
            </w:r>
          </w:p>
          <w:p w:rsidR="00A94AB7" w:rsidRPr="008D16E0" w:rsidRDefault="00A94AB7" w:rsidP="00E44C9F">
            <w:pPr>
              <w:jc w:val="both"/>
              <w:rPr>
                <w:i/>
                <w:u w:val="single"/>
              </w:rPr>
            </w:pPr>
          </w:p>
        </w:tc>
        <w:tc>
          <w:tcPr>
            <w:tcW w:w="5940" w:type="dxa"/>
            <w:shd w:val="clear" w:color="auto" w:fill="auto"/>
          </w:tcPr>
          <w:p w:rsidR="00A94AB7" w:rsidRPr="008D16E0" w:rsidRDefault="00A94AB7" w:rsidP="00E44C9F">
            <w:pPr>
              <w:pStyle w:val="ab"/>
              <w:spacing w:before="0" w:beforeAutospacing="0" w:after="0" w:afterAutospacing="0"/>
              <w:jc w:val="both"/>
              <w:rPr>
                <w:b/>
                <w:color w:val="000000"/>
              </w:rPr>
            </w:pPr>
            <w:r w:rsidRPr="008D16E0">
              <w:rPr>
                <w:b/>
              </w:rPr>
              <w:lastRenderedPageBreak/>
              <w:t>Розділ ІІІ.</w:t>
            </w:r>
            <w:r w:rsidRPr="008D16E0">
              <w:rPr>
                <w:b/>
                <w:color w:val="000000"/>
              </w:rPr>
              <w:t xml:space="preserve"> Відомості, які ліцензіат подає до Комісії</w:t>
            </w:r>
          </w:p>
          <w:p w:rsidR="00A94AB7" w:rsidRPr="008D16E0" w:rsidRDefault="00A94AB7" w:rsidP="00E44C9F">
            <w:pPr>
              <w:jc w:val="both"/>
              <w:rPr>
                <w:sz w:val="22"/>
                <w:szCs w:val="22"/>
              </w:rPr>
            </w:pPr>
          </w:p>
          <w:p w:rsidR="00A94AB7" w:rsidRPr="008D16E0" w:rsidRDefault="00A94AB7" w:rsidP="00E44C9F">
            <w:pPr>
              <w:ind w:firstLine="240"/>
              <w:jc w:val="both"/>
              <w:rPr>
                <w:color w:val="000000"/>
              </w:rPr>
            </w:pPr>
            <w:r w:rsidRPr="008D16E0">
              <w:rPr>
                <w:color w:val="000000"/>
              </w:rPr>
              <w:t xml:space="preserve">7. Ліцензіат з дати виникнення змін у процесі здійснення професійної діяльності на фондовому ринку - діяльності з організації торгівлі зобов'язаний протягом двадцяти робочих днів повідомити Комісію, </w:t>
            </w:r>
            <w:r w:rsidRPr="008D16E0">
              <w:rPr>
                <w:color w:val="000000"/>
              </w:rPr>
              <w:lastRenderedPageBreak/>
              <w:t>а саме надати інформацію, яка підтверджує зазначені зміни, за такими змістом та формою:</w:t>
            </w:r>
          </w:p>
          <w:p w:rsidR="00A94AB7" w:rsidRPr="008D16E0" w:rsidRDefault="00A94AB7" w:rsidP="00E44C9F">
            <w:pPr>
              <w:ind w:firstLine="240"/>
              <w:jc w:val="both"/>
              <w:rPr>
                <w:color w:val="000000"/>
              </w:rPr>
            </w:pPr>
          </w:p>
          <w:p w:rsidR="00A94AB7" w:rsidRPr="008D16E0" w:rsidRDefault="00A94AB7" w:rsidP="00E44C9F">
            <w:pPr>
              <w:ind w:firstLine="240"/>
              <w:jc w:val="both"/>
              <w:rPr>
                <w:color w:val="000000"/>
              </w:rPr>
            </w:pPr>
          </w:p>
          <w:p w:rsidR="00A94AB7" w:rsidRPr="008D16E0" w:rsidRDefault="00A94AB7" w:rsidP="00E44C9F">
            <w:pPr>
              <w:jc w:val="both"/>
              <w:rPr>
                <w:sz w:val="22"/>
                <w:szCs w:val="22"/>
              </w:rPr>
            </w:pPr>
            <w:r w:rsidRPr="008D16E0">
              <w:rPr>
                <w:sz w:val="22"/>
                <w:szCs w:val="22"/>
              </w:rPr>
              <w:t>……..</w:t>
            </w:r>
          </w:p>
          <w:p w:rsidR="00A94AB7" w:rsidRPr="008D16E0" w:rsidRDefault="00A94AB7" w:rsidP="00E44C9F">
            <w:pPr>
              <w:jc w:val="both"/>
              <w:rPr>
                <w:sz w:val="22"/>
                <w:szCs w:val="22"/>
              </w:rPr>
            </w:pPr>
            <w:r w:rsidRPr="008D16E0">
              <w:t xml:space="preserve">6) ліцензіат у разі тимчасової зміни місцезнаходження (ремонт приміщення тощо) менше ніж на шість місяців повинен не пізніше ніж за п'ять робочих днів до дати фактичної зміни місцезнаходження повідомити </w:t>
            </w:r>
            <w:r w:rsidRPr="008D16E0">
              <w:rPr>
                <w:b/>
              </w:rPr>
              <w:t>Комісію</w:t>
            </w:r>
            <w:r w:rsidRPr="008D16E0">
              <w:t xml:space="preserve"> про ці зміни (із зазначенням нового місцезнаходження та графіка роботи) та протягом п'ятнадцяти робочих днів з дати виникнення таких змін надати до Комісії копію договору (крім випадку, коли тимчасова зміна місцезнаходження не буде перевищувати тридцять календарних днів, про що зазначається у відповідному повідомленні), що підтверджує право тимчасового користування приміщенням, яке повинно відповідати вимогам щодо приміщення ліцензіата, установленим для цього виду діяльності, та копію публікації про ці зміни в друкованому засобі масової інформації.</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jc w:val="both"/>
            </w:pPr>
            <w:r w:rsidRPr="008D16E0">
              <w:t xml:space="preserve">9. Фондова біржа зобов'язана щокварталу до 25-го числа місяця, що настає за звітним кварталом (крім IV кварталу) (за підсумками року - до 01 травня наступного за звітним року), подавати до Комісії </w:t>
            </w:r>
            <w:r w:rsidRPr="008D16E0">
              <w:rPr>
                <w:b/>
                <w:strike/>
              </w:rPr>
              <w:t>(із зазначенням структурного підрозділу центрального апарату</w:t>
            </w:r>
            <w:r w:rsidRPr="008D16E0">
              <w:t xml:space="preserve"> </w:t>
            </w:r>
            <w:r w:rsidRPr="008D16E0">
              <w:rPr>
                <w:b/>
                <w:strike/>
              </w:rPr>
              <w:t>Комісії, який здійснював розгляд документів на видачу ліцензії)</w:t>
            </w:r>
            <w:r w:rsidRPr="008D16E0">
              <w:t xml:space="preserve"> довідку про склад активів з розкриттям інформації щодо структури фінансових інвестицій за звітний квартал (рік), підписану керівником і головним бухгалтером, та копію фінансової звітності за звітний квартал (рік).</w:t>
            </w:r>
          </w:p>
          <w:p w:rsidR="00A94AB7" w:rsidRPr="008D16E0" w:rsidRDefault="00A94AB7" w:rsidP="00E44C9F">
            <w:pPr>
              <w:pStyle w:val="ab"/>
              <w:spacing w:before="0" w:beforeAutospacing="0" w:after="0" w:afterAutospacing="0"/>
              <w:jc w:val="both"/>
              <w:rPr>
                <w:sz w:val="22"/>
                <w:szCs w:val="22"/>
              </w:rPr>
            </w:pPr>
            <w:r w:rsidRPr="008D16E0">
              <w:rPr>
                <w:sz w:val="22"/>
                <w:szCs w:val="22"/>
              </w:rPr>
              <w:t>……..</w:t>
            </w:r>
          </w:p>
          <w:p w:rsidR="00A94AB7" w:rsidRPr="008D16E0" w:rsidRDefault="00A94AB7" w:rsidP="00E44C9F">
            <w:pPr>
              <w:pStyle w:val="ab"/>
              <w:spacing w:before="0" w:beforeAutospacing="0" w:after="0" w:afterAutospacing="0"/>
              <w:jc w:val="both"/>
              <w:rPr>
                <w:sz w:val="22"/>
                <w:szCs w:val="22"/>
              </w:rPr>
            </w:pPr>
            <w:r w:rsidRPr="008D16E0">
              <w:t xml:space="preserve">Зазначена інформація повинна бути оприлюднена у цілодобовому режимі на власному веб-сайті за кожний звітний період та перебувати на ньому </w:t>
            </w:r>
            <w:r w:rsidRPr="008D16E0">
              <w:lastRenderedPageBreak/>
              <w:t>протягом п'яти років з дати її оприлюднення.</w:t>
            </w:r>
          </w:p>
        </w:tc>
        <w:tc>
          <w:tcPr>
            <w:tcW w:w="3420" w:type="dxa"/>
            <w:shd w:val="clear" w:color="auto" w:fill="auto"/>
          </w:tcPr>
          <w:p w:rsidR="00A94AB7" w:rsidRPr="008D16E0" w:rsidRDefault="00A94AB7" w:rsidP="00E44C9F">
            <w:pPr>
              <w:spacing w:line="276" w:lineRule="auto"/>
              <w:ind w:right="-17" w:firstLine="720"/>
              <w:jc w:val="both"/>
              <w:rPr>
                <w:color w:val="000000"/>
              </w:rPr>
            </w:pPr>
            <w:r w:rsidRPr="008D16E0">
              <w:rPr>
                <w:color w:val="000000"/>
              </w:rPr>
              <w:lastRenderedPageBreak/>
              <w:t xml:space="preserve">у пункті 9: </w:t>
            </w:r>
          </w:p>
          <w:p w:rsidR="00A94AB7" w:rsidRPr="008D16E0" w:rsidRDefault="00A94AB7" w:rsidP="00E44C9F">
            <w:pPr>
              <w:spacing w:line="276" w:lineRule="auto"/>
              <w:ind w:right="-17"/>
              <w:jc w:val="both"/>
            </w:pPr>
            <w:r w:rsidRPr="008D16E0">
              <w:rPr>
                <w:color w:val="000000"/>
              </w:rPr>
              <w:t xml:space="preserve">     в абзаці першому слова «</w:t>
            </w:r>
            <w:r w:rsidRPr="008D16E0">
              <w:t>(із зазначенням структурного підрозділу центрального апарату Комісії, який здійснював розгляд документів на видачу ліцензії)» виключити;</w:t>
            </w:r>
          </w:p>
          <w:p w:rsidR="00A94AB7" w:rsidRPr="008D16E0" w:rsidRDefault="00A94AB7" w:rsidP="00E44C9F">
            <w:pPr>
              <w:spacing w:line="276" w:lineRule="auto"/>
              <w:ind w:right="-17"/>
              <w:jc w:val="both"/>
            </w:pPr>
          </w:p>
          <w:p w:rsidR="00A94AB7" w:rsidRPr="008D16E0" w:rsidRDefault="00A94AB7" w:rsidP="00E44C9F">
            <w:pPr>
              <w:spacing w:line="276" w:lineRule="auto"/>
              <w:ind w:right="-17"/>
              <w:jc w:val="both"/>
            </w:pPr>
          </w:p>
          <w:p w:rsidR="00A94AB7" w:rsidRPr="008D16E0" w:rsidRDefault="00A94AB7" w:rsidP="00E44C9F">
            <w:pPr>
              <w:jc w:val="both"/>
              <w:rPr>
                <w:i/>
                <w:u w:val="single"/>
              </w:rPr>
            </w:pPr>
            <w:r w:rsidRPr="008D16E0">
              <w:t xml:space="preserve">доповнити абзац третій після слова «оприлюднена» словами «у вигляді PDF-файлів у вільному доступі»; </w:t>
            </w:r>
          </w:p>
        </w:tc>
        <w:tc>
          <w:tcPr>
            <w:tcW w:w="5940" w:type="dxa"/>
            <w:shd w:val="clear" w:color="auto" w:fill="auto"/>
          </w:tcPr>
          <w:p w:rsidR="00A94AB7" w:rsidRPr="008D16E0" w:rsidRDefault="00A94AB7" w:rsidP="00E44C9F">
            <w:pPr>
              <w:pStyle w:val="tjbmf"/>
              <w:shd w:val="clear" w:color="auto" w:fill="FFFFFF"/>
              <w:spacing w:before="0" w:beforeAutospacing="0" w:after="0" w:afterAutospacing="0"/>
              <w:jc w:val="both"/>
            </w:pPr>
            <w:r w:rsidRPr="008D16E0">
              <w:t>9. Фондова біржа зобов'язана щокварталу до 25-го числа місяця, що настає за звітним кварталом (крім IV кварталу) (за підсумками року - до 01 травня наступного за звітним року), подавати до Комісії довідку про склад активів з розкриттям інформації щодо структури фінансових інвестицій за звітний квартал (рік), підписану керівником і головним бухгалтером, та копію фінансової звітності за звітний квартал (рік).</w:t>
            </w:r>
          </w:p>
          <w:p w:rsidR="00A94AB7" w:rsidRPr="008D16E0" w:rsidRDefault="00A94AB7" w:rsidP="00E44C9F">
            <w:pPr>
              <w:pStyle w:val="tjbmf"/>
              <w:shd w:val="clear" w:color="auto" w:fill="FFFFFF"/>
              <w:spacing w:before="0" w:beforeAutospacing="0" w:after="0" w:afterAutospacing="0"/>
              <w:jc w:val="both"/>
            </w:pPr>
            <w:r w:rsidRPr="008D16E0">
              <w:t>……</w:t>
            </w:r>
          </w:p>
          <w:p w:rsidR="00A94AB7" w:rsidRPr="008D16E0" w:rsidRDefault="00A94AB7" w:rsidP="00E44C9F">
            <w:pPr>
              <w:pStyle w:val="ab"/>
              <w:spacing w:before="0" w:beforeAutospacing="0" w:after="0" w:afterAutospacing="0"/>
              <w:jc w:val="both"/>
              <w:rPr>
                <w:sz w:val="22"/>
                <w:szCs w:val="22"/>
              </w:rPr>
            </w:pPr>
            <w:r w:rsidRPr="008D16E0">
              <w:t xml:space="preserve">Зазначена інформація повинна бути оприлюднена </w:t>
            </w:r>
            <w:r w:rsidRPr="008D16E0">
              <w:rPr>
                <w:b/>
              </w:rPr>
              <w:t xml:space="preserve">у вигляді PDF-файлів у вільному доступі </w:t>
            </w:r>
            <w:r w:rsidRPr="008D16E0">
              <w:t>у цілодобовому режимі на власному веб-сайті за кожний звітний період та перебувати на ньому протягом п'яти років з дати її оприлюднення.</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ab"/>
              <w:spacing w:before="0" w:beforeAutospacing="0" w:after="0" w:afterAutospacing="0"/>
              <w:jc w:val="both"/>
              <w:rPr>
                <w:b/>
                <w:strike/>
              </w:rPr>
            </w:pPr>
            <w:r w:rsidRPr="008D16E0">
              <w:t xml:space="preserve">13. У разі внесення змін до правил фондова біржа зобов'язана подавати до Комісії </w:t>
            </w:r>
            <w:r w:rsidRPr="008D16E0">
              <w:rPr>
                <w:b/>
              </w:rPr>
              <w:t>(із зазначенням структурного підрозділу центрального апарату Комісії - департаменту регулювання діяльності торговців цінними паперами та фондових бірж)</w:t>
            </w:r>
            <w:r w:rsidRPr="008D16E0">
              <w:t xml:space="preserve"> на реєстрацію всі зміни, що вносяться до правил фондової біржі, протягом двадцяти робочих днів з дати їх затвердження біржовою радою фондової біржі.</w:t>
            </w:r>
          </w:p>
        </w:tc>
        <w:tc>
          <w:tcPr>
            <w:tcW w:w="3420" w:type="dxa"/>
            <w:vMerge w:val="restart"/>
            <w:shd w:val="clear" w:color="auto" w:fill="auto"/>
          </w:tcPr>
          <w:p w:rsidR="00A94AB7" w:rsidRPr="008D16E0" w:rsidRDefault="00A94AB7" w:rsidP="00E44C9F">
            <w:pPr>
              <w:spacing w:line="276" w:lineRule="auto"/>
              <w:ind w:right="-17"/>
              <w:jc w:val="both"/>
            </w:pPr>
          </w:p>
          <w:p w:rsidR="00A94AB7" w:rsidRPr="008D16E0" w:rsidRDefault="00A94AB7" w:rsidP="00E44C9F">
            <w:pPr>
              <w:spacing w:line="276" w:lineRule="auto"/>
              <w:ind w:right="-17"/>
              <w:jc w:val="both"/>
            </w:pPr>
          </w:p>
          <w:p w:rsidR="00A94AB7" w:rsidRPr="008D16E0" w:rsidRDefault="00A94AB7" w:rsidP="00E44C9F">
            <w:pPr>
              <w:spacing w:line="276" w:lineRule="auto"/>
              <w:ind w:right="-17"/>
              <w:jc w:val="both"/>
            </w:pPr>
          </w:p>
          <w:p w:rsidR="00A94AB7" w:rsidRPr="008D16E0" w:rsidRDefault="00A94AB7" w:rsidP="00E44C9F">
            <w:pPr>
              <w:jc w:val="both"/>
              <w:rPr>
                <w:i/>
                <w:u w:val="single"/>
              </w:rPr>
            </w:pPr>
            <w:r w:rsidRPr="008D16E0">
              <w:t xml:space="preserve">    в абзаці першому пункту 13 та абзаці першому пункту 15 слова «(із зазначенням структурного підрозділу центрального апарату Комісії – департаменту регулювання діяльності торговців цінними паперами та фондових бірж)» виключити;</w:t>
            </w:r>
          </w:p>
        </w:tc>
        <w:tc>
          <w:tcPr>
            <w:tcW w:w="5940" w:type="dxa"/>
            <w:shd w:val="clear" w:color="auto" w:fill="auto"/>
          </w:tcPr>
          <w:p w:rsidR="00A94AB7" w:rsidRPr="008D16E0" w:rsidRDefault="00A94AB7" w:rsidP="00E44C9F">
            <w:pPr>
              <w:pStyle w:val="ab"/>
              <w:spacing w:before="0" w:beforeAutospacing="0" w:after="0" w:afterAutospacing="0"/>
              <w:jc w:val="both"/>
              <w:rPr>
                <w:sz w:val="22"/>
                <w:szCs w:val="22"/>
              </w:rPr>
            </w:pPr>
            <w:r w:rsidRPr="008D16E0">
              <w:t>13. У разі внесення змін до правил фондова біржа зобов'язана подавати до Комісії на реєстрацію всі зміни, що вносяться до правил фондової біржі, протягом двадцяти робочих днів з дати їх затвердження біржовою радою фондової біржі.</w:t>
            </w:r>
          </w:p>
        </w:tc>
      </w:tr>
      <w:tr w:rsidR="00A94AB7" w:rsidRPr="008D16E0"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ind w:firstLine="240"/>
              <w:jc w:val="both"/>
              <w:rPr>
                <w:color w:val="000000"/>
              </w:rPr>
            </w:pPr>
            <w:r w:rsidRPr="008D16E0">
              <w:t>15. Для реєстрації змін до правил фондова біржа надає до Комісії (із зазначенням структурного підрозділу центрального апарату Комісії - департаменту регулювання діяльності торговців цінними паперами та фондових бірж) такі документи:</w:t>
            </w:r>
          </w:p>
        </w:tc>
        <w:tc>
          <w:tcPr>
            <w:tcW w:w="3420" w:type="dxa"/>
            <w:vMerge/>
            <w:shd w:val="clear" w:color="auto" w:fill="auto"/>
          </w:tcPr>
          <w:p w:rsidR="00A94AB7" w:rsidRPr="008D16E0" w:rsidRDefault="00A94AB7" w:rsidP="00E44C9F">
            <w:pPr>
              <w:jc w:val="both"/>
              <w:rPr>
                <w:i/>
                <w:sz w:val="22"/>
                <w:szCs w:val="22"/>
                <w:u w:val="single"/>
              </w:rPr>
            </w:pPr>
          </w:p>
        </w:tc>
        <w:tc>
          <w:tcPr>
            <w:tcW w:w="5940" w:type="dxa"/>
            <w:shd w:val="clear" w:color="auto" w:fill="auto"/>
          </w:tcPr>
          <w:p w:rsidR="00A94AB7" w:rsidRPr="008D16E0" w:rsidRDefault="00A94AB7" w:rsidP="00E44C9F">
            <w:pPr>
              <w:ind w:firstLine="240"/>
              <w:jc w:val="both"/>
            </w:pPr>
            <w:r w:rsidRPr="008D16E0">
              <w:rPr>
                <w:color w:val="000000"/>
              </w:rPr>
              <w:t>15. Для реєстрації змін до правил фондова біржа надає до Комісії такі документи:</w:t>
            </w:r>
          </w:p>
          <w:p w:rsidR="00A94AB7" w:rsidRPr="008D16E0" w:rsidRDefault="00A94AB7" w:rsidP="00E44C9F">
            <w:pPr>
              <w:pStyle w:val="ab"/>
              <w:spacing w:before="0" w:beforeAutospacing="0" w:after="0" w:afterAutospacing="0"/>
              <w:jc w:val="both"/>
              <w:rPr>
                <w:sz w:val="22"/>
                <w:szCs w:val="22"/>
              </w:rPr>
            </w:pPr>
            <w:r w:rsidRPr="008D16E0">
              <w:t>…</w:t>
            </w:r>
          </w:p>
        </w:tc>
      </w:tr>
      <w:tr w:rsidR="00A94AB7" w:rsidRPr="009F6C5A" w:rsidTr="00E44C9F">
        <w:tc>
          <w:tcPr>
            <w:tcW w:w="648" w:type="dxa"/>
          </w:tcPr>
          <w:p w:rsidR="00A94AB7" w:rsidRPr="008D16E0" w:rsidRDefault="00A94AB7" w:rsidP="00E44C9F">
            <w:pPr>
              <w:shd w:val="clear" w:color="auto" w:fill="FFFFFF"/>
              <w:spacing w:before="100" w:beforeAutospacing="1" w:after="100" w:afterAutospacing="1"/>
              <w:jc w:val="both"/>
              <w:rPr>
                <w:sz w:val="22"/>
                <w:szCs w:val="22"/>
              </w:rPr>
            </w:pPr>
          </w:p>
        </w:tc>
        <w:tc>
          <w:tcPr>
            <w:tcW w:w="5760" w:type="dxa"/>
            <w:shd w:val="clear" w:color="auto" w:fill="auto"/>
          </w:tcPr>
          <w:p w:rsidR="00A94AB7" w:rsidRPr="008D16E0" w:rsidRDefault="00A94AB7" w:rsidP="00E44C9F">
            <w:pPr>
              <w:pStyle w:val="3"/>
              <w:spacing w:before="0" w:after="0"/>
              <w:jc w:val="both"/>
              <w:rPr>
                <w:rFonts w:ascii="Times New Roman" w:hAnsi="Times New Roman" w:cs="Times New Roman"/>
                <w:strike/>
                <w:kern w:val="24"/>
                <w:sz w:val="22"/>
                <w:szCs w:val="22"/>
              </w:rPr>
            </w:pPr>
            <w:r w:rsidRPr="008D16E0">
              <w:rPr>
                <w:rFonts w:ascii="Times New Roman" w:hAnsi="Times New Roman" w:cs="Times New Roman"/>
                <w:strike/>
                <w:kern w:val="24"/>
                <w:sz w:val="22"/>
                <w:szCs w:val="22"/>
                <w:lang w:val="ru-RU"/>
              </w:rPr>
              <w:t>Розділ І</w:t>
            </w:r>
            <w:r w:rsidRPr="008D16E0">
              <w:rPr>
                <w:rFonts w:ascii="Times New Roman" w:hAnsi="Times New Roman" w:cs="Times New Roman"/>
                <w:strike/>
                <w:kern w:val="24"/>
                <w:sz w:val="22"/>
                <w:szCs w:val="22"/>
              </w:rPr>
              <w:t>V</w:t>
            </w:r>
            <w:r w:rsidRPr="008D16E0">
              <w:rPr>
                <w:rFonts w:ascii="Times New Roman" w:hAnsi="Times New Roman" w:cs="Times New Roman"/>
                <w:strike/>
                <w:kern w:val="24"/>
                <w:sz w:val="22"/>
                <w:szCs w:val="22"/>
                <w:lang w:val="ru-RU"/>
              </w:rPr>
              <w:t>.</w:t>
            </w:r>
            <w:r w:rsidRPr="008D16E0">
              <w:rPr>
                <w:rFonts w:ascii="Times New Roman" w:hAnsi="Times New Roman" w:cs="Times New Roman"/>
                <w:strike/>
                <w:color w:val="000000"/>
                <w:kern w:val="24"/>
                <w:sz w:val="22"/>
                <w:szCs w:val="22"/>
                <w:lang w:val="ru-RU"/>
              </w:rPr>
              <w:t xml:space="preserve"> </w:t>
            </w:r>
            <w:r w:rsidRPr="008D16E0">
              <w:rPr>
                <w:rFonts w:ascii="Times New Roman" w:hAnsi="Times New Roman" w:cs="Times New Roman"/>
                <w:strike/>
                <w:color w:val="000000"/>
                <w:kern w:val="24"/>
                <w:sz w:val="22"/>
                <w:szCs w:val="22"/>
              </w:rPr>
              <w:t>Державний контроль за здійсненням професійної діяльності на фондовому ринку - діяльності з організації торгівлі на фондовому ринку</w:t>
            </w:r>
          </w:p>
          <w:p w:rsidR="00A94AB7" w:rsidRPr="008D16E0" w:rsidRDefault="00A94AB7" w:rsidP="00E44C9F">
            <w:pPr>
              <w:pStyle w:val="tjbmf"/>
              <w:shd w:val="clear" w:color="auto" w:fill="FFFFFF"/>
              <w:jc w:val="both"/>
              <w:rPr>
                <w:b/>
                <w:strike/>
                <w:sz w:val="22"/>
                <w:szCs w:val="22"/>
              </w:rPr>
            </w:pPr>
            <w:r w:rsidRPr="008D16E0">
              <w:rPr>
                <w:b/>
                <w:strike/>
                <w:sz w:val="22"/>
                <w:szCs w:val="22"/>
              </w:rPr>
              <w:t xml:space="preserve">1. Державний контроль за здійсненням професійної діяльності на фондовому ринку - діяльності з організації торгівлі на фондовому ринку здійснюють центральний апарат Комісії та відповідні територіальні органи Комісії відповідно до </w:t>
            </w:r>
            <w:r w:rsidRPr="008D16E0">
              <w:rPr>
                <w:b/>
                <w:strike/>
                <w:color w:val="000000"/>
                <w:sz w:val="22"/>
                <w:szCs w:val="22"/>
              </w:rPr>
              <w:t>Закону України "Про державне регулювання ринку цінних паперів в Україні"</w:t>
            </w:r>
            <w:r w:rsidRPr="008D16E0">
              <w:rPr>
                <w:b/>
                <w:strike/>
                <w:sz w:val="22"/>
                <w:szCs w:val="22"/>
              </w:rPr>
              <w:t>, цих Ліцензійних умов та інших нормативно-правових актів Комісії.</w:t>
            </w:r>
          </w:p>
          <w:p w:rsidR="00A94AB7" w:rsidRPr="008D16E0" w:rsidRDefault="00A94AB7" w:rsidP="00E44C9F">
            <w:pPr>
              <w:pStyle w:val="tjbmf"/>
              <w:shd w:val="clear" w:color="auto" w:fill="FFFFFF"/>
              <w:jc w:val="both"/>
              <w:rPr>
                <w:b/>
                <w:strike/>
                <w:sz w:val="22"/>
                <w:szCs w:val="22"/>
              </w:rPr>
            </w:pPr>
            <w:r w:rsidRPr="008D16E0">
              <w:rPr>
                <w:b/>
                <w:strike/>
                <w:sz w:val="22"/>
                <w:szCs w:val="22"/>
              </w:rPr>
              <w:t>Інші державні органи здійснюють контроль за вказаною діяльністю у межах своїх повноважень, визначених законодавством України.</w:t>
            </w:r>
          </w:p>
          <w:p w:rsidR="00A94AB7" w:rsidRPr="008D16E0" w:rsidRDefault="00A94AB7" w:rsidP="00E44C9F">
            <w:pPr>
              <w:pStyle w:val="ab"/>
              <w:spacing w:before="0" w:beforeAutospacing="0" w:after="0" w:afterAutospacing="0"/>
              <w:jc w:val="both"/>
              <w:rPr>
                <w:b/>
                <w:strike/>
                <w:sz w:val="22"/>
                <w:szCs w:val="22"/>
              </w:rPr>
            </w:pPr>
            <w:r w:rsidRPr="008D16E0">
              <w:rPr>
                <w:b/>
                <w:strike/>
                <w:sz w:val="22"/>
                <w:szCs w:val="22"/>
              </w:rPr>
              <w:t>2. Скарги на дії територіальних органів Комісії, пов'язані зі здійсненням ними контролю за діяльністю з організації торгівлі на фондовому ринку, розглядаються центральним апаратом Комісії. Прийняті за результатами розгляду таких скарг рішення Комісії можуть бути оскаржені в судовому порядку.</w:t>
            </w:r>
          </w:p>
        </w:tc>
        <w:tc>
          <w:tcPr>
            <w:tcW w:w="3420" w:type="dxa"/>
            <w:shd w:val="clear" w:color="auto" w:fill="auto"/>
          </w:tcPr>
          <w:p w:rsidR="00A94AB7" w:rsidRPr="008D16E0" w:rsidRDefault="00A94AB7" w:rsidP="00E44C9F">
            <w:pPr>
              <w:jc w:val="both"/>
              <w:rPr>
                <w:i/>
                <w:u w:val="single"/>
              </w:rPr>
            </w:pPr>
          </w:p>
          <w:p w:rsidR="00A94AB7" w:rsidRPr="008031CF" w:rsidRDefault="00A94AB7" w:rsidP="00E44C9F">
            <w:pPr>
              <w:jc w:val="both"/>
              <w:rPr>
                <w:i/>
                <w:u w:val="single"/>
              </w:rPr>
            </w:pPr>
            <w:r w:rsidRPr="008D16E0">
              <w:t>розділ І</w:t>
            </w:r>
            <w:r w:rsidRPr="008D16E0">
              <w:rPr>
                <w:lang w:val="en-US"/>
              </w:rPr>
              <w:t>V</w:t>
            </w:r>
            <w:r w:rsidRPr="008D16E0">
              <w:t xml:space="preserve"> виключити.</w:t>
            </w:r>
          </w:p>
        </w:tc>
        <w:tc>
          <w:tcPr>
            <w:tcW w:w="5940" w:type="dxa"/>
            <w:shd w:val="clear" w:color="auto" w:fill="auto"/>
          </w:tcPr>
          <w:p w:rsidR="00A94AB7" w:rsidRPr="00BB0A38" w:rsidRDefault="00A94AB7" w:rsidP="00E44C9F">
            <w:pPr>
              <w:pStyle w:val="ab"/>
              <w:spacing w:before="0" w:beforeAutospacing="0" w:after="0" w:afterAutospacing="0"/>
              <w:jc w:val="both"/>
              <w:rPr>
                <w:sz w:val="22"/>
                <w:szCs w:val="22"/>
              </w:rPr>
            </w:pPr>
          </w:p>
        </w:tc>
      </w:tr>
    </w:tbl>
    <w:p w:rsidR="00964F9D" w:rsidRPr="00090AC9" w:rsidRDefault="00964F9D" w:rsidP="00090AC9">
      <w:pPr>
        <w:shd w:val="clear" w:color="auto" w:fill="FFFFFF"/>
        <w:spacing w:before="100" w:beforeAutospacing="1" w:after="100" w:afterAutospacing="1"/>
        <w:jc w:val="both"/>
        <w:rPr>
          <w:lang w:val="en-US"/>
        </w:rPr>
      </w:pPr>
    </w:p>
    <w:sectPr w:rsidR="00964F9D" w:rsidRPr="00090AC9" w:rsidSect="00FB458B">
      <w:headerReference w:type="even" r:id="rId7"/>
      <w:headerReference w:type="default" r:id="rId8"/>
      <w:footerReference w:type="first" r:id="rId9"/>
      <w:pgSz w:w="16838" w:h="11906" w:orient="landscape"/>
      <w:pgMar w:top="510" w:right="737" w:bottom="510" w:left="62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959" w:rsidRDefault="001C6959">
      <w:r>
        <w:separator/>
      </w:r>
    </w:p>
  </w:endnote>
  <w:endnote w:type="continuationSeparator" w:id="0">
    <w:p w:rsidR="001C6959" w:rsidRDefault="001C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47" w:rsidRDefault="00EA3947">
    <w:pPr>
      <w:pStyle w:val="a8"/>
      <w:jc w:val="right"/>
    </w:pPr>
    <w:r>
      <w:fldChar w:fldCharType="begin"/>
    </w:r>
    <w:r>
      <w:instrText>PAGE   \* MERGEFORMAT</w:instrText>
    </w:r>
    <w:r>
      <w:fldChar w:fldCharType="separate"/>
    </w:r>
    <w:r w:rsidR="000F44B4" w:rsidRPr="000F44B4">
      <w:rPr>
        <w:noProof/>
        <w:lang w:val="ru-RU"/>
      </w:rPr>
      <w:t>1</w:t>
    </w:r>
    <w:r>
      <w:fldChar w:fldCharType="end"/>
    </w:r>
  </w:p>
  <w:p w:rsidR="00EA3947" w:rsidRDefault="00EA39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959" w:rsidRDefault="001C6959">
      <w:r>
        <w:separator/>
      </w:r>
    </w:p>
  </w:footnote>
  <w:footnote w:type="continuationSeparator" w:id="0">
    <w:p w:rsidR="001C6959" w:rsidRDefault="001C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47" w:rsidRDefault="00EA3947" w:rsidP="00FA03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3947" w:rsidRDefault="00EA3947" w:rsidP="00101C22">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47" w:rsidRDefault="00EA3947" w:rsidP="00FA03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F44B4">
      <w:rPr>
        <w:rStyle w:val="a6"/>
        <w:noProof/>
      </w:rPr>
      <w:t>2</w:t>
    </w:r>
    <w:r>
      <w:rPr>
        <w:rStyle w:val="a6"/>
      </w:rPr>
      <w:fldChar w:fldCharType="end"/>
    </w:r>
  </w:p>
  <w:p w:rsidR="00EA3947" w:rsidRDefault="00EA3947" w:rsidP="0075567A">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D2278"/>
    <w:multiLevelType w:val="hybridMultilevel"/>
    <w:tmpl w:val="8B688760"/>
    <w:lvl w:ilvl="0" w:tplc="67406B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B9D"/>
    <w:rsid w:val="00002D0B"/>
    <w:rsid w:val="00004215"/>
    <w:rsid w:val="0000496E"/>
    <w:rsid w:val="000110E6"/>
    <w:rsid w:val="0001568B"/>
    <w:rsid w:val="00015BC1"/>
    <w:rsid w:val="00015D8B"/>
    <w:rsid w:val="000178C1"/>
    <w:rsid w:val="00021601"/>
    <w:rsid w:val="000272AA"/>
    <w:rsid w:val="0003282C"/>
    <w:rsid w:val="00032D90"/>
    <w:rsid w:val="00034616"/>
    <w:rsid w:val="000360BB"/>
    <w:rsid w:val="00037B8C"/>
    <w:rsid w:val="00045DAB"/>
    <w:rsid w:val="00045FC3"/>
    <w:rsid w:val="0004617D"/>
    <w:rsid w:val="00050F73"/>
    <w:rsid w:val="00055C92"/>
    <w:rsid w:val="0006206E"/>
    <w:rsid w:val="00063204"/>
    <w:rsid w:val="00064933"/>
    <w:rsid w:val="0006563A"/>
    <w:rsid w:val="00065BCD"/>
    <w:rsid w:val="0007420F"/>
    <w:rsid w:val="00080B0C"/>
    <w:rsid w:val="00081BC6"/>
    <w:rsid w:val="00090AC9"/>
    <w:rsid w:val="000A098E"/>
    <w:rsid w:val="000A3A8E"/>
    <w:rsid w:val="000A3F90"/>
    <w:rsid w:val="000A472A"/>
    <w:rsid w:val="000A50F1"/>
    <w:rsid w:val="000A6CC2"/>
    <w:rsid w:val="000B46C9"/>
    <w:rsid w:val="000B79E5"/>
    <w:rsid w:val="000C3ED3"/>
    <w:rsid w:val="000C6087"/>
    <w:rsid w:val="000D4379"/>
    <w:rsid w:val="000D4466"/>
    <w:rsid w:val="000D5706"/>
    <w:rsid w:val="000D6E10"/>
    <w:rsid w:val="000F44B4"/>
    <w:rsid w:val="000F59C4"/>
    <w:rsid w:val="00101356"/>
    <w:rsid w:val="00101C22"/>
    <w:rsid w:val="00104B1D"/>
    <w:rsid w:val="00106DD6"/>
    <w:rsid w:val="001109C5"/>
    <w:rsid w:val="00111A69"/>
    <w:rsid w:val="00114941"/>
    <w:rsid w:val="00123E04"/>
    <w:rsid w:val="00133112"/>
    <w:rsid w:val="00137ADE"/>
    <w:rsid w:val="0014344F"/>
    <w:rsid w:val="00145FF4"/>
    <w:rsid w:val="00153C60"/>
    <w:rsid w:val="00155EDD"/>
    <w:rsid w:val="00156012"/>
    <w:rsid w:val="00160E19"/>
    <w:rsid w:val="0016186F"/>
    <w:rsid w:val="00164B4B"/>
    <w:rsid w:val="00167B75"/>
    <w:rsid w:val="00172B91"/>
    <w:rsid w:val="001828BA"/>
    <w:rsid w:val="00191645"/>
    <w:rsid w:val="0019544F"/>
    <w:rsid w:val="001A07FB"/>
    <w:rsid w:val="001A21CB"/>
    <w:rsid w:val="001A44AE"/>
    <w:rsid w:val="001B1804"/>
    <w:rsid w:val="001B24A5"/>
    <w:rsid w:val="001B2B41"/>
    <w:rsid w:val="001B5375"/>
    <w:rsid w:val="001C5108"/>
    <w:rsid w:val="001C62C0"/>
    <w:rsid w:val="001C6959"/>
    <w:rsid w:val="001D46F2"/>
    <w:rsid w:val="001D7EAA"/>
    <w:rsid w:val="001E216E"/>
    <w:rsid w:val="001F0C2F"/>
    <w:rsid w:val="001F299E"/>
    <w:rsid w:val="001F7525"/>
    <w:rsid w:val="00201DDE"/>
    <w:rsid w:val="00211BF8"/>
    <w:rsid w:val="0021227A"/>
    <w:rsid w:val="0021498D"/>
    <w:rsid w:val="00221ACF"/>
    <w:rsid w:val="00222169"/>
    <w:rsid w:val="00222F25"/>
    <w:rsid w:val="00222F86"/>
    <w:rsid w:val="00232181"/>
    <w:rsid w:val="00233C4F"/>
    <w:rsid w:val="0024127A"/>
    <w:rsid w:val="00245412"/>
    <w:rsid w:val="00245F41"/>
    <w:rsid w:val="0024616C"/>
    <w:rsid w:val="00250149"/>
    <w:rsid w:val="00250E83"/>
    <w:rsid w:val="00252629"/>
    <w:rsid w:val="002528B9"/>
    <w:rsid w:val="00260B6B"/>
    <w:rsid w:val="002636E3"/>
    <w:rsid w:val="002651F3"/>
    <w:rsid w:val="002661DE"/>
    <w:rsid w:val="002665EE"/>
    <w:rsid w:val="00270AA4"/>
    <w:rsid w:val="00272054"/>
    <w:rsid w:val="00286D11"/>
    <w:rsid w:val="002A1138"/>
    <w:rsid w:val="002A30B1"/>
    <w:rsid w:val="002A3A9D"/>
    <w:rsid w:val="002B0C04"/>
    <w:rsid w:val="002B3A0F"/>
    <w:rsid w:val="002B70C3"/>
    <w:rsid w:val="002C0B9D"/>
    <w:rsid w:val="002C7011"/>
    <w:rsid w:val="002C7DBC"/>
    <w:rsid w:val="002D6672"/>
    <w:rsid w:val="002D7E6B"/>
    <w:rsid w:val="002E0112"/>
    <w:rsid w:val="002E27E4"/>
    <w:rsid w:val="002E327F"/>
    <w:rsid w:val="002E4827"/>
    <w:rsid w:val="002E6314"/>
    <w:rsid w:val="002F3E72"/>
    <w:rsid w:val="002F4535"/>
    <w:rsid w:val="002F58E4"/>
    <w:rsid w:val="00300DC9"/>
    <w:rsid w:val="00306488"/>
    <w:rsid w:val="0030672B"/>
    <w:rsid w:val="00306C89"/>
    <w:rsid w:val="003132AA"/>
    <w:rsid w:val="003152B1"/>
    <w:rsid w:val="00316632"/>
    <w:rsid w:val="00316AA1"/>
    <w:rsid w:val="0032475B"/>
    <w:rsid w:val="0032488A"/>
    <w:rsid w:val="00332920"/>
    <w:rsid w:val="00333735"/>
    <w:rsid w:val="003356E4"/>
    <w:rsid w:val="0033648D"/>
    <w:rsid w:val="00337B96"/>
    <w:rsid w:val="003411C0"/>
    <w:rsid w:val="00346607"/>
    <w:rsid w:val="00354870"/>
    <w:rsid w:val="00357BE8"/>
    <w:rsid w:val="003608BF"/>
    <w:rsid w:val="003706FF"/>
    <w:rsid w:val="00372078"/>
    <w:rsid w:val="00372754"/>
    <w:rsid w:val="003736BD"/>
    <w:rsid w:val="00376DFF"/>
    <w:rsid w:val="00382F02"/>
    <w:rsid w:val="00383ED2"/>
    <w:rsid w:val="00384D8B"/>
    <w:rsid w:val="003A246E"/>
    <w:rsid w:val="003A5780"/>
    <w:rsid w:val="003A76EA"/>
    <w:rsid w:val="003B3238"/>
    <w:rsid w:val="003B70DE"/>
    <w:rsid w:val="003C0CC2"/>
    <w:rsid w:val="003C262B"/>
    <w:rsid w:val="003C74D4"/>
    <w:rsid w:val="003D1EFE"/>
    <w:rsid w:val="003D5C6E"/>
    <w:rsid w:val="003D7C77"/>
    <w:rsid w:val="003E270C"/>
    <w:rsid w:val="004005A3"/>
    <w:rsid w:val="004014BC"/>
    <w:rsid w:val="004164C7"/>
    <w:rsid w:val="0042091E"/>
    <w:rsid w:val="004216A2"/>
    <w:rsid w:val="00423895"/>
    <w:rsid w:val="00425F75"/>
    <w:rsid w:val="004270C0"/>
    <w:rsid w:val="0042711F"/>
    <w:rsid w:val="00427D2B"/>
    <w:rsid w:val="004310B5"/>
    <w:rsid w:val="00436369"/>
    <w:rsid w:val="0043730C"/>
    <w:rsid w:val="00445B4F"/>
    <w:rsid w:val="00447C87"/>
    <w:rsid w:val="0045049E"/>
    <w:rsid w:val="004509A5"/>
    <w:rsid w:val="00451C2B"/>
    <w:rsid w:val="004543D5"/>
    <w:rsid w:val="0045528A"/>
    <w:rsid w:val="0045777C"/>
    <w:rsid w:val="00460368"/>
    <w:rsid w:val="00464365"/>
    <w:rsid w:val="00467C54"/>
    <w:rsid w:val="00471466"/>
    <w:rsid w:val="00472572"/>
    <w:rsid w:val="00472E12"/>
    <w:rsid w:val="00476C0A"/>
    <w:rsid w:val="0048077A"/>
    <w:rsid w:val="0048190C"/>
    <w:rsid w:val="00484107"/>
    <w:rsid w:val="00486A47"/>
    <w:rsid w:val="004872D6"/>
    <w:rsid w:val="004920A8"/>
    <w:rsid w:val="0049327F"/>
    <w:rsid w:val="00497879"/>
    <w:rsid w:val="004A7C8C"/>
    <w:rsid w:val="004A7DB9"/>
    <w:rsid w:val="004B1E8E"/>
    <w:rsid w:val="004B20DF"/>
    <w:rsid w:val="004B42BF"/>
    <w:rsid w:val="004B7739"/>
    <w:rsid w:val="004C2105"/>
    <w:rsid w:val="004C51EE"/>
    <w:rsid w:val="004D4107"/>
    <w:rsid w:val="004E2589"/>
    <w:rsid w:val="004E37B7"/>
    <w:rsid w:val="004E3EE5"/>
    <w:rsid w:val="004E4BDE"/>
    <w:rsid w:val="004E4EEF"/>
    <w:rsid w:val="004E6972"/>
    <w:rsid w:val="004E7CF7"/>
    <w:rsid w:val="005017CE"/>
    <w:rsid w:val="0050316A"/>
    <w:rsid w:val="00504739"/>
    <w:rsid w:val="00505A95"/>
    <w:rsid w:val="00510C26"/>
    <w:rsid w:val="0051106D"/>
    <w:rsid w:val="0051268C"/>
    <w:rsid w:val="005138DC"/>
    <w:rsid w:val="00514E7C"/>
    <w:rsid w:val="00516466"/>
    <w:rsid w:val="0052154D"/>
    <w:rsid w:val="00522750"/>
    <w:rsid w:val="005230E6"/>
    <w:rsid w:val="005249AE"/>
    <w:rsid w:val="0053158D"/>
    <w:rsid w:val="005339F6"/>
    <w:rsid w:val="00545E0E"/>
    <w:rsid w:val="005467E0"/>
    <w:rsid w:val="00547A52"/>
    <w:rsid w:val="0055036D"/>
    <w:rsid w:val="005522F6"/>
    <w:rsid w:val="00552894"/>
    <w:rsid w:val="005532DB"/>
    <w:rsid w:val="005535AC"/>
    <w:rsid w:val="0055490B"/>
    <w:rsid w:val="00561207"/>
    <w:rsid w:val="005633A5"/>
    <w:rsid w:val="00584669"/>
    <w:rsid w:val="0058530F"/>
    <w:rsid w:val="00594980"/>
    <w:rsid w:val="00596817"/>
    <w:rsid w:val="005A03CB"/>
    <w:rsid w:val="005A1186"/>
    <w:rsid w:val="005A29ED"/>
    <w:rsid w:val="005A3915"/>
    <w:rsid w:val="005A698E"/>
    <w:rsid w:val="005B036D"/>
    <w:rsid w:val="005B162E"/>
    <w:rsid w:val="005B21B0"/>
    <w:rsid w:val="005B57F9"/>
    <w:rsid w:val="005C33B5"/>
    <w:rsid w:val="005C52D6"/>
    <w:rsid w:val="005C7432"/>
    <w:rsid w:val="005D0CEF"/>
    <w:rsid w:val="005D0FA7"/>
    <w:rsid w:val="005D5313"/>
    <w:rsid w:val="005D7BFD"/>
    <w:rsid w:val="005E1A38"/>
    <w:rsid w:val="005E5D75"/>
    <w:rsid w:val="005E6857"/>
    <w:rsid w:val="005E73FB"/>
    <w:rsid w:val="005E7C07"/>
    <w:rsid w:val="005F11EF"/>
    <w:rsid w:val="005F4ECA"/>
    <w:rsid w:val="005F54C5"/>
    <w:rsid w:val="005F66D6"/>
    <w:rsid w:val="0060535A"/>
    <w:rsid w:val="00606126"/>
    <w:rsid w:val="00610E93"/>
    <w:rsid w:val="00614445"/>
    <w:rsid w:val="006161E5"/>
    <w:rsid w:val="00620698"/>
    <w:rsid w:val="00620A95"/>
    <w:rsid w:val="00627820"/>
    <w:rsid w:val="00631E31"/>
    <w:rsid w:val="006349C0"/>
    <w:rsid w:val="00634E89"/>
    <w:rsid w:val="00636548"/>
    <w:rsid w:val="00637708"/>
    <w:rsid w:val="00643903"/>
    <w:rsid w:val="00646431"/>
    <w:rsid w:val="00652103"/>
    <w:rsid w:val="00664A9B"/>
    <w:rsid w:val="00671799"/>
    <w:rsid w:val="0067414F"/>
    <w:rsid w:val="00674EAA"/>
    <w:rsid w:val="00682F35"/>
    <w:rsid w:val="00685112"/>
    <w:rsid w:val="00686F9B"/>
    <w:rsid w:val="00691700"/>
    <w:rsid w:val="00691A22"/>
    <w:rsid w:val="006B0FC6"/>
    <w:rsid w:val="006B3862"/>
    <w:rsid w:val="006B57B9"/>
    <w:rsid w:val="006B6AFB"/>
    <w:rsid w:val="006C1494"/>
    <w:rsid w:val="006C58B5"/>
    <w:rsid w:val="006C6172"/>
    <w:rsid w:val="006C6E7A"/>
    <w:rsid w:val="006C7247"/>
    <w:rsid w:val="006C74AD"/>
    <w:rsid w:val="006D3F24"/>
    <w:rsid w:val="006D7A75"/>
    <w:rsid w:val="006E0612"/>
    <w:rsid w:val="006E09E9"/>
    <w:rsid w:val="006E45F5"/>
    <w:rsid w:val="006E5FEA"/>
    <w:rsid w:val="006F16A9"/>
    <w:rsid w:val="006F39D0"/>
    <w:rsid w:val="006F632E"/>
    <w:rsid w:val="006F69B7"/>
    <w:rsid w:val="006F7B9A"/>
    <w:rsid w:val="00706B52"/>
    <w:rsid w:val="0070780A"/>
    <w:rsid w:val="007079A5"/>
    <w:rsid w:val="00710198"/>
    <w:rsid w:val="007151EB"/>
    <w:rsid w:val="007206CE"/>
    <w:rsid w:val="007250D7"/>
    <w:rsid w:val="00732D52"/>
    <w:rsid w:val="0073483A"/>
    <w:rsid w:val="007357DB"/>
    <w:rsid w:val="00736C7E"/>
    <w:rsid w:val="00741CE6"/>
    <w:rsid w:val="0074406A"/>
    <w:rsid w:val="0075038D"/>
    <w:rsid w:val="00754332"/>
    <w:rsid w:val="0075567A"/>
    <w:rsid w:val="0076334C"/>
    <w:rsid w:val="007719EE"/>
    <w:rsid w:val="007761E7"/>
    <w:rsid w:val="0078344F"/>
    <w:rsid w:val="00787D2E"/>
    <w:rsid w:val="00787E96"/>
    <w:rsid w:val="00795CBA"/>
    <w:rsid w:val="007A1A95"/>
    <w:rsid w:val="007B0FE0"/>
    <w:rsid w:val="007B1E64"/>
    <w:rsid w:val="007B29B6"/>
    <w:rsid w:val="007B4D8B"/>
    <w:rsid w:val="007B6E9D"/>
    <w:rsid w:val="007C1215"/>
    <w:rsid w:val="007C76CE"/>
    <w:rsid w:val="007D5442"/>
    <w:rsid w:val="007E0CC9"/>
    <w:rsid w:val="007E1258"/>
    <w:rsid w:val="007E498D"/>
    <w:rsid w:val="007E5C00"/>
    <w:rsid w:val="007F072F"/>
    <w:rsid w:val="007F4B4B"/>
    <w:rsid w:val="008031CF"/>
    <w:rsid w:val="00804337"/>
    <w:rsid w:val="008055EF"/>
    <w:rsid w:val="0080576E"/>
    <w:rsid w:val="0080600D"/>
    <w:rsid w:val="0080651F"/>
    <w:rsid w:val="00807AEA"/>
    <w:rsid w:val="0081042C"/>
    <w:rsid w:val="008151B1"/>
    <w:rsid w:val="008167F3"/>
    <w:rsid w:val="00822F67"/>
    <w:rsid w:val="00835490"/>
    <w:rsid w:val="00843519"/>
    <w:rsid w:val="0085359C"/>
    <w:rsid w:val="00877894"/>
    <w:rsid w:val="00877B76"/>
    <w:rsid w:val="00882722"/>
    <w:rsid w:val="0088286F"/>
    <w:rsid w:val="00884CC0"/>
    <w:rsid w:val="00890B15"/>
    <w:rsid w:val="008939BF"/>
    <w:rsid w:val="008941CA"/>
    <w:rsid w:val="008969FA"/>
    <w:rsid w:val="008A1671"/>
    <w:rsid w:val="008A26C7"/>
    <w:rsid w:val="008A761A"/>
    <w:rsid w:val="008B1DAA"/>
    <w:rsid w:val="008B25ED"/>
    <w:rsid w:val="008C04AF"/>
    <w:rsid w:val="008C056D"/>
    <w:rsid w:val="008C08C2"/>
    <w:rsid w:val="008C2101"/>
    <w:rsid w:val="008C2861"/>
    <w:rsid w:val="008C3D06"/>
    <w:rsid w:val="008C4557"/>
    <w:rsid w:val="008C4E71"/>
    <w:rsid w:val="008C56D9"/>
    <w:rsid w:val="008D2A33"/>
    <w:rsid w:val="008D4EA6"/>
    <w:rsid w:val="008E7344"/>
    <w:rsid w:val="008F0F27"/>
    <w:rsid w:val="008F1021"/>
    <w:rsid w:val="008F2226"/>
    <w:rsid w:val="008F2B60"/>
    <w:rsid w:val="008F6164"/>
    <w:rsid w:val="00901C16"/>
    <w:rsid w:val="00901FC4"/>
    <w:rsid w:val="009035D7"/>
    <w:rsid w:val="00905380"/>
    <w:rsid w:val="009129E3"/>
    <w:rsid w:val="009145BA"/>
    <w:rsid w:val="00915581"/>
    <w:rsid w:val="00916203"/>
    <w:rsid w:val="00922519"/>
    <w:rsid w:val="00924741"/>
    <w:rsid w:val="0093104E"/>
    <w:rsid w:val="009354D9"/>
    <w:rsid w:val="00935D67"/>
    <w:rsid w:val="0094160E"/>
    <w:rsid w:val="00947B93"/>
    <w:rsid w:val="009502E8"/>
    <w:rsid w:val="00950592"/>
    <w:rsid w:val="009572F6"/>
    <w:rsid w:val="00957383"/>
    <w:rsid w:val="00963C7F"/>
    <w:rsid w:val="00964F9D"/>
    <w:rsid w:val="009726E1"/>
    <w:rsid w:val="0097316F"/>
    <w:rsid w:val="0097319C"/>
    <w:rsid w:val="00975031"/>
    <w:rsid w:val="00987AD1"/>
    <w:rsid w:val="0099364E"/>
    <w:rsid w:val="00996338"/>
    <w:rsid w:val="009A3796"/>
    <w:rsid w:val="009A5283"/>
    <w:rsid w:val="009A6EBA"/>
    <w:rsid w:val="009B1F3F"/>
    <w:rsid w:val="009B3A87"/>
    <w:rsid w:val="009C3D68"/>
    <w:rsid w:val="009D20B6"/>
    <w:rsid w:val="009D381C"/>
    <w:rsid w:val="009D3D60"/>
    <w:rsid w:val="009E6F92"/>
    <w:rsid w:val="009F0753"/>
    <w:rsid w:val="009F58B5"/>
    <w:rsid w:val="009F658D"/>
    <w:rsid w:val="009F6C5A"/>
    <w:rsid w:val="00A15AB8"/>
    <w:rsid w:val="00A20AFE"/>
    <w:rsid w:val="00A23C28"/>
    <w:rsid w:val="00A263D4"/>
    <w:rsid w:val="00A27FA2"/>
    <w:rsid w:val="00A36E32"/>
    <w:rsid w:val="00A4255B"/>
    <w:rsid w:val="00A4304F"/>
    <w:rsid w:val="00A43ABA"/>
    <w:rsid w:val="00A43FFE"/>
    <w:rsid w:val="00A55784"/>
    <w:rsid w:val="00A55976"/>
    <w:rsid w:val="00A65036"/>
    <w:rsid w:val="00A65202"/>
    <w:rsid w:val="00A65FEF"/>
    <w:rsid w:val="00A70BDC"/>
    <w:rsid w:val="00A80BCD"/>
    <w:rsid w:val="00A826CF"/>
    <w:rsid w:val="00A841BC"/>
    <w:rsid w:val="00A857F8"/>
    <w:rsid w:val="00A86D97"/>
    <w:rsid w:val="00A90332"/>
    <w:rsid w:val="00A92A5A"/>
    <w:rsid w:val="00A94AB7"/>
    <w:rsid w:val="00A97982"/>
    <w:rsid w:val="00AA2A5D"/>
    <w:rsid w:val="00AA5C57"/>
    <w:rsid w:val="00AB13CA"/>
    <w:rsid w:val="00AC092F"/>
    <w:rsid w:val="00AD24D6"/>
    <w:rsid w:val="00AD3A30"/>
    <w:rsid w:val="00AD4205"/>
    <w:rsid w:val="00AD60DC"/>
    <w:rsid w:val="00AE0A1A"/>
    <w:rsid w:val="00AE7A91"/>
    <w:rsid w:val="00AF0D29"/>
    <w:rsid w:val="00B05FBE"/>
    <w:rsid w:val="00B10826"/>
    <w:rsid w:val="00B15055"/>
    <w:rsid w:val="00B158FA"/>
    <w:rsid w:val="00B1625D"/>
    <w:rsid w:val="00B178B1"/>
    <w:rsid w:val="00B17D71"/>
    <w:rsid w:val="00B304B0"/>
    <w:rsid w:val="00B34F46"/>
    <w:rsid w:val="00B35B30"/>
    <w:rsid w:val="00B3714C"/>
    <w:rsid w:val="00B40A09"/>
    <w:rsid w:val="00B43F0E"/>
    <w:rsid w:val="00B440A4"/>
    <w:rsid w:val="00B50DED"/>
    <w:rsid w:val="00B54567"/>
    <w:rsid w:val="00B56729"/>
    <w:rsid w:val="00B577AD"/>
    <w:rsid w:val="00B57F49"/>
    <w:rsid w:val="00B63056"/>
    <w:rsid w:val="00B63AA4"/>
    <w:rsid w:val="00B66874"/>
    <w:rsid w:val="00B71BEC"/>
    <w:rsid w:val="00B71ECA"/>
    <w:rsid w:val="00B73726"/>
    <w:rsid w:val="00B75271"/>
    <w:rsid w:val="00B76127"/>
    <w:rsid w:val="00B807E2"/>
    <w:rsid w:val="00B85F70"/>
    <w:rsid w:val="00B87F49"/>
    <w:rsid w:val="00B91162"/>
    <w:rsid w:val="00B9200B"/>
    <w:rsid w:val="00B96349"/>
    <w:rsid w:val="00B96750"/>
    <w:rsid w:val="00BA07FE"/>
    <w:rsid w:val="00BA11FC"/>
    <w:rsid w:val="00BA4196"/>
    <w:rsid w:val="00BA4C59"/>
    <w:rsid w:val="00BA735E"/>
    <w:rsid w:val="00BB0A38"/>
    <w:rsid w:val="00BB1621"/>
    <w:rsid w:val="00BB1C65"/>
    <w:rsid w:val="00BB6A8E"/>
    <w:rsid w:val="00BB7642"/>
    <w:rsid w:val="00BC22D2"/>
    <w:rsid w:val="00BD1B6B"/>
    <w:rsid w:val="00BD288D"/>
    <w:rsid w:val="00BD4659"/>
    <w:rsid w:val="00BE06E1"/>
    <w:rsid w:val="00BE0B2A"/>
    <w:rsid w:val="00BE2694"/>
    <w:rsid w:val="00BE5F6F"/>
    <w:rsid w:val="00BE7EEA"/>
    <w:rsid w:val="00BF50F0"/>
    <w:rsid w:val="00C0069C"/>
    <w:rsid w:val="00C0308A"/>
    <w:rsid w:val="00C03FE3"/>
    <w:rsid w:val="00C06DD6"/>
    <w:rsid w:val="00C10F2C"/>
    <w:rsid w:val="00C11714"/>
    <w:rsid w:val="00C12E99"/>
    <w:rsid w:val="00C1593D"/>
    <w:rsid w:val="00C2170B"/>
    <w:rsid w:val="00C23321"/>
    <w:rsid w:val="00C23D8D"/>
    <w:rsid w:val="00C31D58"/>
    <w:rsid w:val="00C40AD7"/>
    <w:rsid w:val="00C416D6"/>
    <w:rsid w:val="00C44D5D"/>
    <w:rsid w:val="00C52BE7"/>
    <w:rsid w:val="00C532A2"/>
    <w:rsid w:val="00C60ECA"/>
    <w:rsid w:val="00C72636"/>
    <w:rsid w:val="00C80813"/>
    <w:rsid w:val="00C81827"/>
    <w:rsid w:val="00C83544"/>
    <w:rsid w:val="00C86AC2"/>
    <w:rsid w:val="00C873ED"/>
    <w:rsid w:val="00C87432"/>
    <w:rsid w:val="00C9075F"/>
    <w:rsid w:val="00C91F9E"/>
    <w:rsid w:val="00C93A54"/>
    <w:rsid w:val="00C9758C"/>
    <w:rsid w:val="00CA1535"/>
    <w:rsid w:val="00CA6D98"/>
    <w:rsid w:val="00CB0DB8"/>
    <w:rsid w:val="00CB7C8A"/>
    <w:rsid w:val="00CC6190"/>
    <w:rsid w:val="00CD426D"/>
    <w:rsid w:val="00CF0B53"/>
    <w:rsid w:val="00CF10B2"/>
    <w:rsid w:val="00CF4A80"/>
    <w:rsid w:val="00CF645E"/>
    <w:rsid w:val="00D04F37"/>
    <w:rsid w:val="00D106CE"/>
    <w:rsid w:val="00D108F0"/>
    <w:rsid w:val="00D12413"/>
    <w:rsid w:val="00D12459"/>
    <w:rsid w:val="00D17CA5"/>
    <w:rsid w:val="00D22CEC"/>
    <w:rsid w:val="00D26049"/>
    <w:rsid w:val="00D268C6"/>
    <w:rsid w:val="00D27C13"/>
    <w:rsid w:val="00D27D97"/>
    <w:rsid w:val="00D3202E"/>
    <w:rsid w:val="00D41525"/>
    <w:rsid w:val="00D47D71"/>
    <w:rsid w:val="00D505B1"/>
    <w:rsid w:val="00D516D6"/>
    <w:rsid w:val="00D570AE"/>
    <w:rsid w:val="00D57A68"/>
    <w:rsid w:val="00D57A75"/>
    <w:rsid w:val="00D6072F"/>
    <w:rsid w:val="00D71604"/>
    <w:rsid w:val="00D71775"/>
    <w:rsid w:val="00D72C22"/>
    <w:rsid w:val="00D756C5"/>
    <w:rsid w:val="00D767BF"/>
    <w:rsid w:val="00D807EE"/>
    <w:rsid w:val="00D81EF9"/>
    <w:rsid w:val="00D85C7D"/>
    <w:rsid w:val="00D87AAB"/>
    <w:rsid w:val="00D94156"/>
    <w:rsid w:val="00DA1824"/>
    <w:rsid w:val="00DA7582"/>
    <w:rsid w:val="00DB2A7B"/>
    <w:rsid w:val="00DB755F"/>
    <w:rsid w:val="00DB7BEB"/>
    <w:rsid w:val="00DB7E3E"/>
    <w:rsid w:val="00DC7B78"/>
    <w:rsid w:val="00DD28B2"/>
    <w:rsid w:val="00DE1F45"/>
    <w:rsid w:val="00DE3BC5"/>
    <w:rsid w:val="00DE63F6"/>
    <w:rsid w:val="00DF15EB"/>
    <w:rsid w:val="00DF4195"/>
    <w:rsid w:val="00DF6465"/>
    <w:rsid w:val="00DF6798"/>
    <w:rsid w:val="00E02CC6"/>
    <w:rsid w:val="00E03C6A"/>
    <w:rsid w:val="00E04EEF"/>
    <w:rsid w:val="00E058F4"/>
    <w:rsid w:val="00E11724"/>
    <w:rsid w:val="00E15B9F"/>
    <w:rsid w:val="00E21104"/>
    <w:rsid w:val="00E22251"/>
    <w:rsid w:val="00E242F8"/>
    <w:rsid w:val="00E2531E"/>
    <w:rsid w:val="00E254C7"/>
    <w:rsid w:val="00E31960"/>
    <w:rsid w:val="00E35DDD"/>
    <w:rsid w:val="00E3755C"/>
    <w:rsid w:val="00E37920"/>
    <w:rsid w:val="00E413E9"/>
    <w:rsid w:val="00E42D09"/>
    <w:rsid w:val="00E44C9F"/>
    <w:rsid w:val="00E459DC"/>
    <w:rsid w:val="00E46AC9"/>
    <w:rsid w:val="00E5076D"/>
    <w:rsid w:val="00E534DD"/>
    <w:rsid w:val="00E54F46"/>
    <w:rsid w:val="00E5529C"/>
    <w:rsid w:val="00E7061B"/>
    <w:rsid w:val="00E71923"/>
    <w:rsid w:val="00E75A48"/>
    <w:rsid w:val="00E75EB2"/>
    <w:rsid w:val="00E84F06"/>
    <w:rsid w:val="00E87BDF"/>
    <w:rsid w:val="00E93430"/>
    <w:rsid w:val="00EA175C"/>
    <w:rsid w:val="00EA2F9F"/>
    <w:rsid w:val="00EA3947"/>
    <w:rsid w:val="00EA5196"/>
    <w:rsid w:val="00EB1711"/>
    <w:rsid w:val="00EB5BAF"/>
    <w:rsid w:val="00EC2B1A"/>
    <w:rsid w:val="00EC4567"/>
    <w:rsid w:val="00EC5969"/>
    <w:rsid w:val="00EC7B06"/>
    <w:rsid w:val="00ED0D00"/>
    <w:rsid w:val="00ED547C"/>
    <w:rsid w:val="00EE3BFE"/>
    <w:rsid w:val="00EE6EC2"/>
    <w:rsid w:val="00EE7533"/>
    <w:rsid w:val="00EF2B8F"/>
    <w:rsid w:val="00EF3BDB"/>
    <w:rsid w:val="00EF4588"/>
    <w:rsid w:val="00EF68C6"/>
    <w:rsid w:val="00F01D4A"/>
    <w:rsid w:val="00F026E8"/>
    <w:rsid w:val="00F05962"/>
    <w:rsid w:val="00F12D4E"/>
    <w:rsid w:val="00F164EE"/>
    <w:rsid w:val="00F23B7E"/>
    <w:rsid w:val="00F2427A"/>
    <w:rsid w:val="00F32AE5"/>
    <w:rsid w:val="00F34577"/>
    <w:rsid w:val="00F3613D"/>
    <w:rsid w:val="00F371DD"/>
    <w:rsid w:val="00F375EB"/>
    <w:rsid w:val="00F4325D"/>
    <w:rsid w:val="00F4469F"/>
    <w:rsid w:val="00F449A7"/>
    <w:rsid w:val="00F45039"/>
    <w:rsid w:val="00F54115"/>
    <w:rsid w:val="00F55ED7"/>
    <w:rsid w:val="00F56A1D"/>
    <w:rsid w:val="00F62003"/>
    <w:rsid w:val="00F62847"/>
    <w:rsid w:val="00F63EDB"/>
    <w:rsid w:val="00F67386"/>
    <w:rsid w:val="00F67BDA"/>
    <w:rsid w:val="00F717F1"/>
    <w:rsid w:val="00F71F82"/>
    <w:rsid w:val="00F7412B"/>
    <w:rsid w:val="00F74D10"/>
    <w:rsid w:val="00F74E3F"/>
    <w:rsid w:val="00F75D6B"/>
    <w:rsid w:val="00F76755"/>
    <w:rsid w:val="00F829E3"/>
    <w:rsid w:val="00F83984"/>
    <w:rsid w:val="00F87FB5"/>
    <w:rsid w:val="00F90E39"/>
    <w:rsid w:val="00F96641"/>
    <w:rsid w:val="00F96964"/>
    <w:rsid w:val="00F969C3"/>
    <w:rsid w:val="00F979D4"/>
    <w:rsid w:val="00FA03E7"/>
    <w:rsid w:val="00FB458B"/>
    <w:rsid w:val="00FC0ADA"/>
    <w:rsid w:val="00FC10C8"/>
    <w:rsid w:val="00FC144F"/>
    <w:rsid w:val="00FC542D"/>
    <w:rsid w:val="00FC5632"/>
    <w:rsid w:val="00FC6021"/>
    <w:rsid w:val="00FD3B65"/>
    <w:rsid w:val="00FD436F"/>
    <w:rsid w:val="00FD5143"/>
    <w:rsid w:val="00FE1ECC"/>
    <w:rsid w:val="00FE2C1F"/>
    <w:rsid w:val="00FE40B7"/>
    <w:rsid w:val="00FE43FD"/>
    <w:rsid w:val="00FE48D6"/>
    <w:rsid w:val="00FE7F1D"/>
    <w:rsid w:val="00FF2F40"/>
    <w:rsid w:val="00FF39A5"/>
    <w:rsid w:val="00FF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800492-C3B2-496C-BEAD-D3D3B982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B9D"/>
    <w:rPr>
      <w:sz w:val="24"/>
      <w:szCs w:val="24"/>
      <w:lang w:val="uk-UA" w:eastAsia="uk-UA"/>
    </w:rPr>
  </w:style>
  <w:style w:type="paragraph" w:styleId="3">
    <w:name w:val="heading 3"/>
    <w:basedOn w:val="a"/>
    <w:next w:val="a"/>
    <w:link w:val="30"/>
    <w:qFormat/>
    <w:rsid w:val="002C0B9D"/>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C0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bmf">
    <w:name w:val="tj bmf"/>
    <w:basedOn w:val="a"/>
    <w:rsid w:val="0055490B"/>
    <w:pPr>
      <w:spacing w:before="100" w:beforeAutospacing="1" w:after="100" w:afterAutospacing="1"/>
    </w:pPr>
  </w:style>
  <w:style w:type="paragraph" w:customStyle="1" w:styleId="trbmf">
    <w:name w:val="tr bmf"/>
    <w:basedOn w:val="a"/>
    <w:rsid w:val="0055490B"/>
    <w:pPr>
      <w:spacing w:before="100" w:beforeAutospacing="1" w:after="100" w:afterAutospacing="1"/>
    </w:pPr>
  </w:style>
  <w:style w:type="paragraph" w:styleId="a4">
    <w:name w:val="Balloon Text"/>
    <w:basedOn w:val="a"/>
    <w:semiHidden/>
    <w:rsid w:val="006F69B7"/>
    <w:rPr>
      <w:rFonts w:ascii="Tahoma" w:hAnsi="Tahoma" w:cs="Tahoma"/>
      <w:sz w:val="16"/>
      <w:szCs w:val="16"/>
    </w:rPr>
  </w:style>
  <w:style w:type="character" w:customStyle="1" w:styleId="rvts23">
    <w:name w:val="rvts23"/>
    <w:basedOn w:val="a0"/>
    <w:rsid w:val="000A50F1"/>
  </w:style>
  <w:style w:type="paragraph" w:styleId="a5">
    <w:name w:val="header"/>
    <w:basedOn w:val="a"/>
    <w:rsid w:val="00101C22"/>
    <w:pPr>
      <w:tabs>
        <w:tab w:val="center" w:pos="4819"/>
        <w:tab w:val="right" w:pos="9639"/>
      </w:tabs>
    </w:pPr>
  </w:style>
  <w:style w:type="character" w:styleId="a6">
    <w:name w:val="page number"/>
    <w:basedOn w:val="a0"/>
    <w:rsid w:val="00101C22"/>
  </w:style>
  <w:style w:type="paragraph" w:customStyle="1" w:styleId="a7">
    <w:name w:val="Стиль Знак Знак"/>
    <w:basedOn w:val="a"/>
    <w:rsid w:val="00652103"/>
    <w:rPr>
      <w:rFonts w:ascii="Verdana" w:hAnsi="Verdana" w:cs="Verdana"/>
      <w:sz w:val="20"/>
      <w:szCs w:val="20"/>
      <w:lang w:val="en-US" w:eastAsia="en-US"/>
    </w:rPr>
  </w:style>
  <w:style w:type="paragraph" w:styleId="a8">
    <w:name w:val="footer"/>
    <w:basedOn w:val="a"/>
    <w:link w:val="a9"/>
    <w:uiPriority w:val="99"/>
    <w:rsid w:val="003B70DE"/>
    <w:pPr>
      <w:tabs>
        <w:tab w:val="center" w:pos="4819"/>
        <w:tab w:val="right" w:pos="9639"/>
      </w:tabs>
    </w:pPr>
  </w:style>
  <w:style w:type="character" w:customStyle="1" w:styleId="rvts15">
    <w:name w:val="rvts15"/>
    <w:rsid w:val="00064933"/>
  </w:style>
  <w:style w:type="paragraph" w:customStyle="1" w:styleId="rvps7">
    <w:name w:val="rvps7"/>
    <w:basedOn w:val="a"/>
    <w:rsid w:val="00064933"/>
    <w:pPr>
      <w:spacing w:before="100" w:beforeAutospacing="1" w:after="100" w:afterAutospacing="1"/>
    </w:pPr>
  </w:style>
  <w:style w:type="paragraph" w:customStyle="1" w:styleId="rvps2">
    <w:name w:val="rvps2"/>
    <w:basedOn w:val="a"/>
    <w:rsid w:val="00064933"/>
    <w:pPr>
      <w:spacing w:before="100" w:beforeAutospacing="1" w:after="100" w:afterAutospacing="1"/>
    </w:pPr>
  </w:style>
  <w:style w:type="character" w:customStyle="1" w:styleId="rvts9">
    <w:name w:val="rvts9"/>
    <w:rsid w:val="000A3F90"/>
  </w:style>
  <w:style w:type="paragraph" w:styleId="HTML">
    <w:name w:val="HTML Preformatted"/>
    <w:basedOn w:val="a"/>
    <w:rsid w:val="002A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9">
    <w:name w:val="Нижний колонтитул Знак"/>
    <w:link w:val="a8"/>
    <w:uiPriority w:val="99"/>
    <w:rsid w:val="0014344F"/>
    <w:rPr>
      <w:sz w:val="24"/>
      <w:szCs w:val="24"/>
      <w:lang w:val="uk-UA" w:eastAsia="uk-UA"/>
    </w:rPr>
  </w:style>
  <w:style w:type="character" w:customStyle="1" w:styleId="st161">
    <w:name w:val="st161"/>
    <w:uiPriority w:val="99"/>
    <w:rsid w:val="0043730C"/>
    <w:rPr>
      <w:rFonts w:ascii="Times New Roman" w:hAnsi="Times New Roman" w:cs="Times New Roman"/>
      <w:b/>
      <w:bCs/>
      <w:color w:val="000000"/>
      <w:sz w:val="28"/>
      <w:szCs w:val="28"/>
    </w:rPr>
  </w:style>
  <w:style w:type="character" w:customStyle="1" w:styleId="st42">
    <w:name w:val="st42"/>
    <w:uiPriority w:val="99"/>
    <w:rsid w:val="0043730C"/>
    <w:rPr>
      <w:rFonts w:ascii="Times New Roman" w:hAnsi="Times New Roman" w:cs="Times New Roman"/>
      <w:color w:val="000000"/>
    </w:rPr>
  </w:style>
  <w:style w:type="paragraph" w:customStyle="1" w:styleId="st2">
    <w:name w:val="st2"/>
    <w:uiPriority w:val="99"/>
    <w:rsid w:val="0043730C"/>
    <w:pPr>
      <w:autoSpaceDE w:val="0"/>
      <w:autoSpaceDN w:val="0"/>
      <w:adjustRightInd w:val="0"/>
      <w:spacing w:after="150"/>
      <w:ind w:firstLine="450"/>
      <w:jc w:val="both"/>
    </w:pPr>
    <w:rPr>
      <w:rFonts w:ascii="Courier New" w:hAnsi="Courier New" w:cs="Courier New"/>
      <w:sz w:val="24"/>
      <w:szCs w:val="24"/>
      <w:lang w:val="ru-RU"/>
    </w:rPr>
  </w:style>
  <w:style w:type="character" w:customStyle="1" w:styleId="st121">
    <w:name w:val="st121"/>
    <w:uiPriority w:val="99"/>
    <w:rsid w:val="00476C0A"/>
    <w:rPr>
      <w:rFonts w:ascii="Times New Roman" w:hAnsi="Times New Roman" w:cs="Times New Roman"/>
      <w:i/>
      <w:iCs/>
      <w:color w:val="000000"/>
    </w:rPr>
  </w:style>
  <w:style w:type="character" w:customStyle="1" w:styleId="st131">
    <w:name w:val="st131"/>
    <w:uiPriority w:val="99"/>
    <w:rsid w:val="00476C0A"/>
    <w:rPr>
      <w:rFonts w:ascii="Times New Roman" w:hAnsi="Times New Roman" w:cs="Times New Roman"/>
      <w:i/>
      <w:iCs/>
      <w:color w:val="0000FF"/>
    </w:rPr>
  </w:style>
  <w:style w:type="character" w:customStyle="1" w:styleId="st46">
    <w:name w:val="st46"/>
    <w:uiPriority w:val="99"/>
    <w:rsid w:val="00476C0A"/>
    <w:rPr>
      <w:rFonts w:ascii="Times New Roman" w:hAnsi="Times New Roman" w:cs="Times New Roman"/>
      <w:i/>
      <w:iCs/>
      <w:color w:val="000000"/>
    </w:rPr>
  </w:style>
  <w:style w:type="character" w:styleId="aa">
    <w:name w:val="Hyperlink"/>
    <w:rsid w:val="005E73FB"/>
    <w:rPr>
      <w:color w:val="0000FF"/>
      <w:u w:val="single"/>
    </w:rPr>
  </w:style>
  <w:style w:type="paragraph" w:customStyle="1" w:styleId="tc">
    <w:name w:val="tc"/>
    <w:basedOn w:val="a"/>
    <w:rsid w:val="00111A69"/>
    <w:pPr>
      <w:spacing w:before="100" w:beforeAutospacing="1" w:after="100" w:afterAutospacing="1"/>
    </w:pPr>
  </w:style>
  <w:style w:type="paragraph" w:styleId="ab">
    <w:name w:val="Normal (Web)"/>
    <w:basedOn w:val="a"/>
    <w:rsid w:val="00FC6021"/>
    <w:pPr>
      <w:spacing w:before="100" w:beforeAutospacing="1" w:after="100" w:afterAutospacing="1"/>
    </w:pPr>
  </w:style>
  <w:style w:type="paragraph" w:styleId="ac">
    <w:name w:val="Body Text"/>
    <w:basedOn w:val="a"/>
    <w:link w:val="ad"/>
    <w:rsid w:val="00D87AAB"/>
    <w:pPr>
      <w:jc w:val="both"/>
    </w:pPr>
    <w:rPr>
      <w:rFonts w:eastAsia="Calibri"/>
      <w:sz w:val="28"/>
      <w:szCs w:val="20"/>
      <w:lang w:eastAsia="ru-RU"/>
    </w:rPr>
  </w:style>
  <w:style w:type="character" w:customStyle="1" w:styleId="ad">
    <w:name w:val="Основной текст Знак"/>
    <w:link w:val="ac"/>
    <w:locked/>
    <w:rsid w:val="00D87AAB"/>
    <w:rPr>
      <w:rFonts w:eastAsia="Calibri"/>
      <w:sz w:val="28"/>
      <w:lang w:val="uk-UA" w:eastAsia="ru-RU" w:bidi="ar-SA"/>
    </w:rPr>
  </w:style>
  <w:style w:type="character" w:customStyle="1" w:styleId="30">
    <w:name w:val="Заголовок 3 Знак"/>
    <w:link w:val="3"/>
    <w:locked/>
    <w:rsid w:val="00B50DED"/>
    <w:rPr>
      <w:rFonts w:ascii="Arial" w:hAnsi="Arial" w:cs="Arial"/>
      <w:b/>
      <w:bCs/>
      <w:sz w:val="26"/>
      <w:szCs w:val="26"/>
      <w:lang w:val="uk-UA" w:eastAsia="uk-UA" w:bidi="ar-SA"/>
    </w:rPr>
  </w:style>
  <w:style w:type="character" w:customStyle="1" w:styleId="rvts0">
    <w:name w:val="rvts0"/>
    <w:basedOn w:val="a0"/>
    <w:rsid w:val="00D108F0"/>
  </w:style>
  <w:style w:type="paragraph" w:customStyle="1" w:styleId="tlreflinkmrw45">
    <w:name w:val="tl reflink mr w45"/>
    <w:basedOn w:val="a"/>
    <w:rsid w:val="009D381C"/>
    <w:pPr>
      <w:spacing w:before="100" w:beforeAutospacing="1" w:after="100" w:afterAutospacing="1"/>
    </w:pPr>
    <w:rPr>
      <w:rFonts w:eastAsia="Calibri"/>
    </w:rPr>
  </w:style>
  <w:style w:type="character" w:customStyle="1" w:styleId="rvts44">
    <w:name w:val="rvts44"/>
    <w:rsid w:val="009D38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3172">
      <w:bodyDiv w:val="1"/>
      <w:marLeft w:val="0"/>
      <w:marRight w:val="0"/>
      <w:marTop w:val="0"/>
      <w:marBottom w:val="0"/>
      <w:divBdr>
        <w:top w:val="none" w:sz="0" w:space="0" w:color="auto"/>
        <w:left w:val="none" w:sz="0" w:space="0" w:color="auto"/>
        <w:bottom w:val="none" w:sz="0" w:space="0" w:color="auto"/>
        <w:right w:val="none" w:sz="0" w:space="0" w:color="auto"/>
      </w:divBdr>
    </w:div>
    <w:div w:id="242689007">
      <w:bodyDiv w:val="1"/>
      <w:marLeft w:val="0"/>
      <w:marRight w:val="0"/>
      <w:marTop w:val="0"/>
      <w:marBottom w:val="0"/>
      <w:divBdr>
        <w:top w:val="none" w:sz="0" w:space="0" w:color="auto"/>
        <w:left w:val="none" w:sz="0" w:space="0" w:color="auto"/>
        <w:bottom w:val="none" w:sz="0" w:space="0" w:color="auto"/>
        <w:right w:val="none" w:sz="0" w:space="0" w:color="auto"/>
      </w:divBdr>
      <w:divsChild>
        <w:div w:id="1104811977">
          <w:marLeft w:val="0"/>
          <w:marRight w:val="0"/>
          <w:marTop w:val="0"/>
          <w:marBottom w:val="0"/>
          <w:divBdr>
            <w:top w:val="none" w:sz="0" w:space="0" w:color="auto"/>
            <w:left w:val="none" w:sz="0" w:space="0" w:color="auto"/>
            <w:bottom w:val="none" w:sz="0" w:space="0" w:color="auto"/>
            <w:right w:val="none" w:sz="0" w:space="0" w:color="auto"/>
          </w:divBdr>
          <w:divsChild>
            <w:div w:id="128938742">
              <w:marLeft w:val="0"/>
              <w:marRight w:val="0"/>
              <w:marTop w:val="0"/>
              <w:marBottom w:val="0"/>
              <w:divBdr>
                <w:top w:val="none" w:sz="0" w:space="0" w:color="auto"/>
                <w:left w:val="none" w:sz="0" w:space="0" w:color="auto"/>
                <w:bottom w:val="none" w:sz="0" w:space="0" w:color="auto"/>
                <w:right w:val="none" w:sz="0" w:space="0" w:color="auto"/>
              </w:divBdr>
            </w:div>
            <w:div w:id="180702873">
              <w:marLeft w:val="0"/>
              <w:marRight w:val="0"/>
              <w:marTop w:val="0"/>
              <w:marBottom w:val="0"/>
              <w:divBdr>
                <w:top w:val="none" w:sz="0" w:space="0" w:color="auto"/>
                <w:left w:val="none" w:sz="0" w:space="0" w:color="auto"/>
                <w:bottom w:val="none" w:sz="0" w:space="0" w:color="auto"/>
                <w:right w:val="none" w:sz="0" w:space="0" w:color="auto"/>
              </w:divBdr>
            </w:div>
            <w:div w:id="281233563">
              <w:marLeft w:val="0"/>
              <w:marRight w:val="0"/>
              <w:marTop w:val="0"/>
              <w:marBottom w:val="0"/>
              <w:divBdr>
                <w:top w:val="none" w:sz="0" w:space="0" w:color="auto"/>
                <w:left w:val="none" w:sz="0" w:space="0" w:color="auto"/>
                <w:bottom w:val="none" w:sz="0" w:space="0" w:color="auto"/>
                <w:right w:val="none" w:sz="0" w:space="0" w:color="auto"/>
              </w:divBdr>
            </w:div>
            <w:div w:id="297684347">
              <w:marLeft w:val="0"/>
              <w:marRight w:val="0"/>
              <w:marTop w:val="0"/>
              <w:marBottom w:val="0"/>
              <w:divBdr>
                <w:top w:val="none" w:sz="0" w:space="0" w:color="auto"/>
                <w:left w:val="none" w:sz="0" w:space="0" w:color="auto"/>
                <w:bottom w:val="none" w:sz="0" w:space="0" w:color="auto"/>
                <w:right w:val="none" w:sz="0" w:space="0" w:color="auto"/>
              </w:divBdr>
            </w:div>
            <w:div w:id="1178349205">
              <w:marLeft w:val="0"/>
              <w:marRight w:val="0"/>
              <w:marTop w:val="0"/>
              <w:marBottom w:val="0"/>
              <w:divBdr>
                <w:top w:val="none" w:sz="0" w:space="0" w:color="auto"/>
                <w:left w:val="none" w:sz="0" w:space="0" w:color="auto"/>
                <w:bottom w:val="none" w:sz="0" w:space="0" w:color="auto"/>
                <w:right w:val="none" w:sz="0" w:space="0" w:color="auto"/>
              </w:divBdr>
            </w:div>
            <w:div w:id="1416054250">
              <w:marLeft w:val="0"/>
              <w:marRight w:val="0"/>
              <w:marTop w:val="0"/>
              <w:marBottom w:val="0"/>
              <w:divBdr>
                <w:top w:val="none" w:sz="0" w:space="0" w:color="auto"/>
                <w:left w:val="none" w:sz="0" w:space="0" w:color="auto"/>
                <w:bottom w:val="none" w:sz="0" w:space="0" w:color="auto"/>
                <w:right w:val="none" w:sz="0" w:space="0" w:color="auto"/>
              </w:divBdr>
            </w:div>
            <w:div w:id="1591163701">
              <w:marLeft w:val="0"/>
              <w:marRight w:val="0"/>
              <w:marTop w:val="0"/>
              <w:marBottom w:val="0"/>
              <w:divBdr>
                <w:top w:val="none" w:sz="0" w:space="0" w:color="auto"/>
                <w:left w:val="none" w:sz="0" w:space="0" w:color="auto"/>
                <w:bottom w:val="none" w:sz="0" w:space="0" w:color="auto"/>
                <w:right w:val="none" w:sz="0" w:space="0" w:color="auto"/>
              </w:divBdr>
            </w:div>
            <w:div w:id="18544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04141">
      <w:bodyDiv w:val="1"/>
      <w:marLeft w:val="0"/>
      <w:marRight w:val="0"/>
      <w:marTop w:val="0"/>
      <w:marBottom w:val="0"/>
      <w:divBdr>
        <w:top w:val="none" w:sz="0" w:space="0" w:color="auto"/>
        <w:left w:val="none" w:sz="0" w:space="0" w:color="auto"/>
        <w:bottom w:val="none" w:sz="0" w:space="0" w:color="auto"/>
        <w:right w:val="none" w:sz="0" w:space="0" w:color="auto"/>
      </w:divBdr>
      <w:divsChild>
        <w:div w:id="594245838">
          <w:marLeft w:val="0"/>
          <w:marRight w:val="0"/>
          <w:marTop w:val="0"/>
          <w:marBottom w:val="0"/>
          <w:divBdr>
            <w:top w:val="none" w:sz="0" w:space="0" w:color="auto"/>
            <w:left w:val="none" w:sz="0" w:space="0" w:color="auto"/>
            <w:bottom w:val="none" w:sz="0" w:space="0" w:color="auto"/>
            <w:right w:val="none" w:sz="0" w:space="0" w:color="auto"/>
          </w:divBdr>
        </w:div>
      </w:divsChild>
    </w:div>
    <w:div w:id="351683496">
      <w:bodyDiv w:val="1"/>
      <w:marLeft w:val="0"/>
      <w:marRight w:val="0"/>
      <w:marTop w:val="0"/>
      <w:marBottom w:val="0"/>
      <w:divBdr>
        <w:top w:val="none" w:sz="0" w:space="0" w:color="auto"/>
        <w:left w:val="none" w:sz="0" w:space="0" w:color="auto"/>
        <w:bottom w:val="none" w:sz="0" w:space="0" w:color="auto"/>
        <w:right w:val="none" w:sz="0" w:space="0" w:color="auto"/>
      </w:divBdr>
      <w:divsChild>
        <w:div w:id="1038436224">
          <w:marLeft w:val="0"/>
          <w:marRight w:val="0"/>
          <w:marTop w:val="0"/>
          <w:marBottom w:val="0"/>
          <w:divBdr>
            <w:top w:val="none" w:sz="0" w:space="0" w:color="auto"/>
            <w:left w:val="none" w:sz="0" w:space="0" w:color="auto"/>
            <w:bottom w:val="none" w:sz="0" w:space="0" w:color="auto"/>
            <w:right w:val="none" w:sz="0" w:space="0" w:color="auto"/>
          </w:divBdr>
        </w:div>
        <w:div w:id="1203710327">
          <w:marLeft w:val="0"/>
          <w:marRight w:val="0"/>
          <w:marTop w:val="0"/>
          <w:marBottom w:val="0"/>
          <w:divBdr>
            <w:top w:val="none" w:sz="0" w:space="0" w:color="auto"/>
            <w:left w:val="none" w:sz="0" w:space="0" w:color="auto"/>
            <w:bottom w:val="none" w:sz="0" w:space="0" w:color="auto"/>
            <w:right w:val="none" w:sz="0" w:space="0" w:color="auto"/>
          </w:divBdr>
        </w:div>
      </w:divsChild>
    </w:div>
    <w:div w:id="389811205">
      <w:bodyDiv w:val="1"/>
      <w:marLeft w:val="0"/>
      <w:marRight w:val="0"/>
      <w:marTop w:val="0"/>
      <w:marBottom w:val="0"/>
      <w:divBdr>
        <w:top w:val="none" w:sz="0" w:space="0" w:color="auto"/>
        <w:left w:val="none" w:sz="0" w:space="0" w:color="auto"/>
        <w:bottom w:val="none" w:sz="0" w:space="0" w:color="auto"/>
        <w:right w:val="none" w:sz="0" w:space="0" w:color="auto"/>
      </w:divBdr>
      <w:divsChild>
        <w:div w:id="299845818">
          <w:marLeft w:val="0"/>
          <w:marRight w:val="0"/>
          <w:marTop w:val="0"/>
          <w:marBottom w:val="0"/>
          <w:divBdr>
            <w:top w:val="none" w:sz="0" w:space="0" w:color="auto"/>
            <w:left w:val="none" w:sz="0" w:space="0" w:color="auto"/>
            <w:bottom w:val="none" w:sz="0" w:space="0" w:color="auto"/>
            <w:right w:val="none" w:sz="0" w:space="0" w:color="auto"/>
          </w:divBdr>
          <w:divsChild>
            <w:div w:id="88430749">
              <w:marLeft w:val="0"/>
              <w:marRight w:val="0"/>
              <w:marTop w:val="0"/>
              <w:marBottom w:val="0"/>
              <w:divBdr>
                <w:top w:val="none" w:sz="0" w:space="0" w:color="auto"/>
                <w:left w:val="none" w:sz="0" w:space="0" w:color="auto"/>
                <w:bottom w:val="none" w:sz="0" w:space="0" w:color="auto"/>
                <w:right w:val="none" w:sz="0" w:space="0" w:color="auto"/>
              </w:divBdr>
            </w:div>
            <w:div w:id="523133853">
              <w:marLeft w:val="0"/>
              <w:marRight w:val="0"/>
              <w:marTop w:val="0"/>
              <w:marBottom w:val="0"/>
              <w:divBdr>
                <w:top w:val="none" w:sz="0" w:space="0" w:color="auto"/>
                <w:left w:val="none" w:sz="0" w:space="0" w:color="auto"/>
                <w:bottom w:val="none" w:sz="0" w:space="0" w:color="auto"/>
                <w:right w:val="none" w:sz="0" w:space="0" w:color="auto"/>
              </w:divBdr>
            </w:div>
            <w:div w:id="541139133">
              <w:marLeft w:val="0"/>
              <w:marRight w:val="0"/>
              <w:marTop w:val="0"/>
              <w:marBottom w:val="0"/>
              <w:divBdr>
                <w:top w:val="none" w:sz="0" w:space="0" w:color="auto"/>
                <w:left w:val="none" w:sz="0" w:space="0" w:color="auto"/>
                <w:bottom w:val="none" w:sz="0" w:space="0" w:color="auto"/>
                <w:right w:val="none" w:sz="0" w:space="0" w:color="auto"/>
              </w:divBdr>
            </w:div>
            <w:div w:id="852646031">
              <w:marLeft w:val="0"/>
              <w:marRight w:val="0"/>
              <w:marTop w:val="0"/>
              <w:marBottom w:val="0"/>
              <w:divBdr>
                <w:top w:val="none" w:sz="0" w:space="0" w:color="auto"/>
                <w:left w:val="none" w:sz="0" w:space="0" w:color="auto"/>
                <w:bottom w:val="none" w:sz="0" w:space="0" w:color="auto"/>
                <w:right w:val="none" w:sz="0" w:space="0" w:color="auto"/>
              </w:divBdr>
            </w:div>
            <w:div w:id="1089690108">
              <w:marLeft w:val="0"/>
              <w:marRight w:val="0"/>
              <w:marTop w:val="0"/>
              <w:marBottom w:val="0"/>
              <w:divBdr>
                <w:top w:val="none" w:sz="0" w:space="0" w:color="auto"/>
                <w:left w:val="none" w:sz="0" w:space="0" w:color="auto"/>
                <w:bottom w:val="none" w:sz="0" w:space="0" w:color="auto"/>
                <w:right w:val="none" w:sz="0" w:space="0" w:color="auto"/>
              </w:divBdr>
            </w:div>
            <w:div w:id="12663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3642">
      <w:bodyDiv w:val="1"/>
      <w:marLeft w:val="0"/>
      <w:marRight w:val="0"/>
      <w:marTop w:val="0"/>
      <w:marBottom w:val="0"/>
      <w:divBdr>
        <w:top w:val="none" w:sz="0" w:space="0" w:color="auto"/>
        <w:left w:val="none" w:sz="0" w:space="0" w:color="auto"/>
        <w:bottom w:val="none" w:sz="0" w:space="0" w:color="auto"/>
        <w:right w:val="none" w:sz="0" w:space="0" w:color="auto"/>
      </w:divBdr>
      <w:divsChild>
        <w:div w:id="1090078569">
          <w:marLeft w:val="0"/>
          <w:marRight w:val="0"/>
          <w:marTop w:val="0"/>
          <w:marBottom w:val="0"/>
          <w:divBdr>
            <w:top w:val="none" w:sz="0" w:space="0" w:color="auto"/>
            <w:left w:val="none" w:sz="0" w:space="0" w:color="auto"/>
            <w:bottom w:val="none" w:sz="0" w:space="0" w:color="auto"/>
            <w:right w:val="none" w:sz="0" w:space="0" w:color="auto"/>
          </w:divBdr>
        </w:div>
      </w:divsChild>
    </w:div>
    <w:div w:id="546841864">
      <w:bodyDiv w:val="1"/>
      <w:marLeft w:val="0"/>
      <w:marRight w:val="0"/>
      <w:marTop w:val="0"/>
      <w:marBottom w:val="0"/>
      <w:divBdr>
        <w:top w:val="none" w:sz="0" w:space="0" w:color="auto"/>
        <w:left w:val="none" w:sz="0" w:space="0" w:color="auto"/>
        <w:bottom w:val="none" w:sz="0" w:space="0" w:color="auto"/>
        <w:right w:val="none" w:sz="0" w:space="0" w:color="auto"/>
      </w:divBdr>
      <w:divsChild>
        <w:div w:id="904413303">
          <w:marLeft w:val="0"/>
          <w:marRight w:val="0"/>
          <w:marTop w:val="0"/>
          <w:marBottom w:val="0"/>
          <w:divBdr>
            <w:top w:val="none" w:sz="0" w:space="0" w:color="auto"/>
            <w:left w:val="none" w:sz="0" w:space="0" w:color="auto"/>
            <w:bottom w:val="none" w:sz="0" w:space="0" w:color="auto"/>
            <w:right w:val="none" w:sz="0" w:space="0" w:color="auto"/>
          </w:divBdr>
          <w:divsChild>
            <w:div w:id="347802892">
              <w:marLeft w:val="0"/>
              <w:marRight w:val="0"/>
              <w:marTop w:val="0"/>
              <w:marBottom w:val="0"/>
              <w:divBdr>
                <w:top w:val="none" w:sz="0" w:space="0" w:color="auto"/>
                <w:left w:val="none" w:sz="0" w:space="0" w:color="auto"/>
                <w:bottom w:val="none" w:sz="0" w:space="0" w:color="auto"/>
                <w:right w:val="none" w:sz="0" w:space="0" w:color="auto"/>
              </w:divBdr>
            </w:div>
            <w:div w:id="404230228">
              <w:marLeft w:val="0"/>
              <w:marRight w:val="0"/>
              <w:marTop w:val="0"/>
              <w:marBottom w:val="0"/>
              <w:divBdr>
                <w:top w:val="none" w:sz="0" w:space="0" w:color="auto"/>
                <w:left w:val="none" w:sz="0" w:space="0" w:color="auto"/>
                <w:bottom w:val="none" w:sz="0" w:space="0" w:color="auto"/>
                <w:right w:val="none" w:sz="0" w:space="0" w:color="auto"/>
              </w:divBdr>
            </w:div>
            <w:div w:id="431583772">
              <w:marLeft w:val="0"/>
              <w:marRight w:val="0"/>
              <w:marTop w:val="0"/>
              <w:marBottom w:val="0"/>
              <w:divBdr>
                <w:top w:val="none" w:sz="0" w:space="0" w:color="auto"/>
                <w:left w:val="none" w:sz="0" w:space="0" w:color="auto"/>
                <w:bottom w:val="none" w:sz="0" w:space="0" w:color="auto"/>
                <w:right w:val="none" w:sz="0" w:space="0" w:color="auto"/>
              </w:divBdr>
            </w:div>
            <w:div w:id="456265940">
              <w:marLeft w:val="0"/>
              <w:marRight w:val="0"/>
              <w:marTop w:val="0"/>
              <w:marBottom w:val="0"/>
              <w:divBdr>
                <w:top w:val="none" w:sz="0" w:space="0" w:color="auto"/>
                <w:left w:val="none" w:sz="0" w:space="0" w:color="auto"/>
                <w:bottom w:val="none" w:sz="0" w:space="0" w:color="auto"/>
                <w:right w:val="none" w:sz="0" w:space="0" w:color="auto"/>
              </w:divBdr>
            </w:div>
            <w:div w:id="633870055">
              <w:marLeft w:val="0"/>
              <w:marRight w:val="0"/>
              <w:marTop w:val="0"/>
              <w:marBottom w:val="0"/>
              <w:divBdr>
                <w:top w:val="none" w:sz="0" w:space="0" w:color="auto"/>
                <w:left w:val="none" w:sz="0" w:space="0" w:color="auto"/>
                <w:bottom w:val="none" w:sz="0" w:space="0" w:color="auto"/>
                <w:right w:val="none" w:sz="0" w:space="0" w:color="auto"/>
              </w:divBdr>
            </w:div>
            <w:div w:id="745420110">
              <w:marLeft w:val="0"/>
              <w:marRight w:val="0"/>
              <w:marTop w:val="0"/>
              <w:marBottom w:val="0"/>
              <w:divBdr>
                <w:top w:val="none" w:sz="0" w:space="0" w:color="auto"/>
                <w:left w:val="none" w:sz="0" w:space="0" w:color="auto"/>
                <w:bottom w:val="none" w:sz="0" w:space="0" w:color="auto"/>
                <w:right w:val="none" w:sz="0" w:space="0" w:color="auto"/>
              </w:divBdr>
            </w:div>
            <w:div w:id="781657065">
              <w:marLeft w:val="0"/>
              <w:marRight w:val="0"/>
              <w:marTop w:val="0"/>
              <w:marBottom w:val="0"/>
              <w:divBdr>
                <w:top w:val="none" w:sz="0" w:space="0" w:color="auto"/>
                <w:left w:val="none" w:sz="0" w:space="0" w:color="auto"/>
                <w:bottom w:val="none" w:sz="0" w:space="0" w:color="auto"/>
                <w:right w:val="none" w:sz="0" w:space="0" w:color="auto"/>
              </w:divBdr>
            </w:div>
            <w:div w:id="786194990">
              <w:marLeft w:val="0"/>
              <w:marRight w:val="0"/>
              <w:marTop w:val="0"/>
              <w:marBottom w:val="0"/>
              <w:divBdr>
                <w:top w:val="none" w:sz="0" w:space="0" w:color="auto"/>
                <w:left w:val="none" w:sz="0" w:space="0" w:color="auto"/>
                <w:bottom w:val="none" w:sz="0" w:space="0" w:color="auto"/>
                <w:right w:val="none" w:sz="0" w:space="0" w:color="auto"/>
              </w:divBdr>
            </w:div>
            <w:div w:id="1017734219">
              <w:marLeft w:val="0"/>
              <w:marRight w:val="0"/>
              <w:marTop w:val="0"/>
              <w:marBottom w:val="0"/>
              <w:divBdr>
                <w:top w:val="none" w:sz="0" w:space="0" w:color="auto"/>
                <w:left w:val="none" w:sz="0" w:space="0" w:color="auto"/>
                <w:bottom w:val="none" w:sz="0" w:space="0" w:color="auto"/>
                <w:right w:val="none" w:sz="0" w:space="0" w:color="auto"/>
              </w:divBdr>
            </w:div>
            <w:div w:id="1163661851">
              <w:marLeft w:val="0"/>
              <w:marRight w:val="0"/>
              <w:marTop w:val="0"/>
              <w:marBottom w:val="0"/>
              <w:divBdr>
                <w:top w:val="none" w:sz="0" w:space="0" w:color="auto"/>
                <w:left w:val="none" w:sz="0" w:space="0" w:color="auto"/>
                <w:bottom w:val="none" w:sz="0" w:space="0" w:color="auto"/>
                <w:right w:val="none" w:sz="0" w:space="0" w:color="auto"/>
              </w:divBdr>
            </w:div>
            <w:div w:id="1177891494">
              <w:marLeft w:val="0"/>
              <w:marRight w:val="0"/>
              <w:marTop w:val="0"/>
              <w:marBottom w:val="0"/>
              <w:divBdr>
                <w:top w:val="none" w:sz="0" w:space="0" w:color="auto"/>
                <w:left w:val="none" w:sz="0" w:space="0" w:color="auto"/>
                <w:bottom w:val="none" w:sz="0" w:space="0" w:color="auto"/>
                <w:right w:val="none" w:sz="0" w:space="0" w:color="auto"/>
              </w:divBdr>
            </w:div>
            <w:div w:id="1571042414">
              <w:marLeft w:val="0"/>
              <w:marRight w:val="0"/>
              <w:marTop w:val="0"/>
              <w:marBottom w:val="0"/>
              <w:divBdr>
                <w:top w:val="none" w:sz="0" w:space="0" w:color="auto"/>
                <w:left w:val="none" w:sz="0" w:space="0" w:color="auto"/>
                <w:bottom w:val="none" w:sz="0" w:space="0" w:color="auto"/>
                <w:right w:val="none" w:sz="0" w:space="0" w:color="auto"/>
              </w:divBdr>
            </w:div>
            <w:div w:id="1870871845">
              <w:marLeft w:val="0"/>
              <w:marRight w:val="0"/>
              <w:marTop w:val="0"/>
              <w:marBottom w:val="0"/>
              <w:divBdr>
                <w:top w:val="none" w:sz="0" w:space="0" w:color="auto"/>
                <w:left w:val="none" w:sz="0" w:space="0" w:color="auto"/>
                <w:bottom w:val="none" w:sz="0" w:space="0" w:color="auto"/>
                <w:right w:val="none" w:sz="0" w:space="0" w:color="auto"/>
              </w:divBdr>
            </w:div>
            <w:div w:id="2075351045">
              <w:marLeft w:val="0"/>
              <w:marRight w:val="0"/>
              <w:marTop w:val="0"/>
              <w:marBottom w:val="0"/>
              <w:divBdr>
                <w:top w:val="none" w:sz="0" w:space="0" w:color="auto"/>
                <w:left w:val="none" w:sz="0" w:space="0" w:color="auto"/>
                <w:bottom w:val="none" w:sz="0" w:space="0" w:color="auto"/>
                <w:right w:val="none" w:sz="0" w:space="0" w:color="auto"/>
              </w:divBdr>
            </w:div>
            <w:div w:id="21167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7925">
      <w:bodyDiv w:val="1"/>
      <w:marLeft w:val="0"/>
      <w:marRight w:val="0"/>
      <w:marTop w:val="0"/>
      <w:marBottom w:val="0"/>
      <w:divBdr>
        <w:top w:val="none" w:sz="0" w:space="0" w:color="auto"/>
        <w:left w:val="none" w:sz="0" w:space="0" w:color="auto"/>
        <w:bottom w:val="none" w:sz="0" w:space="0" w:color="auto"/>
        <w:right w:val="none" w:sz="0" w:space="0" w:color="auto"/>
      </w:divBdr>
      <w:divsChild>
        <w:div w:id="102963086">
          <w:marLeft w:val="0"/>
          <w:marRight w:val="0"/>
          <w:marTop w:val="0"/>
          <w:marBottom w:val="0"/>
          <w:divBdr>
            <w:top w:val="none" w:sz="0" w:space="0" w:color="auto"/>
            <w:left w:val="none" w:sz="0" w:space="0" w:color="auto"/>
            <w:bottom w:val="none" w:sz="0" w:space="0" w:color="auto"/>
            <w:right w:val="none" w:sz="0" w:space="0" w:color="auto"/>
          </w:divBdr>
        </w:div>
      </w:divsChild>
    </w:div>
    <w:div w:id="564878471">
      <w:bodyDiv w:val="1"/>
      <w:marLeft w:val="0"/>
      <w:marRight w:val="0"/>
      <w:marTop w:val="0"/>
      <w:marBottom w:val="0"/>
      <w:divBdr>
        <w:top w:val="none" w:sz="0" w:space="0" w:color="auto"/>
        <w:left w:val="none" w:sz="0" w:space="0" w:color="auto"/>
        <w:bottom w:val="none" w:sz="0" w:space="0" w:color="auto"/>
        <w:right w:val="none" w:sz="0" w:space="0" w:color="auto"/>
      </w:divBdr>
      <w:divsChild>
        <w:div w:id="1013261832">
          <w:marLeft w:val="0"/>
          <w:marRight w:val="0"/>
          <w:marTop w:val="0"/>
          <w:marBottom w:val="0"/>
          <w:divBdr>
            <w:top w:val="none" w:sz="0" w:space="0" w:color="auto"/>
            <w:left w:val="none" w:sz="0" w:space="0" w:color="auto"/>
            <w:bottom w:val="none" w:sz="0" w:space="0" w:color="auto"/>
            <w:right w:val="none" w:sz="0" w:space="0" w:color="auto"/>
          </w:divBdr>
        </w:div>
      </w:divsChild>
    </w:div>
    <w:div w:id="916786463">
      <w:bodyDiv w:val="1"/>
      <w:marLeft w:val="0"/>
      <w:marRight w:val="0"/>
      <w:marTop w:val="0"/>
      <w:marBottom w:val="0"/>
      <w:divBdr>
        <w:top w:val="none" w:sz="0" w:space="0" w:color="auto"/>
        <w:left w:val="none" w:sz="0" w:space="0" w:color="auto"/>
        <w:bottom w:val="none" w:sz="0" w:space="0" w:color="auto"/>
        <w:right w:val="none" w:sz="0" w:space="0" w:color="auto"/>
      </w:divBdr>
      <w:divsChild>
        <w:div w:id="145782837">
          <w:marLeft w:val="0"/>
          <w:marRight w:val="0"/>
          <w:marTop w:val="0"/>
          <w:marBottom w:val="0"/>
          <w:divBdr>
            <w:top w:val="none" w:sz="0" w:space="0" w:color="auto"/>
            <w:left w:val="none" w:sz="0" w:space="0" w:color="auto"/>
            <w:bottom w:val="none" w:sz="0" w:space="0" w:color="auto"/>
            <w:right w:val="none" w:sz="0" w:space="0" w:color="auto"/>
          </w:divBdr>
        </w:div>
      </w:divsChild>
    </w:div>
    <w:div w:id="1147627582">
      <w:bodyDiv w:val="1"/>
      <w:marLeft w:val="0"/>
      <w:marRight w:val="0"/>
      <w:marTop w:val="0"/>
      <w:marBottom w:val="0"/>
      <w:divBdr>
        <w:top w:val="none" w:sz="0" w:space="0" w:color="auto"/>
        <w:left w:val="none" w:sz="0" w:space="0" w:color="auto"/>
        <w:bottom w:val="none" w:sz="0" w:space="0" w:color="auto"/>
        <w:right w:val="none" w:sz="0" w:space="0" w:color="auto"/>
      </w:divBdr>
      <w:divsChild>
        <w:div w:id="666251980">
          <w:marLeft w:val="0"/>
          <w:marRight w:val="0"/>
          <w:marTop w:val="0"/>
          <w:marBottom w:val="0"/>
          <w:divBdr>
            <w:top w:val="none" w:sz="0" w:space="0" w:color="auto"/>
            <w:left w:val="none" w:sz="0" w:space="0" w:color="auto"/>
            <w:bottom w:val="none" w:sz="0" w:space="0" w:color="auto"/>
            <w:right w:val="none" w:sz="0" w:space="0" w:color="auto"/>
          </w:divBdr>
        </w:div>
      </w:divsChild>
    </w:div>
    <w:div w:id="1367438775">
      <w:bodyDiv w:val="1"/>
      <w:marLeft w:val="0"/>
      <w:marRight w:val="0"/>
      <w:marTop w:val="0"/>
      <w:marBottom w:val="0"/>
      <w:divBdr>
        <w:top w:val="none" w:sz="0" w:space="0" w:color="auto"/>
        <w:left w:val="none" w:sz="0" w:space="0" w:color="auto"/>
        <w:bottom w:val="none" w:sz="0" w:space="0" w:color="auto"/>
        <w:right w:val="none" w:sz="0" w:space="0" w:color="auto"/>
      </w:divBdr>
      <w:divsChild>
        <w:div w:id="1844934319">
          <w:marLeft w:val="0"/>
          <w:marRight w:val="0"/>
          <w:marTop w:val="0"/>
          <w:marBottom w:val="0"/>
          <w:divBdr>
            <w:top w:val="none" w:sz="0" w:space="0" w:color="auto"/>
            <w:left w:val="none" w:sz="0" w:space="0" w:color="auto"/>
            <w:bottom w:val="none" w:sz="0" w:space="0" w:color="auto"/>
            <w:right w:val="none" w:sz="0" w:space="0" w:color="auto"/>
          </w:divBdr>
          <w:divsChild>
            <w:div w:id="295834815">
              <w:marLeft w:val="0"/>
              <w:marRight w:val="0"/>
              <w:marTop w:val="0"/>
              <w:marBottom w:val="0"/>
              <w:divBdr>
                <w:top w:val="none" w:sz="0" w:space="0" w:color="auto"/>
                <w:left w:val="none" w:sz="0" w:space="0" w:color="auto"/>
                <w:bottom w:val="none" w:sz="0" w:space="0" w:color="auto"/>
                <w:right w:val="none" w:sz="0" w:space="0" w:color="auto"/>
              </w:divBdr>
            </w:div>
            <w:div w:id="10471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3755">
      <w:bodyDiv w:val="1"/>
      <w:marLeft w:val="0"/>
      <w:marRight w:val="0"/>
      <w:marTop w:val="0"/>
      <w:marBottom w:val="0"/>
      <w:divBdr>
        <w:top w:val="none" w:sz="0" w:space="0" w:color="auto"/>
        <w:left w:val="none" w:sz="0" w:space="0" w:color="auto"/>
        <w:bottom w:val="none" w:sz="0" w:space="0" w:color="auto"/>
        <w:right w:val="none" w:sz="0" w:space="0" w:color="auto"/>
      </w:divBdr>
      <w:divsChild>
        <w:div w:id="1407069800">
          <w:marLeft w:val="0"/>
          <w:marRight w:val="0"/>
          <w:marTop w:val="0"/>
          <w:marBottom w:val="0"/>
          <w:divBdr>
            <w:top w:val="none" w:sz="0" w:space="0" w:color="auto"/>
            <w:left w:val="none" w:sz="0" w:space="0" w:color="auto"/>
            <w:bottom w:val="none" w:sz="0" w:space="0" w:color="auto"/>
            <w:right w:val="none" w:sz="0" w:space="0" w:color="auto"/>
          </w:divBdr>
        </w:div>
      </w:divsChild>
    </w:div>
    <w:div w:id="1506283629">
      <w:bodyDiv w:val="1"/>
      <w:marLeft w:val="0"/>
      <w:marRight w:val="0"/>
      <w:marTop w:val="0"/>
      <w:marBottom w:val="0"/>
      <w:divBdr>
        <w:top w:val="none" w:sz="0" w:space="0" w:color="auto"/>
        <w:left w:val="none" w:sz="0" w:space="0" w:color="auto"/>
        <w:bottom w:val="none" w:sz="0" w:space="0" w:color="auto"/>
        <w:right w:val="none" w:sz="0" w:space="0" w:color="auto"/>
      </w:divBdr>
      <w:divsChild>
        <w:div w:id="2086686521">
          <w:marLeft w:val="0"/>
          <w:marRight w:val="0"/>
          <w:marTop w:val="0"/>
          <w:marBottom w:val="0"/>
          <w:divBdr>
            <w:top w:val="none" w:sz="0" w:space="0" w:color="auto"/>
            <w:left w:val="none" w:sz="0" w:space="0" w:color="auto"/>
            <w:bottom w:val="none" w:sz="0" w:space="0" w:color="auto"/>
            <w:right w:val="none" w:sz="0" w:space="0" w:color="auto"/>
          </w:divBdr>
          <w:divsChild>
            <w:div w:id="280573585">
              <w:marLeft w:val="0"/>
              <w:marRight w:val="0"/>
              <w:marTop w:val="0"/>
              <w:marBottom w:val="0"/>
              <w:divBdr>
                <w:top w:val="none" w:sz="0" w:space="0" w:color="auto"/>
                <w:left w:val="none" w:sz="0" w:space="0" w:color="auto"/>
                <w:bottom w:val="none" w:sz="0" w:space="0" w:color="auto"/>
                <w:right w:val="none" w:sz="0" w:space="0" w:color="auto"/>
              </w:divBdr>
            </w:div>
            <w:div w:id="328484771">
              <w:marLeft w:val="0"/>
              <w:marRight w:val="0"/>
              <w:marTop w:val="0"/>
              <w:marBottom w:val="0"/>
              <w:divBdr>
                <w:top w:val="none" w:sz="0" w:space="0" w:color="auto"/>
                <w:left w:val="none" w:sz="0" w:space="0" w:color="auto"/>
                <w:bottom w:val="none" w:sz="0" w:space="0" w:color="auto"/>
                <w:right w:val="none" w:sz="0" w:space="0" w:color="auto"/>
              </w:divBdr>
            </w:div>
            <w:div w:id="487136929">
              <w:marLeft w:val="0"/>
              <w:marRight w:val="0"/>
              <w:marTop w:val="0"/>
              <w:marBottom w:val="0"/>
              <w:divBdr>
                <w:top w:val="none" w:sz="0" w:space="0" w:color="auto"/>
                <w:left w:val="none" w:sz="0" w:space="0" w:color="auto"/>
                <w:bottom w:val="none" w:sz="0" w:space="0" w:color="auto"/>
                <w:right w:val="none" w:sz="0" w:space="0" w:color="auto"/>
              </w:divBdr>
            </w:div>
            <w:div w:id="1165701277">
              <w:marLeft w:val="0"/>
              <w:marRight w:val="0"/>
              <w:marTop w:val="0"/>
              <w:marBottom w:val="0"/>
              <w:divBdr>
                <w:top w:val="none" w:sz="0" w:space="0" w:color="auto"/>
                <w:left w:val="none" w:sz="0" w:space="0" w:color="auto"/>
                <w:bottom w:val="none" w:sz="0" w:space="0" w:color="auto"/>
                <w:right w:val="none" w:sz="0" w:space="0" w:color="auto"/>
              </w:divBdr>
            </w:div>
            <w:div w:id="1210920002">
              <w:marLeft w:val="0"/>
              <w:marRight w:val="0"/>
              <w:marTop w:val="0"/>
              <w:marBottom w:val="0"/>
              <w:divBdr>
                <w:top w:val="none" w:sz="0" w:space="0" w:color="auto"/>
                <w:left w:val="none" w:sz="0" w:space="0" w:color="auto"/>
                <w:bottom w:val="none" w:sz="0" w:space="0" w:color="auto"/>
                <w:right w:val="none" w:sz="0" w:space="0" w:color="auto"/>
              </w:divBdr>
            </w:div>
            <w:div w:id="1713453882">
              <w:marLeft w:val="0"/>
              <w:marRight w:val="0"/>
              <w:marTop w:val="0"/>
              <w:marBottom w:val="0"/>
              <w:divBdr>
                <w:top w:val="none" w:sz="0" w:space="0" w:color="auto"/>
                <w:left w:val="none" w:sz="0" w:space="0" w:color="auto"/>
                <w:bottom w:val="none" w:sz="0" w:space="0" w:color="auto"/>
                <w:right w:val="none" w:sz="0" w:space="0" w:color="auto"/>
              </w:divBdr>
            </w:div>
            <w:div w:id="1907884296">
              <w:marLeft w:val="0"/>
              <w:marRight w:val="0"/>
              <w:marTop w:val="0"/>
              <w:marBottom w:val="0"/>
              <w:divBdr>
                <w:top w:val="none" w:sz="0" w:space="0" w:color="auto"/>
                <w:left w:val="none" w:sz="0" w:space="0" w:color="auto"/>
                <w:bottom w:val="none" w:sz="0" w:space="0" w:color="auto"/>
                <w:right w:val="none" w:sz="0" w:space="0" w:color="auto"/>
              </w:divBdr>
            </w:div>
            <w:div w:id="21097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3694">
      <w:bodyDiv w:val="1"/>
      <w:marLeft w:val="0"/>
      <w:marRight w:val="0"/>
      <w:marTop w:val="0"/>
      <w:marBottom w:val="0"/>
      <w:divBdr>
        <w:top w:val="none" w:sz="0" w:space="0" w:color="auto"/>
        <w:left w:val="none" w:sz="0" w:space="0" w:color="auto"/>
        <w:bottom w:val="none" w:sz="0" w:space="0" w:color="auto"/>
        <w:right w:val="none" w:sz="0" w:space="0" w:color="auto"/>
      </w:divBdr>
      <w:divsChild>
        <w:div w:id="1412965367">
          <w:marLeft w:val="0"/>
          <w:marRight w:val="0"/>
          <w:marTop w:val="0"/>
          <w:marBottom w:val="0"/>
          <w:divBdr>
            <w:top w:val="none" w:sz="0" w:space="0" w:color="auto"/>
            <w:left w:val="none" w:sz="0" w:space="0" w:color="auto"/>
            <w:bottom w:val="none" w:sz="0" w:space="0" w:color="auto"/>
            <w:right w:val="none" w:sz="0" w:space="0" w:color="auto"/>
          </w:divBdr>
        </w:div>
      </w:divsChild>
    </w:div>
    <w:div w:id="1626698999">
      <w:bodyDiv w:val="1"/>
      <w:marLeft w:val="0"/>
      <w:marRight w:val="0"/>
      <w:marTop w:val="0"/>
      <w:marBottom w:val="0"/>
      <w:divBdr>
        <w:top w:val="none" w:sz="0" w:space="0" w:color="auto"/>
        <w:left w:val="none" w:sz="0" w:space="0" w:color="auto"/>
        <w:bottom w:val="none" w:sz="0" w:space="0" w:color="auto"/>
        <w:right w:val="none" w:sz="0" w:space="0" w:color="auto"/>
      </w:divBdr>
      <w:divsChild>
        <w:div w:id="2131052435">
          <w:marLeft w:val="0"/>
          <w:marRight w:val="0"/>
          <w:marTop w:val="0"/>
          <w:marBottom w:val="0"/>
          <w:divBdr>
            <w:top w:val="none" w:sz="0" w:space="0" w:color="auto"/>
            <w:left w:val="none" w:sz="0" w:space="0" w:color="auto"/>
            <w:bottom w:val="none" w:sz="0" w:space="0" w:color="auto"/>
            <w:right w:val="none" w:sz="0" w:space="0" w:color="auto"/>
          </w:divBdr>
        </w:div>
      </w:divsChild>
    </w:div>
    <w:div w:id="1631979331">
      <w:bodyDiv w:val="1"/>
      <w:marLeft w:val="0"/>
      <w:marRight w:val="0"/>
      <w:marTop w:val="0"/>
      <w:marBottom w:val="0"/>
      <w:divBdr>
        <w:top w:val="none" w:sz="0" w:space="0" w:color="auto"/>
        <w:left w:val="none" w:sz="0" w:space="0" w:color="auto"/>
        <w:bottom w:val="none" w:sz="0" w:space="0" w:color="auto"/>
        <w:right w:val="none" w:sz="0" w:space="0" w:color="auto"/>
      </w:divBdr>
      <w:divsChild>
        <w:div w:id="840121190">
          <w:marLeft w:val="0"/>
          <w:marRight w:val="0"/>
          <w:marTop w:val="0"/>
          <w:marBottom w:val="0"/>
          <w:divBdr>
            <w:top w:val="none" w:sz="0" w:space="0" w:color="auto"/>
            <w:left w:val="none" w:sz="0" w:space="0" w:color="auto"/>
            <w:bottom w:val="none" w:sz="0" w:space="0" w:color="auto"/>
            <w:right w:val="none" w:sz="0" w:space="0" w:color="auto"/>
          </w:divBdr>
        </w:div>
      </w:divsChild>
    </w:div>
    <w:div w:id="1736124411">
      <w:bodyDiv w:val="1"/>
      <w:marLeft w:val="0"/>
      <w:marRight w:val="0"/>
      <w:marTop w:val="0"/>
      <w:marBottom w:val="0"/>
      <w:divBdr>
        <w:top w:val="none" w:sz="0" w:space="0" w:color="auto"/>
        <w:left w:val="none" w:sz="0" w:space="0" w:color="auto"/>
        <w:bottom w:val="none" w:sz="0" w:space="0" w:color="auto"/>
        <w:right w:val="none" w:sz="0" w:space="0" w:color="auto"/>
      </w:divBdr>
      <w:divsChild>
        <w:div w:id="641499054">
          <w:marLeft w:val="0"/>
          <w:marRight w:val="0"/>
          <w:marTop w:val="0"/>
          <w:marBottom w:val="0"/>
          <w:divBdr>
            <w:top w:val="none" w:sz="0" w:space="0" w:color="auto"/>
            <w:left w:val="none" w:sz="0" w:space="0" w:color="auto"/>
            <w:bottom w:val="none" w:sz="0" w:space="0" w:color="auto"/>
            <w:right w:val="none" w:sz="0" w:space="0" w:color="auto"/>
          </w:divBdr>
        </w:div>
      </w:divsChild>
    </w:div>
    <w:div w:id="1904751594">
      <w:bodyDiv w:val="1"/>
      <w:marLeft w:val="0"/>
      <w:marRight w:val="0"/>
      <w:marTop w:val="0"/>
      <w:marBottom w:val="0"/>
      <w:divBdr>
        <w:top w:val="none" w:sz="0" w:space="0" w:color="auto"/>
        <w:left w:val="none" w:sz="0" w:space="0" w:color="auto"/>
        <w:bottom w:val="none" w:sz="0" w:space="0" w:color="auto"/>
        <w:right w:val="none" w:sz="0" w:space="0" w:color="auto"/>
      </w:divBdr>
      <w:divsChild>
        <w:div w:id="1757165338">
          <w:marLeft w:val="0"/>
          <w:marRight w:val="0"/>
          <w:marTop w:val="0"/>
          <w:marBottom w:val="0"/>
          <w:divBdr>
            <w:top w:val="none" w:sz="0" w:space="0" w:color="auto"/>
            <w:left w:val="none" w:sz="0" w:space="0" w:color="auto"/>
            <w:bottom w:val="none" w:sz="0" w:space="0" w:color="auto"/>
            <w:right w:val="none" w:sz="0" w:space="0" w:color="auto"/>
          </w:divBdr>
        </w:div>
      </w:divsChild>
    </w:div>
    <w:div w:id="1930961264">
      <w:bodyDiv w:val="1"/>
      <w:marLeft w:val="0"/>
      <w:marRight w:val="0"/>
      <w:marTop w:val="0"/>
      <w:marBottom w:val="0"/>
      <w:divBdr>
        <w:top w:val="none" w:sz="0" w:space="0" w:color="auto"/>
        <w:left w:val="none" w:sz="0" w:space="0" w:color="auto"/>
        <w:bottom w:val="none" w:sz="0" w:space="0" w:color="auto"/>
        <w:right w:val="none" w:sz="0" w:space="0" w:color="auto"/>
      </w:divBdr>
      <w:divsChild>
        <w:div w:id="1836526431">
          <w:marLeft w:val="0"/>
          <w:marRight w:val="0"/>
          <w:marTop w:val="0"/>
          <w:marBottom w:val="0"/>
          <w:divBdr>
            <w:top w:val="none" w:sz="0" w:space="0" w:color="auto"/>
            <w:left w:val="none" w:sz="0" w:space="0" w:color="auto"/>
            <w:bottom w:val="none" w:sz="0" w:space="0" w:color="auto"/>
            <w:right w:val="none" w:sz="0" w:space="0" w:color="auto"/>
          </w:divBdr>
          <w:divsChild>
            <w:div w:id="957220527">
              <w:marLeft w:val="0"/>
              <w:marRight w:val="0"/>
              <w:marTop w:val="0"/>
              <w:marBottom w:val="0"/>
              <w:divBdr>
                <w:top w:val="none" w:sz="0" w:space="0" w:color="auto"/>
                <w:left w:val="none" w:sz="0" w:space="0" w:color="auto"/>
                <w:bottom w:val="none" w:sz="0" w:space="0" w:color="auto"/>
                <w:right w:val="none" w:sz="0" w:space="0" w:color="auto"/>
              </w:divBdr>
            </w:div>
            <w:div w:id="1672951858">
              <w:marLeft w:val="0"/>
              <w:marRight w:val="0"/>
              <w:marTop w:val="0"/>
              <w:marBottom w:val="0"/>
              <w:divBdr>
                <w:top w:val="none" w:sz="0" w:space="0" w:color="auto"/>
                <w:left w:val="none" w:sz="0" w:space="0" w:color="auto"/>
                <w:bottom w:val="none" w:sz="0" w:space="0" w:color="auto"/>
                <w:right w:val="none" w:sz="0" w:space="0" w:color="auto"/>
              </w:divBdr>
            </w:div>
            <w:div w:id="17814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4481">
      <w:bodyDiv w:val="1"/>
      <w:marLeft w:val="0"/>
      <w:marRight w:val="0"/>
      <w:marTop w:val="0"/>
      <w:marBottom w:val="0"/>
      <w:divBdr>
        <w:top w:val="none" w:sz="0" w:space="0" w:color="auto"/>
        <w:left w:val="none" w:sz="0" w:space="0" w:color="auto"/>
        <w:bottom w:val="none" w:sz="0" w:space="0" w:color="auto"/>
        <w:right w:val="none" w:sz="0" w:space="0" w:color="auto"/>
      </w:divBdr>
      <w:divsChild>
        <w:div w:id="333266181">
          <w:marLeft w:val="0"/>
          <w:marRight w:val="0"/>
          <w:marTop w:val="0"/>
          <w:marBottom w:val="0"/>
          <w:divBdr>
            <w:top w:val="none" w:sz="0" w:space="0" w:color="auto"/>
            <w:left w:val="none" w:sz="0" w:space="0" w:color="auto"/>
            <w:bottom w:val="none" w:sz="0" w:space="0" w:color="auto"/>
            <w:right w:val="none" w:sz="0" w:space="0" w:color="auto"/>
          </w:divBdr>
        </w:div>
      </w:divsChild>
    </w:div>
    <w:div w:id="2009599776">
      <w:bodyDiv w:val="1"/>
      <w:marLeft w:val="0"/>
      <w:marRight w:val="0"/>
      <w:marTop w:val="0"/>
      <w:marBottom w:val="0"/>
      <w:divBdr>
        <w:top w:val="none" w:sz="0" w:space="0" w:color="auto"/>
        <w:left w:val="none" w:sz="0" w:space="0" w:color="auto"/>
        <w:bottom w:val="none" w:sz="0" w:space="0" w:color="auto"/>
        <w:right w:val="none" w:sz="0" w:space="0" w:color="auto"/>
      </w:divBdr>
      <w:divsChild>
        <w:div w:id="2101485159">
          <w:marLeft w:val="0"/>
          <w:marRight w:val="0"/>
          <w:marTop w:val="0"/>
          <w:marBottom w:val="0"/>
          <w:divBdr>
            <w:top w:val="none" w:sz="0" w:space="0" w:color="auto"/>
            <w:left w:val="none" w:sz="0" w:space="0" w:color="auto"/>
            <w:bottom w:val="none" w:sz="0" w:space="0" w:color="auto"/>
            <w:right w:val="none" w:sz="0" w:space="0" w:color="auto"/>
          </w:divBdr>
        </w:div>
      </w:divsChild>
    </w:div>
    <w:div w:id="2025939723">
      <w:bodyDiv w:val="1"/>
      <w:marLeft w:val="0"/>
      <w:marRight w:val="0"/>
      <w:marTop w:val="0"/>
      <w:marBottom w:val="0"/>
      <w:divBdr>
        <w:top w:val="none" w:sz="0" w:space="0" w:color="auto"/>
        <w:left w:val="none" w:sz="0" w:space="0" w:color="auto"/>
        <w:bottom w:val="none" w:sz="0" w:space="0" w:color="auto"/>
        <w:right w:val="none" w:sz="0" w:space="0" w:color="auto"/>
      </w:divBdr>
      <w:divsChild>
        <w:div w:id="1532301733">
          <w:marLeft w:val="0"/>
          <w:marRight w:val="0"/>
          <w:marTop w:val="0"/>
          <w:marBottom w:val="0"/>
          <w:divBdr>
            <w:top w:val="none" w:sz="0" w:space="0" w:color="auto"/>
            <w:left w:val="none" w:sz="0" w:space="0" w:color="auto"/>
            <w:bottom w:val="none" w:sz="0" w:space="0" w:color="auto"/>
            <w:right w:val="none" w:sz="0" w:space="0" w:color="auto"/>
          </w:divBdr>
        </w:div>
      </w:divsChild>
    </w:div>
    <w:div w:id="2084719562">
      <w:bodyDiv w:val="1"/>
      <w:marLeft w:val="0"/>
      <w:marRight w:val="0"/>
      <w:marTop w:val="0"/>
      <w:marBottom w:val="0"/>
      <w:divBdr>
        <w:top w:val="none" w:sz="0" w:space="0" w:color="auto"/>
        <w:left w:val="none" w:sz="0" w:space="0" w:color="auto"/>
        <w:bottom w:val="none" w:sz="0" w:space="0" w:color="auto"/>
        <w:right w:val="none" w:sz="0" w:space="0" w:color="auto"/>
      </w:divBdr>
      <w:divsChild>
        <w:div w:id="1863201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10475</Words>
  <Characters>59709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Порівняльна таблиця до проекту рішення Комісії «Про внесення змін до Положення про склад та структуру активів інституту спільного інвестування»</vt:lpstr>
    </vt:vector>
  </TitlesOfParts>
  <Company>SSMSC</Company>
  <LinksUpToDate>false</LinksUpToDate>
  <CharactersWithSpaces>70044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 до проекту рішення Комісії «Про внесення змін до Положення про склад та структуру активів інституту спільного інвестування»</dc:title>
  <dc:subject/>
  <dc:creator>yuliia.shuliak</dc:creator>
  <cp:keywords/>
  <dc:description/>
  <cp:lastModifiedBy>Руслан Кисляк</cp:lastModifiedBy>
  <cp:revision>2</cp:revision>
  <cp:lastPrinted>2019-04-25T07:28:00Z</cp:lastPrinted>
  <dcterms:created xsi:type="dcterms:W3CDTF">2019-04-26T07:57:00Z</dcterms:created>
  <dcterms:modified xsi:type="dcterms:W3CDTF">2019-04-26T07:57:00Z</dcterms:modified>
</cp:coreProperties>
</file>