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42" w:rsidRPr="00791761" w:rsidRDefault="00AA0904" w:rsidP="00786E0E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7143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2" w:rsidRPr="004120BB" w:rsidRDefault="00192742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32"/>
          <w:szCs w:val="32"/>
        </w:rPr>
      </w:pPr>
    </w:p>
    <w:p w:rsidR="00192742" w:rsidRPr="008A42CC" w:rsidRDefault="00192742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</w:t>
      </w:r>
    </w:p>
    <w:p w:rsidR="00192742" w:rsidRPr="008A42CC" w:rsidRDefault="00192742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>ТА ФОНДОВОГО РИНКУ</w:t>
      </w:r>
    </w:p>
    <w:p w:rsidR="00192742" w:rsidRPr="004120BB" w:rsidRDefault="00192742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32"/>
          <w:szCs w:val="32"/>
        </w:rPr>
      </w:pPr>
    </w:p>
    <w:p w:rsidR="00192742" w:rsidRPr="008A42CC" w:rsidRDefault="00192742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 xml:space="preserve">Р І Ш Е Н </w:t>
      </w:r>
      <w:proofErr w:type="spellStart"/>
      <w:r w:rsidRPr="008A42CC">
        <w:rPr>
          <w:szCs w:val="28"/>
        </w:rPr>
        <w:t>Н</w:t>
      </w:r>
      <w:proofErr w:type="spellEnd"/>
      <w:r w:rsidRPr="008A42CC">
        <w:rPr>
          <w:szCs w:val="28"/>
        </w:rPr>
        <w:t xml:space="preserve"> Я</w:t>
      </w:r>
    </w:p>
    <w:p w:rsidR="00192742" w:rsidRPr="00020595" w:rsidRDefault="00192742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</w:p>
    <w:p w:rsidR="00192742" w:rsidRPr="008A42CC" w:rsidRDefault="00192742" w:rsidP="00786E0E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  <w:r>
        <w:rPr>
          <w:szCs w:val="28"/>
          <w:lang w:val="ru-RU"/>
        </w:rPr>
        <w:t>23.05.</w:t>
      </w:r>
      <w:r>
        <w:rPr>
          <w:szCs w:val="28"/>
        </w:rPr>
        <w:t>2019</w:t>
      </w:r>
      <w:r w:rsidRPr="008A42CC">
        <w:rPr>
          <w:szCs w:val="28"/>
        </w:rPr>
        <w:t xml:space="preserve">   </w:t>
      </w:r>
      <w:r w:rsidRPr="008A42CC">
        <w:rPr>
          <w:szCs w:val="28"/>
        </w:rPr>
        <w:tab/>
      </w:r>
      <w:r w:rsidRPr="008A42CC">
        <w:rPr>
          <w:szCs w:val="28"/>
        </w:rPr>
        <w:tab/>
        <w:t xml:space="preserve">           </w:t>
      </w:r>
      <w:r>
        <w:rPr>
          <w:szCs w:val="28"/>
        </w:rPr>
        <w:t xml:space="preserve">         </w:t>
      </w:r>
      <w:r w:rsidRPr="008A42CC">
        <w:rPr>
          <w:szCs w:val="28"/>
        </w:rPr>
        <w:t xml:space="preserve">   м. Київ      </w:t>
      </w:r>
      <w:r w:rsidRPr="008A42CC">
        <w:rPr>
          <w:szCs w:val="28"/>
        </w:rPr>
        <w:tab/>
      </w:r>
      <w:r w:rsidRPr="008A42CC">
        <w:rPr>
          <w:szCs w:val="28"/>
        </w:rPr>
        <w:tab/>
      </w:r>
      <w:r w:rsidRPr="008A42CC">
        <w:rPr>
          <w:szCs w:val="28"/>
        </w:rPr>
        <w:tab/>
      </w:r>
      <w:r w:rsidRPr="008A42CC">
        <w:rPr>
          <w:szCs w:val="28"/>
        </w:rPr>
        <w:tab/>
        <w:t xml:space="preserve">№ </w:t>
      </w:r>
      <w:r>
        <w:rPr>
          <w:szCs w:val="28"/>
        </w:rPr>
        <w:t>277</w:t>
      </w:r>
    </w:p>
    <w:p w:rsidR="00192742" w:rsidRPr="0027697C" w:rsidRDefault="00192742" w:rsidP="00786E0E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192742" w:rsidRPr="00AB7B55" w:rsidTr="00094DF7">
        <w:trPr>
          <w:trHeight w:val="750"/>
        </w:trPr>
        <w:tc>
          <w:tcPr>
            <w:tcW w:w="4824" w:type="dxa"/>
          </w:tcPr>
          <w:p w:rsidR="00192742" w:rsidRDefault="00192742" w:rsidP="00C85FCC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  <w:p w:rsidR="00192742" w:rsidRPr="008A42CC" w:rsidRDefault="00192742" w:rsidP="00925F66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  <w:r w:rsidRPr="00217198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внесення змін до </w:t>
            </w:r>
            <w:r w:rsidRPr="00A2300A">
              <w:rPr>
                <w:szCs w:val="28"/>
              </w:rPr>
              <w:t>Принципів побудови системи депозитарного обліку</w:t>
            </w:r>
            <w:r>
              <w:rPr>
                <w:szCs w:val="28"/>
              </w:rPr>
              <w:t xml:space="preserve"> України</w:t>
            </w:r>
            <w:r w:rsidRPr="008A42CC">
              <w:rPr>
                <w:szCs w:val="28"/>
              </w:rPr>
              <w:t xml:space="preserve"> </w:t>
            </w:r>
          </w:p>
        </w:tc>
        <w:tc>
          <w:tcPr>
            <w:tcW w:w="4824" w:type="dxa"/>
          </w:tcPr>
          <w:p w:rsidR="00192742" w:rsidRDefault="00192742" w:rsidP="00C85FCC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  <w:p w:rsidR="00192742" w:rsidRPr="00AB7B55" w:rsidRDefault="00192742" w:rsidP="00C85FCC">
            <w:pPr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</w:tr>
    </w:tbl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EC1CA0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Відповідно до пункту 38 частини другої статті 7 Закону України «Про державне регулювання ринку цінних паперів в Україні», Закону України «Про депозитарну систе</w:t>
      </w:r>
      <w:r>
        <w:rPr>
          <w:szCs w:val="28"/>
        </w:rPr>
        <w:t xml:space="preserve">му України», </w:t>
      </w:r>
      <w:r w:rsidRPr="008A42CC">
        <w:rPr>
          <w:szCs w:val="28"/>
        </w:rPr>
        <w:t xml:space="preserve">з метою удосконалення </w:t>
      </w:r>
      <w:r>
        <w:rPr>
          <w:szCs w:val="28"/>
        </w:rPr>
        <w:t>принципів побудови системи депозитарного обліку України</w:t>
      </w:r>
    </w:p>
    <w:p w:rsidR="00192742" w:rsidRPr="004120BB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8A42CC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 та фондового ринку</w:t>
      </w:r>
    </w:p>
    <w:p w:rsidR="00192742" w:rsidRPr="004120BB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64342F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jc w:val="center"/>
        <w:rPr>
          <w:szCs w:val="28"/>
        </w:rPr>
      </w:pPr>
      <w:r w:rsidRPr="0064342F">
        <w:rPr>
          <w:szCs w:val="28"/>
        </w:rPr>
        <w:t>В И Р І Ш И Л А:</w:t>
      </w:r>
    </w:p>
    <w:p w:rsidR="00192742" w:rsidRPr="004120BB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 xml:space="preserve">1.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</w:t>
      </w:r>
      <w:r w:rsidRPr="008A42CC">
        <w:rPr>
          <w:szCs w:val="28"/>
        </w:rPr>
        <w:t xml:space="preserve">до </w:t>
      </w:r>
      <w:r>
        <w:rPr>
          <w:szCs w:val="28"/>
        </w:rPr>
        <w:t xml:space="preserve">розділу «Перелік та сутність принципів побудови системи депозитарного обліку» </w:t>
      </w:r>
      <w:r w:rsidRPr="00A2300A">
        <w:rPr>
          <w:szCs w:val="28"/>
        </w:rPr>
        <w:t>Принципів побудови системи депозитарного обліку</w:t>
      </w:r>
      <w:r>
        <w:rPr>
          <w:szCs w:val="28"/>
        </w:rPr>
        <w:t xml:space="preserve"> України</w:t>
      </w:r>
      <w:r w:rsidRPr="00FA6821">
        <w:rPr>
          <w:szCs w:val="28"/>
        </w:rPr>
        <w:t xml:space="preserve">, </w:t>
      </w:r>
      <w:r>
        <w:rPr>
          <w:szCs w:val="28"/>
        </w:rPr>
        <w:t>визначених</w:t>
      </w:r>
      <w:r w:rsidRPr="00FA6821">
        <w:rPr>
          <w:szCs w:val="28"/>
        </w:rPr>
        <w:t xml:space="preserve"> рішенням Національної комісії з цінних паперів та фондового ринку </w:t>
      </w:r>
      <w:r w:rsidRPr="00A840FF">
        <w:rPr>
          <w:szCs w:val="28"/>
        </w:rPr>
        <w:t xml:space="preserve">від 14 лютого 2013 року </w:t>
      </w:r>
      <w:r>
        <w:rPr>
          <w:szCs w:val="28"/>
        </w:rPr>
        <w:t>№</w:t>
      </w:r>
      <w:r w:rsidRPr="00A840FF">
        <w:rPr>
          <w:szCs w:val="28"/>
        </w:rPr>
        <w:t xml:space="preserve"> 198</w:t>
      </w:r>
      <w:r w:rsidRPr="00FA6821">
        <w:rPr>
          <w:szCs w:val="28"/>
        </w:rPr>
        <w:t>,</w:t>
      </w:r>
      <w:r>
        <w:rPr>
          <w:szCs w:val="28"/>
        </w:rPr>
        <w:t xml:space="preserve"> такі зміни:</w:t>
      </w: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пункти 2 – 4 викласти в такій редакції:</w:t>
      </w:r>
    </w:p>
    <w:p w:rsidR="00192742" w:rsidRPr="00D65FF8" w:rsidRDefault="00192742" w:rsidP="00D65FF8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«2. </w:t>
      </w:r>
      <w:r w:rsidRPr="00D65FF8">
        <w:rPr>
          <w:szCs w:val="28"/>
        </w:rPr>
        <w:t>Передбачення у депозитарному обліку відокремленого обліку цінних паперів, прав на цінні папери на рахунках у цінних паперах, на яких відображається обіг цінних паперів, корпоративні операції емітента, набуття, припинення та перехід прав на цінні папери та обмеження таких прав.</w:t>
      </w:r>
    </w:p>
    <w:p w:rsidR="00192742" w:rsidRPr="00E342CE" w:rsidRDefault="00192742" w:rsidP="00E342CE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3. </w:t>
      </w:r>
      <w:r w:rsidRPr="00E342CE">
        <w:rPr>
          <w:szCs w:val="28"/>
        </w:rPr>
        <w:t>Забезпечення при проведенні депозитарного обліку дотримання депозитарного балансу між обсягом отриманих Центральним депозитарієм, депозитарною установою, Національним банком України та Розрахунковим центром або кліринговою установою – у разі провадження ними депозитарної діяльності депозитарної установи (далі – депозитарна установа) депозитарних активів та розподілом цінних паперів / прав на цінні папери, що становлять ці депозитарні активи, між їх клієнтами, депонентами.</w:t>
      </w:r>
    </w:p>
    <w:p w:rsidR="00192742" w:rsidRPr="00E342CE" w:rsidRDefault="00192742" w:rsidP="00E342CE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4. </w:t>
      </w:r>
      <w:r w:rsidRPr="00E342CE">
        <w:rPr>
          <w:szCs w:val="28"/>
        </w:rPr>
        <w:t xml:space="preserve">Складання з метою звірки та контролю депозитарного балансу депозитарною установою та Центральним депозитарієм у консолідованому </w:t>
      </w:r>
      <w:r w:rsidRPr="00E342CE">
        <w:rPr>
          <w:szCs w:val="28"/>
        </w:rPr>
        <w:lastRenderedPageBreak/>
        <w:t>вигляді за всіма цінними паперами / правами на цінні папери, що обліковуються цими установами, у випадках та порядку, визначених Правилами Центрального депозитарію та внутрішніми документами цих установ. З метою перевірки відповідності обсягу отриманих зазначеними установами депозитарних активів сумарній кількості цінних паперів, прав на цінні папери, що обліковуються на рахунках їх депонентів, клієнтів, складається депозитарний баланс у консолідованому вигляді та у разі необхідності може складатися депозитарний баланс за кожним випуском цінних паперів окремо.</w:t>
      </w:r>
      <w:r>
        <w:rPr>
          <w:szCs w:val="28"/>
        </w:rPr>
        <w:t>»;</w:t>
      </w:r>
    </w:p>
    <w:p w:rsidR="00192742" w:rsidRPr="008B7FEB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пункт 7 викласти в такій редакції:</w:t>
      </w: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«</w:t>
      </w:r>
      <w:r w:rsidRPr="00B9497F">
        <w:rPr>
          <w:szCs w:val="28"/>
        </w:rPr>
        <w:t>7. Депозитарні установи при провадженні депозитарної діяльності можуть здійснювати депозитарний облік згідно плану балансових рахунків, який встановлюється правилами (стандартами) Центрального депозитарію.</w:t>
      </w:r>
      <w:r>
        <w:rPr>
          <w:szCs w:val="28"/>
        </w:rPr>
        <w:t>»;</w:t>
      </w:r>
    </w:p>
    <w:p w:rsidR="00192742" w:rsidRPr="008B7FEB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пункти 12 – 14 викласти в такій редакції:</w:t>
      </w:r>
    </w:p>
    <w:p w:rsidR="00192742" w:rsidRPr="00342FC2" w:rsidRDefault="00192742" w:rsidP="00342FC2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«</w:t>
      </w:r>
      <w:r w:rsidRPr="00342FC2">
        <w:rPr>
          <w:szCs w:val="28"/>
        </w:rPr>
        <w:t>12. Здійснення обліку цінних паперів / прав на цінні папери та їх обмежень у системі депозитарного обліку Центральним депозитарієм та депозитарними установами в порядку, встановленому Правилами та іншими внутрішніми документами Центрального депозитарія, внутрішніми документами депозитарної установи відповідно до правил (стандартів) Центрального депозитарію.</w:t>
      </w:r>
    </w:p>
    <w:p w:rsidR="00192742" w:rsidRPr="00342FC2" w:rsidRDefault="00192742" w:rsidP="00342FC2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342FC2">
        <w:rPr>
          <w:szCs w:val="28"/>
        </w:rPr>
        <w:t xml:space="preserve">У разі застосування депозитарними установами плану балансових рахунків депозитарного обліку відображення кожної облікової операції у системі депозитарного обліку подвійним обліковим записом </w:t>
      </w:r>
      <w:r w:rsidRPr="00E342CE">
        <w:rPr>
          <w:szCs w:val="28"/>
        </w:rPr>
        <w:t xml:space="preserve">– </w:t>
      </w:r>
      <w:r w:rsidRPr="00342FC2">
        <w:rPr>
          <w:szCs w:val="28"/>
        </w:rPr>
        <w:t>за дебетом одного балансового рахунку та за кредитом іншого балансового рахунку депозитарного обліку.</w:t>
      </w:r>
    </w:p>
    <w:p w:rsidR="00192742" w:rsidRPr="00342FC2" w:rsidRDefault="00192742" w:rsidP="00342FC2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342FC2">
        <w:rPr>
          <w:szCs w:val="28"/>
        </w:rPr>
        <w:t xml:space="preserve">13. Забезпечення </w:t>
      </w:r>
      <w:r>
        <w:rPr>
          <w:szCs w:val="28"/>
        </w:rPr>
        <w:t>в</w:t>
      </w:r>
      <w:r w:rsidRPr="00342FC2">
        <w:rPr>
          <w:szCs w:val="28"/>
        </w:rPr>
        <w:t xml:space="preserve"> системі депозитарного обліку відповідності кількості прав на цінні папери певного випуску на рахунках у цінних паперах депонентів, клієнтів депозитарної установи кількості цінних паперів цього випуску на рахунках цієї депозитарної установи в Центральному депозитарії</w:t>
      </w:r>
      <w:r>
        <w:rPr>
          <w:szCs w:val="28"/>
        </w:rPr>
        <w:t>,</w:t>
      </w:r>
      <w:r w:rsidRPr="00342FC2">
        <w:rPr>
          <w:szCs w:val="28"/>
        </w:rPr>
        <w:t xml:space="preserve"> Національному банку України</w:t>
      </w:r>
      <w:r>
        <w:rPr>
          <w:szCs w:val="28"/>
        </w:rPr>
        <w:t>, іноземній фінансовій установі</w:t>
      </w:r>
      <w:r w:rsidRPr="00342FC2">
        <w:rPr>
          <w:szCs w:val="28"/>
        </w:rPr>
        <w:t>.</w:t>
      </w:r>
    </w:p>
    <w:p w:rsidR="00192742" w:rsidRDefault="00192742" w:rsidP="00342FC2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342FC2">
        <w:rPr>
          <w:szCs w:val="28"/>
        </w:rPr>
        <w:t xml:space="preserve">14. Ведення обліку прав на цінні папери конкретного власника та їх обмежень виключно депозитарними установами, номінальними утримувачами чи їх клієнтами і депозитаріями-кореспондентами чи їх клієнтами, а облік та зберігання цінних паперів і облік сукупності прав за цінними паперами кожного випуску </w:t>
      </w:r>
      <w:r w:rsidRPr="00E342CE">
        <w:rPr>
          <w:szCs w:val="28"/>
        </w:rPr>
        <w:t xml:space="preserve">– </w:t>
      </w:r>
      <w:r w:rsidRPr="00342FC2">
        <w:rPr>
          <w:szCs w:val="28"/>
        </w:rPr>
        <w:t>виключно Центральним депозитарієм або Національним банком України.</w:t>
      </w:r>
      <w:r>
        <w:rPr>
          <w:szCs w:val="28"/>
        </w:rPr>
        <w:t>»;</w:t>
      </w:r>
    </w:p>
    <w:p w:rsidR="00192742" w:rsidRPr="008B7FEB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пункт 16 виключити.</w:t>
      </w: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У зв’язку з цим пункт 17 вважати пунктом 16;</w:t>
      </w:r>
    </w:p>
    <w:p w:rsidR="00192742" w:rsidRPr="008B7FEB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пункт 16 викласти в такій редакції:</w:t>
      </w:r>
    </w:p>
    <w:p w:rsidR="00192742" w:rsidRPr="00524AE4" w:rsidRDefault="00192742" w:rsidP="00524AE4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</w:rPr>
        <w:t>«16</w:t>
      </w:r>
      <w:r w:rsidRPr="00524AE4">
        <w:rPr>
          <w:szCs w:val="28"/>
        </w:rPr>
        <w:t>. Ведення депозитарною установою обліку прав на цінні папери, що належать цій депозитарній установі як юридичній особі, окремо від обліку прав на цінні папери, що н</w:t>
      </w:r>
      <w:r>
        <w:rPr>
          <w:szCs w:val="28"/>
        </w:rPr>
        <w:t>алежать її депонентам, клієнтам</w:t>
      </w:r>
      <w:r w:rsidRPr="00524AE4">
        <w:rPr>
          <w:szCs w:val="28"/>
        </w:rPr>
        <w:t xml:space="preserve"> (клієнтам клієнтів) номінальних утримувачів, кредиторам </w:t>
      </w:r>
      <w:r w:rsidRPr="00E342CE">
        <w:rPr>
          <w:szCs w:val="28"/>
        </w:rPr>
        <w:t xml:space="preserve">– </w:t>
      </w:r>
      <w:r w:rsidRPr="00524AE4">
        <w:rPr>
          <w:szCs w:val="28"/>
        </w:rPr>
        <w:t>у разі зарахування цінних паперів на депозит нотаріуса.</w:t>
      </w:r>
      <w:r>
        <w:rPr>
          <w:szCs w:val="28"/>
        </w:rPr>
        <w:t>».</w:t>
      </w:r>
    </w:p>
    <w:p w:rsidR="00192742" w:rsidRPr="004120BB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0B07EC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 w:val="24"/>
          <w:szCs w:val="24"/>
        </w:rPr>
      </w:pPr>
      <w:r w:rsidRPr="000B07EC">
        <w:rPr>
          <w:szCs w:val="28"/>
        </w:rPr>
        <w:lastRenderedPageBreak/>
        <w:t>2. Департаменту методології регулювання професійних учасників ринку цінних паперів (Курочкіна І.) забезпечити оприлюднення цього рішення на офіційному веб-сайті Національної комісії з цінних паперів та фондового ринку.</w:t>
      </w:r>
    </w:p>
    <w:p w:rsidR="00192742" w:rsidRPr="000B07EC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8A42CC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>
        <w:rPr>
          <w:szCs w:val="28"/>
          <w:lang w:val="ru-RU"/>
        </w:rPr>
        <w:t>3</w:t>
      </w:r>
      <w:r w:rsidRPr="000B07EC">
        <w:rPr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0B07EC">
        <w:rPr>
          <w:szCs w:val="28"/>
        </w:rPr>
        <w:t>Тарабакіна</w:t>
      </w:r>
      <w:proofErr w:type="spellEnd"/>
      <w:r w:rsidRPr="000B07EC">
        <w:rPr>
          <w:szCs w:val="28"/>
        </w:rPr>
        <w:t xml:space="preserve"> Д.</w:t>
      </w:r>
    </w:p>
    <w:p w:rsidR="00192742" w:rsidRPr="008A42CC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8A42CC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8A42CC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8A42CC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64342F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64342F"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4342F">
        <w:rPr>
          <w:szCs w:val="28"/>
        </w:rPr>
        <w:tab/>
      </w:r>
      <w:r w:rsidRPr="0064342F">
        <w:rPr>
          <w:szCs w:val="28"/>
        </w:rPr>
        <w:tab/>
        <w:t xml:space="preserve">Т. </w:t>
      </w:r>
      <w:proofErr w:type="spellStart"/>
      <w:r w:rsidRPr="0064342F">
        <w:rPr>
          <w:szCs w:val="28"/>
        </w:rPr>
        <w:t>Хромаєв</w:t>
      </w:r>
      <w:proofErr w:type="spellEnd"/>
    </w:p>
    <w:p w:rsidR="00192742" w:rsidRPr="0064342F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64342F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64342F" w:rsidRDefault="0019274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64342F" w:rsidRDefault="00192742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64342F" w:rsidRDefault="00192742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Pr="0064342F" w:rsidRDefault="00192742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192742" w:rsidRPr="00052414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  <w:r w:rsidRPr="00052414">
        <w:rPr>
          <w:sz w:val="24"/>
          <w:szCs w:val="24"/>
        </w:rPr>
        <w:t>Протокол засідання Комісії</w:t>
      </w:r>
    </w:p>
    <w:p w:rsidR="00192742" w:rsidRPr="00052414" w:rsidRDefault="00192742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  <w:r w:rsidRPr="00052414">
        <w:rPr>
          <w:sz w:val="24"/>
          <w:szCs w:val="24"/>
        </w:rPr>
        <w:t xml:space="preserve">від </w:t>
      </w:r>
      <w:r>
        <w:rPr>
          <w:sz w:val="24"/>
          <w:szCs w:val="24"/>
        </w:rPr>
        <w:t>23.05.</w:t>
      </w:r>
      <w:r w:rsidRPr="0005241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52414">
        <w:rPr>
          <w:sz w:val="24"/>
          <w:szCs w:val="24"/>
        </w:rPr>
        <w:t xml:space="preserve"> № </w:t>
      </w:r>
      <w:r>
        <w:rPr>
          <w:sz w:val="24"/>
          <w:szCs w:val="24"/>
        </w:rPr>
        <w:t>32</w:t>
      </w:r>
    </w:p>
    <w:p w:rsidR="00192742" w:rsidRPr="0064342F" w:rsidRDefault="00192742" w:rsidP="00052414">
      <w:pPr>
        <w:pStyle w:val="a7"/>
        <w:tabs>
          <w:tab w:val="clear" w:pos="709"/>
          <w:tab w:val="left" w:pos="0"/>
          <w:tab w:val="left" w:pos="1134"/>
        </w:tabs>
        <w:ind w:left="6237"/>
        <w:rPr>
          <w:szCs w:val="28"/>
        </w:rPr>
      </w:pPr>
    </w:p>
    <w:sectPr w:rsidR="00192742" w:rsidRPr="0064342F" w:rsidSect="00DB6A54">
      <w:headerReference w:type="default" r:id="rId7"/>
      <w:headerReference w:type="first" r:id="rId8"/>
      <w:pgSz w:w="11906" w:h="16838"/>
      <w:pgMar w:top="993" w:right="849" w:bottom="709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81" w:rsidRDefault="00F87A81" w:rsidP="004D3747">
      <w:pPr>
        <w:spacing w:after="0" w:line="240" w:lineRule="auto"/>
      </w:pPr>
      <w:r>
        <w:separator/>
      </w:r>
    </w:p>
  </w:endnote>
  <w:endnote w:type="continuationSeparator" w:id="0">
    <w:p w:rsidR="00F87A81" w:rsidRDefault="00F87A81" w:rsidP="004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81" w:rsidRDefault="00F87A81" w:rsidP="004D3747">
      <w:pPr>
        <w:spacing w:after="0" w:line="240" w:lineRule="auto"/>
      </w:pPr>
      <w:r>
        <w:separator/>
      </w:r>
    </w:p>
  </w:footnote>
  <w:footnote w:type="continuationSeparator" w:id="0">
    <w:p w:rsidR="00F87A81" w:rsidRDefault="00F87A81" w:rsidP="004D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42" w:rsidRDefault="00192742" w:rsidP="009D516E">
    <w:pPr>
      <w:pStyle w:val="a3"/>
      <w:jc w:val="center"/>
    </w:pPr>
  </w:p>
  <w:p w:rsidR="00192742" w:rsidRDefault="00192742" w:rsidP="009D516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42" w:rsidRDefault="00192742">
    <w:pPr>
      <w:pStyle w:val="a3"/>
      <w:jc w:val="center"/>
    </w:pPr>
  </w:p>
  <w:p w:rsidR="00192742" w:rsidRDefault="00192742">
    <w:pPr>
      <w:pStyle w:val="a3"/>
      <w:jc w:val="center"/>
    </w:pPr>
  </w:p>
  <w:p w:rsidR="00192742" w:rsidRDefault="00192742" w:rsidP="00786E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C"/>
    <w:rsid w:val="00014F14"/>
    <w:rsid w:val="00020595"/>
    <w:rsid w:val="00033061"/>
    <w:rsid w:val="000353C3"/>
    <w:rsid w:val="000353CC"/>
    <w:rsid w:val="00052414"/>
    <w:rsid w:val="00054C5E"/>
    <w:rsid w:val="00056768"/>
    <w:rsid w:val="00094DF7"/>
    <w:rsid w:val="000B07EC"/>
    <w:rsid w:val="000C7123"/>
    <w:rsid w:val="00101958"/>
    <w:rsid w:val="00125524"/>
    <w:rsid w:val="00151254"/>
    <w:rsid w:val="00167ADD"/>
    <w:rsid w:val="00170C15"/>
    <w:rsid w:val="001817DB"/>
    <w:rsid w:val="00192742"/>
    <w:rsid w:val="001B329F"/>
    <w:rsid w:val="001C5C5B"/>
    <w:rsid w:val="001E1BAF"/>
    <w:rsid w:val="00200228"/>
    <w:rsid w:val="00216C54"/>
    <w:rsid w:val="00217198"/>
    <w:rsid w:val="00221544"/>
    <w:rsid w:val="0022696F"/>
    <w:rsid w:val="002326EA"/>
    <w:rsid w:val="00240653"/>
    <w:rsid w:val="002438EA"/>
    <w:rsid w:val="00245219"/>
    <w:rsid w:val="00275B45"/>
    <w:rsid w:val="0027626B"/>
    <w:rsid w:val="0027697C"/>
    <w:rsid w:val="00277C2A"/>
    <w:rsid w:val="00290FB2"/>
    <w:rsid w:val="00294FE3"/>
    <w:rsid w:val="002C0CF0"/>
    <w:rsid w:val="002D2488"/>
    <w:rsid w:val="002E4541"/>
    <w:rsid w:val="002E7040"/>
    <w:rsid w:val="00301A1C"/>
    <w:rsid w:val="00342FC2"/>
    <w:rsid w:val="003557EF"/>
    <w:rsid w:val="003711FE"/>
    <w:rsid w:val="00375097"/>
    <w:rsid w:val="003C22FD"/>
    <w:rsid w:val="004120BB"/>
    <w:rsid w:val="00455E16"/>
    <w:rsid w:val="004C61A3"/>
    <w:rsid w:val="004D03A7"/>
    <w:rsid w:val="004D3747"/>
    <w:rsid w:val="004D3FBB"/>
    <w:rsid w:val="004D4A95"/>
    <w:rsid w:val="004D7545"/>
    <w:rsid w:val="004F7E8F"/>
    <w:rsid w:val="005105EB"/>
    <w:rsid w:val="00524AE4"/>
    <w:rsid w:val="00525C42"/>
    <w:rsid w:val="005A58AF"/>
    <w:rsid w:val="005C0257"/>
    <w:rsid w:val="00613FE0"/>
    <w:rsid w:val="00623331"/>
    <w:rsid w:val="0062507D"/>
    <w:rsid w:val="00641DD8"/>
    <w:rsid w:val="0064342F"/>
    <w:rsid w:val="00645C52"/>
    <w:rsid w:val="006478F8"/>
    <w:rsid w:val="00667858"/>
    <w:rsid w:val="00667ADE"/>
    <w:rsid w:val="006845D2"/>
    <w:rsid w:val="006A6EEE"/>
    <w:rsid w:val="0070210B"/>
    <w:rsid w:val="007172D0"/>
    <w:rsid w:val="00717B87"/>
    <w:rsid w:val="00727481"/>
    <w:rsid w:val="0074208B"/>
    <w:rsid w:val="00786E0E"/>
    <w:rsid w:val="0079125D"/>
    <w:rsid w:val="00791761"/>
    <w:rsid w:val="007E2073"/>
    <w:rsid w:val="00823513"/>
    <w:rsid w:val="008645D9"/>
    <w:rsid w:val="00875001"/>
    <w:rsid w:val="00892FC3"/>
    <w:rsid w:val="008A42CC"/>
    <w:rsid w:val="008B7FEB"/>
    <w:rsid w:val="00910D6F"/>
    <w:rsid w:val="00925F66"/>
    <w:rsid w:val="00936B30"/>
    <w:rsid w:val="009C325B"/>
    <w:rsid w:val="009C6DBA"/>
    <w:rsid w:val="009D516E"/>
    <w:rsid w:val="00A2300A"/>
    <w:rsid w:val="00A3574E"/>
    <w:rsid w:val="00A442D9"/>
    <w:rsid w:val="00A80131"/>
    <w:rsid w:val="00A82851"/>
    <w:rsid w:val="00A840FF"/>
    <w:rsid w:val="00AA0904"/>
    <w:rsid w:val="00AB258F"/>
    <w:rsid w:val="00AB5D26"/>
    <w:rsid w:val="00AB7B55"/>
    <w:rsid w:val="00AC2DF3"/>
    <w:rsid w:val="00B13D73"/>
    <w:rsid w:val="00B33529"/>
    <w:rsid w:val="00B33687"/>
    <w:rsid w:val="00B434EE"/>
    <w:rsid w:val="00B43D9D"/>
    <w:rsid w:val="00B72A32"/>
    <w:rsid w:val="00B90A6E"/>
    <w:rsid w:val="00B9497F"/>
    <w:rsid w:val="00BB62D8"/>
    <w:rsid w:val="00C0368B"/>
    <w:rsid w:val="00C261D7"/>
    <w:rsid w:val="00C41E86"/>
    <w:rsid w:val="00C67232"/>
    <w:rsid w:val="00C80B5F"/>
    <w:rsid w:val="00C85FCC"/>
    <w:rsid w:val="00CA26DD"/>
    <w:rsid w:val="00CA3253"/>
    <w:rsid w:val="00CA69B8"/>
    <w:rsid w:val="00CC67BA"/>
    <w:rsid w:val="00CD2E89"/>
    <w:rsid w:val="00D45BCE"/>
    <w:rsid w:val="00D46C2A"/>
    <w:rsid w:val="00D476CD"/>
    <w:rsid w:val="00D65FF8"/>
    <w:rsid w:val="00DA3DAC"/>
    <w:rsid w:val="00DB2A7F"/>
    <w:rsid w:val="00DB6A54"/>
    <w:rsid w:val="00DC60A9"/>
    <w:rsid w:val="00DF7658"/>
    <w:rsid w:val="00E0563E"/>
    <w:rsid w:val="00E342CE"/>
    <w:rsid w:val="00E36811"/>
    <w:rsid w:val="00E479A4"/>
    <w:rsid w:val="00EA0E3C"/>
    <w:rsid w:val="00EC1CA0"/>
    <w:rsid w:val="00ED31FC"/>
    <w:rsid w:val="00EF5E41"/>
    <w:rsid w:val="00F029B1"/>
    <w:rsid w:val="00F20EBB"/>
    <w:rsid w:val="00F470F9"/>
    <w:rsid w:val="00F576C8"/>
    <w:rsid w:val="00F66791"/>
    <w:rsid w:val="00F81D17"/>
    <w:rsid w:val="00F87A81"/>
    <w:rsid w:val="00F90918"/>
    <w:rsid w:val="00F90BD4"/>
    <w:rsid w:val="00FA6821"/>
    <w:rsid w:val="00FC2AF9"/>
    <w:rsid w:val="00FC7B7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FC10C6-2096-484D-BB03-83ADD0C5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C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4D3747"/>
    <w:rPr>
      <w:rFonts w:cs="Times New Roman"/>
    </w:rPr>
  </w:style>
  <w:style w:type="paragraph" w:styleId="a5">
    <w:name w:val="footer"/>
    <w:basedOn w:val="a"/>
    <w:link w:val="a6"/>
    <w:uiPriority w:val="99"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4D3747"/>
    <w:rPr>
      <w:rFonts w:cs="Times New Roman"/>
    </w:rPr>
  </w:style>
  <w:style w:type="paragraph" w:styleId="a7">
    <w:name w:val="Body Text"/>
    <w:basedOn w:val="a"/>
    <w:link w:val="a8"/>
    <w:uiPriority w:val="99"/>
    <w:rsid w:val="0064342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ий текст Знак"/>
    <w:basedOn w:val="a0"/>
    <w:link w:val="a7"/>
    <w:uiPriority w:val="99"/>
    <w:locked/>
    <w:rsid w:val="006434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rsid w:val="00342FC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3089</Words>
  <Characters>1762</Characters>
  <Application>Microsoft Office Word</Application>
  <DocSecurity>0</DocSecurity>
  <Lines>14</Lines>
  <Paragraphs>9</Paragraphs>
  <ScaleCrop>false</ScaleCrop>
  <Company>NSSMC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Омельченко</dc:creator>
  <cp:keywords/>
  <dc:description/>
  <cp:lastModifiedBy>Нінель Черноморченко</cp:lastModifiedBy>
  <cp:revision>2</cp:revision>
  <cp:lastPrinted>2019-05-17T13:48:00Z</cp:lastPrinted>
  <dcterms:created xsi:type="dcterms:W3CDTF">2019-05-24T06:21:00Z</dcterms:created>
  <dcterms:modified xsi:type="dcterms:W3CDTF">2019-05-24T06:21:00Z</dcterms:modified>
</cp:coreProperties>
</file>