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CA6EF8">
              <w:rPr>
                <w:rStyle w:val="a4"/>
              </w:rPr>
              <w:t>травень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</w:t>
            </w:r>
            <w:r w:rsidR="007B0CD7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CA6EF8">
              <w:t>ротягом травня</w:t>
            </w:r>
            <w:r w:rsidR="007B0CD7">
              <w:t xml:space="preserve"> 2019</w:t>
            </w:r>
            <w:r w:rsidR="003D1544">
              <w:t xml:space="preserve"> року до централ</w:t>
            </w:r>
            <w:r w:rsidR="00F73778">
              <w:t xml:space="preserve">ьного апарату Комісії надійшло </w:t>
            </w:r>
            <w:r w:rsidR="004942D8">
              <w:t>3</w:t>
            </w:r>
            <w:r w:rsidR="005835F7">
              <w:t>6</w:t>
            </w:r>
            <w:r w:rsidR="00D00B8A">
              <w:t xml:space="preserve">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4942D8" w:rsidP="003D1544">
            <w:pPr>
              <w:numPr>
                <w:ilvl w:val="0"/>
                <w:numId w:val="1"/>
              </w:numPr>
            </w:pPr>
            <w:r>
              <w:t>від фізичних осіб - 19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5835F7">
              <w:t>1</w:t>
            </w:r>
            <w:r w:rsidR="004942D8">
              <w:t>7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55D6E"/>
    <w:rsid w:val="001966D8"/>
    <w:rsid w:val="002C2B97"/>
    <w:rsid w:val="002C5DB5"/>
    <w:rsid w:val="00317EE5"/>
    <w:rsid w:val="003B3D6B"/>
    <w:rsid w:val="003D1544"/>
    <w:rsid w:val="003F50E8"/>
    <w:rsid w:val="004942D8"/>
    <w:rsid w:val="005835F7"/>
    <w:rsid w:val="006751EC"/>
    <w:rsid w:val="00686ED3"/>
    <w:rsid w:val="0070567D"/>
    <w:rsid w:val="007A243D"/>
    <w:rsid w:val="007B0CD7"/>
    <w:rsid w:val="007D0530"/>
    <w:rsid w:val="00824264"/>
    <w:rsid w:val="00914D17"/>
    <w:rsid w:val="00AA157C"/>
    <w:rsid w:val="00B237B8"/>
    <w:rsid w:val="00B73BBE"/>
    <w:rsid w:val="00B7515E"/>
    <w:rsid w:val="00B90D56"/>
    <w:rsid w:val="00CA6EF8"/>
    <w:rsid w:val="00CE3891"/>
    <w:rsid w:val="00D00B8A"/>
    <w:rsid w:val="00D67678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2019-06-25T13:45:00Z</dcterms:created>
  <dcterms:modified xsi:type="dcterms:W3CDTF">2019-06-25T13:45:00Z</dcterms:modified>
</cp:coreProperties>
</file>