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5245" w:type="dxa"/>
        <w:tblLayout w:type="fixed"/>
        <w:tblLook w:val="04A0" w:firstRow="1" w:lastRow="0" w:firstColumn="1" w:lastColumn="0" w:noHBand="0" w:noVBand="1"/>
      </w:tblPr>
      <w:tblGrid>
        <w:gridCol w:w="4819"/>
      </w:tblGrid>
      <w:tr w:rsidR="000F68D2" w:rsidTr="000F68D2">
        <w:tc>
          <w:tcPr>
            <w:tcW w:w="4819" w:type="dxa"/>
          </w:tcPr>
          <w:p w:rsidR="000F68D2" w:rsidRDefault="000F68D2" w:rsidP="00F42B2D">
            <w:pPr>
              <w:jc w:val="both"/>
              <w:rPr>
                <w:rFonts w:ascii="Calibri" w:eastAsia="Calibri" w:hAnsi="Calibri"/>
                <w:sz w:val="22"/>
                <w:szCs w:val="22"/>
                <w:lang w:eastAsia="en-US"/>
              </w:rPr>
            </w:pPr>
            <w:bookmarkStart w:id="0" w:name="_GoBack"/>
            <w:bookmarkEnd w:id="0"/>
          </w:p>
          <w:p w:rsidR="00F42B2D" w:rsidRDefault="00F42B2D" w:rsidP="00F42B2D">
            <w:pPr>
              <w:jc w:val="both"/>
              <w:rPr>
                <w:rFonts w:eastAsia="Calibri"/>
                <w:sz w:val="24"/>
                <w:szCs w:val="22"/>
                <w:lang w:eastAsia="en-US"/>
              </w:rPr>
            </w:pPr>
          </w:p>
          <w:p w:rsidR="00F42B2D" w:rsidRDefault="000F68D2" w:rsidP="00F42B2D">
            <w:pPr>
              <w:jc w:val="both"/>
              <w:rPr>
                <w:rFonts w:eastAsia="Calibri"/>
                <w:sz w:val="24"/>
                <w:szCs w:val="22"/>
                <w:lang w:eastAsia="en-US"/>
              </w:rPr>
            </w:pPr>
            <w:r>
              <w:rPr>
                <w:rFonts w:eastAsia="Calibri"/>
                <w:sz w:val="24"/>
                <w:szCs w:val="22"/>
                <w:lang w:eastAsia="en-US"/>
              </w:rPr>
              <w:t>Додаток 15</w:t>
            </w:r>
          </w:p>
          <w:p w:rsidR="00F42B2D" w:rsidRDefault="000F68D2" w:rsidP="00F42B2D">
            <w:pPr>
              <w:jc w:val="both"/>
              <w:rPr>
                <w:rFonts w:eastAsia="Calibri"/>
                <w:sz w:val="24"/>
                <w:szCs w:val="22"/>
                <w:lang w:eastAsia="en-US"/>
              </w:rPr>
            </w:pPr>
            <w:r>
              <w:rPr>
                <w:rFonts w:eastAsia="Calibri"/>
                <w:sz w:val="24"/>
                <w:szCs w:val="22"/>
                <w:lang w:eastAsia="en-US"/>
              </w:rPr>
              <w:t>до Положення про порядок складання та подання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p>
          <w:p w:rsidR="000F68D2" w:rsidRPr="00F42B2D" w:rsidRDefault="000F68D2" w:rsidP="00F42B2D">
            <w:pPr>
              <w:jc w:val="both"/>
              <w:rPr>
                <w:rFonts w:eastAsia="Calibri"/>
                <w:sz w:val="24"/>
                <w:szCs w:val="22"/>
                <w:lang w:eastAsia="en-US"/>
              </w:rPr>
            </w:pPr>
            <w:r>
              <w:rPr>
                <w:rFonts w:eastAsia="Calibri"/>
                <w:sz w:val="24"/>
                <w:szCs w:val="22"/>
                <w:lang w:eastAsia="en-US"/>
              </w:rPr>
              <w:t>(підпункт 4.5 пункту 4 глави 1 розділу III)</w:t>
            </w:r>
          </w:p>
        </w:tc>
      </w:tr>
    </w:tbl>
    <w:p w:rsidR="000F68D2" w:rsidRDefault="000F68D2" w:rsidP="000F68D2">
      <w:pPr>
        <w:spacing w:after="160" w:line="256" w:lineRule="auto"/>
        <w:rPr>
          <w:rFonts w:ascii="Calibri" w:eastAsia="Calibri" w:hAnsi="Calibri"/>
          <w:sz w:val="24"/>
          <w:szCs w:val="22"/>
          <w:lang w:eastAsia="en-US"/>
        </w:rPr>
      </w:pPr>
    </w:p>
    <w:p w:rsidR="000F68D2" w:rsidRDefault="000F68D2" w:rsidP="000F68D2">
      <w:pPr>
        <w:spacing w:after="160" w:line="256" w:lineRule="auto"/>
        <w:rPr>
          <w:rFonts w:ascii="Calibri" w:eastAsia="Calibri" w:hAnsi="Calibri"/>
          <w:szCs w:val="22"/>
          <w:lang w:eastAsia="en-US"/>
        </w:rPr>
      </w:pPr>
    </w:p>
    <w:p w:rsidR="000F68D2" w:rsidRDefault="000F68D2" w:rsidP="000F68D2">
      <w:pPr>
        <w:spacing w:after="160" w:line="256" w:lineRule="auto"/>
        <w:ind w:left="709"/>
        <w:rPr>
          <w:rFonts w:ascii="Calibri" w:eastAsia="Calibri" w:hAnsi="Calibri"/>
          <w:sz w:val="22"/>
          <w:szCs w:val="22"/>
          <w:lang w:eastAsia="en-US"/>
        </w:rPr>
      </w:pPr>
    </w:p>
    <w:p w:rsidR="000F68D2" w:rsidRPr="0012465B" w:rsidRDefault="000F68D2" w:rsidP="000F68D2">
      <w:pPr>
        <w:spacing w:after="160" w:line="256" w:lineRule="auto"/>
        <w:jc w:val="center"/>
        <w:rPr>
          <w:rFonts w:eastAsia="Calibri"/>
          <w:b/>
          <w:sz w:val="28"/>
          <w:szCs w:val="28"/>
          <w:vertAlign w:val="superscript"/>
          <w:lang w:eastAsia="en-US"/>
        </w:rPr>
      </w:pPr>
      <w:r>
        <w:rPr>
          <w:rFonts w:eastAsia="Calibri"/>
          <w:b/>
          <w:sz w:val="28"/>
          <w:szCs w:val="28"/>
          <w:lang w:eastAsia="en-US"/>
        </w:rPr>
        <w:t xml:space="preserve">Довідка про подані безадресні заявки на продаж цінних паперів, </w:t>
      </w:r>
      <w:r>
        <w:rPr>
          <w:rFonts w:eastAsia="Calibri"/>
          <w:b/>
          <w:color w:val="000000"/>
          <w:sz w:val="28"/>
          <w:szCs w:val="28"/>
          <w:lang w:eastAsia="en-US"/>
        </w:rPr>
        <w:t xml:space="preserve">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Pr>
          <w:rFonts w:eastAsia="Calibri"/>
          <w:b/>
          <w:sz w:val="28"/>
          <w:szCs w:val="28"/>
          <w:lang w:eastAsia="en-US"/>
        </w:rPr>
        <w:t>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r w:rsidR="0012465B">
        <w:rPr>
          <w:rFonts w:eastAsia="Calibri"/>
          <w:b/>
          <w:sz w:val="28"/>
          <w:szCs w:val="28"/>
          <w:lang w:eastAsia="en-US"/>
        </w:rPr>
        <w:t xml:space="preserve"> </w:t>
      </w:r>
      <w:r w:rsidR="0012465B">
        <w:rPr>
          <w:rFonts w:eastAsia="Calibri"/>
          <w:b/>
          <w:sz w:val="28"/>
          <w:szCs w:val="28"/>
          <w:vertAlign w:val="superscript"/>
          <w:lang w:eastAsia="en-US"/>
        </w:rPr>
        <w:t>1</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Ідентифікаційний код організатора торгівлі</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Дата, станом на яку складено Дані</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Дата подання заявки</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Час подання заявки</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 xml:space="preserve">Найменування емітента цінних паперів </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Ідентифікаційний код</w:t>
            </w:r>
            <w:r>
              <w:rPr>
                <w:szCs w:val="28"/>
              </w:rPr>
              <w:t xml:space="preserve"> </w:t>
            </w:r>
            <w:r>
              <w:rPr>
                <w:sz w:val="24"/>
                <w:szCs w:val="24"/>
                <w:lang w:eastAsia="uk-UA"/>
              </w:rPr>
              <w:t xml:space="preserve">емітента цінних паперів </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12465B">
            <w:pPr>
              <w:spacing w:after="240"/>
              <w:rPr>
                <w:sz w:val="24"/>
                <w:szCs w:val="24"/>
                <w:lang w:eastAsia="uk-UA"/>
              </w:rPr>
            </w:pPr>
            <w:r>
              <w:rPr>
                <w:sz w:val="24"/>
                <w:szCs w:val="24"/>
                <w:lang w:eastAsia="uk-UA"/>
              </w:rPr>
              <w:t>Класифікація цінного паперу</w:t>
            </w:r>
            <w:r>
              <w:rPr>
                <w:sz w:val="24"/>
                <w:szCs w:val="24"/>
                <w:vertAlign w:val="superscript"/>
                <w:lang w:eastAsia="uk-UA"/>
              </w:rPr>
              <w:t xml:space="preserve"> </w:t>
            </w:r>
            <w:r w:rsidR="0012465B">
              <w:rPr>
                <w:sz w:val="24"/>
                <w:szCs w:val="24"/>
                <w:vertAlign w:val="superscript"/>
                <w:lang w:eastAsia="uk-UA"/>
              </w:rPr>
              <w:t>2</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val="ru-RU" w:eastAsia="uk-UA"/>
              </w:rPr>
              <w:t>Код</w:t>
            </w:r>
            <w:r>
              <w:rPr>
                <w:sz w:val="24"/>
                <w:szCs w:val="24"/>
                <w:lang w:eastAsia="uk-UA"/>
              </w:rPr>
              <w:t xml:space="preserve"> класифікації фінансового інструменту (код</w:t>
            </w:r>
            <w:r>
              <w:rPr>
                <w:sz w:val="24"/>
                <w:szCs w:val="24"/>
                <w:lang w:val="ru-RU" w:eastAsia="uk-UA"/>
              </w:rPr>
              <w:t xml:space="preserve"> </w:t>
            </w:r>
            <w:r>
              <w:rPr>
                <w:sz w:val="24"/>
                <w:szCs w:val="24"/>
                <w:lang w:val="en-US" w:eastAsia="uk-UA"/>
              </w:rPr>
              <w:t>CFI</w:t>
            </w:r>
            <w:r>
              <w:rPr>
                <w:sz w:val="24"/>
                <w:szCs w:val="24"/>
                <w:lang w:eastAsia="uk-UA"/>
              </w:rPr>
              <w:t>)</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Міжнародний ідентифікаційний номер цінного папера або код іншого, ніж цінний папір, фінансового інструменту</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12465B">
            <w:pPr>
              <w:spacing w:after="240"/>
              <w:rPr>
                <w:sz w:val="24"/>
                <w:szCs w:val="24"/>
                <w:lang w:eastAsia="uk-UA"/>
              </w:rPr>
            </w:pPr>
            <w:r>
              <w:rPr>
                <w:sz w:val="24"/>
                <w:szCs w:val="24"/>
                <w:lang w:eastAsia="uk-UA"/>
              </w:rPr>
              <w:t>Вид ринку</w:t>
            </w:r>
            <w:r>
              <w:rPr>
                <w:sz w:val="24"/>
                <w:szCs w:val="24"/>
                <w:vertAlign w:val="superscript"/>
                <w:lang w:eastAsia="uk-UA"/>
              </w:rPr>
              <w:t xml:space="preserve"> </w:t>
            </w:r>
            <w:r w:rsidR="0012465B">
              <w:rPr>
                <w:sz w:val="24"/>
                <w:szCs w:val="24"/>
                <w:vertAlign w:val="superscript"/>
                <w:lang w:eastAsia="uk-UA"/>
              </w:rPr>
              <w:t>3</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Технологія проведення торгів</w:t>
            </w:r>
            <w:r w:rsidR="0012465B">
              <w:rPr>
                <w:sz w:val="24"/>
                <w:szCs w:val="24"/>
                <w:vertAlign w:val="superscript"/>
                <w:lang w:eastAsia="uk-UA"/>
              </w:rPr>
              <w:t xml:space="preserve"> 4</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Види ринку за характером проведення операцій</w:t>
            </w:r>
            <w:r w:rsidR="0012465B">
              <w:rPr>
                <w:sz w:val="24"/>
                <w:szCs w:val="24"/>
                <w:vertAlign w:val="superscript"/>
                <w:lang w:eastAsia="uk-UA"/>
              </w:rPr>
              <w:t xml:space="preserve"> 5</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Торговець. Ідентифікаційний код торговця цінними паперами. У разі первинного розміщення емітентом його цінних паперів вказується ідентифікаційний код емітента цінних паперів. Якщо стороною біржового контракту відповідно до законодавства виступає державний орган, вказується його ідентифікаційний код</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lastRenderedPageBreak/>
              <w:t>Клієнт, в інтересах якого виступає торговець: вид особи (юридична особа - резидент або інститут спільного інвестування - "1", юридична особа - нерезидент - "2", фізична особа - резидент - "3", фізична особа - нерезидент - "4", торговець цінними паперами - "5")</w:t>
            </w:r>
            <w:r>
              <w:rPr>
                <w:sz w:val="24"/>
                <w:szCs w:val="24"/>
                <w:vertAlign w:val="superscript"/>
                <w:lang w:eastAsia="uk-UA"/>
              </w:rPr>
              <w:t xml:space="preserve"> </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Клієнт, в інтересах якого виступає торговець: ідентифікаційний код юридичної особи, реєстраційний код за ЄДРІСІ інституту спільного інвестування,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Pr>
                <w:sz w:val="24"/>
                <w:szCs w:val="24"/>
                <w:vertAlign w:val="superscript"/>
                <w:lang w:eastAsia="uk-UA"/>
              </w:rPr>
              <w:t xml:space="preserve"> </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Клієнт, в інтересах якого виступає торговець: П. І. Б. фізичної особи, найменування юридичної особи, найменування інституту спільного інвестування</w:t>
            </w:r>
            <w:r>
              <w:rPr>
                <w:sz w:val="24"/>
                <w:szCs w:val="24"/>
                <w:vertAlign w:val="superscript"/>
                <w:lang w:eastAsia="uk-UA"/>
              </w:rPr>
              <w:t xml:space="preserve"> </w:t>
            </w:r>
          </w:p>
        </w:tc>
      </w:tr>
      <w:tr w:rsidR="000F68D2" w:rsidTr="000F68D2">
        <w:tc>
          <w:tcPr>
            <w:tcW w:w="5000" w:type="pct"/>
            <w:tcBorders>
              <w:top w:val="single" w:sz="4" w:space="0" w:color="auto"/>
              <w:left w:val="single" w:sz="4" w:space="0" w:color="auto"/>
              <w:bottom w:val="single" w:sz="4" w:space="0" w:color="auto"/>
              <w:right w:val="single" w:sz="4" w:space="0" w:color="auto"/>
            </w:tcBorders>
            <w:hideMark/>
          </w:tcPr>
          <w:p w:rsidR="000F68D2" w:rsidRDefault="000F68D2" w:rsidP="007C3D22">
            <w:pPr>
              <w:spacing w:after="240"/>
              <w:rPr>
                <w:sz w:val="24"/>
                <w:szCs w:val="24"/>
                <w:lang w:eastAsia="uk-UA"/>
              </w:rPr>
            </w:pPr>
            <w:r>
              <w:rPr>
                <w:sz w:val="24"/>
                <w:szCs w:val="24"/>
                <w:lang w:eastAsia="uk-UA"/>
              </w:rPr>
              <w:t>Клієнт, в інтересах якого виступає торговець: країна реєстрації</w:t>
            </w:r>
            <w:r w:rsidR="0012465B">
              <w:rPr>
                <w:sz w:val="24"/>
                <w:szCs w:val="24"/>
                <w:vertAlign w:val="superscript"/>
                <w:lang w:eastAsia="uk-UA"/>
              </w:rPr>
              <w:t xml:space="preserve"> 6</w:t>
            </w:r>
          </w:p>
        </w:tc>
      </w:tr>
    </w:tbl>
    <w:p w:rsidR="000F68D2" w:rsidRDefault="000F68D2" w:rsidP="000F68D2">
      <w:pPr>
        <w:rPr>
          <w:sz w:val="24"/>
          <w:szCs w:val="24"/>
          <w:lang w:eastAsia="uk-UA"/>
        </w:rPr>
      </w:pPr>
    </w:p>
    <w:p w:rsidR="000F68D2" w:rsidRDefault="000F68D2" w:rsidP="000F68D2">
      <w:pPr>
        <w:rPr>
          <w:sz w:val="24"/>
          <w:szCs w:val="24"/>
          <w:lang w:eastAsia="uk-UA"/>
        </w:rPr>
      </w:pPr>
      <w:r>
        <w:rPr>
          <w:sz w:val="24"/>
          <w:szCs w:val="24"/>
          <w:lang w:eastAsia="uk-UA"/>
        </w:rPr>
        <w:t>_________</w:t>
      </w:r>
    </w:p>
    <w:p w:rsidR="000F68D2" w:rsidRDefault="000F68D2" w:rsidP="000F68D2">
      <w:pPr>
        <w:rPr>
          <w:color w:val="000000"/>
          <w:sz w:val="24"/>
          <w:szCs w:val="24"/>
          <w:vertAlign w:val="superscript"/>
          <w:lang w:eastAsia="uk-UA"/>
        </w:rPr>
      </w:pPr>
    </w:p>
    <w:p w:rsidR="0012465B" w:rsidRPr="00C359A2" w:rsidRDefault="0012465B" w:rsidP="00C359A2">
      <w:pPr>
        <w:jc w:val="both"/>
        <w:rPr>
          <w:sz w:val="24"/>
          <w:szCs w:val="24"/>
        </w:rPr>
      </w:pPr>
      <w:r w:rsidRPr="00C359A2">
        <w:rPr>
          <w:color w:val="000000"/>
          <w:sz w:val="24"/>
          <w:szCs w:val="24"/>
          <w:vertAlign w:val="superscript"/>
          <w:lang w:eastAsia="uk-UA"/>
        </w:rPr>
        <w:t>1</w:t>
      </w:r>
      <w:r w:rsidRPr="00C359A2">
        <w:rPr>
          <w:color w:val="000000"/>
          <w:sz w:val="24"/>
          <w:szCs w:val="24"/>
          <w:lang w:eastAsia="uk-UA"/>
        </w:rPr>
        <w:t xml:space="preserve"> </w:t>
      </w:r>
      <w:r w:rsidR="00C359A2" w:rsidRPr="00C359A2">
        <w:rPr>
          <w:color w:val="000000"/>
          <w:sz w:val="24"/>
          <w:szCs w:val="24"/>
          <w:lang w:eastAsia="uk-UA"/>
        </w:rPr>
        <w:t>Вимоги до обсягу інформації про</w:t>
      </w:r>
      <w:r w:rsidRPr="00C359A2">
        <w:rPr>
          <w:color w:val="000000"/>
          <w:sz w:val="24"/>
          <w:szCs w:val="24"/>
          <w:lang w:eastAsia="uk-UA"/>
        </w:rPr>
        <w:t xml:space="preserve"> </w:t>
      </w:r>
      <w:r w:rsidR="00C359A2" w:rsidRPr="00C359A2">
        <w:rPr>
          <w:rFonts w:eastAsia="Calibri"/>
          <w:sz w:val="24"/>
          <w:szCs w:val="24"/>
          <w:lang w:eastAsia="en-US"/>
        </w:rPr>
        <w:t>клієнтів торговців цінними паперами, яким надано прямий електронний доступ до біржових торгів</w:t>
      </w:r>
      <w:r w:rsidR="00C359A2" w:rsidRPr="00C359A2">
        <w:rPr>
          <w:color w:val="000000"/>
          <w:sz w:val="24"/>
          <w:szCs w:val="24"/>
          <w:lang w:eastAsia="uk-UA"/>
        </w:rPr>
        <w:t xml:space="preserve"> встановлені у Положенні про функціонування фондових бірж, затвердженому </w:t>
      </w:r>
      <w:r w:rsidR="00C359A2" w:rsidRPr="00C359A2">
        <w:rPr>
          <w:sz w:val="24"/>
          <w:szCs w:val="24"/>
        </w:rPr>
        <w:t>рішенням Національної</w:t>
      </w:r>
      <w:r w:rsidR="00C359A2">
        <w:rPr>
          <w:sz w:val="24"/>
          <w:szCs w:val="24"/>
        </w:rPr>
        <w:t xml:space="preserve"> комісії з цінних паперів та фондового ринку</w:t>
      </w:r>
      <w:r w:rsidR="00C359A2" w:rsidRPr="00C359A2">
        <w:rPr>
          <w:sz w:val="24"/>
          <w:szCs w:val="24"/>
        </w:rPr>
        <w:t xml:space="preserve"> від 22.11.2012 № 1688</w:t>
      </w:r>
      <w:r w:rsidR="00C359A2">
        <w:rPr>
          <w:sz w:val="24"/>
          <w:szCs w:val="24"/>
        </w:rPr>
        <w:t>,</w:t>
      </w:r>
      <w:r w:rsidR="00C359A2" w:rsidRPr="00C359A2">
        <w:rPr>
          <w:sz w:val="24"/>
          <w:szCs w:val="24"/>
        </w:rPr>
        <w:t xml:space="preserve"> зареєстрованому в Міністерстві юстиції України 14.12.2012 за № 2082/22394 (зі змінами).</w:t>
      </w:r>
    </w:p>
    <w:p w:rsidR="00C359A2" w:rsidRPr="00C359A2" w:rsidRDefault="00C359A2" w:rsidP="00C359A2">
      <w:pPr>
        <w:jc w:val="both"/>
        <w:rPr>
          <w:color w:val="000000"/>
          <w:sz w:val="24"/>
          <w:szCs w:val="24"/>
          <w:lang w:eastAsia="uk-UA"/>
        </w:rPr>
      </w:pPr>
    </w:p>
    <w:p w:rsidR="000F68D2" w:rsidRDefault="0012465B" w:rsidP="000F68D2">
      <w:pPr>
        <w:rPr>
          <w:color w:val="000000"/>
          <w:sz w:val="24"/>
          <w:szCs w:val="24"/>
          <w:lang w:eastAsia="uk-UA"/>
        </w:rPr>
      </w:pPr>
      <w:r>
        <w:rPr>
          <w:color w:val="000000"/>
          <w:sz w:val="24"/>
          <w:szCs w:val="24"/>
          <w:vertAlign w:val="superscript"/>
          <w:lang w:eastAsia="uk-UA"/>
        </w:rPr>
        <w:t xml:space="preserve">2 </w:t>
      </w:r>
      <w:r w:rsidR="000F68D2">
        <w:rPr>
          <w:color w:val="000000"/>
          <w:sz w:val="24"/>
          <w:szCs w:val="24"/>
          <w:lang w:eastAsia="uk-UA"/>
        </w:rPr>
        <w:t>Заповнюється відповідно до Довідника 7 "Класифікація фінансових інструментів" Системи довідників та класифікаторів.</w:t>
      </w:r>
    </w:p>
    <w:p w:rsidR="000F68D2" w:rsidRDefault="000F68D2" w:rsidP="000F68D2">
      <w:pPr>
        <w:rPr>
          <w:color w:val="000000"/>
          <w:sz w:val="24"/>
          <w:szCs w:val="24"/>
          <w:lang w:eastAsia="uk-UA"/>
        </w:rPr>
      </w:pPr>
    </w:p>
    <w:p w:rsidR="000F68D2" w:rsidRDefault="0012465B" w:rsidP="000F68D2">
      <w:pPr>
        <w:rPr>
          <w:color w:val="000000"/>
          <w:sz w:val="24"/>
          <w:szCs w:val="24"/>
          <w:lang w:eastAsia="uk-UA"/>
        </w:rPr>
      </w:pPr>
      <w:r>
        <w:rPr>
          <w:color w:val="000000"/>
          <w:sz w:val="24"/>
          <w:szCs w:val="24"/>
          <w:vertAlign w:val="superscript"/>
          <w:lang w:eastAsia="uk-UA"/>
        </w:rPr>
        <w:t>3</w:t>
      </w:r>
      <w:r w:rsidR="000F68D2">
        <w:rPr>
          <w:color w:val="000000"/>
          <w:sz w:val="24"/>
          <w:szCs w:val="24"/>
          <w:lang w:eastAsia="uk-UA"/>
        </w:rPr>
        <w:t xml:space="preserve"> Заповнюється відповідно до Довідника 8 "Види ринку" Системи довідників та класифікаторів.</w:t>
      </w:r>
    </w:p>
    <w:p w:rsidR="000F68D2" w:rsidRDefault="000F68D2" w:rsidP="000F68D2">
      <w:pPr>
        <w:rPr>
          <w:color w:val="000000"/>
          <w:sz w:val="24"/>
          <w:szCs w:val="24"/>
          <w:lang w:eastAsia="uk-UA"/>
        </w:rPr>
      </w:pPr>
    </w:p>
    <w:p w:rsidR="000F68D2" w:rsidRDefault="0012465B" w:rsidP="000F68D2">
      <w:pPr>
        <w:rPr>
          <w:color w:val="000000"/>
          <w:sz w:val="24"/>
          <w:szCs w:val="24"/>
          <w:lang w:eastAsia="uk-UA"/>
        </w:rPr>
      </w:pPr>
      <w:r>
        <w:rPr>
          <w:color w:val="000000"/>
          <w:sz w:val="24"/>
          <w:szCs w:val="24"/>
          <w:vertAlign w:val="superscript"/>
          <w:lang w:eastAsia="uk-UA"/>
        </w:rPr>
        <w:t>4</w:t>
      </w:r>
      <w:r w:rsidR="000F68D2">
        <w:rPr>
          <w:color w:val="000000"/>
          <w:sz w:val="24"/>
          <w:szCs w:val="24"/>
          <w:lang w:eastAsia="uk-UA"/>
        </w:rPr>
        <w:t xml:space="preserve"> Заповнюється відповідно до Довідника 25 "Технології проведення торгів" Системи довідників та класифікаторів.</w:t>
      </w:r>
    </w:p>
    <w:p w:rsidR="000F68D2" w:rsidRDefault="000F68D2" w:rsidP="000F68D2">
      <w:pPr>
        <w:rPr>
          <w:color w:val="000000"/>
          <w:sz w:val="24"/>
          <w:szCs w:val="24"/>
          <w:lang w:eastAsia="uk-UA"/>
        </w:rPr>
      </w:pPr>
    </w:p>
    <w:p w:rsidR="000F68D2" w:rsidRDefault="0012465B" w:rsidP="000F68D2">
      <w:pPr>
        <w:rPr>
          <w:color w:val="000000"/>
          <w:sz w:val="24"/>
          <w:szCs w:val="24"/>
          <w:lang w:eastAsia="uk-UA"/>
        </w:rPr>
      </w:pPr>
      <w:r>
        <w:rPr>
          <w:color w:val="000000"/>
          <w:sz w:val="24"/>
          <w:szCs w:val="24"/>
          <w:vertAlign w:val="superscript"/>
          <w:lang w:eastAsia="uk-UA"/>
        </w:rPr>
        <w:t>5</w:t>
      </w:r>
      <w:r w:rsidR="000F68D2">
        <w:rPr>
          <w:color w:val="000000"/>
          <w:sz w:val="24"/>
          <w:szCs w:val="24"/>
          <w:lang w:eastAsia="uk-UA"/>
        </w:rPr>
        <w:t xml:space="preserve"> Заповнюється відповідно до Довідника 9 "Види ринку за характером проведення операцій" Системи довідників та класифікаторів.</w:t>
      </w:r>
    </w:p>
    <w:p w:rsidR="000F68D2" w:rsidRDefault="000F68D2" w:rsidP="000F68D2">
      <w:pPr>
        <w:rPr>
          <w:color w:val="000000"/>
          <w:sz w:val="24"/>
          <w:szCs w:val="24"/>
          <w:lang w:eastAsia="uk-UA"/>
        </w:rPr>
      </w:pPr>
    </w:p>
    <w:p w:rsidR="000F68D2" w:rsidRDefault="0012465B" w:rsidP="000F68D2">
      <w:pPr>
        <w:rPr>
          <w:color w:val="000000"/>
          <w:sz w:val="24"/>
          <w:szCs w:val="24"/>
          <w:lang w:eastAsia="uk-UA"/>
        </w:rPr>
      </w:pPr>
      <w:r>
        <w:rPr>
          <w:color w:val="000000"/>
          <w:sz w:val="24"/>
          <w:szCs w:val="24"/>
          <w:vertAlign w:val="superscript"/>
          <w:lang w:eastAsia="uk-UA"/>
        </w:rPr>
        <w:t>6</w:t>
      </w:r>
      <w:r w:rsidR="000F68D2">
        <w:rPr>
          <w:color w:val="000000"/>
          <w:sz w:val="24"/>
          <w:szCs w:val="24"/>
          <w:lang w:eastAsia="uk-UA"/>
        </w:rPr>
        <w:t xml:space="preserve"> Заповнюється відповідно до Довідника 45 "Класифікація країн світу" Системи довідників та класифікаторів.</w:t>
      </w:r>
    </w:p>
    <w:p w:rsidR="000F68D2" w:rsidRDefault="000F68D2" w:rsidP="000F68D2">
      <w:pPr>
        <w:shd w:val="clear" w:color="auto" w:fill="FFFFFF"/>
        <w:rPr>
          <w:color w:val="000000"/>
          <w:sz w:val="24"/>
          <w:szCs w:val="24"/>
          <w:lang w:eastAsia="uk-UA"/>
        </w:rPr>
      </w:pPr>
    </w:p>
    <w:p w:rsidR="000F68D2" w:rsidRDefault="000F68D2" w:rsidP="000F68D2">
      <w:pPr>
        <w:spacing w:after="160" w:line="256" w:lineRule="auto"/>
        <w:jc w:val="center"/>
        <w:rPr>
          <w:rFonts w:eastAsia="Calibri"/>
          <w:b/>
          <w:sz w:val="28"/>
          <w:szCs w:val="28"/>
          <w:lang w:eastAsia="en-US"/>
        </w:rPr>
      </w:pPr>
    </w:p>
    <w:p w:rsidR="00E54C14" w:rsidRDefault="00E54C14"/>
    <w:sectPr w:rsidR="00E54C14" w:rsidSect="00F42B2D">
      <w:headerReference w:type="even" r:id="rId6"/>
      <w:headerReference w:type="default" r:id="rId7"/>
      <w:footerReference w:type="even" r:id="rId8"/>
      <w:footerReference w:type="default" r:id="rId9"/>
      <w:headerReference w:type="first" r:id="rId10"/>
      <w:footerReference w:type="first" r:id="rId11"/>
      <w:pgSz w:w="11906" w:h="16838"/>
      <w:pgMar w:top="567"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6D" w:rsidRDefault="006F6B6D" w:rsidP="000F68D2">
      <w:r>
        <w:separator/>
      </w:r>
    </w:p>
  </w:endnote>
  <w:endnote w:type="continuationSeparator" w:id="0">
    <w:p w:rsidR="006F6B6D" w:rsidRDefault="006F6B6D" w:rsidP="000F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D2" w:rsidRDefault="000F68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D2" w:rsidRDefault="000F68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D2" w:rsidRDefault="000F6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6D" w:rsidRDefault="006F6B6D" w:rsidP="000F68D2">
      <w:r>
        <w:separator/>
      </w:r>
    </w:p>
  </w:footnote>
  <w:footnote w:type="continuationSeparator" w:id="0">
    <w:p w:rsidR="006F6B6D" w:rsidRDefault="006F6B6D" w:rsidP="000F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D2" w:rsidRDefault="000F68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D2" w:rsidRDefault="000F68D2">
    <w:pPr>
      <w:pStyle w:val="a3"/>
    </w:pPr>
    <w:r>
      <w:t xml:space="preserve">                                                                                          2</w:t>
    </w:r>
  </w:p>
  <w:p w:rsidR="000F68D2" w:rsidRDefault="000F68D2">
    <w:pPr>
      <w:pStyle w:val="a3"/>
    </w:pPr>
    <w:r>
      <w:t xml:space="preserve">                                                                                                                                                Продовження додатку 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D2" w:rsidRDefault="000F68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D2"/>
    <w:rsid w:val="000F68D2"/>
    <w:rsid w:val="0012202A"/>
    <w:rsid w:val="0012465B"/>
    <w:rsid w:val="00323538"/>
    <w:rsid w:val="00405EFF"/>
    <w:rsid w:val="006F6B6D"/>
    <w:rsid w:val="00733698"/>
    <w:rsid w:val="007C3D22"/>
    <w:rsid w:val="007C514B"/>
    <w:rsid w:val="0089601A"/>
    <w:rsid w:val="00A23BDB"/>
    <w:rsid w:val="00B14979"/>
    <w:rsid w:val="00C359A2"/>
    <w:rsid w:val="00E54C14"/>
    <w:rsid w:val="00F07B5F"/>
    <w:rsid w:val="00F20161"/>
    <w:rsid w:val="00F42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C2B77-0FF9-4D46-B4BC-02FA43BB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8D2"/>
    <w:pPr>
      <w:tabs>
        <w:tab w:val="center" w:pos="4819"/>
        <w:tab w:val="right" w:pos="9639"/>
      </w:tabs>
    </w:pPr>
  </w:style>
  <w:style w:type="character" w:customStyle="1" w:styleId="a4">
    <w:name w:val="Верхний колонтитул Знак"/>
    <w:basedOn w:val="a0"/>
    <w:link w:val="a3"/>
    <w:uiPriority w:val="99"/>
    <w:rsid w:val="000F68D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F68D2"/>
    <w:pPr>
      <w:tabs>
        <w:tab w:val="center" w:pos="4819"/>
        <w:tab w:val="right" w:pos="9639"/>
      </w:tabs>
    </w:pPr>
  </w:style>
  <w:style w:type="character" w:customStyle="1" w:styleId="a6">
    <w:name w:val="Нижний колонтитул Знак"/>
    <w:basedOn w:val="a0"/>
    <w:link w:val="a5"/>
    <w:uiPriority w:val="99"/>
    <w:rsid w:val="000F68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Юхно</dc:creator>
  <cp:keywords/>
  <dc:description/>
  <cp:lastModifiedBy>Руслан Кисляк</cp:lastModifiedBy>
  <cp:revision>2</cp:revision>
  <dcterms:created xsi:type="dcterms:W3CDTF">2019-06-14T09:13:00Z</dcterms:created>
  <dcterms:modified xsi:type="dcterms:W3CDTF">2019-06-14T09:13:00Z</dcterms:modified>
</cp:coreProperties>
</file>