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CA" w:rsidRDefault="00EA39CA" w:rsidP="00C47CDB">
      <w:pPr>
        <w:ind w:left="4111"/>
        <w:jc w:val="both"/>
        <w:rPr>
          <w:lang w:val="uk-UA"/>
        </w:rPr>
      </w:pPr>
      <w:bookmarkStart w:id="0" w:name="_GoBack"/>
      <w:bookmarkEnd w:id="0"/>
    </w:p>
    <w:p w:rsidR="000043EA" w:rsidRPr="000B794F" w:rsidRDefault="00992CC7" w:rsidP="00D57017">
      <w:pPr>
        <w:ind w:left="4860"/>
        <w:jc w:val="both"/>
        <w:rPr>
          <w:b/>
          <w:lang w:val="uk-UA"/>
        </w:rPr>
      </w:pPr>
      <w:r w:rsidRPr="000B794F">
        <w:rPr>
          <w:b/>
          <w:lang w:val="uk-UA"/>
        </w:rPr>
        <w:t xml:space="preserve">Додаток </w:t>
      </w:r>
      <w:r w:rsidRPr="000B794F">
        <w:rPr>
          <w:b/>
        </w:rPr>
        <w:t>3</w:t>
      </w:r>
      <w:r w:rsidR="00EB7835" w:rsidRPr="000B794F">
        <w:rPr>
          <w:b/>
          <w:lang w:val="uk-UA"/>
        </w:rPr>
        <w:t xml:space="preserve"> </w:t>
      </w:r>
    </w:p>
    <w:p w:rsidR="006F3FEF" w:rsidRPr="000B794F" w:rsidRDefault="006F3FEF" w:rsidP="006F3FEF">
      <w:pPr>
        <w:ind w:left="4860"/>
        <w:jc w:val="both"/>
        <w:rPr>
          <w:lang w:val="uk-UA"/>
        </w:rPr>
      </w:pPr>
      <w:r w:rsidRPr="000B794F">
        <w:rPr>
          <w:lang w:val="uk-UA"/>
        </w:rPr>
        <w:t xml:space="preserve">до Акта, складеного за результатами </w:t>
      </w:r>
    </w:p>
    <w:p w:rsidR="006F3FEF" w:rsidRPr="000B794F" w:rsidRDefault="006F3FEF" w:rsidP="006F3FEF">
      <w:pPr>
        <w:ind w:left="4860"/>
        <w:rPr>
          <w:lang w:val="uk-UA"/>
        </w:rPr>
      </w:pPr>
      <w:r w:rsidRPr="000B794F">
        <w:rPr>
          <w:lang w:val="uk-UA"/>
        </w:rPr>
        <w:t>проведення планового (позапланового) заходу державного на</w:t>
      </w:r>
      <w:r w:rsidR="000B794F">
        <w:rPr>
          <w:lang w:val="uk-UA"/>
        </w:rPr>
        <w:t>гляду (контролю) щодо дотримання</w:t>
      </w:r>
      <w:r w:rsidRPr="000B794F">
        <w:rPr>
          <w:lang w:val="uk-UA"/>
        </w:rPr>
        <w:t xml:space="preserve"> суб’єктом господарювання вимог </w:t>
      </w:r>
      <w:r w:rsidR="00C365A3" w:rsidRPr="000B794F">
        <w:rPr>
          <w:lang w:val="uk-UA"/>
        </w:rPr>
        <w:t>ліцензійних умов</w:t>
      </w:r>
      <w:r w:rsidR="00C365A3">
        <w:rPr>
          <w:lang w:val="uk-UA"/>
        </w:rPr>
        <w:t xml:space="preserve"> </w:t>
      </w:r>
      <w:r w:rsidRPr="000B794F">
        <w:rPr>
          <w:lang w:val="uk-UA"/>
        </w:rPr>
        <w:t xml:space="preserve">у сфері провадження професійної діяльності на фондовому ринку (ринку цінних паперів) </w:t>
      </w:r>
    </w:p>
    <w:p w:rsidR="00E757F2" w:rsidRDefault="00E757F2" w:rsidP="00E757F2">
      <w:pPr>
        <w:rPr>
          <w:sz w:val="28"/>
          <w:szCs w:val="28"/>
          <w:lang w:val="uk-UA"/>
        </w:rPr>
      </w:pPr>
    </w:p>
    <w:p w:rsidR="004A50A8" w:rsidRDefault="004A50A8" w:rsidP="00E757F2">
      <w:pPr>
        <w:rPr>
          <w:sz w:val="28"/>
          <w:szCs w:val="28"/>
          <w:lang w:val="uk-UA"/>
        </w:rPr>
      </w:pPr>
    </w:p>
    <w:p w:rsidR="00C42CA7" w:rsidRPr="003A73FF" w:rsidRDefault="00C365A3" w:rsidP="00C42CA7">
      <w:pPr>
        <w:rPr>
          <w:b/>
          <w:sz w:val="28"/>
          <w:szCs w:val="28"/>
          <w:lang w:val="uk-UA"/>
        </w:rPr>
      </w:pPr>
      <w:r>
        <w:rPr>
          <w:b/>
          <w:color w:val="000000"/>
          <w:sz w:val="28"/>
          <w:szCs w:val="28"/>
          <w:lang w:val="uk-UA"/>
        </w:rPr>
        <w:t>П</w:t>
      </w:r>
      <w:r w:rsidR="00C42CA7" w:rsidRPr="00095734">
        <w:rPr>
          <w:b/>
          <w:color w:val="000000"/>
          <w:sz w:val="28"/>
          <w:szCs w:val="28"/>
          <w:lang w:val="uk-UA"/>
        </w:rPr>
        <w:t xml:space="preserve">ерелік питань щодо проведення заходу державного нагляду (контролю) </w:t>
      </w:r>
      <w:r w:rsidR="00C42CA7" w:rsidRPr="00095734">
        <w:rPr>
          <w:b/>
          <w:sz w:val="28"/>
          <w:szCs w:val="28"/>
          <w:lang w:val="uk-UA"/>
        </w:rPr>
        <w:t xml:space="preserve">суб’єкта господарювання, що провадить професійну діяльність на фондовому ринку (ринку цінних паперів) – </w:t>
      </w:r>
      <w:r w:rsidR="00C42CA7">
        <w:rPr>
          <w:b/>
          <w:sz w:val="28"/>
          <w:szCs w:val="28"/>
          <w:lang w:val="uk-UA"/>
        </w:rPr>
        <w:t>депозитарну діяльність</w:t>
      </w:r>
      <w:r w:rsidR="00581275">
        <w:rPr>
          <w:b/>
          <w:sz w:val="28"/>
          <w:szCs w:val="28"/>
          <w:lang w:val="uk-UA"/>
        </w:rPr>
        <w:t>, що підлягає ліцензуванню</w:t>
      </w:r>
    </w:p>
    <w:p w:rsidR="00FD5729" w:rsidRPr="00D06892" w:rsidRDefault="00FD5729" w:rsidP="00FD5729">
      <w:pPr>
        <w:jc w:val="center"/>
        <w:rPr>
          <w:sz w:val="28"/>
          <w:szCs w:val="28"/>
          <w:lang w:val="uk-UA"/>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2340"/>
        <w:gridCol w:w="1620"/>
        <w:gridCol w:w="1800"/>
        <w:gridCol w:w="360"/>
        <w:gridCol w:w="347"/>
        <w:gridCol w:w="13"/>
        <w:gridCol w:w="900"/>
        <w:gridCol w:w="1800"/>
      </w:tblGrid>
      <w:tr w:rsidR="00147AB3" w:rsidRPr="00D06892" w:rsidTr="009E1DD3">
        <w:tc>
          <w:tcPr>
            <w:tcW w:w="720" w:type="dxa"/>
            <w:vMerge w:val="restart"/>
            <w:tcBorders>
              <w:right w:val="single" w:sz="4" w:space="0" w:color="auto"/>
            </w:tcBorders>
            <w:vAlign w:val="center"/>
          </w:tcPr>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sz w:val="20"/>
                <w:szCs w:val="20"/>
                <w:lang w:val="uk-UA"/>
              </w:rPr>
              <w:t>№</w:t>
            </w:r>
          </w:p>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sz w:val="20"/>
                <w:szCs w:val="20"/>
                <w:lang w:val="uk-UA"/>
              </w:rPr>
              <w:t>з/п</w:t>
            </w:r>
          </w:p>
        </w:tc>
        <w:tc>
          <w:tcPr>
            <w:tcW w:w="2340" w:type="dxa"/>
            <w:vMerge w:val="restart"/>
            <w:tcBorders>
              <w:left w:val="single" w:sz="4" w:space="0" w:color="auto"/>
              <w:right w:val="single" w:sz="4" w:space="0" w:color="auto"/>
            </w:tcBorders>
            <w:vAlign w:val="center"/>
          </w:tcPr>
          <w:p w:rsidR="00147AB3" w:rsidRPr="007B5609" w:rsidRDefault="00147AB3" w:rsidP="007D01A6">
            <w:pPr>
              <w:jc w:val="center"/>
              <w:rPr>
                <w:sz w:val="20"/>
                <w:szCs w:val="20"/>
                <w:lang w:val="uk-UA"/>
              </w:rPr>
            </w:pPr>
            <w:r w:rsidRPr="007B5609">
              <w:rPr>
                <w:sz w:val="20"/>
                <w:szCs w:val="20"/>
                <w:lang w:val="uk-UA"/>
              </w:rPr>
              <w:t>Питання щодо дотримання</w:t>
            </w:r>
          </w:p>
          <w:p w:rsidR="00147AB3" w:rsidRPr="007B5609" w:rsidRDefault="00147AB3" w:rsidP="007D01A6">
            <w:pPr>
              <w:jc w:val="center"/>
              <w:rPr>
                <w:sz w:val="20"/>
                <w:szCs w:val="20"/>
                <w:lang w:val="uk-UA"/>
              </w:rPr>
            </w:pPr>
            <w:r w:rsidRPr="007B5609">
              <w:rPr>
                <w:sz w:val="20"/>
                <w:szCs w:val="20"/>
                <w:lang w:val="uk-UA"/>
              </w:rPr>
              <w:t>суб’єктом господарювання вимог законодавства</w:t>
            </w:r>
          </w:p>
        </w:tc>
        <w:tc>
          <w:tcPr>
            <w:tcW w:w="1620" w:type="dxa"/>
            <w:vMerge w:val="restart"/>
            <w:tcBorders>
              <w:left w:val="single" w:sz="4" w:space="0" w:color="auto"/>
              <w:right w:val="single" w:sz="4" w:space="0" w:color="auto"/>
            </w:tcBorders>
            <w:tcMar>
              <w:left w:w="28" w:type="dxa"/>
              <w:right w:w="28" w:type="dxa"/>
            </w:tcMar>
            <w:vAlign w:val="center"/>
          </w:tcPr>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Ступінь </w:t>
            </w:r>
          </w:p>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ризику </w:t>
            </w:r>
          </w:p>
          <w:p w:rsidR="00147AB3" w:rsidRPr="007B5609" w:rsidRDefault="00147AB3"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суб’єкта господарювання</w:t>
            </w:r>
          </w:p>
        </w:tc>
        <w:tc>
          <w:tcPr>
            <w:tcW w:w="1800" w:type="dxa"/>
            <w:vMerge w:val="restart"/>
            <w:tcBorders>
              <w:left w:val="single" w:sz="4" w:space="0" w:color="auto"/>
              <w:right w:val="single" w:sz="4" w:space="0" w:color="auto"/>
            </w:tcBorders>
            <w:vAlign w:val="center"/>
          </w:tcPr>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Позиція </w:t>
            </w:r>
          </w:p>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суб</w:t>
            </w:r>
            <w:r w:rsidRPr="007B5609">
              <w:rPr>
                <w:rFonts w:ascii="Times New Roman" w:hAnsi="Times New Roman"/>
                <w:sz w:val="20"/>
                <w:szCs w:val="20"/>
              </w:rPr>
              <w:t>’</w:t>
            </w:r>
            <w:r w:rsidRPr="007B5609">
              <w:rPr>
                <w:rFonts w:ascii="Times New Roman" w:hAnsi="Times New Roman"/>
                <w:sz w:val="20"/>
                <w:szCs w:val="20"/>
                <w:lang w:val="uk-UA"/>
              </w:rPr>
              <w:t>єкта господарювання</w:t>
            </w:r>
          </w:p>
          <w:p w:rsid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 xml:space="preserve"> щодо негативного впливу вимоги законодавства </w:t>
            </w:r>
          </w:p>
          <w:p w:rsidR="00147AB3" w:rsidRPr="007B5609" w:rsidRDefault="007B5609" w:rsidP="00131224">
            <w:pPr>
              <w:pStyle w:val="NoSpacing"/>
              <w:ind w:left="-28" w:right="-105"/>
              <w:jc w:val="center"/>
              <w:rPr>
                <w:rFonts w:ascii="Times New Roman" w:hAnsi="Times New Roman"/>
                <w:sz w:val="20"/>
                <w:szCs w:val="20"/>
                <w:lang w:val="uk-UA"/>
              </w:rPr>
            </w:pPr>
            <w:r w:rsidRPr="007B5609">
              <w:rPr>
                <w:rFonts w:ascii="Times New Roman" w:hAnsi="Times New Roman"/>
                <w:sz w:val="20"/>
                <w:szCs w:val="20"/>
                <w:lang w:val="uk-UA"/>
              </w:rPr>
              <w:t>(від 1 до 4 балів)</w:t>
            </w:r>
          </w:p>
        </w:tc>
        <w:tc>
          <w:tcPr>
            <w:tcW w:w="1620" w:type="dxa"/>
            <w:gridSpan w:val="4"/>
            <w:tcBorders>
              <w:left w:val="single" w:sz="4" w:space="0" w:color="auto"/>
              <w:right w:val="single" w:sz="4" w:space="0" w:color="auto"/>
            </w:tcBorders>
            <w:vAlign w:val="center"/>
          </w:tcPr>
          <w:p w:rsidR="00147AB3" w:rsidRPr="007B5609" w:rsidRDefault="00147AB3" w:rsidP="007D01A6">
            <w:pPr>
              <w:pStyle w:val="af3"/>
              <w:ind w:right="-111"/>
              <w:jc w:val="center"/>
              <w:rPr>
                <w:rFonts w:ascii="Times New Roman" w:hAnsi="Times New Roman"/>
                <w:sz w:val="20"/>
                <w:szCs w:val="20"/>
                <w:lang w:val="uk-UA"/>
              </w:rPr>
            </w:pPr>
            <w:r w:rsidRPr="007B5609">
              <w:rPr>
                <w:rFonts w:ascii="Times New Roman" w:hAnsi="Times New Roman"/>
                <w:sz w:val="20"/>
                <w:szCs w:val="20"/>
                <w:lang w:val="uk-UA"/>
              </w:rPr>
              <w:t>Відповіді на</w:t>
            </w:r>
          </w:p>
          <w:p w:rsidR="00147AB3" w:rsidRPr="007B5609" w:rsidRDefault="00147AB3" w:rsidP="007D01A6">
            <w:pPr>
              <w:pStyle w:val="NoSpacing"/>
              <w:ind w:right="-111"/>
              <w:jc w:val="center"/>
              <w:rPr>
                <w:rFonts w:ascii="Times New Roman" w:hAnsi="Times New Roman"/>
                <w:sz w:val="20"/>
                <w:szCs w:val="20"/>
                <w:lang w:val="uk-UA"/>
              </w:rPr>
            </w:pPr>
            <w:r w:rsidRPr="007B5609">
              <w:rPr>
                <w:rFonts w:ascii="Times New Roman" w:hAnsi="Times New Roman"/>
                <w:sz w:val="20"/>
                <w:szCs w:val="20"/>
                <w:lang w:val="uk-UA"/>
              </w:rPr>
              <w:t>питання</w:t>
            </w:r>
          </w:p>
        </w:tc>
        <w:tc>
          <w:tcPr>
            <w:tcW w:w="1800" w:type="dxa"/>
            <w:vMerge w:val="restart"/>
            <w:tcBorders>
              <w:left w:val="single" w:sz="4" w:space="0" w:color="auto"/>
            </w:tcBorders>
            <w:tcMar>
              <w:left w:w="28" w:type="dxa"/>
              <w:right w:w="28" w:type="dxa"/>
            </w:tcMar>
            <w:vAlign w:val="center"/>
          </w:tcPr>
          <w:p w:rsidR="00147AB3" w:rsidRPr="007B5609" w:rsidRDefault="00147AB3" w:rsidP="007B5609">
            <w:pPr>
              <w:pStyle w:val="NoSpacing"/>
              <w:jc w:val="center"/>
              <w:rPr>
                <w:rFonts w:ascii="Times New Roman" w:hAnsi="Times New Roman"/>
                <w:sz w:val="20"/>
                <w:szCs w:val="20"/>
                <w:lang w:val="en-US"/>
              </w:rPr>
            </w:pPr>
            <w:r w:rsidRPr="007B5609">
              <w:rPr>
                <w:rFonts w:ascii="Times New Roman" w:hAnsi="Times New Roman"/>
                <w:sz w:val="20"/>
                <w:szCs w:val="20"/>
                <w:lang w:val="uk-UA"/>
              </w:rPr>
              <w:t>Нормативне обґрунтування</w:t>
            </w:r>
          </w:p>
        </w:tc>
      </w:tr>
      <w:tr w:rsidR="00147AB3" w:rsidRPr="00D06892" w:rsidTr="009E1DD3">
        <w:tc>
          <w:tcPr>
            <w:tcW w:w="720" w:type="dxa"/>
            <w:vMerge/>
            <w:tcBorders>
              <w:right w:val="single" w:sz="4" w:space="0" w:color="auto"/>
            </w:tcBorders>
            <w:vAlign w:val="center"/>
          </w:tcPr>
          <w:p w:rsidR="00147AB3" w:rsidRPr="00D06892" w:rsidRDefault="00147AB3" w:rsidP="0014582B">
            <w:pPr>
              <w:pStyle w:val="NoSpacing"/>
              <w:jc w:val="center"/>
              <w:rPr>
                <w:rFonts w:ascii="Times New Roman" w:hAnsi="Times New Roman"/>
                <w:sz w:val="28"/>
                <w:szCs w:val="28"/>
                <w:lang w:val="uk-UA"/>
              </w:rPr>
            </w:pPr>
          </w:p>
        </w:tc>
        <w:tc>
          <w:tcPr>
            <w:tcW w:w="2340" w:type="dxa"/>
            <w:vMerge/>
            <w:tcBorders>
              <w:left w:val="single" w:sz="4" w:space="0" w:color="auto"/>
              <w:right w:val="single" w:sz="4" w:space="0" w:color="auto"/>
            </w:tcBorders>
            <w:vAlign w:val="center"/>
          </w:tcPr>
          <w:p w:rsidR="00147AB3" w:rsidRPr="00D06892" w:rsidRDefault="00147AB3" w:rsidP="0014582B">
            <w:pPr>
              <w:jc w:val="center"/>
              <w:rPr>
                <w:sz w:val="28"/>
                <w:szCs w:val="28"/>
                <w:lang w:val="uk-UA"/>
              </w:rPr>
            </w:pPr>
          </w:p>
        </w:tc>
        <w:tc>
          <w:tcPr>
            <w:tcW w:w="1620" w:type="dxa"/>
            <w:vMerge/>
            <w:tcBorders>
              <w:left w:val="single" w:sz="4" w:space="0" w:color="auto"/>
              <w:right w:val="single" w:sz="4" w:space="0" w:color="auto"/>
            </w:tcBorders>
          </w:tcPr>
          <w:p w:rsidR="00147AB3" w:rsidRDefault="00147AB3" w:rsidP="0014582B">
            <w:pPr>
              <w:pStyle w:val="NoSpacing"/>
              <w:ind w:left="-28" w:right="-105"/>
              <w:jc w:val="center"/>
              <w:rPr>
                <w:rFonts w:ascii="Times New Roman" w:hAnsi="Times New Roman"/>
                <w:sz w:val="28"/>
                <w:szCs w:val="28"/>
                <w:lang w:val="uk-UA"/>
              </w:rPr>
            </w:pPr>
          </w:p>
        </w:tc>
        <w:tc>
          <w:tcPr>
            <w:tcW w:w="1800" w:type="dxa"/>
            <w:vMerge/>
            <w:tcBorders>
              <w:left w:val="single" w:sz="4" w:space="0" w:color="auto"/>
              <w:right w:val="single" w:sz="4" w:space="0" w:color="auto"/>
            </w:tcBorders>
          </w:tcPr>
          <w:p w:rsidR="00147AB3" w:rsidRDefault="00147AB3" w:rsidP="0014582B">
            <w:pPr>
              <w:pStyle w:val="NoSpacing"/>
              <w:ind w:left="-28" w:right="-105"/>
              <w:jc w:val="center"/>
              <w:rPr>
                <w:rFonts w:ascii="Times New Roman" w:hAnsi="Times New Roman"/>
                <w:sz w:val="28"/>
                <w:szCs w:val="28"/>
                <w:lang w:val="uk-UA"/>
              </w:rPr>
            </w:pPr>
          </w:p>
        </w:tc>
        <w:tc>
          <w:tcPr>
            <w:tcW w:w="360" w:type="dxa"/>
            <w:tcBorders>
              <w:left w:val="single" w:sz="4" w:space="0" w:color="auto"/>
              <w:right w:val="single" w:sz="4" w:space="0" w:color="auto"/>
            </w:tcBorders>
            <w:tcMar>
              <w:left w:w="28" w:type="dxa"/>
              <w:right w:w="28" w:type="dxa"/>
            </w:tcMar>
            <w:vAlign w:val="center"/>
          </w:tcPr>
          <w:p w:rsidR="00147AB3" w:rsidRPr="007B5609" w:rsidRDefault="00147AB3" w:rsidP="007B30E6">
            <w:pPr>
              <w:pStyle w:val="a6"/>
              <w:spacing w:before="0"/>
              <w:ind w:left="-108" w:right="-108" w:firstLine="0"/>
              <w:jc w:val="center"/>
              <w:rPr>
                <w:rFonts w:ascii="Times New Roman" w:hAnsi="Times New Roman"/>
                <w:bCs/>
                <w:sz w:val="20"/>
                <w:vertAlign w:val="superscript"/>
              </w:rPr>
            </w:pPr>
            <w:r w:rsidRPr="007B5609">
              <w:rPr>
                <w:rFonts w:ascii="Times New Roman" w:hAnsi="Times New Roman"/>
                <w:bCs/>
                <w:sz w:val="20"/>
              </w:rPr>
              <w:t>так</w:t>
            </w:r>
          </w:p>
        </w:tc>
        <w:tc>
          <w:tcPr>
            <w:tcW w:w="347" w:type="dxa"/>
            <w:tcBorders>
              <w:left w:val="single" w:sz="4" w:space="0" w:color="auto"/>
              <w:right w:val="single" w:sz="4" w:space="0" w:color="auto"/>
            </w:tcBorders>
            <w:tcMar>
              <w:left w:w="28" w:type="dxa"/>
              <w:right w:w="28" w:type="dxa"/>
            </w:tcMar>
            <w:vAlign w:val="center"/>
          </w:tcPr>
          <w:p w:rsidR="00147AB3" w:rsidRPr="007B5609" w:rsidRDefault="00147AB3" w:rsidP="007D01A6">
            <w:pPr>
              <w:pStyle w:val="NoSpacing"/>
              <w:jc w:val="center"/>
              <w:rPr>
                <w:rFonts w:ascii="Times New Roman" w:hAnsi="Times New Roman"/>
                <w:sz w:val="20"/>
                <w:szCs w:val="20"/>
                <w:lang w:val="uk-UA"/>
              </w:rPr>
            </w:pPr>
            <w:r w:rsidRPr="007B5609">
              <w:rPr>
                <w:rFonts w:ascii="Times New Roman" w:hAnsi="Times New Roman"/>
                <w:bCs/>
                <w:sz w:val="20"/>
                <w:szCs w:val="20"/>
              </w:rPr>
              <w:t>ні</w:t>
            </w:r>
          </w:p>
        </w:tc>
        <w:tc>
          <w:tcPr>
            <w:tcW w:w="913" w:type="dxa"/>
            <w:gridSpan w:val="2"/>
            <w:tcBorders>
              <w:left w:val="single" w:sz="4" w:space="0" w:color="auto"/>
              <w:right w:val="single" w:sz="4" w:space="0" w:color="auto"/>
            </w:tcBorders>
            <w:tcMar>
              <w:left w:w="28" w:type="dxa"/>
              <w:right w:w="28" w:type="dxa"/>
            </w:tcMar>
            <w:vAlign w:val="center"/>
          </w:tcPr>
          <w:p w:rsidR="00147AB3" w:rsidRPr="007B5609" w:rsidRDefault="00147AB3" w:rsidP="007D01A6">
            <w:pPr>
              <w:pStyle w:val="NoSpacing"/>
              <w:ind w:left="-28" w:right="-105"/>
              <w:jc w:val="center"/>
              <w:rPr>
                <w:rFonts w:ascii="Times New Roman" w:hAnsi="Times New Roman"/>
                <w:bCs/>
                <w:sz w:val="20"/>
                <w:szCs w:val="20"/>
                <w:lang w:val="uk-UA"/>
              </w:rPr>
            </w:pPr>
            <w:r w:rsidRPr="007B5609">
              <w:rPr>
                <w:rFonts w:ascii="Times New Roman" w:hAnsi="Times New Roman"/>
                <w:bCs/>
                <w:sz w:val="20"/>
                <w:szCs w:val="20"/>
                <w:lang w:val="uk-UA"/>
              </w:rPr>
              <w:t>н</w:t>
            </w:r>
            <w:r w:rsidRPr="007B5609">
              <w:rPr>
                <w:rFonts w:ascii="Times New Roman" w:hAnsi="Times New Roman"/>
                <w:bCs/>
                <w:sz w:val="20"/>
                <w:szCs w:val="20"/>
              </w:rPr>
              <w:t>е</w:t>
            </w:r>
          </w:p>
          <w:p w:rsidR="00147AB3" w:rsidRPr="007B5609" w:rsidRDefault="00147AB3" w:rsidP="00131224">
            <w:pPr>
              <w:pStyle w:val="NoSpacing"/>
              <w:ind w:left="-28" w:right="-28"/>
              <w:jc w:val="center"/>
              <w:rPr>
                <w:rFonts w:ascii="Times New Roman" w:hAnsi="Times New Roman"/>
                <w:bCs/>
                <w:sz w:val="20"/>
                <w:szCs w:val="20"/>
                <w:lang w:val="uk-UA"/>
              </w:rPr>
            </w:pPr>
            <w:r w:rsidRPr="007B5609">
              <w:rPr>
                <w:rFonts w:ascii="Times New Roman" w:hAnsi="Times New Roman"/>
                <w:bCs/>
                <w:sz w:val="20"/>
                <w:szCs w:val="20"/>
                <w:lang w:val="uk-UA"/>
              </w:rPr>
              <w:t>р</w:t>
            </w:r>
            <w:r w:rsidRPr="007B5609">
              <w:rPr>
                <w:rFonts w:ascii="Times New Roman" w:hAnsi="Times New Roman"/>
                <w:bCs/>
                <w:sz w:val="20"/>
                <w:szCs w:val="20"/>
              </w:rPr>
              <w:t>озгля</w:t>
            </w:r>
            <w:r w:rsidRPr="007B5609">
              <w:rPr>
                <w:rFonts w:ascii="Times New Roman" w:hAnsi="Times New Roman"/>
                <w:bCs/>
                <w:sz w:val="20"/>
                <w:szCs w:val="20"/>
                <w:lang w:val="uk-UA"/>
              </w:rPr>
              <w:t>-</w:t>
            </w:r>
          </w:p>
          <w:p w:rsidR="00147AB3" w:rsidRPr="007B5609" w:rsidRDefault="00147AB3" w:rsidP="00131224">
            <w:pPr>
              <w:pStyle w:val="NoSpacing"/>
              <w:ind w:left="-28" w:right="-28"/>
              <w:jc w:val="center"/>
              <w:rPr>
                <w:rFonts w:ascii="Times New Roman" w:hAnsi="Times New Roman"/>
                <w:sz w:val="20"/>
                <w:szCs w:val="20"/>
                <w:lang w:val="uk-UA"/>
              </w:rPr>
            </w:pPr>
            <w:r w:rsidRPr="007B5609">
              <w:rPr>
                <w:rFonts w:ascii="Times New Roman" w:hAnsi="Times New Roman"/>
                <w:bCs/>
                <w:sz w:val="20"/>
                <w:szCs w:val="20"/>
              </w:rPr>
              <w:t>далося</w:t>
            </w:r>
          </w:p>
        </w:tc>
        <w:tc>
          <w:tcPr>
            <w:tcW w:w="1800" w:type="dxa"/>
            <w:vMerge/>
            <w:tcBorders>
              <w:left w:val="single" w:sz="4" w:space="0" w:color="auto"/>
            </w:tcBorders>
          </w:tcPr>
          <w:p w:rsidR="00147AB3" w:rsidRPr="00D06892" w:rsidRDefault="00147AB3" w:rsidP="00147AB3">
            <w:pPr>
              <w:pStyle w:val="NoSpacing"/>
              <w:ind w:hanging="210"/>
              <w:jc w:val="center"/>
              <w:rPr>
                <w:rFonts w:ascii="Times New Roman" w:hAnsi="Times New Roman"/>
                <w:sz w:val="28"/>
                <w:szCs w:val="28"/>
                <w:lang w:val="uk-UA"/>
              </w:rPr>
            </w:pPr>
          </w:p>
        </w:tc>
      </w:tr>
      <w:tr w:rsidR="003A73FF" w:rsidRPr="00D06892" w:rsidTr="009E1DD3">
        <w:tc>
          <w:tcPr>
            <w:tcW w:w="9900" w:type="dxa"/>
            <w:gridSpan w:val="9"/>
          </w:tcPr>
          <w:p w:rsidR="003A73FF" w:rsidRPr="00D06892" w:rsidRDefault="003A73FF" w:rsidP="007D01A6">
            <w:pPr>
              <w:jc w:val="center"/>
              <w:rPr>
                <w:b/>
                <w:sz w:val="28"/>
                <w:szCs w:val="28"/>
                <w:lang w:val="uk-UA"/>
              </w:rPr>
            </w:pPr>
            <w:r>
              <w:rPr>
                <w:b/>
                <w:sz w:val="28"/>
                <w:szCs w:val="28"/>
                <w:lang w:val="uk-UA"/>
              </w:rPr>
              <w:t>І. З</w:t>
            </w:r>
            <w:r w:rsidRPr="0017340A">
              <w:rPr>
                <w:b/>
                <w:sz w:val="28"/>
                <w:szCs w:val="28"/>
                <w:lang w:val="uk-UA"/>
              </w:rPr>
              <w:t xml:space="preserve">агальні </w:t>
            </w:r>
            <w:r>
              <w:rPr>
                <w:b/>
                <w:sz w:val="28"/>
                <w:szCs w:val="28"/>
                <w:lang w:val="uk-UA"/>
              </w:rPr>
              <w:t>питання</w:t>
            </w:r>
          </w:p>
        </w:tc>
      </w:tr>
      <w:tr w:rsidR="00EF1091" w:rsidRPr="000B794F" w:rsidTr="009E1DD3">
        <w:trPr>
          <w:trHeight w:val="987"/>
        </w:trPr>
        <w:tc>
          <w:tcPr>
            <w:tcW w:w="720" w:type="dxa"/>
            <w:tcBorders>
              <w:bottom w:val="single" w:sz="4" w:space="0" w:color="auto"/>
            </w:tcBorders>
          </w:tcPr>
          <w:p w:rsidR="00EF1091" w:rsidRPr="000B794F" w:rsidRDefault="00EF1091"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w:t>
            </w:r>
          </w:p>
        </w:tc>
        <w:tc>
          <w:tcPr>
            <w:tcW w:w="2340" w:type="dxa"/>
            <w:tcBorders>
              <w:bottom w:val="single" w:sz="4" w:space="0" w:color="auto"/>
            </w:tcBorders>
          </w:tcPr>
          <w:p w:rsidR="00EF1091" w:rsidRPr="000B794F" w:rsidRDefault="00EF1091" w:rsidP="00131224">
            <w:pPr>
              <w:pStyle w:val="rvps2"/>
              <w:spacing w:before="0" w:beforeAutospacing="0" w:after="0" w:afterAutospacing="0"/>
              <w:rPr>
                <w:rStyle w:val="rvts0"/>
              </w:rPr>
            </w:pPr>
            <w:r w:rsidRPr="000B794F">
              <w:rPr>
                <w:rStyle w:val="rvts0"/>
              </w:rPr>
              <w:t xml:space="preserve">Депозитарна установа </w:t>
            </w:r>
          </w:p>
          <w:p w:rsidR="00EF1091" w:rsidRPr="000B794F" w:rsidRDefault="00EF1091" w:rsidP="00131224">
            <w:pPr>
              <w:pStyle w:val="rvps2"/>
              <w:spacing w:before="0" w:beforeAutospacing="0" w:after="0" w:afterAutospacing="0"/>
            </w:pPr>
            <w:r w:rsidRPr="000B794F">
              <w:rPr>
                <w:rStyle w:val="rvts0"/>
              </w:rPr>
              <w:t xml:space="preserve">(далі - </w:t>
            </w:r>
            <w:r w:rsidR="00941858">
              <w:rPr>
                <w:rStyle w:val="rvts0"/>
              </w:rPr>
              <w:t>л</w:t>
            </w:r>
            <w:r w:rsidRPr="000B794F">
              <w:rPr>
                <w:rStyle w:val="rvts0"/>
              </w:rPr>
              <w:t xml:space="preserve">іцензіат)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w:t>
            </w:r>
            <w:r w:rsidRPr="000B794F">
              <w:rPr>
                <w:rStyle w:val="rvts0"/>
              </w:rPr>
              <w:lastRenderedPageBreak/>
              <w:t>цінні папери та обмеження прав на цінні папери, що належать такій депозитарній установі</w:t>
            </w:r>
            <w:r w:rsidR="007B5F6C">
              <w:rPr>
                <w:rStyle w:val="rvts0"/>
              </w:rPr>
              <w:t>.</w:t>
            </w:r>
          </w:p>
        </w:tc>
        <w:tc>
          <w:tcPr>
            <w:tcW w:w="1620" w:type="dxa"/>
            <w:tcBorders>
              <w:bottom w:val="single" w:sz="4" w:space="0" w:color="auto"/>
              <w:right w:val="single" w:sz="4" w:space="0" w:color="auto"/>
            </w:tcBorders>
          </w:tcPr>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F1091" w:rsidRPr="000B794F" w:rsidRDefault="00EF1091" w:rsidP="001F7A2A">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EF1091" w:rsidRPr="000B794F" w:rsidRDefault="00EF1091" w:rsidP="001F7A2A">
            <w:pPr>
              <w:pStyle w:val="NoSpacing"/>
              <w:jc w:val="center"/>
              <w:rPr>
                <w:rFonts w:ascii="Times New Roman" w:hAnsi="Times New Roman"/>
                <w:sz w:val="24"/>
                <w:szCs w:val="24"/>
                <w:lang w:val="uk-UA"/>
              </w:rPr>
            </w:pPr>
          </w:p>
        </w:tc>
        <w:tc>
          <w:tcPr>
            <w:tcW w:w="360" w:type="dxa"/>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EF1091" w:rsidRPr="000B794F" w:rsidRDefault="00EF1091"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EF1091" w:rsidRPr="000B794F" w:rsidRDefault="00EF1091" w:rsidP="008E26CC">
            <w:pPr>
              <w:rPr>
                <w:lang w:val="uk-UA"/>
              </w:rPr>
            </w:pPr>
            <w:r w:rsidRPr="000B794F">
              <w:rPr>
                <w:lang w:val="uk-UA"/>
              </w:rPr>
              <w:t>Абзац перший  пункту 1 глави 1 Розділу ІІ Ліцензійних умов № 862</w:t>
            </w:r>
          </w:p>
        </w:tc>
      </w:tr>
      <w:tr w:rsidR="00D14707" w:rsidRPr="000B794F" w:rsidTr="009E1DD3">
        <w:trPr>
          <w:trHeight w:val="987"/>
        </w:trPr>
        <w:tc>
          <w:tcPr>
            <w:tcW w:w="72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r w:rsidRPr="000B794F">
              <w:rPr>
                <w:rFonts w:ascii="Times New Roman" w:hAnsi="Times New Roman"/>
                <w:sz w:val="24"/>
                <w:szCs w:val="24"/>
                <w:lang w:val="uk-UA"/>
              </w:rPr>
              <w:t>2</w:t>
            </w:r>
          </w:p>
        </w:tc>
        <w:tc>
          <w:tcPr>
            <w:tcW w:w="2340" w:type="dxa"/>
            <w:tcBorders>
              <w:bottom w:val="single" w:sz="4" w:space="0" w:color="auto"/>
            </w:tcBorders>
          </w:tcPr>
          <w:p w:rsidR="00D14707" w:rsidRPr="000B794F" w:rsidRDefault="00D14707" w:rsidP="008E26CC">
            <w:pPr>
              <w:pStyle w:val="rvps2"/>
              <w:spacing w:before="0" w:beforeAutospacing="0" w:after="0" w:afterAutospacing="0"/>
            </w:pPr>
            <w:r w:rsidRPr="000B794F">
              <w:rPr>
                <w:rStyle w:val="rvts0"/>
              </w:rPr>
              <w:t>Депозитарна установа  провадить свою професійну діяльність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r w:rsidR="007B5F6C">
              <w:rPr>
                <w:rStyle w:val="rvts0"/>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D14707" w:rsidRPr="000B794F" w:rsidRDefault="00D14707" w:rsidP="008E26CC">
            <w:pPr>
              <w:rPr>
                <w:bCs/>
                <w:lang w:val="uk-UA"/>
              </w:rPr>
            </w:pPr>
            <w:r w:rsidRPr="000B794F">
              <w:rPr>
                <w:bCs/>
                <w:lang w:val="uk-UA"/>
              </w:rPr>
              <w:t xml:space="preserve">Пункт 2 </w:t>
            </w:r>
            <w:r w:rsidRPr="000B794F">
              <w:rPr>
                <w:lang w:val="uk-UA"/>
              </w:rPr>
              <w:t xml:space="preserve">глави 1 </w:t>
            </w:r>
            <w:r w:rsidRPr="000B794F">
              <w:rPr>
                <w:bCs/>
                <w:lang w:val="uk-UA"/>
              </w:rPr>
              <w:t>розділу ІІ Ліцензійних умов № 862</w:t>
            </w:r>
          </w:p>
          <w:p w:rsidR="00D14707" w:rsidRPr="000B794F" w:rsidRDefault="00D14707" w:rsidP="008E26CC">
            <w:pPr>
              <w:rPr>
                <w:bCs/>
                <w:color w:val="FF0000"/>
                <w:lang w:val="uk-UA"/>
              </w:rPr>
            </w:pPr>
          </w:p>
        </w:tc>
      </w:tr>
      <w:tr w:rsidR="00D14707" w:rsidRPr="000B794F" w:rsidTr="009E1DD3">
        <w:trPr>
          <w:trHeight w:val="987"/>
        </w:trPr>
        <w:tc>
          <w:tcPr>
            <w:tcW w:w="72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en-US"/>
              </w:rPr>
            </w:pPr>
            <w:r w:rsidRPr="000B794F">
              <w:rPr>
                <w:rFonts w:ascii="Times New Roman" w:hAnsi="Times New Roman"/>
                <w:sz w:val="24"/>
                <w:szCs w:val="24"/>
                <w:lang w:val="en-US"/>
              </w:rPr>
              <w:t>3</w:t>
            </w:r>
          </w:p>
        </w:tc>
        <w:tc>
          <w:tcPr>
            <w:tcW w:w="2340" w:type="dxa"/>
            <w:tcBorders>
              <w:bottom w:val="single" w:sz="4" w:space="0" w:color="auto"/>
            </w:tcBorders>
          </w:tcPr>
          <w:p w:rsidR="00D14707" w:rsidRPr="007B5F6C" w:rsidRDefault="00D14707" w:rsidP="008E26CC">
            <w:pPr>
              <w:rPr>
                <w:rStyle w:val="rvts0"/>
                <w:lang w:val="uk-UA"/>
              </w:rPr>
            </w:pPr>
            <w:r w:rsidRPr="000B794F">
              <w:rPr>
                <w:rStyle w:val="rvts0"/>
              </w:rPr>
              <w:t xml:space="preserve">Розмір зареєстрованого статутного капіталу депозитарної установи </w:t>
            </w:r>
            <w:r w:rsidRPr="000B794F">
              <w:rPr>
                <w:rStyle w:val="rvts0"/>
                <w:lang w:val="uk-UA"/>
              </w:rPr>
              <w:t>є</w:t>
            </w:r>
            <w:r w:rsidRPr="000B794F">
              <w:rPr>
                <w:rStyle w:val="rvts0"/>
              </w:rPr>
              <w:t xml:space="preserve"> не менше, ніж установлений законодавством України щодо цінних паперів для отримання ліцензії</w:t>
            </w:r>
            <w:r w:rsidR="007B5F6C">
              <w:rPr>
                <w:rStyle w:val="rvts0"/>
                <w:lang w:val="uk-UA"/>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D14707" w:rsidRPr="000B794F" w:rsidRDefault="00D14707" w:rsidP="008E26CC">
            <w:pPr>
              <w:pStyle w:val="HTML"/>
              <w:rPr>
                <w:rFonts w:ascii="Times New Roman" w:hAnsi="Times New Roman"/>
                <w:sz w:val="24"/>
                <w:szCs w:val="24"/>
                <w:lang w:val="uk-UA"/>
              </w:rPr>
            </w:pPr>
            <w:r w:rsidRPr="000B794F">
              <w:rPr>
                <w:rFonts w:ascii="Times New Roman" w:hAnsi="Times New Roman"/>
                <w:sz w:val="24"/>
                <w:szCs w:val="24"/>
                <w:lang w:val="uk-UA"/>
              </w:rPr>
              <w:t>Пункт 17 глави 1 розділу ІІ Ліцензійних умов № 862</w:t>
            </w:r>
          </w:p>
        </w:tc>
      </w:tr>
      <w:tr w:rsidR="00D14707" w:rsidRPr="000B794F" w:rsidTr="009E1DD3">
        <w:trPr>
          <w:trHeight w:val="987"/>
        </w:trPr>
        <w:tc>
          <w:tcPr>
            <w:tcW w:w="720" w:type="dxa"/>
            <w:tcBorders>
              <w:bottom w:val="single" w:sz="4" w:space="0" w:color="auto"/>
            </w:tcBorders>
          </w:tcPr>
          <w:p w:rsidR="00D14707" w:rsidRPr="00E82C8F" w:rsidRDefault="00D14707" w:rsidP="008E26CC">
            <w:pPr>
              <w:pStyle w:val="NoSpacing"/>
              <w:jc w:val="both"/>
              <w:rPr>
                <w:rFonts w:ascii="Times New Roman" w:hAnsi="Times New Roman"/>
                <w:sz w:val="24"/>
                <w:szCs w:val="24"/>
                <w:lang w:val="uk-UA"/>
              </w:rPr>
            </w:pPr>
            <w:r w:rsidRPr="00E82C8F">
              <w:rPr>
                <w:rFonts w:ascii="Times New Roman" w:hAnsi="Times New Roman"/>
                <w:sz w:val="24"/>
                <w:szCs w:val="24"/>
                <w:lang w:val="uk-UA"/>
              </w:rPr>
              <w:t>4</w:t>
            </w:r>
          </w:p>
        </w:tc>
        <w:tc>
          <w:tcPr>
            <w:tcW w:w="2340" w:type="dxa"/>
            <w:tcBorders>
              <w:bottom w:val="single" w:sz="4" w:space="0" w:color="auto"/>
            </w:tcBorders>
          </w:tcPr>
          <w:p w:rsidR="00D14707" w:rsidRPr="00E82C8F" w:rsidRDefault="00D14707" w:rsidP="008E26CC">
            <w:pPr>
              <w:pStyle w:val="rvps2"/>
              <w:spacing w:before="0" w:beforeAutospacing="0" w:after="0" w:afterAutospacing="0"/>
            </w:pPr>
            <w:r w:rsidRPr="00E82C8F">
              <w:t xml:space="preserve">Депозитарна установа протягом строку провадження депозитарної діяльності  дотримується </w:t>
            </w:r>
          </w:p>
          <w:p w:rsidR="00D14707" w:rsidRPr="00E82C8F" w:rsidRDefault="00D14707" w:rsidP="0070598B">
            <w:pPr>
              <w:ind w:right="-85"/>
              <w:rPr>
                <w:rStyle w:val="rvts0"/>
                <w:lang w:val="uk-UA"/>
              </w:rPr>
            </w:pPr>
            <w:bookmarkStart w:id="1" w:name="n237"/>
            <w:bookmarkEnd w:id="1"/>
            <w:r w:rsidRPr="00E82C8F">
              <w:rPr>
                <w:lang w:val="uk-UA"/>
              </w:rPr>
              <w:lastRenderedPageBreak/>
              <w:t xml:space="preserve">пруденційних нормативів, встановлених </w:t>
            </w:r>
            <w:hyperlink r:id="rId7" w:anchor="n20" w:tgtFrame="_blank" w:history="1">
              <w:r w:rsidRPr="00E82C8F">
                <w:rPr>
                  <w:rStyle w:val="af1"/>
                  <w:color w:val="auto"/>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E82C8F">
              <w:rPr>
                <w:rStyle w:val="rvts0"/>
                <w:lang w:val="uk-UA"/>
              </w:rPr>
              <w:t>, затвердженим рішенням Комісії від 01 жовтня 2015 року № 1597, зареєстрованим в Міністерстві юстиції 28 жовтня 2015 року за № 1311/27756</w:t>
            </w:r>
            <w:r w:rsidR="007B5F6C">
              <w:rPr>
                <w:rStyle w:val="rvts0"/>
                <w:lang w:val="uk-UA"/>
              </w:rPr>
              <w:t>.</w:t>
            </w:r>
          </w:p>
        </w:tc>
        <w:tc>
          <w:tcPr>
            <w:tcW w:w="1620" w:type="dxa"/>
            <w:tcBorders>
              <w:bottom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bottom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360" w:type="dxa"/>
            <w:gridSpan w:val="2"/>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900" w:type="dxa"/>
            <w:tcBorders>
              <w:bottom w:val="single" w:sz="4" w:space="0" w:color="auto"/>
            </w:tcBorders>
          </w:tcPr>
          <w:p w:rsidR="00D14707" w:rsidRPr="000B794F" w:rsidRDefault="00D14707" w:rsidP="008E26CC">
            <w:pPr>
              <w:pStyle w:val="NoSpacing"/>
              <w:jc w:val="both"/>
              <w:rPr>
                <w:rFonts w:ascii="Times New Roman" w:hAnsi="Times New Roman"/>
                <w:sz w:val="24"/>
                <w:szCs w:val="24"/>
                <w:lang w:val="uk-UA"/>
              </w:rPr>
            </w:pPr>
          </w:p>
        </w:tc>
        <w:tc>
          <w:tcPr>
            <w:tcW w:w="1800" w:type="dxa"/>
            <w:tcBorders>
              <w:bottom w:val="single" w:sz="4" w:space="0" w:color="auto"/>
            </w:tcBorders>
          </w:tcPr>
          <w:p w:rsidR="00E82C8F" w:rsidRDefault="00E82C8F" w:rsidP="00435F75">
            <w:pPr>
              <w:pStyle w:val="HTML"/>
              <w:rPr>
                <w:rFonts w:ascii="Times New Roman" w:hAnsi="Times New Roman"/>
                <w:sz w:val="24"/>
                <w:szCs w:val="24"/>
                <w:lang w:val="uk-UA"/>
              </w:rPr>
            </w:pPr>
            <w:r>
              <w:rPr>
                <w:rFonts w:ascii="Times New Roman" w:hAnsi="Times New Roman"/>
                <w:sz w:val="24"/>
                <w:szCs w:val="24"/>
                <w:lang w:val="uk-UA"/>
              </w:rPr>
              <w:t>Абзаци перший, сьомий</w:t>
            </w:r>
          </w:p>
          <w:p w:rsidR="00D14707" w:rsidRPr="000B794F" w:rsidRDefault="00E82C8F" w:rsidP="00435F75">
            <w:pPr>
              <w:pStyle w:val="HTML"/>
              <w:rPr>
                <w:rFonts w:ascii="Times New Roman" w:hAnsi="Times New Roman"/>
                <w:sz w:val="24"/>
                <w:szCs w:val="24"/>
                <w:lang w:val="uk-UA"/>
              </w:rPr>
            </w:pPr>
            <w:r>
              <w:rPr>
                <w:rFonts w:ascii="Times New Roman" w:hAnsi="Times New Roman"/>
                <w:sz w:val="24"/>
                <w:szCs w:val="24"/>
                <w:lang w:val="uk-UA"/>
              </w:rPr>
              <w:t>п</w:t>
            </w:r>
            <w:r w:rsidR="00D14707" w:rsidRPr="000B794F">
              <w:rPr>
                <w:rFonts w:ascii="Times New Roman" w:hAnsi="Times New Roman"/>
                <w:sz w:val="24"/>
                <w:szCs w:val="24"/>
                <w:lang w:val="uk-UA"/>
              </w:rPr>
              <w:t>ункт</w:t>
            </w:r>
            <w:r>
              <w:rPr>
                <w:rFonts w:ascii="Times New Roman" w:hAnsi="Times New Roman"/>
                <w:sz w:val="24"/>
                <w:szCs w:val="24"/>
                <w:lang w:val="uk-UA"/>
              </w:rPr>
              <w:t>у</w:t>
            </w:r>
            <w:r w:rsidR="00D14707" w:rsidRPr="000B794F">
              <w:rPr>
                <w:rFonts w:ascii="Times New Roman" w:hAnsi="Times New Roman"/>
                <w:sz w:val="24"/>
                <w:szCs w:val="24"/>
                <w:lang w:val="uk-UA"/>
              </w:rPr>
              <w:t xml:space="preserve"> 16 глави 1 розділу ІІ Ліцензійних </w:t>
            </w:r>
            <w:r w:rsidR="00D14707" w:rsidRPr="000B794F">
              <w:rPr>
                <w:rFonts w:ascii="Times New Roman" w:hAnsi="Times New Roman"/>
                <w:sz w:val="24"/>
                <w:szCs w:val="24"/>
                <w:lang w:val="uk-UA"/>
              </w:rPr>
              <w:lastRenderedPageBreak/>
              <w:t>умов № 862;</w:t>
            </w:r>
          </w:p>
          <w:p w:rsidR="00D14707" w:rsidRPr="000B794F" w:rsidRDefault="00D14707" w:rsidP="00435F75">
            <w:pPr>
              <w:pStyle w:val="HTML"/>
              <w:rPr>
                <w:rFonts w:ascii="Times New Roman" w:hAnsi="Times New Roman"/>
                <w:sz w:val="24"/>
                <w:szCs w:val="24"/>
                <w:lang w:val="uk-UA"/>
              </w:rPr>
            </w:pPr>
            <w:r w:rsidRPr="000B794F">
              <w:rPr>
                <w:rFonts w:ascii="Times New Roman" w:hAnsi="Times New Roman"/>
                <w:sz w:val="24"/>
                <w:szCs w:val="24"/>
                <w:lang w:val="uk-UA"/>
              </w:rPr>
              <w:t xml:space="preserve">Положення </w:t>
            </w:r>
          </w:p>
          <w:p w:rsidR="00D14707" w:rsidRPr="000B794F" w:rsidRDefault="00D14707" w:rsidP="00435F75">
            <w:pPr>
              <w:pStyle w:val="HTML"/>
              <w:rPr>
                <w:rFonts w:ascii="Times New Roman" w:hAnsi="Times New Roman"/>
                <w:sz w:val="24"/>
                <w:szCs w:val="24"/>
                <w:lang w:val="uk-UA"/>
              </w:rPr>
            </w:pPr>
            <w:r w:rsidRPr="000B794F">
              <w:rPr>
                <w:rFonts w:ascii="Times New Roman" w:hAnsi="Times New Roman"/>
                <w:sz w:val="24"/>
                <w:szCs w:val="24"/>
                <w:lang w:val="uk-UA"/>
              </w:rPr>
              <w:t>№</w:t>
            </w:r>
            <w:r w:rsidRPr="000B794F">
              <w:rPr>
                <w:rStyle w:val="rvts0"/>
                <w:rFonts w:ascii="Times New Roman" w:hAnsi="Times New Roman"/>
                <w:sz w:val="24"/>
                <w:szCs w:val="24"/>
                <w:lang w:val="uk-UA"/>
              </w:rPr>
              <w:t xml:space="preserve"> 1597</w:t>
            </w:r>
          </w:p>
        </w:tc>
      </w:tr>
      <w:tr w:rsidR="00452120" w:rsidRPr="000B794F" w:rsidTr="009E1DD3">
        <w:trPr>
          <w:trHeight w:val="345"/>
        </w:trPr>
        <w:tc>
          <w:tcPr>
            <w:tcW w:w="9900" w:type="dxa"/>
            <w:gridSpan w:val="9"/>
            <w:tcBorders>
              <w:bottom w:val="single" w:sz="4" w:space="0" w:color="auto"/>
            </w:tcBorders>
          </w:tcPr>
          <w:p w:rsidR="00452120" w:rsidRPr="000B794F" w:rsidRDefault="00452120" w:rsidP="00452120">
            <w:pPr>
              <w:pStyle w:val="HTML"/>
              <w:jc w:val="center"/>
              <w:rPr>
                <w:rFonts w:ascii="Times New Roman" w:hAnsi="Times New Roman"/>
                <w:sz w:val="28"/>
                <w:szCs w:val="28"/>
                <w:lang w:val="uk-UA"/>
              </w:rPr>
            </w:pPr>
            <w:r w:rsidRPr="000B794F">
              <w:rPr>
                <w:rFonts w:ascii="Times New Roman" w:hAnsi="Times New Roman"/>
                <w:b/>
                <w:sz w:val="28"/>
                <w:szCs w:val="28"/>
                <w:lang w:val="uk-UA"/>
              </w:rPr>
              <w:lastRenderedPageBreak/>
              <w:t>ІІ. Спеціальні питання</w:t>
            </w:r>
          </w:p>
        </w:tc>
      </w:tr>
      <w:tr w:rsidR="00D14707" w:rsidRPr="000B794F" w:rsidTr="009E1DD3">
        <w:trPr>
          <w:trHeight w:val="1346"/>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w:t>
            </w:r>
          </w:p>
        </w:tc>
        <w:tc>
          <w:tcPr>
            <w:tcW w:w="2340" w:type="dxa"/>
            <w:tcBorders>
              <w:top w:val="single" w:sz="4" w:space="0" w:color="auto"/>
            </w:tcBorders>
          </w:tcPr>
          <w:p w:rsidR="00D14707" w:rsidRPr="000B794F" w:rsidRDefault="00D14707" w:rsidP="009E1DD3">
            <w:pPr>
              <w:pStyle w:val="rvps2"/>
              <w:ind w:right="-85"/>
            </w:pPr>
            <w:bookmarkStart w:id="2" w:name="n163"/>
            <w:bookmarkEnd w:id="2"/>
            <w:r w:rsidRPr="000B794F">
              <w:rPr>
                <w:rStyle w:val="rvts0"/>
              </w:rPr>
              <w:t xml:space="preserve">Депозитарна установа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w:t>
            </w:r>
            <w:r w:rsidRPr="000B794F">
              <w:rPr>
                <w:rStyle w:val="rvts0"/>
              </w:rPr>
              <w:lastRenderedPageBreak/>
              <w:t>невід'ємною частиною її внутрішньої організаційної структури та має інше місцезнаходження, депозитарна установа  має у власності або в користуванні нежитлове приміщення за місцезнаходженням такого підрозділу, яке повинно відповідає встановленим для цього приміщення вимогам</w:t>
            </w:r>
            <w:r w:rsidR="007B5F6C">
              <w:rPr>
                <w:rStyle w:val="rvts0"/>
              </w:rPr>
              <w:t>.</w:t>
            </w:r>
          </w:p>
        </w:tc>
        <w:tc>
          <w:tcPr>
            <w:tcW w:w="1620" w:type="dxa"/>
            <w:tcBorders>
              <w:top w:val="single" w:sz="4" w:space="0" w:color="auto"/>
              <w:right w:val="single" w:sz="4" w:space="0" w:color="auto"/>
            </w:tcBorders>
          </w:tcPr>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B24236">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B24236">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другий  пункту 1 глави 1 Розділу ІІ Ліцензійних умов № 862</w:t>
            </w:r>
          </w:p>
        </w:tc>
      </w:tr>
      <w:tr w:rsidR="00D14707" w:rsidRPr="000B794F" w:rsidTr="009E1DD3">
        <w:trPr>
          <w:trHeight w:val="44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5.1</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становить не менше ніж </w:t>
            </w:r>
            <w:smartTag w:uri="urn:schemas-microsoft-com:office:smarttags" w:element="metricconverter">
              <w:smartTagPr>
                <w:attr w:name="ProductID" w:val="20 кв. м"/>
              </w:smartTagPr>
              <w:r w:rsidRPr="000B794F">
                <w:rPr>
                  <w:rStyle w:val="rvts0"/>
                </w:rPr>
                <w:t>20 кв. м</w:t>
              </w:r>
            </w:smartTag>
            <w:r w:rsidRPr="000B794F">
              <w:rPr>
                <w:rStyle w:val="rvts0"/>
              </w:rPr>
              <w:t>. При цьому таке приміщення відповідає встановленим для цього виду професійної діяльності вимогам та має операційний зал для провадження цієї діяльності. Вимоги до приміщення відокремленого підрозділу депозитарної установи такі самі, як і до приміщення депозитарної установи</w:t>
            </w:r>
            <w:r w:rsidR="007B5F6C">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третій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lastRenderedPageBreak/>
              <w:t>5.2</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Загальна площа нежитлового приміщення 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w:t>
            </w:r>
            <w:r w:rsidR="007B5F6C">
              <w:rPr>
                <w:rStyle w:val="rvts0"/>
              </w:rPr>
              <w:t xml:space="preserve"> кімнат, становить не менше ніж</w:t>
            </w:r>
            <w:r w:rsidR="009571E7">
              <w:rPr>
                <w:rStyle w:val="rvts0"/>
              </w:rPr>
              <w:t xml:space="preserve"> </w:t>
            </w:r>
            <w:smartTag w:uri="urn:schemas-microsoft-com:office:smarttags" w:element="metricconverter">
              <w:smartTagPr>
                <w:attr w:name="ProductID" w:val="40 кв. м"/>
              </w:smartTagPr>
              <w:r w:rsidRPr="000B794F">
                <w:rPr>
                  <w:rStyle w:val="rvts0"/>
                </w:rPr>
                <w:t>40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четвертий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5.3</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становить не менше ніж </w:t>
            </w:r>
            <w:smartTag w:uri="urn:schemas-microsoft-com:office:smarttags" w:element="metricconverter">
              <w:smartTagPr>
                <w:attr w:name="ProductID" w:val="60 кв. м"/>
              </w:smartTagPr>
              <w:r w:rsidRPr="000B794F">
                <w:rPr>
                  <w:rStyle w:val="rvts0"/>
                </w:rPr>
                <w:t>60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п’ятий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5.4</w:t>
            </w:r>
          </w:p>
        </w:tc>
        <w:tc>
          <w:tcPr>
            <w:tcW w:w="2340" w:type="dxa"/>
            <w:tcBorders>
              <w:top w:val="single" w:sz="4" w:space="0" w:color="auto"/>
            </w:tcBorders>
          </w:tcPr>
          <w:p w:rsidR="009E1DD3" w:rsidRDefault="00D14707" w:rsidP="009E1DD3">
            <w:pPr>
              <w:pStyle w:val="rvps2"/>
              <w:spacing w:before="0" w:beforeAutospacing="0" w:after="0" w:afterAutospacing="0"/>
              <w:rPr>
                <w:rStyle w:val="rvts0"/>
              </w:rPr>
            </w:pPr>
            <w:r w:rsidRPr="000B794F">
              <w:rPr>
                <w:rStyle w:val="rvts0"/>
              </w:rPr>
              <w:t xml:space="preserve">Загальна площа нежитлового приміщення депозитарної установи (крім банку), яке складається з окремих кімнат, для провадження діяльності з торгівлі </w:t>
            </w:r>
            <w:r w:rsidRPr="000B794F">
              <w:rPr>
                <w:rStyle w:val="rvts0"/>
              </w:rPr>
              <w:lastRenderedPageBreak/>
              <w:t xml:space="preserve">цінними паперами та депозитарної діяльності депозитарної установи становить не менше ніж </w:t>
            </w:r>
          </w:p>
          <w:p w:rsidR="00D14707" w:rsidRPr="000B794F" w:rsidRDefault="00D14707" w:rsidP="009E1DD3">
            <w:pPr>
              <w:pStyle w:val="rvps2"/>
              <w:spacing w:before="0" w:beforeAutospacing="0" w:after="0" w:afterAutospacing="0"/>
              <w:rPr>
                <w:rStyle w:val="rvts0"/>
              </w:rPr>
            </w:pPr>
            <w:smartTag w:uri="urn:schemas-microsoft-com:office:smarttags" w:element="metricconverter">
              <w:smartTagPr>
                <w:attr w:name="ProductID" w:val="40 кв. м"/>
              </w:smartTagPr>
              <w:r w:rsidRPr="000B794F">
                <w:rPr>
                  <w:rStyle w:val="rvts0"/>
                </w:rPr>
                <w:t>40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шостий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5.5</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становить не менше </w:t>
            </w:r>
            <w:smartTag w:uri="urn:schemas-microsoft-com:office:smarttags" w:element="metricconverter">
              <w:smartTagPr>
                <w:attr w:name="ProductID" w:val="15 кв. м"/>
              </w:smartTagPr>
              <w:r w:rsidRPr="000B794F">
                <w:rPr>
                  <w:rStyle w:val="rvts0"/>
                </w:rPr>
                <w:t>15 кв. м</w:t>
              </w:r>
            </w:smartTag>
            <w:r w:rsidRPr="000B794F">
              <w:rPr>
                <w:rStyle w:val="rvts0"/>
              </w:rPr>
              <w:t>.</w:t>
            </w:r>
          </w:p>
        </w:tc>
        <w:tc>
          <w:tcPr>
            <w:tcW w:w="1620" w:type="dxa"/>
            <w:tcBorders>
              <w:top w:val="single" w:sz="4" w:space="0" w:color="auto"/>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 xml:space="preserve">Абзац </w:t>
            </w:r>
            <w:r w:rsidR="009E1DD3">
              <w:rPr>
                <w:lang w:val="uk-UA"/>
              </w:rPr>
              <w:t>сьомий</w:t>
            </w:r>
            <w:r w:rsidRPr="000B794F">
              <w:rPr>
                <w:lang w:val="uk-UA"/>
              </w:rPr>
              <w:t xml:space="preserve"> пункту 1 глави 1 Розділу ІІ Ліцензійних умов № 862</w:t>
            </w:r>
          </w:p>
          <w:p w:rsidR="00D14707" w:rsidRPr="000B794F" w:rsidRDefault="00D14707" w:rsidP="00C933E3">
            <w:pPr>
              <w:rPr>
                <w:lang w:val="uk-UA"/>
              </w:rPr>
            </w:pPr>
          </w:p>
          <w:p w:rsidR="00D14707" w:rsidRPr="000B794F" w:rsidRDefault="00D14707" w:rsidP="00C933E3">
            <w:pPr>
              <w:rPr>
                <w:lang w:val="uk-UA"/>
              </w:rPr>
            </w:pP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5.6</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 xml:space="preserve">Виконавчий орган депозитарної установи (крім банку) знаходиться у нежитловому приміщенні за місцезнаходженням депозитарної установи, зазначеним у Єдиному державному реєстрі юридичних осіб, фізичних осіб - підприємців та громадських формувань. Документи, що регламентують провадження професійної </w:t>
            </w:r>
            <w:r w:rsidRPr="000B794F">
              <w:rPr>
                <w:rStyle w:val="rvts0"/>
              </w:rPr>
              <w:lastRenderedPageBreak/>
              <w:t>діяльності, зберігаються у цьому приміщенні ліцензіата</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восьмий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5.7</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За місцезнаходженням (тимчасовим місцезнаходженням) депозитарної установи (її відокремленого підрозділу) (крім банку) є вивіска із зазначенням найменування та місця її розташування (поверху та номерів кімнат), а також графіка роботи</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дев’ятий пункту 1 глави 1 Розділу ІІ Ліцензійних умов № 862</w:t>
            </w:r>
          </w:p>
        </w:tc>
      </w:tr>
      <w:tr w:rsidR="00D14707" w:rsidRPr="000B794F" w:rsidTr="009E1DD3">
        <w:trPr>
          <w:trHeight w:val="807"/>
        </w:trPr>
        <w:tc>
          <w:tcPr>
            <w:tcW w:w="720" w:type="dxa"/>
            <w:tcBorders>
              <w:top w:val="single" w:sz="4" w:space="0" w:color="auto"/>
            </w:tcBorders>
          </w:tcPr>
          <w:p w:rsidR="00D14707" w:rsidRPr="000B794F" w:rsidRDefault="00D14707" w:rsidP="00841646">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5.8</w:t>
            </w:r>
          </w:p>
        </w:tc>
        <w:tc>
          <w:tcPr>
            <w:tcW w:w="2340" w:type="dxa"/>
            <w:tcBorders>
              <w:top w:val="single" w:sz="4" w:space="0" w:color="auto"/>
            </w:tcBorders>
          </w:tcPr>
          <w:p w:rsidR="00D14707" w:rsidRPr="000B794F" w:rsidRDefault="00D14707" w:rsidP="008728B7">
            <w:pPr>
              <w:pStyle w:val="rvps2"/>
              <w:rPr>
                <w:rStyle w:val="rvts0"/>
              </w:rPr>
            </w:pPr>
            <w:r w:rsidRPr="000B794F">
              <w:rPr>
                <w:rStyle w:val="rvts0"/>
              </w:rPr>
              <w:t>Депозитарна установа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r w:rsidR="007B5F6C">
              <w:rPr>
                <w:rStyle w:val="rvts0"/>
              </w:rPr>
              <w:t>.</w:t>
            </w:r>
          </w:p>
        </w:tc>
        <w:tc>
          <w:tcPr>
            <w:tcW w:w="1620" w:type="dxa"/>
            <w:tcBorders>
              <w:top w:val="single" w:sz="4" w:space="0" w:color="auto"/>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top w:val="single" w:sz="4" w:space="0" w:color="auto"/>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900" w:type="dxa"/>
            <w:tcBorders>
              <w:top w:val="single" w:sz="4" w:space="0" w:color="auto"/>
            </w:tcBorders>
          </w:tcPr>
          <w:p w:rsidR="00D14707" w:rsidRPr="000B794F" w:rsidRDefault="00D14707" w:rsidP="0014582B">
            <w:pPr>
              <w:pStyle w:val="NoSpacing"/>
              <w:jc w:val="both"/>
              <w:rPr>
                <w:rFonts w:ascii="Times New Roman" w:hAnsi="Times New Roman"/>
                <w:sz w:val="24"/>
                <w:szCs w:val="24"/>
                <w:lang w:val="uk-UA"/>
              </w:rPr>
            </w:pPr>
          </w:p>
        </w:tc>
        <w:tc>
          <w:tcPr>
            <w:tcW w:w="1800" w:type="dxa"/>
            <w:tcBorders>
              <w:top w:val="single" w:sz="4" w:space="0" w:color="auto"/>
            </w:tcBorders>
          </w:tcPr>
          <w:p w:rsidR="00D14707" w:rsidRPr="000B794F" w:rsidRDefault="00D14707" w:rsidP="00C933E3">
            <w:pPr>
              <w:rPr>
                <w:lang w:val="uk-UA"/>
              </w:rPr>
            </w:pPr>
            <w:r w:rsidRPr="000B794F">
              <w:rPr>
                <w:lang w:val="uk-UA"/>
              </w:rPr>
              <w:t>Абзац десятий пункту 1 глави 1 Розділу ІІ Ліцензійних умов № 862</w:t>
            </w:r>
          </w:p>
        </w:tc>
      </w:tr>
      <w:tr w:rsidR="00D14707" w:rsidRPr="000B794F" w:rsidTr="009E1DD3">
        <w:tc>
          <w:tcPr>
            <w:tcW w:w="720" w:type="dxa"/>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w:t>
            </w:r>
          </w:p>
        </w:tc>
        <w:tc>
          <w:tcPr>
            <w:tcW w:w="2340" w:type="dxa"/>
          </w:tcPr>
          <w:p w:rsidR="00D14707" w:rsidRPr="007B5F6C" w:rsidRDefault="00D14707" w:rsidP="00CB5AA5">
            <w:pPr>
              <w:rPr>
                <w:lang w:val="uk-UA"/>
              </w:rPr>
            </w:pPr>
            <w:r w:rsidRPr="000B794F">
              <w:rPr>
                <w:rStyle w:val="rvts0"/>
              </w:rPr>
              <w:t>Для провадження депозитарної діяльності депозитарна установа  створи</w:t>
            </w:r>
            <w:r w:rsidRPr="000B794F">
              <w:rPr>
                <w:rStyle w:val="rvts0"/>
                <w:lang w:val="uk-UA"/>
              </w:rPr>
              <w:t>ла</w:t>
            </w:r>
            <w:r w:rsidRPr="000B794F">
              <w:rPr>
                <w:rStyle w:val="rvts0"/>
              </w:rPr>
              <w:t xml:space="preserve"> структурний підрозділ. Цей підрозділ </w:t>
            </w:r>
            <w:r w:rsidRPr="000B794F">
              <w:rPr>
                <w:rStyle w:val="rvts0"/>
                <w:lang w:val="uk-UA"/>
              </w:rPr>
              <w:t>є</w:t>
            </w:r>
            <w:r w:rsidRPr="000B794F">
              <w:rPr>
                <w:rStyle w:val="rvts0"/>
              </w:rPr>
              <w:t xml:space="preserve"> відокремлений від інших підрозділів цієї юридичної особи та розташову</w:t>
            </w:r>
            <w:r w:rsidRPr="000B794F">
              <w:rPr>
                <w:rStyle w:val="rvts0"/>
                <w:lang w:val="uk-UA"/>
              </w:rPr>
              <w:t>єтьс</w:t>
            </w:r>
            <w:r w:rsidRPr="000B794F">
              <w:rPr>
                <w:rStyle w:val="rvts0"/>
              </w:rPr>
              <w:t xml:space="preserve"> в окремому (окремих) приміщенні (приміщеннях). Організація </w:t>
            </w:r>
            <w:r w:rsidRPr="000B794F">
              <w:rPr>
                <w:rStyle w:val="rvts0"/>
              </w:rPr>
              <w:lastRenderedPageBreak/>
              <w:t>діяльності такого підрозділу регламенту</w:t>
            </w:r>
            <w:r w:rsidRPr="000B794F">
              <w:rPr>
                <w:rStyle w:val="rvts0"/>
                <w:lang w:val="uk-UA"/>
              </w:rPr>
              <w:t>ється</w:t>
            </w:r>
            <w:r w:rsidRPr="000B794F">
              <w:rPr>
                <w:rStyle w:val="rvts0"/>
              </w:rPr>
              <w:t xml:space="preserve"> положенням про внутрішній структурний підрозділ</w:t>
            </w:r>
            <w:r w:rsidR="007B5F6C">
              <w:rPr>
                <w:rStyle w:val="rvts0"/>
                <w:lang w:val="uk-UA"/>
              </w:rPr>
              <w:t>.</w:t>
            </w:r>
          </w:p>
        </w:tc>
        <w:tc>
          <w:tcPr>
            <w:tcW w:w="1620" w:type="dxa"/>
            <w:tcBorders>
              <w:right w:val="single" w:sz="4" w:space="0" w:color="auto"/>
            </w:tcBorders>
          </w:tcPr>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602739">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D14707" w:rsidRPr="000B794F" w:rsidRDefault="00D14707" w:rsidP="00602739">
            <w:pPr>
              <w:pStyle w:val="NoSpacing"/>
              <w:jc w:val="center"/>
              <w:rPr>
                <w:rFonts w:ascii="Times New Roman" w:hAnsi="Times New Roman"/>
                <w:sz w:val="24"/>
                <w:szCs w:val="24"/>
                <w:lang w:val="uk-UA"/>
              </w:rPr>
            </w:pPr>
          </w:p>
        </w:tc>
        <w:tc>
          <w:tcPr>
            <w:tcW w:w="360" w:type="dxa"/>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Pr>
          <w:p w:rsidR="00D14707" w:rsidRPr="000B794F" w:rsidRDefault="00D14707" w:rsidP="0014582B">
            <w:pPr>
              <w:pStyle w:val="NoSpacing"/>
              <w:jc w:val="both"/>
              <w:rPr>
                <w:rFonts w:ascii="Times New Roman" w:hAnsi="Times New Roman"/>
                <w:sz w:val="24"/>
                <w:szCs w:val="24"/>
                <w:lang w:val="uk-UA"/>
              </w:rPr>
            </w:pPr>
          </w:p>
        </w:tc>
        <w:tc>
          <w:tcPr>
            <w:tcW w:w="900" w:type="dxa"/>
          </w:tcPr>
          <w:p w:rsidR="00D14707" w:rsidRPr="000B794F" w:rsidRDefault="00D14707" w:rsidP="0014582B">
            <w:pPr>
              <w:pStyle w:val="NoSpacing"/>
              <w:jc w:val="both"/>
              <w:rPr>
                <w:rFonts w:ascii="Times New Roman" w:hAnsi="Times New Roman"/>
                <w:sz w:val="24"/>
                <w:szCs w:val="24"/>
                <w:lang w:val="uk-UA"/>
              </w:rPr>
            </w:pPr>
          </w:p>
        </w:tc>
        <w:tc>
          <w:tcPr>
            <w:tcW w:w="1800" w:type="dxa"/>
          </w:tcPr>
          <w:p w:rsidR="00D14707" w:rsidRPr="000B794F" w:rsidRDefault="00D14707" w:rsidP="00F30FD2">
            <w:pPr>
              <w:rPr>
                <w:bCs/>
                <w:lang w:val="uk-UA"/>
              </w:rPr>
            </w:pPr>
            <w:r w:rsidRPr="000B794F">
              <w:rPr>
                <w:bCs/>
                <w:lang w:val="uk-UA"/>
              </w:rPr>
              <w:t xml:space="preserve">Абзац перший пункту 3 </w:t>
            </w:r>
            <w:r w:rsidRPr="000B794F">
              <w:rPr>
                <w:lang w:val="uk-UA"/>
              </w:rPr>
              <w:t xml:space="preserve">глави 1 </w:t>
            </w:r>
            <w:r w:rsidRPr="000B794F">
              <w:rPr>
                <w:bCs/>
                <w:lang w:val="uk-UA"/>
              </w:rPr>
              <w:t>розділу ІІ Ліцензійних умов № 862</w:t>
            </w:r>
          </w:p>
          <w:p w:rsidR="00D14707" w:rsidRPr="000B794F" w:rsidRDefault="00D14707" w:rsidP="0013417C">
            <w:pPr>
              <w:rPr>
                <w:bCs/>
                <w:lang w:val="uk-UA"/>
              </w:rPr>
            </w:pPr>
          </w:p>
        </w:tc>
      </w:tr>
      <w:tr w:rsidR="00D14707" w:rsidRPr="000B794F" w:rsidTr="009E1DD3">
        <w:tc>
          <w:tcPr>
            <w:tcW w:w="720" w:type="dxa"/>
          </w:tcPr>
          <w:p w:rsidR="00D14707" w:rsidRPr="000B794F" w:rsidRDefault="00D14707"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6.1</w:t>
            </w:r>
          </w:p>
        </w:tc>
        <w:tc>
          <w:tcPr>
            <w:tcW w:w="2340" w:type="dxa"/>
          </w:tcPr>
          <w:p w:rsidR="00D14707" w:rsidRPr="000B794F" w:rsidRDefault="00D14707" w:rsidP="00CB5AA5">
            <w:pPr>
              <w:rPr>
                <w:rStyle w:val="rvts0"/>
                <w:lang w:val="uk-UA"/>
              </w:rPr>
            </w:pPr>
            <w:r w:rsidRPr="000B794F">
              <w:rPr>
                <w:rStyle w:val="rvts0"/>
                <w:lang w:val="uk-UA"/>
              </w:rPr>
              <w:t xml:space="preserve">Фахівці депозитарної установи (у тому числі керівні посадові особи), її відокремлених підрозділів або спеціалізованих структурних підрозділів, які безпосередньо провадять професійну діяльність, мають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w:t>
            </w:r>
          </w:p>
          <w:p w:rsidR="00D14707" w:rsidRPr="000B794F" w:rsidRDefault="00D14707" w:rsidP="00CB5AA5">
            <w:pPr>
              <w:rPr>
                <w:rStyle w:val="rvts0"/>
                <w:lang w:val="uk-UA"/>
              </w:rPr>
            </w:pPr>
            <w:r w:rsidRPr="000B794F">
              <w:rPr>
                <w:rStyle w:val="rvts0"/>
                <w:lang w:val="uk-UA"/>
              </w:rPr>
              <w:t>(далі - сертифіковані фахівці), та відповідають кваліфікаційним вимогам, установленим при отриманні ліцензії та/або при створенні відокремленого підрозділу.</w:t>
            </w:r>
          </w:p>
          <w:p w:rsidR="00D14707" w:rsidRPr="000B794F" w:rsidRDefault="00D14707" w:rsidP="00CB5AA5">
            <w:pPr>
              <w:rPr>
                <w:rStyle w:val="rvts0"/>
                <w:lang w:val="uk-UA"/>
              </w:rPr>
            </w:pPr>
            <w:r w:rsidRPr="000B794F">
              <w:rPr>
                <w:rStyle w:val="rvts0"/>
                <w:lang w:val="uk-UA"/>
              </w:rPr>
              <w:t xml:space="preserve">Ці вимоги не поширюються на керівників депозитарної установи - банку за наявності заступника керівника банку або членів виконавчого </w:t>
            </w:r>
            <w:r w:rsidRPr="000B794F">
              <w:rPr>
                <w:rStyle w:val="rvts0"/>
                <w:lang w:val="uk-UA"/>
              </w:rPr>
              <w:lastRenderedPageBreak/>
              <w:t>органу, які згідно з розподілом обов’язків відповідно до внутрішніх документів банку відповідають за здійснення банком депозитарної діяльності</w:t>
            </w:r>
            <w:r w:rsidR="007B5F6C">
              <w:rPr>
                <w:rStyle w:val="rvts0"/>
                <w:lang w:val="uk-UA"/>
              </w:rPr>
              <w:t>.</w:t>
            </w:r>
          </w:p>
        </w:tc>
        <w:tc>
          <w:tcPr>
            <w:tcW w:w="1620" w:type="dxa"/>
            <w:tcBorders>
              <w:right w:val="single" w:sz="4" w:space="0" w:color="auto"/>
            </w:tcBorders>
          </w:tcPr>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D14707" w:rsidRPr="000B794F" w:rsidRDefault="00D14707"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D14707" w:rsidRPr="000B794F" w:rsidRDefault="00D14707" w:rsidP="005558F3">
            <w:pPr>
              <w:pStyle w:val="NoSpacing"/>
              <w:jc w:val="center"/>
              <w:rPr>
                <w:rFonts w:ascii="Times New Roman" w:hAnsi="Times New Roman"/>
                <w:sz w:val="24"/>
                <w:szCs w:val="24"/>
                <w:lang w:val="uk-UA"/>
              </w:rPr>
            </w:pPr>
          </w:p>
        </w:tc>
        <w:tc>
          <w:tcPr>
            <w:tcW w:w="360" w:type="dxa"/>
          </w:tcPr>
          <w:p w:rsidR="00D14707" w:rsidRPr="000B794F" w:rsidRDefault="00D14707" w:rsidP="0014582B">
            <w:pPr>
              <w:pStyle w:val="NoSpacing"/>
              <w:jc w:val="both"/>
              <w:rPr>
                <w:rFonts w:ascii="Times New Roman" w:hAnsi="Times New Roman"/>
                <w:sz w:val="24"/>
                <w:szCs w:val="24"/>
                <w:lang w:val="uk-UA"/>
              </w:rPr>
            </w:pPr>
          </w:p>
        </w:tc>
        <w:tc>
          <w:tcPr>
            <w:tcW w:w="360" w:type="dxa"/>
            <w:gridSpan w:val="2"/>
          </w:tcPr>
          <w:p w:rsidR="00D14707" w:rsidRPr="000B794F" w:rsidRDefault="00D14707" w:rsidP="0014582B">
            <w:pPr>
              <w:pStyle w:val="NoSpacing"/>
              <w:jc w:val="both"/>
              <w:rPr>
                <w:rFonts w:ascii="Times New Roman" w:hAnsi="Times New Roman"/>
                <w:sz w:val="24"/>
                <w:szCs w:val="24"/>
                <w:lang w:val="uk-UA"/>
              </w:rPr>
            </w:pPr>
          </w:p>
        </w:tc>
        <w:tc>
          <w:tcPr>
            <w:tcW w:w="900" w:type="dxa"/>
          </w:tcPr>
          <w:p w:rsidR="00D14707" w:rsidRPr="000B794F" w:rsidRDefault="00D14707" w:rsidP="0014582B">
            <w:pPr>
              <w:pStyle w:val="NoSpacing"/>
              <w:jc w:val="both"/>
              <w:rPr>
                <w:rFonts w:ascii="Times New Roman" w:hAnsi="Times New Roman"/>
                <w:sz w:val="24"/>
                <w:szCs w:val="24"/>
                <w:lang w:val="uk-UA"/>
              </w:rPr>
            </w:pPr>
          </w:p>
        </w:tc>
        <w:tc>
          <w:tcPr>
            <w:tcW w:w="1800" w:type="dxa"/>
          </w:tcPr>
          <w:p w:rsidR="00D14707" w:rsidRPr="000B794F" w:rsidRDefault="00D14707" w:rsidP="00EC00E0">
            <w:pPr>
              <w:rPr>
                <w:bCs/>
                <w:lang w:val="uk-UA"/>
              </w:rPr>
            </w:pPr>
            <w:r w:rsidRPr="000B794F">
              <w:rPr>
                <w:bCs/>
                <w:lang w:val="uk-UA"/>
              </w:rPr>
              <w:t xml:space="preserve">Абзаци другий, третій пункту 3 </w:t>
            </w:r>
            <w:r w:rsidRPr="000B794F">
              <w:rPr>
                <w:lang w:val="uk-UA"/>
              </w:rPr>
              <w:t xml:space="preserve">глави 1 </w:t>
            </w:r>
            <w:r w:rsidRPr="000B794F">
              <w:rPr>
                <w:bCs/>
                <w:lang w:val="uk-UA"/>
              </w:rPr>
              <w:t>розділу ІІ Ліцензійних умов № 862</w:t>
            </w:r>
          </w:p>
          <w:p w:rsidR="00D14707" w:rsidRPr="000B794F" w:rsidRDefault="00D14707" w:rsidP="0013417C">
            <w:pPr>
              <w:rPr>
                <w:bCs/>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6.2</w:t>
            </w:r>
          </w:p>
        </w:tc>
        <w:tc>
          <w:tcPr>
            <w:tcW w:w="2340" w:type="dxa"/>
          </w:tcPr>
          <w:p w:rsidR="00E15055" w:rsidRPr="007B5F6C" w:rsidRDefault="00E15055" w:rsidP="00CB5AA5">
            <w:pPr>
              <w:rPr>
                <w:rStyle w:val="rvts0"/>
                <w:lang w:val="uk-UA"/>
              </w:rPr>
            </w:pPr>
            <w:r w:rsidRPr="000B794F">
              <w:rPr>
                <w:rStyle w:val="rvts0"/>
              </w:rPr>
              <w:t xml:space="preserve">При створенні відокремленого підрозділу ліцензіата кваліфікаційні вимоги </w:t>
            </w:r>
            <w:r w:rsidRPr="000B794F">
              <w:rPr>
                <w:rStyle w:val="rvts0"/>
                <w:lang w:val="uk-UA"/>
              </w:rPr>
              <w:t>є</w:t>
            </w:r>
            <w:r w:rsidRPr="000B794F">
              <w:rPr>
                <w:rStyle w:val="rvts0"/>
              </w:rPr>
              <w:t xml:space="preserve"> такими: два сертифікованих спеціалісти (в тому числі керівна посадова особа)</w:t>
            </w:r>
            <w:r w:rsidR="007B5F6C">
              <w:rPr>
                <w:rStyle w:val="rvts0"/>
                <w:lang w:val="uk-UA"/>
              </w:rPr>
              <w:t>.</w:t>
            </w:r>
          </w:p>
        </w:tc>
        <w:tc>
          <w:tcPr>
            <w:tcW w:w="1620" w:type="dxa"/>
            <w:tcBorders>
              <w:right w:val="single" w:sz="4" w:space="0" w:color="auto"/>
            </w:tcBorders>
          </w:tcPr>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964F28">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964F28">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791E7B">
            <w:pPr>
              <w:rPr>
                <w:bCs/>
                <w:lang w:val="uk-UA"/>
              </w:rPr>
            </w:pPr>
            <w:r w:rsidRPr="000B794F">
              <w:rPr>
                <w:bCs/>
                <w:lang w:val="uk-UA"/>
              </w:rPr>
              <w:t xml:space="preserve">Абзац четвертий пункту 3 </w:t>
            </w:r>
            <w:r w:rsidRPr="000B794F">
              <w:rPr>
                <w:lang w:val="uk-UA"/>
              </w:rPr>
              <w:t xml:space="preserve">глави 1 </w:t>
            </w:r>
            <w:r w:rsidRPr="000B794F">
              <w:rPr>
                <w:bCs/>
                <w:lang w:val="uk-UA"/>
              </w:rPr>
              <w:t>розділу ІІ Ліцензійних умов № 862</w:t>
            </w:r>
          </w:p>
          <w:p w:rsidR="00E15055" w:rsidRPr="000B794F" w:rsidRDefault="00E15055" w:rsidP="0013417C">
            <w:pPr>
              <w:rPr>
                <w:bCs/>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6.3</w:t>
            </w:r>
          </w:p>
        </w:tc>
        <w:tc>
          <w:tcPr>
            <w:tcW w:w="2340" w:type="dxa"/>
          </w:tcPr>
          <w:p w:rsidR="00E15055" w:rsidRPr="000B794F" w:rsidRDefault="00E15055" w:rsidP="00CB5AA5">
            <w:pPr>
              <w:rPr>
                <w:rStyle w:val="rvts0"/>
                <w:lang w:val="uk-UA"/>
              </w:rPr>
            </w:pPr>
            <w:r w:rsidRPr="000B794F">
              <w:rPr>
                <w:rStyle w:val="rvts0"/>
                <w:lang w:val="uk-UA"/>
              </w:rPr>
              <w:t xml:space="preserve">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w:t>
            </w:r>
            <w:r w:rsidRPr="000B794F">
              <w:rPr>
                <w:rStyle w:val="rvts0"/>
                <w:lang w:val="uk-UA"/>
              </w:rPr>
              <w:lastRenderedPageBreak/>
              <w:t>повідомити про це Комісію в установленому порядку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п’ятий  пункту 3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6.4</w:t>
            </w:r>
          </w:p>
        </w:tc>
        <w:tc>
          <w:tcPr>
            <w:tcW w:w="2340" w:type="dxa"/>
          </w:tcPr>
          <w:p w:rsidR="00E15055" w:rsidRPr="000B794F" w:rsidRDefault="00E15055" w:rsidP="00CB5AA5">
            <w:pPr>
              <w:rPr>
                <w:rStyle w:val="rvts0"/>
                <w:lang w:val="uk-UA"/>
              </w:rPr>
            </w:pPr>
            <w:r w:rsidRPr="000B794F">
              <w:rPr>
                <w:rStyle w:val="rvts0"/>
                <w:lang w:val="uk-UA"/>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шостий пункту 3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6.5</w:t>
            </w:r>
          </w:p>
        </w:tc>
        <w:tc>
          <w:tcPr>
            <w:tcW w:w="2340" w:type="dxa"/>
          </w:tcPr>
          <w:p w:rsidR="00E15055" w:rsidRPr="000B794F" w:rsidRDefault="00E15055" w:rsidP="00347419">
            <w:pPr>
              <w:pStyle w:val="rvps2"/>
              <w:spacing w:before="0" w:beforeAutospacing="0" w:after="0" w:afterAutospacing="0"/>
            </w:pPr>
            <w:r w:rsidRPr="000B794F">
              <w:rPr>
                <w:rStyle w:val="rvts0"/>
              </w:rPr>
              <w:t xml:space="preserve">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w:t>
            </w:r>
            <w:r w:rsidRPr="000B794F">
              <w:rPr>
                <w:rStyle w:val="rvts0"/>
              </w:rPr>
              <w:lastRenderedPageBreak/>
              <w:t>здійснюють інші види професійної діяльності, ніж депозитарна діяльність</w:t>
            </w:r>
            <w:r w:rsidR="007B5F6C">
              <w:rPr>
                <w:rStyle w:val="rvts0"/>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Абзац сьомий пункту 3 </w:t>
            </w:r>
            <w:r w:rsidRPr="000B794F">
              <w:rPr>
                <w:lang w:val="uk-UA"/>
              </w:rPr>
              <w:t xml:space="preserve">глави 1 </w:t>
            </w:r>
            <w:r w:rsidRPr="000B794F">
              <w:rPr>
                <w:bCs/>
                <w:lang w:val="uk-UA"/>
              </w:rPr>
              <w:t>розділу ІІ Ліцензійних умов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7</w:t>
            </w:r>
          </w:p>
        </w:tc>
        <w:tc>
          <w:tcPr>
            <w:tcW w:w="2340" w:type="dxa"/>
          </w:tcPr>
          <w:p w:rsidR="00E15055" w:rsidRPr="000B794F" w:rsidRDefault="00E15055" w:rsidP="00CB5AA5">
            <w:pPr>
              <w:rPr>
                <w:lang w:val="uk-UA"/>
              </w:rPr>
            </w:pPr>
            <w:r w:rsidRPr="000B794F">
              <w:rPr>
                <w:rStyle w:val="rvts0"/>
                <w:lang w:val="uk-UA"/>
              </w:rPr>
              <w:t>Банк для провадження депозитарної діяльності депозитарної установи  має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3417C">
            <w:pPr>
              <w:rPr>
                <w:bCs/>
                <w:lang w:val="uk-UA"/>
              </w:rPr>
            </w:pPr>
            <w:r w:rsidRPr="000B794F">
              <w:rPr>
                <w:bCs/>
                <w:lang w:val="uk-UA"/>
              </w:rPr>
              <w:t xml:space="preserve">Пункт 4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w:t>
            </w:r>
          </w:p>
        </w:tc>
        <w:tc>
          <w:tcPr>
            <w:tcW w:w="2340" w:type="dxa"/>
          </w:tcPr>
          <w:p w:rsidR="00E15055" w:rsidRPr="007B5F6C" w:rsidRDefault="00E15055" w:rsidP="00CB5AA5">
            <w:pPr>
              <w:rPr>
                <w:rStyle w:val="rvts0"/>
                <w:lang w:val="uk-UA"/>
              </w:rPr>
            </w:pPr>
            <w:r w:rsidRPr="000B794F">
              <w:rPr>
                <w:rStyle w:val="rvts0"/>
              </w:rPr>
              <w:t xml:space="preserve">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одночасно </w:t>
            </w:r>
            <w:r w:rsidRPr="000B794F">
              <w:rPr>
                <w:rStyle w:val="rvts0"/>
                <w:lang w:val="uk-UA"/>
              </w:rPr>
              <w:t xml:space="preserve">не </w:t>
            </w:r>
            <w:r w:rsidRPr="000B794F">
              <w:rPr>
                <w:rStyle w:val="rvts0"/>
              </w:rPr>
              <w:t>працю</w:t>
            </w:r>
            <w:r w:rsidRPr="000B794F">
              <w:rPr>
                <w:rStyle w:val="rvts0"/>
                <w:lang w:val="uk-UA"/>
              </w:rPr>
              <w:t>є</w:t>
            </w:r>
            <w:r w:rsidRPr="000B794F">
              <w:rPr>
                <w:rStyle w:val="rvts0"/>
              </w:rPr>
              <w:t xml:space="preserve"> в інших професійних учасниках фондового ринку</w:t>
            </w:r>
            <w:r w:rsidR="007B5F6C">
              <w:rPr>
                <w:rStyle w:val="rvts0"/>
                <w:lang w:val="uk-UA"/>
              </w:rPr>
              <w:t>.</w:t>
            </w:r>
          </w:p>
        </w:tc>
        <w:tc>
          <w:tcPr>
            <w:tcW w:w="1620" w:type="dxa"/>
            <w:tcBorders>
              <w:right w:val="single" w:sz="4" w:space="0" w:color="auto"/>
            </w:tcBorders>
          </w:tcPr>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5558F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5558F3">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B112BF">
            <w:pPr>
              <w:rPr>
                <w:bCs/>
                <w:lang w:val="uk-UA"/>
              </w:rPr>
            </w:pPr>
            <w:r w:rsidRPr="000B794F">
              <w:rPr>
                <w:bCs/>
                <w:lang w:val="uk-UA"/>
              </w:rPr>
              <w:t xml:space="preserve">Абзац  перший пункту 5 </w:t>
            </w:r>
            <w:r w:rsidRPr="000B794F">
              <w:rPr>
                <w:lang w:val="uk-UA"/>
              </w:rPr>
              <w:t xml:space="preserve">глави 1 </w:t>
            </w:r>
            <w:r w:rsidRPr="000B794F">
              <w:rPr>
                <w:bCs/>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8.1</w:t>
            </w:r>
          </w:p>
        </w:tc>
        <w:tc>
          <w:tcPr>
            <w:tcW w:w="2340" w:type="dxa"/>
          </w:tcPr>
          <w:p w:rsidR="00E15055" w:rsidRPr="000B794F" w:rsidRDefault="00E15055" w:rsidP="00781C51">
            <w:pPr>
              <w:pStyle w:val="rvps2"/>
              <w:spacing w:before="0" w:beforeAutospacing="0" w:after="0" w:afterAutospacing="0"/>
            </w:pPr>
            <w:r w:rsidRPr="000B794F">
              <w:rPr>
                <w:rStyle w:val="rvts0"/>
              </w:rPr>
              <w:t xml:space="preserve">Керівник депозитарної установи (крім банку) мати стаж роботи на фондовому ринку не менше трьох років, у </w:t>
            </w:r>
            <w:r w:rsidRPr="000B794F">
              <w:rPr>
                <w:rStyle w:val="rvts0"/>
              </w:rPr>
              <w:lastRenderedPageBreak/>
              <w:t>тому числі стаж роботи на керівних посадах не менше одного року</w:t>
            </w:r>
            <w:r w:rsidR="007B5F6C">
              <w:rPr>
                <w:rStyle w:val="rvts0"/>
              </w:rPr>
              <w:t>.</w:t>
            </w:r>
          </w:p>
        </w:tc>
        <w:tc>
          <w:tcPr>
            <w:tcW w:w="1620" w:type="dxa"/>
            <w:tcBorders>
              <w:right w:val="single" w:sz="4" w:space="0" w:color="auto"/>
            </w:tcBorders>
          </w:tcPr>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DE0CF7">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DE0CF7">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p w:rsidR="00E15055" w:rsidRPr="000B794F" w:rsidRDefault="00E15055" w:rsidP="00C27EEC">
            <w:pPr>
              <w:pStyle w:val="2"/>
              <w:spacing w:before="0" w:after="0" w:line="240" w:lineRule="auto"/>
              <w:ind w:right="-85"/>
              <w:rPr>
                <w:rFonts w:ascii="Times New Roman" w:hAnsi="Times New Roman"/>
                <w:b w:val="0"/>
                <w:i w:val="0"/>
                <w:sz w:val="24"/>
                <w:szCs w:val="24"/>
                <w:lang w:val="uk-UA"/>
              </w:rPr>
            </w:pP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8.2</w:t>
            </w:r>
          </w:p>
        </w:tc>
        <w:tc>
          <w:tcPr>
            <w:tcW w:w="2340" w:type="dxa"/>
          </w:tcPr>
          <w:p w:rsidR="00E15055" w:rsidRPr="000B794F" w:rsidRDefault="00E15055" w:rsidP="00CB5AA5">
            <w:pPr>
              <w:rPr>
                <w:lang w:val="uk-UA"/>
              </w:rPr>
            </w:pPr>
            <w:r w:rsidRPr="000B794F">
              <w:rPr>
                <w:rStyle w:val="rvts0"/>
              </w:rPr>
              <w:t>У разі звільнення керівника ліцензіата (крім банку) уповноважений орган ліцензіат</w:t>
            </w:r>
            <w:r w:rsidRPr="000B794F">
              <w:rPr>
                <w:rStyle w:val="rvts0"/>
                <w:lang w:val="uk-UA"/>
              </w:rPr>
              <w:t>а</w:t>
            </w:r>
            <w:r w:rsidRPr="000B794F">
              <w:rPr>
                <w:rStyle w:val="rvts0"/>
              </w:rPr>
              <w:t xml:space="preserve">  призначи</w:t>
            </w:r>
            <w:r w:rsidRPr="000B794F">
              <w:rPr>
                <w:rStyle w:val="rvts0"/>
                <w:lang w:val="uk-UA"/>
              </w:rPr>
              <w:t>в</w:t>
            </w:r>
            <w:r w:rsidRPr="000B794F">
              <w:rPr>
                <w:rStyle w:val="rvts0"/>
              </w:rPr>
              <w:t xml:space="preserve"> </w:t>
            </w:r>
            <w:r w:rsidRPr="000B794F">
              <w:rPr>
                <w:rStyle w:val="rvts0"/>
                <w:lang w:val="uk-UA"/>
              </w:rPr>
              <w:t xml:space="preserve">нового керівника або </w:t>
            </w:r>
            <w:r w:rsidRPr="000B794F">
              <w:rPr>
                <w:rStyle w:val="rvts0"/>
              </w:rPr>
              <w:t xml:space="preserve">особу, яка виконує його обов’язки. </w:t>
            </w:r>
          </w:p>
        </w:tc>
        <w:tc>
          <w:tcPr>
            <w:tcW w:w="1620" w:type="dxa"/>
            <w:tcBorders>
              <w:right w:val="single" w:sz="4" w:space="0" w:color="auto"/>
            </w:tcBorders>
          </w:tcPr>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C27EEC">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8.2.1</w:t>
            </w:r>
          </w:p>
        </w:tc>
        <w:tc>
          <w:tcPr>
            <w:tcW w:w="2340" w:type="dxa"/>
          </w:tcPr>
          <w:p w:rsidR="002F03DD" w:rsidRPr="000B794F" w:rsidRDefault="002F03DD" w:rsidP="00CB5AA5">
            <w:pPr>
              <w:rPr>
                <w:rStyle w:val="rvts0"/>
              </w:rPr>
            </w:pPr>
            <w:r w:rsidRPr="000B794F">
              <w:rPr>
                <w:rStyle w:val="rvts0"/>
                <w:lang w:val="uk-UA"/>
              </w:rPr>
              <w:t>О</w:t>
            </w:r>
            <w:r w:rsidRPr="000B794F">
              <w:rPr>
                <w:rStyle w:val="rvts0"/>
              </w:rPr>
              <w:t>соба</w:t>
            </w:r>
            <w:r w:rsidRPr="000B794F">
              <w:rPr>
                <w:rStyle w:val="rvts0"/>
                <w:lang w:val="uk-UA"/>
              </w:rPr>
              <w:t xml:space="preserve">, яка виконує обов’язки керівника </w:t>
            </w:r>
            <w:r w:rsidRPr="000B794F">
              <w:rPr>
                <w:rStyle w:val="rvts0"/>
              </w:rPr>
              <w:t>ма</w:t>
            </w:r>
            <w:r w:rsidRPr="000B794F">
              <w:rPr>
                <w:rStyle w:val="rvts0"/>
                <w:lang w:val="uk-UA"/>
              </w:rPr>
              <w:t>є</w:t>
            </w:r>
            <w:r w:rsidRPr="000B794F">
              <w:rPr>
                <w:rStyle w:val="rvts0"/>
              </w:rPr>
              <w:t xml:space="preserve"> сертифікат за будь-яким видом діяльності, що провадить ліцензіат, та може не мати стажу роботи на фондовому ринку, встановленого для керівника. </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8.2.2</w:t>
            </w:r>
          </w:p>
        </w:tc>
        <w:tc>
          <w:tcPr>
            <w:tcW w:w="2340" w:type="dxa"/>
          </w:tcPr>
          <w:p w:rsidR="002F03DD" w:rsidRPr="002F03DD" w:rsidRDefault="002F03DD" w:rsidP="00CB5AA5">
            <w:pPr>
              <w:rPr>
                <w:rStyle w:val="rvts0"/>
                <w:lang w:val="uk-UA"/>
              </w:rPr>
            </w:pPr>
            <w:r w:rsidRPr="000B794F">
              <w:rPr>
                <w:rStyle w:val="rvts0"/>
              </w:rPr>
              <w:t>Така особа признач</w:t>
            </w:r>
            <w:r w:rsidRPr="000B794F">
              <w:rPr>
                <w:rStyle w:val="rvts0"/>
                <w:lang w:val="uk-UA"/>
              </w:rPr>
              <w:t>ена</w:t>
            </w:r>
            <w:r w:rsidRPr="000B794F">
              <w:rPr>
                <w:rStyle w:val="rvts0"/>
              </w:rPr>
              <w:t xml:space="preserve"> строком не більше ніж на два місяці</w:t>
            </w:r>
            <w:r>
              <w:rPr>
                <w:rStyle w:val="rvts0"/>
                <w:lang w:val="uk-UA"/>
              </w:rPr>
              <w:t>.</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850A43">
            <w:pPr>
              <w:pStyle w:val="HTML"/>
              <w:ind w:right="-85"/>
              <w:rPr>
                <w:rFonts w:ascii="Times New Roman" w:hAnsi="Times New Roman"/>
                <w:sz w:val="24"/>
                <w:szCs w:val="24"/>
                <w:lang w:val="uk-UA"/>
              </w:rPr>
            </w:pPr>
            <w:r w:rsidRPr="000B794F">
              <w:rPr>
                <w:rFonts w:ascii="Times New Roman" w:hAnsi="Times New Roman"/>
                <w:sz w:val="24"/>
                <w:szCs w:val="24"/>
                <w:lang w:val="uk-UA"/>
              </w:rPr>
              <w:t>Абзац четвертий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E15055" w:rsidRPr="000B794F" w:rsidTr="009E1DD3">
        <w:tc>
          <w:tcPr>
            <w:tcW w:w="720" w:type="dxa"/>
          </w:tcPr>
          <w:p w:rsidR="00E15055" w:rsidRPr="000B794F" w:rsidRDefault="00E15055"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8.3</w:t>
            </w:r>
          </w:p>
        </w:tc>
        <w:tc>
          <w:tcPr>
            <w:tcW w:w="2340" w:type="dxa"/>
          </w:tcPr>
          <w:p w:rsidR="00E15055" w:rsidRPr="000B794F" w:rsidRDefault="00E15055" w:rsidP="009F1EB6">
            <w:pPr>
              <w:pStyle w:val="af"/>
              <w:spacing w:line="240" w:lineRule="atLeast"/>
              <w:rPr>
                <w:lang w:val="uk-UA"/>
              </w:rPr>
            </w:pPr>
            <w:r w:rsidRPr="000B794F">
              <w:t xml:space="preserve">Уповноважений орган ліцензіата не пізніше тримісячного строку перебування на посаді особи, яка </w:t>
            </w:r>
            <w:r w:rsidR="00E339D2">
              <w:rPr>
                <w:lang w:val="uk-UA"/>
              </w:rPr>
              <w:t xml:space="preserve">тимчасово </w:t>
            </w:r>
            <w:r w:rsidRPr="000B794F">
              <w:t>виконує обов’язки керівника,  призначи</w:t>
            </w:r>
            <w:r w:rsidRPr="000B794F">
              <w:rPr>
                <w:lang w:val="uk-UA"/>
              </w:rPr>
              <w:t>в</w:t>
            </w:r>
            <w:r w:rsidRPr="000B794F">
              <w:t xml:space="preserve"> на посаду нового керівника (крім випадку тимчасової відсутності керівника). </w:t>
            </w:r>
          </w:p>
        </w:tc>
        <w:tc>
          <w:tcPr>
            <w:tcW w:w="1620" w:type="dxa"/>
            <w:tcBorders>
              <w:right w:val="single" w:sz="4" w:space="0" w:color="auto"/>
            </w:tcBorders>
          </w:tcPr>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E15055" w:rsidRPr="000B794F" w:rsidRDefault="00E15055"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E15055" w:rsidRPr="000B794F" w:rsidRDefault="00E15055" w:rsidP="00C27EEC">
            <w:pPr>
              <w:pStyle w:val="NoSpacing"/>
              <w:jc w:val="center"/>
              <w:rPr>
                <w:rFonts w:ascii="Times New Roman" w:hAnsi="Times New Roman"/>
                <w:sz w:val="24"/>
                <w:szCs w:val="24"/>
                <w:lang w:val="uk-UA"/>
              </w:rPr>
            </w:pPr>
          </w:p>
        </w:tc>
        <w:tc>
          <w:tcPr>
            <w:tcW w:w="360" w:type="dxa"/>
          </w:tcPr>
          <w:p w:rsidR="00E15055" w:rsidRPr="000B794F" w:rsidRDefault="00E15055" w:rsidP="0014582B">
            <w:pPr>
              <w:pStyle w:val="NoSpacing"/>
              <w:jc w:val="both"/>
              <w:rPr>
                <w:rFonts w:ascii="Times New Roman" w:hAnsi="Times New Roman"/>
                <w:sz w:val="24"/>
                <w:szCs w:val="24"/>
                <w:lang w:val="uk-UA"/>
              </w:rPr>
            </w:pPr>
          </w:p>
        </w:tc>
        <w:tc>
          <w:tcPr>
            <w:tcW w:w="360" w:type="dxa"/>
            <w:gridSpan w:val="2"/>
          </w:tcPr>
          <w:p w:rsidR="00E15055" w:rsidRPr="000B794F" w:rsidRDefault="00E15055" w:rsidP="0014582B">
            <w:pPr>
              <w:pStyle w:val="NoSpacing"/>
              <w:jc w:val="both"/>
              <w:rPr>
                <w:rFonts w:ascii="Times New Roman" w:hAnsi="Times New Roman"/>
                <w:sz w:val="24"/>
                <w:szCs w:val="24"/>
                <w:lang w:val="uk-UA"/>
              </w:rPr>
            </w:pPr>
          </w:p>
        </w:tc>
        <w:tc>
          <w:tcPr>
            <w:tcW w:w="900" w:type="dxa"/>
          </w:tcPr>
          <w:p w:rsidR="00E15055" w:rsidRPr="000B794F" w:rsidRDefault="00E15055" w:rsidP="0014582B">
            <w:pPr>
              <w:pStyle w:val="NoSpacing"/>
              <w:jc w:val="both"/>
              <w:rPr>
                <w:rFonts w:ascii="Times New Roman" w:hAnsi="Times New Roman"/>
                <w:sz w:val="24"/>
                <w:szCs w:val="24"/>
                <w:lang w:val="uk-UA"/>
              </w:rPr>
            </w:pPr>
          </w:p>
        </w:tc>
        <w:tc>
          <w:tcPr>
            <w:tcW w:w="1800" w:type="dxa"/>
          </w:tcPr>
          <w:p w:rsidR="00E15055" w:rsidRPr="000B794F" w:rsidRDefault="00E15055" w:rsidP="009A76ED">
            <w:pPr>
              <w:pStyle w:val="HTML"/>
              <w:rPr>
                <w:rFonts w:ascii="Times New Roman" w:hAnsi="Times New Roman"/>
                <w:sz w:val="24"/>
                <w:szCs w:val="24"/>
                <w:lang w:val="uk-UA"/>
              </w:rPr>
            </w:pPr>
            <w:r w:rsidRPr="000B794F">
              <w:rPr>
                <w:rFonts w:ascii="Times New Roman" w:hAnsi="Times New Roman"/>
                <w:sz w:val="24"/>
                <w:szCs w:val="24"/>
                <w:lang w:val="uk-UA"/>
              </w:rPr>
              <w:t>Абзац п’ятий  пункту 5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Pr>
                <w:rFonts w:ascii="Times New Roman" w:hAnsi="Times New Roman"/>
                <w:sz w:val="24"/>
                <w:szCs w:val="24"/>
                <w:lang w:val="uk-UA"/>
              </w:rPr>
              <w:t>8.3.1</w:t>
            </w:r>
          </w:p>
        </w:tc>
        <w:tc>
          <w:tcPr>
            <w:tcW w:w="2340" w:type="dxa"/>
          </w:tcPr>
          <w:p w:rsidR="002F03DD" w:rsidRPr="007B5F6C" w:rsidRDefault="002F03DD" w:rsidP="009F1EB6">
            <w:pPr>
              <w:pStyle w:val="af"/>
              <w:spacing w:line="240" w:lineRule="atLeast"/>
              <w:rPr>
                <w:lang w:val="uk-UA"/>
              </w:rPr>
            </w:pPr>
            <w:r w:rsidRPr="000B794F">
              <w:t>Такий керівник  відповіда</w:t>
            </w:r>
            <w:r w:rsidRPr="000B794F">
              <w:rPr>
                <w:lang w:val="uk-UA"/>
              </w:rPr>
              <w:t>є</w:t>
            </w:r>
            <w:r w:rsidRPr="000B794F">
              <w:t xml:space="preserve"> вимогам, встановленим до керівника</w:t>
            </w:r>
            <w:r w:rsidR="007B5F6C">
              <w:rPr>
                <w:lang w:val="uk-UA"/>
              </w:rPr>
              <w:t>.</w:t>
            </w:r>
          </w:p>
        </w:tc>
        <w:tc>
          <w:tcPr>
            <w:tcW w:w="1620" w:type="dxa"/>
            <w:tcBorders>
              <w:right w:val="single" w:sz="4" w:space="0" w:color="auto"/>
            </w:tcBorders>
          </w:tcPr>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03DD">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465EF" w:rsidRDefault="002F03DD" w:rsidP="004466A1">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п’ятий  пункту 5 </w:t>
            </w:r>
          </w:p>
          <w:p w:rsidR="002F03DD" w:rsidRPr="000B794F" w:rsidRDefault="002F03DD" w:rsidP="004466A1">
            <w:pPr>
              <w:pStyle w:val="HTML"/>
              <w:rPr>
                <w:rFonts w:ascii="Times New Roman" w:hAnsi="Times New Roman"/>
                <w:sz w:val="24"/>
                <w:szCs w:val="24"/>
                <w:lang w:val="uk-UA"/>
              </w:rPr>
            </w:pPr>
            <w:r w:rsidRPr="000B794F">
              <w:rPr>
                <w:rFonts w:ascii="Times New Roman" w:hAnsi="Times New Roman"/>
                <w:sz w:val="24"/>
                <w:szCs w:val="24"/>
                <w:lang w:val="uk-UA"/>
              </w:rPr>
              <w:t>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8.4</w:t>
            </w:r>
          </w:p>
        </w:tc>
        <w:tc>
          <w:tcPr>
            <w:tcW w:w="2340" w:type="dxa"/>
          </w:tcPr>
          <w:p w:rsidR="002F03DD" w:rsidRPr="000B794F" w:rsidRDefault="002F03DD" w:rsidP="00A70361">
            <w:pPr>
              <w:rPr>
                <w:lang w:val="uk-UA"/>
              </w:rPr>
            </w:pPr>
            <w:r w:rsidRPr="000B794F">
              <w:rPr>
                <w:rStyle w:val="rvts0"/>
              </w:rPr>
              <w:t xml:space="preserve">На час </w:t>
            </w:r>
            <w:r w:rsidRPr="000B794F">
              <w:rPr>
                <w:rStyle w:val="rvts0"/>
                <w:lang w:val="uk-UA"/>
              </w:rPr>
              <w:t xml:space="preserve">тимчасової </w:t>
            </w:r>
            <w:r w:rsidRPr="000B794F">
              <w:rPr>
                <w:rStyle w:val="rvts0"/>
              </w:rPr>
              <w:t xml:space="preserve">відсутності керівника </w:t>
            </w:r>
            <w:r w:rsidRPr="000B794F">
              <w:rPr>
                <w:rStyle w:val="rvts0"/>
              </w:rPr>
              <w:lastRenderedPageBreak/>
              <w:t>уповноважений орган депозитарної установи  забезпечи</w:t>
            </w:r>
            <w:r w:rsidRPr="000B794F">
              <w:rPr>
                <w:rStyle w:val="rvts0"/>
                <w:lang w:val="uk-UA"/>
              </w:rPr>
              <w:t>в</w:t>
            </w:r>
            <w:r w:rsidRPr="000B794F">
              <w:rPr>
                <w:rStyle w:val="rvts0"/>
              </w:rPr>
              <w:t xml:space="preserve"> наявність особи, яка виконує його обов'язки. </w:t>
            </w:r>
          </w:p>
        </w:tc>
        <w:tc>
          <w:tcPr>
            <w:tcW w:w="1620" w:type="dxa"/>
            <w:tcBorders>
              <w:right w:val="single" w:sz="4" w:space="0" w:color="auto"/>
            </w:tcBorders>
          </w:tcPr>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C27EE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C27EE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465E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шостий пункту 5 </w:t>
            </w:r>
          </w:p>
          <w:p w:rsidR="002F03DD" w:rsidRPr="000B794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9A76ED">
            <w:pPr>
              <w:pStyle w:val="HTML"/>
              <w:rPr>
                <w:rFonts w:ascii="Times New Roman" w:hAnsi="Times New Roman"/>
                <w:sz w:val="24"/>
                <w:szCs w:val="24"/>
                <w:lang w:val="uk-UA"/>
              </w:rPr>
            </w:pPr>
            <w:r w:rsidRPr="000B794F">
              <w:rPr>
                <w:rFonts w:ascii="Times New Roman" w:hAnsi="Times New Roman"/>
                <w:sz w:val="24"/>
                <w:szCs w:val="24"/>
                <w:lang w:val="uk-UA"/>
              </w:rPr>
              <w:lastRenderedPageBreak/>
              <w:t>розділу ІІ Ліцензійних умов № 862</w:t>
            </w:r>
          </w:p>
        </w:tc>
      </w:tr>
      <w:tr w:rsidR="006465EF" w:rsidRPr="000B794F" w:rsidTr="009E1DD3">
        <w:tc>
          <w:tcPr>
            <w:tcW w:w="720" w:type="dxa"/>
          </w:tcPr>
          <w:p w:rsidR="006465EF" w:rsidRPr="000B794F" w:rsidRDefault="006465EF" w:rsidP="0014582B">
            <w:pPr>
              <w:pStyle w:val="NoSpacing"/>
              <w:jc w:val="both"/>
              <w:rPr>
                <w:rFonts w:ascii="Times New Roman" w:hAnsi="Times New Roman"/>
                <w:sz w:val="24"/>
                <w:szCs w:val="24"/>
                <w:lang w:val="uk-UA"/>
              </w:rPr>
            </w:pPr>
            <w:r>
              <w:rPr>
                <w:rFonts w:ascii="Times New Roman" w:hAnsi="Times New Roman"/>
                <w:sz w:val="24"/>
                <w:szCs w:val="24"/>
                <w:lang w:val="uk-UA"/>
              </w:rPr>
              <w:lastRenderedPageBreak/>
              <w:t>8.4.1</w:t>
            </w:r>
          </w:p>
        </w:tc>
        <w:tc>
          <w:tcPr>
            <w:tcW w:w="2340" w:type="dxa"/>
          </w:tcPr>
          <w:p w:rsidR="006465EF" w:rsidRPr="006465EF" w:rsidRDefault="006465EF" w:rsidP="00A70361">
            <w:pPr>
              <w:rPr>
                <w:rStyle w:val="rvts0"/>
                <w:lang w:val="uk-UA"/>
              </w:rPr>
            </w:pPr>
            <w:r w:rsidRPr="000B794F">
              <w:rPr>
                <w:rStyle w:val="rvts0"/>
              </w:rPr>
              <w:t>Така особа признач</w:t>
            </w:r>
            <w:r w:rsidRPr="000B794F">
              <w:rPr>
                <w:rStyle w:val="rvts0"/>
                <w:lang w:val="uk-UA"/>
              </w:rPr>
              <w:t>ена</w:t>
            </w:r>
            <w:r w:rsidRPr="000B794F">
              <w:rPr>
                <w:rStyle w:val="rvts0"/>
              </w:rPr>
              <w:t xml:space="preserve"> з числа сертифікованих фахівців ліцензіата (крім банку) за будь-яким видом діяльності, що провадить ліцензіат</w:t>
            </w:r>
            <w:r>
              <w:rPr>
                <w:rStyle w:val="rvts0"/>
                <w:lang w:val="uk-UA"/>
              </w:rPr>
              <w:t>.</w:t>
            </w:r>
          </w:p>
        </w:tc>
        <w:tc>
          <w:tcPr>
            <w:tcW w:w="1620" w:type="dxa"/>
            <w:tcBorders>
              <w:right w:val="single" w:sz="4" w:space="0" w:color="auto"/>
            </w:tcBorders>
          </w:tcPr>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465EF" w:rsidRPr="000B794F" w:rsidRDefault="006465EF" w:rsidP="006465E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465EF" w:rsidRPr="000B794F" w:rsidRDefault="006465EF" w:rsidP="00C27EEC">
            <w:pPr>
              <w:pStyle w:val="NoSpacing"/>
              <w:jc w:val="center"/>
              <w:rPr>
                <w:rFonts w:ascii="Times New Roman" w:hAnsi="Times New Roman"/>
                <w:sz w:val="24"/>
                <w:szCs w:val="24"/>
                <w:lang w:val="uk-UA"/>
              </w:rPr>
            </w:pPr>
          </w:p>
        </w:tc>
        <w:tc>
          <w:tcPr>
            <w:tcW w:w="360" w:type="dxa"/>
          </w:tcPr>
          <w:p w:rsidR="006465EF" w:rsidRPr="000B794F" w:rsidRDefault="006465EF" w:rsidP="0014582B">
            <w:pPr>
              <w:pStyle w:val="NoSpacing"/>
              <w:jc w:val="both"/>
              <w:rPr>
                <w:rFonts w:ascii="Times New Roman" w:hAnsi="Times New Roman"/>
                <w:sz w:val="24"/>
                <w:szCs w:val="24"/>
                <w:lang w:val="uk-UA"/>
              </w:rPr>
            </w:pPr>
          </w:p>
        </w:tc>
        <w:tc>
          <w:tcPr>
            <w:tcW w:w="360" w:type="dxa"/>
            <w:gridSpan w:val="2"/>
          </w:tcPr>
          <w:p w:rsidR="006465EF" w:rsidRPr="000B794F" w:rsidRDefault="006465EF" w:rsidP="0014582B">
            <w:pPr>
              <w:pStyle w:val="NoSpacing"/>
              <w:jc w:val="both"/>
              <w:rPr>
                <w:rFonts w:ascii="Times New Roman" w:hAnsi="Times New Roman"/>
                <w:sz w:val="24"/>
                <w:szCs w:val="24"/>
                <w:lang w:val="uk-UA"/>
              </w:rPr>
            </w:pPr>
          </w:p>
        </w:tc>
        <w:tc>
          <w:tcPr>
            <w:tcW w:w="900" w:type="dxa"/>
          </w:tcPr>
          <w:p w:rsidR="006465EF" w:rsidRPr="000B794F" w:rsidRDefault="006465EF" w:rsidP="0014582B">
            <w:pPr>
              <w:pStyle w:val="NoSpacing"/>
              <w:jc w:val="both"/>
              <w:rPr>
                <w:rFonts w:ascii="Times New Roman" w:hAnsi="Times New Roman"/>
                <w:sz w:val="24"/>
                <w:szCs w:val="24"/>
                <w:lang w:val="uk-UA"/>
              </w:rPr>
            </w:pPr>
          </w:p>
        </w:tc>
        <w:tc>
          <w:tcPr>
            <w:tcW w:w="1800" w:type="dxa"/>
          </w:tcPr>
          <w:p w:rsidR="006465E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шостий пункту 5 </w:t>
            </w:r>
          </w:p>
          <w:p w:rsidR="006465EF" w:rsidRPr="000B794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6465EF" w:rsidRPr="000B794F" w:rsidRDefault="006465EF" w:rsidP="006465EF">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9</w:t>
            </w:r>
          </w:p>
        </w:tc>
        <w:tc>
          <w:tcPr>
            <w:tcW w:w="2340" w:type="dxa"/>
          </w:tcPr>
          <w:p w:rsidR="002F03DD" w:rsidRPr="000B794F" w:rsidRDefault="002F03DD" w:rsidP="00CB5AA5">
            <w:pPr>
              <w:rPr>
                <w:rStyle w:val="rvts0"/>
                <w:lang w:val="uk-UA"/>
              </w:rPr>
            </w:pPr>
            <w:r w:rsidRPr="000B794F">
              <w:rPr>
                <w:rStyle w:val="rvts0"/>
                <w:lang w:val="uk-UA"/>
              </w:rPr>
              <w:t xml:space="preserve">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відповідає </w:t>
            </w:r>
            <w:hyperlink r:id="rId8" w:anchor="n18" w:tgtFrame="_blank" w:history="1">
              <w:r w:rsidRPr="000B794F">
                <w:rPr>
                  <w:rStyle w:val="af1"/>
                  <w:color w:val="auto"/>
                  <w:u w:val="none"/>
                  <w:lang w:val="uk-UA"/>
                </w:rPr>
                <w:t>Професійним вимогам до головних бухгалтерів професійних учасників ринку цінних паперів</w:t>
              </w:r>
            </w:hyperlink>
            <w:r w:rsidRPr="000B794F">
              <w:rPr>
                <w:rStyle w:val="rvts0"/>
                <w:lang w:val="uk-UA"/>
              </w:rPr>
              <w:t xml:space="preserve">, 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w:t>
            </w:r>
          </w:p>
          <w:p w:rsidR="002F03DD" w:rsidRPr="000B794F" w:rsidRDefault="002F03DD" w:rsidP="00CB5AA5">
            <w:pPr>
              <w:rPr>
                <w:lang w:val="uk-UA"/>
              </w:rPr>
            </w:pPr>
            <w:r w:rsidRPr="000B794F">
              <w:rPr>
                <w:rStyle w:val="rvts0"/>
                <w:lang w:val="uk-UA"/>
              </w:rPr>
              <w:t>№ 793/23325</w:t>
            </w:r>
            <w:r w:rsidR="007B5F6C">
              <w:rPr>
                <w:rStyle w:val="rvts0"/>
                <w:lang w:val="uk-UA"/>
              </w:rPr>
              <w:t>.</w:t>
            </w:r>
          </w:p>
        </w:tc>
        <w:tc>
          <w:tcPr>
            <w:tcW w:w="1620" w:type="dxa"/>
            <w:tcBorders>
              <w:right w:val="single" w:sz="4" w:space="0" w:color="auto"/>
            </w:tcBorders>
          </w:tcPr>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B14E1">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B14E1">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DE18A3">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6 глави 1</w:t>
            </w:r>
          </w:p>
          <w:p w:rsidR="002F03DD" w:rsidRPr="000B794F" w:rsidRDefault="002F03DD" w:rsidP="00DE18A3">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p w:rsidR="002F03DD" w:rsidRPr="000B794F" w:rsidRDefault="002F03DD" w:rsidP="00DE18A3">
            <w:pPr>
              <w:pStyle w:val="HTML"/>
              <w:rPr>
                <w:rStyle w:val="rvts0"/>
                <w:rFonts w:ascii="Times New Roman" w:hAnsi="Times New Roman"/>
                <w:sz w:val="24"/>
                <w:szCs w:val="24"/>
                <w:lang w:val="uk-UA"/>
              </w:rPr>
            </w:pPr>
            <w:hyperlink r:id="rId9" w:anchor="n18" w:tgtFrame="_blank" w:history="1">
              <w:r w:rsidRPr="000B794F">
                <w:rPr>
                  <w:rStyle w:val="af1"/>
                  <w:rFonts w:ascii="Times New Roman" w:hAnsi="Times New Roman"/>
                  <w:color w:val="auto"/>
                  <w:sz w:val="24"/>
                  <w:szCs w:val="24"/>
                  <w:u w:val="none"/>
                  <w:lang w:val="uk-UA"/>
                </w:rPr>
                <w:t>Професійні вимоги до головних бухгалтерів професійних учасників ринку цінних паперів</w:t>
              </w:r>
            </w:hyperlink>
          </w:p>
          <w:p w:rsidR="002F03DD" w:rsidRPr="000B794F" w:rsidRDefault="002F03DD" w:rsidP="00DE18A3">
            <w:pPr>
              <w:pStyle w:val="HTML"/>
              <w:rPr>
                <w:rFonts w:ascii="Times New Roman" w:hAnsi="Times New Roman"/>
                <w:sz w:val="24"/>
                <w:szCs w:val="24"/>
                <w:lang w:val="uk-UA"/>
              </w:rPr>
            </w:pPr>
            <w:r w:rsidRPr="000B794F">
              <w:rPr>
                <w:rStyle w:val="rvts0"/>
                <w:rFonts w:ascii="Times New Roman" w:hAnsi="Times New Roman"/>
                <w:sz w:val="24"/>
                <w:szCs w:val="24"/>
                <w:lang w:val="uk-UA"/>
              </w:rPr>
              <w:t>№ 769</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9.1</w:t>
            </w:r>
          </w:p>
        </w:tc>
        <w:tc>
          <w:tcPr>
            <w:tcW w:w="2340" w:type="dxa"/>
          </w:tcPr>
          <w:p w:rsidR="002F03DD" w:rsidRPr="000B794F" w:rsidRDefault="002F03DD" w:rsidP="00CB5AA5">
            <w:pPr>
              <w:rPr>
                <w:lang w:val="uk-UA"/>
              </w:rPr>
            </w:pPr>
            <w:r w:rsidRPr="000B794F">
              <w:rPr>
                <w:rStyle w:val="rvts0"/>
                <w:lang w:val="uk-UA"/>
              </w:rPr>
              <w:t xml:space="preserve">Депозитарна установа у разі звільнення особи, яка займає посаду головного бухгалтера, або особи, на яку </w:t>
            </w:r>
            <w:r w:rsidRPr="000B794F">
              <w:rPr>
                <w:rStyle w:val="rvts0"/>
                <w:lang w:val="uk-UA"/>
              </w:rPr>
              <w:lastRenderedPageBreak/>
              <w:t>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протягом трьох місяців призначила особу, на яку будуть покладені зазначені функції, або уклала відповідний договір з юридичною особою</w:t>
            </w:r>
            <w:r w:rsidR="007B5F6C">
              <w:rPr>
                <w:rStyle w:val="rvts0"/>
                <w:lang w:val="uk-UA"/>
              </w:rPr>
              <w:t>.</w:t>
            </w:r>
          </w:p>
        </w:tc>
        <w:tc>
          <w:tcPr>
            <w:tcW w:w="1620" w:type="dxa"/>
            <w:tcBorders>
              <w:right w:val="single" w:sz="4" w:space="0" w:color="auto"/>
            </w:tcBorders>
          </w:tcPr>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9C50D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9C50D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6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10</w:t>
            </w:r>
          </w:p>
        </w:tc>
        <w:tc>
          <w:tcPr>
            <w:tcW w:w="2340" w:type="dxa"/>
          </w:tcPr>
          <w:p w:rsidR="002F03DD" w:rsidRPr="000B794F" w:rsidRDefault="002F03DD" w:rsidP="00CB5AA5">
            <w:pPr>
              <w:rPr>
                <w:rStyle w:val="rvts0"/>
                <w:lang w:val="uk-UA"/>
              </w:rPr>
            </w:pPr>
            <w:r w:rsidRPr="000B794F">
              <w:rPr>
                <w:rStyle w:val="rvts0"/>
                <w:lang w:val="uk-UA"/>
              </w:rPr>
              <w:t>Приміщення депозитарної установи (крім банку)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r w:rsidR="007B5F6C">
              <w:rPr>
                <w:rStyle w:val="rvts0"/>
                <w:lang w:val="uk-UA"/>
              </w:rPr>
              <w:t>.</w:t>
            </w:r>
          </w:p>
        </w:tc>
        <w:tc>
          <w:tcPr>
            <w:tcW w:w="1620" w:type="dxa"/>
            <w:tcBorders>
              <w:right w:val="single" w:sz="4" w:space="0" w:color="auto"/>
            </w:tcBorders>
          </w:tcPr>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03D7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E82C8F" w:rsidP="0014582B">
            <w:pPr>
              <w:pStyle w:val="HTML"/>
              <w:rPr>
                <w:rFonts w:ascii="Times New Roman" w:hAnsi="Times New Roman"/>
                <w:sz w:val="24"/>
                <w:szCs w:val="24"/>
                <w:lang w:val="uk-UA"/>
              </w:rPr>
            </w:pPr>
            <w:r>
              <w:rPr>
                <w:rFonts w:ascii="Times New Roman" w:hAnsi="Times New Roman"/>
                <w:sz w:val="24"/>
                <w:szCs w:val="24"/>
                <w:lang w:val="uk-UA"/>
              </w:rPr>
              <w:t>П</w:t>
            </w:r>
            <w:r w:rsidR="002F03DD" w:rsidRPr="000B794F">
              <w:rPr>
                <w:rFonts w:ascii="Times New Roman" w:hAnsi="Times New Roman"/>
                <w:sz w:val="24"/>
                <w:szCs w:val="24"/>
                <w:lang w:val="uk-UA"/>
              </w:rPr>
              <w:t>ункт</w:t>
            </w:r>
            <w:r>
              <w:rPr>
                <w:rFonts w:ascii="Times New Roman" w:hAnsi="Times New Roman"/>
                <w:sz w:val="24"/>
                <w:szCs w:val="24"/>
                <w:lang w:val="uk-UA"/>
              </w:rPr>
              <w:t xml:space="preserve"> 8</w:t>
            </w:r>
            <w:r w:rsidR="002F03DD" w:rsidRPr="000B794F">
              <w:rPr>
                <w:rFonts w:ascii="Times New Roman" w:hAnsi="Times New Roman"/>
                <w:sz w:val="24"/>
                <w:szCs w:val="24"/>
                <w:lang w:val="uk-UA"/>
              </w:rPr>
              <w:t xml:space="preserve"> глави 1</w:t>
            </w:r>
            <w:r w:rsidR="002F03DD" w:rsidRPr="000B794F">
              <w:rPr>
                <w:sz w:val="24"/>
                <w:szCs w:val="24"/>
                <w:lang w:val="uk-UA"/>
              </w:rPr>
              <w:t xml:space="preserve"> </w:t>
            </w:r>
            <w:r w:rsidR="002F03DD" w:rsidRPr="000B794F">
              <w:rPr>
                <w:rFonts w:ascii="Times New Roman" w:hAnsi="Times New Roman"/>
                <w:sz w:val="24"/>
                <w:szCs w:val="24"/>
                <w:lang w:val="uk-UA"/>
              </w:rPr>
              <w:t>розділу ІІ Ліцензійних умов № 862</w:t>
            </w:r>
          </w:p>
        </w:tc>
      </w:tr>
      <w:tr w:rsidR="002F03DD" w:rsidRPr="000B794F" w:rsidTr="009E1DD3">
        <w:trPr>
          <w:trHeight w:val="1166"/>
        </w:trPr>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11</w:t>
            </w:r>
          </w:p>
        </w:tc>
        <w:tc>
          <w:tcPr>
            <w:tcW w:w="2340" w:type="dxa"/>
          </w:tcPr>
          <w:p w:rsidR="002F03DD" w:rsidRPr="000B794F" w:rsidRDefault="002F03DD" w:rsidP="0030599A">
            <w:pPr>
              <w:pStyle w:val="rvps2"/>
              <w:spacing w:before="0" w:beforeAutospacing="0" w:after="0" w:afterAutospacing="0"/>
            </w:pPr>
            <w:r w:rsidRPr="000B794F">
              <w:t xml:space="preserve">Депозитарна установа  забезпечила надійність і безпечність своєї діяльності відповідно до законодавства України, а також відповідність цим вимогам кваліфікації працівників, системи безпеки, </w:t>
            </w:r>
            <w:r w:rsidRPr="000B794F">
              <w:lastRenderedPageBreak/>
              <w:t>технічних засобів, програмного забезпечення, організації діловодства та механізму внутрішнього контролю</w:t>
            </w:r>
            <w:bookmarkStart w:id="3" w:name="n55"/>
            <w:bookmarkStart w:id="4" w:name="n56"/>
            <w:bookmarkStart w:id="5" w:name="n57"/>
            <w:bookmarkEnd w:id="3"/>
            <w:bookmarkEnd w:id="4"/>
            <w:bookmarkEnd w:id="5"/>
            <w:r w:rsidR="007B5F6C">
              <w:t>.</w:t>
            </w:r>
          </w:p>
        </w:tc>
        <w:tc>
          <w:tcPr>
            <w:tcW w:w="1620" w:type="dxa"/>
            <w:tcBorders>
              <w:right w:val="single" w:sz="4" w:space="0" w:color="auto"/>
            </w:tcBorders>
          </w:tcPr>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03D7F">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03D7F">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E4168A">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11.1</w:t>
            </w:r>
          </w:p>
        </w:tc>
        <w:tc>
          <w:tcPr>
            <w:tcW w:w="2340" w:type="dxa"/>
          </w:tcPr>
          <w:p w:rsidR="002F03DD" w:rsidRPr="000B794F" w:rsidRDefault="002F03DD" w:rsidP="0030599A">
            <w:pPr>
              <w:pStyle w:val="rvps2"/>
              <w:spacing w:before="0" w:beforeAutospacing="0" w:after="0" w:afterAutospacing="0"/>
            </w:pPr>
            <w:r w:rsidRPr="000B794F">
              <w:t>Депозитарна установа має два незалежних джерела електроживлення, а також джерела додаткового безперервного електроживлення на випадок зникнення елек</w:t>
            </w:r>
            <w:r w:rsidR="007B5F6C">
              <w:t>тричного струму в електромережі.</w:t>
            </w:r>
          </w:p>
        </w:tc>
        <w:tc>
          <w:tcPr>
            <w:tcW w:w="1620" w:type="dxa"/>
            <w:tcBorders>
              <w:right w:val="single" w:sz="4" w:space="0" w:color="auto"/>
            </w:tcBorders>
          </w:tcPr>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9B2F8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9B2F8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другий пункту 9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11.2</w:t>
            </w:r>
          </w:p>
        </w:tc>
        <w:tc>
          <w:tcPr>
            <w:tcW w:w="2340" w:type="dxa"/>
          </w:tcPr>
          <w:p w:rsidR="002F03DD" w:rsidRPr="000B794F" w:rsidRDefault="002F03DD" w:rsidP="00CB5AA5">
            <w:pPr>
              <w:rPr>
                <w:lang w:val="uk-UA"/>
              </w:rPr>
            </w:pPr>
            <w:r w:rsidRPr="000B794F">
              <w:rPr>
                <w:lang w:val="uk-UA"/>
              </w:rPr>
              <w:t>Депозитарна установа  має програмно-технічний комплекс, який забезпечує виконання вимог, установлених Комісією для цієї діяльності, у тому числі забезпечує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r w:rsidR="007B5F6C">
              <w:rPr>
                <w:lang w:val="uk-UA"/>
              </w:rPr>
              <w:t>.</w:t>
            </w:r>
          </w:p>
        </w:tc>
        <w:tc>
          <w:tcPr>
            <w:tcW w:w="1620" w:type="dxa"/>
            <w:tcBorders>
              <w:right w:val="single" w:sz="4" w:space="0" w:color="auto"/>
            </w:tcBorders>
          </w:tcPr>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F5EC5">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2F5EC5">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третій пункту 9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p w:rsidR="002F03DD" w:rsidRPr="000B794F" w:rsidRDefault="002F03DD" w:rsidP="00CB022C">
            <w:pPr>
              <w:pStyle w:val="HTML"/>
              <w:rPr>
                <w:rFonts w:ascii="Times New Roman" w:hAnsi="Times New Roman"/>
                <w:sz w:val="24"/>
                <w:szCs w:val="24"/>
                <w:lang w:val="uk-UA"/>
              </w:rPr>
            </w:pP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11.3</w:t>
            </w:r>
          </w:p>
        </w:tc>
        <w:tc>
          <w:tcPr>
            <w:tcW w:w="2340" w:type="dxa"/>
          </w:tcPr>
          <w:p w:rsidR="002F03DD" w:rsidRPr="000B794F" w:rsidRDefault="002F03DD" w:rsidP="007B5F6C">
            <w:pPr>
              <w:pStyle w:val="af"/>
              <w:spacing w:before="0" w:beforeAutospacing="0" w:after="0" w:afterAutospacing="0" w:line="180" w:lineRule="atLeast"/>
              <w:rPr>
                <w:b/>
                <w:lang w:val="uk-UA"/>
              </w:rPr>
            </w:pPr>
            <w:r w:rsidRPr="000B794F">
              <w:rPr>
                <w:lang w:val="uk-UA"/>
              </w:rPr>
              <w:t xml:space="preserve">Депозитарна установа зобов'язана до 30 квітня року, що настає за звітним періодом, оприлюднювати річну фінансову звітність та річну </w:t>
            </w:r>
            <w:r w:rsidRPr="000B794F">
              <w:rPr>
                <w:lang w:val="uk-UA"/>
              </w:rPr>
              <w:lastRenderedPageBreak/>
              <w:t>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r w:rsidR="007B5F6C">
              <w:rPr>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9</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11.4</w:t>
            </w:r>
          </w:p>
        </w:tc>
        <w:tc>
          <w:tcPr>
            <w:tcW w:w="2340" w:type="dxa"/>
          </w:tcPr>
          <w:p w:rsidR="002F03DD" w:rsidRPr="000B794F" w:rsidRDefault="002F03DD" w:rsidP="002E7774">
            <w:pPr>
              <w:spacing w:line="240" w:lineRule="atLeast"/>
              <w:jc w:val="both"/>
              <w:rPr>
                <w:color w:val="000000"/>
                <w:lang w:val="uk-UA"/>
              </w:rPr>
            </w:pPr>
            <w:r w:rsidRPr="000B794F">
              <w:rPr>
                <w:color w:val="000000"/>
                <w:lang w:val="uk-UA"/>
              </w:rPr>
              <w:t>Річна Фінансова звітність ліцензіата затверджена аудитором (аудиторською фірмою)</w:t>
            </w:r>
            <w:r w:rsidR="007B5F6C">
              <w:rPr>
                <w:color w:val="000000"/>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шостий пункту 9 глави 1</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11.5</w:t>
            </w:r>
          </w:p>
        </w:tc>
        <w:tc>
          <w:tcPr>
            <w:tcW w:w="2340" w:type="dxa"/>
          </w:tcPr>
          <w:p w:rsidR="002F03DD" w:rsidRPr="000B794F" w:rsidRDefault="002F03DD" w:rsidP="007B5F6C">
            <w:pPr>
              <w:spacing w:line="180" w:lineRule="atLeast"/>
              <w:rPr>
                <w:lang w:val="uk-UA"/>
              </w:rPr>
            </w:pPr>
            <w:r w:rsidRPr="000B794F">
              <w:rPr>
                <w:lang w:val="uk-UA"/>
              </w:rPr>
              <w:t xml:space="preserve">Аудиторський висновок, який оприлюднюється ліцензіатом, відповідає вимогам, встановленим </w:t>
            </w:r>
            <w:r w:rsidRPr="000B794F">
              <w:rPr>
                <w:rStyle w:val="rvts0"/>
                <w:lang w:val="uk-UA"/>
              </w:rPr>
              <w:t xml:space="preserve">рішенням Комісії від 12 лютого 2013 року </w:t>
            </w:r>
            <w:hyperlink r:id="rId10" w:tgtFrame="_blank" w:history="1">
              <w:r w:rsidRPr="000B794F">
                <w:rPr>
                  <w:rStyle w:val="af1"/>
                  <w:color w:val="auto"/>
                  <w:u w:val="none"/>
                  <w:lang w:val="uk-UA"/>
                </w:rPr>
                <w:t>№ 160</w:t>
              </w:r>
            </w:hyperlink>
            <w:r w:rsidRPr="000B794F">
              <w:rPr>
                <w:rStyle w:val="rvts0"/>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w:t>
            </w:r>
            <w:r w:rsidRPr="000B794F">
              <w:rPr>
                <w:rStyle w:val="rvts0"/>
                <w:lang w:val="uk-UA"/>
              </w:rPr>
              <w:lastRenderedPageBreak/>
              <w:t>діяльності на ринку цінних паперів», зареєстрованим у Міністерстві юстиції України 11 березня 2013 року за № 386/22918 (із змінами)</w:t>
            </w:r>
            <w:r w:rsidR="00A14F7F">
              <w:rPr>
                <w:rStyle w:val="rvts0"/>
                <w:lang w:val="uk-UA"/>
              </w:rPr>
              <w:t>.</w:t>
            </w:r>
          </w:p>
        </w:tc>
        <w:tc>
          <w:tcPr>
            <w:tcW w:w="1620" w:type="dxa"/>
            <w:tcBorders>
              <w:right w:val="single" w:sz="4" w:space="0" w:color="auto"/>
            </w:tcBorders>
          </w:tcPr>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3223A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3223A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сьомий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r w:rsidRPr="000B794F">
              <w:rPr>
                <w:sz w:val="24"/>
                <w:szCs w:val="24"/>
                <w:lang w:val="uk-UA"/>
              </w:rPr>
              <w:t xml:space="preserve"> </w:t>
            </w:r>
            <w:r w:rsidRPr="000B794F">
              <w:rPr>
                <w:rFonts w:ascii="Times New Roman" w:hAnsi="Times New Roman"/>
                <w:sz w:val="24"/>
                <w:szCs w:val="24"/>
                <w:lang w:val="uk-UA"/>
              </w:rPr>
              <w:t>Вимоги до аудиторського висновку №160</w:t>
            </w:r>
          </w:p>
        </w:tc>
      </w:tr>
      <w:tr w:rsidR="002F03DD" w:rsidRPr="000B794F" w:rsidTr="009E1DD3">
        <w:trPr>
          <w:trHeight w:val="3030"/>
        </w:trPr>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11.6</w:t>
            </w:r>
          </w:p>
        </w:tc>
        <w:tc>
          <w:tcPr>
            <w:tcW w:w="2340" w:type="dxa"/>
          </w:tcPr>
          <w:p w:rsidR="002F03DD" w:rsidRPr="000B794F" w:rsidRDefault="002F03DD" w:rsidP="007B5F6C">
            <w:pPr>
              <w:spacing w:line="180" w:lineRule="atLeast"/>
              <w:rPr>
                <w:b/>
                <w:color w:val="000000"/>
                <w:lang w:val="uk-UA"/>
              </w:rPr>
            </w:pPr>
            <w:r w:rsidRPr="000B794F">
              <w:rPr>
                <w:lang w:val="uk-UA"/>
              </w:rPr>
              <w:t>Аудиторський висновок (звіт незалежного аудитора) надавався тільки аудиторськими фір</w:t>
            </w:r>
            <w:r w:rsidR="00E339D2">
              <w:rPr>
                <w:lang w:val="uk-UA"/>
              </w:rPr>
              <w:t>ма</w:t>
            </w:r>
            <w:r w:rsidRPr="000B794F">
              <w:rPr>
                <w:lang w:val="uk-UA"/>
              </w:rPr>
              <w:t>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r w:rsidR="00A14F7F">
              <w:rPr>
                <w:lang w:val="uk-UA"/>
              </w:rPr>
              <w:t>.</w:t>
            </w:r>
          </w:p>
        </w:tc>
        <w:tc>
          <w:tcPr>
            <w:tcW w:w="1620" w:type="dxa"/>
            <w:tcBorders>
              <w:right w:val="single" w:sz="4" w:space="0" w:color="auto"/>
            </w:tcBorders>
          </w:tcPr>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B5F6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75652">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восьмий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11.7</w:t>
            </w:r>
          </w:p>
        </w:tc>
        <w:tc>
          <w:tcPr>
            <w:tcW w:w="2340" w:type="dxa"/>
          </w:tcPr>
          <w:p w:rsidR="002F03DD" w:rsidRPr="000B794F" w:rsidRDefault="002F03DD" w:rsidP="00CB5AA5">
            <w:pPr>
              <w:rPr>
                <w:lang w:val="uk-UA"/>
              </w:rPr>
            </w:pPr>
            <w:r w:rsidRPr="000B794F">
              <w:rPr>
                <w:rStyle w:val="rvts0"/>
                <w:lang w:val="uk-UA"/>
              </w:rPr>
              <w:t xml:space="preserve">Інформація,  визначена абзацом 4 пункту 9 розділу ІІ Ліцензійних умов №862 оприлюднена у вигляді </w:t>
            </w:r>
            <w:r w:rsidRPr="000B794F">
              <w:rPr>
                <w:rStyle w:val="rvts0"/>
              </w:rPr>
              <w:t>PDF</w:t>
            </w:r>
            <w:r w:rsidRPr="000B794F">
              <w:rPr>
                <w:rStyle w:val="rvts0"/>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r w:rsidR="00A14F7F">
              <w:rPr>
                <w:rStyle w:val="rvts0"/>
                <w:lang w:val="uk-UA"/>
              </w:rPr>
              <w:t>.</w:t>
            </w:r>
          </w:p>
        </w:tc>
        <w:tc>
          <w:tcPr>
            <w:tcW w:w="1620" w:type="dxa"/>
            <w:tcBorders>
              <w:right w:val="single" w:sz="4" w:space="0" w:color="auto"/>
            </w:tcBorders>
          </w:tcPr>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75652">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75652">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Абзаци четвертий, дев’ятий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11.8</w:t>
            </w:r>
          </w:p>
        </w:tc>
        <w:tc>
          <w:tcPr>
            <w:tcW w:w="2340" w:type="dxa"/>
          </w:tcPr>
          <w:p w:rsidR="002F03DD" w:rsidRPr="000B794F" w:rsidRDefault="002F03DD" w:rsidP="00BC0054">
            <w:pPr>
              <w:pStyle w:val="rvps2"/>
            </w:pPr>
            <w:r w:rsidRPr="000B794F">
              <w:t xml:space="preserve">Депозитарна установа обладнана системними і програмно-технічними </w:t>
            </w:r>
            <w:r w:rsidRPr="000B794F">
              <w:lastRenderedPageBreak/>
              <w:t>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відповідає вимогам міжнародних та національних стандартів</w:t>
            </w:r>
            <w:bookmarkStart w:id="6" w:name="n59"/>
            <w:bookmarkStart w:id="7" w:name="n229"/>
            <w:bookmarkStart w:id="8" w:name="n60"/>
            <w:bookmarkEnd w:id="6"/>
            <w:bookmarkEnd w:id="7"/>
            <w:bookmarkEnd w:id="8"/>
            <w:r w:rsidR="00A14F7F">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десятий пункту 9 глави 1</w:t>
            </w:r>
            <w:r w:rsidRPr="000B794F">
              <w:rPr>
                <w:sz w:val="24"/>
                <w:szCs w:val="24"/>
                <w:lang w:val="uk-UA"/>
              </w:rPr>
              <w:t xml:space="preserve"> </w:t>
            </w:r>
            <w:r w:rsidRPr="000B794F">
              <w:rPr>
                <w:rFonts w:ascii="Times New Roman" w:hAnsi="Times New Roman"/>
                <w:sz w:val="24"/>
                <w:szCs w:val="24"/>
                <w:lang w:val="uk-UA"/>
              </w:rPr>
              <w:t>розділу ІІ Ліцензійних умов № 862</w:t>
            </w:r>
          </w:p>
        </w:tc>
      </w:tr>
      <w:tr w:rsidR="002F03DD" w:rsidRPr="000B794F" w:rsidTr="009E1DD3">
        <w:tc>
          <w:tcPr>
            <w:tcW w:w="720" w:type="dxa"/>
          </w:tcPr>
          <w:p w:rsidR="002F03DD" w:rsidRPr="000B794F" w:rsidRDefault="002F03DD" w:rsidP="0030599A">
            <w:pPr>
              <w:pStyle w:val="NoSpacing"/>
              <w:ind w:left="-85" w:right="-130"/>
              <w:jc w:val="both"/>
              <w:rPr>
                <w:rFonts w:ascii="Times New Roman" w:hAnsi="Times New Roman"/>
                <w:sz w:val="24"/>
                <w:szCs w:val="24"/>
                <w:lang w:val="uk-UA"/>
              </w:rPr>
            </w:pPr>
            <w:r w:rsidRPr="000B794F">
              <w:rPr>
                <w:rFonts w:ascii="Times New Roman" w:hAnsi="Times New Roman"/>
                <w:sz w:val="24"/>
                <w:szCs w:val="24"/>
                <w:lang w:val="uk-UA"/>
              </w:rPr>
              <w:t>11.9</w:t>
            </w:r>
          </w:p>
        </w:tc>
        <w:tc>
          <w:tcPr>
            <w:tcW w:w="2340" w:type="dxa"/>
          </w:tcPr>
          <w:p w:rsidR="002F03DD" w:rsidRPr="00A14F7F" w:rsidRDefault="002F03DD" w:rsidP="00CB5AA5">
            <w:pPr>
              <w:rPr>
                <w:lang w:val="uk-UA"/>
              </w:rPr>
            </w:pPr>
            <w:r w:rsidRPr="00A14F7F">
              <w:rPr>
                <w:lang w:val="uk-UA"/>
              </w:rPr>
              <w:t>Депозитарна установа  забезпечила резервне збер</w:t>
            </w:r>
            <w:r w:rsidR="00A14F7F" w:rsidRPr="00A14F7F">
              <w:rPr>
                <w:lang w:val="uk-UA"/>
              </w:rPr>
              <w:t>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D137F5" w:rsidRDefault="00D137F5" w:rsidP="0014582B">
            <w:pPr>
              <w:pStyle w:val="HTML"/>
              <w:rPr>
                <w:rFonts w:ascii="Times New Roman" w:hAnsi="Times New Roman"/>
                <w:sz w:val="24"/>
                <w:szCs w:val="24"/>
                <w:lang w:val="uk-UA"/>
              </w:rPr>
            </w:pPr>
            <w:r>
              <w:rPr>
                <w:rFonts w:ascii="Times New Roman" w:hAnsi="Times New Roman"/>
                <w:sz w:val="24"/>
                <w:szCs w:val="24"/>
                <w:lang w:val="uk-UA"/>
              </w:rPr>
              <w:t>Абзац</w:t>
            </w:r>
          </w:p>
          <w:p w:rsidR="00D137F5" w:rsidRDefault="00D137F5" w:rsidP="0014582B">
            <w:pPr>
              <w:pStyle w:val="HTML"/>
              <w:rPr>
                <w:rFonts w:ascii="Times New Roman" w:hAnsi="Times New Roman"/>
                <w:sz w:val="24"/>
                <w:szCs w:val="24"/>
                <w:lang w:val="uk-UA"/>
              </w:rPr>
            </w:pPr>
            <w:r>
              <w:rPr>
                <w:rFonts w:ascii="Times New Roman" w:hAnsi="Times New Roman"/>
                <w:sz w:val="24"/>
                <w:szCs w:val="24"/>
                <w:lang w:val="uk-UA"/>
              </w:rPr>
              <w:t>одинадцятий</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пункту 9 глави 1 розділу ІІ Ліцензійних умов №862</w:t>
            </w:r>
          </w:p>
        </w:tc>
      </w:tr>
      <w:tr w:rsidR="00D137F5" w:rsidRPr="000B794F" w:rsidTr="009E1DD3">
        <w:tc>
          <w:tcPr>
            <w:tcW w:w="720" w:type="dxa"/>
          </w:tcPr>
          <w:p w:rsidR="00D137F5" w:rsidRPr="000B794F" w:rsidRDefault="00D137F5" w:rsidP="0030599A">
            <w:pPr>
              <w:pStyle w:val="NoSpacing"/>
              <w:ind w:left="-85" w:right="-130"/>
              <w:jc w:val="both"/>
              <w:rPr>
                <w:rFonts w:ascii="Times New Roman" w:hAnsi="Times New Roman"/>
                <w:sz w:val="24"/>
                <w:szCs w:val="24"/>
                <w:lang w:val="uk-UA"/>
              </w:rPr>
            </w:pPr>
            <w:r>
              <w:rPr>
                <w:rFonts w:ascii="Times New Roman" w:hAnsi="Times New Roman"/>
                <w:sz w:val="24"/>
                <w:szCs w:val="24"/>
                <w:lang w:val="uk-UA"/>
              </w:rPr>
              <w:t>11.10</w:t>
            </w:r>
          </w:p>
        </w:tc>
        <w:tc>
          <w:tcPr>
            <w:tcW w:w="2340" w:type="dxa"/>
          </w:tcPr>
          <w:p w:rsidR="00D137F5" w:rsidRPr="00A14F7F" w:rsidRDefault="00A14F7F" w:rsidP="00CB5AA5">
            <w:pPr>
              <w:rPr>
                <w:lang w:val="uk-UA"/>
              </w:rPr>
            </w:pPr>
            <w:r w:rsidRPr="00A14F7F">
              <w:rPr>
                <w:lang w:val="uk-UA"/>
              </w:rPr>
              <w:t>Носії з архівними даними стану рахунків зберігаються у сховищі.</w:t>
            </w:r>
          </w:p>
        </w:tc>
        <w:tc>
          <w:tcPr>
            <w:tcW w:w="1620" w:type="dxa"/>
            <w:tcBorders>
              <w:right w:val="single" w:sz="4" w:space="0" w:color="auto"/>
            </w:tcBorders>
          </w:tcPr>
          <w:p w:rsidR="00D137F5" w:rsidRPr="000B794F" w:rsidRDefault="00D137F5" w:rsidP="000432CC">
            <w:pPr>
              <w:pStyle w:val="NoSpacing"/>
              <w:jc w:val="center"/>
              <w:rPr>
                <w:rFonts w:ascii="Times New Roman" w:hAnsi="Times New Roman"/>
                <w:sz w:val="24"/>
                <w:szCs w:val="24"/>
                <w:lang w:val="uk-UA"/>
              </w:rPr>
            </w:pPr>
          </w:p>
        </w:tc>
        <w:tc>
          <w:tcPr>
            <w:tcW w:w="1800" w:type="dxa"/>
            <w:tcBorders>
              <w:left w:val="single" w:sz="4" w:space="0" w:color="auto"/>
            </w:tcBorders>
          </w:tcPr>
          <w:p w:rsidR="00D137F5" w:rsidRPr="000B794F" w:rsidRDefault="00D137F5" w:rsidP="000432CC">
            <w:pPr>
              <w:pStyle w:val="NoSpacing"/>
              <w:jc w:val="center"/>
              <w:rPr>
                <w:rFonts w:ascii="Times New Roman" w:hAnsi="Times New Roman"/>
                <w:sz w:val="24"/>
                <w:szCs w:val="24"/>
                <w:lang w:val="uk-UA"/>
              </w:rPr>
            </w:pPr>
          </w:p>
        </w:tc>
        <w:tc>
          <w:tcPr>
            <w:tcW w:w="360" w:type="dxa"/>
          </w:tcPr>
          <w:p w:rsidR="00D137F5" w:rsidRPr="000B794F" w:rsidRDefault="00D137F5" w:rsidP="0014582B">
            <w:pPr>
              <w:pStyle w:val="NoSpacing"/>
              <w:jc w:val="both"/>
              <w:rPr>
                <w:rFonts w:ascii="Times New Roman" w:hAnsi="Times New Roman"/>
                <w:sz w:val="24"/>
                <w:szCs w:val="24"/>
                <w:lang w:val="uk-UA"/>
              </w:rPr>
            </w:pPr>
          </w:p>
        </w:tc>
        <w:tc>
          <w:tcPr>
            <w:tcW w:w="360" w:type="dxa"/>
            <w:gridSpan w:val="2"/>
          </w:tcPr>
          <w:p w:rsidR="00D137F5" w:rsidRPr="000B794F" w:rsidRDefault="00D137F5" w:rsidP="0014582B">
            <w:pPr>
              <w:pStyle w:val="NoSpacing"/>
              <w:jc w:val="both"/>
              <w:rPr>
                <w:rFonts w:ascii="Times New Roman" w:hAnsi="Times New Roman"/>
                <w:sz w:val="24"/>
                <w:szCs w:val="24"/>
                <w:lang w:val="uk-UA"/>
              </w:rPr>
            </w:pPr>
          </w:p>
        </w:tc>
        <w:tc>
          <w:tcPr>
            <w:tcW w:w="900" w:type="dxa"/>
          </w:tcPr>
          <w:p w:rsidR="00D137F5" w:rsidRPr="000B794F" w:rsidRDefault="00D137F5" w:rsidP="0014582B">
            <w:pPr>
              <w:pStyle w:val="NoSpacing"/>
              <w:jc w:val="both"/>
              <w:rPr>
                <w:rFonts w:ascii="Times New Roman" w:hAnsi="Times New Roman"/>
                <w:sz w:val="24"/>
                <w:szCs w:val="24"/>
                <w:lang w:val="uk-UA"/>
              </w:rPr>
            </w:pPr>
          </w:p>
        </w:tc>
        <w:tc>
          <w:tcPr>
            <w:tcW w:w="1800" w:type="dxa"/>
          </w:tcPr>
          <w:p w:rsidR="00D137F5" w:rsidRPr="000B794F" w:rsidRDefault="00D137F5" w:rsidP="0014582B">
            <w:pPr>
              <w:pStyle w:val="HTML"/>
              <w:rPr>
                <w:rFonts w:ascii="Times New Roman" w:hAnsi="Times New Roman"/>
                <w:sz w:val="24"/>
                <w:szCs w:val="24"/>
                <w:lang w:val="uk-UA"/>
              </w:rPr>
            </w:pPr>
            <w:r>
              <w:rPr>
                <w:rFonts w:ascii="Times New Roman" w:hAnsi="Times New Roman"/>
                <w:sz w:val="24"/>
                <w:szCs w:val="24"/>
                <w:lang w:val="uk-UA"/>
              </w:rPr>
              <w:t xml:space="preserve">Абзац </w:t>
            </w:r>
            <w:r w:rsidRPr="000B794F">
              <w:rPr>
                <w:rFonts w:ascii="Times New Roman" w:hAnsi="Times New Roman"/>
                <w:sz w:val="24"/>
                <w:szCs w:val="24"/>
                <w:lang w:val="uk-UA"/>
              </w:rPr>
              <w:t>дванадцятий пункту 9 глави 1 розділу ІІ Ліцензійних умов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12</w:t>
            </w:r>
          </w:p>
        </w:tc>
        <w:tc>
          <w:tcPr>
            <w:tcW w:w="2340" w:type="dxa"/>
          </w:tcPr>
          <w:p w:rsidR="002F03DD" w:rsidRPr="000B794F" w:rsidRDefault="002F03DD" w:rsidP="00CB5AA5">
            <w:pPr>
              <w:rPr>
                <w:lang w:val="uk-UA"/>
              </w:rPr>
            </w:pPr>
            <w:r w:rsidRPr="000B794F">
              <w:rPr>
                <w:rStyle w:val="rvts0"/>
                <w:lang w:val="uk-UA"/>
              </w:rPr>
              <w:t>Функціонування системних, програмно-технічних засобів та засобів зв'язку забезпечує дублювання роботи всіх систем та елементів у депозитарної установи для забезпечення збереження інформації та забезпечення неможливості її знищення з будь-</w:t>
            </w:r>
            <w:r w:rsidRPr="000B794F">
              <w:rPr>
                <w:rStyle w:val="rvts0"/>
                <w:lang w:val="uk-UA"/>
              </w:rPr>
              <w:lastRenderedPageBreak/>
              <w:t>яких обставин засобами, передбаченими депозитарною установою</w:t>
            </w:r>
            <w:r w:rsidR="00A14F7F">
              <w:rPr>
                <w:rStyle w:val="rvts0"/>
                <w:lang w:val="uk-UA"/>
              </w:rPr>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 11 глави 1 розділу ІІ Ліцензійних умов № 862</w:t>
            </w:r>
          </w:p>
        </w:tc>
      </w:tr>
      <w:tr w:rsidR="002F03DD" w:rsidRPr="000B794F" w:rsidTr="009E1DD3">
        <w:tc>
          <w:tcPr>
            <w:tcW w:w="720" w:type="dxa"/>
          </w:tcPr>
          <w:p w:rsidR="002F03DD" w:rsidRPr="0021486B" w:rsidRDefault="002F03DD" w:rsidP="0014582B">
            <w:pPr>
              <w:pStyle w:val="NoSpacing"/>
              <w:jc w:val="both"/>
              <w:rPr>
                <w:rFonts w:ascii="Times New Roman" w:hAnsi="Times New Roman"/>
                <w:sz w:val="24"/>
                <w:szCs w:val="24"/>
                <w:lang w:val="uk-UA"/>
              </w:rPr>
            </w:pPr>
            <w:r w:rsidRPr="0021486B">
              <w:rPr>
                <w:rFonts w:ascii="Times New Roman" w:hAnsi="Times New Roman"/>
                <w:sz w:val="24"/>
                <w:szCs w:val="24"/>
                <w:lang w:val="uk-UA"/>
              </w:rPr>
              <w:t>13</w:t>
            </w:r>
          </w:p>
        </w:tc>
        <w:tc>
          <w:tcPr>
            <w:tcW w:w="2340" w:type="dxa"/>
          </w:tcPr>
          <w:p w:rsidR="002F03DD" w:rsidRPr="0021486B" w:rsidRDefault="002F03DD" w:rsidP="00CB5AA5">
            <w:pPr>
              <w:rPr>
                <w:rStyle w:val="rvts0"/>
                <w:lang w:val="uk-UA"/>
              </w:rPr>
            </w:pPr>
            <w:r w:rsidRPr="0021486B">
              <w:rPr>
                <w:rStyle w:val="rvts0"/>
                <w:lang w:val="uk-UA"/>
              </w:rPr>
              <w:t xml:space="preserve">Депозитарна установа здійснює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w:t>
            </w:r>
            <w:r w:rsidRPr="0021486B">
              <w:rPr>
                <w:rStyle w:val="rvts0"/>
              </w:rPr>
              <w:t>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r w:rsidRPr="0021486B">
              <w:rPr>
                <w:rStyle w:val="rvts0"/>
                <w:lang w:val="uk-UA"/>
              </w:rPr>
              <w:t>.</w:t>
            </w:r>
          </w:p>
          <w:p w:rsidR="002F03DD" w:rsidRPr="0021486B" w:rsidRDefault="002F03DD" w:rsidP="00CB5AA5">
            <w:pPr>
              <w:rPr>
                <w:lang w:val="uk-UA"/>
              </w:rPr>
            </w:pPr>
            <w:r w:rsidRPr="0021486B">
              <w:rPr>
                <w:rStyle w:val="rvts0"/>
              </w:rPr>
              <w:t>Відокремлений підрозділ депозитарної установи не  делегу</w:t>
            </w:r>
            <w:r w:rsidRPr="0021486B">
              <w:rPr>
                <w:rStyle w:val="rvts0"/>
                <w:lang w:val="uk-UA"/>
              </w:rPr>
              <w:t>є</w:t>
            </w:r>
            <w:r w:rsidRPr="0021486B">
              <w:rPr>
                <w:rStyle w:val="rvts0"/>
              </w:rPr>
              <w:t xml:space="preserve"> повноваження, які надані йому депозитарною установою, іншим особам</w:t>
            </w:r>
            <w:r w:rsidR="0021486B" w:rsidRPr="0021486B">
              <w:rPr>
                <w:rStyle w:val="rvts0"/>
                <w:lang w:val="uk-UA"/>
              </w:rPr>
              <w:t>.</w:t>
            </w:r>
          </w:p>
        </w:tc>
        <w:tc>
          <w:tcPr>
            <w:tcW w:w="1620" w:type="dxa"/>
            <w:tcBorders>
              <w:right w:val="single" w:sz="4" w:space="0" w:color="auto"/>
            </w:tcBorders>
          </w:tcPr>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0432C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0432C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0432CC">
            <w:pPr>
              <w:pStyle w:val="HTML"/>
              <w:rPr>
                <w:rFonts w:ascii="Times New Roman" w:hAnsi="Times New Roman"/>
                <w:sz w:val="24"/>
                <w:szCs w:val="24"/>
                <w:lang w:val="uk-UA"/>
              </w:rPr>
            </w:pPr>
            <w:r w:rsidRPr="000B794F">
              <w:rPr>
                <w:rFonts w:ascii="Times New Roman" w:hAnsi="Times New Roman"/>
                <w:sz w:val="24"/>
                <w:szCs w:val="24"/>
                <w:lang w:val="uk-UA"/>
              </w:rPr>
              <w:t>Пункт 12 глави 1 роз</w:t>
            </w:r>
            <w:r w:rsidR="0021486B">
              <w:rPr>
                <w:rFonts w:ascii="Times New Roman" w:hAnsi="Times New Roman"/>
                <w:sz w:val="24"/>
                <w:szCs w:val="24"/>
                <w:lang w:val="uk-UA"/>
              </w:rPr>
              <w:t>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14</w:t>
            </w:r>
          </w:p>
        </w:tc>
        <w:tc>
          <w:tcPr>
            <w:tcW w:w="2340" w:type="dxa"/>
          </w:tcPr>
          <w:p w:rsidR="002F03DD" w:rsidRPr="000B794F" w:rsidRDefault="002F03DD" w:rsidP="00A52477">
            <w:pPr>
              <w:pStyle w:val="rvps2"/>
              <w:spacing w:before="0" w:beforeAutospacing="0" w:after="0" w:afterAutospacing="0"/>
            </w:pPr>
            <w:r w:rsidRPr="000B794F">
              <w:t xml:space="preserve">За рішенням наглядової ради (у разі наявності) або вищого органу управління депозитарної установи (крім банку) створений  структурний підрозділ або </w:t>
            </w:r>
            <w:r w:rsidRPr="000B794F">
              <w:lastRenderedPageBreak/>
              <w:t>призначена окрема посадова особа, що проводить внутрішній аудит (контроль).</w:t>
            </w:r>
          </w:p>
          <w:p w:rsidR="002F03DD" w:rsidRPr="000B794F" w:rsidRDefault="002F03DD" w:rsidP="00A52477">
            <w:pPr>
              <w:pStyle w:val="rvps2"/>
              <w:spacing w:before="0" w:beforeAutospacing="0" w:after="0" w:afterAutospacing="0"/>
              <w:rPr>
                <w:rStyle w:val="rvts0"/>
              </w:rPr>
            </w:pPr>
            <w:bookmarkStart w:id="9" w:name="n67"/>
            <w:bookmarkEnd w:id="9"/>
            <w:r w:rsidRPr="000B794F">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bookmarkStart w:id="10" w:name="n68"/>
            <w:bookmarkEnd w:id="10"/>
            <w:r w:rsidR="00A14F7F">
              <w:t>.</w:t>
            </w:r>
          </w:p>
        </w:tc>
        <w:tc>
          <w:tcPr>
            <w:tcW w:w="1620" w:type="dxa"/>
            <w:tcBorders>
              <w:right w:val="single" w:sz="4" w:space="0" w:color="auto"/>
            </w:tcBorders>
          </w:tcPr>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B07A78">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B07A78">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Абзаци перший, другий пункту 14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15</w:t>
            </w:r>
          </w:p>
        </w:tc>
        <w:tc>
          <w:tcPr>
            <w:tcW w:w="2340" w:type="dxa"/>
          </w:tcPr>
          <w:p w:rsidR="002F03DD" w:rsidRPr="000B794F" w:rsidRDefault="002F03DD" w:rsidP="0030599A">
            <w:pPr>
              <w:pStyle w:val="rvps2"/>
              <w:spacing w:before="0" w:beforeAutospacing="0" w:after="0" w:afterAutospacing="0"/>
              <w:rPr>
                <w:rStyle w:val="rvts0"/>
              </w:rPr>
            </w:pPr>
            <w:bookmarkStart w:id="11" w:name="n81"/>
            <w:bookmarkEnd w:id="11"/>
            <w:r w:rsidRPr="000B794F">
              <w:t>Банк (його відокремлені та/або спеціалізовані структурні підрозділи) для провадження певного виду професійної діяльності на фондовому ринку має окреме приміщення, яке повністю відокре</w:t>
            </w:r>
            <w:r w:rsidR="00A14F7F">
              <w:t>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1620" w:type="dxa"/>
            <w:tcBorders>
              <w:right w:val="single" w:sz="4" w:space="0" w:color="auto"/>
            </w:tcBorders>
          </w:tcPr>
          <w:p w:rsidR="002F03DD" w:rsidRPr="000B794F" w:rsidRDefault="002F03DD" w:rsidP="0075244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5244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752440">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19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16</w:t>
            </w:r>
          </w:p>
        </w:tc>
        <w:tc>
          <w:tcPr>
            <w:tcW w:w="2340" w:type="dxa"/>
          </w:tcPr>
          <w:p w:rsidR="002F03DD" w:rsidRPr="000B794F" w:rsidRDefault="002F03DD" w:rsidP="00CB5AA5">
            <w:pPr>
              <w:rPr>
                <w:rStyle w:val="rvts0"/>
                <w:lang w:val="uk-UA"/>
              </w:rPr>
            </w:pPr>
            <w:r w:rsidRPr="000B794F">
              <w:rPr>
                <w:rStyle w:val="rvts0"/>
                <w:lang w:val="uk-UA"/>
              </w:rPr>
              <w:t xml:space="preserve">Депозитарна установа зобов’язана забезпечити та задекларувати </w:t>
            </w:r>
            <w:r w:rsidRPr="000B794F">
              <w:rPr>
                <w:rStyle w:val="rvts0"/>
                <w:lang w:val="uk-UA"/>
              </w:rPr>
              <w:lastRenderedPageBreak/>
              <w:t>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групам населення</w:t>
            </w:r>
            <w:r w:rsidR="007B5F6C">
              <w:rPr>
                <w:rStyle w:val="rvts0"/>
                <w:lang w:val="uk-UA"/>
              </w:rPr>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 20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17</w:t>
            </w:r>
          </w:p>
        </w:tc>
        <w:tc>
          <w:tcPr>
            <w:tcW w:w="2340" w:type="dxa"/>
          </w:tcPr>
          <w:p w:rsidR="002F03DD" w:rsidRPr="000B794F" w:rsidRDefault="002F03DD" w:rsidP="00897933">
            <w:pPr>
              <w:pStyle w:val="rvps2"/>
              <w:spacing w:before="0" w:beforeAutospacing="0" w:after="0" w:afterAutospacing="0"/>
              <w:rPr>
                <w:rStyle w:val="rvts0"/>
              </w:rPr>
            </w:pPr>
            <w:r w:rsidRPr="000B794F">
              <w:t xml:space="preserve">Діяльність із 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інституційних інвесторів та дотримується всіх вимог </w:t>
            </w:r>
            <w:hyperlink r:id="rId11" w:anchor="n28" w:history="1">
              <w:r w:rsidRPr="000B794F">
                <w:rPr>
                  <w:rStyle w:val="af1"/>
                  <w:color w:val="auto"/>
                  <w:u w:val="none"/>
                </w:rPr>
                <w:t>глави 1</w:t>
              </w:r>
            </w:hyperlink>
            <w:r w:rsidRPr="000B794F">
              <w:t xml:space="preserve"> розділу ІІ Ліцензійних умов  №862 з урахуванням особливостей, визначених  главою 2 розділу ІІ Ліцензійних умов №862</w:t>
            </w:r>
            <w:bookmarkStart w:id="12" w:name="n84"/>
            <w:bookmarkEnd w:id="12"/>
            <w:r w:rsidR="00A14F7F">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перший пункту 1 глави 2 розділу ІІ Ліцензійних умов № 862;</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Глава 1 розділу ІІ Ліцензійних умов № 862</w:t>
            </w:r>
          </w:p>
        </w:tc>
      </w:tr>
      <w:tr w:rsidR="002F03DD" w:rsidRPr="000B794F" w:rsidTr="009E1DD3">
        <w:tc>
          <w:tcPr>
            <w:tcW w:w="720" w:type="dxa"/>
          </w:tcPr>
          <w:p w:rsidR="002F03DD" w:rsidRPr="000B794F" w:rsidRDefault="002F03DD" w:rsidP="003D27A2">
            <w:pPr>
              <w:pStyle w:val="NoSpacing"/>
              <w:ind w:left="-85" w:right="-85"/>
              <w:jc w:val="both"/>
              <w:rPr>
                <w:rFonts w:ascii="Times New Roman" w:hAnsi="Times New Roman"/>
                <w:sz w:val="24"/>
                <w:szCs w:val="24"/>
                <w:lang w:val="uk-UA"/>
              </w:rPr>
            </w:pPr>
            <w:r w:rsidRPr="000B794F">
              <w:rPr>
                <w:rFonts w:ascii="Times New Roman" w:hAnsi="Times New Roman"/>
                <w:sz w:val="24"/>
                <w:szCs w:val="24"/>
                <w:lang w:val="uk-UA"/>
              </w:rPr>
              <w:t xml:space="preserve"> 17.1</w:t>
            </w:r>
          </w:p>
        </w:tc>
        <w:tc>
          <w:tcPr>
            <w:tcW w:w="2340" w:type="dxa"/>
          </w:tcPr>
          <w:p w:rsidR="002F03DD" w:rsidRPr="000B794F" w:rsidRDefault="002F03DD" w:rsidP="00E31C5B">
            <w:pPr>
              <w:pStyle w:val="rvps2"/>
              <w:spacing w:before="0" w:beforeAutospacing="0" w:after="0" w:afterAutospacing="0"/>
              <w:rPr>
                <w:rStyle w:val="rvts0"/>
              </w:rPr>
            </w:pPr>
            <w:r w:rsidRPr="000B794F">
              <w:t xml:space="preserve">Депозитарна установа для провадження діяльності із зберігання активів інститутів спільного інвестування має у власності або у користуванні приміщення, яке відповідає вимогам, визначеним у </w:t>
            </w:r>
            <w:hyperlink r:id="rId12" w:anchor="n29" w:history="1">
              <w:r w:rsidRPr="000B794F">
                <w:rPr>
                  <w:rStyle w:val="af1"/>
                  <w:color w:val="auto"/>
                  <w:u w:val="none"/>
                </w:rPr>
                <w:t>пункті 1 глави 1 розділу ІI</w:t>
              </w:r>
            </w:hyperlink>
            <w:r w:rsidRPr="000B794F">
              <w:t xml:space="preserve"> Ліцензійних умов №862</w:t>
            </w:r>
            <w:r w:rsidR="007B5F6C">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 глави 2 розділу ІІ Ліцензійних умов № 862; пункт 1 глави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18</w:t>
            </w:r>
          </w:p>
        </w:tc>
        <w:tc>
          <w:tcPr>
            <w:tcW w:w="2340" w:type="dxa"/>
          </w:tcPr>
          <w:p w:rsidR="002F03DD" w:rsidRPr="000B794F" w:rsidRDefault="002F03DD" w:rsidP="00E31C5B">
            <w:pPr>
              <w:rPr>
                <w:rStyle w:val="rvts0"/>
                <w:lang w:val="uk-UA"/>
              </w:rPr>
            </w:pPr>
            <w:r w:rsidRPr="000B794F">
              <w:rPr>
                <w:lang w:val="uk-UA"/>
              </w:rPr>
              <w:t xml:space="preserve">Керівна посадова особа та фахівець </w:t>
            </w:r>
            <w:r w:rsidRPr="000B794F">
              <w:rPr>
                <w:lang w:val="uk-UA"/>
              </w:rPr>
              <w:lastRenderedPageBreak/>
              <w:t>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мають кваліфікацію фахівця з депозитарної діяльності</w:t>
            </w:r>
            <w:r w:rsidRPr="000B794F">
              <w:rPr>
                <w:b/>
                <w:lang w:val="uk-UA"/>
              </w:rPr>
              <w:t>,</w:t>
            </w:r>
            <w:r w:rsidRPr="000B794F">
              <w:rPr>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відповідають кваліфікаційним вимогам, установленим при отриманні ліцензії.</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60E03"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sidR="00660E03">
              <w:rPr>
                <w:rFonts w:ascii="Times New Roman" w:hAnsi="Times New Roman"/>
                <w:sz w:val="24"/>
                <w:szCs w:val="24"/>
                <w:lang w:val="uk-UA"/>
              </w:rPr>
              <w:t xml:space="preserve"> перший </w:t>
            </w:r>
            <w:r w:rsidRPr="000B794F">
              <w:rPr>
                <w:rFonts w:ascii="Times New Roman" w:hAnsi="Times New Roman"/>
                <w:sz w:val="24"/>
                <w:szCs w:val="24"/>
                <w:lang w:val="uk-UA"/>
              </w:rPr>
              <w:t xml:space="preserve"> пункту 2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lastRenderedPageBreak/>
              <w:t>глави 2 розділу ІІ Ліцензійних умов № 862</w:t>
            </w:r>
          </w:p>
        </w:tc>
      </w:tr>
      <w:tr w:rsidR="006465EF" w:rsidRPr="000B794F" w:rsidTr="009E1DD3">
        <w:tc>
          <w:tcPr>
            <w:tcW w:w="720" w:type="dxa"/>
          </w:tcPr>
          <w:p w:rsidR="006465EF" w:rsidRPr="000B794F"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lastRenderedPageBreak/>
              <w:t>18.1</w:t>
            </w:r>
          </w:p>
        </w:tc>
        <w:tc>
          <w:tcPr>
            <w:tcW w:w="2340" w:type="dxa"/>
          </w:tcPr>
          <w:p w:rsidR="006465EF" w:rsidRPr="000B794F" w:rsidRDefault="00660E03" w:rsidP="00660E03">
            <w:pPr>
              <w:rPr>
                <w:lang w:val="uk-UA"/>
              </w:rPr>
            </w:pPr>
            <w:r w:rsidRPr="000B794F">
              <w:rPr>
                <w:rStyle w:val="rvts0"/>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465EF"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465EF" w:rsidRPr="000B794F" w:rsidRDefault="006465EF" w:rsidP="0066661C">
            <w:pPr>
              <w:pStyle w:val="NoSpacing"/>
              <w:jc w:val="center"/>
              <w:rPr>
                <w:rFonts w:ascii="Times New Roman" w:hAnsi="Times New Roman"/>
                <w:sz w:val="24"/>
                <w:szCs w:val="24"/>
                <w:lang w:val="uk-UA"/>
              </w:rPr>
            </w:pPr>
          </w:p>
        </w:tc>
        <w:tc>
          <w:tcPr>
            <w:tcW w:w="360" w:type="dxa"/>
          </w:tcPr>
          <w:p w:rsidR="006465EF" w:rsidRPr="000B794F" w:rsidRDefault="006465EF" w:rsidP="0014582B">
            <w:pPr>
              <w:pStyle w:val="NoSpacing"/>
              <w:jc w:val="both"/>
              <w:rPr>
                <w:rFonts w:ascii="Times New Roman" w:hAnsi="Times New Roman"/>
                <w:sz w:val="24"/>
                <w:szCs w:val="24"/>
                <w:lang w:val="uk-UA"/>
              </w:rPr>
            </w:pPr>
          </w:p>
        </w:tc>
        <w:tc>
          <w:tcPr>
            <w:tcW w:w="360" w:type="dxa"/>
            <w:gridSpan w:val="2"/>
          </w:tcPr>
          <w:p w:rsidR="006465EF" w:rsidRPr="000B794F" w:rsidRDefault="006465EF" w:rsidP="0014582B">
            <w:pPr>
              <w:pStyle w:val="NoSpacing"/>
              <w:jc w:val="both"/>
              <w:rPr>
                <w:rFonts w:ascii="Times New Roman" w:hAnsi="Times New Roman"/>
                <w:sz w:val="24"/>
                <w:szCs w:val="24"/>
                <w:lang w:val="uk-UA"/>
              </w:rPr>
            </w:pPr>
          </w:p>
        </w:tc>
        <w:tc>
          <w:tcPr>
            <w:tcW w:w="900" w:type="dxa"/>
          </w:tcPr>
          <w:p w:rsidR="006465EF" w:rsidRPr="000B794F" w:rsidRDefault="006465EF" w:rsidP="0014582B">
            <w:pPr>
              <w:pStyle w:val="NoSpacing"/>
              <w:jc w:val="both"/>
              <w:rPr>
                <w:rFonts w:ascii="Times New Roman" w:hAnsi="Times New Roman"/>
                <w:sz w:val="24"/>
                <w:szCs w:val="24"/>
                <w:lang w:val="uk-UA"/>
              </w:rPr>
            </w:pPr>
          </w:p>
        </w:tc>
        <w:tc>
          <w:tcPr>
            <w:tcW w:w="1800" w:type="dxa"/>
          </w:tcPr>
          <w:p w:rsidR="006465EF"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другий</w:t>
            </w:r>
            <w:r w:rsidRPr="000B794F">
              <w:rPr>
                <w:rFonts w:ascii="Times New Roman" w:hAnsi="Times New Roman"/>
                <w:sz w:val="24"/>
                <w:szCs w:val="24"/>
                <w:lang w:val="uk-UA"/>
              </w:rPr>
              <w:t xml:space="preserve"> пункту 2 глави 2 розділу ІІ Ліцензійних умов № 862</w:t>
            </w:r>
          </w:p>
        </w:tc>
      </w:tr>
      <w:tr w:rsidR="00660E03" w:rsidRPr="000B794F" w:rsidTr="009E1DD3">
        <w:tc>
          <w:tcPr>
            <w:tcW w:w="720" w:type="dxa"/>
          </w:tcPr>
          <w:p w:rsidR="00660E03"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t>18.2</w:t>
            </w:r>
          </w:p>
        </w:tc>
        <w:tc>
          <w:tcPr>
            <w:tcW w:w="2340" w:type="dxa"/>
          </w:tcPr>
          <w:p w:rsidR="00660E03" w:rsidRPr="000B794F" w:rsidRDefault="00660E03" w:rsidP="00660E03">
            <w:pPr>
              <w:rPr>
                <w:rStyle w:val="rvts0"/>
                <w:lang w:val="uk-UA"/>
              </w:rPr>
            </w:pPr>
            <w:r w:rsidRPr="000B794F">
              <w:rPr>
                <w:rStyle w:val="rvts0"/>
                <w:lang w:val="uk-UA"/>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w:t>
            </w:r>
            <w:r w:rsidRPr="000B794F">
              <w:rPr>
                <w:rStyle w:val="rvts0"/>
                <w:lang w:val="uk-UA"/>
              </w:rPr>
              <w:lastRenderedPageBreak/>
              <w:t>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r w:rsidR="007B5F6C">
              <w:rPr>
                <w:rStyle w:val="rvts0"/>
                <w:lang w:val="uk-UA"/>
              </w:rPr>
              <w:t>.</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60E03" w:rsidRPr="000B794F" w:rsidRDefault="00660E03" w:rsidP="0066661C">
            <w:pPr>
              <w:pStyle w:val="NoSpacing"/>
              <w:jc w:val="center"/>
              <w:rPr>
                <w:rFonts w:ascii="Times New Roman" w:hAnsi="Times New Roman"/>
                <w:sz w:val="24"/>
                <w:szCs w:val="24"/>
                <w:lang w:val="uk-UA"/>
              </w:rPr>
            </w:pPr>
          </w:p>
        </w:tc>
        <w:tc>
          <w:tcPr>
            <w:tcW w:w="360" w:type="dxa"/>
          </w:tcPr>
          <w:p w:rsidR="00660E03" w:rsidRPr="000B794F" w:rsidRDefault="00660E03" w:rsidP="0014582B">
            <w:pPr>
              <w:pStyle w:val="NoSpacing"/>
              <w:jc w:val="both"/>
              <w:rPr>
                <w:rFonts w:ascii="Times New Roman" w:hAnsi="Times New Roman"/>
                <w:sz w:val="24"/>
                <w:szCs w:val="24"/>
                <w:lang w:val="uk-UA"/>
              </w:rPr>
            </w:pPr>
          </w:p>
        </w:tc>
        <w:tc>
          <w:tcPr>
            <w:tcW w:w="360" w:type="dxa"/>
            <w:gridSpan w:val="2"/>
          </w:tcPr>
          <w:p w:rsidR="00660E03" w:rsidRPr="000B794F" w:rsidRDefault="00660E03" w:rsidP="0014582B">
            <w:pPr>
              <w:pStyle w:val="NoSpacing"/>
              <w:jc w:val="both"/>
              <w:rPr>
                <w:rFonts w:ascii="Times New Roman" w:hAnsi="Times New Roman"/>
                <w:sz w:val="24"/>
                <w:szCs w:val="24"/>
                <w:lang w:val="uk-UA"/>
              </w:rPr>
            </w:pPr>
          </w:p>
        </w:tc>
        <w:tc>
          <w:tcPr>
            <w:tcW w:w="900" w:type="dxa"/>
          </w:tcPr>
          <w:p w:rsidR="00660E03" w:rsidRPr="000B794F" w:rsidRDefault="00660E03" w:rsidP="0014582B">
            <w:pPr>
              <w:pStyle w:val="NoSpacing"/>
              <w:jc w:val="both"/>
              <w:rPr>
                <w:rFonts w:ascii="Times New Roman" w:hAnsi="Times New Roman"/>
                <w:sz w:val="24"/>
                <w:szCs w:val="24"/>
                <w:lang w:val="uk-UA"/>
              </w:rPr>
            </w:pPr>
          </w:p>
        </w:tc>
        <w:tc>
          <w:tcPr>
            <w:tcW w:w="1800" w:type="dxa"/>
          </w:tcPr>
          <w:p w:rsidR="00660E03"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третій пункту 2 </w:t>
            </w:r>
          </w:p>
          <w:p w:rsidR="00660E03"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глави 2 розділу ІІ Ліцензійних умов № 862</w:t>
            </w:r>
          </w:p>
        </w:tc>
      </w:tr>
      <w:tr w:rsidR="002F03DD" w:rsidRPr="000B794F" w:rsidTr="009E1DD3">
        <w:tc>
          <w:tcPr>
            <w:tcW w:w="720" w:type="dxa"/>
          </w:tcPr>
          <w:p w:rsidR="002F03DD" w:rsidRPr="000B794F" w:rsidRDefault="00660E03" w:rsidP="00CC6D08">
            <w:pPr>
              <w:pStyle w:val="NoSpacing"/>
              <w:ind w:left="-85" w:right="-85"/>
              <w:jc w:val="center"/>
              <w:rPr>
                <w:rFonts w:ascii="Times New Roman" w:hAnsi="Times New Roman"/>
                <w:sz w:val="24"/>
                <w:szCs w:val="24"/>
                <w:lang w:val="uk-UA"/>
              </w:rPr>
            </w:pPr>
            <w:r>
              <w:rPr>
                <w:rFonts w:ascii="Times New Roman" w:hAnsi="Times New Roman"/>
                <w:sz w:val="24"/>
                <w:szCs w:val="24"/>
                <w:lang w:val="uk-UA"/>
              </w:rPr>
              <w:t>18.3</w:t>
            </w:r>
          </w:p>
        </w:tc>
        <w:tc>
          <w:tcPr>
            <w:tcW w:w="2340" w:type="dxa"/>
          </w:tcPr>
          <w:p w:rsidR="002F03DD" w:rsidRPr="000B794F" w:rsidRDefault="002F03DD" w:rsidP="00CB5AA5">
            <w:pPr>
              <w:rPr>
                <w:rStyle w:val="rvts0"/>
                <w:lang w:val="uk-UA"/>
              </w:rPr>
            </w:pPr>
            <w:r w:rsidRPr="000B794F">
              <w:rPr>
                <w:rStyle w:val="rvts0"/>
                <w:lang w:val="uk-UA"/>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одночасно не працюють в інших професійних учасниках фондового ринку та в інших підрозділах ліцензіата, які здійснюють інші види професійної </w:t>
            </w:r>
            <w:r w:rsidRPr="000B794F">
              <w:rPr>
                <w:rStyle w:val="rvts0"/>
                <w:lang w:val="uk-UA"/>
              </w:rPr>
              <w:lastRenderedPageBreak/>
              <w:t>діяльності, ніж депозитарна діяльність</w:t>
            </w:r>
            <w:r w:rsidR="007B5F6C">
              <w:rPr>
                <w:rStyle w:val="rvts0"/>
                <w:lang w:val="uk-UA"/>
              </w:rPr>
              <w:t>.</w:t>
            </w:r>
          </w:p>
        </w:tc>
        <w:tc>
          <w:tcPr>
            <w:tcW w:w="1620" w:type="dxa"/>
            <w:tcBorders>
              <w:right w:val="single" w:sz="4" w:space="0" w:color="auto"/>
            </w:tcBorders>
          </w:tcPr>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66661C">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66661C">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2 глави 2 розділу ІІ Ліцензійних умов № 862</w:t>
            </w:r>
          </w:p>
        </w:tc>
      </w:tr>
      <w:tr w:rsidR="002F03DD" w:rsidRPr="000B794F" w:rsidTr="009E1DD3">
        <w:tc>
          <w:tcPr>
            <w:tcW w:w="720" w:type="dxa"/>
          </w:tcPr>
          <w:p w:rsidR="002F03DD" w:rsidRPr="000B794F" w:rsidRDefault="002F03DD" w:rsidP="00CC6D08">
            <w:pPr>
              <w:pStyle w:val="NoSpacing"/>
              <w:ind w:left="-85" w:right="-85"/>
              <w:jc w:val="center"/>
              <w:rPr>
                <w:rFonts w:ascii="Times New Roman" w:hAnsi="Times New Roman"/>
                <w:sz w:val="24"/>
                <w:szCs w:val="24"/>
                <w:lang w:val="uk-UA"/>
              </w:rPr>
            </w:pPr>
            <w:r w:rsidRPr="000B794F">
              <w:rPr>
                <w:rFonts w:ascii="Times New Roman" w:hAnsi="Times New Roman"/>
                <w:sz w:val="24"/>
                <w:szCs w:val="24"/>
                <w:lang w:val="uk-UA"/>
              </w:rPr>
              <w:t>19</w:t>
            </w:r>
          </w:p>
        </w:tc>
        <w:tc>
          <w:tcPr>
            <w:tcW w:w="2340" w:type="dxa"/>
          </w:tcPr>
          <w:p w:rsidR="002F03DD" w:rsidRPr="000B794F" w:rsidRDefault="002F03DD" w:rsidP="00CB5AA5">
            <w:pPr>
              <w:rPr>
                <w:rStyle w:val="rvts0"/>
                <w:lang w:val="uk-UA"/>
              </w:rPr>
            </w:pPr>
            <w:r w:rsidRPr="000B794F">
              <w:rPr>
                <w:rStyle w:val="rvts0"/>
                <w:lang w:val="uk-UA"/>
              </w:rPr>
              <w:t>При провадженні діяльності із зберігання активів інститутів спільного інвестування депозитарна установа має сплачений коштами статутний капітал у розмірі не менше ніж 25 мільйонів гривень</w:t>
            </w:r>
            <w:r w:rsidR="007B5F6C">
              <w:rPr>
                <w:rStyle w:val="rvts0"/>
                <w:lang w:val="uk-UA"/>
              </w:rPr>
              <w:t>.</w:t>
            </w:r>
          </w:p>
        </w:tc>
        <w:tc>
          <w:tcPr>
            <w:tcW w:w="1620" w:type="dxa"/>
            <w:tcBorders>
              <w:right w:val="single" w:sz="4" w:space="0" w:color="auto"/>
            </w:tcBorders>
          </w:tcPr>
          <w:p w:rsidR="002F03DD" w:rsidRPr="000B794F" w:rsidRDefault="002F03DD" w:rsidP="00541E6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541E6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541E6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Пункт 3 глави 2 розділу ІІ Ліцензійних умов № 862</w:t>
            </w:r>
          </w:p>
        </w:tc>
      </w:tr>
      <w:tr w:rsidR="002F03DD" w:rsidRPr="000B794F" w:rsidTr="009E1DD3">
        <w:tc>
          <w:tcPr>
            <w:tcW w:w="720" w:type="dxa"/>
          </w:tcPr>
          <w:p w:rsidR="002F03DD" w:rsidRPr="000B794F" w:rsidRDefault="002F03DD" w:rsidP="00124048">
            <w:pPr>
              <w:pStyle w:val="NoSpacing"/>
              <w:jc w:val="center"/>
              <w:rPr>
                <w:rFonts w:ascii="Times New Roman" w:hAnsi="Times New Roman"/>
                <w:sz w:val="24"/>
                <w:szCs w:val="24"/>
                <w:lang w:val="uk-UA"/>
              </w:rPr>
            </w:pPr>
            <w:r w:rsidRPr="000B794F">
              <w:rPr>
                <w:rFonts w:ascii="Times New Roman" w:hAnsi="Times New Roman"/>
                <w:sz w:val="24"/>
                <w:szCs w:val="24"/>
                <w:lang w:val="uk-UA"/>
              </w:rPr>
              <w:t>20</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 xml:space="preserve">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розділу ІІ Ліцензійних умов № 862 з урахуванням особливостей, визначених цією главою 3 розділу ІІ Ліцензійних умов </w:t>
            </w:r>
          </w:p>
          <w:p w:rsidR="002F03DD" w:rsidRPr="000B794F" w:rsidRDefault="002F03DD" w:rsidP="00C93242">
            <w:pPr>
              <w:pStyle w:val="rvps2"/>
              <w:spacing w:before="0" w:beforeAutospacing="0" w:after="0" w:afterAutospacing="0"/>
              <w:rPr>
                <w:rStyle w:val="rvts0"/>
              </w:rPr>
            </w:pPr>
            <w:r w:rsidRPr="000B794F">
              <w:rPr>
                <w:rStyle w:val="rvts0"/>
              </w:rPr>
              <w:t>№ 862</w:t>
            </w:r>
            <w:r w:rsidR="007B5F6C">
              <w:rPr>
                <w:rStyle w:val="rvts0"/>
              </w:rPr>
              <w:t>.</w:t>
            </w:r>
          </w:p>
        </w:tc>
        <w:tc>
          <w:tcPr>
            <w:tcW w:w="1620" w:type="dxa"/>
            <w:tcBorders>
              <w:right w:val="single" w:sz="4" w:space="0" w:color="auto"/>
            </w:tcBorders>
          </w:tcPr>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7C9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Абзац перший пункту 1 глави 3 розділу ІІ Ліцензійних умов № 862; </w:t>
            </w:r>
          </w:p>
          <w:p w:rsidR="002F03DD" w:rsidRPr="000B794F" w:rsidRDefault="00124048" w:rsidP="0014582B">
            <w:pPr>
              <w:pStyle w:val="HTML"/>
              <w:rPr>
                <w:rFonts w:ascii="Times New Roman" w:hAnsi="Times New Roman"/>
                <w:sz w:val="24"/>
                <w:szCs w:val="24"/>
                <w:lang w:val="uk-UA"/>
              </w:rPr>
            </w:pPr>
            <w:r>
              <w:rPr>
                <w:rFonts w:ascii="Times New Roman" w:hAnsi="Times New Roman"/>
                <w:sz w:val="24"/>
                <w:szCs w:val="24"/>
                <w:lang w:val="uk-UA"/>
              </w:rPr>
              <w:t>г</w:t>
            </w:r>
            <w:r w:rsidR="002F03DD" w:rsidRPr="000B794F">
              <w:rPr>
                <w:rFonts w:ascii="Times New Roman" w:hAnsi="Times New Roman"/>
                <w:sz w:val="24"/>
                <w:szCs w:val="24"/>
                <w:lang w:val="uk-UA"/>
              </w:rPr>
              <w:t>лава 1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21</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Банк не зберігає активи створеного ним корпоративного пенсійного фонду</w:t>
            </w:r>
            <w:r w:rsidR="007B5F6C">
              <w:rPr>
                <w:rStyle w:val="rvts0"/>
              </w:rPr>
              <w:t>.</w:t>
            </w:r>
          </w:p>
        </w:tc>
        <w:tc>
          <w:tcPr>
            <w:tcW w:w="1620" w:type="dxa"/>
            <w:tcBorders>
              <w:right w:val="single" w:sz="4" w:space="0" w:color="auto"/>
            </w:tcBorders>
          </w:tcPr>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7C9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7C93">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другий пункту 1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22</w:t>
            </w:r>
          </w:p>
        </w:tc>
        <w:tc>
          <w:tcPr>
            <w:tcW w:w="2340" w:type="dxa"/>
          </w:tcPr>
          <w:p w:rsidR="002F03DD" w:rsidRPr="00660E03" w:rsidRDefault="002F03DD" w:rsidP="00660E03">
            <w:pPr>
              <w:pStyle w:val="af"/>
              <w:spacing w:before="0" w:beforeAutospacing="0" w:after="0" w:afterAutospacing="0" w:line="30" w:lineRule="atLeast"/>
              <w:rPr>
                <w:rStyle w:val="rvts0"/>
                <w:lang w:val="uk-UA"/>
              </w:rPr>
            </w:pPr>
            <w:r w:rsidRPr="00660E03">
              <w:rPr>
                <w:lang w:val="uk-UA"/>
              </w:rPr>
              <w:t xml:space="preserve">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w:t>
            </w:r>
            <w:r w:rsidRPr="00660E03">
              <w:rPr>
                <w:lang w:val="uk-UA"/>
              </w:rPr>
              <w:lastRenderedPageBreak/>
              <w:t xml:space="preserve">такої діяльності </w:t>
            </w:r>
            <w:r w:rsidR="0026338C">
              <w:rPr>
                <w:lang w:val="uk-UA"/>
              </w:rPr>
              <w:t>має</w:t>
            </w:r>
            <w:r w:rsidRPr="00660E03">
              <w:rPr>
                <w:lang w:val="uk-UA"/>
              </w:rPr>
              <w:t xml:space="preserve"> кваліфікацію фахівця з депозитарної діяльності</w:t>
            </w:r>
            <w:r w:rsidRPr="00660E03">
              <w:rPr>
                <w:b/>
                <w:lang w:val="uk-UA"/>
              </w:rPr>
              <w:t>,</w:t>
            </w:r>
            <w:r w:rsidRPr="00660E03">
              <w:rPr>
                <w:lang w:val="uk-UA"/>
              </w:rPr>
              <w:t xml:space="preserve"> що підтверджується сертифікатами установленого зразка, виданими Державною комісією з цінних паперів та фондо</w:t>
            </w:r>
            <w:r w:rsidR="00660E03" w:rsidRPr="00660E03">
              <w:rPr>
                <w:lang w:val="uk-UA"/>
              </w:rPr>
              <w:t>вого ринку або Комісією</w:t>
            </w:r>
            <w:r w:rsidR="006C6431">
              <w:rPr>
                <w:lang w:val="uk-UA"/>
              </w:rPr>
              <w:t>, та відповідати кваліфікаційним вимогам, установленим при отриманні ліцензії.</w:t>
            </w:r>
          </w:p>
        </w:tc>
        <w:tc>
          <w:tcPr>
            <w:tcW w:w="1620" w:type="dxa"/>
            <w:tcBorders>
              <w:right w:val="single" w:sz="4" w:space="0" w:color="auto"/>
            </w:tcBorders>
          </w:tcPr>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660E03"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sidR="00660E03">
              <w:rPr>
                <w:rFonts w:ascii="Times New Roman" w:hAnsi="Times New Roman"/>
                <w:sz w:val="24"/>
                <w:szCs w:val="24"/>
                <w:lang w:val="uk-UA"/>
              </w:rPr>
              <w:t xml:space="preserve"> перший</w:t>
            </w:r>
            <w:r w:rsidRPr="000B794F">
              <w:rPr>
                <w:rFonts w:ascii="Times New Roman" w:hAnsi="Times New Roman"/>
                <w:sz w:val="24"/>
                <w:szCs w:val="24"/>
                <w:lang w:val="uk-UA"/>
              </w:rPr>
              <w:t xml:space="preserve"> пункту 2 </w:t>
            </w:r>
          </w:p>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глави 3 розділу ІІ Ліцензійних умов № 862</w:t>
            </w:r>
          </w:p>
        </w:tc>
      </w:tr>
      <w:tr w:rsidR="00660E03" w:rsidRPr="000B794F" w:rsidTr="009E1DD3">
        <w:tc>
          <w:tcPr>
            <w:tcW w:w="720" w:type="dxa"/>
          </w:tcPr>
          <w:p w:rsidR="00660E03" w:rsidRPr="000B794F" w:rsidRDefault="00660E03" w:rsidP="0014582B">
            <w:pPr>
              <w:pStyle w:val="NoSpacing"/>
              <w:jc w:val="both"/>
              <w:rPr>
                <w:rFonts w:ascii="Times New Roman" w:hAnsi="Times New Roman"/>
                <w:sz w:val="24"/>
                <w:szCs w:val="24"/>
                <w:lang w:val="uk-UA"/>
              </w:rPr>
            </w:pPr>
            <w:r>
              <w:rPr>
                <w:rFonts w:ascii="Times New Roman" w:hAnsi="Times New Roman"/>
                <w:sz w:val="24"/>
                <w:szCs w:val="24"/>
                <w:lang w:val="uk-UA"/>
              </w:rPr>
              <w:t>22.1</w:t>
            </w:r>
          </w:p>
        </w:tc>
        <w:tc>
          <w:tcPr>
            <w:tcW w:w="2340" w:type="dxa"/>
          </w:tcPr>
          <w:p w:rsidR="00660E03" w:rsidRPr="000B794F" w:rsidRDefault="00660E03" w:rsidP="003A7E05">
            <w:pPr>
              <w:pStyle w:val="rvps2"/>
              <w:spacing w:before="0" w:beforeAutospacing="0" w:after="0" w:afterAutospacing="0"/>
            </w:pPr>
            <w:r w:rsidRPr="000B794F">
              <w:rPr>
                <w:rStyle w:val="rvts0"/>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1620" w:type="dxa"/>
            <w:tcBorders>
              <w:right w:val="single" w:sz="4" w:space="0" w:color="auto"/>
            </w:tcBorders>
          </w:tcPr>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660E03" w:rsidRPr="000B794F" w:rsidRDefault="00660E03" w:rsidP="00660E03">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660E03" w:rsidRPr="000B794F" w:rsidRDefault="00660E03" w:rsidP="007D547B">
            <w:pPr>
              <w:pStyle w:val="NoSpacing"/>
              <w:jc w:val="center"/>
              <w:rPr>
                <w:rFonts w:ascii="Times New Roman" w:hAnsi="Times New Roman"/>
                <w:sz w:val="24"/>
                <w:szCs w:val="24"/>
                <w:lang w:val="uk-UA"/>
              </w:rPr>
            </w:pPr>
          </w:p>
        </w:tc>
        <w:tc>
          <w:tcPr>
            <w:tcW w:w="360" w:type="dxa"/>
          </w:tcPr>
          <w:p w:rsidR="00660E03" w:rsidRPr="000B794F" w:rsidRDefault="00660E03" w:rsidP="0014582B">
            <w:pPr>
              <w:pStyle w:val="NoSpacing"/>
              <w:jc w:val="both"/>
              <w:rPr>
                <w:rFonts w:ascii="Times New Roman" w:hAnsi="Times New Roman"/>
                <w:sz w:val="24"/>
                <w:szCs w:val="24"/>
                <w:lang w:val="uk-UA"/>
              </w:rPr>
            </w:pPr>
          </w:p>
        </w:tc>
        <w:tc>
          <w:tcPr>
            <w:tcW w:w="360" w:type="dxa"/>
            <w:gridSpan w:val="2"/>
          </w:tcPr>
          <w:p w:rsidR="00660E03" w:rsidRPr="000B794F" w:rsidRDefault="00660E03" w:rsidP="0014582B">
            <w:pPr>
              <w:pStyle w:val="NoSpacing"/>
              <w:jc w:val="both"/>
              <w:rPr>
                <w:rFonts w:ascii="Times New Roman" w:hAnsi="Times New Roman"/>
                <w:sz w:val="24"/>
                <w:szCs w:val="24"/>
                <w:lang w:val="uk-UA"/>
              </w:rPr>
            </w:pPr>
          </w:p>
        </w:tc>
        <w:tc>
          <w:tcPr>
            <w:tcW w:w="900" w:type="dxa"/>
          </w:tcPr>
          <w:p w:rsidR="00660E03" w:rsidRPr="000B794F" w:rsidRDefault="00660E03" w:rsidP="0014582B">
            <w:pPr>
              <w:pStyle w:val="NoSpacing"/>
              <w:jc w:val="both"/>
              <w:rPr>
                <w:rFonts w:ascii="Times New Roman" w:hAnsi="Times New Roman"/>
                <w:sz w:val="24"/>
                <w:szCs w:val="24"/>
                <w:lang w:val="uk-UA"/>
              </w:rPr>
            </w:pPr>
          </w:p>
        </w:tc>
        <w:tc>
          <w:tcPr>
            <w:tcW w:w="1800" w:type="dxa"/>
          </w:tcPr>
          <w:p w:rsidR="00660E03"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другий</w:t>
            </w:r>
          </w:p>
          <w:p w:rsidR="00660E03" w:rsidRDefault="00660E03" w:rsidP="0014582B">
            <w:pPr>
              <w:pStyle w:val="HTML"/>
              <w:rPr>
                <w:rFonts w:ascii="Times New Roman" w:hAnsi="Times New Roman"/>
                <w:sz w:val="24"/>
                <w:szCs w:val="24"/>
                <w:lang w:val="uk-UA"/>
              </w:rPr>
            </w:pPr>
            <w:r>
              <w:rPr>
                <w:rFonts w:ascii="Times New Roman" w:hAnsi="Times New Roman"/>
                <w:sz w:val="24"/>
                <w:szCs w:val="24"/>
                <w:lang w:val="uk-UA"/>
              </w:rPr>
              <w:t xml:space="preserve">пункту 2 </w:t>
            </w:r>
          </w:p>
          <w:p w:rsidR="00660E03" w:rsidRPr="000B794F" w:rsidRDefault="00660E03" w:rsidP="0014582B">
            <w:pPr>
              <w:pStyle w:val="HTML"/>
              <w:rPr>
                <w:rFonts w:ascii="Times New Roman" w:hAnsi="Times New Roman"/>
                <w:sz w:val="24"/>
                <w:szCs w:val="24"/>
                <w:lang w:val="uk-UA"/>
              </w:rPr>
            </w:pPr>
            <w:r w:rsidRPr="000B794F">
              <w:rPr>
                <w:rFonts w:ascii="Times New Roman" w:hAnsi="Times New Roman"/>
                <w:sz w:val="24"/>
                <w:szCs w:val="24"/>
                <w:lang w:val="uk-UA"/>
              </w:rPr>
              <w:t xml:space="preserve"> глави 3 розділу ІІ Ліцензійних умов № 862</w:t>
            </w:r>
          </w:p>
        </w:tc>
      </w:tr>
      <w:tr w:rsidR="003A7E05" w:rsidRPr="000B794F" w:rsidTr="009E1DD3">
        <w:tc>
          <w:tcPr>
            <w:tcW w:w="720" w:type="dxa"/>
          </w:tcPr>
          <w:p w:rsidR="003A7E05" w:rsidRDefault="003A7E05" w:rsidP="0014582B">
            <w:pPr>
              <w:pStyle w:val="NoSpacing"/>
              <w:jc w:val="both"/>
              <w:rPr>
                <w:rFonts w:ascii="Times New Roman" w:hAnsi="Times New Roman"/>
                <w:sz w:val="24"/>
                <w:szCs w:val="24"/>
                <w:lang w:val="uk-UA"/>
              </w:rPr>
            </w:pPr>
            <w:r>
              <w:rPr>
                <w:rFonts w:ascii="Times New Roman" w:hAnsi="Times New Roman"/>
                <w:sz w:val="24"/>
                <w:szCs w:val="24"/>
                <w:lang w:val="uk-UA"/>
              </w:rPr>
              <w:t>22.2</w:t>
            </w:r>
          </w:p>
        </w:tc>
        <w:tc>
          <w:tcPr>
            <w:tcW w:w="2340" w:type="dxa"/>
          </w:tcPr>
          <w:p w:rsidR="003A7E05" w:rsidRPr="000B794F" w:rsidRDefault="003A7E05" w:rsidP="00660E03">
            <w:pPr>
              <w:pStyle w:val="rvps2"/>
              <w:spacing w:before="0" w:beforeAutospacing="0" w:after="0" w:afterAutospacing="0"/>
              <w:rPr>
                <w:rStyle w:val="rvts0"/>
              </w:rPr>
            </w:pPr>
            <w:r w:rsidRPr="000B794F">
              <w:rPr>
                <w:rStyle w:val="rvts0"/>
              </w:rPr>
              <w:t xml:space="preserve">У разі виникнення у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w:t>
            </w:r>
            <w:r w:rsidRPr="000B794F">
              <w:rPr>
                <w:rStyle w:val="rvts0"/>
              </w:rPr>
              <w:lastRenderedPageBreak/>
              <w:t>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r w:rsidR="003D0521">
              <w:rPr>
                <w:rStyle w:val="rvts0"/>
              </w:rPr>
              <w:t>.</w:t>
            </w:r>
          </w:p>
        </w:tc>
        <w:tc>
          <w:tcPr>
            <w:tcW w:w="1620" w:type="dxa"/>
            <w:tcBorders>
              <w:right w:val="single" w:sz="4" w:space="0" w:color="auto"/>
            </w:tcBorders>
          </w:tcPr>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3A7E05" w:rsidRPr="000B794F" w:rsidRDefault="003A7E05" w:rsidP="003A7E05">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3A7E05" w:rsidRPr="000B794F" w:rsidRDefault="003A7E05" w:rsidP="007D547B">
            <w:pPr>
              <w:pStyle w:val="NoSpacing"/>
              <w:jc w:val="center"/>
              <w:rPr>
                <w:rFonts w:ascii="Times New Roman" w:hAnsi="Times New Roman"/>
                <w:sz w:val="24"/>
                <w:szCs w:val="24"/>
                <w:lang w:val="uk-UA"/>
              </w:rPr>
            </w:pPr>
          </w:p>
        </w:tc>
        <w:tc>
          <w:tcPr>
            <w:tcW w:w="360" w:type="dxa"/>
          </w:tcPr>
          <w:p w:rsidR="003A7E05" w:rsidRPr="000B794F" w:rsidRDefault="003A7E05" w:rsidP="0014582B">
            <w:pPr>
              <w:pStyle w:val="NoSpacing"/>
              <w:jc w:val="both"/>
              <w:rPr>
                <w:rFonts w:ascii="Times New Roman" w:hAnsi="Times New Roman"/>
                <w:sz w:val="24"/>
                <w:szCs w:val="24"/>
                <w:lang w:val="uk-UA"/>
              </w:rPr>
            </w:pPr>
          </w:p>
        </w:tc>
        <w:tc>
          <w:tcPr>
            <w:tcW w:w="360" w:type="dxa"/>
            <w:gridSpan w:val="2"/>
          </w:tcPr>
          <w:p w:rsidR="003A7E05" w:rsidRPr="000B794F" w:rsidRDefault="003A7E05" w:rsidP="0014582B">
            <w:pPr>
              <w:pStyle w:val="NoSpacing"/>
              <w:jc w:val="both"/>
              <w:rPr>
                <w:rFonts w:ascii="Times New Roman" w:hAnsi="Times New Roman"/>
                <w:sz w:val="24"/>
                <w:szCs w:val="24"/>
                <w:lang w:val="uk-UA"/>
              </w:rPr>
            </w:pPr>
          </w:p>
        </w:tc>
        <w:tc>
          <w:tcPr>
            <w:tcW w:w="900" w:type="dxa"/>
          </w:tcPr>
          <w:p w:rsidR="003A7E05" w:rsidRPr="000B794F" w:rsidRDefault="003A7E05" w:rsidP="0014582B">
            <w:pPr>
              <w:pStyle w:val="NoSpacing"/>
              <w:jc w:val="both"/>
              <w:rPr>
                <w:rFonts w:ascii="Times New Roman" w:hAnsi="Times New Roman"/>
                <w:sz w:val="24"/>
                <w:szCs w:val="24"/>
                <w:lang w:val="uk-UA"/>
              </w:rPr>
            </w:pPr>
          </w:p>
        </w:tc>
        <w:tc>
          <w:tcPr>
            <w:tcW w:w="1800" w:type="dxa"/>
          </w:tcPr>
          <w:p w:rsidR="000602E8" w:rsidRDefault="000602E8" w:rsidP="000602E8">
            <w:pPr>
              <w:pStyle w:val="HTML"/>
              <w:rPr>
                <w:rFonts w:ascii="Times New Roman" w:hAnsi="Times New Roman"/>
                <w:sz w:val="24"/>
                <w:szCs w:val="24"/>
                <w:lang w:val="uk-UA"/>
              </w:rPr>
            </w:pPr>
            <w:r w:rsidRPr="000B794F">
              <w:rPr>
                <w:rFonts w:ascii="Times New Roman" w:hAnsi="Times New Roman"/>
                <w:sz w:val="24"/>
                <w:szCs w:val="24"/>
                <w:lang w:val="uk-UA"/>
              </w:rPr>
              <w:t>Абзац</w:t>
            </w:r>
            <w:r>
              <w:rPr>
                <w:rFonts w:ascii="Times New Roman" w:hAnsi="Times New Roman"/>
                <w:sz w:val="24"/>
                <w:szCs w:val="24"/>
                <w:lang w:val="uk-UA"/>
              </w:rPr>
              <w:t xml:space="preserve"> третій</w:t>
            </w:r>
          </w:p>
          <w:p w:rsidR="000602E8" w:rsidRDefault="000602E8" w:rsidP="000602E8">
            <w:pPr>
              <w:pStyle w:val="HTML"/>
              <w:rPr>
                <w:rFonts w:ascii="Times New Roman" w:hAnsi="Times New Roman"/>
                <w:sz w:val="24"/>
                <w:szCs w:val="24"/>
                <w:lang w:val="uk-UA"/>
              </w:rPr>
            </w:pPr>
            <w:r>
              <w:rPr>
                <w:rFonts w:ascii="Times New Roman" w:hAnsi="Times New Roman"/>
                <w:sz w:val="24"/>
                <w:szCs w:val="24"/>
                <w:lang w:val="uk-UA"/>
              </w:rPr>
              <w:t xml:space="preserve">пункту 2 </w:t>
            </w:r>
          </w:p>
          <w:p w:rsidR="003A7E05" w:rsidRPr="000B794F" w:rsidRDefault="000602E8" w:rsidP="000602E8">
            <w:pPr>
              <w:pStyle w:val="HTML"/>
              <w:rPr>
                <w:rFonts w:ascii="Times New Roman" w:hAnsi="Times New Roman"/>
                <w:sz w:val="24"/>
                <w:szCs w:val="24"/>
                <w:lang w:val="uk-UA"/>
              </w:rPr>
            </w:pPr>
            <w:r w:rsidRPr="000B794F">
              <w:rPr>
                <w:rFonts w:ascii="Times New Roman" w:hAnsi="Times New Roman"/>
                <w:sz w:val="24"/>
                <w:szCs w:val="24"/>
                <w:lang w:val="uk-UA"/>
              </w:rPr>
              <w:t xml:space="preserve">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23</w:t>
            </w:r>
          </w:p>
        </w:tc>
        <w:tc>
          <w:tcPr>
            <w:tcW w:w="2340" w:type="dxa"/>
          </w:tcPr>
          <w:p w:rsidR="002F03DD" w:rsidRPr="000B794F" w:rsidRDefault="002F03DD" w:rsidP="00C93242">
            <w:pPr>
              <w:pStyle w:val="rvps2"/>
              <w:spacing w:before="0" w:beforeAutospacing="0" w:after="0" w:afterAutospacing="0"/>
              <w:rPr>
                <w:rStyle w:val="rvts0"/>
              </w:rPr>
            </w:pPr>
            <w:r w:rsidRPr="000B794F">
              <w:rPr>
                <w:rStyle w:val="rvts0"/>
              </w:rPr>
              <w:t>Керівна посадова особа та фахівець депозитарної установи (її відокремлених та/або спеціалізованих структурних підрозділів), яким надані повноваження щодо провадження діяльності із зберігання активів пенсійних фондів, одночасно не працює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r w:rsidR="007B5F6C">
              <w:rPr>
                <w:rStyle w:val="rvts0"/>
              </w:rPr>
              <w:t>.</w:t>
            </w:r>
          </w:p>
        </w:tc>
        <w:tc>
          <w:tcPr>
            <w:tcW w:w="1620" w:type="dxa"/>
            <w:tcBorders>
              <w:right w:val="single" w:sz="4" w:space="0" w:color="auto"/>
            </w:tcBorders>
          </w:tcPr>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 xml:space="preserve"> високий,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7D547B">
            <w:pPr>
              <w:pStyle w:val="NoSpacing"/>
              <w:jc w:val="center"/>
              <w:rPr>
                <w:rFonts w:ascii="Times New Roman" w:hAnsi="Times New Roman"/>
                <w:sz w:val="24"/>
                <w:szCs w:val="24"/>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lang w:val="uk-UA"/>
              </w:rPr>
            </w:pPr>
          </w:p>
        </w:tc>
        <w:tc>
          <w:tcPr>
            <w:tcW w:w="360" w:type="dxa"/>
            <w:gridSpan w:val="2"/>
          </w:tcPr>
          <w:p w:rsidR="002F03DD" w:rsidRPr="000B794F" w:rsidRDefault="002F03DD" w:rsidP="0014582B">
            <w:pPr>
              <w:pStyle w:val="NoSpacing"/>
              <w:jc w:val="both"/>
              <w:rPr>
                <w:rFonts w:ascii="Times New Roman" w:hAnsi="Times New Roman"/>
                <w:sz w:val="24"/>
                <w:szCs w:val="24"/>
                <w:lang w:val="uk-UA"/>
              </w:rPr>
            </w:pPr>
          </w:p>
        </w:tc>
        <w:tc>
          <w:tcPr>
            <w:tcW w:w="900" w:type="dxa"/>
          </w:tcPr>
          <w:p w:rsidR="002F03DD" w:rsidRPr="000B794F" w:rsidRDefault="002F03DD" w:rsidP="0014582B">
            <w:pPr>
              <w:pStyle w:val="NoSpacing"/>
              <w:jc w:val="both"/>
              <w:rPr>
                <w:rFonts w:ascii="Times New Roman" w:hAnsi="Times New Roman"/>
                <w:sz w:val="24"/>
                <w:szCs w:val="24"/>
                <w:lang w:val="uk-UA"/>
              </w:rPr>
            </w:pPr>
          </w:p>
        </w:tc>
        <w:tc>
          <w:tcPr>
            <w:tcW w:w="1800" w:type="dxa"/>
          </w:tcPr>
          <w:p w:rsidR="002F03DD" w:rsidRPr="000B794F" w:rsidRDefault="002F03DD" w:rsidP="0014582B">
            <w:pPr>
              <w:pStyle w:val="HTML"/>
              <w:rPr>
                <w:rFonts w:ascii="Times New Roman" w:hAnsi="Times New Roman"/>
                <w:sz w:val="24"/>
                <w:szCs w:val="24"/>
                <w:lang w:val="uk-UA"/>
              </w:rPr>
            </w:pPr>
            <w:r w:rsidRPr="000B794F">
              <w:rPr>
                <w:rFonts w:ascii="Times New Roman" w:hAnsi="Times New Roman"/>
                <w:sz w:val="24"/>
                <w:szCs w:val="24"/>
                <w:lang w:val="uk-UA"/>
              </w:rPr>
              <w:t>Абзац четвертий пункту 2 глави 3 розділу ІІ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24</w:t>
            </w:r>
          </w:p>
        </w:tc>
        <w:tc>
          <w:tcPr>
            <w:tcW w:w="2340" w:type="dxa"/>
          </w:tcPr>
          <w:p w:rsidR="002F03DD" w:rsidRPr="000B794F" w:rsidRDefault="002F03DD" w:rsidP="00D345F7">
            <w:pPr>
              <w:pStyle w:val="rvps2"/>
              <w:spacing w:before="0" w:beforeAutospacing="0" w:after="0" w:afterAutospacing="0"/>
            </w:pPr>
            <w:r w:rsidRPr="000B794F">
              <w:rPr>
                <w:rStyle w:val="rvts0"/>
              </w:rPr>
              <w:t xml:space="preserve">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до початку </w:t>
            </w:r>
            <w:r w:rsidRPr="000B794F">
              <w:rPr>
                <w:rStyle w:val="rvts0"/>
              </w:rPr>
              <w:lastRenderedPageBreak/>
              <w:t xml:space="preserve">провадження діяльності таким відокремленим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3 </w:t>
            </w:r>
            <w:r w:rsidRPr="000B794F">
              <w:t xml:space="preserve">розділу </w:t>
            </w:r>
            <w:r w:rsidRPr="000B794F">
              <w:rPr>
                <w:lang w:val="en-US"/>
              </w:rPr>
              <w:t>IV</w:t>
            </w:r>
            <w:r w:rsidRPr="000B794F">
              <w:t xml:space="preserve"> Ліцензійних умов </w:t>
            </w:r>
          </w:p>
          <w:p w:rsidR="002F03DD" w:rsidRPr="000B794F" w:rsidRDefault="002F03DD" w:rsidP="00D345F7">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E46687">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E46687">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940EC1">
            <w:pPr>
              <w:tabs>
                <w:tab w:val="left" w:pos="7380"/>
              </w:tabs>
              <w:rPr>
                <w:lang w:val="uk-UA"/>
              </w:rPr>
            </w:pPr>
            <w:r w:rsidRPr="000B794F">
              <w:rPr>
                <w:lang w:val="uk-UA"/>
              </w:rPr>
              <w:t xml:space="preserve">Пункт 3 </w:t>
            </w:r>
          </w:p>
          <w:p w:rsidR="002F03DD" w:rsidRPr="000B794F" w:rsidRDefault="002F03DD" w:rsidP="00940EC1">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25</w:t>
            </w:r>
          </w:p>
        </w:tc>
        <w:tc>
          <w:tcPr>
            <w:tcW w:w="2340" w:type="dxa"/>
          </w:tcPr>
          <w:p w:rsidR="002F03DD" w:rsidRPr="000B794F" w:rsidRDefault="002F03DD" w:rsidP="00162FB3">
            <w:pPr>
              <w:pStyle w:val="rvps2"/>
              <w:spacing w:before="0" w:beforeAutospacing="0" w:after="0" w:afterAutospacing="0"/>
            </w:pPr>
            <w:r w:rsidRPr="000B794F">
              <w:rPr>
                <w:rStyle w:val="rvts0"/>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подав 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4 </w:t>
            </w:r>
            <w:r w:rsidRPr="000B794F">
              <w:t xml:space="preserve">розділу </w:t>
            </w:r>
            <w:r w:rsidRPr="000B794F">
              <w:rPr>
                <w:lang w:val="en-US"/>
              </w:rPr>
              <w:t>IV</w:t>
            </w:r>
            <w:r w:rsidRPr="000B794F">
              <w:t xml:space="preserve"> Ліцензійних умов </w:t>
            </w:r>
          </w:p>
          <w:p w:rsidR="002F03DD" w:rsidRPr="000B794F" w:rsidRDefault="002F03DD" w:rsidP="00162FB3">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E46687">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E46687">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t>незначний</w:t>
            </w:r>
          </w:p>
        </w:tc>
        <w:tc>
          <w:tcPr>
            <w:tcW w:w="1800" w:type="dxa"/>
            <w:tcBorders>
              <w:left w:val="single" w:sz="4" w:space="0" w:color="auto"/>
            </w:tcBorders>
          </w:tcPr>
          <w:p w:rsidR="002F03DD" w:rsidRPr="000B794F" w:rsidRDefault="002F03DD" w:rsidP="00E46687">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8104DB">
            <w:pPr>
              <w:tabs>
                <w:tab w:val="left" w:pos="7380"/>
              </w:tabs>
              <w:rPr>
                <w:lang w:val="uk-UA"/>
              </w:rPr>
            </w:pPr>
            <w:r w:rsidRPr="000B794F">
              <w:rPr>
                <w:lang w:val="uk-UA"/>
              </w:rPr>
              <w:t xml:space="preserve">Пункт 4 </w:t>
            </w:r>
          </w:p>
          <w:p w:rsidR="002F03DD" w:rsidRPr="000B794F" w:rsidRDefault="002F03DD" w:rsidP="008104DB">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26</w:t>
            </w:r>
          </w:p>
        </w:tc>
        <w:tc>
          <w:tcPr>
            <w:tcW w:w="2340" w:type="dxa"/>
          </w:tcPr>
          <w:p w:rsidR="007B5F6C" w:rsidRDefault="002F03DD" w:rsidP="00391856">
            <w:pPr>
              <w:tabs>
                <w:tab w:val="left" w:pos="7380"/>
              </w:tabs>
              <w:rPr>
                <w:rStyle w:val="rvts0"/>
                <w:lang w:val="uk-UA"/>
              </w:rPr>
            </w:pPr>
            <w:r w:rsidRPr="000B794F">
              <w:rPr>
                <w:rStyle w:val="rvts0"/>
                <w:lang w:val="uk-UA"/>
              </w:rPr>
              <w:t xml:space="preserve">Ліцензіат з дати виникнення змін у </w:t>
            </w:r>
            <w:r w:rsidRPr="000B794F">
              <w:rPr>
                <w:rStyle w:val="rvts0"/>
                <w:lang w:val="uk-UA"/>
              </w:rPr>
              <w:lastRenderedPageBreak/>
              <w:t xml:space="preserve">процесі провадження депозитарної діяльності з протягом двадцяти робочих днів повідомив Комісію (із зазначенням структурного підрозділу Комісії, який має повноваження здійснювати розгляд документів на видачу ліцензії), а саме надав інформацію, яка підтверджує зазначені зміни, за змістом та формою визначеною </w:t>
            </w:r>
          </w:p>
          <w:p w:rsidR="002F03DD" w:rsidRPr="000B794F" w:rsidRDefault="002F03DD" w:rsidP="00391856">
            <w:pPr>
              <w:tabs>
                <w:tab w:val="left" w:pos="7380"/>
              </w:tabs>
              <w:rPr>
                <w:lang w:val="uk-UA"/>
              </w:rPr>
            </w:pPr>
            <w:r w:rsidRPr="000B794F">
              <w:rPr>
                <w:rStyle w:val="rvts0"/>
                <w:lang w:val="uk-UA"/>
              </w:rPr>
              <w:t xml:space="preserve">пунктом 7 </w:t>
            </w:r>
          </w:p>
          <w:p w:rsidR="002F03DD" w:rsidRPr="000B794F" w:rsidRDefault="002F03DD" w:rsidP="00391856">
            <w:pPr>
              <w:pStyle w:val="rvps2"/>
              <w:spacing w:before="0" w:beforeAutospacing="0" w:after="0" w:afterAutospacing="0"/>
            </w:pPr>
            <w:r w:rsidRPr="000B794F">
              <w:t xml:space="preserve">розділу </w:t>
            </w:r>
            <w:r w:rsidRPr="000B794F">
              <w:rPr>
                <w:lang w:val="en-US"/>
              </w:rPr>
              <w:t>IV</w:t>
            </w:r>
            <w:r w:rsidRPr="000B794F">
              <w:t xml:space="preserve"> Ліцензійних умов </w:t>
            </w:r>
          </w:p>
          <w:p w:rsidR="002F03DD" w:rsidRPr="000B794F" w:rsidRDefault="002F03DD" w:rsidP="00391856">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2455E0">
            <w:pPr>
              <w:pStyle w:val="NoSpacing"/>
              <w:rPr>
                <w:rFonts w:ascii="Times New Roman" w:hAnsi="Times New Roman"/>
                <w:sz w:val="24"/>
                <w:szCs w:val="24"/>
                <w:lang w:val="uk-UA"/>
              </w:rPr>
            </w:pPr>
            <w:r w:rsidRPr="000B794F">
              <w:rPr>
                <w:rFonts w:ascii="Times New Roman" w:hAnsi="Times New Roman"/>
                <w:sz w:val="24"/>
                <w:szCs w:val="24"/>
                <w:lang w:val="uk-UA"/>
              </w:rPr>
              <w:t xml:space="preserve"> середній</w:t>
            </w:r>
          </w:p>
          <w:p w:rsidR="002F03DD" w:rsidRPr="000B794F" w:rsidRDefault="002F03DD" w:rsidP="007D547B">
            <w:pPr>
              <w:pStyle w:val="NoSpacing"/>
              <w:jc w:val="center"/>
              <w:rPr>
                <w:rFonts w:ascii="Times New Roman" w:hAnsi="Times New Roman"/>
                <w:sz w:val="24"/>
                <w:szCs w:val="24"/>
                <w:highlight w:val="yellow"/>
                <w:lang w:val="uk-UA"/>
              </w:rPr>
            </w:pPr>
          </w:p>
        </w:tc>
        <w:tc>
          <w:tcPr>
            <w:tcW w:w="1800" w:type="dxa"/>
            <w:tcBorders>
              <w:left w:val="single" w:sz="4" w:space="0" w:color="auto"/>
            </w:tcBorders>
          </w:tcPr>
          <w:p w:rsidR="002F03DD" w:rsidRPr="000B794F" w:rsidRDefault="002F03DD" w:rsidP="007D547B">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391856">
            <w:pPr>
              <w:tabs>
                <w:tab w:val="left" w:pos="7380"/>
              </w:tabs>
              <w:rPr>
                <w:lang w:val="uk-UA"/>
              </w:rPr>
            </w:pPr>
            <w:r w:rsidRPr="000B794F">
              <w:rPr>
                <w:lang w:val="uk-UA"/>
              </w:rPr>
              <w:t xml:space="preserve">Пункт 7 </w:t>
            </w:r>
          </w:p>
          <w:p w:rsidR="002F03DD" w:rsidRPr="000B794F" w:rsidRDefault="002F03DD" w:rsidP="00391856">
            <w:pPr>
              <w:tabs>
                <w:tab w:val="left" w:pos="7380"/>
              </w:tabs>
              <w:rPr>
                <w:lang w:val="uk-UA"/>
              </w:rPr>
            </w:pPr>
            <w:r w:rsidRPr="000B794F">
              <w:rPr>
                <w:lang w:val="uk-UA"/>
              </w:rPr>
              <w:t xml:space="preserve">розділу </w:t>
            </w:r>
            <w:r w:rsidRPr="000B794F">
              <w:rPr>
                <w:lang w:val="en-US"/>
              </w:rPr>
              <w:t>IV</w:t>
            </w:r>
            <w:r w:rsidRPr="000B794F">
              <w:rPr>
                <w:lang w:val="uk-UA"/>
              </w:rPr>
              <w:t xml:space="preserve"> </w:t>
            </w:r>
            <w:r w:rsidRPr="000B794F">
              <w:rPr>
                <w:lang w:val="uk-UA"/>
              </w:rPr>
              <w:lastRenderedPageBreak/>
              <w:t>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lastRenderedPageBreak/>
              <w:t>27</w:t>
            </w:r>
          </w:p>
        </w:tc>
        <w:tc>
          <w:tcPr>
            <w:tcW w:w="2340" w:type="dxa"/>
          </w:tcPr>
          <w:p w:rsidR="002F03DD" w:rsidRPr="000B794F" w:rsidRDefault="002F03DD" w:rsidP="00B52F50">
            <w:pPr>
              <w:pStyle w:val="rvps2"/>
              <w:spacing w:before="0" w:beforeAutospacing="0" w:after="0" w:afterAutospacing="0"/>
            </w:pPr>
            <w:r w:rsidRPr="000B794F">
              <w:rPr>
                <w:rStyle w:val="rvts0"/>
              </w:rPr>
              <w:t>Ліцензіат, крім документів, передбачених пунктом 7 розділу</w:t>
            </w:r>
            <w:r w:rsidRPr="000B794F">
              <w:t xml:space="preserve"> </w:t>
            </w:r>
            <w:r w:rsidRPr="000B794F">
              <w:rPr>
                <w:lang w:val="en-US"/>
              </w:rPr>
              <w:t>IV</w:t>
            </w:r>
            <w:r w:rsidRPr="000B794F">
              <w:t xml:space="preserve"> Ліцензійних умов №862</w:t>
            </w:r>
            <w:r w:rsidRPr="000B794F">
              <w:rPr>
                <w:rStyle w:val="rvts0"/>
              </w:rPr>
              <w:t xml:space="preserve">, протягом п’ятнадцяти робочих днів з дати виникнення змін подав до Комісії інформацію визначену пунктом 8 розділу </w:t>
            </w:r>
            <w:r w:rsidRPr="000B794F">
              <w:rPr>
                <w:lang w:val="en-US"/>
              </w:rPr>
              <w:t>IV</w:t>
            </w:r>
            <w:r w:rsidRPr="000B794F">
              <w:t xml:space="preserve"> Ліцензійних умов </w:t>
            </w:r>
          </w:p>
          <w:p w:rsidR="002F03DD" w:rsidRPr="000B794F" w:rsidRDefault="002F03DD" w:rsidP="00B52F50">
            <w:pPr>
              <w:pStyle w:val="rvps2"/>
              <w:spacing w:before="0" w:beforeAutospacing="0" w:after="0" w:afterAutospacing="0"/>
              <w:rPr>
                <w:rStyle w:val="rvts0"/>
              </w:rPr>
            </w:pPr>
            <w:r w:rsidRPr="000B794F">
              <w:t>№ 862</w:t>
            </w:r>
            <w:r w:rsidR="007B5F6C">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tc>
        <w:tc>
          <w:tcPr>
            <w:tcW w:w="1800" w:type="dxa"/>
            <w:tcBorders>
              <w:left w:val="single" w:sz="4" w:space="0" w:color="auto"/>
            </w:tcBorders>
          </w:tcPr>
          <w:p w:rsidR="002F03DD" w:rsidRPr="000B794F" w:rsidRDefault="002F03DD" w:rsidP="002455E0">
            <w:pPr>
              <w:pStyle w:val="NoSpacing"/>
              <w:jc w:val="center"/>
              <w:rPr>
                <w:rFonts w:ascii="Times New Roman" w:hAnsi="Times New Roman"/>
                <w:sz w:val="24"/>
                <w:szCs w:val="24"/>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96959">
            <w:pPr>
              <w:tabs>
                <w:tab w:val="left" w:pos="7380"/>
              </w:tabs>
              <w:rPr>
                <w:lang w:val="uk-UA"/>
              </w:rPr>
            </w:pPr>
            <w:r w:rsidRPr="000B794F">
              <w:rPr>
                <w:lang w:val="uk-UA"/>
              </w:rPr>
              <w:t xml:space="preserve">Пункт 8 </w:t>
            </w:r>
          </w:p>
          <w:p w:rsidR="002F03DD" w:rsidRPr="000B794F" w:rsidRDefault="002F03DD" w:rsidP="00C96959">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28</w:t>
            </w:r>
          </w:p>
        </w:tc>
        <w:tc>
          <w:tcPr>
            <w:tcW w:w="2340" w:type="dxa"/>
          </w:tcPr>
          <w:p w:rsidR="002F03DD" w:rsidRPr="000B794F" w:rsidRDefault="002F03DD" w:rsidP="00BE030F">
            <w:pPr>
              <w:pStyle w:val="rvps2"/>
              <w:rPr>
                <w:rStyle w:val="rvts0"/>
              </w:rPr>
            </w:pPr>
            <w:r w:rsidRPr="000B794F">
              <w:rPr>
                <w:rStyle w:val="rvts0"/>
              </w:rPr>
              <w:t>Документи, які надаються ліцензіатом відповідно до вимог цих Ліцензійних умов, нада</w:t>
            </w:r>
            <w:r w:rsidR="000602E8">
              <w:rPr>
                <w:rStyle w:val="rvts0"/>
              </w:rPr>
              <w:t>ні</w:t>
            </w:r>
            <w:r w:rsidRPr="000B794F">
              <w:rPr>
                <w:rStyle w:val="rvts0"/>
              </w:rPr>
              <w:t xml:space="preserve"> також в електронній формі за допомогою автоматизованої системи, розміщеної на сайті Комісії</w:t>
            </w:r>
            <w:r w:rsidR="007B5F6C">
              <w:rPr>
                <w:rStyle w:val="rvts0"/>
              </w:rPr>
              <w:t>.</w:t>
            </w:r>
          </w:p>
        </w:tc>
        <w:tc>
          <w:tcPr>
            <w:tcW w:w="1620" w:type="dxa"/>
            <w:tcBorders>
              <w:right w:val="single" w:sz="4" w:space="0" w:color="auto"/>
            </w:tcBorders>
          </w:tcPr>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високий,</w:t>
            </w:r>
          </w:p>
          <w:p w:rsidR="002F03DD" w:rsidRPr="000B794F" w:rsidRDefault="002F03DD" w:rsidP="002455E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2455E0">
            <w:pPr>
              <w:pStyle w:val="NoSpacing"/>
              <w:jc w:val="center"/>
              <w:rPr>
                <w:rFonts w:ascii="Times New Roman" w:hAnsi="Times New Roman"/>
                <w:sz w:val="24"/>
                <w:szCs w:val="24"/>
                <w:highlight w:val="yellow"/>
                <w:lang w:val="uk-UA"/>
              </w:rPr>
            </w:pPr>
          </w:p>
        </w:tc>
        <w:tc>
          <w:tcPr>
            <w:tcW w:w="1800" w:type="dxa"/>
            <w:tcBorders>
              <w:left w:val="single" w:sz="4" w:space="0" w:color="auto"/>
            </w:tcBorders>
          </w:tcPr>
          <w:p w:rsidR="002F03DD" w:rsidRPr="000B794F" w:rsidRDefault="002F03DD" w:rsidP="002455E0">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C6CDC">
            <w:pPr>
              <w:tabs>
                <w:tab w:val="left" w:pos="7380"/>
              </w:tabs>
              <w:rPr>
                <w:lang w:val="uk-UA"/>
              </w:rPr>
            </w:pPr>
            <w:r w:rsidRPr="000B794F">
              <w:rPr>
                <w:lang w:val="uk-UA"/>
              </w:rPr>
              <w:t xml:space="preserve">Пункт 10 </w:t>
            </w:r>
          </w:p>
          <w:p w:rsidR="002F03DD" w:rsidRPr="000B794F" w:rsidRDefault="002F03DD" w:rsidP="00CC6CDC">
            <w:pPr>
              <w:tabs>
                <w:tab w:val="left" w:pos="7380"/>
              </w:tabs>
              <w:rPr>
                <w:lang w:val="uk-UA"/>
              </w:rPr>
            </w:pPr>
            <w:r w:rsidRPr="000B794F">
              <w:rPr>
                <w:lang w:val="uk-UA"/>
              </w:rPr>
              <w:t xml:space="preserve">розділу </w:t>
            </w:r>
            <w:r w:rsidRPr="000B794F">
              <w:rPr>
                <w:lang w:val="en-US"/>
              </w:rPr>
              <w:t>IV</w:t>
            </w:r>
            <w:r w:rsidRPr="000B794F">
              <w:rPr>
                <w:lang w:val="uk-UA"/>
              </w:rPr>
              <w:t xml:space="preserve"> Ліцензійних умов № 862</w:t>
            </w:r>
          </w:p>
        </w:tc>
      </w:tr>
      <w:tr w:rsidR="002F03DD" w:rsidRPr="000B794F" w:rsidTr="009E1DD3">
        <w:tc>
          <w:tcPr>
            <w:tcW w:w="720" w:type="dxa"/>
          </w:tcPr>
          <w:p w:rsidR="002F03DD" w:rsidRPr="000B794F" w:rsidRDefault="002F03DD" w:rsidP="0014582B">
            <w:pPr>
              <w:pStyle w:val="NoSpacing"/>
              <w:jc w:val="both"/>
              <w:rPr>
                <w:rFonts w:ascii="Times New Roman" w:hAnsi="Times New Roman"/>
                <w:sz w:val="24"/>
                <w:szCs w:val="24"/>
                <w:lang w:val="uk-UA"/>
              </w:rPr>
            </w:pPr>
            <w:r w:rsidRPr="000B794F">
              <w:rPr>
                <w:rFonts w:ascii="Times New Roman" w:hAnsi="Times New Roman"/>
                <w:sz w:val="24"/>
                <w:szCs w:val="24"/>
                <w:lang w:val="uk-UA"/>
              </w:rPr>
              <w:t>29</w:t>
            </w:r>
          </w:p>
        </w:tc>
        <w:tc>
          <w:tcPr>
            <w:tcW w:w="2340" w:type="dxa"/>
          </w:tcPr>
          <w:p w:rsidR="002F03DD" w:rsidRPr="000B794F" w:rsidRDefault="002F03DD" w:rsidP="00CD4AAE">
            <w:pPr>
              <w:pStyle w:val="rvps2"/>
              <w:spacing w:before="0" w:beforeAutospacing="0" w:after="0" w:afterAutospacing="0"/>
            </w:pPr>
            <w:r w:rsidRPr="000B794F">
              <w:t xml:space="preserve">Ліцензіат (крім банку) у разі </w:t>
            </w:r>
            <w:r w:rsidRPr="000B794F">
              <w:lastRenderedPageBreak/>
              <w:t>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відповідає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2F03DD" w:rsidRPr="000B794F" w:rsidRDefault="002F03DD" w:rsidP="00CD4AAE">
            <w:pPr>
              <w:pStyle w:val="rvps2"/>
              <w:spacing w:before="0" w:beforeAutospacing="0" w:after="0" w:afterAutospacing="0"/>
              <w:rPr>
                <w:rStyle w:val="rvts0"/>
              </w:rPr>
            </w:pPr>
            <w:bookmarkStart w:id="13" w:name="n165"/>
            <w:bookmarkEnd w:id="13"/>
            <w:r w:rsidRPr="000B794F">
              <w:t>Ліцензіат (крім банку) при поверненні на місцезнаходження, зазначене у Єдиному державному реєстрі юридичних та фізичних осіб-</w:t>
            </w:r>
            <w:r w:rsidRPr="000B794F">
              <w:lastRenderedPageBreak/>
              <w:t>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r w:rsidR="007B5F6C">
              <w:t>.</w:t>
            </w:r>
          </w:p>
        </w:tc>
        <w:tc>
          <w:tcPr>
            <w:tcW w:w="1620" w:type="dxa"/>
            <w:tcBorders>
              <w:right w:val="single" w:sz="4" w:space="0" w:color="auto"/>
            </w:tcBorders>
          </w:tcPr>
          <w:p w:rsidR="002F03DD" w:rsidRPr="000B794F" w:rsidRDefault="002F03DD" w:rsidP="00410F90">
            <w:pPr>
              <w:pStyle w:val="NoSpacing"/>
              <w:jc w:val="center"/>
              <w:rPr>
                <w:rFonts w:ascii="Times New Roman" w:hAnsi="Times New Roman"/>
                <w:sz w:val="24"/>
                <w:szCs w:val="24"/>
                <w:lang w:val="uk-UA"/>
              </w:rPr>
            </w:pPr>
            <w:r w:rsidRPr="000B794F">
              <w:rPr>
                <w:rFonts w:ascii="Times New Roman" w:hAnsi="Times New Roman"/>
                <w:sz w:val="24"/>
                <w:szCs w:val="24"/>
                <w:lang w:val="uk-UA"/>
              </w:rPr>
              <w:lastRenderedPageBreak/>
              <w:t>високий,</w:t>
            </w:r>
          </w:p>
          <w:p w:rsidR="002F03DD" w:rsidRPr="000B794F" w:rsidRDefault="002F03DD" w:rsidP="00410F90">
            <w:pPr>
              <w:pStyle w:val="NoSpacing"/>
              <w:jc w:val="center"/>
              <w:rPr>
                <w:rFonts w:ascii="Times New Roman" w:hAnsi="Times New Roman"/>
                <w:sz w:val="24"/>
                <w:szCs w:val="24"/>
                <w:lang w:val="uk-UA"/>
              </w:rPr>
            </w:pPr>
            <w:r w:rsidRPr="000B794F">
              <w:rPr>
                <w:rFonts w:ascii="Times New Roman" w:hAnsi="Times New Roman"/>
                <w:sz w:val="24"/>
                <w:szCs w:val="24"/>
                <w:lang w:val="uk-UA"/>
              </w:rPr>
              <w:t>середній,</w:t>
            </w:r>
          </w:p>
          <w:p w:rsidR="002F03DD" w:rsidRPr="000B794F" w:rsidRDefault="002F03DD" w:rsidP="00410F90">
            <w:pPr>
              <w:pStyle w:val="NoSpacing"/>
              <w:jc w:val="center"/>
              <w:rPr>
                <w:rFonts w:ascii="Times New Roman" w:hAnsi="Times New Roman"/>
                <w:sz w:val="24"/>
                <w:szCs w:val="24"/>
                <w:highlight w:val="yellow"/>
                <w:lang w:val="uk-UA"/>
              </w:rPr>
            </w:pPr>
            <w:r w:rsidRPr="000B794F">
              <w:rPr>
                <w:rFonts w:ascii="Times New Roman" w:hAnsi="Times New Roman"/>
                <w:sz w:val="24"/>
                <w:szCs w:val="24"/>
                <w:lang w:val="uk-UA"/>
              </w:rPr>
              <w:lastRenderedPageBreak/>
              <w:t>незначний</w:t>
            </w:r>
          </w:p>
        </w:tc>
        <w:tc>
          <w:tcPr>
            <w:tcW w:w="1800" w:type="dxa"/>
            <w:tcBorders>
              <w:left w:val="single" w:sz="4" w:space="0" w:color="auto"/>
            </w:tcBorders>
          </w:tcPr>
          <w:p w:rsidR="002F03DD" w:rsidRPr="000B794F" w:rsidRDefault="002F03DD" w:rsidP="00410F90">
            <w:pPr>
              <w:pStyle w:val="NoSpacing"/>
              <w:jc w:val="center"/>
              <w:rPr>
                <w:rFonts w:ascii="Times New Roman" w:hAnsi="Times New Roman"/>
                <w:sz w:val="24"/>
                <w:szCs w:val="24"/>
                <w:highlight w:val="yellow"/>
                <w:lang w:val="uk-UA"/>
              </w:rPr>
            </w:pPr>
          </w:p>
        </w:tc>
        <w:tc>
          <w:tcPr>
            <w:tcW w:w="36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360" w:type="dxa"/>
            <w:gridSpan w:val="2"/>
          </w:tcPr>
          <w:p w:rsidR="002F03DD" w:rsidRPr="000B794F" w:rsidRDefault="002F03DD" w:rsidP="0014582B">
            <w:pPr>
              <w:pStyle w:val="NoSpacing"/>
              <w:jc w:val="both"/>
              <w:rPr>
                <w:rFonts w:ascii="Times New Roman" w:hAnsi="Times New Roman"/>
                <w:sz w:val="24"/>
                <w:szCs w:val="24"/>
                <w:highlight w:val="yellow"/>
                <w:lang w:val="uk-UA"/>
              </w:rPr>
            </w:pPr>
          </w:p>
        </w:tc>
        <w:tc>
          <w:tcPr>
            <w:tcW w:w="900" w:type="dxa"/>
          </w:tcPr>
          <w:p w:rsidR="002F03DD" w:rsidRPr="000B794F" w:rsidRDefault="002F03DD" w:rsidP="0014582B">
            <w:pPr>
              <w:pStyle w:val="NoSpacing"/>
              <w:jc w:val="both"/>
              <w:rPr>
                <w:rFonts w:ascii="Times New Roman" w:hAnsi="Times New Roman"/>
                <w:sz w:val="24"/>
                <w:szCs w:val="24"/>
                <w:highlight w:val="yellow"/>
                <w:lang w:val="uk-UA"/>
              </w:rPr>
            </w:pPr>
          </w:p>
        </w:tc>
        <w:tc>
          <w:tcPr>
            <w:tcW w:w="1800" w:type="dxa"/>
          </w:tcPr>
          <w:p w:rsidR="002F03DD" w:rsidRPr="000B794F" w:rsidRDefault="002F03DD" w:rsidP="00CD4AAE">
            <w:pPr>
              <w:tabs>
                <w:tab w:val="left" w:pos="7380"/>
              </w:tabs>
              <w:rPr>
                <w:lang w:val="uk-UA"/>
              </w:rPr>
            </w:pPr>
            <w:r w:rsidRPr="000B794F">
              <w:rPr>
                <w:lang w:val="uk-UA"/>
              </w:rPr>
              <w:t xml:space="preserve">Пункт 11 </w:t>
            </w:r>
          </w:p>
          <w:p w:rsidR="002F03DD" w:rsidRPr="000B794F" w:rsidRDefault="002F03DD" w:rsidP="00CD4AAE">
            <w:pPr>
              <w:tabs>
                <w:tab w:val="left" w:pos="7380"/>
              </w:tabs>
              <w:rPr>
                <w:lang w:val="uk-UA"/>
              </w:rPr>
            </w:pPr>
            <w:r w:rsidRPr="000B794F">
              <w:rPr>
                <w:lang w:val="uk-UA"/>
              </w:rPr>
              <w:t xml:space="preserve">розділу </w:t>
            </w:r>
            <w:r w:rsidRPr="000B794F">
              <w:rPr>
                <w:lang w:val="en-US"/>
              </w:rPr>
              <w:t>IV</w:t>
            </w:r>
            <w:r w:rsidRPr="000B794F">
              <w:rPr>
                <w:lang w:val="uk-UA"/>
              </w:rPr>
              <w:t xml:space="preserve"> </w:t>
            </w:r>
            <w:r w:rsidRPr="000B794F">
              <w:rPr>
                <w:lang w:val="uk-UA"/>
              </w:rPr>
              <w:lastRenderedPageBreak/>
              <w:t>Ліцензійних умов № 862</w:t>
            </w:r>
          </w:p>
        </w:tc>
      </w:tr>
    </w:tbl>
    <w:p w:rsidR="00FD5729" w:rsidRPr="000B794F" w:rsidRDefault="00FD5729" w:rsidP="00FD5729">
      <w:pPr>
        <w:rPr>
          <w:lang w:val="uk-UA"/>
        </w:rPr>
      </w:pPr>
    </w:p>
    <w:p w:rsidR="0080559B" w:rsidRDefault="0080559B" w:rsidP="00664AD2">
      <w:pPr>
        <w:ind w:left="-180" w:right="-550"/>
        <w:rPr>
          <w:b/>
          <w:sz w:val="28"/>
          <w:szCs w:val="28"/>
          <w:lang w:val="uk-UA"/>
        </w:rPr>
      </w:pPr>
    </w:p>
    <w:p w:rsidR="0018489E" w:rsidRDefault="0018489E" w:rsidP="00420285">
      <w:pPr>
        <w:ind w:left="360" w:right="-550"/>
        <w:rPr>
          <w:b/>
          <w:sz w:val="28"/>
          <w:szCs w:val="28"/>
          <w:lang w:val="uk-UA"/>
        </w:rPr>
      </w:pPr>
      <w:r>
        <w:rPr>
          <w:b/>
          <w:sz w:val="28"/>
          <w:szCs w:val="28"/>
          <w:lang w:val="uk-UA"/>
        </w:rPr>
        <w:t>Директор департаменту проведення</w:t>
      </w:r>
    </w:p>
    <w:p w:rsidR="0018489E" w:rsidRDefault="0018489E" w:rsidP="00420285">
      <w:pPr>
        <w:ind w:left="360" w:right="-550"/>
        <w:rPr>
          <w:b/>
          <w:sz w:val="28"/>
          <w:szCs w:val="28"/>
          <w:lang w:val="uk-UA"/>
        </w:rPr>
      </w:pPr>
      <w:r>
        <w:rPr>
          <w:b/>
          <w:sz w:val="28"/>
          <w:szCs w:val="28"/>
          <w:lang w:val="uk-UA"/>
        </w:rPr>
        <w:t>інспекцій професійної діяльності                                                      О. Мисюра</w:t>
      </w:r>
    </w:p>
    <w:p w:rsidR="0080559B" w:rsidRDefault="0080559B" w:rsidP="00420285">
      <w:pPr>
        <w:ind w:left="360" w:right="-550"/>
        <w:rPr>
          <w:lang w:val="uk-UA"/>
        </w:rPr>
      </w:pPr>
    </w:p>
    <w:sectPr w:rsidR="0080559B" w:rsidSect="001F0256">
      <w:headerReference w:type="even" r:id="rId13"/>
      <w:headerReference w:type="default" r:id="rId14"/>
      <w:pgSz w:w="11906" w:h="16838"/>
      <w:pgMar w:top="851" w:right="851" w:bottom="1079"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46" w:rsidRDefault="009E7446">
      <w:r>
        <w:separator/>
      </w:r>
    </w:p>
  </w:endnote>
  <w:endnote w:type="continuationSeparator" w:id="0">
    <w:p w:rsidR="009E7446" w:rsidRDefault="009E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46" w:rsidRDefault="009E7446">
      <w:r>
        <w:separator/>
      </w:r>
    </w:p>
  </w:footnote>
  <w:footnote w:type="continuationSeparator" w:id="0">
    <w:p w:rsidR="009E7446" w:rsidRDefault="009E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DE" w:rsidRDefault="006273DE"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73DE" w:rsidRDefault="006273DE">
    <w:pPr>
      <w:pStyle w:val="a9"/>
    </w:pPr>
  </w:p>
  <w:p w:rsidR="006273DE" w:rsidRDefault="006273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DE" w:rsidRPr="009440F2" w:rsidRDefault="006273DE"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974CEC">
      <w:rPr>
        <w:rStyle w:val="ab"/>
        <w:rFonts w:ascii="Times New Roman" w:hAnsi="Times New Roman"/>
        <w:noProof/>
      </w:rPr>
      <w:t>2</w:t>
    </w:r>
    <w:r w:rsidRPr="009440F2">
      <w:rPr>
        <w:rStyle w:val="ab"/>
        <w:rFonts w:ascii="Times New Roman" w:hAnsi="Times New Roman"/>
      </w:rPr>
      <w:fldChar w:fldCharType="end"/>
    </w:r>
  </w:p>
  <w:p w:rsidR="006273DE" w:rsidRDefault="006273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DA"/>
    <w:rsid w:val="00000329"/>
    <w:rsid w:val="0000225C"/>
    <w:rsid w:val="0000235F"/>
    <w:rsid w:val="00002944"/>
    <w:rsid w:val="0000330C"/>
    <w:rsid w:val="000043EA"/>
    <w:rsid w:val="00004C14"/>
    <w:rsid w:val="00005254"/>
    <w:rsid w:val="00006B58"/>
    <w:rsid w:val="00010167"/>
    <w:rsid w:val="0001083C"/>
    <w:rsid w:val="00011277"/>
    <w:rsid w:val="0001138F"/>
    <w:rsid w:val="000120E5"/>
    <w:rsid w:val="00014D5D"/>
    <w:rsid w:val="00017BF7"/>
    <w:rsid w:val="000206B1"/>
    <w:rsid w:val="00023D02"/>
    <w:rsid w:val="00027DE2"/>
    <w:rsid w:val="00030447"/>
    <w:rsid w:val="000305E9"/>
    <w:rsid w:val="0003083A"/>
    <w:rsid w:val="00030D12"/>
    <w:rsid w:val="00031585"/>
    <w:rsid w:val="00031BE4"/>
    <w:rsid w:val="00032CF6"/>
    <w:rsid w:val="000332A7"/>
    <w:rsid w:val="0003368C"/>
    <w:rsid w:val="00033D5F"/>
    <w:rsid w:val="00041275"/>
    <w:rsid w:val="00042479"/>
    <w:rsid w:val="00042561"/>
    <w:rsid w:val="000432CC"/>
    <w:rsid w:val="00050368"/>
    <w:rsid w:val="00053C21"/>
    <w:rsid w:val="00055AC0"/>
    <w:rsid w:val="00055EF0"/>
    <w:rsid w:val="0005772E"/>
    <w:rsid w:val="000602E8"/>
    <w:rsid w:val="0006050C"/>
    <w:rsid w:val="00062228"/>
    <w:rsid w:val="00062789"/>
    <w:rsid w:val="00062BC6"/>
    <w:rsid w:val="00063D42"/>
    <w:rsid w:val="00063D93"/>
    <w:rsid w:val="00064412"/>
    <w:rsid w:val="000648E2"/>
    <w:rsid w:val="00066AB4"/>
    <w:rsid w:val="00067B2D"/>
    <w:rsid w:val="00070E63"/>
    <w:rsid w:val="000712F0"/>
    <w:rsid w:val="00071BB7"/>
    <w:rsid w:val="00074483"/>
    <w:rsid w:val="00074B6B"/>
    <w:rsid w:val="0007542A"/>
    <w:rsid w:val="00075652"/>
    <w:rsid w:val="00076B43"/>
    <w:rsid w:val="00077BA6"/>
    <w:rsid w:val="00080339"/>
    <w:rsid w:val="000827F2"/>
    <w:rsid w:val="00083DA9"/>
    <w:rsid w:val="00084FDA"/>
    <w:rsid w:val="00085D70"/>
    <w:rsid w:val="0009180A"/>
    <w:rsid w:val="00092946"/>
    <w:rsid w:val="00092ADB"/>
    <w:rsid w:val="00097443"/>
    <w:rsid w:val="00097E98"/>
    <w:rsid w:val="000A1696"/>
    <w:rsid w:val="000A1CE6"/>
    <w:rsid w:val="000A1CEE"/>
    <w:rsid w:val="000A1F3F"/>
    <w:rsid w:val="000A24B4"/>
    <w:rsid w:val="000A4526"/>
    <w:rsid w:val="000B247D"/>
    <w:rsid w:val="000B4036"/>
    <w:rsid w:val="000B6345"/>
    <w:rsid w:val="000B66B8"/>
    <w:rsid w:val="000B69D9"/>
    <w:rsid w:val="000B794F"/>
    <w:rsid w:val="000C12AA"/>
    <w:rsid w:val="000C1CDB"/>
    <w:rsid w:val="000C24E5"/>
    <w:rsid w:val="000C5312"/>
    <w:rsid w:val="000C6C52"/>
    <w:rsid w:val="000C6FDA"/>
    <w:rsid w:val="000C756A"/>
    <w:rsid w:val="000C76C2"/>
    <w:rsid w:val="000D0497"/>
    <w:rsid w:val="000D1D5F"/>
    <w:rsid w:val="000D282E"/>
    <w:rsid w:val="000D2F8A"/>
    <w:rsid w:val="000D40BC"/>
    <w:rsid w:val="000D5818"/>
    <w:rsid w:val="000D7288"/>
    <w:rsid w:val="000D77CE"/>
    <w:rsid w:val="000D7AD3"/>
    <w:rsid w:val="000E13D6"/>
    <w:rsid w:val="000E61AB"/>
    <w:rsid w:val="000E6803"/>
    <w:rsid w:val="000E6E00"/>
    <w:rsid w:val="000E7003"/>
    <w:rsid w:val="000F08A2"/>
    <w:rsid w:val="000F12DA"/>
    <w:rsid w:val="000F1BDA"/>
    <w:rsid w:val="000F2AA0"/>
    <w:rsid w:val="000F3173"/>
    <w:rsid w:val="000F51F0"/>
    <w:rsid w:val="000F7B39"/>
    <w:rsid w:val="00101E7B"/>
    <w:rsid w:val="00102BEA"/>
    <w:rsid w:val="001034A7"/>
    <w:rsid w:val="00103EED"/>
    <w:rsid w:val="00105952"/>
    <w:rsid w:val="001066A5"/>
    <w:rsid w:val="001075DD"/>
    <w:rsid w:val="00110528"/>
    <w:rsid w:val="00110C7D"/>
    <w:rsid w:val="00110E87"/>
    <w:rsid w:val="00110EDE"/>
    <w:rsid w:val="001158F8"/>
    <w:rsid w:val="00115CAA"/>
    <w:rsid w:val="00117879"/>
    <w:rsid w:val="00120115"/>
    <w:rsid w:val="00120FB8"/>
    <w:rsid w:val="001229FD"/>
    <w:rsid w:val="00122D93"/>
    <w:rsid w:val="00122EFC"/>
    <w:rsid w:val="00124048"/>
    <w:rsid w:val="00124117"/>
    <w:rsid w:val="00124799"/>
    <w:rsid w:val="00126009"/>
    <w:rsid w:val="001266D0"/>
    <w:rsid w:val="00126B06"/>
    <w:rsid w:val="0013006E"/>
    <w:rsid w:val="001308DD"/>
    <w:rsid w:val="001310BF"/>
    <w:rsid w:val="00131224"/>
    <w:rsid w:val="00132A85"/>
    <w:rsid w:val="0013417C"/>
    <w:rsid w:val="00136A79"/>
    <w:rsid w:val="001378CF"/>
    <w:rsid w:val="00140C51"/>
    <w:rsid w:val="00142E27"/>
    <w:rsid w:val="00144AAE"/>
    <w:rsid w:val="001456F9"/>
    <w:rsid w:val="0014582B"/>
    <w:rsid w:val="00146223"/>
    <w:rsid w:val="00146497"/>
    <w:rsid w:val="0014724D"/>
    <w:rsid w:val="00147AB3"/>
    <w:rsid w:val="00147FD8"/>
    <w:rsid w:val="00151114"/>
    <w:rsid w:val="00153C8A"/>
    <w:rsid w:val="001540F2"/>
    <w:rsid w:val="001573B0"/>
    <w:rsid w:val="00157EB9"/>
    <w:rsid w:val="00160885"/>
    <w:rsid w:val="0016105D"/>
    <w:rsid w:val="00162FB3"/>
    <w:rsid w:val="001638E4"/>
    <w:rsid w:val="00163C41"/>
    <w:rsid w:val="0016594F"/>
    <w:rsid w:val="00165D54"/>
    <w:rsid w:val="00165FB5"/>
    <w:rsid w:val="00166F35"/>
    <w:rsid w:val="0016727E"/>
    <w:rsid w:val="001676F6"/>
    <w:rsid w:val="00167A49"/>
    <w:rsid w:val="0017104D"/>
    <w:rsid w:val="00171652"/>
    <w:rsid w:val="00171F3E"/>
    <w:rsid w:val="001722E5"/>
    <w:rsid w:val="00172748"/>
    <w:rsid w:val="00172819"/>
    <w:rsid w:val="00172988"/>
    <w:rsid w:val="0017340A"/>
    <w:rsid w:val="00176960"/>
    <w:rsid w:val="00177F97"/>
    <w:rsid w:val="001814A6"/>
    <w:rsid w:val="00182C08"/>
    <w:rsid w:val="00183630"/>
    <w:rsid w:val="0018387B"/>
    <w:rsid w:val="0018437C"/>
    <w:rsid w:val="00184577"/>
    <w:rsid w:val="0018489E"/>
    <w:rsid w:val="00184D43"/>
    <w:rsid w:val="00186C23"/>
    <w:rsid w:val="00186EEE"/>
    <w:rsid w:val="00187656"/>
    <w:rsid w:val="001903A8"/>
    <w:rsid w:val="00194042"/>
    <w:rsid w:val="00195546"/>
    <w:rsid w:val="00195795"/>
    <w:rsid w:val="00195DD4"/>
    <w:rsid w:val="00196A07"/>
    <w:rsid w:val="001973C3"/>
    <w:rsid w:val="001A2310"/>
    <w:rsid w:val="001A327E"/>
    <w:rsid w:val="001A3D29"/>
    <w:rsid w:val="001A5C60"/>
    <w:rsid w:val="001A7189"/>
    <w:rsid w:val="001B0BD0"/>
    <w:rsid w:val="001B0EF6"/>
    <w:rsid w:val="001B101F"/>
    <w:rsid w:val="001B1626"/>
    <w:rsid w:val="001B321D"/>
    <w:rsid w:val="001B5CBF"/>
    <w:rsid w:val="001B5DB2"/>
    <w:rsid w:val="001B5FB9"/>
    <w:rsid w:val="001B6E84"/>
    <w:rsid w:val="001B7863"/>
    <w:rsid w:val="001C0659"/>
    <w:rsid w:val="001C1544"/>
    <w:rsid w:val="001C2C8F"/>
    <w:rsid w:val="001C3FD7"/>
    <w:rsid w:val="001C44A5"/>
    <w:rsid w:val="001C46BA"/>
    <w:rsid w:val="001C6F89"/>
    <w:rsid w:val="001C7205"/>
    <w:rsid w:val="001D0EB9"/>
    <w:rsid w:val="001D1BB5"/>
    <w:rsid w:val="001D2F69"/>
    <w:rsid w:val="001D3E86"/>
    <w:rsid w:val="001D481B"/>
    <w:rsid w:val="001D61CF"/>
    <w:rsid w:val="001D6D3D"/>
    <w:rsid w:val="001D752A"/>
    <w:rsid w:val="001E4359"/>
    <w:rsid w:val="001E4F9B"/>
    <w:rsid w:val="001E65C4"/>
    <w:rsid w:val="001F0256"/>
    <w:rsid w:val="001F038E"/>
    <w:rsid w:val="001F1A89"/>
    <w:rsid w:val="001F251B"/>
    <w:rsid w:val="001F2D36"/>
    <w:rsid w:val="001F58D3"/>
    <w:rsid w:val="001F65AC"/>
    <w:rsid w:val="001F6A3F"/>
    <w:rsid w:val="001F7A2A"/>
    <w:rsid w:val="002047E8"/>
    <w:rsid w:val="00205BFD"/>
    <w:rsid w:val="00205F6A"/>
    <w:rsid w:val="00207222"/>
    <w:rsid w:val="0021073B"/>
    <w:rsid w:val="00212930"/>
    <w:rsid w:val="002129B5"/>
    <w:rsid w:val="002132DE"/>
    <w:rsid w:val="00213EB0"/>
    <w:rsid w:val="0021486B"/>
    <w:rsid w:val="00215BEE"/>
    <w:rsid w:val="0021638E"/>
    <w:rsid w:val="00217604"/>
    <w:rsid w:val="00217832"/>
    <w:rsid w:val="00220935"/>
    <w:rsid w:val="002218B0"/>
    <w:rsid w:val="002219AE"/>
    <w:rsid w:val="00221B52"/>
    <w:rsid w:val="00221D71"/>
    <w:rsid w:val="0022251E"/>
    <w:rsid w:val="00226FCD"/>
    <w:rsid w:val="00227350"/>
    <w:rsid w:val="00227380"/>
    <w:rsid w:val="0022738D"/>
    <w:rsid w:val="00231D87"/>
    <w:rsid w:val="00231DDC"/>
    <w:rsid w:val="002345AA"/>
    <w:rsid w:val="00236474"/>
    <w:rsid w:val="00236E8C"/>
    <w:rsid w:val="0023707E"/>
    <w:rsid w:val="00241A24"/>
    <w:rsid w:val="002420C6"/>
    <w:rsid w:val="0024453D"/>
    <w:rsid w:val="00245477"/>
    <w:rsid w:val="002455E0"/>
    <w:rsid w:val="002463E7"/>
    <w:rsid w:val="00246748"/>
    <w:rsid w:val="002467CE"/>
    <w:rsid w:val="00250D2A"/>
    <w:rsid w:val="00255308"/>
    <w:rsid w:val="00256243"/>
    <w:rsid w:val="00257E74"/>
    <w:rsid w:val="00260044"/>
    <w:rsid w:val="00260A41"/>
    <w:rsid w:val="00260FA1"/>
    <w:rsid w:val="00262B0D"/>
    <w:rsid w:val="00262B2A"/>
    <w:rsid w:val="0026338C"/>
    <w:rsid w:val="00264179"/>
    <w:rsid w:val="00264C88"/>
    <w:rsid w:val="002658BD"/>
    <w:rsid w:val="00266C28"/>
    <w:rsid w:val="00267137"/>
    <w:rsid w:val="002700D8"/>
    <w:rsid w:val="002714B3"/>
    <w:rsid w:val="00275D61"/>
    <w:rsid w:val="002766F1"/>
    <w:rsid w:val="0027796B"/>
    <w:rsid w:val="00277A32"/>
    <w:rsid w:val="00280376"/>
    <w:rsid w:val="00280420"/>
    <w:rsid w:val="00281B48"/>
    <w:rsid w:val="00281BB2"/>
    <w:rsid w:val="00282C88"/>
    <w:rsid w:val="0028469D"/>
    <w:rsid w:val="002846C5"/>
    <w:rsid w:val="0028481F"/>
    <w:rsid w:val="00284B28"/>
    <w:rsid w:val="00285A5B"/>
    <w:rsid w:val="0028607F"/>
    <w:rsid w:val="002927FF"/>
    <w:rsid w:val="0029332D"/>
    <w:rsid w:val="00293AC8"/>
    <w:rsid w:val="00297D3D"/>
    <w:rsid w:val="002A0C88"/>
    <w:rsid w:val="002A1A2D"/>
    <w:rsid w:val="002A2AD1"/>
    <w:rsid w:val="002A2DA3"/>
    <w:rsid w:val="002A2DEF"/>
    <w:rsid w:val="002A472B"/>
    <w:rsid w:val="002A61F2"/>
    <w:rsid w:val="002A63F3"/>
    <w:rsid w:val="002A6F19"/>
    <w:rsid w:val="002B03FB"/>
    <w:rsid w:val="002B050B"/>
    <w:rsid w:val="002B0E9C"/>
    <w:rsid w:val="002B25B4"/>
    <w:rsid w:val="002B2F95"/>
    <w:rsid w:val="002B3E96"/>
    <w:rsid w:val="002B3E9B"/>
    <w:rsid w:val="002B7E17"/>
    <w:rsid w:val="002C06CB"/>
    <w:rsid w:val="002C07CE"/>
    <w:rsid w:val="002C081F"/>
    <w:rsid w:val="002C1E6B"/>
    <w:rsid w:val="002C1EFE"/>
    <w:rsid w:val="002C2CF5"/>
    <w:rsid w:val="002C3095"/>
    <w:rsid w:val="002C3A0D"/>
    <w:rsid w:val="002C4566"/>
    <w:rsid w:val="002C4F0A"/>
    <w:rsid w:val="002C59C2"/>
    <w:rsid w:val="002C5C62"/>
    <w:rsid w:val="002C6A00"/>
    <w:rsid w:val="002C700B"/>
    <w:rsid w:val="002D0AC7"/>
    <w:rsid w:val="002D1755"/>
    <w:rsid w:val="002D2092"/>
    <w:rsid w:val="002D2385"/>
    <w:rsid w:val="002D486C"/>
    <w:rsid w:val="002D5088"/>
    <w:rsid w:val="002D6752"/>
    <w:rsid w:val="002D726F"/>
    <w:rsid w:val="002D7652"/>
    <w:rsid w:val="002E1BA8"/>
    <w:rsid w:val="002E546C"/>
    <w:rsid w:val="002E5763"/>
    <w:rsid w:val="002E6A66"/>
    <w:rsid w:val="002E7774"/>
    <w:rsid w:val="002F03DD"/>
    <w:rsid w:val="002F0C5D"/>
    <w:rsid w:val="002F34B2"/>
    <w:rsid w:val="002F5082"/>
    <w:rsid w:val="002F5EC5"/>
    <w:rsid w:val="002F76C9"/>
    <w:rsid w:val="0030023B"/>
    <w:rsid w:val="00302578"/>
    <w:rsid w:val="003033E2"/>
    <w:rsid w:val="00303672"/>
    <w:rsid w:val="00303AF4"/>
    <w:rsid w:val="003045FC"/>
    <w:rsid w:val="0030599A"/>
    <w:rsid w:val="003064E6"/>
    <w:rsid w:val="00307827"/>
    <w:rsid w:val="00307F93"/>
    <w:rsid w:val="00310069"/>
    <w:rsid w:val="00310931"/>
    <w:rsid w:val="003116BF"/>
    <w:rsid w:val="0031259D"/>
    <w:rsid w:val="003137FC"/>
    <w:rsid w:val="0031431E"/>
    <w:rsid w:val="00321AC3"/>
    <w:rsid w:val="003223AB"/>
    <w:rsid w:val="00322A12"/>
    <w:rsid w:val="00323F26"/>
    <w:rsid w:val="0032427A"/>
    <w:rsid w:val="00325F21"/>
    <w:rsid w:val="00326399"/>
    <w:rsid w:val="003278E0"/>
    <w:rsid w:val="0033006D"/>
    <w:rsid w:val="0033134C"/>
    <w:rsid w:val="00331E7D"/>
    <w:rsid w:val="00332445"/>
    <w:rsid w:val="0033377B"/>
    <w:rsid w:val="00333BC2"/>
    <w:rsid w:val="0033477F"/>
    <w:rsid w:val="00334A20"/>
    <w:rsid w:val="00334BA8"/>
    <w:rsid w:val="00337DEA"/>
    <w:rsid w:val="00337F44"/>
    <w:rsid w:val="00340390"/>
    <w:rsid w:val="00341C81"/>
    <w:rsid w:val="00343437"/>
    <w:rsid w:val="0034358B"/>
    <w:rsid w:val="00343717"/>
    <w:rsid w:val="003446FD"/>
    <w:rsid w:val="00345BA7"/>
    <w:rsid w:val="00347419"/>
    <w:rsid w:val="00347BFB"/>
    <w:rsid w:val="00347DCE"/>
    <w:rsid w:val="00350DFD"/>
    <w:rsid w:val="00351A7F"/>
    <w:rsid w:val="00353F25"/>
    <w:rsid w:val="003602BF"/>
    <w:rsid w:val="00360E40"/>
    <w:rsid w:val="0036171D"/>
    <w:rsid w:val="00361B9F"/>
    <w:rsid w:val="00362CE2"/>
    <w:rsid w:val="00364979"/>
    <w:rsid w:val="0036588B"/>
    <w:rsid w:val="00365C04"/>
    <w:rsid w:val="00366DFA"/>
    <w:rsid w:val="00367712"/>
    <w:rsid w:val="00367E79"/>
    <w:rsid w:val="00371BDC"/>
    <w:rsid w:val="00371CE5"/>
    <w:rsid w:val="003729CD"/>
    <w:rsid w:val="00372B0F"/>
    <w:rsid w:val="003740D7"/>
    <w:rsid w:val="00375B53"/>
    <w:rsid w:val="003767D0"/>
    <w:rsid w:val="003777B7"/>
    <w:rsid w:val="00380475"/>
    <w:rsid w:val="00380AF4"/>
    <w:rsid w:val="00381391"/>
    <w:rsid w:val="003820BD"/>
    <w:rsid w:val="003828CE"/>
    <w:rsid w:val="00383006"/>
    <w:rsid w:val="00383FA9"/>
    <w:rsid w:val="003864BE"/>
    <w:rsid w:val="00387F63"/>
    <w:rsid w:val="00391856"/>
    <w:rsid w:val="00391D67"/>
    <w:rsid w:val="0039206D"/>
    <w:rsid w:val="00393399"/>
    <w:rsid w:val="00393626"/>
    <w:rsid w:val="0039418E"/>
    <w:rsid w:val="00394BB0"/>
    <w:rsid w:val="00395E83"/>
    <w:rsid w:val="00397022"/>
    <w:rsid w:val="003A5757"/>
    <w:rsid w:val="003A6C17"/>
    <w:rsid w:val="003A6C4C"/>
    <w:rsid w:val="003A73FF"/>
    <w:rsid w:val="003A7E05"/>
    <w:rsid w:val="003B0B00"/>
    <w:rsid w:val="003B0B7F"/>
    <w:rsid w:val="003B1794"/>
    <w:rsid w:val="003B3D8D"/>
    <w:rsid w:val="003B3DD6"/>
    <w:rsid w:val="003B402C"/>
    <w:rsid w:val="003B4396"/>
    <w:rsid w:val="003B59CD"/>
    <w:rsid w:val="003B6BB8"/>
    <w:rsid w:val="003B7A71"/>
    <w:rsid w:val="003C3CA0"/>
    <w:rsid w:val="003C67FA"/>
    <w:rsid w:val="003C7D96"/>
    <w:rsid w:val="003D0521"/>
    <w:rsid w:val="003D267B"/>
    <w:rsid w:val="003D27A2"/>
    <w:rsid w:val="003D41ED"/>
    <w:rsid w:val="003D4C16"/>
    <w:rsid w:val="003D7620"/>
    <w:rsid w:val="003E2014"/>
    <w:rsid w:val="003E29E8"/>
    <w:rsid w:val="003E326B"/>
    <w:rsid w:val="003E72B9"/>
    <w:rsid w:val="003E7671"/>
    <w:rsid w:val="003F038B"/>
    <w:rsid w:val="003F0BE3"/>
    <w:rsid w:val="003F232B"/>
    <w:rsid w:val="003F2372"/>
    <w:rsid w:val="003F2F44"/>
    <w:rsid w:val="003F3D89"/>
    <w:rsid w:val="003F452C"/>
    <w:rsid w:val="003F55EF"/>
    <w:rsid w:val="003F7A6F"/>
    <w:rsid w:val="003F7D51"/>
    <w:rsid w:val="0040092D"/>
    <w:rsid w:val="00400CC5"/>
    <w:rsid w:val="00400D14"/>
    <w:rsid w:val="00401CA4"/>
    <w:rsid w:val="00404960"/>
    <w:rsid w:val="00405E74"/>
    <w:rsid w:val="0040638B"/>
    <w:rsid w:val="004063DD"/>
    <w:rsid w:val="00406D43"/>
    <w:rsid w:val="004073DB"/>
    <w:rsid w:val="00407864"/>
    <w:rsid w:val="00407B9F"/>
    <w:rsid w:val="00410F90"/>
    <w:rsid w:val="0041119A"/>
    <w:rsid w:val="00411DA8"/>
    <w:rsid w:val="00411F3A"/>
    <w:rsid w:val="004121AF"/>
    <w:rsid w:val="004128FF"/>
    <w:rsid w:val="00412A8F"/>
    <w:rsid w:val="00413BF2"/>
    <w:rsid w:val="00415B00"/>
    <w:rsid w:val="00415DA0"/>
    <w:rsid w:val="00416376"/>
    <w:rsid w:val="00420285"/>
    <w:rsid w:val="00420305"/>
    <w:rsid w:val="004205B4"/>
    <w:rsid w:val="00421B1C"/>
    <w:rsid w:val="0042243B"/>
    <w:rsid w:val="00425FA3"/>
    <w:rsid w:val="00426873"/>
    <w:rsid w:val="00427911"/>
    <w:rsid w:val="00427B37"/>
    <w:rsid w:val="00431046"/>
    <w:rsid w:val="004324DE"/>
    <w:rsid w:val="00432794"/>
    <w:rsid w:val="00432AF3"/>
    <w:rsid w:val="00432E98"/>
    <w:rsid w:val="00433BD1"/>
    <w:rsid w:val="00435F75"/>
    <w:rsid w:val="004369AC"/>
    <w:rsid w:val="00437099"/>
    <w:rsid w:val="004375CF"/>
    <w:rsid w:val="00437745"/>
    <w:rsid w:val="00437D2C"/>
    <w:rsid w:val="00437E53"/>
    <w:rsid w:val="00437ED2"/>
    <w:rsid w:val="00443353"/>
    <w:rsid w:val="004433B3"/>
    <w:rsid w:val="00445F39"/>
    <w:rsid w:val="00446299"/>
    <w:rsid w:val="004466A1"/>
    <w:rsid w:val="00452120"/>
    <w:rsid w:val="00452FEC"/>
    <w:rsid w:val="00456362"/>
    <w:rsid w:val="004578A3"/>
    <w:rsid w:val="004578CE"/>
    <w:rsid w:val="00460C23"/>
    <w:rsid w:val="0046128B"/>
    <w:rsid w:val="004627F6"/>
    <w:rsid w:val="00463355"/>
    <w:rsid w:val="00464323"/>
    <w:rsid w:val="0046435C"/>
    <w:rsid w:val="00467FE1"/>
    <w:rsid w:val="00467FE8"/>
    <w:rsid w:val="00471462"/>
    <w:rsid w:val="0047156B"/>
    <w:rsid w:val="00471602"/>
    <w:rsid w:val="00472196"/>
    <w:rsid w:val="0047418D"/>
    <w:rsid w:val="0047468D"/>
    <w:rsid w:val="00474896"/>
    <w:rsid w:val="004750E3"/>
    <w:rsid w:val="0047553C"/>
    <w:rsid w:val="00476CBA"/>
    <w:rsid w:val="004770E3"/>
    <w:rsid w:val="00477909"/>
    <w:rsid w:val="004855F2"/>
    <w:rsid w:val="0048615A"/>
    <w:rsid w:val="00486A7C"/>
    <w:rsid w:val="00486F57"/>
    <w:rsid w:val="004870C2"/>
    <w:rsid w:val="0048790B"/>
    <w:rsid w:val="00492B79"/>
    <w:rsid w:val="00492FDA"/>
    <w:rsid w:val="0049351F"/>
    <w:rsid w:val="00494082"/>
    <w:rsid w:val="00495B28"/>
    <w:rsid w:val="00497571"/>
    <w:rsid w:val="004A09E0"/>
    <w:rsid w:val="004A1D6C"/>
    <w:rsid w:val="004A4326"/>
    <w:rsid w:val="004A45C4"/>
    <w:rsid w:val="004A4A1A"/>
    <w:rsid w:val="004A50A8"/>
    <w:rsid w:val="004A5A59"/>
    <w:rsid w:val="004A70DB"/>
    <w:rsid w:val="004B031F"/>
    <w:rsid w:val="004B193A"/>
    <w:rsid w:val="004B3DD9"/>
    <w:rsid w:val="004B5C6E"/>
    <w:rsid w:val="004B720B"/>
    <w:rsid w:val="004B739A"/>
    <w:rsid w:val="004C0F28"/>
    <w:rsid w:val="004C1688"/>
    <w:rsid w:val="004C1915"/>
    <w:rsid w:val="004C2D4A"/>
    <w:rsid w:val="004C3D15"/>
    <w:rsid w:val="004C3EC9"/>
    <w:rsid w:val="004C6359"/>
    <w:rsid w:val="004C63B8"/>
    <w:rsid w:val="004D0814"/>
    <w:rsid w:val="004D4E1E"/>
    <w:rsid w:val="004D70EA"/>
    <w:rsid w:val="004D70F2"/>
    <w:rsid w:val="004D7140"/>
    <w:rsid w:val="004D77E4"/>
    <w:rsid w:val="004E06FE"/>
    <w:rsid w:val="004E17EB"/>
    <w:rsid w:val="004E1C2C"/>
    <w:rsid w:val="004E2D1F"/>
    <w:rsid w:val="004E2D76"/>
    <w:rsid w:val="004E2DB9"/>
    <w:rsid w:val="004E340B"/>
    <w:rsid w:val="004E4043"/>
    <w:rsid w:val="004E43F7"/>
    <w:rsid w:val="004E646E"/>
    <w:rsid w:val="004F20BD"/>
    <w:rsid w:val="004F2D25"/>
    <w:rsid w:val="004F3890"/>
    <w:rsid w:val="004F3C43"/>
    <w:rsid w:val="004F4B9E"/>
    <w:rsid w:val="004F6D43"/>
    <w:rsid w:val="005018BD"/>
    <w:rsid w:val="00501F1D"/>
    <w:rsid w:val="00501F56"/>
    <w:rsid w:val="0050235A"/>
    <w:rsid w:val="0050247A"/>
    <w:rsid w:val="005065E3"/>
    <w:rsid w:val="00507B0C"/>
    <w:rsid w:val="00507B57"/>
    <w:rsid w:val="00507CDC"/>
    <w:rsid w:val="00515C73"/>
    <w:rsid w:val="00516140"/>
    <w:rsid w:val="005221AD"/>
    <w:rsid w:val="00527080"/>
    <w:rsid w:val="00527505"/>
    <w:rsid w:val="00527791"/>
    <w:rsid w:val="00530D4B"/>
    <w:rsid w:val="0053175F"/>
    <w:rsid w:val="00531A43"/>
    <w:rsid w:val="00531DC4"/>
    <w:rsid w:val="005321DA"/>
    <w:rsid w:val="0053329B"/>
    <w:rsid w:val="005340AE"/>
    <w:rsid w:val="005340E1"/>
    <w:rsid w:val="0053595D"/>
    <w:rsid w:val="0053621A"/>
    <w:rsid w:val="00536968"/>
    <w:rsid w:val="00536DE5"/>
    <w:rsid w:val="005371DF"/>
    <w:rsid w:val="005373FA"/>
    <w:rsid w:val="005409A8"/>
    <w:rsid w:val="005413C0"/>
    <w:rsid w:val="00541E63"/>
    <w:rsid w:val="00542C9C"/>
    <w:rsid w:val="00543370"/>
    <w:rsid w:val="00543C6E"/>
    <w:rsid w:val="00545A40"/>
    <w:rsid w:val="00550F9B"/>
    <w:rsid w:val="005513AC"/>
    <w:rsid w:val="0055282A"/>
    <w:rsid w:val="0055325C"/>
    <w:rsid w:val="005546C7"/>
    <w:rsid w:val="005550B2"/>
    <w:rsid w:val="005558F3"/>
    <w:rsid w:val="005564E1"/>
    <w:rsid w:val="00560D86"/>
    <w:rsid w:val="00562E9B"/>
    <w:rsid w:val="00564BB7"/>
    <w:rsid w:val="0056692F"/>
    <w:rsid w:val="005670DD"/>
    <w:rsid w:val="00567512"/>
    <w:rsid w:val="00570528"/>
    <w:rsid w:val="00570899"/>
    <w:rsid w:val="00570F9B"/>
    <w:rsid w:val="005718B7"/>
    <w:rsid w:val="00573AEC"/>
    <w:rsid w:val="00574BC5"/>
    <w:rsid w:val="00575F9C"/>
    <w:rsid w:val="00580E45"/>
    <w:rsid w:val="00581275"/>
    <w:rsid w:val="0058139C"/>
    <w:rsid w:val="00581E73"/>
    <w:rsid w:val="0058388B"/>
    <w:rsid w:val="00586952"/>
    <w:rsid w:val="00587D32"/>
    <w:rsid w:val="0059117C"/>
    <w:rsid w:val="0059131A"/>
    <w:rsid w:val="00592D69"/>
    <w:rsid w:val="00593870"/>
    <w:rsid w:val="00594D2D"/>
    <w:rsid w:val="00595E60"/>
    <w:rsid w:val="00596EF7"/>
    <w:rsid w:val="00596FD3"/>
    <w:rsid w:val="005A1C86"/>
    <w:rsid w:val="005A3575"/>
    <w:rsid w:val="005A54C3"/>
    <w:rsid w:val="005A6D65"/>
    <w:rsid w:val="005A7CDC"/>
    <w:rsid w:val="005B167F"/>
    <w:rsid w:val="005B1B09"/>
    <w:rsid w:val="005B2C12"/>
    <w:rsid w:val="005B43B9"/>
    <w:rsid w:val="005B45EE"/>
    <w:rsid w:val="005B46BC"/>
    <w:rsid w:val="005B744C"/>
    <w:rsid w:val="005C02C2"/>
    <w:rsid w:val="005C0FA6"/>
    <w:rsid w:val="005C2AF1"/>
    <w:rsid w:val="005C3110"/>
    <w:rsid w:val="005C3279"/>
    <w:rsid w:val="005C528E"/>
    <w:rsid w:val="005C52CF"/>
    <w:rsid w:val="005C5442"/>
    <w:rsid w:val="005D013A"/>
    <w:rsid w:val="005D1D03"/>
    <w:rsid w:val="005D42D6"/>
    <w:rsid w:val="005D5C3C"/>
    <w:rsid w:val="005D75CA"/>
    <w:rsid w:val="005E03B0"/>
    <w:rsid w:val="005E04BD"/>
    <w:rsid w:val="005E0C67"/>
    <w:rsid w:val="005E13C4"/>
    <w:rsid w:val="005E5DD9"/>
    <w:rsid w:val="005E6E2C"/>
    <w:rsid w:val="005E6EEF"/>
    <w:rsid w:val="005F05D7"/>
    <w:rsid w:val="005F4BEF"/>
    <w:rsid w:val="005F5251"/>
    <w:rsid w:val="005F57EE"/>
    <w:rsid w:val="005F7706"/>
    <w:rsid w:val="00601BA7"/>
    <w:rsid w:val="00602739"/>
    <w:rsid w:val="00602D21"/>
    <w:rsid w:val="006057E2"/>
    <w:rsid w:val="00607E1B"/>
    <w:rsid w:val="006110EE"/>
    <w:rsid w:val="00612DCB"/>
    <w:rsid w:val="006137E7"/>
    <w:rsid w:val="006142E8"/>
    <w:rsid w:val="00615C2B"/>
    <w:rsid w:val="00623537"/>
    <w:rsid w:val="006251F7"/>
    <w:rsid w:val="0062557E"/>
    <w:rsid w:val="006268E5"/>
    <w:rsid w:val="006269E6"/>
    <w:rsid w:val="006273DE"/>
    <w:rsid w:val="00630E59"/>
    <w:rsid w:val="00630F7C"/>
    <w:rsid w:val="00631974"/>
    <w:rsid w:val="00631FC3"/>
    <w:rsid w:val="0063208E"/>
    <w:rsid w:val="00632927"/>
    <w:rsid w:val="00632B09"/>
    <w:rsid w:val="00633A93"/>
    <w:rsid w:val="006344C3"/>
    <w:rsid w:val="0063545A"/>
    <w:rsid w:val="006425BE"/>
    <w:rsid w:val="00642FCB"/>
    <w:rsid w:val="006430BE"/>
    <w:rsid w:val="006445DE"/>
    <w:rsid w:val="00644D53"/>
    <w:rsid w:val="00644DA9"/>
    <w:rsid w:val="006465EF"/>
    <w:rsid w:val="00646A49"/>
    <w:rsid w:val="0065006E"/>
    <w:rsid w:val="00651D47"/>
    <w:rsid w:val="00651E49"/>
    <w:rsid w:val="006534F9"/>
    <w:rsid w:val="00654C84"/>
    <w:rsid w:val="0065551E"/>
    <w:rsid w:val="00655633"/>
    <w:rsid w:val="00655E19"/>
    <w:rsid w:val="00657E86"/>
    <w:rsid w:val="00660233"/>
    <w:rsid w:val="00660DE1"/>
    <w:rsid w:val="00660E03"/>
    <w:rsid w:val="006626B0"/>
    <w:rsid w:val="00662737"/>
    <w:rsid w:val="00664AD2"/>
    <w:rsid w:val="00664D44"/>
    <w:rsid w:val="0066661C"/>
    <w:rsid w:val="00671D1F"/>
    <w:rsid w:val="0067354F"/>
    <w:rsid w:val="00674F5C"/>
    <w:rsid w:val="00677798"/>
    <w:rsid w:val="0068154B"/>
    <w:rsid w:val="00684151"/>
    <w:rsid w:val="006852E6"/>
    <w:rsid w:val="00685B56"/>
    <w:rsid w:val="00685EA3"/>
    <w:rsid w:val="00692778"/>
    <w:rsid w:val="0069319E"/>
    <w:rsid w:val="006941A4"/>
    <w:rsid w:val="00694D57"/>
    <w:rsid w:val="006960D7"/>
    <w:rsid w:val="00696369"/>
    <w:rsid w:val="00696CA8"/>
    <w:rsid w:val="00697EF6"/>
    <w:rsid w:val="006A183E"/>
    <w:rsid w:val="006A2751"/>
    <w:rsid w:val="006A2B99"/>
    <w:rsid w:val="006A3095"/>
    <w:rsid w:val="006A4A2B"/>
    <w:rsid w:val="006A6283"/>
    <w:rsid w:val="006A7EA8"/>
    <w:rsid w:val="006B0BDC"/>
    <w:rsid w:val="006B120D"/>
    <w:rsid w:val="006B1D41"/>
    <w:rsid w:val="006B1F62"/>
    <w:rsid w:val="006B232B"/>
    <w:rsid w:val="006B28EE"/>
    <w:rsid w:val="006B4AD0"/>
    <w:rsid w:val="006B5075"/>
    <w:rsid w:val="006B6840"/>
    <w:rsid w:val="006B76D7"/>
    <w:rsid w:val="006B7AA3"/>
    <w:rsid w:val="006B7B4A"/>
    <w:rsid w:val="006C0561"/>
    <w:rsid w:val="006C0830"/>
    <w:rsid w:val="006C1543"/>
    <w:rsid w:val="006C29EF"/>
    <w:rsid w:val="006C2B1F"/>
    <w:rsid w:val="006C2FB6"/>
    <w:rsid w:val="006C4898"/>
    <w:rsid w:val="006C6431"/>
    <w:rsid w:val="006D2C02"/>
    <w:rsid w:val="006D2E1A"/>
    <w:rsid w:val="006D3718"/>
    <w:rsid w:val="006D4E3D"/>
    <w:rsid w:val="006D5784"/>
    <w:rsid w:val="006D63E0"/>
    <w:rsid w:val="006D76A0"/>
    <w:rsid w:val="006D7D6E"/>
    <w:rsid w:val="006E019D"/>
    <w:rsid w:val="006E147D"/>
    <w:rsid w:val="006E161D"/>
    <w:rsid w:val="006E5582"/>
    <w:rsid w:val="006E5966"/>
    <w:rsid w:val="006E5D52"/>
    <w:rsid w:val="006E60E7"/>
    <w:rsid w:val="006E70B4"/>
    <w:rsid w:val="006E7677"/>
    <w:rsid w:val="006E78F6"/>
    <w:rsid w:val="006F0BAD"/>
    <w:rsid w:val="006F2D4A"/>
    <w:rsid w:val="006F35CA"/>
    <w:rsid w:val="006F3FEF"/>
    <w:rsid w:val="006F5ABC"/>
    <w:rsid w:val="006F5DDC"/>
    <w:rsid w:val="006F7D66"/>
    <w:rsid w:val="00700394"/>
    <w:rsid w:val="00700BDB"/>
    <w:rsid w:val="007016D2"/>
    <w:rsid w:val="00702B64"/>
    <w:rsid w:val="00703C93"/>
    <w:rsid w:val="00703D7F"/>
    <w:rsid w:val="0070438D"/>
    <w:rsid w:val="0070598B"/>
    <w:rsid w:val="00706596"/>
    <w:rsid w:val="0070727A"/>
    <w:rsid w:val="00707682"/>
    <w:rsid w:val="00707E52"/>
    <w:rsid w:val="0071074C"/>
    <w:rsid w:val="00711A23"/>
    <w:rsid w:val="007121B1"/>
    <w:rsid w:val="00712AC3"/>
    <w:rsid w:val="00713C1F"/>
    <w:rsid w:val="00713D4C"/>
    <w:rsid w:val="007159CA"/>
    <w:rsid w:val="007163AA"/>
    <w:rsid w:val="00717826"/>
    <w:rsid w:val="00723650"/>
    <w:rsid w:val="0072384E"/>
    <w:rsid w:val="007300CB"/>
    <w:rsid w:val="00731A70"/>
    <w:rsid w:val="0073393A"/>
    <w:rsid w:val="00733A25"/>
    <w:rsid w:val="00734F15"/>
    <w:rsid w:val="00736287"/>
    <w:rsid w:val="0073628A"/>
    <w:rsid w:val="00737198"/>
    <w:rsid w:val="00737320"/>
    <w:rsid w:val="00741083"/>
    <w:rsid w:val="00741750"/>
    <w:rsid w:val="0074201F"/>
    <w:rsid w:val="00743626"/>
    <w:rsid w:val="00743938"/>
    <w:rsid w:val="00744BC0"/>
    <w:rsid w:val="00745670"/>
    <w:rsid w:val="00747424"/>
    <w:rsid w:val="00751F8F"/>
    <w:rsid w:val="00752440"/>
    <w:rsid w:val="00752D20"/>
    <w:rsid w:val="00753747"/>
    <w:rsid w:val="0075384A"/>
    <w:rsid w:val="0075444A"/>
    <w:rsid w:val="00754F00"/>
    <w:rsid w:val="00755748"/>
    <w:rsid w:val="007629E9"/>
    <w:rsid w:val="007629FE"/>
    <w:rsid w:val="00765211"/>
    <w:rsid w:val="00766754"/>
    <w:rsid w:val="00766F89"/>
    <w:rsid w:val="007678C8"/>
    <w:rsid w:val="007705B1"/>
    <w:rsid w:val="00771F47"/>
    <w:rsid w:val="00772EBD"/>
    <w:rsid w:val="0077303C"/>
    <w:rsid w:val="00775721"/>
    <w:rsid w:val="00775E44"/>
    <w:rsid w:val="00775EF5"/>
    <w:rsid w:val="00776E56"/>
    <w:rsid w:val="00777B8C"/>
    <w:rsid w:val="00780094"/>
    <w:rsid w:val="00780336"/>
    <w:rsid w:val="00781C51"/>
    <w:rsid w:val="0078365D"/>
    <w:rsid w:val="00783C78"/>
    <w:rsid w:val="00783D44"/>
    <w:rsid w:val="00784F2D"/>
    <w:rsid w:val="007858F5"/>
    <w:rsid w:val="00785CAA"/>
    <w:rsid w:val="0078698A"/>
    <w:rsid w:val="00786A32"/>
    <w:rsid w:val="0079150A"/>
    <w:rsid w:val="00791565"/>
    <w:rsid w:val="00791BD5"/>
    <w:rsid w:val="00791E7B"/>
    <w:rsid w:val="00792E28"/>
    <w:rsid w:val="007930AE"/>
    <w:rsid w:val="0079311B"/>
    <w:rsid w:val="0079466F"/>
    <w:rsid w:val="00794998"/>
    <w:rsid w:val="00794B96"/>
    <w:rsid w:val="00795380"/>
    <w:rsid w:val="007957C8"/>
    <w:rsid w:val="00796318"/>
    <w:rsid w:val="00796A7A"/>
    <w:rsid w:val="007A1C10"/>
    <w:rsid w:val="007A4752"/>
    <w:rsid w:val="007A7245"/>
    <w:rsid w:val="007B14C5"/>
    <w:rsid w:val="007B14E1"/>
    <w:rsid w:val="007B171C"/>
    <w:rsid w:val="007B17E5"/>
    <w:rsid w:val="007B19C3"/>
    <w:rsid w:val="007B2508"/>
    <w:rsid w:val="007B30E6"/>
    <w:rsid w:val="007B3EBE"/>
    <w:rsid w:val="007B5609"/>
    <w:rsid w:val="007B5F6C"/>
    <w:rsid w:val="007C2F8D"/>
    <w:rsid w:val="007C42E7"/>
    <w:rsid w:val="007C470E"/>
    <w:rsid w:val="007C5101"/>
    <w:rsid w:val="007C5406"/>
    <w:rsid w:val="007D01A6"/>
    <w:rsid w:val="007D0CBA"/>
    <w:rsid w:val="007D43B4"/>
    <w:rsid w:val="007D48E4"/>
    <w:rsid w:val="007D4D2C"/>
    <w:rsid w:val="007D547B"/>
    <w:rsid w:val="007D676C"/>
    <w:rsid w:val="007D7349"/>
    <w:rsid w:val="007D759C"/>
    <w:rsid w:val="007D7C93"/>
    <w:rsid w:val="007E00AB"/>
    <w:rsid w:val="007E07F8"/>
    <w:rsid w:val="007E45DC"/>
    <w:rsid w:val="007E57D2"/>
    <w:rsid w:val="007E667B"/>
    <w:rsid w:val="007E6D5F"/>
    <w:rsid w:val="007F0528"/>
    <w:rsid w:val="007F0B46"/>
    <w:rsid w:val="007F0CA1"/>
    <w:rsid w:val="007F10DC"/>
    <w:rsid w:val="007F3456"/>
    <w:rsid w:val="007F6687"/>
    <w:rsid w:val="0080163E"/>
    <w:rsid w:val="00801A87"/>
    <w:rsid w:val="008024DE"/>
    <w:rsid w:val="00802F62"/>
    <w:rsid w:val="00803999"/>
    <w:rsid w:val="0080559B"/>
    <w:rsid w:val="00806BAF"/>
    <w:rsid w:val="00807F50"/>
    <w:rsid w:val="008104DB"/>
    <w:rsid w:val="0081184A"/>
    <w:rsid w:val="00811E41"/>
    <w:rsid w:val="00812F3D"/>
    <w:rsid w:val="0081308F"/>
    <w:rsid w:val="00813DB2"/>
    <w:rsid w:val="0081436A"/>
    <w:rsid w:val="00815841"/>
    <w:rsid w:val="00816F8E"/>
    <w:rsid w:val="00817E1B"/>
    <w:rsid w:val="008223F8"/>
    <w:rsid w:val="0082329D"/>
    <w:rsid w:val="00823EC5"/>
    <w:rsid w:val="008249C7"/>
    <w:rsid w:val="00826815"/>
    <w:rsid w:val="00826F39"/>
    <w:rsid w:val="00827024"/>
    <w:rsid w:val="00833465"/>
    <w:rsid w:val="00835B16"/>
    <w:rsid w:val="00836346"/>
    <w:rsid w:val="008368B9"/>
    <w:rsid w:val="00836BE6"/>
    <w:rsid w:val="00836F27"/>
    <w:rsid w:val="0084049A"/>
    <w:rsid w:val="0084055C"/>
    <w:rsid w:val="008414AE"/>
    <w:rsid w:val="00841646"/>
    <w:rsid w:val="00842B39"/>
    <w:rsid w:val="00843D8B"/>
    <w:rsid w:val="00845181"/>
    <w:rsid w:val="008462B6"/>
    <w:rsid w:val="00846811"/>
    <w:rsid w:val="00846A17"/>
    <w:rsid w:val="00847979"/>
    <w:rsid w:val="008500B1"/>
    <w:rsid w:val="00850494"/>
    <w:rsid w:val="0085073C"/>
    <w:rsid w:val="00850A43"/>
    <w:rsid w:val="00852CEE"/>
    <w:rsid w:val="00853785"/>
    <w:rsid w:val="00854A8D"/>
    <w:rsid w:val="00855DAA"/>
    <w:rsid w:val="00857848"/>
    <w:rsid w:val="00861137"/>
    <w:rsid w:val="0086298F"/>
    <w:rsid w:val="00864000"/>
    <w:rsid w:val="00867236"/>
    <w:rsid w:val="008709C7"/>
    <w:rsid w:val="008728B7"/>
    <w:rsid w:val="00875810"/>
    <w:rsid w:val="00876B86"/>
    <w:rsid w:val="00877A51"/>
    <w:rsid w:val="00877E43"/>
    <w:rsid w:val="008832DC"/>
    <w:rsid w:val="008837F3"/>
    <w:rsid w:val="00883A72"/>
    <w:rsid w:val="00885330"/>
    <w:rsid w:val="00885E7B"/>
    <w:rsid w:val="00886043"/>
    <w:rsid w:val="00890295"/>
    <w:rsid w:val="008904F3"/>
    <w:rsid w:val="00891727"/>
    <w:rsid w:val="00893805"/>
    <w:rsid w:val="00893B79"/>
    <w:rsid w:val="00897645"/>
    <w:rsid w:val="00897933"/>
    <w:rsid w:val="00897FEF"/>
    <w:rsid w:val="008A14E4"/>
    <w:rsid w:val="008A159E"/>
    <w:rsid w:val="008A1877"/>
    <w:rsid w:val="008A2FB2"/>
    <w:rsid w:val="008A4446"/>
    <w:rsid w:val="008A6E0D"/>
    <w:rsid w:val="008A7337"/>
    <w:rsid w:val="008A7D9E"/>
    <w:rsid w:val="008B0F21"/>
    <w:rsid w:val="008B13A9"/>
    <w:rsid w:val="008B180C"/>
    <w:rsid w:val="008B19A4"/>
    <w:rsid w:val="008B1C58"/>
    <w:rsid w:val="008B36BA"/>
    <w:rsid w:val="008B382A"/>
    <w:rsid w:val="008B5ACA"/>
    <w:rsid w:val="008C0D62"/>
    <w:rsid w:val="008C1E91"/>
    <w:rsid w:val="008C3337"/>
    <w:rsid w:val="008C4203"/>
    <w:rsid w:val="008C475E"/>
    <w:rsid w:val="008C5CB9"/>
    <w:rsid w:val="008C6016"/>
    <w:rsid w:val="008C77CE"/>
    <w:rsid w:val="008D1097"/>
    <w:rsid w:val="008D2C79"/>
    <w:rsid w:val="008D39A6"/>
    <w:rsid w:val="008D4A96"/>
    <w:rsid w:val="008D4DE4"/>
    <w:rsid w:val="008D5D49"/>
    <w:rsid w:val="008D5DE6"/>
    <w:rsid w:val="008E0385"/>
    <w:rsid w:val="008E26CC"/>
    <w:rsid w:val="008E3146"/>
    <w:rsid w:val="008E31A0"/>
    <w:rsid w:val="008E423B"/>
    <w:rsid w:val="008E5B38"/>
    <w:rsid w:val="008F1636"/>
    <w:rsid w:val="008F18AE"/>
    <w:rsid w:val="008F2DA0"/>
    <w:rsid w:val="008F4271"/>
    <w:rsid w:val="008F4374"/>
    <w:rsid w:val="008F44EC"/>
    <w:rsid w:val="008F4D35"/>
    <w:rsid w:val="008F51D1"/>
    <w:rsid w:val="008F5737"/>
    <w:rsid w:val="008F57BD"/>
    <w:rsid w:val="008F6304"/>
    <w:rsid w:val="008F7353"/>
    <w:rsid w:val="00900B16"/>
    <w:rsid w:val="00900EEE"/>
    <w:rsid w:val="00902552"/>
    <w:rsid w:val="00903480"/>
    <w:rsid w:val="009039E7"/>
    <w:rsid w:val="00903B2E"/>
    <w:rsid w:val="00905470"/>
    <w:rsid w:val="009077E1"/>
    <w:rsid w:val="0091078F"/>
    <w:rsid w:val="00910B45"/>
    <w:rsid w:val="00912461"/>
    <w:rsid w:val="009132F5"/>
    <w:rsid w:val="00913DE6"/>
    <w:rsid w:val="0091469F"/>
    <w:rsid w:val="0091491F"/>
    <w:rsid w:val="00915125"/>
    <w:rsid w:val="00916332"/>
    <w:rsid w:val="009173C7"/>
    <w:rsid w:val="009174AF"/>
    <w:rsid w:val="00920F98"/>
    <w:rsid w:val="009219A3"/>
    <w:rsid w:val="00925ADF"/>
    <w:rsid w:val="00925B7B"/>
    <w:rsid w:val="009268D5"/>
    <w:rsid w:val="00926C91"/>
    <w:rsid w:val="00927556"/>
    <w:rsid w:val="00931178"/>
    <w:rsid w:val="00931F31"/>
    <w:rsid w:val="0093215F"/>
    <w:rsid w:val="009329A4"/>
    <w:rsid w:val="00933983"/>
    <w:rsid w:val="00934124"/>
    <w:rsid w:val="00934242"/>
    <w:rsid w:val="00937341"/>
    <w:rsid w:val="00940EC1"/>
    <w:rsid w:val="00941858"/>
    <w:rsid w:val="00942705"/>
    <w:rsid w:val="00942EFD"/>
    <w:rsid w:val="009440F2"/>
    <w:rsid w:val="00944608"/>
    <w:rsid w:val="00947D11"/>
    <w:rsid w:val="00947EA3"/>
    <w:rsid w:val="0095021B"/>
    <w:rsid w:val="00950C00"/>
    <w:rsid w:val="009517C1"/>
    <w:rsid w:val="00952E88"/>
    <w:rsid w:val="00953659"/>
    <w:rsid w:val="00956C71"/>
    <w:rsid w:val="009571E7"/>
    <w:rsid w:val="00960AC2"/>
    <w:rsid w:val="00963C03"/>
    <w:rsid w:val="00964F28"/>
    <w:rsid w:val="00965639"/>
    <w:rsid w:val="00965736"/>
    <w:rsid w:val="00965C44"/>
    <w:rsid w:val="00966050"/>
    <w:rsid w:val="00971175"/>
    <w:rsid w:val="00972350"/>
    <w:rsid w:val="009725C3"/>
    <w:rsid w:val="0097275A"/>
    <w:rsid w:val="00974CEC"/>
    <w:rsid w:val="00976406"/>
    <w:rsid w:val="0097663C"/>
    <w:rsid w:val="00977BDB"/>
    <w:rsid w:val="009804E3"/>
    <w:rsid w:val="0098141D"/>
    <w:rsid w:val="009817F0"/>
    <w:rsid w:val="009826D5"/>
    <w:rsid w:val="00982D3D"/>
    <w:rsid w:val="00983179"/>
    <w:rsid w:val="00984145"/>
    <w:rsid w:val="00984DB6"/>
    <w:rsid w:val="00987016"/>
    <w:rsid w:val="00992CC7"/>
    <w:rsid w:val="00993E73"/>
    <w:rsid w:val="00996FFE"/>
    <w:rsid w:val="0099795A"/>
    <w:rsid w:val="009A068E"/>
    <w:rsid w:val="009A0B79"/>
    <w:rsid w:val="009A2A8C"/>
    <w:rsid w:val="009A2EF2"/>
    <w:rsid w:val="009A5770"/>
    <w:rsid w:val="009A6F1E"/>
    <w:rsid w:val="009A76ED"/>
    <w:rsid w:val="009A7DF9"/>
    <w:rsid w:val="009B0899"/>
    <w:rsid w:val="009B08DC"/>
    <w:rsid w:val="009B0C2A"/>
    <w:rsid w:val="009B2F8C"/>
    <w:rsid w:val="009B3E86"/>
    <w:rsid w:val="009B58B7"/>
    <w:rsid w:val="009B7586"/>
    <w:rsid w:val="009C08ED"/>
    <w:rsid w:val="009C11A5"/>
    <w:rsid w:val="009C14FC"/>
    <w:rsid w:val="009C4C56"/>
    <w:rsid w:val="009C50DF"/>
    <w:rsid w:val="009C63DA"/>
    <w:rsid w:val="009C7248"/>
    <w:rsid w:val="009D0CF2"/>
    <w:rsid w:val="009D36BC"/>
    <w:rsid w:val="009D3CED"/>
    <w:rsid w:val="009D43BF"/>
    <w:rsid w:val="009D507E"/>
    <w:rsid w:val="009D68A5"/>
    <w:rsid w:val="009D68FC"/>
    <w:rsid w:val="009D7A64"/>
    <w:rsid w:val="009E0125"/>
    <w:rsid w:val="009E0688"/>
    <w:rsid w:val="009E1DD3"/>
    <w:rsid w:val="009E1E35"/>
    <w:rsid w:val="009E22ED"/>
    <w:rsid w:val="009E470F"/>
    <w:rsid w:val="009E516C"/>
    <w:rsid w:val="009E5720"/>
    <w:rsid w:val="009E5A56"/>
    <w:rsid w:val="009E60A1"/>
    <w:rsid w:val="009E6B58"/>
    <w:rsid w:val="009E7446"/>
    <w:rsid w:val="009F0675"/>
    <w:rsid w:val="009F0CB3"/>
    <w:rsid w:val="009F1EB6"/>
    <w:rsid w:val="009F1FD3"/>
    <w:rsid w:val="009F5E56"/>
    <w:rsid w:val="009F6059"/>
    <w:rsid w:val="009F61D3"/>
    <w:rsid w:val="009F774C"/>
    <w:rsid w:val="00A00E0C"/>
    <w:rsid w:val="00A00F1E"/>
    <w:rsid w:val="00A017E6"/>
    <w:rsid w:val="00A01897"/>
    <w:rsid w:val="00A0189A"/>
    <w:rsid w:val="00A07EA8"/>
    <w:rsid w:val="00A11A7E"/>
    <w:rsid w:val="00A11E4A"/>
    <w:rsid w:val="00A12078"/>
    <w:rsid w:val="00A12987"/>
    <w:rsid w:val="00A14F7F"/>
    <w:rsid w:val="00A157E8"/>
    <w:rsid w:val="00A16ACD"/>
    <w:rsid w:val="00A200C5"/>
    <w:rsid w:val="00A20E1B"/>
    <w:rsid w:val="00A231A8"/>
    <w:rsid w:val="00A238B1"/>
    <w:rsid w:val="00A23CA5"/>
    <w:rsid w:val="00A25559"/>
    <w:rsid w:val="00A2694B"/>
    <w:rsid w:val="00A27915"/>
    <w:rsid w:val="00A30E8B"/>
    <w:rsid w:val="00A315F2"/>
    <w:rsid w:val="00A31C24"/>
    <w:rsid w:val="00A34D52"/>
    <w:rsid w:val="00A353D6"/>
    <w:rsid w:val="00A3575E"/>
    <w:rsid w:val="00A36217"/>
    <w:rsid w:val="00A36F8E"/>
    <w:rsid w:val="00A438A7"/>
    <w:rsid w:val="00A4640D"/>
    <w:rsid w:val="00A50194"/>
    <w:rsid w:val="00A5216B"/>
    <w:rsid w:val="00A52477"/>
    <w:rsid w:val="00A52983"/>
    <w:rsid w:val="00A532B5"/>
    <w:rsid w:val="00A5342D"/>
    <w:rsid w:val="00A53789"/>
    <w:rsid w:val="00A53B40"/>
    <w:rsid w:val="00A54FB6"/>
    <w:rsid w:val="00A56DEB"/>
    <w:rsid w:val="00A60D68"/>
    <w:rsid w:val="00A612A6"/>
    <w:rsid w:val="00A63F79"/>
    <w:rsid w:val="00A659F7"/>
    <w:rsid w:val="00A6684A"/>
    <w:rsid w:val="00A66CB8"/>
    <w:rsid w:val="00A70361"/>
    <w:rsid w:val="00A705C7"/>
    <w:rsid w:val="00A70D37"/>
    <w:rsid w:val="00A7232E"/>
    <w:rsid w:val="00A752B6"/>
    <w:rsid w:val="00A76794"/>
    <w:rsid w:val="00A77B96"/>
    <w:rsid w:val="00A77F2E"/>
    <w:rsid w:val="00A81A30"/>
    <w:rsid w:val="00A81D53"/>
    <w:rsid w:val="00A81ED8"/>
    <w:rsid w:val="00A828F2"/>
    <w:rsid w:val="00A82CD9"/>
    <w:rsid w:val="00A82E2B"/>
    <w:rsid w:val="00A83829"/>
    <w:rsid w:val="00A83D51"/>
    <w:rsid w:val="00A86BCD"/>
    <w:rsid w:val="00A875DE"/>
    <w:rsid w:val="00A87C28"/>
    <w:rsid w:val="00A92EF1"/>
    <w:rsid w:val="00A96145"/>
    <w:rsid w:val="00A97BF7"/>
    <w:rsid w:val="00A97D76"/>
    <w:rsid w:val="00AA1C38"/>
    <w:rsid w:val="00AA322D"/>
    <w:rsid w:val="00AA3230"/>
    <w:rsid w:val="00AA3BB0"/>
    <w:rsid w:val="00AA44B2"/>
    <w:rsid w:val="00AA48DD"/>
    <w:rsid w:val="00AA5127"/>
    <w:rsid w:val="00AA5C1E"/>
    <w:rsid w:val="00AA693F"/>
    <w:rsid w:val="00AB0CD4"/>
    <w:rsid w:val="00AB2474"/>
    <w:rsid w:val="00AB2500"/>
    <w:rsid w:val="00AB3084"/>
    <w:rsid w:val="00AB3892"/>
    <w:rsid w:val="00AB401B"/>
    <w:rsid w:val="00AB42D4"/>
    <w:rsid w:val="00AB4BC8"/>
    <w:rsid w:val="00AB5607"/>
    <w:rsid w:val="00AB5F9D"/>
    <w:rsid w:val="00AB6241"/>
    <w:rsid w:val="00AB6752"/>
    <w:rsid w:val="00AB746E"/>
    <w:rsid w:val="00AC4018"/>
    <w:rsid w:val="00AC4D9C"/>
    <w:rsid w:val="00AC5826"/>
    <w:rsid w:val="00AC6989"/>
    <w:rsid w:val="00AD07A9"/>
    <w:rsid w:val="00AD0AFF"/>
    <w:rsid w:val="00AD116A"/>
    <w:rsid w:val="00AD34BA"/>
    <w:rsid w:val="00AD56E3"/>
    <w:rsid w:val="00AD58FF"/>
    <w:rsid w:val="00AD6AB3"/>
    <w:rsid w:val="00AD6BE9"/>
    <w:rsid w:val="00AD7BB9"/>
    <w:rsid w:val="00AE01AA"/>
    <w:rsid w:val="00AE0631"/>
    <w:rsid w:val="00AE09DF"/>
    <w:rsid w:val="00AE122E"/>
    <w:rsid w:val="00AE1717"/>
    <w:rsid w:val="00AE47CE"/>
    <w:rsid w:val="00AE53DD"/>
    <w:rsid w:val="00AE5D29"/>
    <w:rsid w:val="00AF2F6B"/>
    <w:rsid w:val="00AF4D9B"/>
    <w:rsid w:val="00AF61C6"/>
    <w:rsid w:val="00AF7807"/>
    <w:rsid w:val="00B00969"/>
    <w:rsid w:val="00B00D21"/>
    <w:rsid w:val="00B02ACB"/>
    <w:rsid w:val="00B03BA4"/>
    <w:rsid w:val="00B05F9D"/>
    <w:rsid w:val="00B061BF"/>
    <w:rsid w:val="00B07A78"/>
    <w:rsid w:val="00B10C97"/>
    <w:rsid w:val="00B10E07"/>
    <w:rsid w:val="00B1112C"/>
    <w:rsid w:val="00B112BF"/>
    <w:rsid w:val="00B12DBC"/>
    <w:rsid w:val="00B13788"/>
    <w:rsid w:val="00B14572"/>
    <w:rsid w:val="00B14CFF"/>
    <w:rsid w:val="00B14E0A"/>
    <w:rsid w:val="00B152B8"/>
    <w:rsid w:val="00B17477"/>
    <w:rsid w:val="00B206B0"/>
    <w:rsid w:val="00B207FC"/>
    <w:rsid w:val="00B20CBB"/>
    <w:rsid w:val="00B214DA"/>
    <w:rsid w:val="00B21C9E"/>
    <w:rsid w:val="00B24236"/>
    <w:rsid w:val="00B252C4"/>
    <w:rsid w:val="00B27D65"/>
    <w:rsid w:val="00B324EF"/>
    <w:rsid w:val="00B33020"/>
    <w:rsid w:val="00B33096"/>
    <w:rsid w:val="00B358C5"/>
    <w:rsid w:val="00B35A22"/>
    <w:rsid w:val="00B35F55"/>
    <w:rsid w:val="00B36374"/>
    <w:rsid w:val="00B36D08"/>
    <w:rsid w:val="00B37C00"/>
    <w:rsid w:val="00B405F5"/>
    <w:rsid w:val="00B41690"/>
    <w:rsid w:val="00B418B3"/>
    <w:rsid w:val="00B4382D"/>
    <w:rsid w:val="00B4550C"/>
    <w:rsid w:val="00B45C45"/>
    <w:rsid w:val="00B46C68"/>
    <w:rsid w:val="00B511A4"/>
    <w:rsid w:val="00B52F50"/>
    <w:rsid w:val="00B52F7C"/>
    <w:rsid w:val="00B54C3D"/>
    <w:rsid w:val="00B55253"/>
    <w:rsid w:val="00B57405"/>
    <w:rsid w:val="00B625EB"/>
    <w:rsid w:val="00B7092B"/>
    <w:rsid w:val="00B71BE1"/>
    <w:rsid w:val="00B71D9B"/>
    <w:rsid w:val="00B72385"/>
    <w:rsid w:val="00B742AB"/>
    <w:rsid w:val="00B75B23"/>
    <w:rsid w:val="00B75F86"/>
    <w:rsid w:val="00B76A7B"/>
    <w:rsid w:val="00B7787D"/>
    <w:rsid w:val="00B77CBB"/>
    <w:rsid w:val="00B81501"/>
    <w:rsid w:val="00B817F9"/>
    <w:rsid w:val="00B81B0D"/>
    <w:rsid w:val="00B8214A"/>
    <w:rsid w:val="00B8354E"/>
    <w:rsid w:val="00B8394F"/>
    <w:rsid w:val="00B845A0"/>
    <w:rsid w:val="00B85590"/>
    <w:rsid w:val="00B86089"/>
    <w:rsid w:val="00B863C5"/>
    <w:rsid w:val="00B86697"/>
    <w:rsid w:val="00B91AA8"/>
    <w:rsid w:val="00B92099"/>
    <w:rsid w:val="00B933C1"/>
    <w:rsid w:val="00B93B3C"/>
    <w:rsid w:val="00B9569A"/>
    <w:rsid w:val="00B96485"/>
    <w:rsid w:val="00B9745A"/>
    <w:rsid w:val="00BA0013"/>
    <w:rsid w:val="00BA04D2"/>
    <w:rsid w:val="00BA138F"/>
    <w:rsid w:val="00BA15BA"/>
    <w:rsid w:val="00BA268E"/>
    <w:rsid w:val="00BA3CC4"/>
    <w:rsid w:val="00BA5791"/>
    <w:rsid w:val="00BA5DD9"/>
    <w:rsid w:val="00BA5E75"/>
    <w:rsid w:val="00BA6296"/>
    <w:rsid w:val="00BA6F71"/>
    <w:rsid w:val="00BA7271"/>
    <w:rsid w:val="00BB1085"/>
    <w:rsid w:val="00BB19B7"/>
    <w:rsid w:val="00BB1DA3"/>
    <w:rsid w:val="00BB2266"/>
    <w:rsid w:val="00BB2F50"/>
    <w:rsid w:val="00BB4265"/>
    <w:rsid w:val="00BB4DF9"/>
    <w:rsid w:val="00BB4F40"/>
    <w:rsid w:val="00BB533E"/>
    <w:rsid w:val="00BB595E"/>
    <w:rsid w:val="00BB6F10"/>
    <w:rsid w:val="00BB6F23"/>
    <w:rsid w:val="00BC0054"/>
    <w:rsid w:val="00BC0ADD"/>
    <w:rsid w:val="00BC155C"/>
    <w:rsid w:val="00BC1F04"/>
    <w:rsid w:val="00BC2AEB"/>
    <w:rsid w:val="00BC2D91"/>
    <w:rsid w:val="00BC381E"/>
    <w:rsid w:val="00BC559B"/>
    <w:rsid w:val="00BC5866"/>
    <w:rsid w:val="00BD09CF"/>
    <w:rsid w:val="00BD668D"/>
    <w:rsid w:val="00BE030F"/>
    <w:rsid w:val="00BE24C9"/>
    <w:rsid w:val="00BE31F0"/>
    <w:rsid w:val="00BE465E"/>
    <w:rsid w:val="00BE5A1F"/>
    <w:rsid w:val="00BE6BD3"/>
    <w:rsid w:val="00BF22FA"/>
    <w:rsid w:val="00BF2F27"/>
    <w:rsid w:val="00BF686C"/>
    <w:rsid w:val="00BF7C85"/>
    <w:rsid w:val="00C007F3"/>
    <w:rsid w:val="00C01379"/>
    <w:rsid w:val="00C03235"/>
    <w:rsid w:val="00C038FD"/>
    <w:rsid w:val="00C03D43"/>
    <w:rsid w:val="00C044E2"/>
    <w:rsid w:val="00C056EB"/>
    <w:rsid w:val="00C069F0"/>
    <w:rsid w:val="00C1100C"/>
    <w:rsid w:val="00C1211B"/>
    <w:rsid w:val="00C12FD2"/>
    <w:rsid w:val="00C13B8C"/>
    <w:rsid w:val="00C16597"/>
    <w:rsid w:val="00C21AE5"/>
    <w:rsid w:val="00C21D16"/>
    <w:rsid w:val="00C23217"/>
    <w:rsid w:val="00C24454"/>
    <w:rsid w:val="00C25C76"/>
    <w:rsid w:val="00C25D99"/>
    <w:rsid w:val="00C269AF"/>
    <w:rsid w:val="00C27EEC"/>
    <w:rsid w:val="00C30079"/>
    <w:rsid w:val="00C30F96"/>
    <w:rsid w:val="00C31D19"/>
    <w:rsid w:val="00C3287E"/>
    <w:rsid w:val="00C35536"/>
    <w:rsid w:val="00C35916"/>
    <w:rsid w:val="00C365A3"/>
    <w:rsid w:val="00C40318"/>
    <w:rsid w:val="00C41CC6"/>
    <w:rsid w:val="00C41E35"/>
    <w:rsid w:val="00C42CA7"/>
    <w:rsid w:val="00C43226"/>
    <w:rsid w:val="00C44009"/>
    <w:rsid w:val="00C460E3"/>
    <w:rsid w:val="00C47100"/>
    <w:rsid w:val="00C47CDB"/>
    <w:rsid w:val="00C5107D"/>
    <w:rsid w:val="00C529E5"/>
    <w:rsid w:val="00C52D5D"/>
    <w:rsid w:val="00C53215"/>
    <w:rsid w:val="00C53601"/>
    <w:rsid w:val="00C5431D"/>
    <w:rsid w:val="00C543C2"/>
    <w:rsid w:val="00C57C87"/>
    <w:rsid w:val="00C60112"/>
    <w:rsid w:val="00C611C9"/>
    <w:rsid w:val="00C6238E"/>
    <w:rsid w:val="00C62DC2"/>
    <w:rsid w:val="00C6332D"/>
    <w:rsid w:val="00C64CCE"/>
    <w:rsid w:val="00C66973"/>
    <w:rsid w:val="00C669FC"/>
    <w:rsid w:val="00C725D1"/>
    <w:rsid w:val="00C736ED"/>
    <w:rsid w:val="00C75AE2"/>
    <w:rsid w:val="00C768F0"/>
    <w:rsid w:val="00C7790F"/>
    <w:rsid w:val="00C80DB7"/>
    <w:rsid w:val="00C82357"/>
    <w:rsid w:val="00C827F3"/>
    <w:rsid w:val="00C827FB"/>
    <w:rsid w:val="00C831AB"/>
    <w:rsid w:val="00C87657"/>
    <w:rsid w:val="00C87B1E"/>
    <w:rsid w:val="00C90A81"/>
    <w:rsid w:val="00C92947"/>
    <w:rsid w:val="00C92B91"/>
    <w:rsid w:val="00C93242"/>
    <w:rsid w:val="00C933E3"/>
    <w:rsid w:val="00C93ABE"/>
    <w:rsid w:val="00C9472F"/>
    <w:rsid w:val="00C94BB8"/>
    <w:rsid w:val="00C94C55"/>
    <w:rsid w:val="00C952C6"/>
    <w:rsid w:val="00C964AA"/>
    <w:rsid w:val="00C96959"/>
    <w:rsid w:val="00CA0A92"/>
    <w:rsid w:val="00CA10BA"/>
    <w:rsid w:val="00CA140F"/>
    <w:rsid w:val="00CA16F6"/>
    <w:rsid w:val="00CA1EBA"/>
    <w:rsid w:val="00CA2418"/>
    <w:rsid w:val="00CA3293"/>
    <w:rsid w:val="00CA533C"/>
    <w:rsid w:val="00CA61CE"/>
    <w:rsid w:val="00CB022C"/>
    <w:rsid w:val="00CB0D81"/>
    <w:rsid w:val="00CB0E73"/>
    <w:rsid w:val="00CB2574"/>
    <w:rsid w:val="00CB44AB"/>
    <w:rsid w:val="00CB504E"/>
    <w:rsid w:val="00CB5AA5"/>
    <w:rsid w:val="00CC080D"/>
    <w:rsid w:val="00CC1049"/>
    <w:rsid w:val="00CC2EFE"/>
    <w:rsid w:val="00CC4B14"/>
    <w:rsid w:val="00CC4BA4"/>
    <w:rsid w:val="00CC6CDC"/>
    <w:rsid w:val="00CC6D08"/>
    <w:rsid w:val="00CC72E8"/>
    <w:rsid w:val="00CC79D6"/>
    <w:rsid w:val="00CC7E42"/>
    <w:rsid w:val="00CD13A6"/>
    <w:rsid w:val="00CD3B77"/>
    <w:rsid w:val="00CD4AAE"/>
    <w:rsid w:val="00CD52B9"/>
    <w:rsid w:val="00CD5A4B"/>
    <w:rsid w:val="00CE065D"/>
    <w:rsid w:val="00CE18C9"/>
    <w:rsid w:val="00CE2EF9"/>
    <w:rsid w:val="00CE37C6"/>
    <w:rsid w:val="00CE3EA3"/>
    <w:rsid w:val="00CE4274"/>
    <w:rsid w:val="00CE6788"/>
    <w:rsid w:val="00CE6999"/>
    <w:rsid w:val="00CE70F9"/>
    <w:rsid w:val="00CF1047"/>
    <w:rsid w:val="00CF16E3"/>
    <w:rsid w:val="00CF3896"/>
    <w:rsid w:val="00CF3AE3"/>
    <w:rsid w:val="00CF5283"/>
    <w:rsid w:val="00CF765D"/>
    <w:rsid w:val="00D00868"/>
    <w:rsid w:val="00D02BF3"/>
    <w:rsid w:val="00D063F5"/>
    <w:rsid w:val="00D06892"/>
    <w:rsid w:val="00D10285"/>
    <w:rsid w:val="00D10FE0"/>
    <w:rsid w:val="00D118B1"/>
    <w:rsid w:val="00D12500"/>
    <w:rsid w:val="00D132FC"/>
    <w:rsid w:val="00D137F5"/>
    <w:rsid w:val="00D146C5"/>
    <w:rsid w:val="00D14707"/>
    <w:rsid w:val="00D16A3C"/>
    <w:rsid w:val="00D20440"/>
    <w:rsid w:val="00D2217E"/>
    <w:rsid w:val="00D23650"/>
    <w:rsid w:val="00D23B99"/>
    <w:rsid w:val="00D275C0"/>
    <w:rsid w:val="00D30DC5"/>
    <w:rsid w:val="00D31198"/>
    <w:rsid w:val="00D31E4F"/>
    <w:rsid w:val="00D333CE"/>
    <w:rsid w:val="00D3390B"/>
    <w:rsid w:val="00D345F7"/>
    <w:rsid w:val="00D3478F"/>
    <w:rsid w:val="00D351E4"/>
    <w:rsid w:val="00D35546"/>
    <w:rsid w:val="00D35B27"/>
    <w:rsid w:val="00D3766A"/>
    <w:rsid w:val="00D37C5A"/>
    <w:rsid w:val="00D37E33"/>
    <w:rsid w:val="00D40650"/>
    <w:rsid w:val="00D40987"/>
    <w:rsid w:val="00D41BF9"/>
    <w:rsid w:val="00D41C90"/>
    <w:rsid w:val="00D41C9A"/>
    <w:rsid w:val="00D42E79"/>
    <w:rsid w:val="00D43333"/>
    <w:rsid w:val="00D43607"/>
    <w:rsid w:val="00D43A3A"/>
    <w:rsid w:val="00D43A67"/>
    <w:rsid w:val="00D46971"/>
    <w:rsid w:val="00D46FA3"/>
    <w:rsid w:val="00D47B78"/>
    <w:rsid w:val="00D50D81"/>
    <w:rsid w:val="00D51BA3"/>
    <w:rsid w:val="00D52EE3"/>
    <w:rsid w:val="00D53C64"/>
    <w:rsid w:val="00D541C9"/>
    <w:rsid w:val="00D54931"/>
    <w:rsid w:val="00D5510F"/>
    <w:rsid w:val="00D55560"/>
    <w:rsid w:val="00D55EFA"/>
    <w:rsid w:val="00D56409"/>
    <w:rsid w:val="00D57017"/>
    <w:rsid w:val="00D606C9"/>
    <w:rsid w:val="00D60855"/>
    <w:rsid w:val="00D616F5"/>
    <w:rsid w:val="00D64BAD"/>
    <w:rsid w:val="00D66027"/>
    <w:rsid w:val="00D6718F"/>
    <w:rsid w:val="00D706B0"/>
    <w:rsid w:val="00D70FE8"/>
    <w:rsid w:val="00D71E04"/>
    <w:rsid w:val="00D72F24"/>
    <w:rsid w:val="00D736F1"/>
    <w:rsid w:val="00D739D8"/>
    <w:rsid w:val="00D73B68"/>
    <w:rsid w:val="00D761F7"/>
    <w:rsid w:val="00D77098"/>
    <w:rsid w:val="00D776DC"/>
    <w:rsid w:val="00D77D81"/>
    <w:rsid w:val="00D8385D"/>
    <w:rsid w:val="00D84D4A"/>
    <w:rsid w:val="00D85529"/>
    <w:rsid w:val="00D874D8"/>
    <w:rsid w:val="00D8750B"/>
    <w:rsid w:val="00D9008E"/>
    <w:rsid w:val="00D90CE8"/>
    <w:rsid w:val="00D94F5D"/>
    <w:rsid w:val="00D97169"/>
    <w:rsid w:val="00D97379"/>
    <w:rsid w:val="00DA004F"/>
    <w:rsid w:val="00DA218D"/>
    <w:rsid w:val="00DA315A"/>
    <w:rsid w:val="00DA34A5"/>
    <w:rsid w:val="00DA3792"/>
    <w:rsid w:val="00DA51B6"/>
    <w:rsid w:val="00DA539B"/>
    <w:rsid w:val="00DA61F4"/>
    <w:rsid w:val="00DA654B"/>
    <w:rsid w:val="00DA6C4A"/>
    <w:rsid w:val="00DA6F37"/>
    <w:rsid w:val="00DB073C"/>
    <w:rsid w:val="00DB21F9"/>
    <w:rsid w:val="00DB4229"/>
    <w:rsid w:val="00DB5871"/>
    <w:rsid w:val="00DB6BF2"/>
    <w:rsid w:val="00DB6D27"/>
    <w:rsid w:val="00DC0986"/>
    <w:rsid w:val="00DC0AF9"/>
    <w:rsid w:val="00DC2778"/>
    <w:rsid w:val="00DC2CE5"/>
    <w:rsid w:val="00DC2D42"/>
    <w:rsid w:val="00DC3022"/>
    <w:rsid w:val="00DC3E0B"/>
    <w:rsid w:val="00DC4540"/>
    <w:rsid w:val="00DC5AB9"/>
    <w:rsid w:val="00DC5F7A"/>
    <w:rsid w:val="00DC64D7"/>
    <w:rsid w:val="00DC6E9D"/>
    <w:rsid w:val="00DD057C"/>
    <w:rsid w:val="00DD06CC"/>
    <w:rsid w:val="00DD1734"/>
    <w:rsid w:val="00DD186C"/>
    <w:rsid w:val="00DD1E00"/>
    <w:rsid w:val="00DD48AD"/>
    <w:rsid w:val="00DD56E0"/>
    <w:rsid w:val="00DD7803"/>
    <w:rsid w:val="00DE041D"/>
    <w:rsid w:val="00DE0CF7"/>
    <w:rsid w:val="00DE18A3"/>
    <w:rsid w:val="00DE2D22"/>
    <w:rsid w:val="00DE3128"/>
    <w:rsid w:val="00DE415F"/>
    <w:rsid w:val="00DE568F"/>
    <w:rsid w:val="00DE60DA"/>
    <w:rsid w:val="00DF049E"/>
    <w:rsid w:val="00DF0F6A"/>
    <w:rsid w:val="00DF0F89"/>
    <w:rsid w:val="00DF147B"/>
    <w:rsid w:val="00DF2EEB"/>
    <w:rsid w:val="00DF4325"/>
    <w:rsid w:val="00DF4803"/>
    <w:rsid w:val="00DF55F7"/>
    <w:rsid w:val="00E00EF7"/>
    <w:rsid w:val="00E0676C"/>
    <w:rsid w:val="00E0760F"/>
    <w:rsid w:val="00E10CEF"/>
    <w:rsid w:val="00E1473E"/>
    <w:rsid w:val="00E15055"/>
    <w:rsid w:val="00E1589C"/>
    <w:rsid w:val="00E16481"/>
    <w:rsid w:val="00E1651C"/>
    <w:rsid w:val="00E16B90"/>
    <w:rsid w:val="00E17175"/>
    <w:rsid w:val="00E20884"/>
    <w:rsid w:val="00E22DE8"/>
    <w:rsid w:val="00E25919"/>
    <w:rsid w:val="00E26E9C"/>
    <w:rsid w:val="00E271FB"/>
    <w:rsid w:val="00E276F9"/>
    <w:rsid w:val="00E300BB"/>
    <w:rsid w:val="00E30108"/>
    <w:rsid w:val="00E30726"/>
    <w:rsid w:val="00E309BB"/>
    <w:rsid w:val="00E31A16"/>
    <w:rsid w:val="00E31A8E"/>
    <w:rsid w:val="00E31C5B"/>
    <w:rsid w:val="00E331EC"/>
    <w:rsid w:val="00E339D2"/>
    <w:rsid w:val="00E34E6F"/>
    <w:rsid w:val="00E35171"/>
    <w:rsid w:val="00E35312"/>
    <w:rsid w:val="00E4047D"/>
    <w:rsid w:val="00E4168A"/>
    <w:rsid w:val="00E44072"/>
    <w:rsid w:val="00E44A2B"/>
    <w:rsid w:val="00E4592D"/>
    <w:rsid w:val="00E46687"/>
    <w:rsid w:val="00E4735C"/>
    <w:rsid w:val="00E506BF"/>
    <w:rsid w:val="00E50A26"/>
    <w:rsid w:val="00E50D4A"/>
    <w:rsid w:val="00E52F9D"/>
    <w:rsid w:val="00E53177"/>
    <w:rsid w:val="00E53BCD"/>
    <w:rsid w:val="00E54DEE"/>
    <w:rsid w:val="00E54E76"/>
    <w:rsid w:val="00E55058"/>
    <w:rsid w:val="00E55317"/>
    <w:rsid w:val="00E55BB6"/>
    <w:rsid w:val="00E56626"/>
    <w:rsid w:val="00E60586"/>
    <w:rsid w:val="00E6077F"/>
    <w:rsid w:val="00E61A36"/>
    <w:rsid w:val="00E61DFA"/>
    <w:rsid w:val="00E62721"/>
    <w:rsid w:val="00E62CC5"/>
    <w:rsid w:val="00E630A4"/>
    <w:rsid w:val="00E6330D"/>
    <w:rsid w:val="00E66028"/>
    <w:rsid w:val="00E664D0"/>
    <w:rsid w:val="00E712A3"/>
    <w:rsid w:val="00E74D38"/>
    <w:rsid w:val="00E757F2"/>
    <w:rsid w:val="00E75E07"/>
    <w:rsid w:val="00E7606E"/>
    <w:rsid w:val="00E76494"/>
    <w:rsid w:val="00E765B7"/>
    <w:rsid w:val="00E7688A"/>
    <w:rsid w:val="00E772E0"/>
    <w:rsid w:val="00E80943"/>
    <w:rsid w:val="00E809E9"/>
    <w:rsid w:val="00E82C8F"/>
    <w:rsid w:val="00E85ADF"/>
    <w:rsid w:val="00E878C7"/>
    <w:rsid w:val="00E87DA1"/>
    <w:rsid w:val="00E87F54"/>
    <w:rsid w:val="00E96E43"/>
    <w:rsid w:val="00EA1945"/>
    <w:rsid w:val="00EA3556"/>
    <w:rsid w:val="00EA39CA"/>
    <w:rsid w:val="00EA5471"/>
    <w:rsid w:val="00EA582C"/>
    <w:rsid w:val="00EB0F3A"/>
    <w:rsid w:val="00EB25AA"/>
    <w:rsid w:val="00EB2FE6"/>
    <w:rsid w:val="00EB6875"/>
    <w:rsid w:val="00EB6CB2"/>
    <w:rsid w:val="00EB7184"/>
    <w:rsid w:val="00EB7333"/>
    <w:rsid w:val="00EB7835"/>
    <w:rsid w:val="00EB78B5"/>
    <w:rsid w:val="00EB79E8"/>
    <w:rsid w:val="00EC00E0"/>
    <w:rsid w:val="00EC259B"/>
    <w:rsid w:val="00EC2FE2"/>
    <w:rsid w:val="00EC33FC"/>
    <w:rsid w:val="00EC475A"/>
    <w:rsid w:val="00EC497A"/>
    <w:rsid w:val="00EC4C42"/>
    <w:rsid w:val="00EC5E6A"/>
    <w:rsid w:val="00EC6A72"/>
    <w:rsid w:val="00EC6EB3"/>
    <w:rsid w:val="00EC7D99"/>
    <w:rsid w:val="00ED038C"/>
    <w:rsid w:val="00ED1B7C"/>
    <w:rsid w:val="00ED550F"/>
    <w:rsid w:val="00ED6404"/>
    <w:rsid w:val="00EE0E34"/>
    <w:rsid w:val="00EE1196"/>
    <w:rsid w:val="00EE3E90"/>
    <w:rsid w:val="00EE4AF7"/>
    <w:rsid w:val="00EE7339"/>
    <w:rsid w:val="00EE7839"/>
    <w:rsid w:val="00EF1091"/>
    <w:rsid w:val="00EF4AB9"/>
    <w:rsid w:val="00EF6093"/>
    <w:rsid w:val="00EF74B5"/>
    <w:rsid w:val="00F00BF7"/>
    <w:rsid w:val="00F010D5"/>
    <w:rsid w:val="00F01CCF"/>
    <w:rsid w:val="00F02292"/>
    <w:rsid w:val="00F0255E"/>
    <w:rsid w:val="00F02DE4"/>
    <w:rsid w:val="00F045FD"/>
    <w:rsid w:val="00F05101"/>
    <w:rsid w:val="00F052BB"/>
    <w:rsid w:val="00F05A71"/>
    <w:rsid w:val="00F062B7"/>
    <w:rsid w:val="00F06E95"/>
    <w:rsid w:val="00F1019F"/>
    <w:rsid w:val="00F10F81"/>
    <w:rsid w:val="00F12EC9"/>
    <w:rsid w:val="00F133DF"/>
    <w:rsid w:val="00F13A9F"/>
    <w:rsid w:val="00F14F29"/>
    <w:rsid w:val="00F15725"/>
    <w:rsid w:val="00F165EE"/>
    <w:rsid w:val="00F16B24"/>
    <w:rsid w:val="00F16D60"/>
    <w:rsid w:val="00F1736B"/>
    <w:rsid w:val="00F20C09"/>
    <w:rsid w:val="00F21FEB"/>
    <w:rsid w:val="00F22A6A"/>
    <w:rsid w:val="00F22D4A"/>
    <w:rsid w:val="00F22D84"/>
    <w:rsid w:val="00F2747D"/>
    <w:rsid w:val="00F2791B"/>
    <w:rsid w:val="00F27FD6"/>
    <w:rsid w:val="00F30FD2"/>
    <w:rsid w:val="00F321F0"/>
    <w:rsid w:val="00F32910"/>
    <w:rsid w:val="00F336B9"/>
    <w:rsid w:val="00F33F75"/>
    <w:rsid w:val="00F35602"/>
    <w:rsid w:val="00F364A1"/>
    <w:rsid w:val="00F3672F"/>
    <w:rsid w:val="00F36F3E"/>
    <w:rsid w:val="00F370CD"/>
    <w:rsid w:val="00F4062D"/>
    <w:rsid w:val="00F41A2B"/>
    <w:rsid w:val="00F440EE"/>
    <w:rsid w:val="00F44CB1"/>
    <w:rsid w:val="00F4584F"/>
    <w:rsid w:val="00F50097"/>
    <w:rsid w:val="00F51D26"/>
    <w:rsid w:val="00F53AE6"/>
    <w:rsid w:val="00F54557"/>
    <w:rsid w:val="00F5467C"/>
    <w:rsid w:val="00F562DD"/>
    <w:rsid w:val="00F60663"/>
    <w:rsid w:val="00F61256"/>
    <w:rsid w:val="00F62118"/>
    <w:rsid w:val="00F64575"/>
    <w:rsid w:val="00F654DD"/>
    <w:rsid w:val="00F65A50"/>
    <w:rsid w:val="00F65BC8"/>
    <w:rsid w:val="00F66717"/>
    <w:rsid w:val="00F66879"/>
    <w:rsid w:val="00F668E8"/>
    <w:rsid w:val="00F70D86"/>
    <w:rsid w:val="00F717CD"/>
    <w:rsid w:val="00F72B6A"/>
    <w:rsid w:val="00F75C23"/>
    <w:rsid w:val="00F75F1A"/>
    <w:rsid w:val="00F76FB3"/>
    <w:rsid w:val="00F8102A"/>
    <w:rsid w:val="00F82499"/>
    <w:rsid w:val="00F8261D"/>
    <w:rsid w:val="00F84175"/>
    <w:rsid w:val="00F84387"/>
    <w:rsid w:val="00F856F5"/>
    <w:rsid w:val="00F907BD"/>
    <w:rsid w:val="00F9150D"/>
    <w:rsid w:val="00F9280A"/>
    <w:rsid w:val="00F957BF"/>
    <w:rsid w:val="00F96D1F"/>
    <w:rsid w:val="00FA126E"/>
    <w:rsid w:val="00FA3781"/>
    <w:rsid w:val="00FA3BBF"/>
    <w:rsid w:val="00FA5140"/>
    <w:rsid w:val="00FA6775"/>
    <w:rsid w:val="00FA7E41"/>
    <w:rsid w:val="00FB0310"/>
    <w:rsid w:val="00FB1410"/>
    <w:rsid w:val="00FB1E26"/>
    <w:rsid w:val="00FB2130"/>
    <w:rsid w:val="00FB21B3"/>
    <w:rsid w:val="00FB2979"/>
    <w:rsid w:val="00FB2DA4"/>
    <w:rsid w:val="00FB4FDC"/>
    <w:rsid w:val="00FB6744"/>
    <w:rsid w:val="00FB6F35"/>
    <w:rsid w:val="00FB7309"/>
    <w:rsid w:val="00FC0497"/>
    <w:rsid w:val="00FC0631"/>
    <w:rsid w:val="00FC0A1D"/>
    <w:rsid w:val="00FC36ED"/>
    <w:rsid w:val="00FC5EE4"/>
    <w:rsid w:val="00FC6A17"/>
    <w:rsid w:val="00FC7465"/>
    <w:rsid w:val="00FC74E0"/>
    <w:rsid w:val="00FD146F"/>
    <w:rsid w:val="00FD1B8D"/>
    <w:rsid w:val="00FD28F0"/>
    <w:rsid w:val="00FD3453"/>
    <w:rsid w:val="00FD346F"/>
    <w:rsid w:val="00FD4558"/>
    <w:rsid w:val="00FD4AAE"/>
    <w:rsid w:val="00FD5729"/>
    <w:rsid w:val="00FD67A2"/>
    <w:rsid w:val="00FD723A"/>
    <w:rsid w:val="00FD7631"/>
    <w:rsid w:val="00FD7AEE"/>
    <w:rsid w:val="00FE0C3C"/>
    <w:rsid w:val="00FE152E"/>
    <w:rsid w:val="00FE1BE2"/>
    <w:rsid w:val="00FE4750"/>
    <w:rsid w:val="00FE484E"/>
    <w:rsid w:val="00FE49BB"/>
    <w:rsid w:val="00FE5364"/>
    <w:rsid w:val="00FE6EF7"/>
    <w:rsid w:val="00FE722E"/>
    <w:rsid w:val="00FE7E46"/>
    <w:rsid w:val="00FF1C84"/>
    <w:rsid w:val="00FF2B09"/>
    <w:rsid w:val="00FF39E2"/>
    <w:rsid w:val="00FF3BB1"/>
    <w:rsid w:val="00FF3EC9"/>
    <w:rsid w:val="00FF4203"/>
    <w:rsid w:val="00FF46FA"/>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196D50-3C87-4B78-B1A1-BAA1225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semiHidden/>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NoSpacing">
    <w:name w:val="No Spacing"/>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2">
    <w:name w:val="Без интервала1"/>
    <w:rsid w:val="00B4382D"/>
    <w:rPr>
      <w:rFonts w:cs="Times New Roman"/>
      <w:sz w:val="22"/>
      <w:szCs w:val="22"/>
      <w:lang w:val="ru-RU"/>
    </w:rPr>
  </w:style>
  <w:style w:type="paragraph" w:customStyle="1" w:styleId="13">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4">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5">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styleId="af3">
    <w:name w:val="No Spacing"/>
    <w:qFormat/>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287713">
      <w:bodyDiv w:val="1"/>
      <w:marLeft w:val="0"/>
      <w:marRight w:val="0"/>
      <w:marTop w:val="0"/>
      <w:marBottom w:val="0"/>
      <w:divBdr>
        <w:top w:val="none" w:sz="0" w:space="0" w:color="auto"/>
        <w:left w:val="none" w:sz="0" w:space="0" w:color="auto"/>
        <w:bottom w:val="none" w:sz="0" w:space="0" w:color="auto"/>
        <w:right w:val="none" w:sz="0" w:space="0" w:color="auto"/>
      </w:divBdr>
    </w:div>
    <w:div w:id="107091432">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20474450">
      <w:bodyDiv w:val="1"/>
      <w:marLeft w:val="0"/>
      <w:marRight w:val="0"/>
      <w:marTop w:val="0"/>
      <w:marBottom w:val="0"/>
      <w:divBdr>
        <w:top w:val="none" w:sz="0" w:space="0" w:color="auto"/>
        <w:left w:val="none" w:sz="0" w:space="0" w:color="auto"/>
        <w:bottom w:val="none" w:sz="0" w:space="0" w:color="auto"/>
        <w:right w:val="none" w:sz="0" w:space="0" w:color="auto"/>
      </w:divBdr>
    </w:div>
    <w:div w:id="364983617">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397174928">
      <w:bodyDiv w:val="1"/>
      <w:marLeft w:val="0"/>
      <w:marRight w:val="0"/>
      <w:marTop w:val="0"/>
      <w:marBottom w:val="0"/>
      <w:divBdr>
        <w:top w:val="none" w:sz="0" w:space="0" w:color="auto"/>
        <w:left w:val="none" w:sz="0" w:space="0" w:color="auto"/>
        <w:bottom w:val="none" w:sz="0" w:space="0" w:color="auto"/>
        <w:right w:val="none" w:sz="0" w:space="0" w:color="auto"/>
      </w:divBdr>
    </w:div>
    <w:div w:id="404379359">
      <w:bodyDiv w:val="1"/>
      <w:marLeft w:val="0"/>
      <w:marRight w:val="0"/>
      <w:marTop w:val="0"/>
      <w:marBottom w:val="0"/>
      <w:divBdr>
        <w:top w:val="none" w:sz="0" w:space="0" w:color="auto"/>
        <w:left w:val="none" w:sz="0" w:space="0" w:color="auto"/>
        <w:bottom w:val="none" w:sz="0" w:space="0" w:color="auto"/>
        <w:right w:val="none" w:sz="0" w:space="0" w:color="auto"/>
      </w:divBdr>
    </w:div>
    <w:div w:id="507989438">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866334550">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026832265">
      <w:bodyDiv w:val="1"/>
      <w:marLeft w:val="0"/>
      <w:marRight w:val="0"/>
      <w:marTop w:val="0"/>
      <w:marBottom w:val="0"/>
      <w:divBdr>
        <w:top w:val="none" w:sz="0" w:space="0" w:color="auto"/>
        <w:left w:val="none" w:sz="0" w:space="0" w:color="auto"/>
        <w:bottom w:val="none" w:sz="0" w:space="0" w:color="auto"/>
        <w:right w:val="none" w:sz="0" w:space="0" w:color="auto"/>
      </w:divBdr>
    </w:div>
    <w:div w:id="1053624366">
      <w:bodyDiv w:val="1"/>
      <w:marLeft w:val="0"/>
      <w:marRight w:val="0"/>
      <w:marTop w:val="0"/>
      <w:marBottom w:val="0"/>
      <w:divBdr>
        <w:top w:val="none" w:sz="0" w:space="0" w:color="auto"/>
        <w:left w:val="none" w:sz="0" w:space="0" w:color="auto"/>
        <w:bottom w:val="none" w:sz="0" w:space="0" w:color="auto"/>
        <w:right w:val="none" w:sz="0" w:space="0" w:color="auto"/>
      </w:divBdr>
    </w:div>
    <w:div w:id="1072696823">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04495551">
      <w:bodyDiv w:val="1"/>
      <w:marLeft w:val="0"/>
      <w:marRight w:val="0"/>
      <w:marTop w:val="0"/>
      <w:marBottom w:val="0"/>
      <w:divBdr>
        <w:top w:val="none" w:sz="0" w:space="0" w:color="auto"/>
        <w:left w:val="none" w:sz="0" w:space="0" w:color="auto"/>
        <w:bottom w:val="none" w:sz="0" w:space="0" w:color="auto"/>
        <w:right w:val="none" w:sz="0" w:space="0" w:color="auto"/>
      </w:divBdr>
    </w:div>
    <w:div w:id="1892571924">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793-13/paran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z1311-15/paran20" TargetMode="External"/><Relationship Id="rId12" Type="http://schemas.openxmlformats.org/officeDocument/2006/relationships/hyperlink" Target="http://zakon3.rada.gov.ua/laws/show/z0897-13/paran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z0897-13/paran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z0386-13" TargetMode="External"/><Relationship Id="rId4" Type="http://schemas.openxmlformats.org/officeDocument/2006/relationships/webSettings" Target="webSettings.xml"/><Relationship Id="rId9" Type="http://schemas.openxmlformats.org/officeDocument/2006/relationships/hyperlink" Target="http://zakon3.rada.gov.ua/laws/show/z0793-13/paran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31082</CharactersWithSpaces>
  <SharedDoc>false</SharedDoc>
  <HLinks>
    <vt:vector size="36" baseType="variant">
      <vt:variant>
        <vt:i4>7077939</vt:i4>
      </vt:variant>
      <vt:variant>
        <vt:i4>15</vt:i4>
      </vt:variant>
      <vt:variant>
        <vt:i4>0</vt:i4>
      </vt:variant>
      <vt:variant>
        <vt:i4>5</vt:i4>
      </vt:variant>
      <vt:variant>
        <vt:lpwstr>http://zakon3.rada.gov.ua/laws/show/z0897-13/paran15</vt:lpwstr>
      </vt:variant>
      <vt:variant>
        <vt:lpwstr>n29</vt:lpwstr>
      </vt:variant>
      <vt:variant>
        <vt:i4>7077939</vt:i4>
      </vt:variant>
      <vt:variant>
        <vt:i4>12</vt:i4>
      </vt:variant>
      <vt:variant>
        <vt:i4>0</vt:i4>
      </vt:variant>
      <vt:variant>
        <vt:i4>5</vt:i4>
      </vt:variant>
      <vt:variant>
        <vt:lpwstr>http://zakon3.rada.gov.ua/laws/show/z0897-13/paran15</vt:lpwstr>
      </vt:variant>
      <vt:variant>
        <vt:lpwstr>n28</vt:lpwstr>
      </vt:variant>
      <vt:variant>
        <vt:i4>393290</vt:i4>
      </vt:variant>
      <vt:variant>
        <vt:i4>9</vt:i4>
      </vt:variant>
      <vt:variant>
        <vt:i4>0</vt:i4>
      </vt:variant>
      <vt:variant>
        <vt:i4>5</vt:i4>
      </vt:variant>
      <vt:variant>
        <vt:lpwstr>http://zakon0.rada.gov.ua/laws/show/z0386-13</vt:lpwstr>
      </vt:variant>
      <vt:variant>
        <vt:lpwstr/>
      </vt:variant>
      <vt:variant>
        <vt:i4>6422584</vt:i4>
      </vt:variant>
      <vt:variant>
        <vt:i4>6</vt:i4>
      </vt:variant>
      <vt:variant>
        <vt:i4>0</vt:i4>
      </vt:variant>
      <vt:variant>
        <vt:i4>5</vt:i4>
      </vt:variant>
      <vt:variant>
        <vt:lpwstr>http://zakon3.rada.gov.ua/laws/show/z0793-13/paran18</vt:lpwstr>
      </vt:variant>
      <vt:variant>
        <vt:lpwstr>n18</vt:lpwstr>
      </vt:variant>
      <vt:variant>
        <vt:i4>6422587</vt:i4>
      </vt:variant>
      <vt:variant>
        <vt:i4>3</vt:i4>
      </vt:variant>
      <vt:variant>
        <vt:i4>0</vt:i4>
      </vt:variant>
      <vt:variant>
        <vt:i4>5</vt:i4>
      </vt:variant>
      <vt:variant>
        <vt:lpwstr>http://zakon0.rada.gov.ua/laws/show/z0793-13/paran18</vt:lpwstr>
      </vt:variant>
      <vt:variant>
        <vt:lpwstr>n18</vt:lpwstr>
      </vt:variant>
      <vt:variant>
        <vt:i4>6684734</vt:i4>
      </vt:variant>
      <vt:variant>
        <vt:i4>0</vt:i4>
      </vt:variant>
      <vt:variant>
        <vt:i4>0</vt:i4>
      </vt:variant>
      <vt:variant>
        <vt:i4>5</vt:i4>
      </vt:variant>
      <vt:variant>
        <vt:lpwstr>http://zakon0.rada.gov.ua/laws/show/z1311-15/paran20</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2018-08-08T08:08:00Z</cp:lastPrinted>
  <dcterms:created xsi:type="dcterms:W3CDTF">2019-06-24T15:08:00Z</dcterms:created>
  <dcterms:modified xsi:type="dcterms:W3CDTF">2019-06-24T15:08:00Z</dcterms:modified>
</cp:coreProperties>
</file>