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A8" w:rsidRDefault="00FE5EA8" w:rsidP="00523BD3">
      <w:pPr>
        <w:tabs>
          <w:tab w:val="left" w:pos="3960"/>
        </w:tabs>
        <w:ind w:left="4860"/>
        <w:jc w:val="both"/>
        <w:rPr>
          <w:b/>
          <w:lang w:val="uk-UA"/>
        </w:rPr>
      </w:pPr>
      <w:bookmarkStart w:id="0" w:name="_GoBack"/>
      <w:bookmarkEnd w:id="0"/>
    </w:p>
    <w:p w:rsidR="004A6BFE" w:rsidRPr="0096522A" w:rsidRDefault="004A6BFE" w:rsidP="00523BD3">
      <w:pPr>
        <w:tabs>
          <w:tab w:val="left" w:pos="3960"/>
        </w:tabs>
        <w:ind w:left="4860"/>
        <w:jc w:val="both"/>
        <w:rPr>
          <w:b/>
          <w:lang w:val="uk-UA"/>
        </w:rPr>
      </w:pPr>
      <w:r w:rsidRPr="0096522A">
        <w:rPr>
          <w:b/>
          <w:lang w:val="uk-UA"/>
        </w:rPr>
        <w:t xml:space="preserve">Додаток </w:t>
      </w:r>
      <w:r w:rsidR="00FA4625" w:rsidRPr="0096522A">
        <w:rPr>
          <w:b/>
          <w:lang w:val="uk-UA"/>
        </w:rPr>
        <w:t>2</w:t>
      </w:r>
      <w:r w:rsidRPr="0096522A">
        <w:rPr>
          <w:b/>
          <w:lang w:val="uk-UA"/>
        </w:rPr>
        <w:t xml:space="preserve"> </w:t>
      </w:r>
    </w:p>
    <w:p w:rsidR="00575410" w:rsidRPr="00ED32FC" w:rsidRDefault="00575410" w:rsidP="00575410">
      <w:pPr>
        <w:ind w:left="4860"/>
        <w:jc w:val="both"/>
        <w:rPr>
          <w:lang w:val="uk-UA"/>
        </w:rPr>
      </w:pPr>
      <w:r w:rsidRPr="00ED32FC">
        <w:rPr>
          <w:lang w:val="uk-UA"/>
        </w:rPr>
        <w:t xml:space="preserve">до Акта, складеного за результатами </w:t>
      </w:r>
    </w:p>
    <w:p w:rsidR="00575410" w:rsidRPr="00ED32FC" w:rsidRDefault="00575410" w:rsidP="00575410">
      <w:pPr>
        <w:ind w:left="4860"/>
        <w:rPr>
          <w:lang w:val="uk-UA"/>
        </w:rPr>
      </w:pPr>
      <w:r w:rsidRPr="00ED32FC">
        <w:rPr>
          <w:lang w:val="uk-UA"/>
        </w:rPr>
        <w:t xml:space="preserve">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 </w:t>
      </w:r>
    </w:p>
    <w:p w:rsidR="004A6BFE" w:rsidRDefault="004A6BFE" w:rsidP="00664D65">
      <w:pPr>
        <w:jc w:val="both"/>
        <w:rPr>
          <w:b/>
          <w:color w:val="000000"/>
          <w:sz w:val="20"/>
          <w:szCs w:val="20"/>
          <w:lang w:val="en-US"/>
        </w:rPr>
      </w:pPr>
    </w:p>
    <w:p w:rsidR="00523BD3" w:rsidRDefault="00523BD3" w:rsidP="00664D65">
      <w:pPr>
        <w:jc w:val="both"/>
        <w:rPr>
          <w:b/>
          <w:color w:val="000000"/>
          <w:sz w:val="20"/>
          <w:szCs w:val="20"/>
          <w:lang w:val="en-US"/>
        </w:rPr>
      </w:pPr>
    </w:p>
    <w:p w:rsidR="00FE5EA8" w:rsidRPr="00523BD3" w:rsidRDefault="00FE5EA8" w:rsidP="00664D65">
      <w:pPr>
        <w:jc w:val="both"/>
        <w:rPr>
          <w:b/>
          <w:color w:val="000000"/>
          <w:sz w:val="20"/>
          <w:szCs w:val="20"/>
          <w:lang w:val="en-US"/>
        </w:rPr>
      </w:pPr>
    </w:p>
    <w:p w:rsidR="00383A1F" w:rsidRDefault="00383A1F" w:rsidP="00664D65">
      <w:pPr>
        <w:jc w:val="both"/>
        <w:rPr>
          <w:b/>
          <w:color w:val="000000"/>
          <w:sz w:val="20"/>
          <w:szCs w:val="20"/>
          <w:lang w:val="uk-UA"/>
        </w:rPr>
      </w:pPr>
    </w:p>
    <w:p w:rsidR="00FE5EA8" w:rsidRPr="00383A1F" w:rsidRDefault="00FE5EA8" w:rsidP="00664D65">
      <w:pPr>
        <w:jc w:val="both"/>
        <w:rPr>
          <w:b/>
          <w:color w:val="000000"/>
          <w:sz w:val="20"/>
          <w:szCs w:val="20"/>
          <w:lang w:val="uk-UA"/>
        </w:rPr>
      </w:pPr>
    </w:p>
    <w:p w:rsidR="00664D65" w:rsidRPr="00FE5EA8" w:rsidRDefault="008A06FD" w:rsidP="00332D6A">
      <w:pPr>
        <w:rPr>
          <w:b/>
          <w:sz w:val="28"/>
          <w:szCs w:val="28"/>
          <w:lang w:val="uk-UA"/>
        </w:rPr>
      </w:pPr>
      <w:r w:rsidRPr="00E845EE">
        <w:rPr>
          <w:b/>
          <w:color w:val="000000"/>
          <w:sz w:val="28"/>
          <w:szCs w:val="28"/>
          <w:lang w:val="uk-UA"/>
        </w:rPr>
        <w:t>П</w:t>
      </w:r>
      <w:r w:rsidR="00664D65" w:rsidRPr="00E845EE">
        <w:rPr>
          <w:b/>
          <w:color w:val="000000"/>
          <w:sz w:val="28"/>
          <w:szCs w:val="28"/>
          <w:lang w:val="uk-UA"/>
        </w:rPr>
        <w:t xml:space="preserve">ерелік питань щодо проведення заходу державного нагляду (контролю) </w:t>
      </w:r>
      <w:r w:rsidR="00664D65" w:rsidRPr="00E845EE">
        <w:rPr>
          <w:b/>
          <w:sz w:val="28"/>
          <w:szCs w:val="28"/>
          <w:lang w:val="uk-UA"/>
        </w:rPr>
        <w:t>суб’єкта господарювання, що провадить професійну діяльність на фондовому ринку (ринку цінних паперів) – діяльність з організації торгівлі на фондовому ринку</w:t>
      </w:r>
      <w:r w:rsidR="000A38D2" w:rsidRPr="00E845EE">
        <w:rPr>
          <w:b/>
          <w:sz w:val="28"/>
          <w:szCs w:val="28"/>
          <w:lang w:val="uk-UA"/>
        </w:rPr>
        <w:t>, що підлягає ліцензуванню</w:t>
      </w:r>
    </w:p>
    <w:p w:rsidR="007924A0" w:rsidRDefault="007924A0" w:rsidP="007924A0">
      <w:pPr>
        <w:rPr>
          <w:lang w:val="uk-UA"/>
        </w:rPr>
      </w:pPr>
    </w:p>
    <w:p w:rsidR="00FE5EA8" w:rsidRPr="00FE5EA8" w:rsidRDefault="00FE5EA8" w:rsidP="007924A0">
      <w:pPr>
        <w:rPr>
          <w:lang w:val="uk-UA"/>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540"/>
        <w:gridCol w:w="180"/>
        <w:gridCol w:w="2340"/>
        <w:gridCol w:w="180"/>
        <w:gridCol w:w="1260"/>
        <w:gridCol w:w="635"/>
        <w:gridCol w:w="985"/>
        <w:gridCol w:w="360"/>
        <w:gridCol w:w="360"/>
        <w:gridCol w:w="720"/>
        <w:gridCol w:w="1800"/>
      </w:tblGrid>
      <w:tr w:rsidR="00E73C2E" w:rsidRPr="008B6049" w:rsidTr="00523BD3">
        <w:tc>
          <w:tcPr>
            <w:tcW w:w="540" w:type="dxa"/>
            <w:vMerge w:val="restart"/>
            <w:tcBorders>
              <w:right w:val="single" w:sz="4" w:space="0" w:color="auto"/>
            </w:tcBorders>
            <w:vAlign w:val="center"/>
          </w:tcPr>
          <w:p w:rsidR="00E73C2E" w:rsidRPr="000A38D2" w:rsidRDefault="00E73C2E" w:rsidP="00A56E0E">
            <w:pPr>
              <w:pStyle w:val="NoSpacing"/>
              <w:jc w:val="center"/>
              <w:rPr>
                <w:rFonts w:ascii="Times New Roman" w:hAnsi="Times New Roman"/>
                <w:sz w:val="20"/>
                <w:szCs w:val="20"/>
                <w:lang w:val="uk-UA"/>
              </w:rPr>
            </w:pPr>
            <w:r w:rsidRPr="000A38D2">
              <w:rPr>
                <w:rFonts w:ascii="Times New Roman" w:hAnsi="Times New Roman"/>
                <w:sz w:val="20"/>
                <w:szCs w:val="20"/>
                <w:lang w:val="uk-UA"/>
              </w:rPr>
              <w:t>№</w:t>
            </w:r>
          </w:p>
          <w:p w:rsidR="00E73C2E" w:rsidRPr="000A38D2" w:rsidRDefault="00E73C2E" w:rsidP="00A56E0E">
            <w:pPr>
              <w:pStyle w:val="NoSpacing"/>
              <w:jc w:val="center"/>
              <w:rPr>
                <w:rFonts w:ascii="Times New Roman" w:hAnsi="Times New Roman"/>
                <w:sz w:val="20"/>
                <w:szCs w:val="20"/>
                <w:lang w:val="uk-UA"/>
              </w:rPr>
            </w:pPr>
            <w:r w:rsidRPr="000A38D2">
              <w:rPr>
                <w:rFonts w:ascii="Times New Roman" w:hAnsi="Times New Roman"/>
                <w:sz w:val="20"/>
                <w:szCs w:val="20"/>
                <w:lang w:val="uk-UA"/>
              </w:rPr>
              <w:t>з/п</w:t>
            </w:r>
          </w:p>
        </w:tc>
        <w:tc>
          <w:tcPr>
            <w:tcW w:w="2520" w:type="dxa"/>
            <w:gridSpan w:val="2"/>
            <w:vMerge w:val="restart"/>
            <w:tcBorders>
              <w:left w:val="single" w:sz="4" w:space="0" w:color="auto"/>
              <w:right w:val="single" w:sz="4" w:space="0" w:color="auto"/>
            </w:tcBorders>
            <w:vAlign w:val="center"/>
          </w:tcPr>
          <w:p w:rsidR="00E73C2E" w:rsidRPr="000A38D2" w:rsidRDefault="00E73C2E" w:rsidP="00A56E0E">
            <w:pPr>
              <w:jc w:val="center"/>
              <w:rPr>
                <w:sz w:val="20"/>
                <w:szCs w:val="20"/>
                <w:lang w:val="uk-UA"/>
              </w:rPr>
            </w:pPr>
            <w:r w:rsidRPr="000A38D2">
              <w:rPr>
                <w:sz w:val="20"/>
                <w:szCs w:val="20"/>
                <w:lang w:val="uk-UA"/>
              </w:rPr>
              <w:t>Питання щодо дотримання</w:t>
            </w:r>
          </w:p>
          <w:p w:rsidR="00E73C2E" w:rsidRPr="000A38D2" w:rsidRDefault="00E73C2E" w:rsidP="00A56E0E">
            <w:pPr>
              <w:jc w:val="center"/>
              <w:rPr>
                <w:sz w:val="20"/>
                <w:szCs w:val="20"/>
                <w:lang w:val="uk-UA"/>
              </w:rPr>
            </w:pPr>
            <w:r w:rsidRPr="000A38D2">
              <w:rPr>
                <w:sz w:val="20"/>
                <w:szCs w:val="20"/>
                <w:lang w:val="uk-UA"/>
              </w:rPr>
              <w:t>суб’єктом господарювання вимог законодавства</w:t>
            </w:r>
          </w:p>
        </w:tc>
        <w:tc>
          <w:tcPr>
            <w:tcW w:w="1440" w:type="dxa"/>
            <w:gridSpan w:val="2"/>
            <w:vMerge w:val="restart"/>
            <w:tcBorders>
              <w:left w:val="single" w:sz="4" w:space="0" w:color="auto"/>
              <w:right w:val="single" w:sz="4" w:space="0" w:color="auto"/>
            </w:tcBorders>
            <w:tcMar>
              <w:left w:w="28" w:type="dxa"/>
              <w:right w:w="28" w:type="dxa"/>
            </w:tcMar>
            <w:vAlign w:val="center"/>
          </w:tcPr>
          <w:p w:rsidR="00E73C2E" w:rsidRPr="000A38D2" w:rsidRDefault="00E73C2E" w:rsidP="00A56E0E">
            <w:pPr>
              <w:pStyle w:val="NoSpacing"/>
              <w:ind w:left="-28" w:right="-105"/>
              <w:jc w:val="center"/>
              <w:rPr>
                <w:rFonts w:ascii="Times New Roman" w:hAnsi="Times New Roman"/>
                <w:sz w:val="20"/>
                <w:szCs w:val="20"/>
                <w:lang w:val="uk-UA"/>
              </w:rPr>
            </w:pPr>
            <w:r w:rsidRPr="000A38D2">
              <w:rPr>
                <w:rFonts w:ascii="Times New Roman" w:hAnsi="Times New Roman"/>
                <w:sz w:val="20"/>
                <w:szCs w:val="20"/>
                <w:lang w:val="uk-UA"/>
              </w:rPr>
              <w:t xml:space="preserve">Ступінь </w:t>
            </w:r>
          </w:p>
          <w:p w:rsidR="0096522A" w:rsidRDefault="00E73C2E" w:rsidP="00A56E0E">
            <w:pPr>
              <w:pStyle w:val="NoSpacing"/>
              <w:ind w:left="-28" w:right="-105"/>
              <w:jc w:val="center"/>
              <w:rPr>
                <w:rFonts w:ascii="Times New Roman" w:hAnsi="Times New Roman"/>
                <w:sz w:val="20"/>
                <w:szCs w:val="20"/>
                <w:lang w:val="uk-UA"/>
              </w:rPr>
            </w:pPr>
            <w:r w:rsidRPr="000A38D2">
              <w:rPr>
                <w:rFonts w:ascii="Times New Roman" w:hAnsi="Times New Roman"/>
                <w:sz w:val="20"/>
                <w:szCs w:val="20"/>
                <w:lang w:val="uk-UA"/>
              </w:rPr>
              <w:t>ризику</w:t>
            </w:r>
            <w:r>
              <w:rPr>
                <w:rFonts w:ascii="Times New Roman" w:hAnsi="Times New Roman"/>
                <w:sz w:val="20"/>
                <w:szCs w:val="20"/>
                <w:lang w:val="uk-UA"/>
              </w:rPr>
              <w:t xml:space="preserve"> </w:t>
            </w:r>
          </w:p>
          <w:p w:rsidR="00E73C2E" w:rsidRPr="000A38D2" w:rsidRDefault="00E73C2E" w:rsidP="00383A1F">
            <w:pPr>
              <w:pStyle w:val="NoSpacing"/>
              <w:ind w:left="-28" w:right="-28"/>
              <w:jc w:val="center"/>
              <w:rPr>
                <w:rFonts w:ascii="Times New Roman" w:hAnsi="Times New Roman"/>
                <w:sz w:val="20"/>
                <w:szCs w:val="20"/>
                <w:lang w:val="uk-UA"/>
              </w:rPr>
            </w:pPr>
            <w:r>
              <w:rPr>
                <w:rFonts w:ascii="Times New Roman" w:hAnsi="Times New Roman"/>
                <w:sz w:val="20"/>
                <w:szCs w:val="20"/>
                <w:lang w:val="uk-UA"/>
              </w:rPr>
              <w:t>суб’єкта господарю</w:t>
            </w:r>
            <w:r w:rsidRPr="000A38D2">
              <w:rPr>
                <w:rFonts w:ascii="Times New Roman" w:hAnsi="Times New Roman"/>
                <w:sz w:val="20"/>
                <w:szCs w:val="20"/>
                <w:lang w:val="uk-UA"/>
              </w:rPr>
              <w:t xml:space="preserve">вання </w:t>
            </w:r>
          </w:p>
        </w:tc>
        <w:tc>
          <w:tcPr>
            <w:tcW w:w="1620" w:type="dxa"/>
            <w:gridSpan w:val="2"/>
            <w:vMerge w:val="restart"/>
            <w:tcBorders>
              <w:left w:val="single" w:sz="4" w:space="0" w:color="auto"/>
              <w:right w:val="single" w:sz="4" w:space="0" w:color="auto"/>
            </w:tcBorders>
            <w:vAlign w:val="center"/>
          </w:tcPr>
          <w:p w:rsidR="0096522A" w:rsidRDefault="00E73C2E" w:rsidP="00523BD3">
            <w:pPr>
              <w:pStyle w:val="NoSpacing"/>
              <w:ind w:left="-85" w:right="-85"/>
              <w:jc w:val="center"/>
              <w:rPr>
                <w:rFonts w:ascii="Times New Roman" w:hAnsi="Times New Roman"/>
                <w:sz w:val="20"/>
                <w:szCs w:val="20"/>
                <w:lang w:val="uk-UA"/>
              </w:rPr>
            </w:pPr>
            <w:r>
              <w:rPr>
                <w:rFonts w:ascii="Times New Roman" w:hAnsi="Times New Roman"/>
                <w:sz w:val="20"/>
                <w:szCs w:val="20"/>
                <w:lang w:val="uk-UA"/>
              </w:rPr>
              <w:t>Позиція</w:t>
            </w:r>
          </w:p>
          <w:p w:rsidR="00383A1F" w:rsidRDefault="00E73C2E" w:rsidP="00523BD3">
            <w:pPr>
              <w:pStyle w:val="NoSpacing"/>
              <w:ind w:left="-85" w:right="-85"/>
              <w:jc w:val="center"/>
              <w:rPr>
                <w:rFonts w:ascii="Times New Roman" w:hAnsi="Times New Roman"/>
                <w:sz w:val="20"/>
                <w:szCs w:val="20"/>
                <w:lang w:val="uk-UA"/>
              </w:rPr>
            </w:pPr>
            <w:r>
              <w:rPr>
                <w:rFonts w:ascii="Times New Roman" w:hAnsi="Times New Roman"/>
                <w:sz w:val="20"/>
                <w:szCs w:val="20"/>
                <w:lang w:val="uk-UA"/>
              </w:rPr>
              <w:t xml:space="preserve"> суб</w:t>
            </w:r>
            <w:r w:rsidRPr="00E73C2E">
              <w:rPr>
                <w:rFonts w:ascii="Times New Roman" w:hAnsi="Times New Roman"/>
                <w:sz w:val="20"/>
                <w:szCs w:val="20"/>
              </w:rPr>
              <w:t>’</w:t>
            </w:r>
            <w:r>
              <w:rPr>
                <w:rFonts w:ascii="Times New Roman" w:hAnsi="Times New Roman"/>
                <w:sz w:val="20"/>
                <w:szCs w:val="20"/>
                <w:lang w:val="uk-UA"/>
              </w:rPr>
              <w:t xml:space="preserve">єкта </w:t>
            </w:r>
          </w:p>
          <w:p w:rsidR="00383A1F" w:rsidRDefault="00E73C2E" w:rsidP="00523BD3">
            <w:pPr>
              <w:pStyle w:val="NoSpacing"/>
              <w:ind w:left="-85" w:right="-85"/>
              <w:jc w:val="center"/>
              <w:rPr>
                <w:rFonts w:ascii="Times New Roman" w:hAnsi="Times New Roman"/>
                <w:sz w:val="20"/>
                <w:szCs w:val="20"/>
                <w:lang w:val="uk-UA"/>
              </w:rPr>
            </w:pPr>
            <w:r>
              <w:rPr>
                <w:rFonts w:ascii="Times New Roman" w:hAnsi="Times New Roman"/>
                <w:sz w:val="20"/>
                <w:szCs w:val="20"/>
                <w:lang w:val="uk-UA"/>
              </w:rPr>
              <w:t>господарювання</w:t>
            </w:r>
          </w:p>
          <w:p w:rsidR="0096522A" w:rsidRDefault="00E73C2E" w:rsidP="00523BD3">
            <w:pPr>
              <w:pStyle w:val="NoSpacing"/>
              <w:ind w:left="-85" w:right="-85"/>
              <w:jc w:val="center"/>
              <w:rPr>
                <w:rFonts w:ascii="Times New Roman" w:hAnsi="Times New Roman"/>
                <w:sz w:val="20"/>
                <w:szCs w:val="20"/>
                <w:lang w:val="uk-UA"/>
              </w:rPr>
            </w:pPr>
            <w:r>
              <w:rPr>
                <w:rFonts w:ascii="Times New Roman" w:hAnsi="Times New Roman"/>
                <w:sz w:val="20"/>
                <w:szCs w:val="20"/>
                <w:lang w:val="uk-UA"/>
              </w:rPr>
              <w:t xml:space="preserve"> щодо</w:t>
            </w:r>
          </w:p>
          <w:p w:rsidR="0096522A" w:rsidRDefault="00E73C2E" w:rsidP="00523BD3">
            <w:pPr>
              <w:pStyle w:val="NoSpacing"/>
              <w:ind w:left="-85" w:right="-85"/>
              <w:jc w:val="center"/>
              <w:rPr>
                <w:rFonts w:ascii="Times New Roman" w:hAnsi="Times New Roman"/>
                <w:sz w:val="20"/>
                <w:szCs w:val="20"/>
                <w:lang w:val="uk-UA"/>
              </w:rPr>
            </w:pPr>
            <w:r>
              <w:rPr>
                <w:rFonts w:ascii="Times New Roman" w:hAnsi="Times New Roman"/>
                <w:sz w:val="20"/>
                <w:szCs w:val="20"/>
                <w:lang w:val="uk-UA"/>
              </w:rPr>
              <w:t xml:space="preserve"> негативного</w:t>
            </w:r>
          </w:p>
          <w:p w:rsidR="0096522A" w:rsidRDefault="00E73C2E" w:rsidP="00523BD3">
            <w:pPr>
              <w:pStyle w:val="NoSpacing"/>
              <w:ind w:left="-85" w:right="-85"/>
              <w:jc w:val="center"/>
              <w:rPr>
                <w:rFonts w:ascii="Times New Roman" w:hAnsi="Times New Roman"/>
                <w:sz w:val="20"/>
                <w:szCs w:val="20"/>
                <w:lang w:val="uk-UA"/>
              </w:rPr>
            </w:pPr>
            <w:r>
              <w:rPr>
                <w:rFonts w:ascii="Times New Roman" w:hAnsi="Times New Roman"/>
                <w:sz w:val="20"/>
                <w:szCs w:val="20"/>
                <w:lang w:val="uk-UA"/>
              </w:rPr>
              <w:t xml:space="preserve"> впливу</w:t>
            </w:r>
            <w:r w:rsidR="00A26891">
              <w:rPr>
                <w:rFonts w:ascii="Times New Roman" w:hAnsi="Times New Roman"/>
                <w:sz w:val="20"/>
                <w:szCs w:val="20"/>
                <w:lang w:val="uk-UA"/>
              </w:rPr>
              <w:t xml:space="preserve"> вимоги законодавства </w:t>
            </w:r>
          </w:p>
          <w:p w:rsidR="0048195E" w:rsidRDefault="00A26891" w:rsidP="00523BD3">
            <w:pPr>
              <w:pStyle w:val="NoSpacing"/>
              <w:ind w:left="-85" w:right="-85"/>
              <w:jc w:val="center"/>
              <w:rPr>
                <w:rFonts w:ascii="Times New Roman" w:hAnsi="Times New Roman"/>
                <w:sz w:val="20"/>
                <w:szCs w:val="20"/>
                <w:lang w:val="en-US"/>
              </w:rPr>
            </w:pPr>
            <w:r>
              <w:rPr>
                <w:rFonts w:ascii="Times New Roman" w:hAnsi="Times New Roman"/>
                <w:sz w:val="20"/>
                <w:szCs w:val="20"/>
                <w:lang w:val="uk-UA"/>
              </w:rPr>
              <w:t xml:space="preserve">(від 1 </w:t>
            </w:r>
          </w:p>
          <w:p w:rsidR="00E73C2E" w:rsidRPr="0048195E" w:rsidRDefault="00A26891" w:rsidP="00523BD3">
            <w:pPr>
              <w:pStyle w:val="NoSpacing"/>
              <w:ind w:left="-85" w:right="-85"/>
              <w:jc w:val="center"/>
              <w:rPr>
                <w:rFonts w:ascii="Times New Roman" w:hAnsi="Times New Roman"/>
                <w:sz w:val="20"/>
                <w:szCs w:val="20"/>
                <w:lang w:val="en-US"/>
              </w:rPr>
            </w:pPr>
            <w:r>
              <w:rPr>
                <w:rFonts w:ascii="Times New Roman" w:hAnsi="Times New Roman"/>
                <w:sz w:val="20"/>
                <w:szCs w:val="20"/>
                <w:lang w:val="uk-UA"/>
              </w:rPr>
              <w:t>до 4 балів)</w:t>
            </w:r>
            <w:r w:rsidR="0048195E">
              <w:rPr>
                <w:rFonts w:ascii="Times New Roman" w:hAnsi="Times New Roman"/>
                <w:sz w:val="20"/>
                <w:szCs w:val="20"/>
                <w:lang w:val="en-US"/>
              </w:rPr>
              <w:t>*</w:t>
            </w:r>
          </w:p>
        </w:tc>
        <w:tc>
          <w:tcPr>
            <w:tcW w:w="1440" w:type="dxa"/>
            <w:gridSpan w:val="3"/>
            <w:tcBorders>
              <w:left w:val="single" w:sz="4" w:space="0" w:color="auto"/>
              <w:right w:val="single" w:sz="4" w:space="0" w:color="auto"/>
            </w:tcBorders>
            <w:vAlign w:val="center"/>
          </w:tcPr>
          <w:p w:rsidR="00E73C2E" w:rsidRPr="000A38D2" w:rsidRDefault="00E73C2E" w:rsidP="00A56E0E">
            <w:pPr>
              <w:pStyle w:val="1"/>
              <w:ind w:right="-111"/>
              <w:jc w:val="center"/>
              <w:rPr>
                <w:rFonts w:ascii="Times New Roman" w:hAnsi="Times New Roman"/>
                <w:sz w:val="20"/>
                <w:szCs w:val="20"/>
                <w:lang w:val="uk-UA"/>
              </w:rPr>
            </w:pPr>
            <w:r w:rsidRPr="000A38D2">
              <w:rPr>
                <w:rFonts w:ascii="Times New Roman" w:hAnsi="Times New Roman"/>
                <w:sz w:val="20"/>
                <w:szCs w:val="20"/>
                <w:lang w:val="uk-UA"/>
              </w:rPr>
              <w:t>Відповіді на</w:t>
            </w:r>
          </w:p>
          <w:p w:rsidR="00E73C2E" w:rsidRPr="008B6049" w:rsidRDefault="00E73C2E" w:rsidP="00A56E0E">
            <w:pPr>
              <w:pStyle w:val="NoSpacing"/>
              <w:ind w:right="-111"/>
              <w:jc w:val="center"/>
              <w:rPr>
                <w:rFonts w:ascii="Times New Roman" w:hAnsi="Times New Roman"/>
                <w:sz w:val="28"/>
                <w:szCs w:val="28"/>
                <w:lang w:val="uk-UA"/>
              </w:rPr>
            </w:pPr>
            <w:r w:rsidRPr="000A38D2">
              <w:rPr>
                <w:rFonts w:ascii="Times New Roman" w:hAnsi="Times New Roman"/>
                <w:sz w:val="20"/>
                <w:szCs w:val="20"/>
                <w:lang w:val="uk-UA"/>
              </w:rPr>
              <w:t>питання</w:t>
            </w:r>
          </w:p>
        </w:tc>
        <w:tc>
          <w:tcPr>
            <w:tcW w:w="1800" w:type="dxa"/>
            <w:vMerge w:val="restart"/>
            <w:tcBorders>
              <w:left w:val="single" w:sz="4" w:space="0" w:color="auto"/>
            </w:tcBorders>
            <w:tcMar>
              <w:left w:w="28" w:type="dxa"/>
              <w:right w:w="28" w:type="dxa"/>
            </w:tcMar>
            <w:vAlign w:val="center"/>
          </w:tcPr>
          <w:p w:rsidR="00E73C2E" w:rsidRPr="000A38D2" w:rsidRDefault="00E73C2E" w:rsidP="00A56E0E">
            <w:pPr>
              <w:pStyle w:val="NoSpacing"/>
              <w:jc w:val="center"/>
              <w:rPr>
                <w:rFonts w:ascii="Times New Roman" w:hAnsi="Times New Roman"/>
                <w:sz w:val="20"/>
                <w:szCs w:val="20"/>
                <w:lang w:val="uk-UA"/>
              </w:rPr>
            </w:pPr>
            <w:r w:rsidRPr="000A38D2">
              <w:rPr>
                <w:rFonts w:ascii="Times New Roman" w:hAnsi="Times New Roman"/>
                <w:sz w:val="20"/>
                <w:szCs w:val="20"/>
                <w:lang w:val="uk-UA"/>
              </w:rPr>
              <w:t>Нормативне обґрунтування</w:t>
            </w:r>
          </w:p>
        </w:tc>
      </w:tr>
      <w:tr w:rsidR="00E73C2E" w:rsidRPr="008B6049" w:rsidTr="00523BD3">
        <w:tc>
          <w:tcPr>
            <w:tcW w:w="540" w:type="dxa"/>
            <w:vMerge/>
            <w:tcBorders>
              <w:right w:val="single" w:sz="4" w:space="0" w:color="auto"/>
            </w:tcBorders>
            <w:vAlign w:val="center"/>
          </w:tcPr>
          <w:p w:rsidR="00E73C2E" w:rsidRPr="008B6049" w:rsidRDefault="00E73C2E" w:rsidP="00A56E0E">
            <w:pPr>
              <w:pStyle w:val="NoSpacing"/>
              <w:jc w:val="center"/>
              <w:rPr>
                <w:rFonts w:ascii="Times New Roman" w:hAnsi="Times New Roman"/>
                <w:sz w:val="28"/>
                <w:szCs w:val="28"/>
                <w:lang w:val="uk-UA"/>
              </w:rPr>
            </w:pPr>
          </w:p>
        </w:tc>
        <w:tc>
          <w:tcPr>
            <w:tcW w:w="2520" w:type="dxa"/>
            <w:gridSpan w:val="2"/>
            <w:vMerge/>
            <w:tcBorders>
              <w:left w:val="single" w:sz="4" w:space="0" w:color="auto"/>
              <w:right w:val="single" w:sz="4" w:space="0" w:color="auto"/>
            </w:tcBorders>
            <w:vAlign w:val="center"/>
          </w:tcPr>
          <w:p w:rsidR="00E73C2E" w:rsidRPr="008B6049" w:rsidRDefault="00E73C2E" w:rsidP="00A56E0E">
            <w:pPr>
              <w:jc w:val="center"/>
              <w:rPr>
                <w:sz w:val="28"/>
                <w:szCs w:val="28"/>
                <w:lang w:val="uk-UA"/>
              </w:rPr>
            </w:pPr>
          </w:p>
        </w:tc>
        <w:tc>
          <w:tcPr>
            <w:tcW w:w="1440" w:type="dxa"/>
            <w:gridSpan w:val="2"/>
            <w:vMerge/>
            <w:tcBorders>
              <w:left w:val="single" w:sz="4" w:space="0" w:color="auto"/>
              <w:right w:val="single" w:sz="4" w:space="0" w:color="auto"/>
            </w:tcBorders>
          </w:tcPr>
          <w:p w:rsidR="00E73C2E" w:rsidRPr="008B6049" w:rsidRDefault="00E73C2E" w:rsidP="00A56E0E">
            <w:pPr>
              <w:pStyle w:val="NoSpacing"/>
              <w:ind w:left="-28" w:right="-105"/>
              <w:jc w:val="center"/>
              <w:rPr>
                <w:rFonts w:ascii="Times New Roman" w:hAnsi="Times New Roman"/>
                <w:sz w:val="28"/>
                <w:szCs w:val="28"/>
                <w:lang w:val="uk-UA"/>
              </w:rPr>
            </w:pPr>
          </w:p>
        </w:tc>
        <w:tc>
          <w:tcPr>
            <w:tcW w:w="1620" w:type="dxa"/>
            <w:gridSpan w:val="2"/>
            <w:vMerge/>
            <w:tcBorders>
              <w:left w:val="single" w:sz="4" w:space="0" w:color="auto"/>
              <w:right w:val="single" w:sz="4" w:space="0" w:color="auto"/>
            </w:tcBorders>
          </w:tcPr>
          <w:p w:rsidR="00E73C2E" w:rsidRPr="008B6049" w:rsidRDefault="00E73C2E" w:rsidP="00A56E0E">
            <w:pPr>
              <w:pStyle w:val="NoSpacing"/>
              <w:ind w:left="-28" w:right="-105"/>
              <w:jc w:val="center"/>
              <w:rPr>
                <w:rFonts w:ascii="Times New Roman" w:hAnsi="Times New Roman"/>
                <w:sz w:val="28"/>
                <w:szCs w:val="28"/>
                <w:lang w:val="uk-UA"/>
              </w:rPr>
            </w:pPr>
          </w:p>
        </w:tc>
        <w:tc>
          <w:tcPr>
            <w:tcW w:w="360" w:type="dxa"/>
            <w:tcBorders>
              <w:left w:val="single" w:sz="4" w:space="0" w:color="auto"/>
              <w:right w:val="single" w:sz="4" w:space="0" w:color="auto"/>
            </w:tcBorders>
            <w:tcMar>
              <w:left w:w="28" w:type="dxa"/>
              <w:right w:w="28" w:type="dxa"/>
            </w:tcMar>
            <w:vAlign w:val="center"/>
          </w:tcPr>
          <w:p w:rsidR="00E73C2E" w:rsidRPr="000A38D2" w:rsidRDefault="00E73C2E" w:rsidP="00A56E0E">
            <w:pPr>
              <w:pStyle w:val="a3"/>
              <w:spacing w:before="0"/>
              <w:ind w:left="-108" w:right="-108" w:firstLine="0"/>
              <w:jc w:val="center"/>
              <w:rPr>
                <w:rFonts w:ascii="Times New Roman" w:hAnsi="Times New Roman"/>
                <w:bCs/>
                <w:sz w:val="20"/>
                <w:vertAlign w:val="superscript"/>
                <w:lang w:val="en-US"/>
              </w:rPr>
            </w:pPr>
            <w:r w:rsidRPr="000A38D2">
              <w:rPr>
                <w:rFonts w:ascii="Times New Roman" w:hAnsi="Times New Roman"/>
                <w:bCs/>
                <w:sz w:val="20"/>
              </w:rPr>
              <w:t>так</w:t>
            </w:r>
          </w:p>
        </w:tc>
        <w:tc>
          <w:tcPr>
            <w:tcW w:w="360" w:type="dxa"/>
            <w:tcBorders>
              <w:left w:val="single" w:sz="4" w:space="0" w:color="auto"/>
              <w:right w:val="single" w:sz="4" w:space="0" w:color="auto"/>
            </w:tcBorders>
            <w:tcMar>
              <w:left w:w="28" w:type="dxa"/>
              <w:right w:w="28" w:type="dxa"/>
            </w:tcMar>
            <w:vAlign w:val="center"/>
          </w:tcPr>
          <w:p w:rsidR="00E73C2E" w:rsidRPr="000A38D2" w:rsidRDefault="00E73C2E" w:rsidP="0096522A">
            <w:pPr>
              <w:pStyle w:val="a3"/>
              <w:spacing w:before="0"/>
              <w:ind w:left="-208" w:firstLine="208"/>
              <w:jc w:val="center"/>
              <w:rPr>
                <w:rFonts w:ascii="Times New Roman" w:hAnsi="Times New Roman"/>
                <w:bCs/>
                <w:sz w:val="20"/>
                <w:vertAlign w:val="superscript"/>
                <w:lang w:val="en-US"/>
              </w:rPr>
            </w:pPr>
            <w:r w:rsidRPr="000A38D2">
              <w:rPr>
                <w:rFonts w:ascii="Times New Roman" w:hAnsi="Times New Roman"/>
                <w:bCs/>
                <w:sz w:val="20"/>
              </w:rPr>
              <w:t>ні</w:t>
            </w:r>
          </w:p>
        </w:tc>
        <w:tc>
          <w:tcPr>
            <w:tcW w:w="720" w:type="dxa"/>
            <w:tcBorders>
              <w:left w:val="single" w:sz="4" w:space="0" w:color="auto"/>
              <w:right w:val="single" w:sz="4" w:space="0" w:color="auto"/>
            </w:tcBorders>
            <w:tcMar>
              <w:left w:w="28" w:type="dxa"/>
              <w:right w:w="28" w:type="dxa"/>
            </w:tcMar>
            <w:vAlign w:val="center"/>
          </w:tcPr>
          <w:p w:rsidR="0096522A" w:rsidRDefault="00E73C2E" w:rsidP="0023316E">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 xml:space="preserve">не </w:t>
            </w:r>
          </w:p>
          <w:p w:rsidR="00326EF3" w:rsidRDefault="00326EF3" w:rsidP="0023316E">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розгля-</w:t>
            </w:r>
          </w:p>
          <w:p w:rsidR="00E73C2E" w:rsidRPr="008B6049" w:rsidRDefault="00E73C2E" w:rsidP="0023316E">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далося</w:t>
            </w:r>
          </w:p>
        </w:tc>
        <w:tc>
          <w:tcPr>
            <w:tcW w:w="1800" w:type="dxa"/>
            <w:vMerge/>
            <w:tcBorders>
              <w:left w:val="single" w:sz="4" w:space="0" w:color="auto"/>
            </w:tcBorders>
            <w:vAlign w:val="center"/>
          </w:tcPr>
          <w:p w:rsidR="00E73C2E" w:rsidRPr="008B6049" w:rsidRDefault="00E73C2E" w:rsidP="00A56E0E">
            <w:pPr>
              <w:pStyle w:val="NoSpacing"/>
              <w:jc w:val="center"/>
              <w:rPr>
                <w:rFonts w:ascii="Times New Roman" w:hAnsi="Times New Roman"/>
                <w:sz w:val="28"/>
                <w:szCs w:val="28"/>
                <w:lang w:val="uk-UA"/>
              </w:rPr>
            </w:pPr>
          </w:p>
        </w:tc>
      </w:tr>
      <w:tr w:rsidR="00664D65" w:rsidRPr="008B6049" w:rsidTr="00523BD3">
        <w:tc>
          <w:tcPr>
            <w:tcW w:w="9360" w:type="dxa"/>
            <w:gridSpan w:val="11"/>
          </w:tcPr>
          <w:p w:rsidR="00664D65" w:rsidRPr="008B6049" w:rsidRDefault="00664D65" w:rsidP="00A56E0E">
            <w:pPr>
              <w:jc w:val="center"/>
              <w:rPr>
                <w:b/>
                <w:sz w:val="28"/>
                <w:szCs w:val="28"/>
                <w:lang w:val="uk-UA"/>
              </w:rPr>
            </w:pPr>
            <w:r w:rsidRPr="008B6049">
              <w:rPr>
                <w:b/>
                <w:sz w:val="28"/>
                <w:szCs w:val="28"/>
                <w:lang w:val="uk-UA"/>
              </w:rPr>
              <w:t>І. Загальні питання</w:t>
            </w:r>
          </w:p>
        </w:tc>
      </w:tr>
      <w:tr w:rsidR="00A26891" w:rsidRPr="008B6049" w:rsidTr="00FE5EA8">
        <w:trPr>
          <w:trHeight w:val="1178"/>
        </w:trPr>
        <w:tc>
          <w:tcPr>
            <w:tcW w:w="540" w:type="dxa"/>
          </w:tcPr>
          <w:p w:rsidR="00A26891" w:rsidRPr="000E3F0F" w:rsidRDefault="00A26891" w:rsidP="00A56E0E">
            <w:pPr>
              <w:pStyle w:val="NoSpacing"/>
              <w:jc w:val="both"/>
              <w:rPr>
                <w:rFonts w:ascii="Times New Roman" w:hAnsi="Times New Roman"/>
                <w:sz w:val="24"/>
                <w:szCs w:val="24"/>
                <w:lang w:val="en-US"/>
              </w:rPr>
            </w:pPr>
            <w:r w:rsidRPr="000E3F0F">
              <w:rPr>
                <w:rFonts w:ascii="Times New Roman" w:hAnsi="Times New Roman"/>
                <w:sz w:val="24"/>
                <w:szCs w:val="24"/>
                <w:lang w:val="en-US"/>
              </w:rPr>
              <w:t>1</w:t>
            </w:r>
          </w:p>
        </w:tc>
        <w:tc>
          <w:tcPr>
            <w:tcW w:w="2520" w:type="dxa"/>
            <w:gridSpan w:val="2"/>
          </w:tcPr>
          <w:p w:rsidR="00A26891" w:rsidRPr="000E3F0F" w:rsidRDefault="00A26891" w:rsidP="00FB2C9D">
            <w:pPr>
              <w:pStyle w:val="rvps2"/>
            </w:pPr>
            <w:r w:rsidRPr="000E3F0F">
              <w:t>Фондова біржа при провадженні діяльності з організації торгівлі цінними паперами відповідає вимогам</w:t>
            </w:r>
            <w:bookmarkStart w:id="1" w:name="n206"/>
            <w:bookmarkEnd w:id="1"/>
            <w:r w:rsidRPr="000E3F0F">
              <w:rPr>
                <w:lang w:val="en-US"/>
              </w:rPr>
              <w:t xml:space="preserve"> </w:t>
            </w:r>
            <w:bookmarkStart w:id="2" w:name="n211"/>
            <w:bookmarkEnd w:id="2"/>
            <w:r w:rsidRPr="000E3F0F">
              <w:t xml:space="preserve">пруденційних нормативів, встановлених </w:t>
            </w:r>
            <w:hyperlink r:id="rId6" w:anchor="n20" w:tgtFrame="_blank" w:history="1">
              <w:r w:rsidRPr="000E3F0F">
                <w:rPr>
                  <w:rStyle w:val="a4"/>
                  <w:color w:val="auto"/>
                  <w:u w:val="none"/>
                </w:rPr>
                <w:t>Положенням щодо пруденційних нормативів професійної діяльності на фондовому ринку та вимог</w:t>
              </w:r>
              <w:r w:rsidRPr="000E3F0F">
                <w:rPr>
                  <w:rStyle w:val="a4"/>
                  <w:b/>
                  <w:bCs/>
                  <w:color w:val="000000"/>
                  <w:u w:val="none"/>
                </w:rPr>
                <w:t xml:space="preserve"> </w:t>
              </w:r>
              <w:r w:rsidRPr="000E3F0F">
                <w:rPr>
                  <w:rStyle w:val="a4"/>
                  <w:color w:val="auto"/>
                  <w:u w:val="none"/>
                </w:rPr>
                <w:t>до системи управління ризиками</w:t>
              </w:r>
            </w:hyperlink>
            <w:r w:rsidRPr="000E3F0F">
              <w:t xml:space="preserve">, затверджених рішенням Комісії від 01 жовтня 2015 року № 1597, зареєстрованих в Міністерстві юстиції </w:t>
            </w:r>
            <w:r w:rsidRPr="000E3F0F">
              <w:lastRenderedPageBreak/>
              <w:t xml:space="preserve">України 28 жовтня 2015 року за </w:t>
            </w:r>
            <w:r w:rsidR="007924A0">
              <w:rPr>
                <w:lang w:val="en-US"/>
              </w:rPr>
              <w:t xml:space="preserve">                     </w:t>
            </w:r>
            <w:r w:rsidRPr="000E3F0F">
              <w:t>№ 1311/27756, для діяльності з організації торгівлі на фондовому ринку</w:t>
            </w:r>
            <w:r w:rsidR="00383A1F">
              <w:t>.</w:t>
            </w:r>
          </w:p>
        </w:tc>
        <w:tc>
          <w:tcPr>
            <w:tcW w:w="1440" w:type="dxa"/>
            <w:gridSpan w:val="2"/>
          </w:tcPr>
          <w:p w:rsidR="00A26891" w:rsidRPr="000E3F0F" w:rsidRDefault="00A26891" w:rsidP="00A56E0E">
            <w:pPr>
              <w:pStyle w:val="NoSpacing"/>
              <w:jc w:val="center"/>
              <w:rPr>
                <w:rFonts w:ascii="Times New Roman" w:hAnsi="Times New Roman"/>
                <w:sz w:val="24"/>
                <w:szCs w:val="24"/>
                <w:lang w:val="uk-UA"/>
              </w:rPr>
            </w:pPr>
            <w:r w:rsidRPr="000E3F0F">
              <w:rPr>
                <w:rFonts w:ascii="Times New Roman" w:hAnsi="Times New Roman"/>
                <w:sz w:val="24"/>
                <w:szCs w:val="24"/>
                <w:lang w:val="uk-UA"/>
              </w:rPr>
              <w:lastRenderedPageBreak/>
              <w:t>високий,</w:t>
            </w:r>
          </w:p>
          <w:p w:rsidR="00A26891" w:rsidRPr="000E3F0F" w:rsidRDefault="00A26891" w:rsidP="00A56E0E">
            <w:pPr>
              <w:pStyle w:val="NoSpacing"/>
              <w:jc w:val="center"/>
              <w:rPr>
                <w:rFonts w:ascii="Times New Roman" w:hAnsi="Times New Roman"/>
                <w:sz w:val="24"/>
                <w:szCs w:val="24"/>
                <w:lang w:val="uk-UA"/>
              </w:rPr>
            </w:pPr>
            <w:r w:rsidRPr="000E3F0F">
              <w:rPr>
                <w:rFonts w:ascii="Times New Roman" w:hAnsi="Times New Roman"/>
                <w:sz w:val="24"/>
                <w:szCs w:val="24"/>
                <w:lang w:val="uk-UA"/>
              </w:rPr>
              <w:t>середній,</w:t>
            </w:r>
          </w:p>
          <w:p w:rsidR="00A26891" w:rsidRPr="000E3F0F" w:rsidRDefault="00A26891" w:rsidP="00A56E0E">
            <w:pPr>
              <w:pStyle w:val="NoSpacing"/>
              <w:jc w:val="center"/>
              <w:rPr>
                <w:rFonts w:ascii="Times New Roman" w:hAnsi="Times New Roman"/>
                <w:sz w:val="24"/>
                <w:szCs w:val="24"/>
                <w:lang w:val="uk-UA"/>
              </w:rPr>
            </w:pPr>
            <w:r w:rsidRPr="000E3F0F">
              <w:rPr>
                <w:rFonts w:ascii="Times New Roman" w:hAnsi="Times New Roman"/>
                <w:sz w:val="24"/>
                <w:szCs w:val="24"/>
                <w:lang w:val="uk-UA"/>
              </w:rPr>
              <w:t>незначний</w:t>
            </w:r>
          </w:p>
        </w:tc>
        <w:tc>
          <w:tcPr>
            <w:tcW w:w="1620" w:type="dxa"/>
            <w:gridSpan w:val="2"/>
          </w:tcPr>
          <w:p w:rsidR="00A26891" w:rsidRPr="000E3F0F" w:rsidRDefault="00A26891" w:rsidP="00A56E0E">
            <w:pPr>
              <w:pStyle w:val="NoSpacing"/>
              <w:jc w:val="both"/>
              <w:rPr>
                <w:rFonts w:ascii="Times New Roman" w:hAnsi="Times New Roman"/>
                <w:sz w:val="24"/>
                <w:szCs w:val="24"/>
                <w:lang w:val="uk-UA"/>
              </w:rPr>
            </w:pPr>
          </w:p>
        </w:tc>
        <w:tc>
          <w:tcPr>
            <w:tcW w:w="360" w:type="dxa"/>
          </w:tcPr>
          <w:p w:rsidR="00A26891" w:rsidRPr="000E3F0F" w:rsidRDefault="00A26891" w:rsidP="00A56E0E">
            <w:pPr>
              <w:pStyle w:val="NoSpacing"/>
              <w:jc w:val="both"/>
              <w:rPr>
                <w:rFonts w:ascii="Times New Roman" w:hAnsi="Times New Roman"/>
                <w:sz w:val="24"/>
                <w:szCs w:val="24"/>
                <w:lang w:val="uk-UA"/>
              </w:rPr>
            </w:pPr>
          </w:p>
        </w:tc>
        <w:tc>
          <w:tcPr>
            <w:tcW w:w="360" w:type="dxa"/>
          </w:tcPr>
          <w:p w:rsidR="00A26891" w:rsidRPr="000E3F0F" w:rsidRDefault="00A26891" w:rsidP="00A56E0E">
            <w:pPr>
              <w:pStyle w:val="NoSpacing"/>
              <w:jc w:val="both"/>
              <w:rPr>
                <w:rFonts w:ascii="Times New Roman" w:hAnsi="Times New Roman"/>
                <w:sz w:val="24"/>
                <w:szCs w:val="24"/>
                <w:lang w:val="uk-UA"/>
              </w:rPr>
            </w:pPr>
          </w:p>
        </w:tc>
        <w:tc>
          <w:tcPr>
            <w:tcW w:w="720" w:type="dxa"/>
          </w:tcPr>
          <w:p w:rsidR="00A26891" w:rsidRPr="000E3F0F" w:rsidRDefault="00A26891" w:rsidP="00A56E0E">
            <w:pPr>
              <w:pStyle w:val="NoSpacing"/>
              <w:jc w:val="both"/>
              <w:rPr>
                <w:rFonts w:ascii="Times New Roman" w:hAnsi="Times New Roman"/>
                <w:sz w:val="24"/>
                <w:szCs w:val="24"/>
                <w:lang w:val="uk-UA"/>
              </w:rPr>
            </w:pPr>
          </w:p>
        </w:tc>
        <w:tc>
          <w:tcPr>
            <w:tcW w:w="1800" w:type="dxa"/>
          </w:tcPr>
          <w:p w:rsidR="007C3DAB" w:rsidRDefault="006B2C74" w:rsidP="00BF1D63">
            <w:pPr>
              <w:pStyle w:val="HTML"/>
              <w:rPr>
                <w:rFonts w:ascii="Times New Roman" w:hAnsi="Times New Roman"/>
                <w:bCs/>
                <w:sz w:val="24"/>
                <w:szCs w:val="24"/>
                <w:lang w:val="uk-UA"/>
              </w:rPr>
            </w:pPr>
            <w:r>
              <w:rPr>
                <w:rFonts w:ascii="Times New Roman" w:hAnsi="Times New Roman"/>
                <w:bCs/>
                <w:sz w:val="24"/>
                <w:szCs w:val="24"/>
                <w:lang w:val="uk-UA"/>
              </w:rPr>
              <w:t>Абзац</w:t>
            </w:r>
            <w:r w:rsidR="0069293C">
              <w:rPr>
                <w:rFonts w:ascii="Times New Roman" w:hAnsi="Times New Roman"/>
                <w:bCs/>
                <w:sz w:val="24"/>
                <w:szCs w:val="24"/>
                <w:lang w:val="uk-UA"/>
              </w:rPr>
              <w:t>и</w:t>
            </w:r>
            <w:r>
              <w:rPr>
                <w:rFonts w:ascii="Times New Roman" w:hAnsi="Times New Roman"/>
                <w:bCs/>
                <w:sz w:val="24"/>
                <w:szCs w:val="24"/>
                <w:lang w:val="uk-UA"/>
              </w:rPr>
              <w:t xml:space="preserve"> перший </w:t>
            </w:r>
            <w:r w:rsidR="007C3DAB">
              <w:rPr>
                <w:rFonts w:ascii="Times New Roman" w:hAnsi="Times New Roman"/>
                <w:bCs/>
                <w:sz w:val="24"/>
                <w:szCs w:val="24"/>
                <w:lang w:val="uk-UA"/>
              </w:rPr>
              <w:t xml:space="preserve">та сьомий </w:t>
            </w:r>
          </w:p>
          <w:p w:rsidR="00A26891" w:rsidRPr="000E3F0F" w:rsidRDefault="006B2C74" w:rsidP="00BF1D63">
            <w:pPr>
              <w:pStyle w:val="HTML"/>
              <w:rPr>
                <w:rFonts w:ascii="Times New Roman" w:hAnsi="Times New Roman"/>
                <w:bCs/>
                <w:sz w:val="24"/>
                <w:szCs w:val="24"/>
                <w:lang w:val="uk-UA"/>
              </w:rPr>
            </w:pPr>
            <w:r>
              <w:rPr>
                <w:rFonts w:ascii="Times New Roman" w:hAnsi="Times New Roman"/>
                <w:bCs/>
                <w:sz w:val="24"/>
                <w:szCs w:val="24"/>
                <w:lang w:val="uk-UA"/>
              </w:rPr>
              <w:t>п</w:t>
            </w:r>
            <w:r w:rsidR="00A26891" w:rsidRPr="000E3F0F">
              <w:rPr>
                <w:rFonts w:ascii="Times New Roman" w:hAnsi="Times New Roman"/>
                <w:bCs/>
                <w:sz w:val="24"/>
                <w:szCs w:val="24"/>
                <w:lang w:val="uk-UA"/>
              </w:rPr>
              <w:t>ункт</w:t>
            </w:r>
            <w:r>
              <w:rPr>
                <w:rFonts w:ascii="Times New Roman" w:hAnsi="Times New Roman"/>
                <w:bCs/>
                <w:sz w:val="24"/>
                <w:szCs w:val="24"/>
                <w:lang w:val="uk-UA"/>
              </w:rPr>
              <w:t>у</w:t>
            </w:r>
            <w:r w:rsidR="00A26891" w:rsidRPr="000E3F0F">
              <w:rPr>
                <w:rFonts w:ascii="Times New Roman" w:hAnsi="Times New Roman"/>
                <w:bCs/>
                <w:sz w:val="24"/>
                <w:szCs w:val="24"/>
                <w:lang w:val="uk-UA"/>
              </w:rPr>
              <w:t xml:space="preserve"> 7 розділу ІІ Ліцен</w:t>
            </w:r>
            <w:r w:rsidR="00A26891">
              <w:rPr>
                <w:rFonts w:ascii="Times New Roman" w:hAnsi="Times New Roman"/>
                <w:bCs/>
                <w:sz w:val="24"/>
                <w:szCs w:val="24"/>
                <w:lang w:val="uk-UA"/>
              </w:rPr>
              <w:t xml:space="preserve">зійних умов № </w:t>
            </w:r>
            <w:r w:rsidR="00A26891" w:rsidRPr="000E3F0F">
              <w:rPr>
                <w:rFonts w:ascii="Times New Roman" w:hAnsi="Times New Roman"/>
                <w:bCs/>
                <w:sz w:val="24"/>
                <w:szCs w:val="24"/>
                <w:lang w:val="uk-UA"/>
              </w:rPr>
              <w:t>818;</w:t>
            </w:r>
          </w:p>
          <w:p w:rsidR="00383A1F" w:rsidRDefault="00A26891" w:rsidP="00BF1D63">
            <w:pPr>
              <w:pStyle w:val="HTML"/>
              <w:rPr>
                <w:rFonts w:ascii="Times New Roman" w:hAnsi="Times New Roman"/>
                <w:bCs/>
                <w:sz w:val="24"/>
                <w:szCs w:val="24"/>
                <w:lang w:val="uk-UA"/>
              </w:rPr>
            </w:pPr>
            <w:r w:rsidRPr="000E3F0F">
              <w:rPr>
                <w:rFonts w:ascii="Times New Roman" w:hAnsi="Times New Roman"/>
                <w:bCs/>
                <w:sz w:val="24"/>
                <w:szCs w:val="24"/>
                <w:lang w:val="uk-UA"/>
              </w:rPr>
              <w:t xml:space="preserve">Положення </w:t>
            </w:r>
          </w:p>
          <w:p w:rsidR="00A26891" w:rsidRPr="000E3F0F" w:rsidRDefault="00A26891" w:rsidP="00BF1D63">
            <w:pPr>
              <w:pStyle w:val="HTML"/>
              <w:rPr>
                <w:rFonts w:ascii="Times New Roman" w:hAnsi="Times New Roman"/>
                <w:sz w:val="24"/>
                <w:szCs w:val="24"/>
                <w:lang w:val="uk-UA"/>
              </w:rPr>
            </w:pPr>
            <w:r w:rsidRPr="000E3F0F">
              <w:rPr>
                <w:rFonts w:ascii="Times New Roman" w:hAnsi="Times New Roman"/>
                <w:bCs/>
                <w:sz w:val="24"/>
                <w:szCs w:val="24"/>
                <w:lang w:val="uk-UA"/>
              </w:rPr>
              <w:t>№ 1597</w:t>
            </w:r>
          </w:p>
        </w:tc>
      </w:tr>
      <w:tr w:rsidR="006E4ADF" w:rsidRPr="008B6049" w:rsidTr="00523BD3">
        <w:tc>
          <w:tcPr>
            <w:tcW w:w="540" w:type="dxa"/>
          </w:tcPr>
          <w:p w:rsidR="006E4ADF" w:rsidRPr="000E3F0F" w:rsidRDefault="006E4ADF" w:rsidP="00A56E0E">
            <w:pPr>
              <w:pStyle w:val="NoSpacing"/>
              <w:jc w:val="both"/>
              <w:rPr>
                <w:rFonts w:ascii="Times New Roman" w:hAnsi="Times New Roman"/>
                <w:sz w:val="24"/>
                <w:szCs w:val="24"/>
                <w:lang w:val="en-US"/>
              </w:rPr>
            </w:pPr>
            <w:r w:rsidRPr="0023316E">
              <w:rPr>
                <w:rFonts w:ascii="Times New Roman" w:hAnsi="Times New Roman"/>
                <w:sz w:val="24"/>
                <w:szCs w:val="24"/>
                <w:lang w:val="uk-UA"/>
              </w:rPr>
              <w:t>2</w:t>
            </w:r>
          </w:p>
        </w:tc>
        <w:tc>
          <w:tcPr>
            <w:tcW w:w="2520" w:type="dxa"/>
            <w:gridSpan w:val="2"/>
          </w:tcPr>
          <w:p w:rsidR="006E4ADF" w:rsidRPr="000E3F0F" w:rsidRDefault="006E4ADF" w:rsidP="00FB2C9D">
            <w:pPr>
              <w:pStyle w:val="rvps2"/>
            </w:pPr>
            <w:r w:rsidRPr="0023316E">
              <w:t>Фондова біржа дотримується таких вимог:</w:t>
            </w:r>
          </w:p>
        </w:tc>
        <w:tc>
          <w:tcPr>
            <w:tcW w:w="1440" w:type="dxa"/>
            <w:gridSpan w:val="2"/>
          </w:tcPr>
          <w:p w:rsidR="00CD1B11" w:rsidRPr="000E3F0F" w:rsidRDefault="00CD1B11" w:rsidP="00CD1B11">
            <w:pPr>
              <w:pStyle w:val="NoSpacing"/>
              <w:jc w:val="center"/>
              <w:rPr>
                <w:rFonts w:ascii="Times New Roman" w:hAnsi="Times New Roman"/>
                <w:sz w:val="24"/>
                <w:szCs w:val="24"/>
                <w:lang w:val="uk-UA"/>
              </w:rPr>
            </w:pPr>
            <w:r w:rsidRPr="000E3F0F">
              <w:rPr>
                <w:rFonts w:ascii="Times New Roman" w:hAnsi="Times New Roman"/>
                <w:sz w:val="24"/>
                <w:szCs w:val="24"/>
                <w:lang w:val="uk-UA"/>
              </w:rPr>
              <w:t>високий,</w:t>
            </w:r>
          </w:p>
          <w:p w:rsidR="00CD1B11" w:rsidRPr="000E3F0F" w:rsidRDefault="00CD1B11" w:rsidP="00CD1B11">
            <w:pPr>
              <w:pStyle w:val="NoSpacing"/>
              <w:jc w:val="center"/>
              <w:rPr>
                <w:rFonts w:ascii="Times New Roman" w:hAnsi="Times New Roman"/>
                <w:sz w:val="24"/>
                <w:szCs w:val="24"/>
                <w:lang w:val="uk-UA"/>
              </w:rPr>
            </w:pPr>
            <w:r w:rsidRPr="000E3F0F">
              <w:rPr>
                <w:rFonts w:ascii="Times New Roman" w:hAnsi="Times New Roman"/>
                <w:sz w:val="24"/>
                <w:szCs w:val="24"/>
                <w:lang w:val="uk-UA"/>
              </w:rPr>
              <w:t>середній,</w:t>
            </w:r>
          </w:p>
          <w:p w:rsidR="006E4ADF" w:rsidRPr="000E3F0F" w:rsidRDefault="00CD1B11" w:rsidP="00CD1B11">
            <w:pPr>
              <w:pStyle w:val="NoSpacing"/>
              <w:jc w:val="center"/>
              <w:rPr>
                <w:rFonts w:ascii="Times New Roman" w:hAnsi="Times New Roman"/>
                <w:sz w:val="24"/>
                <w:szCs w:val="24"/>
                <w:lang w:val="uk-UA"/>
              </w:rPr>
            </w:pPr>
            <w:r w:rsidRPr="000E3F0F">
              <w:rPr>
                <w:rFonts w:ascii="Times New Roman" w:hAnsi="Times New Roman"/>
                <w:sz w:val="24"/>
                <w:szCs w:val="24"/>
                <w:lang w:val="uk-UA"/>
              </w:rPr>
              <w:t>незначний</w:t>
            </w:r>
          </w:p>
        </w:tc>
        <w:tc>
          <w:tcPr>
            <w:tcW w:w="1620" w:type="dxa"/>
            <w:gridSpan w:val="2"/>
          </w:tcPr>
          <w:p w:rsidR="006E4ADF" w:rsidRPr="000E3F0F" w:rsidRDefault="006E4ADF" w:rsidP="00A56E0E">
            <w:pPr>
              <w:pStyle w:val="NoSpacing"/>
              <w:jc w:val="both"/>
              <w:rPr>
                <w:rFonts w:ascii="Times New Roman" w:hAnsi="Times New Roman"/>
                <w:sz w:val="24"/>
                <w:szCs w:val="24"/>
                <w:lang w:val="uk-UA"/>
              </w:rPr>
            </w:pPr>
          </w:p>
        </w:tc>
        <w:tc>
          <w:tcPr>
            <w:tcW w:w="360" w:type="dxa"/>
          </w:tcPr>
          <w:p w:rsidR="006E4ADF" w:rsidRPr="000E3F0F" w:rsidRDefault="006E4ADF" w:rsidP="00A56E0E">
            <w:pPr>
              <w:pStyle w:val="NoSpacing"/>
              <w:jc w:val="both"/>
              <w:rPr>
                <w:rFonts w:ascii="Times New Roman" w:hAnsi="Times New Roman"/>
                <w:sz w:val="24"/>
                <w:szCs w:val="24"/>
                <w:lang w:val="uk-UA"/>
              </w:rPr>
            </w:pPr>
          </w:p>
        </w:tc>
        <w:tc>
          <w:tcPr>
            <w:tcW w:w="360" w:type="dxa"/>
          </w:tcPr>
          <w:p w:rsidR="006E4ADF" w:rsidRPr="000E3F0F" w:rsidRDefault="006E4ADF" w:rsidP="00A56E0E">
            <w:pPr>
              <w:pStyle w:val="NoSpacing"/>
              <w:jc w:val="both"/>
              <w:rPr>
                <w:rFonts w:ascii="Times New Roman" w:hAnsi="Times New Roman"/>
                <w:sz w:val="24"/>
                <w:szCs w:val="24"/>
                <w:lang w:val="uk-UA"/>
              </w:rPr>
            </w:pPr>
          </w:p>
        </w:tc>
        <w:tc>
          <w:tcPr>
            <w:tcW w:w="720" w:type="dxa"/>
          </w:tcPr>
          <w:p w:rsidR="006E4ADF" w:rsidRPr="000E3F0F" w:rsidRDefault="006E4ADF" w:rsidP="00A56E0E">
            <w:pPr>
              <w:pStyle w:val="NoSpacing"/>
              <w:jc w:val="both"/>
              <w:rPr>
                <w:rFonts w:ascii="Times New Roman" w:hAnsi="Times New Roman"/>
                <w:sz w:val="24"/>
                <w:szCs w:val="24"/>
                <w:lang w:val="uk-UA"/>
              </w:rPr>
            </w:pPr>
          </w:p>
        </w:tc>
        <w:tc>
          <w:tcPr>
            <w:tcW w:w="1800" w:type="dxa"/>
          </w:tcPr>
          <w:p w:rsidR="006E4ADF" w:rsidRDefault="00CD1B11" w:rsidP="00BF1D63">
            <w:pPr>
              <w:pStyle w:val="HTML"/>
              <w:rPr>
                <w:rFonts w:ascii="Times New Roman" w:hAnsi="Times New Roman"/>
                <w:bCs/>
                <w:sz w:val="24"/>
                <w:szCs w:val="24"/>
                <w:lang w:val="uk-UA"/>
              </w:rPr>
            </w:pPr>
            <w:r w:rsidRPr="0023316E">
              <w:rPr>
                <w:rFonts w:ascii="Times New Roman" w:hAnsi="Times New Roman"/>
                <w:sz w:val="24"/>
                <w:szCs w:val="24"/>
                <w:lang w:val="uk-UA"/>
              </w:rPr>
              <w:t xml:space="preserve">Абзац </w:t>
            </w:r>
            <w:r>
              <w:rPr>
                <w:rFonts w:ascii="Times New Roman" w:hAnsi="Times New Roman"/>
                <w:sz w:val="24"/>
                <w:szCs w:val="24"/>
                <w:lang w:val="uk-UA"/>
              </w:rPr>
              <w:t>перший</w:t>
            </w:r>
            <w:r w:rsidRPr="0023316E">
              <w:rPr>
                <w:rFonts w:ascii="Times New Roman" w:hAnsi="Times New Roman"/>
                <w:sz w:val="24"/>
                <w:szCs w:val="24"/>
                <w:lang w:val="uk-UA"/>
              </w:rPr>
              <w:t xml:space="preserve"> пункту 4 розділу ІІ Ліцензійних умов № 818</w:t>
            </w:r>
          </w:p>
        </w:tc>
      </w:tr>
      <w:tr w:rsidR="00A26891" w:rsidRPr="008B6049" w:rsidTr="00523BD3">
        <w:trPr>
          <w:trHeight w:val="283"/>
        </w:trPr>
        <w:tc>
          <w:tcPr>
            <w:tcW w:w="540" w:type="dxa"/>
          </w:tcPr>
          <w:p w:rsidR="00A26891"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2.1</w:t>
            </w:r>
          </w:p>
        </w:tc>
        <w:tc>
          <w:tcPr>
            <w:tcW w:w="2520" w:type="dxa"/>
            <w:gridSpan w:val="2"/>
          </w:tcPr>
          <w:p w:rsidR="00A26891" w:rsidRPr="00CD1B11" w:rsidRDefault="00CD1B11" w:rsidP="00A56E0E">
            <w:pPr>
              <w:rPr>
                <w:lang w:val="uk-UA"/>
              </w:rPr>
            </w:pPr>
            <w:r>
              <w:rPr>
                <w:rStyle w:val="rvts0"/>
                <w:lang w:val="uk-UA"/>
              </w:rPr>
              <w:t>р</w:t>
            </w:r>
            <w:r w:rsidR="00A26891" w:rsidRPr="0023316E">
              <w:rPr>
                <w:rStyle w:val="rvts0"/>
              </w:rPr>
              <w:t xml:space="preserve">озмір статутного капіталу фондової біржі </w:t>
            </w:r>
            <w:r w:rsidR="00A26891" w:rsidRPr="0023316E">
              <w:rPr>
                <w:rStyle w:val="rvts0"/>
                <w:lang w:val="uk-UA"/>
              </w:rPr>
              <w:t>є</w:t>
            </w:r>
            <w:r w:rsidR="00A26891" w:rsidRPr="0023316E">
              <w:rPr>
                <w:rStyle w:val="rvts0"/>
              </w:rPr>
              <w:t xml:space="preserve"> не меншим, ніж установлений законом щодо цінних паперів</w:t>
            </w:r>
            <w:r>
              <w:rPr>
                <w:rStyle w:val="rvts0"/>
                <w:lang w:val="uk-UA"/>
              </w:rPr>
              <w:t>;</w:t>
            </w:r>
          </w:p>
        </w:tc>
        <w:tc>
          <w:tcPr>
            <w:tcW w:w="1440" w:type="dxa"/>
            <w:gridSpan w:val="2"/>
          </w:tcPr>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720" w:type="dxa"/>
          </w:tcPr>
          <w:p w:rsidR="00A26891" w:rsidRPr="0023316E" w:rsidRDefault="00A26891" w:rsidP="00A56E0E">
            <w:pPr>
              <w:pStyle w:val="NoSpacing"/>
              <w:jc w:val="both"/>
              <w:rPr>
                <w:rFonts w:ascii="Times New Roman" w:hAnsi="Times New Roman"/>
                <w:sz w:val="24"/>
                <w:szCs w:val="24"/>
                <w:lang w:val="uk-UA"/>
              </w:rPr>
            </w:pPr>
          </w:p>
        </w:tc>
        <w:tc>
          <w:tcPr>
            <w:tcW w:w="1800" w:type="dxa"/>
          </w:tcPr>
          <w:p w:rsidR="00A26891" w:rsidRPr="0023316E" w:rsidRDefault="00A26891" w:rsidP="00323E4E">
            <w:pPr>
              <w:pStyle w:val="HTML"/>
              <w:ind w:right="108"/>
              <w:rPr>
                <w:rFonts w:ascii="Times New Roman" w:hAnsi="Times New Roman"/>
                <w:sz w:val="24"/>
                <w:szCs w:val="24"/>
                <w:lang w:val="uk-UA"/>
              </w:rPr>
            </w:pPr>
            <w:r w:rsidRPr="0023316E">
              <w:rPr>
                <w:rFonts w:ascii="Times New Roman" w:hAnsi="Times New Roman"/>
                <w:sz w:val="24"/>
                <w:szCs w:val="24"/>
                <w:lang w:val="uk-UA"/>
              </w:rPr>
              <w:t>Абзац другий пункту 4 розділу ІІ Ліцензійних умов № 818</w:t>
            </w:r>
          </w:p>
        </w:tc>
      </w:tr>
      <w:tr w:rsidR="00A26891" w:rsidRPr="008B6049" w:rsidTr="00523BD3">
        <w:tc>
          <w:tcPr>
            <w:tcW w:w="540" w:type="dxa"/>
          </w:tcPr>
          <w:p w:rsidR="00A26891"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2.2</w:t>
            </w:r>
          </w:p>
        </w:tc>
        <w:tc>
          <w:tcPr>
            <w:tcW w:w="2520" w:type="dxa"/>
            <w:gridSpan w:val="2"/>
          </w:tcPr>
          <w:p w:rsidR="00A26891" w:rsidRPr="0023316E" w:rsidRDefault="00CD1B11" w:rsidP="00C32B9E">
            <w:pPr>
              <w:pStyle w:val="rvps2"/>
            </w:pPr>
            <w:bookmarkStart w:id="3" w:name="n32"/>
            <w:bookmarkStart w:id="4" w:name="n33"/>
            <w:bookmarkStart w:id="5" w:name="n34"/>
            <w:bookmarkEnd w:id="3"/>
            <w:bookmarkEnd w:id="4"/>
            <w:bookmarkEnd w:id="5"/>
            <w:r w:rsidRPr="0023316E">
              <w:t>розмір власного капіталу фондової біржі, що здійснює кліринг та розрахунки за фінансовими інструментами іншими, ніж цінні папери, становить не менш як 25 мільйонів гривень за даними фінансової звітності;</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A2689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 xml:space="preserve">незначний </w:t>
            </w:r>
          </w:p>
        </w:tc>
        <w:tc>
          <w:tcPr>
            <w:tcW w:w="1620" w:type="dxa"/>
            <w:gridSpan w:val="2"/>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720" w:type="dxa"/>
          </w:tcPr>
          <w:p w:rsidR="00A26891" w:rsidRPr="0023316E" w:rsidRDefault="00A26891" w:rsidP="00A56E0E">
            <w:pPr>
              <w:pStyle w:val="NoSpacing"/>
              <w:jc w:val="both"/>
              <w:rPr>
                <w:rFonts w:ascii="Times New Roman" w:hAnsi="Times New Roman"/>
                <w:sz w:val="24"/>
                <w:szCs w:val="24"/>
                <w:lang w:val="uk-UA"/>
              </w:rPr>
            </w:pPr>
          </w:p>
        </w:tc>
        <w:tc>
          <w:tcPr>
            <w:tcW w:w="1800" w:type="dxa"/>
          </w:tcPr>
          <w:p w:rsidR="00A26891" w:rsidRPr="0023316E" w:rsidRDefault="00CD1B11" w:rsidP="003D116D">
            <w:pPr>
              <w:pStyle w:val="HTML"/>
              <w:rPr>
                <w:rFonts w:ascii="Times New Roman" w:hAnsi="Times New Roman"/>
                <w:sz w:val="24"/>
                <w:szCs w:val="24"/>
                <w:lang w:val="uk-UA"/>
              </w:rPr>
            </w:pPr>
            <w:r>
              <w:rPr>
                <w:rFonts w:ascii="Times New Roman" w:hAnsi="Times New Roman"/>
                <w:sz w:val="24"/>
                <w:szCs w:val="24"/>
                <w:lang w:val="uk-UA"/>
              </w:rPr>
              <w:t>Абзац третій</w:t>
            </w:r>
            <w:r w:rsidR="00A26891" w:rsidRPr="0023316E">
              <w:rPr>
                <w:rFonts w:ascii="Times New Roman" w:hAnsi="Times New Roman"/>
                <w:sz w:val="24"/>
                <w:szCs w:val="24"/>
                <w:lang w:val="uk-UA"/>
              </w:rPr>
              <w:t xml:space="preserve"> пункту 4 розділу ІІ Ліцензійних умов № 818</w:t>
            </w:r>
          </w:p>
          <w:p w:rsidR="00A26891" w:rsidRPr="0023316E" w:rsidRDefault="00A26891" w:rsidP="003D116D">
            <w:pPr>
              <w:pStyle w:val="HTML"/>
              <w:rPr>
                <w:rFonts w:ascii="Times New Roman" w:hAnsi="Times New Roman"/>
                <w:sz w:val="24"/>
                <w:szCs w:val="24"/>
                <w:lang w:val="uk-UA"/>
              </w:rPr>
            </w:pPr>
          </w:p>
        </w:tc>
      </w:tr>
      <w:tr w:rsidR="00C32B9E" w:rsidRPr="008B6049" w:rsidTr="00523BD3">
        <w:tc>
          <w:tcPr>
            <w:tcW w:w="540" w:type="dxa"/>
          </w:tcPr>
          <w:p w:rsidR="00C32B9E"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2.3</w:t>
            </w:r>
          </w:p>
        </w:tc>
        <w:tc>
          <w:tcPr>
            <w:tcW w:w="2520" w:type="dxa"/>
            <w:gridSpan w:val="2"/>
          </w:tcPr>
          <w:p w:rsidR="00C32B9E" w:rsidRPr="0023316E" w:rsidRDefault="006E4ADF" w:rsidP="003D116D">
            <w:pPr>
              <w:pStyle w:val="rvps2"/>
            </w:pPr>
            <w:r w:rsidRPr="0023316E">
              <w:t>частка статутного капіталу фондової біржі, що належить одному торговцю цінними паперами, є не більшою ніж 5 відсотків статутного капіталу фондової біржі;</w:t>
            </w:r>
            <w:bookmarkStart w:id="6" w:name="n36"/>
            <w:bookmarkEnd w:id="6"/>
            <w:r w:rsidRPr="0023316E">
              <w:t xml:space="preserve"> </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32B9E"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720" w:type="dxa"/>
          </w:tcPr>
          <w:p w:rsidR="00C32B9E" w:rsidRPr="0023316E" w:rsidRDefault="00C32B9E" w:rsidP="00A56E0E">
            <w:pPr>
              <w:pStyle w:val="NoSpacing"/>
              <w:jc w:val="both"/>
              <w:rPr>
                <w:rFonts w:ascii="Times New Roman" w:hAnsi="Times New Roman"/>
                <w:sz w:val="24"/>
                <w:szCs w:val="24"/>
                <w:lang w:val="uk-UA"/>
              </w:rPr>
            </w:pPr>
          </w:p>
        </w:tc>
        <w:tc>
          <w:tcPr>
            <w:tcW w:w="180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четвертий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32B9E" w:rsidRPr="0023316E" w:rsidRDefault="00C32B9E" w:rsidP="003D116D">
            <w:pPr>
              <w:pStyle w:val="HTML"/>
              <w:rPr>
                <w:rFonts w:ascii="Times New Roman" w:hAnsi="Times New Roman"/>
                <w:sz w:val="24"/>
                <w:szCs w:val="24"/>
                <w:lang w:val="uk-UA"/>
              </w:rPr>
            </w:pPr>
          </w:p>
        </w:tc>
      </w:tr>
      <w:tr w:rsidR="00C32B9E" w:rsidRPr="008B6049" w:rsidTr="00523BD3">
        <w:tc>
          <w:tcPr>
            <w:tcW w:w="540" w:type="dxa"/>
          </w:tcPr>
          <w:p w:rsidR="00C32B9E"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2.4</w:t>
            </w:r>
          </w:p>
        </w:tc>
        <w:tc>
          <w:tcPr>
            <w:tcW w:w="2520" w:type="dxa"/>
            <w:gridSpan w:val="2"/>
          </w:tcPr>
          <w:p w:rsidR="00C32B9E" w:rsidRPr="0023316E" w:rsidRDefault="00CD1B11" w:rsidP="003D116D">
            <w:pPr>
              <w:pStyle w:val="rvps2"/>
            </w:pPr>
            <w:r w:rsidRPr="0023316E">
              <w:t xml:space="preserve">фондова біржа не має частки у статутних (складених) капіталах 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w:t>
            </w:r>
            <w:r w:rsidRPr="0023316E">
              <w:lastRenderedPageBreak/>
              <w:t>товарних, аграрних, валютних бірж;</w:t>
            </w:r>
            <w:bookmarkStart w:id="7" w:name="n202"/>
            <w:bookmarkStart w:id="8" w:name="n37"/>
            <w:bookmarkEnd w:id="7"/>
            <w:bookmarkEnd w:id="8"/>
            <w:r>
              <w:t xml:space="preserve"> </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lastRenderedPageBreak/>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32B9E"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720" w:type="dxa"/>
          </w:tcPr>
          <w:p w:rsidR="00C32B9E" w:rsidRPr="0023316E" w:rsidRDefault="00C32B9E" w:rsidP="00A56E0E">
            <w:pPr>
              <w:pStyle w:val="NoSpacing"/>
              <w:jc w:val="both"/>
              <w:rPr>
                <w:rFonts w:ascii="Times New Roman" w:hAnsi="Times New Roman"/>
                <w:sz w:val="24"/>
                <w:szCs w:val="24"/>
                <w:lang w:val="uk-UA"/>
              </w:rPr>
            </w:pPr>
          </w:p>
        </w:tc>
        <w:tc>
          <w:tcPr>
            <w:tcW w:w="180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 xml:space="preserve">Абзац п’ятий </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32B9E" w:rsidRPr="0023316E" w:rsidRDefault="00C32B9E" w:rsidP="003D116D">
            <w:pPr>
              <w:pStyle w:val="HTML"/>
              <w:rPr>
                <w:rFonts w:ascii="Times New Roman" w:hAnsi="Times New Roman"/>
                <w:sz w:val="24"/>
                <w:szCs w:val="24"/>
                <w:lang w:val="uk-UA"/>
              </w:rPr>
            </w:pPr>
          </w:p>
        </w:tc>
      </w:tr>
      <w:tr w:rsidR="00C32B9E" w:rsidRPr="008B6049" w:rsidTr="00523BD3">
        <w:tc>
          <w:tcPr>
            <w:tcW w:w="540" w:type="dxa"/>
          </w:tcPr>
          <w:p w:rsidR="00C32B9E"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2.5</w:t>
            </w:r>
          </w:p>
        </w:tc>
        <w:tc>
          <w:tcPr>
            <w:tcW w:w="2520" w:type="dxa"/>
            <w:gridSpan w:val="2"/>
          </w:tcPr>
          <w:p w:rsidR="00C32B9E" w:rsidRPr="0023316E" w:rsidRDefault="00CD1B11" w:rsidP="003D116D">
            <w:pPr>
              <w:pStyle w:val="rvps2"/>
            </w:pPr>
            <w:r w:rsidRPr="0023316E">
              <w:t>активи фондової біржі не сформовані недержавними цінними паперами, крім акцій, Центрального депозитарію цінних паперів (далі - Центральний депозитарій), клірингової установи, Розрахункового центру з обслуговування договорів на фінансових ринках, компаній з надання допоміжних послуг, товарних, аграрних, валютних бірж;</w:t>
            </w:r>
            <w:bookmarkStart w:id="9" w:name="n38"/>
            <w:bookmarkStart w:id="10" w:name="n39"/>
            <w:bookmarkEnd w:id="9"/>
            <w:bookmarkEnd w:id="10"/>
            <w:r>
              <w:t xml:space="preserve"> </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32B9E"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720" w:type="dxa"/>
          </w:tcPr>
          <w:p w:rsidR="00C32B9E" w:rsidRPr="0023316E" w:rsidRDefault="00C32B9E" w:rsidP="00A56E0E">
            <w:pPr>
              <w:pStyle w:val="NoSpacing"/>
              <w:jc w:val="both"/>
              <w:rPr>
                <w:rFonts w:ascii="Times New Roman" w:hAnsi="Times New Roman"/>
                <w:sz w:val="24"/>
                <w:szCs w:val="24"/>
                <w:lang w:val="uk-UA"/>
              </w:rPr>
            </w:pPr>
          </w:p>
        </w:tc>
        <w:tc>
          <w:tcPr>
            <w:tcW w:w="180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шостий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32B9E" w:rsidRDefault="00C32B9E" w:rsidP="003D116D">
            <w:pPr>
              <w:pStyle w:val="HTML"/>
              <w:rPr>
                <w:rFonts w:ascii="Times New Roman" w:hAnsi="Times New Roman"/>
                <w:sz w:val="24"/>
                <w:szCs w:val="24"/>
                <w:lang w:val="uk-UA"/>
              </w:rPr>
            </w:pPr>
          </w:p>
          <w:p w:rsidR="00CD1B11" w:rsidRPr="0023316E" w:rsidRDefault="00CD1B11" w:rsidP="00CD1B11">
            <w:pPr>
              <w:pStyle w:val="HTML"/>
              <w:rPr>
                <w:rFonts w:ascii="Times New Roman" w:hAnsi="Times New Roman"/>
                <w:sz w:val="24"/>
                <w:szCs w:val="24"/>
                <w:lang w:val="uk-UA"/>
              </w:rPr>
            </w:pPr>
          </w:p>
        </w:tc>
      </w:tr>
      <w:tr w:rsidR="00CD1B11" w:rsidRPr="008B6049" w:rsidTr="00523BD3">
        <w:tc>
          <w:tcPr>
            <w:tcW w:w="540" w:type="dxa"/>
          </w:tcPr>
          <w:p w:rsidR="00CD1B11"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2.6</w:t>
            </w:r>
          </w:p>
        </w:tc>
        <w:tc>
          <w:tcPr>
            <w:tcW w:w="2520" w:type="dxa"/>
            <w:gridSpan w:val="2"/>
          </w:tcPr>
          <w:p w:rsidR="00CD1B11" w:rsidRPr="0023316E" w:rsidRDefault="00CD1B11" w:rsidP="003D116D">
            <w:pPr>
              <w:pStyle w:val="rvps2"/>
            </w:pPr>
            <w:r w:rsidRPr="0023316E">
              <w:t>частка фондової біржі разом з пов’язаними особами у статутному капіталі Центрального депозитарію становить не більше як 5 відсотків;</w:t>
            </w:r>
          </w:p>
        </w:tc>
        <w:tc>
          <w:tcPr>
            <w:tcW w:w="1440" w:type="dxa"/>
            <w:gridSpan w:val="2"/>
          </w:tcPr>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D1B11"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720" w:type="dxa"/>
          </w:tcPr>
          <w:p w:rsidR="00CD1B11" w:rsidRPr="0023316E" w:rsidRDefault="00CD1B11" w:rsidP="00A56E0E">
            <w:pPr>
              <w:pStyle w:val="NoSpacing"/>
              <w:jc w:val="both"/>
              <w:rPr>
                <w:rFonts w:ascii="Times New Roman" w:hAnsi="Times New Roman"/>
                <w:sz w:val="24"/>
                <w:szCs w:val="24"/>
                <w:lang w:val="uk-UA"/>
              </w:rPr>
            </w:pPr>
          </w:p>
        </w:tc>
        <w:tc>
          <w:tcPr>
            <w:tcW w:w="180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сьомий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D1B11" w:rsidRDefault="00CD1B11" w:rsidP="00CD1B11">
            <w:pPr>
              <w:pStyle w:val="HTML"/>
              <w:rPr>
                <w:rFonts w:ascii="Times New Roman" w:hAnsi="Times New Roman"/>
                <w:sz w:val="24"/>
                <w:szCs w:val="24"/>
                <w:lang w:val="uk-UA"/>
              </w:rPr>
            </w:pPr>
          </w:p>
        </w:tc>
      </w:tr>
      <w:tr w:rsidR="00CD1B11" w:rsidRPr="008B6049" w:rsidTr="00523BD3">
        <w:tc>
          <w:tcPr>
            <w:tcW w:w="540" w:type="dxa"/>
          </w:tcPr>
          <w:p w:rsidR="00CD1B11"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2.7</w:t>
            </w:r>
          </w:p>
        </w:tc>
        <w:tc>
          <w:tcPr>
            <w:tcW w:w="2520" w:type="dxa"/>
            <w:gridSpan w:val="2"/>
          </w:tcPr>
          <w:p w:rsidR="00CD1B11" w:rsidRPr="0023316E" w:rsidRDefault="0080619B" w:rsidP="0080619B">
            <w:pPr>
              <w:pStyle w:val="rvps2"/>
            </w:pPr>
            <w:r>
              <w:t xml:space="preserve">прибуток фондової біржі має спрямовуватися на її розвиток та не підлягає розподілу між її засновниками (учасниками); </w:t>
            </w:r>
            <w:bookmarkStart w:id="11" w:name="n41"/>
            <w:bookmarkEnd w:id="11"/>
          </w:p>
        </w:tc>
        <w:tc>
          <w:tcPr>
            <w:tcW w:w="1440" w:type="dxa"/>
            <w:gridSpan w:val="2"/>
          </w:tcPr>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D1B11"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720" w:type="dxa"/>
          </w:tcPr>
          <w:p w:rsidR="00CD1B11" w:rsidRPr="0023316E" w:rsidRDefault="00CD1B11" w:rsidP="00A56E0E">
            <w:pPr>
              <w:pStyle w:val="NoSpacing"/>
              <w:jc w:val="both"/>
              <w:rPr>
                <w:rFonts w:ascii="Times New Roman" w:hAnsi="Times New Roman"/>
                <w:sz w:val="24"/>
                <w:szCs w:val="24"/>
                <w:lang w:val="uk-UA"/>
              </w:rPr>
            </w:pPr>
          </w:p>
        </w:tc>
        <w:tc>
          <w:tcPr>
            <w:tcW w:w="180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восьмий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D1B11" w:rsidRDefault="00CD1B11" w:rsidP="00CD1B11">
            <w:pPr>
              <w:pStyle w:val="HTML"/>
              <w:rPr>
                <w:rFonts w:ascii="Times New Roman" w:hAnsi="Times New Roman"/>
                <w:sz w:val="24"/>
                <w:szCs w:val="24"/>
                <w:lang w:val="uk-UA"/>
              </w:rPr>
            </w:pPr>
          </w:p>
        </w:tc>
      </w:tr>
      <w:tr w:rsidR="00CD1B11" w:rsidRPr="008B6049" w:rsidTr="00523BD3">
        <w:tc>
          <w:tcPr>
            <w:tcW w:w="540" w:type="dxa"/>
          </w:tcPr>
          <w:p w:rsidR="00CD1B11"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2.8</w:t>
            </w:r>
          </w:p>
        </w:tc>
        <w:tc>
          <w:tcPr>
            <w:tcW w:w="2520" w:type="dxa"/>
            <w:gridSpan w:val="2"/>
          </w:tcPr>
          <w:p w:rsidR="00CD1B11" w:rsidRPr="0023316E" w:rsidRDefault="0080619B" w:rsidP="003D116D">
            <w:pPr>
              <w:pStyle w:val="rvps2"/>
            </w:pPr>
            <w:r>
              <w:t>кількість членів фондової біржі не менше 20.</w:t>
            </w:r>
          </w:p>
        </w:tc>
        <w:tc>
          <w:tcPr>
            <w:tcW w:w="1440" w:type="dxa"/>
            <w:gridSpan w:val="2"/>
          </w:tcPr>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D1B11"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720" w:type="dxa"/>
          </w:tcPr>
          <w:p w:rsidR="00CD1B11" w:rsidRPr="0023316E" w:rsidRDefault="00CD1B11" w:rsidP="00A56E0E">
            <w:pPr>
              <w:pStyle w:val="NoSpacing"/>
              <w:jc w:val="both"/>
              <w:rPr>
                <w:rFonts w:ascii="Times New Roman" w:hAnsi="Times New Roman"/>
                <w:sz w:val="24"/>
                <w:szCs w:val="24"/>
                <w:lang w:val="uk-UA"/>
              </w:rPr>
            </w:pPr>
          </w:p>
        </w:tc>
        <w:tc>
          <w:tcPr>
            <w:tcW w:w="180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 xml:space="preserve">Абзац дев’ятий </w:t>
            </w:r>
          </w:p>
          <w:p w:rsidR="00CD1B11"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tc>
      </w:tr>
      <w:tr w:rsidR="006D6BB6" w:rsidRPr="008B6049" w:rsidTr="00523BD3">
        <w:tc>
          <w:tcPr>
            <w:tcW w:w="9360" w:type="dxa"/>
            <w:gridSpan w:val="11"/>
          </w:tcPr>
          <w:p w:rsidR="006D6BB6" w:rsidRPr="008B6049" w:rsidRDefault="006D6BB6" w:rsidP="006C1FC3">
            <w:pPr>
              <w:jc w:val="center"/>
              <w:rPr>
                <w:sz w:val="28"/>
                <w:szCs w:val="28"/>
                <w:highlight w:val="yellow"/>
                <w:lang w:val="uk-UA"/>
              </w:rPr>
            </w:pPr>
            <w:r w:rsidRPr="008B6049">
              <w:rPr>
                <w:b/>
                <w:sz w:val="28"/>
                <w:szCs w:val="28"/>
                <w:lang w:val="uk-UA"/>
              </w:rPr>
              <w:t>ІІ. Спеціальні питання</w:t>
            </w:r>
          </w:p>
        </w:tc>
      </w:tr>
      <w:tr w:rsidR="00A26891" w:rsidRPr="008B6049" w:rsidTr="00523BD3">
        <w:tc>
          <w:tcPr>
            <w:tcW w:w="720" w:type="dxa"/>
            <w:gridSpan w:val="2"/>
          </w:tcPr>
          <w:p w:rsidR="00A26891" w:rsidRPr="0023316E"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p>
        </w:tc>
        <w:tc>
          <w:tcPr>
            <w:tcW w:w="2520" w:type="dxa"/>
            <w:gridSpan w:val="2"/>
          </w:tcPr>
          <w:p w:rsidR="00A26891" w:rsidRPr="0023316E" w:rsidRDefault="00A26891" w:rsidP="0020206D">
            <w:pPr>
              <w:rPr>
                <w:lang w:val="uk-UA"/>
              </w:rPr>
            </w:pPr>
            <w:r w:rsidRPr="0023316E">
              <w:rPr>
                <w:lang w:val="uk-UA"/>
              </w:rPr>
              <w:t xml:space="preserve">Фондова біржа провадить професійну діяльність за                                    місцезнаходженням, зазначеним у Єдиному державному реєстрі юридичних осіб, фізичних осіб-підприємців та громадських </w:t>
            </w:r>
            <w:r w:rsidRPr="0023316E">
              <w:rPr>
                <w:lang w:val="uk-UA"/>
              </w:rPr>
              <w:lastRenderedPageBreak/>
              <w:t>формувань (крім випадку провадження  цієї діяльності відокремленим підрозділом юридичної особи ), у приміщенні, повністю відокремленому від приміщень інших юридичних осіб</w:t>
            </w:r>
            <w:r w:rsidR="00D80234">
              <w:rPr>
                <w:lang w:val="uk-UA"/>
              </w:rPr>
              <w:t>.</w:t>
            </w:r>
          </w:p>
        </w:tc>
        <w:tc>
          <w:tcPr>
            <w:tcW w:w="1895" w:type="dxa"/>
            <w:gridSpan w:val="2"/>
          </w:tcPr>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lastRenderedPageBreak/>
              <w:t>високий,</w:t>
            </w:r>
          </w:p>
          <w:p w:rsidR="00A26891" w:rsidRPr="00FB310E" w:rsidRDefault="00FB310E" w:rsidP="009A7043">
            <w:pPr>
              <w:pStyle w:val="NoSpacing"/>
              <w:jc w:val="center"/>
              <w:rPr>
                <w:rFonts w:ascii="Times New Roman" w:hAnsi="Times New Roman"/>
                <w:sz w:val="24"/>
                <w:szCs w:val="24"/>
                <w:lang w:val="en-US"/>
              </w:rPr>
            </w:pPr>
            <w:r>
              <w:rPr>
                <w:rFonts w:ascii="Times New Roman" w:hAnsi="Times New Roman"/>
                <w:sz w:val="24"/>
                <w:szCs w:val="24"/>
                <w:lang w:val="uk-UA"/>
              </w:rPr>
              <w:t>середній</w:t>
            </w:r>
          </w:p>
          <w:p w:rsidR="00A26891" w:rsidRPr="0023316E" w:rsidRDefault="00A26891" w:rsidP="009A7043">
            <w:pPr>
              <w:pStyle w:val="NoSpacing"/>
              <w:jc w:val="center"/>
              <w:rPr>
                <w:rFonts w:ascii="Times New Roman" w:hAnsi="Times New Roman"/>
                <w:sz w:val="24"/>
                <w:szCs w:val="24"/>
                <w:lang w:val="uk-UA"/>
              </w:rPr>
            </w:pPr>
          </w:p>
        </w:tc>
        <w:tc>
          <w:tcPr>
            <w:tcW w:w="985" w:type="dxa"/>
          </w:tcPr>
          <w:p w:rsidR="00A26891" w:rsidRPr="0023316E" w:rsidRDefault="00A26891" w:rsidP="0020206D">
            <w:pPr>
              <w:pStyle w:val="NoSpacing"/>
              <w:jc w:val="both"/>
              <w:rPr>
                <w:rFonts w:ascii="Times New Roman" w:hAnsi="Times New Roman"/>
                <w:sz w:val="24"/>
                <w:szCs w:val="24"/>
                <w:lang w:val="uk-UA"/>
              </w:rPr>
            </w:pPr>
          </w:p>
        </w:tc>
        <w:tc>
          <w:tcPr>
            <w:tcW w:w="360" w:type="dxa"/>
          </w:tcPr>
          <w:p w:rsidR="00A26891" w:rsidRPr="0023316E" w:rsidRDefault="00A26891" w:rsidP="0020206D">
            <w:pPr>
              <w:pStyle w:val="NoSpacing"/>
              <w:jc w:val="both"/>
              <w:rPr>
                <w:rFonts w:ascii="Times New Roman" w:hAnsi="Times New Roman"/>
                <w:sz w:val="24"/>
                <w:szCs w:val="24"/>
                <w:lang w:val="uk-UA"/>
              </w:rPr>
            </w:pPr>
          </w:p>
        </w:tc>
        <w:tc>
          <w:tcPr>
            <w:tcW w:w="360" w:type="dxa"/>
          </w:tcPr>
          <w:p w:rsidR="00A26891" w:rsidRPr="0023316E" w:rsidRDefault="00A26891" w:rsidP="0020206D">
            <w:pPr>
              <w:pStyle w:val="NoSpacing"/>
              <w:jc w:val="both"/>
              <w:rPr>
                <w:rFonts w:ascii="Times New Roman" w:hAnsi="Times New Roman"/>
                <w:sz w:val="24"/>
                <w:szCs w:val="24"/>
                <w:lang w:val="uk-UA"/>
              </w:rPr>
            </w:pPr>
          </w:p>
        </w:tc>
        <w:tc>
          <w:tcPr>
            <w:tcW w:w="720" w:type="dxa"/>
          </w:tcPr>
          <w:p w:rsidR="00A26891" w:rsidRPr="0023316E" w:rsidRDefault="00A26891" w:rsidP="0020206D">
            <w:pPr>
              <w:pStyle w:val="NoSpacing"/>
              <w:jc w:val="both"/>
              <w:rPr>
                <w:rFonts w:ascii="Times New Roman" w:hAnsi="Times New Roman"/>
                <w:sz w:val="24"/>
                <w:szCs w:val="24"/>
                <w:lang w:val="uk-UA"/>
              </w:rPr>
            </w:pPr>
          </w:p>
        </w:tc>
        <w:tc>
          <w:tcPr>
            <w:tcW w:w="1800" w:type="dxa"/>
          </w:tcPr>
          <w:p w:rsidR="00A26891" w:rsidRPr="0023316E" w:rsidRDefault="00A26891" w:rsidP="0020206D">
            <w:pPr>
              <w:pStyle w:val="HTML"/>
              <w:rPr>
                <w:rFonts w:ascii="Times New Roman" w:hAnsi="Times New Roman"/>
                <w:sz w:val="24"/>
                <w:szCs w:val="24"/>
                <w:lang w:val="uk-UA"/>
              </w:rPr>
            </w:pPr>
            <w:r w:rsidRPr="0023316E">
              <w:rPr>
                <w:rFonts w:ascii="Times New Roman" w:hAnsi="Times New Roman"/>
                <w:sz w:val="24"/>
                <w:szCs w:val="24"/>
                <w:lang w:val="uk-UA"/>
              </w:rPr>
              <w:t>Абзац перший пункту 1 розділу ІІ Ліцензійних умов № 818</w:t>
            </w:r>
          </w:p>
        </w:tc>
      </w:tr>
      <w:tr w:rsidR="00A26891" w:rsidRPr="008B6049" w:rsidTr="00523BD3">
        <w:tc>
          <w:tcPr>
            <w:tcW w:w="720" w:type="dxa"/>
            <w:gridSpan w:val="2"/>
          </w:tcPr>
          <w:p w:rsidR="00385872" w:rsidRPr="0023316E"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385872" w:rsidRPr="0023316E">
              <w:rPr>
                <w:rFonts w:ascii="Times New Roman" w:hAnsi="Times New Roman"/>
                <w:sz w:val="24"/>
                <w:szCs w:val="24"/>
                <w:lang w:val="uk-UA"/>
              </w:rPr>
              <w:t>.1</w:t>
            </w:r>
          </w:p>
        </w:tc>
        <w:tc>
          <w:tcPr>
            <w:tcW w:w="2520" w:type="dxa"/>
            <w:gridSpan w:val="2"/>
          </w:tcPr>
          <w:p w:rsidR="00385872" w:rsidRPr="0023316E" w:rsidRDefault="00385872" w:rsidP="000D7A5D">
            <w:pPr>
              <w:ind w:right="-85"/>
              <w:rPr>
                <w:lang w:val="uk-UA"/>
              </w:rPr>
            </w:pPr>
            <w:r w:rsidRPr="0023316E">
              <w:rPr>
                <w:lang w:val="uk-UA"/>
              </w:rPr>
              <w:t xml:space="preserve">Виконавчий орган ліцензіата </w:t>
            </w:r>
            <w:r w:rsidR="00211734" w:rsidRPr="0023316E">
              <w:rPr>
                <w:lang w:val="uk-UA"/>
              </w:rPr>
              <w:t>знаходиться</w:t>
            </w:r>
            <w:r w:rsidRPr="0023316E">
              <w:rPr>
                <w:lang w:val="uk-UA"/>
              </w:rPr>
              <w:t xml:space="preserve"> у нежитловому приміщенні за цим місцезнаходженням</w:t>
            </w:r>
            <w:r w:rsidR="00036E09">
              <w:rPr>
                <w:lang w:val="uk-UA"/>
              </w:rPr>
              <w:t>.</w:t>
            </w:r>
          </w:p>
        </w:tc>
        <w:tc>
          <w:tcPr>
            <w:tcW w:w="1895" w:type="dxa"/>
            <w:gridSpan w:val="2"/>
          </w:tcPr>
          <w:p w:rsidR="009A7043" w:rsidRPr="0023316E" w:rsidRDefault="009A7043"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9A7043" w:rsidRPr="0023316E" w:rsidRDefault="009A7043"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385872" w:rsidRPr="0023316E" w:rsidRDefault="009A7043"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985" w:type="dxa"/>
          </w:tcPr>
          <w:p w:rsidR="00385872" w:rsidRPr="0023316E" w:rsidRDefault="00385872" w:rsidP="0020206D">
            <w:pPr>
              <w:pStyle w:val="NoSpacing"/>
              <w:jc w:val="both"/>
              <w:rPr>
                <w:rFonts w:ascii="Times New Roman" w:hAnsi="Times New Roman"/>
                <w:sz w:val="24"/>
                <w:szCs w:val="24"/>
                <w:lang w:val="uk-UA"/>
              </w:rPr>
            </w:pPr>
          </w:p>
        </w:tc>
        <w:tc>
          <w:tcPr>
            <w:tcW w:w="360" w:type="dxa"/>
          </w:tcPr>
          <w:p w:rsidR="00385872" w:rsidRPr="0023316E" w:rsidRDefault="00385872" w:rsidP="0020206D">
            <w:pPr>
              <w:pStyle w:val="NoSpacing"/>
              <w:jc w:val="both"/>
              <w:rPr>
                <w:rFonts w:ascii="Times New Roman" w:hAnsi="Times New Roman"/>
                <w:sz w:val="24"/>
                <w:szCs w:val="24"/>
                <w:lang w:val="uk-UA"/>
              </w:rPr>
            </w:pPr>
          </w:p>
        </w:tc>
        <w:tc>
          <w:tcPr>
            <w:tcW w:w="360" w:type="dxa"/>
          </w:tcPr>
          <w:p w:rsidR="00385872" w:rsidRPr="0023316E" w:rsidRDefault="00385872" w:rsidP="0020206D">
            <w:pPr>
              <w:pStyle w:val="NoSpacing"/>
              <w:jc w:val="both"/>
              <w:rPr>
                <w:rFonts w:ascii="Times New Roman" w:hAnsi="Times New Roman"/>
                <w:sz w:val="24"/>
                <w:szCs w:val="24"/>
                <w:lang w:val="uk-UA"/>
              </w:rPr>
            </w:pPr>
          </w:p>
        </w:tc>
        <w:tc>
          <w:tcPr>
            <w:tcW w:w="720" w:type="dxa"/>
          </w:tcPr>
          <w:p w:rsidR="00385872" w:rsidRPr="0023316E" w:rsidRDefault="00385872" w:rsidP="0020206D">
            <w:pPr>
              <w:pStyle w:val="NoSpacing"/>
              <w:jc w:val="both"/>
              <w:rPr>
                <w:rFonts w:ascii="Times New Roman" w:hAnsi="Times New Roman"/>
                <w:sz w:val="24"/>
                <w:szCs w:val="24"/>
                <w:lang w:val="uk-UA"/>
              </w:rPr>
            </w:pPr>
          </w:p>
        </w:tc>
        <w:tc>
          <w:tcPr>
            <w:tcW w:w="1800" w:type="dxa"/>
          </w:tcPr>
          <w:p w:rsidR="00385872" w:rsidRPr="0023316E" w:rsidRDefault="00110AAB" w:rsidP="00110AAB">
            <w:pPr>
              <w:pStyle w:val="HTML"/>
              <w:tabs>
                <w:tab w:val="clear" w:pos="916"/>
                <w:tab w:val="clear" w:pos="1832"/>
              </w:tabs>
              <w:ind w:left="-85" w:right="-85"/>
              <w:rPr>
                <w:rFonts w:ascii="Times New Roman" w:hAnsi="Times New Roman"/>
                <w:sz w:val="24"/>
                <w:szCs w:val="24"/>
                <w:lang w:val="uk-UA"/>
              </w:rPr>
            </w:pPr>
            <w:r>
              <w:rPr>
                <w:rFonts w:ascii="Times New Roman" w:hAnsi="Times New Roman"/>
                <w:sz w:val="24"/>
                <w:szCs w:val="24"/>
                <w:lang w:val="uk-UA"/>
              </w:rPr>
              <w:t>Абзац другий    пункту 1</w:t>
            </w:r>
            <w:r w:rsidRPr="0023316E">
              <w:rPr>
                <w:rFonts w:ascii="Times New Roman" w:hAnsi="Times New Roman"/>
                <w:sz w:val="24"/>
                <w:szCs w:val="24"/>
                <w:lang w:val="uk-UA"/>
              </w:rPr>
              <w:t xml:space="preserve"> </w:t>
            </w:r>
            <w:r>
              <w:rPr>
                <w:rFonts w:ascii="Times New Roman" w:hAnsi="Times New Roman"/>
                <w:sz w:val="24"/>
                <w:szCs w:val="24"/>
                <w:lang w:val="uk-UA"/>
              </w:rPr>
              <w:t xml:space="preserve">розділу </w:t>
            </w:r>
            <w:r w:rsidRPr="0023316E">
              <w:rPr>
                <w:rFonts w:ascii="Times New Roman" w:hAnsi="Times New Roman"/>
                <w:sz w:val="24"/>
                <w:szCs w:val="24"/>
                <w:lang w:val="uk-UA"/>
              </w:rPr>
              <w:t>ІІ Ліцензійних умов № 818</w:t>
            </w:r>
          </w:p>
        </w:tc>
      </w:tr>
      <w:tr w:rsidR="00110AAB" w:rsidRPr="008B6049" w:rsidTr="00523BD3">
        <w:tc>
          <w:tcPr>
            <w:tcW w:w="720" w:type="dxa"/>
            <w:gridSpan w:val="2"/>
          </w:tcPr>
          <w:p w:rsidR="00617733" w:rsidRPr="0023316E"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617733" w:rsidRPr="0023316E">
              <w:rPr>
                <w:rFonts w:ascii="Times New Roman" w:hAnsi="Times New Roman"/>
                <w:sz w:val="24"/>
                <w:szCs w:val="24"/>
                <w:lang w:val="uk-UA"/>
              </w:rPr>
              <w:t>.2</w:t>
            </w:r>
          </w:p>
        </w:tc>
        <w:tc>
          <w:tcPr>
            <w:tcW w:w="2520" w:type="dxa"/>
            <w:gridSpan w:val="2"/>
          </w:tcPr>
          <w:p w:rsidR="00617733" w:rsidRPr="0023316E" w:rsidRDefault="00617733" w:rsidP="0020206D">
            <w:pPr>
              <w:rPr>
                <w:lang w:val="uk-UA"/>
              </w:rPr>
            </w:pPr>
            <w:r w:rsidRPr="0023316E">
              <w:rPr>
                <w:lang w:val="uk-UA"/>
              </w:rPr>
              <w:t>За місцезнаходженням (тимчасовим місцезнаходженням) ліцензіата  (його відокремленого підрозділу) є вивіска із зазначенням найменування та місця його розташування (поверх та номери кімнат у разі наявності)</w:t>
            </w:r>
            <w:r w:rsidR="00036E09">
              <w:rPr>
                <w:lang w:val="uk-UA"/>
              </w:rPr>
              <w:t>.</w:t>
            </w:r>
          </w:p>
        </w:tc>
        <w:tc>
          <w:tcPr>
            <w:tcW w:w="1895" w:type="dxa"/>
            <w:gridSpan w:val="2"/>
          </w:tcPr>
          <w:p w:rsidR="00796861" w:rsidRPr="0023316E" w:rsidRDefault="0079686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9A7043" w:rsidRPr="0023316E" w:rsidRDefault="0023316E"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617733" w:rsidRPr="0023316E" w:rsidRDefault="00617733" w:rsidP="009A7043">
            <w:pPr>
              <w:pStyle w:val="NoSpacing"/>
              <w:jc w:val="center"/>
              <w:rPr>
                <w:rFonts w:ascii="Times New Roman" w:hAnsi="Times New Roman"/>
                <w:sz w:val="24"/>
                <w:szCs w:val="24"/>
                <w:lang w:val="uk-UA"/>
              </w:rPr>
            </w:pPr>
          </w:p>
        </w:tc>
        <w:tc>
          <w:tcPr>
            <w:tcW w:w="985" w:type="dxa"/>
          </w:tcPr>
          <w:p w:rsidR="00617733" w:rsidRPr="0023316E" w:rsidRDefault="00617733" w:rsidP="0020206D">
            <w:pPr>
              <w:pStyle w:val="NoSpacing"/>
              <w:jc w:val="both"/>
              <w:rPr>
                <w:rFonts w:ascii="Times New Roman" w:hAnsi="Times New Roman"/>
                <w:sz w:val="24"/>
                <w:szCs w:val="24"/>
                <w:lang w:val="uk-UA"/>
              </w:rPr>
            </w:pPr>
          </w:p>
        </w:tc>
        <w:tc>
          <w:tcPr>
            <w:tcW w:w="360" w:type="dxa"/>
          </w:tcPr>
          <w:p w:rsidR="00617733" w:rsidRPr="0023316E" w:rsidRDefault="00617733" w:rsidP="0020206D">
            <w:pPr>
              <w:pStyle w:val="NoSpacing"/>
              <w:jc w:val="both"/>
              <w:rPr>
                <w:rFonts w:ascii="Times New Roman" w:hAnsi="Times New Roman"/>
                <w:sz w:val="24"/>
                <w:szCs w:val="24"/>
                <w:lang w:val="uk-UA"/>
              </w:rPr>
            </w:pPr>
          </w:p>
        </w:tc>
        <w:tc>
          <w:tcPr>
            <w:tcW w:w="360" w:type="dxa"/>
          </w:tcPr>
          <w:p w:rsidR="00617733" w:rsidRPr="0023316E" w:rsidRDefault="00617733" w:rsidP="0020206D">
            <w:pPr>
              <w:pStyle w:val="NoSpacing"/>
              <w:jc w:val="both"/>
              <w:rPr>
                <w:rFonts w:ascii="Times New Roman" w:hAnsi="Times New Roman"/>
                <w:sz w:val="24"/>
                <w:szCs w:val="24"/>
                <w:lang w:val="uk-UA"/>
              </w:rPr>
            </w:pPr>
          </w:p>
        </w:tc>
        <w:tc>
          <w:tcPr>
            <w:tcW w:w="720" w:type="dxa"/>
          </w:tcPr>
          <w:p w:rsidR="00617733" w:rsidRPr="0023316E" w:rsidRDefault="00617733" w:rsidP="0020206D">
            <w:pPr>
              <w:pStyle w:val="NoSpacing"/>
              <w:jc w:val="both"/>
              <w:rPr>
                <w:rFonts w:ascii="Times New Roman" w:hAnsi="Times New Roman"/>
                <w:sz w:val="24"/>
                <w:szCs w:val="24"/>
                <w:lang w:val="uk-UA"/>
              </w:rPr>
            </w:pPr>
          </w:p>
        </w:tc>
        <w:tc>
          <w:tcPr>
            <w:tcW w:w="1800" w:type="dxa"/>
          </w:tcPr>
          <w:p w:rsidR="00617733" w:rsidRPr="0023316E" w:rsidRDefault="00617733" w:rsidP="0020206D">
            <w:pPr>
              <w:pStyle w:val="HTML"/>
              <w:rPr>
                <w:rFonts w:ascii="Times New Roman" w:hAnsi="Times New Roman"/>
                <w:sz w:val="24"/>
                <w:szCs w:val="24"/>
                <w:lang w:val="uk-UA"/>
              </w:rPr>
            </w:pPr>
            <w:r w:rsidRPr="0023316E">
              <w:rPr>
                <w:rFonts w:ascii="Times New Roman" w:hAnsi="Times New Roman"/>
                <w:sz w:val="24"/>
                <w:szCs w:val="24"/>
                <w:lang w:val="uk-UA"/>
              </w:rPr>
              <w:t xml:space="preserve">Абзац третій </w:t>
            </w:r>
            <w:r w:rsidR="00110AAB">
              <w:rPr>
                <w:rFonts w:ascii="Times New Roman" w:hAnsi="Times New Roman"/>
                <w:sz w:val="24"/>
                <w:szCs w:val="24"/>
                <w:lang w:val="uk-UA"/>
              </w:rPr>
              <w:t xml:space="preserve">                  </w:t>
            </w:r>
            <w:r w:rsidRPr="0023316E">
              <w:rPr>
                <w:rFonts w:ascii="Times New Roman" w:hAnsi="Times New Roman"/>
                <w:sz w:val="24"/>
                <w:szCs w:val="24"/>
                <w:lang w:val="uk-UA"/>
              </w:rPr>
              <w:t>пункту 1 розділу ІІ Ліцензійних умов № 818</w:t>
            </w:r>
          </w:p>
        </w:tc>
      </w:tr>
      <w:tr w:rsidR="00110AAB" w:rsidRPr="009340EB" w:rsidTr="00523BD3">
        <w:tc>
          <w:tcPr>
            <w:tcW w:w="720" w:type="dxa"/>
            <w:gridSpan w:val="2"/>
          </w:tcPr>
          <w:p w:rsidR="00617733"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617733" w:rsidRPr="009340EB">
              <w:rPr>
                <w:rFonts w:ascii="Times New Roman" w:hAnsi="Times New Roman"/>
                <w:sz w:val="24"/>
                <w:szCs w:val="24"/>
                <w:lang w:val="uk-UA"/>
              </w:rPr>
              <w:t>.3</w:t>
            </w:r>
          </w:p>
        </w:tc>
        <w:tc>
          <w:tcPr>
            <w:tcW w:w="2520" w:type="dxa"/>
            <w:gridSpan w:val="2"/>
          </w:tcPr>
          <w:p w:rsidR="00617733" w:rsidRPr="009340EB" w:rsidRDefault="00617733" w:rsidP="0020206D">
            <w:pPr>
              <w:rPr>
                <w:lang w:val="uk-UA"/>
              </w:rPr>
            </w:pPr>
            <w:r w:rsidRPr="009340EB">
              <w:rPr>
                <w:rStyle w:val="rvts0"/>
                <w:lang w:val="uk-UA"/>
              </w:rPr>
              <w:t>Приміщення фондової біржі (її відокремленого підрозділу) обладнано охоронною, пожежною сигналізацією та забезпечено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895" w:type="dxa"/>
            <w:gridSpan w:val="2"/>
          </w:tcPr>
          <w:p w:rsidR="00796861" w:rsidRPr="009340EB" w:rsidRDefault="00796861"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61773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720" w:type="dxa"/>
          </w:tcPr>
          <w:p w:rsidR="00617733" w:rsidRPr="009340EB" w:rsidRDefault="00617733" w:rsidP="0020206D">
            <w:pPr>
              <w:pStyle w:val="NoSpacing"/>
              <w:jc w:val="both"/>
              <w:rPr>
                <w:rFonts w:ascii="Times New Roman" w:hAnsi="Times New Roman"/>
                <w:sz w:val="24"/>
                <w:szCs w:val="24"/>
                <w:lang w:val="uk-UA"/>
              </w:rPr>
            </w:pPr>
          </w:p>
        </w:tc>
        <w:tc>
          <w:tcPr>
            <w:tcW w:w="1800" w:type="dxa"/>
          </w:tcPr>
          <w:p w:rsidR="00617733" w:rsidRPr="009340EB" w:rsidRDefault="00617733" w:rsidP="0020206D">
            <w:pPr>
              <w:pStyle w:val="HTML"/>
              <w:rPr>
                <w:rFonts w:ascii="Times New Roman" w:hAnsi="Times New Roman"/>
                <w:sz w:val="24"/>
                <w:szCs w:val="24"/>
                <w:lang w:val="uk-UA"/>
              </w:rPr>
            </w:pPr>
            <w:r w:rsidRPr="009340EB">
              <w:rPr>
                <w:rFonts w:ascii="Times New Roman" w:hAnsi="Times New Roman"/>
                <w:sz w:val="24"/>
                <w:szCs w:val="24"/>
                <w:lang w:val="uk-UA"/>
              </w:rPr>
              <w:t>Абзац четвертий пункту 1 розділу ІІ Ліцензійних умов № 818</w:t>
            </w:r>
          </w:p>
        </w:tc>
      </w:tr>
      <w:tr w:rsidR="00110AAB" w:rsidRPr="008B6049" w:rsidTr="00523BD3">
        <w:tc>
          <w:tcPr>
            <w:tcW w:w="720" w:type="dxa"/>
            <w:gridSpan w:val="2"/>
          </w:tcPr>
          <w:p w:rsidR="00617733"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617733" w:rsidRPr="009340EB">
              <w:rPr>
                <w:rFonts w:ascii="Times New Roman" w:hAnsi="Times New Roman"/>
                <w:sz w:val="24"/>
                <w:szCs w:val="24"/>
                <w:lang w:val="uk-UA"/>
              </w:rPr>
              <w:t>.4</w:t>
            </w:r>
          </w:p>
        </w:tc>
        <w:tc>
          <w:tcPr>
            <w:tcW w:w="2520" w:type="dxa"/>
            <w:gridSpan w:val="2"/>
          </w:tcPr>
          <w:p w:rsidR="00617733" w:rsidRPr="00036E09" w:rsidRDefault="00617733" w:rsidP="0020206D">
            <w:pPr>
              <w:rPr>
                <w:rStyle w:val="rvts0"/>
                <w:lang w:val="uk-UA"/>
              </w:rPr>
            </w:pPr>
            <w:r w:rsidRPr="009340EB">
              <w:rPr>
                <w:rStyle w:val="rvts0"/>
              </w:rPr>
              <w:t xml:space="preserve">Електронна торговельна система фондової біржі </w:t>
            </w:r>
            <w:r w:rsidRPr="009340EB">
              <w:rPr>
                <w:rStyle w:val="rvts0"/>
                <w:lang w:val="uk-UA"/>
              </w:rPr>
              <w:t>має</w:t>
            </w:r>
            <w:r w:rsidRPr="009340EB">
              <w:rPr>
                <w:rStyle w:val="rvts0"/>
              </w:rPr>
              <w:t xml:space="preserve"> </w:t>
            </w:r>
            <w:r w:rsidRPr="009340EB">
              <w:rPr>
                <w:rStyle w:val="rvts0"/>
              </w:rPr>
              <w:lastRenderedPageBreak/>
              <w:t>два незалежних джерела електроживлення, а також джерела додаткового безперервного електроживлення у разі зникнення електричного струму в електромережі</w:t>
            </w:r>
            <w:r w:rsidR="00036E09">
              <w:rPr>
                <w:rStyle w:val="rvts0"/>
                <w:lang w:val="uk-UA"/>
              </w:rPr>
              <w:t>.</w:t>
            </w:r>
          </w:p>
        </w:tc>
        <w:tc>
          <w:tcPr>
            <w:tcW w:w="1895" w:type="dxa"/>
            <w:gridSpan w:val="2"/>
          </w:tcPr>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lastRenderedPageBreak/>
              <w:t>високий,</w:t>
            </w:r>
          </w:p>
          <w:p w:rsidR="0061773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tc>
        <w:tc>
          <w:tcPr>
            <w:tcW w:w="985"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720" w:type="dxa"/>
          </w:tcPr>
          <w:p w:rsidR="00617733" w:rsidRPr="009340EB" w:rsidRDefault="00617733" w:rsidP="0020206D">
            <w:pPr>
              <w:pStyle w:val="NoSpacing"/>
              <w:jc w:val="both"/>
              <w:rPr>
                <w:rFonts w:ascii="Times New Roman" w:hAnsi="Times New Roman"/>
                <w:sz w:val="24"/>
                <w:szCs w:val="24"/>
                <w:lang w:val="uk-UA"/>
              </w:rPr>
            </w:pPr>
          </w:p>
        </w:tc>
        <w:tc>
          <w:tcPr>
            <w:tcW w:w="1800" w:type="dxa"/>
          </w:tcPr>
          <w:p w:rsidR="00617733" w:rsidRPr="009340EB" w:rsidRDefault="00617733" w:rsidP="00BC5CD7">
            <w:pPr>
              <w:pStyle w:val="HTML"/>
              <w:rPr>
                <w:rFonts w:ascii="Times New Roman" w:hAnsi="Times New Roman"/>
                <w:sz w:val="24"/>
                <w:szCs w:val="24"/>
                <w:lang w:val="uk-UA"/>
              </w:rPr>
            </w:pPr>
            <w:r w:rsidRPr="009340EB">
              <w:rPr>
                <w:rFonts w:ascii="Times New Roman" w:hAnsi="Times New Roman"/>
                <w:sz w:val="24"/>
                <w:szCs w:val="24"/>
                <w:lang w:val="uk-UA"/>
              </w:rPr>
              <w:t xml:space="preserve">Абзац п’ятий пункту 1 розділу ІІ </w:t>
            </w:r>
            <w:r w:rsidRPr="009340EB">
              <w:rPr>
                <w:rFonts w:ascii="Times New Roman" w:hAnsi="Times New Roman"/>
                <w:sz w:val="24"/>
                <w:szCs w:val="24"/>
                <w:lang w:val="uk-UA"/>
              </w:rPr>
              <w:lastRenderedPageBreak/>
              <w:t>Ліцензійних умов № 818</w:t>
            </w:r>
          </w:p>
        </w:tc>
      </w:tr>
      <w:tr w:rsidR="00110AAB" w:rsidRPr="008B6049" w:rsidTr="00523BD3">
        <w:tc>
          <w:tcPr>
            <w:tcW w:w="720" w:type="dxa"/>
            <w:gridSpan w:val="2"/>
          </w:tcPr>
          <w:p w:rsidR="00617733"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lastRenderedPageBreak/>
              <w:t>3</w:t>
            </w:r>
            <w:r w:rsidR="00617733" w:rsidRPr="009340EB">
              <w:rPr>
                <w:rFonts w:ascii="Times New Roman" w:hAnsi="Times New Roman"/>
                <w:sz w:val="24"/>
                <w:szCs w:val="24"/>
                <w:lang w:val="uk-UA"/>
              </w:rPr>
              <w:t>.5</w:t>
            </w:r>
          </w:p>
        </w:tc>
        <w:tc>
          <w:tcPr>
            <w:tcW w:w="2520" w:type="dxa"/>
            <w:gridSpan w:val="2"/>
          </w:tcPr>
          <w:p w:rsidR="00617733" w:rsidRPr="009340EB" w:rsidRDefault="00617733" w:rsidP="0020206D">
            <w:pPr>
              <w:rPr>
                <w:lang w:val="uk-UA"/>
              </w:rPr>
            </w:pPr>
            <w:r w:rsidRPr="009340EB">
              <w:rPr>
                <w:rStyle w:val="rvts0"/>
                <w:lang w:val="uk-UA"/>
              </w:rPr>
              <w:t xml:space="preserve">Фондова біржа для провадження професійної діяльності на фондовому ринку має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w:t>
            </w:r>
            <w:r w:rsidR="00896B52">
              <w:rPr>
                <w:rStyle w:val="rvts0"/>
                <w:lang w:val="uk-UA"/>
              </w:rPr>
              <w:t xml:space="preserve">             </w:t>
            </w:r>
            <w:smartTag w:uri="urn:schemas-microsoft-com:office:smarttags" w:element="metricconverter">
              <w:smartTagPr>
                <w:attr w:name="ProductID" w:val="100 кв. м"/>
              </w:smartTagPr>
              <w:r w:rsidRPr="009340EB">
                <w:rPr>
                  <w:rStyle w:val="rvts0"/>
                  <w:lang w:val="uk-UA"/>
                </w:rPr>
                <w:t>100 кв. м</w:t>
              </w:r>
            </w:smartTag>
            <w:r w:rsidRPr="009340EB">
              <w:rPr>
                <w:rStyle w:val="rvts0"/>
                <w:lang w:val="uk-UA"/>
              </w:rPr>
              <w:t xml:space="preserve"> та за місцезнаходженням відокремленого підрозділу, який провадить діяльність з організації торгівлі на фондовому ринку, загальною площею не менше ніж </w:t>
            </w:r>
            <w:smartTag w:uri="urn:schemas-microsoft-com:office:smarttags" w:element="metricconverter">
              <w:smartTagPr>
                <w:attr w:name="ProductID" w:val="50 кв. м"/>
              </w:smartTagPr>
              <w:r w:rsidRPr="009340EB">
                <w:rPr>
                  <w:rStyle w:val="rvts0"/>
                  <w:lang w:val="uk-UA"/>
                </w:rPr>
                <w:t>50 кв. м</w:t>
              </w:r>
            </w:smartTag>
            <w:r w:rsidR="00883C06">
              <w:rPr>
                <w:rStyle w:val="rvts0"/>
                <w:lang w:val="uk-UA"/>
              </w:rPr>
              <w:t>.</w:t>
            </w:r>
          </w:p>
        </w:tc>
        <w:tc>
          <w:tcPr>
            <w:tcW w:w="1895" w:type="dxa"/>
            <w:gridSpan w:val="2"/>
          </w:tcPr>
          <w:p w:rsidR="00796861" w:rsidRPr="009340EB" w:rsidRDefault="00796861"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61773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720" w:type="dxa"/>
          </w:tcPr>
          <w:p w:rsidR="00617733" w:rsidRPr="009340EB" w:rsidRDefault="00617733" w:rsidP="0020206D">
            <w:pPr>
              <w:pStyle w:val="NoSpacing"/>
              <w:jc w:val="both"/>
              <w:rPr>
                <w:rFonts w:ascii="Times New Roman" w:hAnsi="Times New Roman"/>
                <w:sz w:val="24"/>
                <w:szCs w:val="24"/>
                <w:lang w:val="uk-UA"/>
              </w:rPr>
            </w:pPr>
          </w:p>
        </w:tc>
        <w:tc>
          <w:tcPr>
            <w:tcW w:w="1800" w:type="dxa"/>
          </w:tcPr>
          <w:p w:rsidR="00617733" w:rsidRPr="009340EB" w:rsidRDefault="00617733" w:rsidP="0020206D">
            <w:pPr>
              <w:pStyle w:val="HTML"/>
              <w:rPr>
                <w:rFonts w:ascii="Times New Roman" w:hAnsi="Times New Roman"/>
                <w:sz w:val="24"/>
                <w:szCs w:val="24"/>
                <w:lang w:val="uk-UA"/>
              </w:rPr>
            </w:pPr>
            <w:r w:rsidRPr="009340EB">
              <w:rPr>
                <w:rFonts w:ascii="Times New Roman" w:hAnsi="Times New Roman"/>
                <w:sz w:val="24"/>
                <w:szCs w:val="24"/>
                <w:lang w:val="uk-UA"/>
              </w:rPr>
              <w:t>Пункт 5 розділу ІІ Ліцензійних умов № 818</w:t>
            </w:r>
          </w:p>
        </w:tc>
      </w:tr>
      <w:tr w:rsidR="00110AAB" w:rsidRPr="008B6049" w:rsidTr="00523BD3">
        <w:tc>
          <w:tcPr>
            <w:tcW w:w="720" w:type="dxa"/>
            <w:gridSpan w:val="2"/>
          </w:tcPr>
          <w:p w:rsidR="00BC5CD7" w:rsidRPr="009340EB" w:rsidRDefault="00896B52" w:rsidP="00D34415">
            <w:pPr>
              <w:pStyle w:val="NoSpacing"/>
              <w:jc w:val="both"/>
              <w:rPr>
                <w:rFonts w:ascii="Times New Roman" w:hAnsi="Times New Roman"/>
                <w:sz w:val="24"/>
                <w:szCs w:val="24"/>
                <w:lang w:val="uk-UA"/>
              </w:rPr>
            </w:pPr>
            <w:r>
              <w:rPr>
                <w:rFonts w:ascii="Times New Roman" w:hAnsi="Times New Roman"/>
                <w:sz w:val="24"/>
                <w:szCs w:val="24"/>
                <w:lang w:val="uk-UA"/>
              </w:rPr>
              <w:t>4</w:t>
            </w:r>
          </w:p>
        </w:tc>
        <w:tc>
          <w:tcPr>
            <w:tcW w:w="2520" w:type="dxa"/>
            <w:gridSpan w:val="2"/>
          </w:tcPr>
          <w:p w:rsidR="00BC5CD7" w:rsidRPr="009340EB" w:rsidRDefault="00FB310E" w:rsidP="00D34415">
            <w:pPr>
              <w:rPr>
                <w:lang w:val="uk-UA"/>
              </w:rPr>
            </w:pPr>
            <w:r>
              <w:rPr>
                <w:lang w:val="uk-UA"/>
              </w:rPr>
              <w:t xml:space="preserve">Фондова біржа  забезпечила </w:t>
            </w:r>
            <w:r w:rsidR="00BC5CD7" w:rsidRPr="009340EB">
              <w:rPr>
                <w:lang w:val="uk-UA"/>
              </w:rPr>
              <w:t>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w:t>
            </w:r>
            <w:r w:rsidR="00896B52">
              <w:rPr>
                <w:lang w:val="uk-UA"/>
              </w:rPr>
              <w:t>ь відповідно до законів України.</w:t>
            </w:r>
          </w:p>
        </w:tc>
        <w:tc>
          <w:tcPr>
            <w:tcW w:w="1895" w:type="dxa"/>
            <w:gridSpan w:val="2"/>
          </w:tcPr>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BC5CD7"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BC5CD7" w:rsidRPr="009340EB" w:rsidRDefault="00BC5CD7" w:rsidP="00D34415">
            <w:pPr>
              <w:pStyle w:val="NoSpacing"/>
              <w:jc w:val="both"/>
              <w:rPr>
                <w:rFonts w:ascii="Times New Roman" w:hAnsi="Times New Roman"/>
                <w:sz w:val="24"/>
                <w:szCs w:val="24"/>
                <w:lang w:val="uk-UA"/>
              </w:rPr>
            </w:pPr>
          </w:p>
        </w:tc>
        <w:tc>
          <w:tcPr>
            <w:tcW w:w="360" w:type="dxa"/>
          </w:tcPr>
          <w:p w:rsidR="00BC5CD7" w:rsidRPr="009340EB" w:rsidRDefault="00BC5CD7" w:rsidP="00D34415">
            <w:pPr>
              <w:pStyle w:val="NoSpacing"/>
              <w:jc w:val="both"/>
              <w:rPr>
                <w:rFonts w:ascii="Times New Roman" w:hAnsi="Times New Roman"/>
                <w:sz w:val="24"/>
                <w:szCs w:val="24"/>
                <w:lang w:val="uk-UA"/>
              </w:rPr>
            </w:pPr>
          </w:p>
        </w:tc>
        <w:tc>
          <w:tcPr>
            <w:tcW w:w="360" w:type="dxa"/>
          </w:tcPr>
          <w:p w:rsidR="00BC5CD7" w:rsidRPr="009340EB" w:rsidRDefault="00BC5CD7" w:rsidP="00D34415">
            <w:pPr>
              <w:pStyle w:val="NoSpacing"/>
              <w:jc w:val="both"/>
              <w:rPr>
                <w:rFonts w:ascii="Times New Roman" w:hAnsi="Times New Roman"/>
                <w:sz w:val="24"/>
                <w:szCs w:val="24"/>
                <w:lang w:val="uk-UA"/>
              </w:rPr>
            </w:pPr>
          </w:p>
        </w:tc>
        <w:tc>
          <w:tcPr>
            <w:tcW w:w="720" w:type="dxa"/>
          </w:tcPr>
          <w:p w:rsidR="00BC5CD7" w:rsidRPr="009340EB" w:rsidRDefault="00BC5CD7" w:rsidP="00D34415">
            <w:pPr>
              <w:pStyle w:val="NoSpacing"/>
              <w:jc w:val="both"/>
              <w:rPr>
                <w:rFonts w:ascii="Times New Roman" w:hAnsi="Times New Roman"/>
                <w:sz w:val="24"/>
                <w:szCs w:val="24"/>
                <w:lang w:val="uk-UA"/>
              </w:rPr>
            </w:pPr>
          </w:p>
        </w:tc>
        <w:tc>
          <w:tcPr>
            <w:tcW w:w="1800" w:type="dxa"/>
          </w:tcPr>
          <w:p w:rsidR="00BC5CD7" w:rsidRPr="009340EB" w:rsidRDefault="00896B52" w:rsidP="00D34415">
            <w:pPr>
              <w:pStyle w:val="HTML"/>
              <w:rPr>
                <w:rFonts w:ascii="Times New Roman" w:hAnsi="Times New Roman"/>
                <w:sz w:val="24"/>
                <w:szCs w:val="24"/>
                <w:lang w:val="uk-UA"/>
              </w:rPr>
            </w:pPr>
            <w:r>
              <w:rPr>
                <w:rFonts w:ascii="Times New Roman" w:hAnsi="Times New Roman"/>
                <w:sz w:val="24"/>
                <w:szCs w:val="24"/>
                <w:lang w:val="uk-UA"/>
              </w:rPr>
              <w:t xml:space="preserve">Пункт 12 </w:t>
            </w:r>
            <w:r w:rsidR="00BC5CD7" w:rsidRPr="009340EB">
              <w:rPr>
                <w:rFonts w:ascii="Times New Roman" w:hAnsi="Times New Roman"/>
                <w:sz w:val="24"/>
                <w:szCs w:val="24"/>
                <w:lang w:val="uk-UA"/>
              </w:rPr>
              <w:t xml:space="preserve"> розділу ІІ Ліцензійних умов № 818</w:t>
            </w:r>
          </w:p>
        </w:tc>
      </w:tr>
      <w:tr w:rsidR="00896B52" w:rsidRPr="008B6049" w:rsidTr="00FE5EA8">
        <w:trPr>
          <w:trHeight w:val="374"/>
        </w:trPr>
        <w:tc>
          <w:tcPr>
            <w:tcW w:w="720" w:type="dxa"/>
            <w:gridSpan w:val="2"/>
          </w:tcPr>
          <w:p w:rsidR="00896B52" w:rsidRPr="009340EB" w:rsidRDefault="00896B52" w:rsidP="00D34415">
            <w:pPr>
              <w:pStyle w:val="NoSpacing"/>
              <w:jc w:val="both"/>
              <w:rPr>
                <w:rFonts w:ascii="Times New Roman" w:hAnsi="Times New Roman"/>
                <w:sz w:val="24"/>
                <w:szCs w:val="24"/>
                <w:lang w:val="uk-UA"/>
              </w:rPr>
            </w:pPr>
            <w:r>
              <w:rPr>
                <w:rFonts w:ascii="Times New Roman" w:hAnsi="Times New Roman"/>
                <w:sz w:val="24"/>
                <w:szCs w:val="24"/>
                <w:lang w:val="uk-UA"/>
              </w:rPr>
              <w:t>4.1</w:t>
            </w:r>
          </w:p>
        </w:tc>
        <w:tc>
          <w:tcPr>
            <w:tcW w:w="2520" w:type="dxa"/>
            <w:gridSpan w:val="2"/>
          </w:tcPr>
          <w:p w:rsidR="00896B52" w:rsidRPr="009340EB" w:rsidRDefault="00896B52" w:rsidP="00D34415">
            <w:pPr>
              <w:rPr>
                <w:lang w:val="uk-UA"/>
              </w:rPr>
            </w:pPr>
            <w:r>
              <w:rPr>
                <w:lang w:val="uk-UA"/>
              </w:rPr>
              <w:t>Л</w:t>
            </w:r>
            <w:r w:rsidRPr="009340EB">
              <w:rPr>
                <w:lang w:val="uk-UA"/>
              </w:rPr>
              <w:t>іцензіат забез</w:t>
            </w:r>
            <w:r w:rsidR="00FB310E">
              <w:rPr>
                <w:lang w:val="uk-UA"/>
              </w:rPr>
              <w:t>печив</w:t>
            </w:r>
            <w:r w:rsidRPr="009340EB">
              <w:rPr>
                <w:lang w:val="uk-UA"/>
              </w:rPr>
              <w:t xml:space="preserve"> доступ до приміщення  </w:t>
            </w:r>
            <w:r w:rsidRPr="009340EB">
              <w:rPr>
                <w:lang w:val="uk-UA"/>
              </w:rPr>
              <w:lastRenderedPageBreak/>
              <w:t xml:space="preserve">та доступність послуг, які надаються згідно з ліцензією на провадження професійної діяльності на фондовому ринку, </w:t>
            </w:r>
            <w:r w:rsidR="00AE23BC">
              <w:rPr>
                <w:rStyle w:val="rvts0"/>
                <w:lang w:val="uk-UA"/>
              </w:rPr>
              <w:t>особам з інвалідністю</w:t>
            </w:r>
            <w:r w:rsidR="00AE23BC">
              <w:rPr>
                <w:lang w:val="uk-UA"/>
              </w:rPr>
              <w:t xml:space="preserve"> та мало</w:t>
            </w:r>
            <w:r w:rsidR="00883C06">
              <w:rPr>
                <w:lang w:val="uk-UA"/>
              </w:rPr>
              <w:t>мобільним категоріям населення.</w:t>
            </w:r>
          </w:p>
        </w:tc>
        <w:tc>
          <w:tcPr>
            <w:tcW w:w="1895" w:type="dxa"/>
            <w:gridSpan w:val="2"/>
          </w:tcPr>
          <w:p w:rsidR="00896B52" w:rsidRPr="009340EB" w:rsidRDefault="00896B52" w:rsidP="00896B52">
            <w:pPr>
              <w:pStyle w:val="NoSpacing"/>
              <w:jc w:val="center"/>
              <w:rPr>
                <w:rFonts w:ascii="Times New Roman" w:hAnsi="Times New Roman"/>
                <w:sz w:val="24"/>
                <w:szCs w:val="24"/>
                <w:lang w:val="uk-UA"/>
              </w:rPr>
            </w:pPr>
            <w:r w:rsidRPr="009340EB">
              <w:rPr>
                <w:rFonts w:ascii="Times New Roman" w:hAnsi="Times New Roman"/>
                <w:sz w:val="24"/>
                <w:szCs w:val="24"/>
                <w:lang w:val="uk-UA"/>
              </w:rPr>
              <w:lastRenderedPageBreak/>
              <w:t>середній,</w:t>
            </w:r>
          </w:p>
          <w:p w:rsidR="00896B52" w:rsidRPr="009340EB" w:rsidRDefault="00896B52" w:rsidP="00896B52">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896B52" w:rsidRPr="009340EB" w:rsidRDefault="00896B52" w:rsidP="00D34415">
            <w:pPr>
              <w:pStyle w:val="NoSpacing"/>
              <w:jc w:val="both"/>
              <w:rPr>
                <w:rFonts w:ascii="Times New Roman" w:hAnsi="Times New Roman"/>
                <w:sz w:val="24"/>
                <w:szCs w:val="24"/>
                <w:lang w:val="uk-UA"/>
              </w:rPr>
            </w:pPr>
          </w:p>
        </w:tc>
        <w:tc>
          <w:tcPr>
            <w:tcW w:w="360" w:type="dxa"/>
          </w:tcPr>
          <w:p w:rsidR="00896B52" w:rsidRPr="009340EB" w:rsidRDefault="00896B52" w:rsidP="00D34415">
            <w:pPr>
              <w:pStyle w:val="NoSpacing"/>
              <w:jc w:val="both"/>
              <w:rPr>
                <w:rFonts w:ascii="Times New Roman" w:hAnsi="Times New Roman"/>
                <w:sz w:val="24"/>
                <w:szCs w:val="24"/>
                <w:lang w:val="uk-UA"/>
              </w:rPr>
            </w:pPr>
          </w:p>
        </w:tc>
        <w:tc>
          <w:tcPr>
            <w:tcW w:w="360" w:type="dxa"/>
          </w:tcPr>
          <w:p w:rsidR="00896B52" w:rsidRPr="009340EB" w:rsidRDefault="00896B52" w:rsidP="00D34415">
            <w:pPr>
              <w:pStyle w:val="NoSpacing"/>
              <w:jc w:val="both"/>
              <w:rPr>
                <w:rFonts w:ascii="Times New Roman" w:hAnsi="Times New Roman"/>
                <w:sz w:val="24"/>
                <w:szCs w:val="24"/>
                <w:lang w:val="uk-UA"/>
              </w:rPr>
            </w:pPr>
          </w:p>
        </w:tc>
        <w:tc>
          <w:tcPr>
            <w:tcW w:w="720" w:type="dxa"/>
          </w:tcPr>
          <w:p w:rsidR="00896B52" w:rsidRPr="009340EB" w:rsidRDefault="00896B52" w:rsidP="00D34415">
            <w:pPr>
              <w:pStyle w:val="NoSpacing"/>
              <w:jc w:val="both"/>
              <w:rPr>
                <w:rFonts w:ascii="Times New Roman" w:hAnsi="Times New Roman"/>
                <w:sz w:val="24"/>
                <w:szCs w:val="24"/>
                <w:lang w:val="uk-UA"/>
              </w:rPr>
            </w:pPr>
          </w:p>
        </w:tc>
        <w:tc>
          <w:tcPr>
            <w:tcW w:w="1800" w:type="dxa"/>
          </w:tcPr>
          <w:p w:rsidR="00896B52" w:rsidRPr="009340EB" w:rsidRDefault="00896B52" w:rsidP="00D34415">
            <w:pPr>
              <w:pStyle w:val="HTML"/>
              <w:rPr>
                <w:rFonts w:ascii="Times New Roman" w:hAnsi="Times New Roman"/>
                <w:sz w:val="24"/>
                <w:szCs w:val="24"/>
                <w:lang w:val="uk-UA"/>
              </w:rPr>
            </w:pPr>
            <w:r>
              <w:rPr>
                <w:rFonts w:ascii="Times New Roman" w:hAnsi="Times New Roman"/>
                <w:sz w:val="24"/>
                <w:szCs w:val="24"/>
                <w:lang w:val="uk-UA"/>
              </w:rPr>
              <w:t xml:space="preserve">Пункт 21 </w:t>
            </w:r>
            <w:r w:rsidRPr="009340EB">
              <w:rPr>
                <w:rFonts w:ascii="Times New Roman" w:hAnsi="Times New Roman"/>
                <w:sz w:val="24"/>
                <w:szCs w:val="24"/>
                <w:lang w:val="uk-UA"/>
              </w:rPr>
              <w:t xml:space="preserve"> розділу ІІ </w:t>
            </w:r>
            <w:r w:rsidRPr="009340EB">
              <w:rPr>
                <w:rFonts w:ascii="Times New Roman" w:hAnsi="Times New Roman"/>
                <w:sz w:val="24"/>
                <w:szCs w:val="24"/>
                <w:lang w:val="uk-UA"/>
              </w:rPr>
              <w:lastRenderedPageBreak/>
              <w:t>Ліцензійних умов № 818</w:t>
            </w:r>
          </w:p>
        </w:tc>
      </w:tr>
      <w:tr w:rsidR="00110AAB" w:rsidRPr="008B6049" w:rsidTr="00523BD3">
        <w:tc>
          <w:tcPr>
            <w:tcW w:w="720" w:type="dxa"/>
            <w:gridSpan w:val="2"/>
          </w:tcPr>
          <w:p w:rsidR="00BC5CD7"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lastRenderedPageBreak/>
              <w:t>5</w:t>
            </w:r>
          </w:p>
        </w:tc>
        <w:tc>
          <w:tcPr>
            <w:tcW w:w="2520" w:type="dxa"/>
            <w:gridSpan w:val="2"/>
          </w:tcPr>
          <w:p w:rsidR="00BC5CD7" w:rsidRPr="009340EB" w:rsidRDefault="00BC5CD7" w:rsidP="0020206D">
            <w:pPr>
              <w:rPr>
                <w:lang w:val="uk-UA"/>
              </w:rPr>
            </w:pPr>
            <w:r w:rsidRPr="009340EB">
              <w:rPr>
                <w:rStyle w:val="rvts0"/>
                <w:lang w:val="uk-UA"/>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відповідають кваліфікаційним вимогам, установлени</w:t>
            </w:r>
            <w:r w:rsidR="00D54239" w:rsidRPr="009340EB">
              <w:rPr>
                <w:rStyle w:val="rvts0"/>
                <w:lang w:val="uk-UA"/>
              </w:rPr>
              <w:t>х</w:t>
            </w:r>
            <w:r w:rsidRPr="009340EB">
              <w:rPr>
                <w:rStyle w:val="rvts0"/>
                <w:lang w:val="uk-UA"/>
              </w:rPr>
              <w:t xml:space="preserve">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r w:rsidR="00D54239" w:rsidRPr="009340EB">
              <w:rPr>
                <w:rStyle w:val="rvts0"/>
                <w:lang w:val="uk-UA"/>
              </w:rPr>
              <w:t xml:space="preserve"> </w:t>
            </w:r>
            <w:r w:rsidR="00E40E40">
              <w:rPr>
                <w:rStyle w:val="rvts0"/>
                <w:lang w:val="uk-UA"/>
              </w:rPr>
              <w:t>(далі – Порядок та умови видачі ліцензії)</w:t>
            </w:r>
            <w:r w:rsidR="00883C06">
              <w:rPr>
                <w:rStyle w:val="rvts0"/>
                <w:lang w:val="uk-UA"/>
              </w:rPr>
              <w:t>.</w:t>
            </w:r>
          </w:p>
        </w:tc>
        <w:tc>
          <w:tcPr>
            <w:tcW w:w="1895" w:type="dxa"/>
            <w:gridSpan w:val="2"/>
          </w:tcPr>
          <w:p w:rsidR="00796861" w:rsidRPr="009340EB" w:rsidRDefault="00796861"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BC5CD7"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BC5CD7" w:rsidRPr="009340EB" w:rsidRDefault="00BC5CD7" w:rsidP="0020206D">
            <w:pPr>
              <w:pStyle w:val="NoSpacing"/>
              <w:jc w:val="both"/>
              <w:rPr>
                <w:rFonts w:ascii="Times New Roman" w:hAnsi="Times New Roman"/>
                <w:sz w:val="24"/>
                <w:szCs w:val="24"/>
                <w:lang w:val="uk-UA"/>
              </w:rPr>
            </w:pPr>
          </w:p>
        </w:tc>
        <w:tc>
          <w:tcPr>
            <w:tcW w:w="360" w:type="dxa"/>
          </w:tcPr>
          <w:p w:rsidR="00BC5CD7" w:rsidRPr="009340EB" w:rsidRDefault="00BC5CD7" w:rsidP="0020206D">
            <w:pPr>
              <w:pStyle w:val="NoSpacing"/>
              <w:jc w:val="both"/>
              <w:rPr>
                <w:rFonts w:ascii="Times New Roman" w:hAnsi="Times New Roman"/>
                <w:sz w:val="24"/>
                <w:szCs w:val="24"/>
                <w:lang w:val="uk-UA"/>
              </w:rPr>
            </w:pPr>
          </w:p>
        </w:tc>
        <w:tc>
          <w:tcPr>
            <w:tcW w:w="360" w:type="dxa"/>
          </w:tcPr>
          <w:p w:rsidR="00BC5CD7" w:rsidRPr="009340EB" w:rsidRDefault="00BC5CD7" w:rsidP="0020206D">
            <w:pPr>
              <w:pStyle w:val="NoSpacing"/>
              <w:jc w:val="both"/>
              <w:rPr>
                <w:rFonts w:ascii="Times New Roman" w:hAnsi="Times New Roman"/>
                <w:sz w:val="24"/>
                <w:szCs w:val="24"/>
                <w:lang w:val="uk-UA"/>
              </w:rPr>
            </w:pPr>
          </w:p>
        </w:tc>
        <w:tc>
          <w:tcPr>
            <w:tcW w:w="720" w:type="dxa"/>
          </w:tcPr>
          <w:p w:rsidR="00BC5CD7" w:rsidRPr="009340EB" w:rsidRDefault="00BC5CD7" w:rsidP="0020206D">
            <w:pPr>
              <w:pStyle w:val="NoSpacing"/>
              <w:jc w:val="both"/>
              <w:rPr>
                <w:rFonts w:ascii="Times New Roman" w:hAnsi="Times New Roman"/>
                <w:sz w:val="24"/>
                <w:szCs w:val="24"/>
                <w:lang w:val="uk-UA"/>
              </w:rPr>
            </w:pPr>
          </w:p>
        </w:tc>
        <w:tc>
          <w:tcPr>
            <w:tcW w:w="1800" w:type="dxa"/>
          </w:tcPr>
          <w:p w:rsidR="00BC5CD7" w:rsidRPr="009340EB" w:rsidRDefault="00BC5CD7" w:rsidP="0020206D">
            <w:pPr>
              <w:pStyle w:val="HTML"/>
              <w:rPr>
                <w:rFonts w:ascii="Times New Roman" w:hAnsi="Times New Roman"/>
                <w:sz w:val="24"/>
                <w:szCs w:val="24"/>
                <w:lang w:val="uk-UA"/>
              </w:rPr>
            </w:pPr>
            <w:r w:rsidRPr="009340EB">
              <w:rPr>
                <w:rFonts w:ascii="Times New Roman" w:hAnsi="Times New Roman"/>
                <w:sz w:val="24"/>
                <w:szCs w:val="24"/>
                <w:lang w:val="uk-UA"/>
              </w:rPr>
              <w:t xml:space="preserve">Абзац </w:t>
            </w:r>
            <w:r w:rsidR="00340EB2" w:rsidRPr="009340EB">
              <w:rPr>
                <w:rFonts w:ascii="Times New Roman" w:hAnsi="Times New Roman"/>
                <w:sz w:val="24"/>
                <w:szCs w:val="24"/>
                <w:lang w:val="uk-UA"/>
              </w:rPr>
              <w:t>перший</w:t>
            </w:r>
            <w:r w:rsidRPr="009340EB">
              <w:rPr>
                <w:rFonts w:ascii="Times New Roman" w:hAnsi="Times New Roman"/>
                <w:sz w:val="24"/>
                <w:szCs w:val="24"/>
                <w:lang w:val="uk-UA"/>
              </w:rPr>
              <w:t xml:space="preserve"> пункту 9 розділу ІІ Ліцензійних умов № 818</w:t>
            </w:r>
          </w:p>
        </w:tc>
      </w:tr>
      <w:tr w:rsidR="00110AAB" w:rsidRPr="008B6049" w:rsidTr="00523BD3">
        <w:tc>
          <w:tcPr>
            <w:tcW w:w="720" w:type="dxa"/>
            <w:gridSpan w:val="2"/>
          </w:tcPr>
          <w:p w:rsidR="00BC5CD7"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r w:rsidR="00B13FF1" w:rsidRPr="00225B95">
              <w:rPr>
                <w:rFonts w:ascii="Times New Roman" w:hAnsi="Times New Roman"/>
                <w:sz w:val="24"/>
                <w:szCs w:val="24"/>
                <w:lang w:val="uk-UA"/>
              </w:rPr>
              <w:t>.1</w:t>
            </w:r>
          </w:p>
        </w:tc>
        <w:tc>
          <w:tcPr>
            <w:tcW w:w="2520" w:type="dxa"/>
            <w:gridSpan w:val="2"/>
          </w:tcPr>
          <w:p w:rsidR="00BC5CD7" w:rsidRPr="00225B95" w:rsidRDefault="00BC5CD7" w:rsidP="0020206D">
            <w:pPr>
              <w:rPr>
                <w:rStyle w:val="rvts0"/>
                <w:lang w:val="uk-UA"/>
              </w:rPr>
            </w:pPr>
            <w:r w:rsidRPr="00225B95">
              <w:rPr>
                <w:rStyle w:val="rvts0"/>
                <w:lang w:val="uk-UA"/>
              </w:rPr>
              <w:t xml:space="preserve">У разі виникнення у фондової біржі (у тому числі у відокремлених підрозділах) при провадженні діяльності факту зменшення кількості сертифікованих фахівців (у тому числі керівних посадових осіб), що встановлена Порядком та умовами видачі ліцензії, але не </w:t>
            </w:r>
            <w:r w:rsidRPr="00225B95">
              <w:rPr>
                <w:rStyle w:val="rvts0"/>
                <w:lang w:val="uk-UA"/>
              </w:rPr>
              <w:lastRenderedPageBreak/>
              <w:t>менше ніж до двох фахівців, така фондова біржа (відокремлений підрозділ) віднов</w:t>
            </w:r>
            <w:r w:rsidR="004C382B">
              <w:rPr>
                <w:rStyle w:val="rvts0"/>
                <w:lang w:val="uk-UA"/>
              </w:rPr>
              <w:t>ила</w:t>
            </w:r>
            <w:r w:rsidRPr="00225B95">
              <w:rPr>
                <w:rStyle w:val="rvts0"/>
                <w:lang w:val="uk-UA"/>
              </w:rPr>
              <w:t xml:space="preserve"> протягом трьох місяців </w:t>
            </w:r>
            <w:r w:rsidR="004C382B">
              <w:rPr>
                <w:rStyle w:val="rvts0"/>
                <w:lang w:val="uk-UA"/>
              </w:rPr>
              <w:t>потрібну кількість та повідомила</w:t>
            </w:r>
            <w:r w:rsidRPr="00225B95">
              <w:rPr>
                <w:rStyle w:val="rvts0"/>
                <w:lang w:val="uk-UA"/>
              </w:rPr>
              <w:t xml:space="preserve"> про це Комісію в установленому порядку</w:t>
            </w:r>
            <w:r w:rsidR="00883C06">
              <w:rPr>
                <w:rStyle w:val="rvts0"/>
                <w:lang w:val="uk-UA"/>
              </w:rPr>
              <w:t>.</w:t>
            </w:r>
          </w:p>
        </w:tc>
        <w:tc>
          <w:tcPr>
            <w:tcW w:w="1895" w:type="dxa"/>
            <w:gridSpan w:val="2"/>
          </w:tcPr>
          <w:p w:rsidR="00796861" w:rsidRPr="00225B95" w:rsidRDefault="0079686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lastRenderedPageBreak/>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BC5CD7"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720" w:type="dxa"/>
          </w:tcPr>
          <w:p w:rsidR="00BC5CD7" w:rsidRPr="00225B95" w:rsidRDefault="00BC5CD7" w:rsidP="0020206D">
            <w:pPr>
              <w:pStyle w:val="NoSpacing"/>
              <w:jc w:val="both"/>
              <w:rPr>
                <w:rFonts w:ascii="Times New Roman" w:hAnsi="Times New Roman"/>
                <w:sz w:val="24"/>
                <w:szCs w:val="24"/>
                <w:lang w:val="uk-UA"/>
              </w:rPr>
            </w:pPr>
          </w:p>
        </w:tc>
        <w:tc>
          <w:tcPr>
            <w:tcW w:w="1800" w:type="dxa"/>
          </w:tcPr>
          <w:p w:rsidR="00BC5CD7" w:rsidRPr="00225B95" w:rsidRDefault="00BC5CD7"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340EB2" w:rsidRPr="00225B95">
              <w:rPr>
                <w:rFonts w:ascii="Times New Roman" w:hAnsi="Times New Roman"/>
                <w:sz w:val="24"/>
                <w:szCs w:val="24"/>
                <w:lang w:val="uk-UA"/>
              </w:rPr>
              <w:t>другий</w:t>
            </w:r>
            <w:r w:rsidRPr="00225B95">
              <w:rPr>
                <w:rFonts w:ascii="Times New Roman" w:hAnsi="Times New Roman"/>
                <w:sz w:val="24"/>
                <w:szCs w:val="24"/>
                <w:lang w:val="uk-UA"/>
              </w:rPr>
              <w:t xml:space="preserve"> пункту 9 розділу ІІ Ліцензійних умов № 818</w:t>
            </w:r>
          </w:p>
        </w:tc>
      </w:tr>
      <w:tr w:rsidR="00110AAB" w:rsidRPr="008B6049" w:rsidTr="00523BD3">
        <w:tc>
          <w:tcPr>
            <w:tcW w:w="720" w:type="dxa"/>
            <w:gridSpan w:val="2"/>
          </w:tcPr>
          <w:p w:rsidR="00BC5CD7"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r w:rsidR="00BC5CD7" w:rsidRPr="00225B95">
              <w:rPr>
                <w:rFonts w:ascii="Times New Roman" w:hAnsi="Times New Roman"/>
                <w:sz w:val="24"/>
                <w:szCs w:val="24"/>
                <w:lang w:val="uk-UA"/>
              </w:rPr>
              <w:t>.2</w:t>
            </w:r>
          </w:p>
        </w:tc>
        <w:tc>
          <w:tcPr>
            <w:tcW w:w="2520" w:type="dxa"/>
            <w:gridSpan w:val="2"/>
          </w:tcPr>
          <w:p w:rsidR="00BC5CD7" w:rsidRPr="00225B95" w:rsidRDefault="00BC5CD7" w:rsidP="0020206D">
            <w:pPr>
              <w:rPr>
                <w:rStyle w:val="rvts0"/>
                <w:lang w:val="uk-UA"/>
              </w:rPr>
            </w:pPr>
            <w:r w:rsidRPr="00225B95">
              <w:rPr>
                <w:rStyle w:val="rvts0"/>
                <w:lang w:val="uk-UA"/>
              </w:rPr>
              <w:t>Для відокремленого підрозділу фондової біржі в процесі провадження діяльності кількість сертифікованих фахівців є не менше трьох (у тому числі керівні посадові особи)</w:t>
            </w:r>
            <w:r w:rsidR="00883C06">
              <w:rPr>
                <w:rStyle w:val="rvts0"/>
                <w:lang w:val="uk-UA"/>
              </w:rPr>
              <w:t>.</w:t>
            </w:r>
          </w:p>
        </w:tc>
        <w:tc>
          <w:tcPr>
            <w:tcW w:w="1895" w:type="dxa"/>
            <w:gridSpan w:val="2"/>
          </w:tcPr>
          <w:p w:rsidR="00796861" w:rsidRPr="00225B95" w:rsidRDefault="0079686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BC5CD7"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720" w:type="dxa"/>
          </w:tcPr>
          <w:p w:rsidR="00BC5CD7" w:rsidRPr="00225B95" w:rsidRDefault="00BC5CD7" w:rsidP="0020206D">
            <w:pPr>
              <w:pStyle w:val="NoSpacing"/>
              <w:jc w:val="both"/>
              <w:rPr>
                <w:rFonts w:ascii="Times New Roman" w:hAnsi="Times New Roman"/>
                <w:sz w:val="24"/>
                <w:szCs w:val="24"/>
                <w:lang w:val="uk-UA"/>
              </w:rPr>
            </w:pPr>
          </w:p>
        </w:tc>
        <w:tc>
          <w:tcPr>
            <w:tcW w:w="1800" w:type="dxa"/>
          </w:tcPr>
          <w:p w:rsidR="00BC5CD7" w:rsidRPr="00225B95" w:rsidRDefault="00BC5CD7"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7205E9" w:rsidRPr="00225B95">
              <w:rPr>
                <w:rFonts w:ascii="Times New Roman" w:hAnsi="Times New Roman"/>
                <w:sz w:val="24"/>
                <w:szCs w:val="24"/>
                <w:lang w:val="uk-UA"/>
              </w:rPr>
              <w:t>третій</w:t>
            </w:r>
            <w:r w:rsidRPr="00225B95">
              <w:rPr>
                <w:rFonts w:ascii="Times New Roman" w:hAnsi="Times New Roman"/>
                <w:sz w:val="24"/>
                <w:szCs w:val="24"/>
                <w:lang w:val="uk-UA"/>
              </w:rPr>
              <w:t xml:space="preserve"> пункту 9 розділу ІІ Ліцензійних умов № 818</w:t>
            </w:r>
          </w:p>
        </w:tc>
      </w:tr>
      <w:tr w:rsidR="00110AAB" w:rsidRPr="008B6049" w:rsidTr="00523BD3">
        <w:tc>
          <w:tcPr>
            <w:tcW w:w="720" w:type="dxa"/>
            <w:gridSpan w:val="2"/>
          </w:tcPr>
          <w:p w:rsidR="00BC5CD7"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r w:rsidR="00BC5CD7" w:rsidRPr="00225B95">
              <w:rPr>
                <w:rFonts w:ascii="Times New Roman" w:hAnsi="Times New Roman"/>
                <w:sz w:val="24"/>
                <w:szCs w:val="24"/>
                <w:lang w:val="uk-UA"/>
              </w:rPr>
              <w:t>.3</w:t>
            </w:r>
          </w:p>
        </w:tc>
        <w:tc>
          <w:tcPr>
            <w:tcW w:w="2520" w:type="dxa"/>
            <w:gridSpan w:val="2"/>
          </w:tcPr>
          <w:p w:rsidR="00BC5CD7" w:rsidRPr="00225B95" w:rsidRDefault="00BC5CD7" w:rsidP="0020206D">
            <w:pPr>
              <w:rPr>
                <w:rStyle w:val="rvts0"/>
                <w:lang w:val="uk-UA"/>
              </w:rPr>
            </w:pPr>
            <w:r w:rsidRPr="00225B95">
              <w:rPr>
                <w:rStyle w:val="rvts0"/>
                <w:lang w:val="uk-UA"/>
              </w:rPr>
              <w:t>Сертифіковані керівні посадові особи та фахівці фондової біржі (її відокремлених підрозділів) не працюють одночасно в іншому професійному учаснику фондового ринку</w:t>
            </w:r>
            <w:r w:rsidR="00883C06">
              <w:rPr>
                <w:rStyle w:val="rvts0"/>
                <w:lang w:val="uk-UA"/>
              </w:rPr>
              <w:t>.</w:t>
            </w:r>
          </w:p>
        </w:tc>
        <w:tc>
          <w:tcPr>
            <w:tcW w:w="1895" w:type="dxa"/>
            <w:gridSpan w:val="2"/>
          </w:tcPr>
          <w:p w:rsidR="00796861" w:rsidRPr="00225B95" w:rsidRDefault="0079686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BC5CD7" w:rsidRPr="00225B95" w:rsidRDefault="009A7043" w:rsidP="004C382B">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tc>
        <w:tc>
          <w:tcPr>
            <w:tcW w:w="985"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720" w:type="dxa"/>
          </w:tcPr>
          <w:p w:rsidR="00BC5CD7" w:rsidRPr="00225B95" w:rsidRDefault="00BC5CD7" w:rsidP="0020206D">
            <w:pPr>
              <w:pStyle w:val="NoSpacing"/>
              <w:jc w:val="both"/>
              <w:rPr>
                <w:rFonts w:ascii="Times New Roman" w:hAnsi="Times New Roman"/>
                <w:sz w:val="24"/>
                <w:szCs w:val="24"/>
                <w:lang w:val="uk-UA"/>
              </w:rPr>
            </w:pPr>
          </w:p>
        </w:tc>
        <w:tc>
          <w:tcPr>
            <w:tcW w:w="1800" w:type="dxa"/>
          </w:tcPr>
          <w:p w:rsidR="00BC5CD7" w:rsidRPr="00225B95" w:rsidRDefault="00BC5CD7"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7205E9" w:rsidRPr="00225B95">
              <w:rPr>
                <w:rFonts w:ascii="Times New Roman" w:hAnsi="Times New Roman"/>
                <w:sz w:val="24"/>
                <w:szCs w:val="24"/>
                <w:lang w:val="uk-UA"/>
              </w:rPr>
              <w:t>четвертий</w:t>
            </w:r>
            <w:r w:rsidRPr="00225B95">
              <w:rPr>
                <w:rFonts w:ascii="Times New Roman" w:hAnsi="Times New Roman"/>
                <w:sz w:val="24"/>
                <w:szCs w:val="24"/>
                <w:lang w:val="uk-UA"/>
              </w:rPr>
              <w:t xml:space="preserve"> пункту 9 розділу ІІ Ліцензійних умов № 818</w:t>
            </w:r>
          </w:p>
        </w:tc>
      </w:tr>
      <w:tr w:rsidR="00110AAB" w:rsidRPr="008B6049" w:rsidTr="00523BD3">
        <w:tc>
          <w:tcPr>
            <w:tcW w:w="720" w:type="dxa"/>
            <w:gridSpan w:val="2"/>
          </w:tcPr>
          <w:p w:rsidR="00617733"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6</w:t>
            </w:r>
          </w:p>
        </w:tc>
        <w:tc>
          <w:tcPr>
            <w:tcW w:w="2520" w:type="dxa"/>
            <w:gridSpan w:val="2"/>
          </w:tcPr>
          <w:p w:rsidR="00617733" w:rsidRPr="006E2D27" w:rsidRDefault="006E2D27" w:rsidP="0020206D">
            <w:pPr>
              <w:rPr>
                <w:rStyle w:val="rvts0"/>
                <w:lang w:val="uk-UA"/>
              </w:rPr>
            </w:pPr>
            <w:r>
              <w:rPr>
                <w:rStyle w:val="rvts0"/>
                <w:lang w:val="uk-UA"/>
              </w:rPr>
              <w:t xml:space="preserve">Кандидатура керівника фондової біржі погоджена відповідно до Порядку погодження кандидатур керівників фондових бірж і вимог до таких керівників під час їх перебування на посаді, затвердженого рішенням Національної комісії з цінних паперів та фондового </w:t>
            </w:r>
            <w:r w:rsidR="00896B52">
              <w:rPr>
                <w:rStyle w:val="rvts0"/>
                <w:lang w:val="uk-UA"/>
              </w:rPr>
              <w:t xml:space="preserve">ринку  від 22 січня 2013 року </w:t>
            </w:r>
            <w:r>
              <w:rPr>
                <w:rStyle w:val="rvts0"/>
                <w:lang w:val="uk-UA"/>
              </w:rPr>
              <w:t xml:space="preserve"> № 64, зареєстрованого у Міністерстві юстиції України 14 лютого </w:t>
            </w:r>
            <w:r>
              <w:rPr>
                <w:rStyle w:val="rvts0"/>
                <w:lang w:val="uk-UA"/>
              </w:rPr>
              <w:lastRenderedPageBreak/>
              <w:t>2013 року за № 269/22801 (зі змінами) (далі – Порядок погодження кандидатур керівників)</w:t>
            </w:r>
            <w:r w:rsidR="00883C06">
              <w:rPr>
                <w:rStyle w:val="rvts0"/>
                <w:lang w:val="uk-UA"/>
              </w:rPr>
              <w:t>.</w:t>
            </w:r>
          </w:p>
        </w:tc>
        <w:tc>
          <w:tcPr>
            <w:tcW w:w="1895" w:type="dxa"/>
            <w:gridSpan w:val="2"/>
          </w:tcPr>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lastRenderedPageBreak/>
              <w:t>середній,</w:t>
            </w:r>
          </w:p>
          <w:p w:rsidR="0061773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720" w:type="dxa"/>
          </w:tcPr>
          <w:p w:rsidR="00617733" w:rsidRPr="00225B95" w:rsidRDefault="00617733" w:rsidP="0020206D">
            <w:pPr>
              <w:pStyle w:val="NoSpacing"/>
              <w:jc w:val="both"/>
              <w:rPr>
                <w:rFonts w:ascii="Times New Roman" w:hAnsi="Times New Roman"/>
                <w:sz w:val="24"/>
                <w:szCs w:val="24"/>
                <w:lang w:val="uk-UA"/>
              </w:rPr>
            </w:pPr>
          </w:p>
        </w:tc>
        <w:tc>
          <w:tcPr>
            <w:tcW w:w="1800" w:type="dxa"/>
          </w:tcPr>
          <w:p w:rsidR="001A2042" w:rsidRDefault="00617733"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3913C7">
              <w:rPr>
                <w:rFonts w:ascii="Times New Roman" w:hAnsi="Times New Roman"/>
                <w:sz w:val="24"/>
                <w:szCs w:val="24"/>
                <w:lang w:val="uk-UA"/>
              </w:rPr>
              <w:t xml:space="preserve">другий </w:t>
            </w:r>
            <w:r w:rsidRPr="00225B95">
              <w:rPr>
                <w:rFonts w:ascii="Times New Roman" w:hAnsi="Times New Roman"/>
                <w:sz w:val="24"/>
                <w:szCs w:val="24"/>
                <w:lang w:val="uk-UA"/>
              </w:rPr>
              <w:t xml:space="preserve">пункту </w:t>
            </w:r>
            <w:r w:rsidR="003913C7">
              <w:rPr>
                <w:rFonts w:ascii="Times New Roman" w:hAnsi="Times New Roman"/>
                <w:sz w:val="24"/>
                <w:szCs w:val="24"/>
                <w:lang w:val="uk-UA"/>
              </w:rPr>
              <w:t xml:space="preserve">2 </w:t>
            </w:r>
            <w:r w:rsidRPr="00225B95">
              <w:rPr>
                <w:rFonts w:ascii="Times New Roman" w:hAnsi="Times New Roman"/>
                <w:sz w:val="24"/>
                <w:szCs w:val="24"/>
                <w:lang w:val="uk-UA"/>
              </w:rPr>
              <w:t>розділу ІІ Ліцензійних умов № 818</w:t>
            </w:r>
            <w:r w:rsidR="004232A2">
              <w:rPr>
                <w:rFonts w:ascii="Times New Roman" w:hAnsi="Times New Roman"/>
                <w:sz w:val="24"/>
                <w:szCs w:val="24"/>
                <w:lang w:val="uk-UA"/>
              </w:rPr>
              <w:t>;</w:t>
            </w:r>
            <w:r w:rsidR="001A2042">
              <w:rPr>
                <w:rFonts w:ascii="Times New Roman" w:hAnsi="Times New Roman"/>
                <w:sz w:val="24"/>
                <w:szCs w:val="24"/>
                <w:lang w:val="uk-UA"/>
              </w:rPr>
              <w:t xml:space="preserve"> Порядок </w:t>
            </w:r>
          </w:p>
          <w:p w:rsidR="00617733" w:rsidRPr="00225B95" w:rsidRDefault="001A2042" w:rsidP="0020206D">
            <w:pPr>
              <w:pStyle w:val="HTML"/>
              <w:rPr>
                <w:rFonts w:ascii="Times New Roman" w:hAnsi="Times New Roman"/>
                <w:sz w:val="24"/>
                <w:szCs w:val="24"/>
                <w:lang w:val="uk-UA"/>
              </w:rPr>
            </w:pPr>
            <w:r>
              <w:rPr>
                <w:rFonts w:ascii="Times New Roman" w:hAnsi="Times New Roman"/>
                <w:sz w:val="24"/>
                <w:szCs w:val="24"/>
                <w:lang w:val="uk-UA"/>
              </w:rPr>
              <w:t>№ 64</w:t>
            </w:r>
          </w:p>
        </w:tc>
      </w:tr>
      <w:tr w:rsidR="00110AAB" w:rsidRPr="008B6049" w:rsidTr="00523BD3">
        <w:tc>
          <w:tcPr>
            <w:tcW w:w="720" w:type="dxa"/>
            <w:gridSpan w:val="2"/>
          </w:tcPr>
          <w:p w:rsidR="006E2D27"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6</w:t>
            </w:r>
            <w:r w:rsidR="004232A2">
              <w:rPr>
                <w:rFonts w:ascii="Times New Roman" w:hAnsi="Times New Roman"/>
                <w:sz w:val="24"/>
                <w:szCs w:val="24"/>
                <w:lang w:val="uk-UA"/>
              </w:rPr>
              <w:t>.1</w:t>
            </w:r>
          </w:p>
        </w:tc>
        <w:tc>
          <w:tcPr>
            <w:tcW w:w="2520" w:type="dxa"/>
            <w:gridSpan w:val="2"/>
          </w:tcPr>
          <w:p w:rsidR="006E2D27" w:rsidRPr="00883C06" w:rsidRDefault="006E2D27" w:rsidP="006E2D27">
            <w:pPr>
              <w:rPr>
                <w:rStyle w:val="rvts0"/>
                <w:lang w:val="uk-UA"/>
              </w:rPr>
            </w:pPr>
            <w:r w:rsidRPr="00225B95">
              <w:rPr>
                <w:rStyle w:val="rvts0"/>
              </w:rPr>
              <w:t>Керівник ліцензіата відповіда</w:t>
            </w:r>
            <w:r w:rsidRPr="00225B95">
              <w:rPr>
                <w:rStyle w:val="rvts0"/>
                <w:lang w:val="uk-UA"/>
              </w:rPr>
              <w:t>є</w:t>
            </w:r>
            <w:r w:rsidRPr="00225B95">
              <w:rPr>
                <w:rStyle w:val="rvts0"/>
              </w:rPr>
              <w:t xml:space="preserve"> вимогам, установлени</w:t>
            </w:r>
            <w:r w:rsidRPr="00225B95">
              <w:rPr>
                <w:rStyle w:val="rvts0"/>
                <w:lang w:val="uk-UA"/>
              </w:rPr>
              <w:t>х</w:t>
            </w:r>
            <w:r w:rsidRPr="00225B95">
              <w:rPr>
                <w:rStyle w:val="rvts0"/>
              </w:rPr>
              <w:t xml:space="preserve"> </w:t>
            </w:r>
            <w:hyperlink r:id="rId7" w:anchor="n17" w:tgtFrame="_blank" w:history="1">
              <w:r w:rsidRPr="00225B95">
                <w:rPr>
                  <w:rStyle w:val="a4"/>
                  <w:color w:val="auto"/>
                  <w:u w:val="none"/>
                </w:rPr>
                <w:t>Порядком погодження кандидатур керівників</w:t>
              </w:r>
            </w:hyperlink>
            <w:r w:rsidR="00883C06">
              <w:rPr>
                <w:rStyle w:val="rvts0"/>
                <w:lang w:val="uk-UA"/>
              </w:rPr>
              <w:t>.</w:t>
            </w:r>
          </w:p>
        </w:tc>
        <w:tc>
          <w:tcPr>
            <w:tcW w:w="1895" w:type="dxa"/>
            <w:gridSpan w:val="2"/>
          </w:tcPr>
          <w:p w:rsidR="006E2D27" w:rsidRPr="00225B95" w:rsidRDefault="006E2D27" w:rsidP="006E2D27">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6E2D27" w:rsidRPr="00225B95" w:rsidRDefault="006E2D27" w:rsidP="006E2D27">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E2D27" w:rsidRPr="00225B95" w:rsidRDefault="006E2D27" w:rsidP="006E2D27">
            <w:pPr>
              <w:pStyle w:val="NoSpacing"/>
              <w:jc w:val="both"/>
              <w:rPr>
                <w:rFonts w:ascii="Times New Roman" w:hAnsi="Times New Roman"/>
                <w:sz w:val="24"/>
                <w:szCs w:val="24"/>
                <w:lang w:val="uk-UA"/>
              </w:rPr>
            </w:pPr>
          </w:p>
        </w:tc>
        <w:tc>
          <w:tcPr>
            <w:tcW w:w="360" w:type="dxa"/>
          </w:tcPr>
          <w:p w:rsidR="006E2D27" w:rsidRPr="00225B95" w:rsidRDefault="006E2D27" w:rsidP="006E2D27">
            <w:pPr>
              <w:pStyle w:val="NoSpacing"/>
              <w:jc w:val="both"/>
              <w:rPr>
                <w:rFonts w:ascii="Times New Roman" w:hAnsi="Times New Roman"/>
                <w:sz w:val="24"/>
                <w:szCs w:val="24"/>
                <w:lang w:val="uk-UA"/>
              </w:rPr>
            </w:pPr>
          </w:p>
        </w:tc>
        <w:tc>
          <w:tcPr>
            <w:tcW w:w="360" w:type="dxa"/>
          </w:tcPr>
          <w:p w:rsidR="006E2D27" w:rsidRPr="00225B95" w:rsidRDefault="006E2D27" w:rsidP="006E2D27">
            <w:pPr>
              <w:pStyle w:val="NoSpacing"/>
              <w:jc w:val="both"/>
              <w:rPr>
                <w:rFonts w:ascii="Times New Roman" w:hAnsi="Times New Roman"/>
                <w:sz w:val="24"/>
                <w:szCs w:val="24"/>
                <w:lang w:val="uk-UA"/>
              </w:rPr>
            </w:pPr>
          </w:p>
        </w:tc>
        <w:tc>
          <w:tcPr>
            <w:tcW w:w="720" w:type="dxa"/>
          </w:tcPr>
          <w:p w:rsidR="006E2D27" w:rsidRPr="00225B95" w:rsidRDefault="006E2D27" w:rsidP="006E2D27">
            <w:pPr>
              <w:pStyle w:val="NoSpacing"/>
              <w:jc w:val="both"/>
              <w:rPr>
                <w:rFonts w:ascii="Times New Roman" w:hAnsi="Times New Roman"/>
                <w:sz w:val="24"/>
                <w:szCs w:val="24"/>
                <w:lang w:val="uk-UA"/>
              </w:rPr>
            </w:pPr>
          </w:p>
        </w:tc>
        <w:tc>
          <w:tcPr>
            <w:tcW w:w="1800" w:type="dxa"/>
          </w:tcPr>
          <w:p w:rsidR="006E2D27" w:rsidRDefault="006E2D27" w:rsidP="006E2D27">
            <w:pPr>
              <w:pStyle w:val="HTML"/>
              <w:rPr>
                <w:rFonts w:ascii="Times New Roman" w:hAnsi="Times New Roman"/>
                <w:sz w:val="24"/>
                <w:szCs w:val="24"/>
                <w:lang w:val="uk-UA"/>
              </w:rPr>
            </w:pPr>
            <w:r w:rsidRPr="00225B95">
              <w:rPr>
                <w:rFonts w:ascii="Times New Roman" w:hAnsi="Times New Roman"/>
                <w:sz w:val="24"/>
                <w:szCs w:val="24"/>
                <w:lang w:val="uk-UA"/>
              </w:rPr>
              <w:t>Абзац перший пункту 10 розділу ІІ Ліцензійних умов № 818</w:t>
            </w:r>
            <w:r w:rsidR="004232A2">
              <w:rPr>
                <w:rFonts w:ascii="Times New Roman" w:hAnsi="Times New Roman"/>
                <w:sz w:val="24"/>
                <w:szCs w:val="24"/>
                <w:lang w:val="uk-UA"/>
              </w:rPr>
              <w:t>;</w:t>
            </w:r>
          </w:p>
          <w:p w:rsidR="004232A2" w:rsidRDefault="004232A2" w:rsidP="004232A2">
            <w:pPr>
              <w:pStyle w:val="HTML"/>
              <w:rPr>
                <w:rFonts w:ascii="Times New Roman" w:hAnsi="Times New Roman"/>
                <w:sz w:val="24"/>
                <w:szCs w:val="24"/>
                <w:lang w:val="uk-UA"/>
              </w:rPr>
            </w:pPr>
            <w:r>
              <w:rPr>
                <w:rFonts w:ascii="Times New Roman" w:hAnsi="Times New Roman"/>
                <w:sz w:val="24"/>
                <w:szCs w:val="24"/>
                <w:lang w:val="uk-UA"/>
              </w:rPr>
              <w:t xml:space="preserve">Порядок </w:t>
            </w:r>
          </w:p>
          <w:p w:rsidR="004232A2" w:rsidRPr="00225B95" w:rsidRDefault="004232A2" w:rsidP="004232A2">
            <w:pPr>
              <w:pStyle w:val="HTML"/>
              <w:rPr>
                <w:rFonts w:ascii="Times New Roman" w:hAnsi="Times New Roman"/>
                <w:sz w:val="24"/>
                <w:szCs w:val="24"/>
                <w:lang w:val="uk-UA"/>
              </w:rPr>
            </w:pPr>
            <w:r>
              <w:rPr>
                <w:rFonts w:ascii="Times New Roman" w:hAnsi="Times New Roman"/>
                <w:sz w:val="24"/>
                <w:szCs w:val="24"/>
                <w:lang w:val="uk-UA"/>
              </w:rPr>
              <w:t>№ 64</w:t>
            </w:r>
          </w:p>
        </w:tc>
      </w:tr>
      <w:tr w:rsidR="00110AAB" w:rsidRPr="008B6049" w:rsidTr="00523BD3">
        <w:tc>
          <w:tcPr>
            <w:tcW w:w="720" w:type="dxa"/>
            <w:gridSpan w:val="2"/>
          </w:tcPr>
          <w:p w:rsidR="00617733"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6</w:t>
            </w:r>
            <w:r w:rsidR="00617733" w:rsidRPr="00225B95">
              <w:rPr>
                <w:rFonts w:ascii="Times New Roman" w:hAnsi="Times New Roman"/>
                <w:sz w:val="24"/>
                <w:szCs w:val="24"/>
                <w:lang w:val="uk-UA"/>
              </w:rPr>
              <w:t>.</w:t>
            </w:r>
            <w:r w:rsidR="004232A2">
              <w:rPr>
                <w:rFonts w:ascii="Times New Roman" w:hAnsi="Times New Roman"/>
                <w:sz w:val="24"/>
                <w:szCs w:val="24"/>
                <w:lang w:val="uk-UA"/>
              </w:rPr>
              <w:t>2</w:t>
            </w:r>
          </w:p>
        </w:tc>
        <w:tc>
          <w:tcPr>
            <w:tcW w:w="2520" w:type="dxa"/>
            <w:gridSpan w:val="2"/>
          </w:tcPr>
          <w:p w:rsidR="00617733" w:rsidRPr="00883C06" w:rsidRDefault="00617733" w:rsidP="0020206D">
            <w:pPr>
              <w:rPr>
                <w:rStyle w:val="rvts0"/>
                <w:lang w:val="uk-UA"/>
              </w:rPr>
            </w:pPr>
            <w:r w:rsidRPr="00225B95">
              <w:rPr>
                <w:rStyle w:val="rvts0"/>
                <w:lang w:val="uk-UA"/>
              </w:rPr>
              <w:t>Н</w:t>
            </w:r>
            <w:r w:rsidRPr="00225B95">
              <w:rPr>
                <w:rStyle w:val="rvts0"/>
              </w:rPr>
              <w:t xml:space="preserve">а час відсутності керівника уповноважений орган ліцензіата </w:t>
            </w:r>
            <w:r w:rsidRPr="00225B95">
              <w:rPr>
                <w:rStyle w:val="rvts0"/>
                <w:lang w:val="uk-UA"/>
              </w:rPr>
              <w:t>забезп</w:t>
            </w:r>
            <w:r w:rsidR="004C382B">
              <w:rPr>
                <w:rStyle w:val="rvts0"/>
                <w:lang w:val="uk-UA"/>
              </w:rPr>
              <w:t>ечив</w:t>
            </w:r>
            <w:r w:rsidRPr="00225B95">
              <w:rPr>
                <w:rStyle w:val="rvts0"/>
              </w:rPr>
              <w:t xml:space="preserve"> наявність особи, яка викону</w:t>
            </w:r>
            <w:r w:rsidRPr="00225B95">
              <w:rPr>
                <w:rStyle w:val="rvts0"/>
                <w:lang w:val="uk-UA"/>
              </w:rPr>
              <w:t>є</w:t>
            </w:r>
            <w:r w:rsidRPr="00225B95">
              <w:rPr>
                <w:rStyle w:val="rvts0"/>
              </w:rPr>
              <w:t xml:space="preserve"> його обов'язки. Така особа признач</w:t>
            </w:r>
            <w:r w:rsidR="004C382B">
              <w:rPr>
                <w:rStyle w:val="rvts0"/>
                <w:lang w:val="uk-UA"/>
              </w:rPr>
              <w:t>ена</w:t>
            </w:r>
            <w:r w:rsidRPr="00225B95">
              <w:rPr>
                <w:rStyle w:val="rvts0"/>
              </w:rPr>
              <w:t xml:space="preserve"> числа сертифікованих працівників ліцензіата</w:t>
            </w:r>
            <w:r w:rsidR="00883C06">
              <w:rPr>
                <w:rStyle w:val="rvts0"/>
                <w:lang w:val="uk-UA"/>
              </w:rPr>
              <w:t>.</w:t>
            </w:r>
          </w:p>
        </w:tc>
        <w:tc>
          <w:tcPr>
            <w:tcW w:w="1895" w:type="dxa"/>
            <w:gridSpan w:val="2"/>
          </w:tcPr>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61773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720" w:type="dxa"/>
          </w:tcPr>
          <w:p w:rsidR="00617733" w:rsidRPr="00225B95" w:rsidRDefault="00617733" w:rsidP="0020206D">
            <w:pPr>
              <w:pStyle w:val="NoSpacing"/>
              <w:jc w:val="both"/>
              <w:rPr>
                <w:rFonts w:ascii="Times New Roman" w:hAnsi="Times New Roman"/>
                <w:sz w:val="24"/>
                <w:szCs w:val="24"/>
                <w:lang w:val="uk-UA"/>
              </w:rPr>
            </w:pPr>
          </w:p>
        </w:tc>
        <w:tc>
          <w:tcPr>
            <w:tcW w:w="1800" w:type="dxa"/>
          </w:tcPr>
          <w:p w:rsidR="00617733" w:rsidRPr="00225B95" w:rsidRDefault="00617733" w:rsidP="0020206D">
            <w:pPr>
              <w:pStyle w:val="HTML"/>
              <w:rPr>
                <w:rFonts w:ascii="Times New Roman" w:hAnsi="Times New Roman"/>
                <w:sz w:val="24"/>
                <w:szCs w:val="24"/>
                <w:lang w:val="uk-UA"/>
              </w:rPr>
            </w:pPr>
            <w:r w:rsidRPr="00225B95">
              <w:rPr>
                <w:rFonts w:ascii="Times New Roman" w:hAnsi="Times New Roman"/>
                <w:sz w:val="24"/>
                <w:szCs w:val="24"/>
                <w:lang w:val="uk-UA"/>
              </w:rPr>
              <w:t>Абзац другий пункту 10 розділу ІІ Ліцензійних умов № 818</w:t>
            </w:r>
          </w:p>
        </w:tc>
      </w:tr>
      <w:tr w:rsidR="00110AAB" w:rsidRPr="008B6049" w:rsidTr="00523BD3">
        <w:tc>
          <w:tcPr>
            <w:tcW w:w="720" w:type="dxa"/>
            <w:gridSpan w:val="2"/>
          </w:tcPr>
          <w:p w:rsidR="00617733"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6</w:t>
            </w:r>
            <w:r w:rsidR="00617733" w:rsidRPr="00225B95">
              <w:rPr>
                <w:rFonts w:ascii="Times New Roman" w:hAnsi="Times New Roman"/>
                <w:sz w:val="24"/>
                <w:szCs w:val="24"/>
                <w:lang w:val="uk-UA"/>
              </w:rPr>
              <w:t>.</w:t>
            </w:r>
            <w:r w:rsidR="004232A2">
              <w:rPr>
                <w:rFonts w:ascii="Times New Roman" w:hAnsi="Times New Roman"/>
                <w:sz w:val="24"/>
                <w:szCs w:val="24"/>
                <w:lang w:val="uk-UA"/>
              </w:rPr>
              <w:t>3</w:t>
            </w:r>
          </w:p>
        </w:tc>
        <w:tc>
          <w:tcPr>
            <w:tcW w:w="2520" w:type="dxa"/>
            <w:gridSpan w:val="2"/>
          </w:tcPr>
          <w:p w:rsidR="00617733" w:rsidRPr="00206DC1" w:rsidRDefault="00617733" w:rsidP="0020206D">
            <w:pPr>
              <w:rPr>
                <w:rStyle w:val="rvts0"/>
              </w:rPr>
            </w:pPr>
            <w:r w:rsidRPr="00225B95">
              <w:rPr>
                <w:rStyle w:val="rvts0"/>
              </w:rPr>
              <w:t>У разі звільнення керівника ліцензіата уповноважени</w:t>
            </w:r>
            <w:r w:rsidRPr="00225B95">
              <w:rPr>
                <w:rStyle w:val="rvts0"/>
                <w:lang w:val="uk-UA"/>
              </w:rPr>
              <w:t>м</w:t>
            </w:r>
            <w:r w:rsidRPr="00225B95">
              <w:rPr>
                <w:rStyle w:val="rvts0"/>
              </w:rPr>
              <w:t xml:space="preserve"> орган</w:t>
            </w:r>
            <w:r w:rsidRPr="00225B95">
              <w:rPr>
                <w:rStyle w:val="rvts0"/>
                <w:lang w:val="uk-UA"/>
              </w:rPr>
              <w:t>ом</w:t>
            </w:r>
            <w:r w:rsidRPr="00225B95">
              <w:rPr>
                <w:rStyle w:val="rvts0"/>
              </w:rPr>
              <w:t xml:space="preserve"> ліцензіата до затвердження кандидатури керівника признач</w:t>
            </w:r>
            <w:r w:rsidRPr="00225B95">
              <w:rPr>
                <w:rStyle w:val="rvts0"/>
                <w:lang w:val="uk-UA"/>
              </w:rPr>
              <w:t>ено</w:t>
            </w:r>
            <w:r w:rsidRPr="00225B95">
              <w:rPr>
                <w:rStyle w:val="rvts0"/>
              </w:rPr>
              <w:t xml:space="preserve"> особу, яка виконуватиме його обов’язки, на строк не більше трьох місяців. </w:t>
            </w:r>
          </w:p>
        </w:tc>
        <w:tc>
          <w:tcPr>
            <w:tcW w:w="1895" w:type="dxa"/>
            <w:gridSpan w:val="2"/>
          </w:tcPr>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61773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720" w:type="dxa"/>
          </w:tcPr>
          <w:p w:rsidR="00617733" w:rsidRPr="00225B95" w:rsidRDefault="00617733" w:rsidP="0020206D">
            <w:pPr>
              <w:pStyle w:val="NoSpacing"/>
              <w:jc w:val="both"/>
              <w:rPr>
                <w:rFonts w:ascii="Times New Roman" w:hAnsi="Times New Roman"/>
                <w:sz w:val="24"/>
                <w:szCs w:val="24"/>
                <w:lang w:val="uk-UA"/>
              </w:rPr>
            </w:pPr>
          </w:p>
        </w:tc>
        <w:tc>
          <w:tcPr>
            <w:tcW w:w="1800" w:type="dxa"/>
          </w:tcPr>
          <w:p w:rsidR="00206DC1" w:rsidRDefault="00206DC1" w:rsidP="0020206D">
            <w:pPr>
              <w:pStyle w:val="HTML"/>
              <w:rPr>
                <w:rFonts w:ascii="Times New Roman" w:hAnsi="Times New Roman"/>
                <w:sz w:val="24"/>
                <w:szCs w:val="24"/>
                <w:lang w:val="uk-UA"/>
              </w:rPr>
            </w:pPr>
            <w:r>
              <w:rPr>
                <w:rFonts w:ascii="Times New Roman" w:hAnsi="Times New Roman"/>
                <w:sz w:val="24"/>
                <w:szCs w:val="24"/>
                <w:lang w:val="uk-UA"/>
              </w:rPr>
              <w:t>Абзац</w:t>
            </w:r>
          </w:p>
          <w:p w:rsidR="00206DC1" w:rsidRDefault="00206DC1" w:rsidP="0020206D">
            <w:pPr>
              <w:pStyle w:val="HTML"/>
              <w:rPr>
                <w:rFonts w:ascii="Times New Roman" w:hAnsi="Times New Roman"/>
                <w:sz w:val="24"/>
                <w:szCs w:val="24"/>
                <w:lang w:val="uk-UA"/>
              </w:rPr>
            </w:pPr>
            <w:r>
              <w:rPr>
                <w:rFonts w:ascii="Times New Roman" w:hAnsi="Times New Roman"/>
                <w:sz w:val="24"/>
                <w:szCs w:val="24"/>
                <w:lang w:val="uk-UA"/>
              </w:rPr>
              <w:t>т</w:t>
            </w:r>
            <w:r w:rsidR="00617733" w:rsidRPr="00225B95">
              <w:rPr>
                <w:rFonts w:ascii="Times New Roman" w:hAnsi="Times New Roman"/>
                <w:sz w:val="24"/>
                <w:szCs w:val="24"/>
                <w:lang w:val="uk-UA"/>
              </w:rPr>
              <w:t>ретій</w:t>
            </w:r>
          </w:p>
          <w:p w:rsidR="00617733" w:rsidRPr="00225B95" w:rsidRDefault="00617733" w:rsidP="0020206D">
            <w:pPr>
              <w:pStyle w:val="HTML"/>
              <w:rPr>
                <w:rFonts w:ascii="Times New Roman" w:hAnsi="Times New Roman"/>
                <w:sz w:val="24"/>
                <w:szCs w:val="24"/>
                <w:lang w:val="uk-UA"/>
              </w:rPr>
            </w:pPr>
            <w:r w:rsidRPr="00225B95">
              <w:rPr>
                <w:rFonts w:ascii="Times New Roman" w:hAnsi="Times New Roman"/>
                <w:sz w:val="24"/>
                <w:szCs w:val="24"/>
                <w:lang w:val="uk-UA"/>
              </w:rPr>
              <w:t>пункту 10 розділу ІІ Ліцензійних умов № 818</w:t>
            </w:r>
          </w:p>
        </w:tc>
      </w:tr>
      <w:tr w:rsidR="00206DC1" w:rsidRPr="008B6049" w:rsidTr="00523BD3">
        <w:tc>
          <w:tcPr>
            <w:tcW w:w="720" w:type="dxa"/>
            <w:gridSpan w:val="2"/>
          </w:tcPr>
          <w:p w:rsidR="00206DC1" w:rsidRDefault="00206DC1" w:rsidP="00206DC1">
            <w:pPr>
              <w:pStyle w:val="NoSpacing"/>
              <w:ind w:left="-85" w:right="-85"/>
              <w:jc w:val="both"/>
              <w:rPr>
                <w:rFonts w:ascii="Times New Roman" w:hAnsi="Times New Roman"/>
                <w:sz w:val="24"/>
                <w:szCs w:val="24"/>
                <w:lang w:val="uk-UA"/>
              </w:rPr>
            </w:pPr>
            <w:r>
              <w:rPr>
                <w:rFonts w:ascii="Times New Roman" w:hAnsi="Times New Roman"/>
                <w:sz w:val="24"/>
                <w:szCs w:val="24"/>
                <w:lang w:val="uk-UA"/>
              </w:rPr>
              <w:t>6.3.1</w:t>
            </w:r>
          </w:p>
        </w:tc>
        <w:tc>
          <w:tcPr>
            <w:tcW w:w="2520" w:type="dxa"/>
            <w:gridSpan w:val="2"/>
          </w:tcPr>
          <w:p w:rsidR="00206DC1" w:rsidRPr="00206DC1" w:rsidRDefault="00206DC1" w:rsidP="00206DC1">
            <w:pPr>
              <w:rPr>
                <w:rStyle w:val="rvts0"/>
                <w:lang w:val="uk-UA"/>
              </w:rPr>
            </w:pPr>
            <w:r w:rsidRPr="00206DC1">
              <w:rPr>
                <w:rStyle w:val="rvts0"/>
                <w:lang w:val="uk-UA"/>
              </w:rPr>
              <w:t xml:space="preserve">Така особа </w:t>
            </w:r>
            <w:r w:rsidRPr="00225B95">
              <w:rPr>
                <w:rStyle w:val="rvts0"/>
                <w:lang w:val="uk-UA"/>
              </w:rPr>
              <w:t>має</w:t>
            </w:r>
            <w:r w:rsidRPr="00206DC1">
              <w:rPr>
                <w:rStyle w:val="rvts0"/>
                <w:lang w:val="uk-UA"/>
              </w:rPr>
              <w:t xml:space="preserve"> відповідний сертифікат, стаж роботи на фондовому ринку не менше трьох років та відповіда</w:t>
            </w:r>
            <w:r w:rsidRPr="00225B95">
              <w:rPr>
                <w:rStyle w:val="rvts0"/>
                <w:lang w:val="uk-UA"/>
              </w:rPr>
              <w:t>є</w:t>
            </w:r>
            <w:r w:rsidRPr="00206DC1">
              <w:rPr>
                <w:rStyle w:val="rvts0"/>
                <w:lang w:val="uk-UA"/>
              </w:rPr>
              <w:t xml:space="preserve"> вимогам щодо ділової репутації, установлени</w:t>
            </w:r>
            <w:r w:rsidRPr="00225B95">
              <w:rPr>
                <w:rStyle w:val="rvts0"/>
                <w:lang w:val="uk-UA"/>
              </w:rPr>
              <w:t>х</w:t>
            </w:r>
            <w:r w:rsidRPr="00206DC1">
              <w:rPr>
                <w:rStyle w:val="rvts0"/>
                <w:lang w:val="uk-UA"/>
              </w:rPr>
              <w:t xml:space="preserve"> Комісією</w:t>
            </w:r>
            <w:r>
              <w:rPr>
                <w:rStyle w:val="rvts0"/>
                <w:lang w:val="uk-UA"/>
              </w:rPr>
              <w:t>.</w:t>
            </w:r>
          </w:p>
        </w:tc>
        <w:tc>
          <w:tcPr>
            <w:tcW w:w="1895" w:type="dxa"/>
            <w:gridSpan w:val="2"/>
          </w:tcPr>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720" w:type="dxa"/>
          </w:tcPr>
          <w:p w:rsidR="00206DC1" w:rsidRPr="00225B95" w:rsidRDefault="00206DC1" w:rsidP="0020206D">
            <w:pPr>
              <w:pStyle w:val="NoSpacing"/>
              <w:jc w:val="both"/>
              <w:rPr>
                <w:rFonts w:ascii="Times New Roman" w:hAnsi="Times New Roman"/>
                <w:sz w:val="24"/>
                <w:szCs w:val="24"/>
                <w:lang w:val="uk-UA"/>
              </w:rPr>
            </w:pPr>
          </w:p>
        </w:tc>
        <w:tc>
          <w:tcPr>
            <w:tcW w:w="1800" w:type="dxa"/>
          </w:tcPr>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Абзац</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т</w:t>
            </w:r>
            <w:r w:rsidRPr="00225B95">
              <w:rPr>
                <w:rFonts w:ascii="Times New Roman" w:hAnsi="Times New Roman"/>
                <w:sz w:val="24"/>
                <w:szCs w:val="24"/>
                <w:lang w:val="uk-UA"/>
              </w:rPr>
              <w:t>ретій</w:t>
            </w:r>
          </w:p>
          <w:p w:rsidR="00206DC1" w:rsidRPr="00225B95" w:rsidRDefault="00206DC1" w:rsidP="00206DC1">
            <w:pPr>
              <w:pStyle w:val="HTML"/>
              <w:rPr>
                <w:rFonts w:ascii="Times New Roman" w:hAnsi="Times New Roman"/>
                <w:sz w:val="24"/>
                <w:szCs w:val="24"/>
                <w:lang w:val="uk-UA"/>
              </w:rPr>
            </w:pPr>
            <w:r w:rsidRPr="00225B95">
              <w:rPr>
                <w:rFonts w:ascii="Times New Roman" w:hAnsi="Times New Roman"/>
                <w:sz w:val="24"/>
                <w:szCs w:val="24"/>
                <w:lang w:val="uk-UA"/>
              </w:rPr>
              <w:t>пункту 10 розділу ІІ Ліцензійних умов № 818</w:t>
            </w:r>
          </w:p>
        </w:tc>
      </w:tr>
      <w:tr w:rsidR="00206DC1" w:rsidRPr="008B6049" w:rsidTr="00523BD3">
        <w:tc>
          <w:tcPr>
            <w:tcW w:w="720" w:type="dxa"/>
            <w:gridSpan w:val="2"/>
          </w:tcPr>
          <w:p w:rsidR="00206DC1" w:rsidRDefault="00206DC1" w:rsidP="00206DC1">
            <w:pPr>
              <w:pStyle w:val="NoSpacing"/>
              <w:ind w:left="-85" w:right="-85"/>
              <w:jc w:val="both"/>
              <w:rPr>
                <w:rFonts w:ascii="Times New Roman" w:hAnsi="Times New Roman"/>
                <w:sz w:val="24"/>
                <w:szCs w:val="24"/>
                <w:lang w:val="uk-UA"/>
              </w:rPr>
            </w:pPr>
            <w:r>
              <w:rPr>
                <w:rFonts w:ascii="Times New Roman" w:hAnsi="Times New Roman"/>
                <w:sz w:val="24"/>
                <w:szCs w:val="24"/>
                <w:lang w:val="uk-UA"/>
              </w:rPr>
              <w:t>6.3.2</w:t>
            </w:r>
          </w:p>
        </w:tc>
        <w:tc>
          <w:tcPr>
            <w:tcW w:w="2520" w:type="dxa"/>
            <w:gridSpan w:val="2"/>
          </w:tcPr>
          <w:p w:rsidR="00206DC1" w:rsidRPr="00883C06" w:rsidRDefault="00206DC1" w:rsidP="00206DC1">
            <w:pPr>
              <w:rPr>
                <w:rStyle w:val="rvts0"/>
                <w:lang w:val="uk-UA"/>
              </w:rPr>
            </w:pPr>
            <w:r w:rsidRPr="00225B95">
              <w:rPr>
                <w:rStyle w:val="rvts0"/>
              </w:rPr>
              <w:t xml:space="preserve">Фондова біржа не пізніше трьохмісячного строку перебування на посаді такої особи </w:t>
            </w:r>
            <w:r w:rsidR="004C382B">
              <w:rPr>
                <w:rStyle w:val="rvts0"/>
                <w:lang w:val="uk-UA"/>
              </w:rPr>
              <w:t>вчинила</w:t>
            </w:r>
            <w:r w:rsidRPr="00225B95">
              <w:rPr>
                <w:rStyle w:val="rvts0"/>
              </w:rPr>
              <w:t xml:space="preserve"> дії, передбачені </w:t>
            </w:r>
            <w:hyperlink r:id="rId8" w:anchor="n17" w:tgtFrame="_blank" w:history="1">
              <w:r w:rsidRPr="00225B95">
                <w:rPr>
                  <w:rStyle w:val="a4"/>
                  <w:color w:val="auto"/>
                  <w:u w:val="none"/>
                </w:rPr>
                <w:t xml:space="preserve">Порядком погодження </w:t>
              </w:r>
              <w:r w:rsidRPr="00225B95">
                <w:rPr>
                  <w:rStyle w:val="a4"/>
                  <w:color w:val="auto"/>
                  <w:u w:val="none"/>
                </w:rPr>
                <w:lastRenderedPageBreak/>
                <w:t>кандидатур керівника</w:t>
              </w:r>
            </w:hyperlink>
            <w:r w:rsidR="00883C06">
              <w:rPr>
                <w:rStyle w:val="rvts0"/>
                <w:lang w:val="uk-UA"/>
              </w:rPr>
              <w:t>.</w:t>
            </w:r>
          </w:p>
        </w:tc>
        <w:tc>
          <w:tcPr>
            <w:tcW w:w="1895" w:type="dxa"/>
            <w:gridSpan w:val="2"/>
          </w:tcPr>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lastRenderedPageBreak/>
              <w:t>високий,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720" w:type="dxa"/>
          </w:tcPr>
          <w:p w:rsidR="00206DC1" w:rsidRPr="00225B95" w:rsidRDefault="00206DC1" w:rsidP="0020206D">
            <w:pPr>
              <w:pStyle w:val="NoSpacing"/>
              <w:jc w:val="both"/>
              <w:rPr>
                <w:rFonts w:ascii="Times New Roman" w:hAnsi="Times New Roman"/>
                <w:sz w:val="24"/>
                <w:szCs w:val="24"/>
                <w:lang w:val="uk-UA"/>
              </w:rPr>
            </w:pPr>
          </w:p>
        </w:tc>
        <w:tc>
          <w:tcPr>
            <w:tcW w:w="1800" w:type="dxa"/>
          </w:tcPr>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Абзац</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четвертий</w:t>
            </w:r>
          </w:p>
          <w:p w:rsidR="00206DC1" w:rsidRDefault="00206DC1" w:rsidP="00206DC1">
            <w:pPr>
              <w:pStyle w:val="HTML"/>
              <w:rPr>
                <w:rFonts w:ascii="Times New Roman" w:hAnsi="Times New Roman"/>
                <w:sz w:val="24"/>
                <w:szCs w:val="24"/>
                <w:lang w:val="uk-UA"/>
              </w:rPr>
            </w:pPr>
            <w:r w:rsidRPr="00225B95">
              <w:rPr>
                <w:rFonts w:ascii="Times New Roman" w:hAnsi="Times New Roman"/>
                <w:sz w:val="24"/>
                <w:szCs w:val="24"/>
                <w:lang w:val="uk-UA"/>
              </w:rPr>
              <w:t>пункту 10 розділу ІІ Ліцензійних умов № 818</w:t>
            </w:r>
            <w:r>
              <w:rPr>
                <w:rFonts w:ascii="Times New Roman" w:hAnsi="Times New Roman"/>
                <w:sz w:val="24"/>
                <w:szCs w:val="24"/>
                <w:lang w:val="uk-UA"/>
              </w:rPr>
              <w:t>,</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 xml:space="preserve">Порядок </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lastRenderedPageBreak/>
              <w:t>№ 64</w:t>
            </w:r>
          </w:p>
        </w:tc>
      </w:tr>
      <w:tr w:rsidR="00206DC1" w:rsidRPr="008B6049" w:rsidTr="00523BD3">
        <w:tc>
          <w:tcPr>
            <w:tcW w:w="720" w:type="dxa"/>
            <w:gridSpan w:val="2"/>
          </w:tcPr>
          <w:p w:rsidR="00206DC1"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lastRenderedPageBreak/>
              <w:t>7</w:t>
            </w:r>
          </w:p>
        </w:tc>
        <w:tc>
          <w:tcPr>
            <w:tcW w:w="2520" w:type="dxa"/>
            <w:gridSpan w:val="2"/>
          </w:tcPr>
          <w:p w:rsidR="00206DC1" w:rsidRPr="00225B95" w:rsidRDefault="00206DC1" w:rsidP="0020206D">
            <w:pPr>
              <w:rPr>
                <w:rStyle w:val="rvts0"/>
                <w:lang w:val="uk-UA"/>
              </w:rPr>
            </w:pPr>
            <w:r w:rsidRPr="00225B95">
              <w:rPr>
                <w:rStyle w:val="rvts0"/>
                <w:lang w:val="uk-UA"/>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відповідає вимогам, установлених Порядком та умовами видачі ліцензії</w:t>
            </w:r>
            <w:r w:rsidR="00883C06">
              <w:rPr>
                <w:rStyle w:val="rvts0"/>
                <w:lang w:val="uk-UA"/>
              </w:rPr>
              <w:t>.</w:t>
            </w:r>
          </w:p>
        </w:tc>
        <w:tc>
          <w:tcPr>
            <w:tcW w:w="1895" w:type="dxa"/>
            <w:gridSpan w:val="2"/>
          </w:tcPr>
          <w:p w:rsidR="00206DC1" w:rsidRPr="00225B95" w:rsidRDefault="00206DC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206DC1" w:rsidRPr="00225B95" w:rsidRDefault="00206DC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206DC1" w:rsidRPr="00225B95" w:rsidRDefault="00206DC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720" w:type="dxa"/>
          </w:tcPr>
          <w:p w:rsidR="00206DC1" w:rsidRPr="00225B95" w:rsidRDefault="00206DC1" w:rsidP="0020206D">
            <w:pPr>
              <w:pStyle w:val="NoSpacing"/>
              <w:jc w:val="both"/>
              <w:rPr>
                <w:rFonts w:ascii="Times New Roman" w:hAnsi="Times New Roman"/>
                <w:sz w:val="24"/>
                <w:szCs w:val="24"/>
                <w:lang w:val="uk-UA"/>
              </w:rPr>
            </w:pPr>
          </w:p>
        </w:tc>
        <w:tc>
          <w:tcPr>
            <w:tcW w:w="1800" w:type="dxa"/>
          </w:tcPr>
          <w:p w:rsidR="00206DC1" w:rsidRPr="00225B95" w:rsidRDefault="00206DC1" w:rsidP="0020206D">
            <w:pPr>
              <w:pStyle w:val="HTML"/>
              <w:rPr>
                <w:rFonts w:ascii="Times New Roman" w:hAnsi="Times New Roman"/>
                <w:sz w:val="24"/>
                <w:szCs w:val="24"/>
                <w:lang w:val="uk-UA"/>
              </w:rPr>
            </w:pPr>
            <w:r w:rsidRPr="00225B95">
              <w:rPr>
                <w:rFonts w:ascii="Times New Roman" w:hAnsi="Times New Roman"/>
                <w:sz w:val="24"/>
                <w:szCs w:val="24"/>
                <w:lang w:val="uk-UA"/>
              </w:rPr>
              <w:t>Пункт 11 розділу ІІ Ліцензійних умов № 818</w:t>
            </w:r>
          </w:p>
        </w:tc>
      </w:tr>
      <w:tr w:rsidR="00206DC1" w:rsidRPr="008B6049" w:rsidTr="00523BD3">
        <w:tc>
          <w:tcPr>
            <w:tcW w:w="720" w:type="dxa"/>
            <w:gridSpan w:val="2"/>
          </w:tcPr>
          <w:p w:rsidR="00206DC1" w:rsidRPr="0056113F"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8</w:t>
            </w:r>
          </w:p>
        </w:tc>
        <w:tc>
          <w:tcPr>
            <w:tcW w:w="2520" w:type="dxa"/>
            <w:gridSpan w:val="2"/>
          </w:tcPr>
          <w:p w:rsidR="00206DC1" w:rsidRPr="00FD5D8A" w:rsidRDefault="00206DC1" w:rsidP="00FD5D8A">
            <w:pPr>
              <w:rPr>
                <w:lang w:val="uk-UA"/>
              </w:rPr>
            </w:pPr>
            <w:r w:rsidRPr="0056113F">
              <w:t xml:space="preserve">Фондова біржа має електронну торговельну систему, що відповідає </w:t>
            </w:r>
            <w:r>
              <w:t xml:space="preserve">таким </w:t>
            </w:r>
            <w:r w:rsidRPr="0056113F">
              <w:t>вимогам</w:t>
            </w:r>
            <w:r>
              <w:t>:</w:t>
            </w:r>
            <w:bookmarkStart w:id="12" w:name="n64"/>
            <w:bookmarkEnd w:id="12"/>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FD5D8A" w:rsidRDefault="00FD5D8A" w:rsidP="0020206D">
            <w:pPr>
              <w:pStyle w:val="HTML"/>
              <w:rPr>
                <w:rFonts w:ascii="Times New Roman" w:hAnsi="Times New Roman"/>
                <w:sz w:val="24"/>
                <w:szCs w:val="24"/>
                <w:lang w:val="uk-UA"/>
              </w:rPr>
            </w:pPr>
            <w:r>
              <w:rPr>
                <w:rFonts w:ascii="Times New Roman" w:hAnsi="Times New Roman"/>
                <w:sz w:val="24"/>
                <w:szCs w:val="24"/>
                <w:lang w:val="uk-UA"/>
              </w:rPr>
              <w:t>Абзац перший</w:t>
            </w:r>
          </w:p>
          <w:p w:rsidR="00206DC1" w:rsidRPr="0056113F" w:rsidRDefault="00FD5D8A" w:rsidP="0020206D">
            <w:pPr>
              <w:pStyle w:val="HTML"/>
              <w:rPr>
                <w:rFonts w:ascii="Times New Roman" w:hAnsi="Times New Roman"/>
                <w:sz w:val="24"/>
                <w:szCs w:val="24"/>
                <w:lang w:val="uk-UA"/>
              </w:rPr>
            </w:pPr>
            <w:r>
              <w:rPr>
                <w:rFonts w:ascii="Times New Roman" w:hAnsi="Times New Roman"/>
                <w:sz w:val="24"/>
                <w:szCs w:val="24"/>
                <w:lang w:val="uk-UA"/>
              </w:rPr>
              <w:t>п</w:t>
            </w:r>
            <w:r w:rsidR="00206DC1" w:rsidRPr="0056113F">
              <w:rPr>
                <w:rFonts w:ascii="Times New Roman" w:hAnsi="Times New Roman"/>
                <w:sz w:val="24"/>
                <w:szCs w:val="24"/>
                <w:lang w:val="uk-UA"/>
              </w:rPr>
              <w:t>ункт</w:t>
            </w:r>
            <w:r>
              <w:rPr>
                <w:rFonts w:ascii="Times New Roman" w:hAnsi="Times New Roman"/>
                <w:sz w:val="24"/>
                <w:szCs w:val="24"/>
                <w:lang w:val="uk-UA"/>
              </w:rPr>
              <w:t>у</w:t>
            </w:r>
            <w:r w:rsidR="00206DC1" w:rsidRPr="0056113F">
              <w:rPr>
                <w:rFonts w:ascii="Times New Roman" w:hAnsi="Times New Roman"/>
                <w:sz w:val="24"/>
                <w:szCs w:val="24"/>
                <w:lang w:val="uk-UA"/>
              </w:rPr>
              <w:t xml:space="preserve"> 15 розділу ІІ Ліцензійних умов № 818</w:t>
            </w:r>
          </w:p>
        </w:tc>
      </w:tr>
      <w:tr w:rsidR="00206DC1" w:rsidRPr="008B6049" w:rsidTr="00523BD3">
        <w:tc>
          <w:tcPr>
            <w:tcW w:w="720" w:type="dxa"/>
            <w:gridSpan w:val="2"/>
          </w:tcPr>
          <w:p w:rsidR="00206DC1" w:rsidRPr="0056113F"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t>8.1</w:t>
            </w:r>
          </w:p>
        </w:tc>
        <w:tc>
          <w:tcPr>
            <w:tcW w:w="2520" w:type="dxa"/>
            <w:gridSpan w:val="2"/>
          </w:tcPr>
          <w:p w:rsidR="00206DC1" w:rsidRPr="0056113F" w:rsidRDefault="00FD5D8A" w:rsidP="00FD5D8A">
            <w:pPr>
              <w:pStyle w:val="rvps2"/>
            </w:pPr>
            <w:r>
              <w:t>забезпечує відповідно до Законів України</w:t>
            </w:r>
            <w:hyperlink r:id="rId9" w:tgtFrame="_blank" w:history="1">
              <w:r w:rsidRPr="003913C7">
                <w:rPr>
                  <w:rStyle w:val="a4"/>
                  <w:color w:val="auto"/>
                  <w:u w:val="none"/>
                </w:rPr>
                <w:t xml:space="preserve"> «Про інформацію»</w:t>
              </w:r>
            </w:hyperlink>
            <w:r w:rsidRPr="003913C7">
              <w:t xml:space="preserve"> та </w:t>
            </w:r>
            <w:hyperlink r:id="rId10" w:tgtFrame="_blank" w:history="1">
              <w:r w:rsidRPr="003913C7">
                <w:rPr>
                  <w:rStyle w:val="a4"/>
                  <w:color w:val="auto"/>
                  <w:u w:val="none"/>
                </w:rPr>
                <w:t>«Про захист інформації в інформаційно-телекомунікаційних системах»</w:t>
              </w:r>
            </w:hyperlink>
            <w:r>
              <w:t xml:space="preserve"> конфіденційність трансакцій користувачів, що здійснюються за допомогою електронної торговельної системи; </w:t>
            </w:r>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Абзац другий</w:t>
            </w:r>
          </w:p>
          <w:p w:rsidR="00206DC1" w:rsidRPr="0056113F"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p>
        </w:tc>
      </w:tr>
      <w:tr w:rsidR="00206DC1" w:rsidRPr="008B6049" w:rsidTr="00523BD3">
        <w:tc>
          <w:tcPr>
            <w:tcW w:w="720" w:type="dxa"/>
            <w:gridSpan w:val="2"/>
          </w:tcPr>
          <w:p w:rsidR="00206DC1" w:rsidRPr="0056113F"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t>8.2</w:t>
            </w:r>
          </w:p>
        </w:tc>
        <w:tc>
          <w:tcPr>
            <w:tcW w:w="2520" w:type="dxa"/>
            <w:gridSpan w:val="2"/>
          </w:tcPr>
          <w:p w:rsidR="00285805" w:rsidRPr="00523BD3" w:rsidRDefault="00FD5D8A" w:rsidP="00285805">
            <w:pPr>
              <w:pStyle w:val="rvps2"/>
              <w:spacing w:before="0" w:beforeAutospacing="0" w:after="0" w:afterAutospacing="0"/>
            </w:pPr>
            <w:r>
              <w:t xml:space="preserve">забезпечує відповідність її операційних можливостей </w:t>
            </w:r>
            <w:hyperlink r:id="rId11" w:anchor="n17" w:tgtFrame="_blank" w:history="1">
              <w:r w:rsidRPr="003913C7">
                <w:rPr>
                  <w:rStyle w:val="a4"/>
                  <w:color w:val="auto"/>
                  <w:u w:val="none"/>
                </w:rPr>
                <w:t>Вимогам до програмних продуктів на фондовому ринку</w:t>
              </w:r>
            </w:hyperlink>
            <w:r w:rsidRPr="003913C7">
              <w:t>, затверд</w:t>
            </w:r>
            <w:r>
              <w:t xml:space="preserve">женим рішенням Комісії від 02 жовтня 2012 року                № 1342, зареєстрованим у Міністерстві юстиції України 19 жовтня 2012 року за </w:t>
            </w:r>
          </w:p>
          <w:p w:rsidR="00206DC1" w:rsidRPr="0056113F" w:rsidRDefault="00FD5D8A" w:rsidP="00285805">
            <w:pPr>
              <w:pStyle w:val="rvps2"/>
              <w:spacing w:before="0" w:beforeAutospacing="0" w:after="0" w:afterAutospacing="0"/>
            </w:pPr>
            <w:r>
              <w:t xml:space="preserve">№ 1760/22072; </w:t>
            </w:r>
            <w:bookmarkStart w:id="13" w:name="n65"/>
            <w:bookmarkStart w:id="14" w:name="n66"/>
            <w:bookmarkEnd w:id="13"/>
            <w:bookmarkEnd w:id="14"/>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Абзац третій</w:t>
            </w:r>
          </w:p>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r>
              <w:rPr>
                <w:rFonts w:ascii="Times New Roman" w:hAnsi="Times New Roman"/>
                <w:sz w:val="24"/>
                <w:szCs w:val="24"/>
                <w:lang w:val="uk-UA"/>
              </w:rPr>
              <w:t>;</w:t>
            </w:r>
          </w:p>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 xml:space="preserve">Рішення </w:t>
            </w:r>
          </w:p>
          <w:p w:rsidR="00206DC1" w:rsidRPr="0056113F" w:rsidRDefault="00FD5D8A" w:rsidP="00FD5D8A">
            <w:pPr>
              <w:pStyle w:val="HTML"/>
              <w:rPr>
                <w:rFonts w:ascii="Times New Roman" w:hAnsi="Times New Roman"/>
                <w:sz w:val="24"/>
                <w:szCs w:val="24"/>
                <w:lang w:val="uk-UA"/>
              </w:rPr>
            </w:pPr>
            <w:r>
              <w:rPr>
                <w:rFonts w:ascii="Times New Roman" w:hAnsi="Times New Roman"/>
                <w:sz w:val="24"/>
                <w:szCs w:val="24"/>
                <w:lang w:val="uk-UA"/>
              </w:rPr>
              <w:t>№ 1342</w:t>
            </w:r>
          </w:p>
        </w:tc>
      </w:tr>
      <w:tr w:rsidR="00FD5D8A" w:rsidRPr="008B6049" w:rsidTr="00523BD3">
        <w:tc>
          <w:tcPr>
            <w:tcW w:w="720" w:type="dxa"/>
            <w:gridSpan w:val="2"/>
          </w:tcPr>
          <w:p w:rsidR="00FD5D8A"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t>8.3</w:t>
            </w:r>
          </w:p>
        </w:tc>
        <w:tc>
          <w:tcPr>
            <w:tcW w:w="2520" w:type="dxa"/>
            <w:gridSpan w:val="2"/>
          </w:tcPr>
          <w:p w:rsidR="00FD5D8A" w:rsidRDefault="00FD5D8A" w:rsidP="00FD5D8A">
            <w:pPr>
              <w:pStyle w:val="rvps2"/>
            </w:pPr>
            <w:r>
              <w:t xml:space="preserve">забезпечує електронний </w:t>
            </w:r>
            <w:r>
              <w:lastRenderedPageBreak/>
              <w:t>документообіг у системі;</w:t>
            </w:r>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незначний</w:t>
            </w:r>
          </w:p>
        </w:tc>
        <w:tc>
          <w:tcPr>
            <w:tcW w:w="985" w:type="dxa"/>
          </w:tcPr>
          <w:p w:rsidR="00FD5D8A" w:rsidRPr="0056113F" w:rsidRDefault="00FD5D8A" w:rsidP="0020206D">
            <w:pPr>
              <w:pStyle w:val="NoSpacing"/>
              <w:jc w:val="both"/>
              <w:rPr>
                <w:rFonts w:ascii="Times New Roman" w:hAnsi="Times New Roman"/>
                <w:sz w:val="24"/>
                <w:szCs w:val="24"/>
                <w:lang w:val="uk-UA"/>
              </w:rPr>
            </w:pPr>
          </w:p>
        </w:tc>
        <w:tc>
          <w:tcPr>
            <w:tcW w:w="360" w:type="dxa"/>
          </w:tcPr>
          <w:p w:rsidR="00FD5D8A" w:rsidRPr="0056113F" w:rsidRDefault="00FD5D8A" w:rsidP="0020206D">
            <w:pPr>
              <w:pStyle w:val="NoSpacing"/>
              <w:jc w:val="both"/>
              <w:rPr>
                <w:rFonts w:ascii="Times New Roman" w:hAnsi="Times New Roman"/>
                <w:sz w:val="24"/>
                <w:szCs w:val="24"/>
                <w:lang w:val="uk-UA"/>
              </w:rPr>
            </w:pPr>
          </w:p>
        </w:tc>
        <w:tc>
          <w:tcPr>
            <w:tcW w:w="360" w:type="dxa"/>
          </w:tcPr>
          <w:p w:rsidR="00FD5D8A" w:rsidRPr="0056113F" w:rsidRDefault="00FD5D8A" w:rsidP="0020206D">
            <w:pPr>
              <w:pStyle w:val="NoSpacing"/>
              <w:jc w:val="both"/>
              <w:rPr>
                <w:rFonts w:ascii="Times New Roman" w:hAnsi="Times New Roman"/>
                <w:sz w:val="24"/>
                <w:szCs w:val="24"/>
                <w:lang w:val="uk-UA"/>
              </w:rPr>
            </w:pPr>
          </w:p>
        </w:tc>
        <w:tc>
          <w:tcPr>
            <w:tcW w:w="720" w:type="dxa"/>
          </w:tcPr>
          <w:p w:rsidR="00FD5D8A" w:rsidRPr="0056113F" w:rsidRDefault="00FD5D8A" w:rsidP="0020206D">
            <w:pPr>
              <w:pStyle w:val="NoSpacing"/>
              <w:jc w:val="both"/>
              <w:rPr>
                <w:rFonts w:ascii="Times New Roman" w:hAnsi="Times New Roman"/>
                <w:sz w:val="24"/>
                <w:szCs w:val="24"/>
                <w:lang w:val="uk-UA"/>
              </w:rPr>
            </w:pPr>
          </w:p>
        </w:tc>
        <w:tc>
          <w:tcPr>
            <w:tcW w:w="180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Абзац четвертий</w:t>
            </w:r>
          </w:p>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lastRenderedPageBreak/>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p>
        </w:tc>
      </w:tr>
      <w:tr w:rsidR="00206DC1" w:rsidRPr="008B6049" w:rsidTr="00523BD3">
        <w:tc>
          <w:tcPr>
            <w:tcW w:w="720" w:type="dxa"/>
            <w:gridSpan w:val="2"/>
          </w:tcPr>
          <w:p w:rsidR="00206DC1" w:rsidRPr="0056113F"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lastRenderedPageBreak/>
              <w:t>8.4</w:t>
            </w:r>
          </w:p>
        </w:tc>
        <w:tc>
          <w:tcPr>
            <w:tcW w:w="2520" w:type="dxa"/>
            <w:gridSpan w:val="2"/>
          </w:tcPr>
          <w:p w:rsidR="00206DC1" w:rsidRPr="0056113F" w:rsidRDefault="00FD5D8A" w:rsidP="00FD5D8A">
            <w:pPr>
              <w:pStyle w:val="rvps2"/>
            </w:pPr>
            <w:r>
              <w:t>має комунікаційні можливості щодо обміну інформацією з відповідними системами учасників депозитарної системи України</w:t>
            </w:r>
            <w:r w:rsidR="00883C06">
              <w:t>.</w:t>
            </w:r>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 xml:space="preserve">Абзац п’ятий </w:t>
            </w:r>
          </w:p>
          <w:p w:rsidR="00206DC1" w:rsidRPr="0056113F"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p>
        </w:tc>
      </w:tr>
      <w:tr w:rsidR="00206DC1" w:rsidRPr="008B6049" w:rsidTr="00523BD3">
        <w:tc>
          <w:tcPr>
            <w:tcW w:w="720" w:type="dxa"/>
            <w:gridSpan w:val="2"/>
          </w:tcPr>
          <w:p w:rsidR="00206DC1" w:rsidRPr="0056113F" w:rsidRDefault="002C5280" w:rsidP="0020206D">
            <w:pPr>
              <w:pStyle w:val="NoSpacing"/>
              <w:jc w:val="both"/>
              <w:rPr>
                <w:rFonts w:ascii="Times New Roman" w:hAnsi="Times New Roman"/>
                <w:sz w:val="24"/>
                <w:szCs w:val="24"/>
                <w:lang w:val="uk-UA"/>
              </w:rPr>
            </w:pPr>
            <w:r>
              <w:rPr>
                <w:rFonts w:ascii="Times New Roman" w:hAnsi="Times New Roman"/>
                <w:sz w:val="24"/>
                <w:szCs w:val="24"/>
                <w:lang w:val="uk-UA"/>
              </w:rPr>
              <w:t>9</w:t>
            </w:r>
          </w:p>
        </w:tc>
        <w:tc>
          <w:tcPr>
            <w:tcW w:w="2520" w:type="dxa"/>
            <w:gridSpan w:val="2"/>
          </w:tcPr>
          <w:p w:rsidR="00206DC1" w:rsidRPr="0056113F" w:rsidRDefault="00206DC1" w:rsidP="0020206D">
            <w:pPr>
              <w:rPr>
                <w:lang w:val="uk-UA"/>
              </w:rPr>
            </w:pPr>
            <w:r w:rsidRPr="0056113F">
              <w:rPr>
                <w:lang w:val="uk-UA"/>
              </w:rPr>
              <w:t>Фондова біржа має програмно-технічний комплекс, який забезпечує функціонування електронної торговельної системи, а також виконання вимог, встановлених Комісією для цієї діяльності</w:t>
            </w:r>
            <w:r w:rsidR="00883C06">
              <w:rPr>
                <w:lang w:val="uk-UA"/>
              </w:rPr>
              <w:t>.</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206DC1" w:rsidRPr="0056113F" w:rsidRDefault="00206DC1" w:rsidP="0020206D">
            <w:pPr>
              <w:pStyle w:val="HTML"/>
              <w:rPr>
                <w:rFonts w:ascii="Times New Roman" w:hAnsi="Times New Roman"/>
                <w:sz w:val="24"/>
                <w:szCs w:val="24"/>
                <w:lang w:val="uk-UA"/>
              </w:rPr>
            </w:pPr>
            <w:r w:rsidRPr="0056113F">
              <w:rPr>
                <w:rFonts w:ascii="Times New Roman" w:hAnsi="Times New Roman"/>
                <w:sz w:val="24"/>
                <w:szCs w:val="24"/>
                <w:lang w:val="uk-UA"/>
              </w:rPr>
              <w:t>Пункт 16 розділу ІІ Ліцензійних умов № 818</w:t>
            </w:r>
          </w:p>
        </w:tc>
      </w:tr>
      <w:tr w:rsidR="00206DC1" w:rsidRPr="008B6049" w:rsidTr="00523BD3">
        <w:tc>
          <w:tcPr>
            <w:tcW w:w="720" w:type="dxa"/>
            <w:gridSpan w:val="2"/>
          </w:tcPr>
          <w:p w:rsidR="00206DC1" w:rsidRPr="0056113F" w:rsidRDefault="002C5280" w:rsidP="0020206D">
            <w:pPr>
              <w:pStyle w:val="NoSpacing"/>
              <w:jc w:val="both"/>
              <w:rPr>
                <w:rFonts w:ascii="Times New Roman" w:hAnsi="Times New Roman"/>
                <w:sz w:val="24"/>
                <w:szCs w:val="24"/>
                <w:lang w:val="uk-UA"/>
              </w:rPr>
            </w:pPr>
            <w:r>
              <w:rPr>
                <w:rFonts w:ascii="Times New Roman" w:hAnsi="Times New Roman"/>
                <w:sz w:val="24"/>
                <w:szCs w:val="24"/>
                <w:lang w:val="uk-UA"/>
              </w:rPr>
              <w:t>10</w:t>
            </w:r>
          </w:p>
        </w:tc>
        <w:tc>
          <w:tcPr>
            <w:tcW w:w="2520" w:type="dxa"/>
            <w:gridSpan w:val="2"/>
          </w:tcPr>
          <w:p w:rsidR="00206DC1" w:rsidRPr="0056113F" w:rsidRDefault="00206DC1" w:rsidP="0020206D">
            <w:pPr>
              <w:rPr>
                <w:lang w:val="uk-UA"/>
              </w:rPr>
            </w:pPr>
            <w:r w:rsidRPr="0056113F">
              <w:rPr>
                <w:lang w:val="uk-UA"/>
              </w:rPr>
              <w:t>За рішенням наглядової ради (у разі наявності) або вищого органу управління фондової біржі створений структурний підрозділ або призначена окрема посадова, що проводи</w:t>
            </w:r>
            <w:r w:rsidR="00883C06">
              <w:rPr>
                <w:lang w:val="uk-UA"/>
              </w:rPr>
              <w:t>ть внутрішній аудит (контроль).</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206DC1" w:rsidRDefault="00206DC1" w:rsidP="0020206D">
            <w:pPr>
              <w:pStyle w:val="HTML"/>
              <w:rPr>
                <w:rFonts w:ascii="Times New Roman" w:hAnsi="Times New Roman"/>
                <w:bCs/>
                <w:sz w:val="24"/>
                <w:szCs w:val="24"/>
                <w:lang w:val="uk-UA"/>
              </w:rPr>
            </w:pPr>
            <w:r>
              <w:rPr>
                <w:rFonts w:ascii="Times New Roman" w:hAnsi="Times New Roman"/>
                <w:bCs/>
                <w:sz w:val="24"/>
                <w:szCs w:val="24"/>
                <w:lang w:val="uk-UA"/>
              </w:rPr>
              <w:t>Абзац перший</w:t>
            </w:r>
          </w:p>
          <w:p w:rsidR="00206DC1" w:rsidRPr="0056113F" w:rsidRDefault="00206DC1" w:rsidP="0020206D">
            <w:pPr>
              <w:pStyle w:val="HTML"/>
              <w:rPr>
                <w:rFonts w:ascii="Times New Roman" w:hAnsi="Times New Roman"/>
                <w:sz w:val="24"/>
                <w:szCs w:val="24"/>
                <w:lang w:val="uk-UA"/>
              </w:rPr>
            </w:pPr>
            <w:r>
              <w:rPr>
                <w:rFonts w:ascii="Times New Roman" w:hAnsi="Times New Roman"/>
                <w:bCs/>
                <w:sz w:val="24"/>
                <w:szCs w:val="24"/>
                <w:lang w:val="uk-UA"/>
              </w:rPr>
              <w:t>п</w:t>
            </w:r>
            <w:r w:rsidRPr="0056113F">
              <w:rPr>
                <w:rFonts w:ascii="Times New Roman" w:hAnsi="Times New Roman"/>
                <w:bCs/>
                <w:sz w:val="24"/>
                <w:szCs w:val="24"/>
                <w:lang w:val="uk-UA"/>
              </w:rPr>
              <w:t>ункт</w:t>
            </w:r>
            <w:r>
              <w:rPr>
                <w:rFonts w:ascii="Times New Roman" w:hAnsi="Times New Roman"/>
                <w:bCs/>
                <w:sz w:val="24"/>
                <w:szCs w:val="24"/>
                <w:lang w:val="uk-UA"/>
              </w:rPr>
              <w:t>у</w:t>
            </w:r>
            <w:r w:rsidRPr="0056113F">
              <w:rPr>
                <w:rFonts w:ascii="Times New Roman" w:hAnsi="Times New Roman"/>
                <w:bCs/>
                <w:sz w:val="24"/>
                <w:szCs w:val="24"/>
                <w:lang w:val="uk-UA"/>
              </w:rPr>
              <w:t xml:space="preserve"> 17  розділу ІІ Ліцензійних умов № 818</w:t>
            </w:r>
          </w:p>
        </w:tc>
      </w:tr>
      <w:tr w:rsidR="00206DC1" w:rsidRPr="008B6049" w:rsidTr="00523BD3">
        <w:tc>
          <w:tcPr>
            <w:tcW w:w="720" w:type="dxa"/>
            <w:gridSpan w:val="2"/>
          </w:tcPr>
          <w:p w:rsidR="00206DC1" w:rsidRPr="0056113F" w:rsidRDefault="00206DC1" w:rsidP="007F4C81">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0</w:t>
            </w:r>
            <w:r>
              <w:rPr>
                <w:rFonts w:ascii="Times New Roman" w:hAnsi="Times New Roman"/>
                <w:sz w:val="24"/>
                <w:szCs w:val="24"/>
                <w:lang w:val="uk-UA"/>
              </w:rPr>
              <w:t>.1</w:t>
            </w:r>
          </w:p>
        </w:tc>
        <w:tc>
          <w:tcPr>
            <w:tcW w:w="2520" w:type="dxa"/>
            <w:gridSpan w:val="2"/>
          </w:tcPr>
          <w:p w:rsidR="00206DC1" w:rsidRPr="00384B62" w:rsidRDefault="00206DC1" w:rsidP="0020206D">
            <w:pPr>
              <w:rPr>
                <w:lang w:val="uk-UA"/>
              </w:rPr>
            </w:pPr>
            <w:r w:rsidRPr="00384B62">
              <w:rPr>
                <w:rStyle w:val="rvts0"/>
                <w:lang w:val="uk-UA"/>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фондової біржі.</w:t>
            </w:r>
          </w:p>
        </w:tc>
        <w:tc>
          <w:tcPr>
            <w:tcW w:w="1895" w:type="dxa"/>
            <w:gridSpan w:val="2"/>
          </w:tcPr>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Абзац другий</w:t>
            </w:r>
          </w:p>
          <w:p w:rsidR="00206DC1" w:rsidRPr="0056113F" w:rsidRDefault="00206DC1" w:rsidP="00384B62">
            <w:pPr>
              <w:pStyle w:val="HTML"/>
              <w:rPr>
                <w:rFonts w:ascii="Times New Roman" w:hAnsi="Times New Roman"/>
                <w:sz w:val="24"/>
                <w:szCs w:val="24"/>
                <w:lang w:val="uk-UA"/>
              </w:rPr>
            </w:pPr>
            <w:r>
              <w:rPr>
                <w:rFonts w:ascii="Times New Roman" w:hAnsi="Times New Roman"/>
                <w:bCs/>
                <w:sz w:val="24"/>
                <w:szCs w:val="24"/>
                <w:lang w:val="uk-UA"/>
              </w:rPr>
              <w:t>п</w:t>
            </w:r>
            <w:r w:rsidRPr="0056113F">
              <w:rPr>
                <w:rFonts w:ascii="Times New Roman" w:hAnsi="Times New Roman"/>
                <w:bCs/>
                <w:sz w:val="24"/>
                <w:szCs w:val="24"/>
                <w:lang w:val="uk-UA"/>
              </w:rPr>
              <w:t>ункт</w:t>
            </w:r>
            <w:r>
              <w:rPr>
                <w:rFonts w:ascii="Times New Roman" w:hAnsi="Times New Roman"/>
                <w:bCs/>
                <w:sz w:val="24"/>
                <w:szCs w:val="24"/>
                <w:lang w:val="uk-UA"/>
              </w:rPr>
              <w:t>у</w:t>
            </w:r>
            <w:r w:rsidRPr="0056113F">
              <w:rPr>
                <w:rFonts w:ascii="Times New Roman" w:hAnsi="Times New Roman"/>
                <w:bCs/>
                <w:sz w:val="24"/>
                <w:szCs w:val="24"/>
                <w:lang w:val="uk-UA"/>
              </w:rPr>
              <w:t xml:space="preserve"> 17  розділу ІІ Ліцензійних умов № 818</w:t>
            </w:r>
          </w:p>
        </w:tc>
      </w:tr>
      <w:tr w:rsidR="00206DC1" w:rsidRPr="008B6049" w:rsidTr="00523BD3">
        <w:tc>
          <w:tcPr>
            <w:tcW w:w="720" w:type="dxa"/>
            <w:gridSpan w:val="2"/>
          </w:tcPr>
          <w:p w:rsidR="00206DC1" w:rsidRDefault="00206DC1" w:rsidP="007F4C81">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0</w:t>
            </w:r>
            <w:r>
              <w:rPr>
                <w:rFonts w:ascii="Times New Roman" w:hAnsi="Times New Roman"/>
                <w:sz w:val="24"/>
                <w:szCs w:val="24"/>
                <w:lang w:val="uk-UA"/>
              </w:rPr>
              <w:t>.2</w:t>
            </w:r>
          </w:p>
        </w:tc>
        <w:tc>
          <w:tcPr>
            <w:tcW w:w="2520" w:type="dxa"/>
            <w:gridSpan w:val="2"/>
          </w:tcPr>
          <w:p w:rsidR="00206DC1" w:rsidRDefault="00206DC1" w:rsidP="0020206D">
            <w:pPr>
              <w:rPr>
                <w:rStyle w:val="rvts0"/>
                <w:lang w:val="uk-UA"/>
              </w:rPr>
            </w:pPr>
            <w:r w:rsidRPr="00384B62">
              <w:rPr>
                <w:rStyle w:val="rvts0"/>
                <w:lang w:val="uk-UA"/>
              </w:rPr>
              <w:t xml:space="preserve">Структурний підрозділ (окрема посадова особа), що проводить внутрішній аудит (контроль), </w:t>
            </w:r>
            <w:r w:rsidRPr="00384B62">
              <w:rPr>
                <w:rStyle w:val="rvts0"/>
                <w:lang w:val="uk-UA"/>
              </w:rPr>
              <w:lastRenderedPageBreak/>
              <w:t>організ</w:t>
            </w:r>
            <w:r>
              <w:rPr>
                <w:rStyle w:val="rvts0"/>
                <w:lang w:val="uk-UA"/>
              </w:rPr>
              <w:t>овує</w:t>
            </w:r>
            <w:r w:rsidRPr="00384B62">
              <w:rPr>
                <w:rStyle w:val="rvts0"/>
                <w:lang w:val="uk-UA"/>
              </w:rPr>
              <w:t xml:space="preserve"> свою діяльність відповідно до вимог </w:t>
            </w:r>
            <w:hyperlink r:id="rId12" w:anchor="n18" w:tgtFrame="_blank" w:history="1">
              <w:r w:rsidRPr="005E2FA1">
                <w:rPr>
                  <w:rStyle w:val="a4"/>
                  <w:color w:val="auto"/>
                  <w:u w:val="none"/>
                  <w:lang w:val="uk-UA"/>
                </w:rPr>
                <w:t>Положення про особливості організації та проведення внутрішнього аудиту (контролю) в професійних учасниках фондового ринку</w:t>
              </w:r>
            </w:hyperlink>
            <w:r w:rsidRPr="005E2FA1">
              <w:rPr>
                <w:rStyle w:val="rvts0"/>
                <w:lang w:val="uk-UA"/>
              </w:rPr>
              <w:t xml:space="preserve">, </w:t>
            </w:r>
            <w:r w:rsidRPr="00384B62">
              <w:rPr>
                <w:rStyle w:val="rvts0"/>
                <w:lang w:val="uk-UA"/>
              </w:rPr>
              <w:t xml:space="preserve">затвердженого рішенням Комісії від 19 липня 2012 року № 996, зареєстрованого у Міністерстві юстиції України 20 вересня 2012 року за </w:t>
            </w:r>
          </w:p>
          <w:p w:rsidR="00206DC1" w:rsidRPr="00384B62" w:rsidRDefault="00206DC1" w:rsidP="0020206D">
            <w:pPr>
              <w:rPr>
                <w:rStyle w:val="rvts0"/>
                <w:lang w:val="uk-UA"/>
              </w:rPr>
            </w:pPr>
            <w:r w:rsidRPr="00384B62">
              <w:rPr>
                <w:rStyle w:val="rvts0"/>
                <w:lang w:val="uk-UA"/>
              </w:rPr>
              <w:t>№ 1628/21940.</w:t>
            </w:r>
          </w:p>
        </w:tc>
        <w:tc>
          <w:tcPr>
            <w:tcW w:w="1895" w:type="dxa"/>
            <w:gridSpan w:val="2"/>
          </w:tcPr>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високий,</w:t>
            </w:r>
          </w:p>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800" w:type="dxa"/>
          </w:tcPr>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Абзац третій</w:t>
            </w:r>
          </w:p>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п</w:t>
            </w:r>
            <w:r w:rsidRPr="0056113F">
              <w:rPr>
                <w:rFonts w:ascii="Times New Roman" w:hAnsi="Times New Roman"/>
                <w:bCs/>
                <w:sz w:val="24"/>
                <w:szCs w:val="24"/>
                <w:lang w:val="uk-UA"/>
              </w:rPr>
              <w:t>ункт</w:t>
            </w:r>
            <w:r>
              <w:rPr>
                <w:rFonts w:ascii="Times New Roman" w:hAnsi="Times New Roman"/>
                <w:bCs/>
                <w:sz w:val="24"/>
                <w:szCs w:val="24"/>
                <w:lang w:val="uk-UA"/>
              </w:rPr>
              <w:t>у</w:t>
            </w:r>
            <w:r w:rsidRPr="0056113F">
              <w:rPr>
                <w:rFonts w:ascii="Times New Roman" w:hAnsi="Times New Roman"/>
                <w:bCs/>
                <w:sz w:val="24"/>
                <w:szCs w:val="24"/>
                <w:lang w:val="uk-UA"/>
              </w:rPr>
              <w:t xml:space="preserve"> 17  розділу ІІ Ліцензійних умов № 818</w:t>
            </w:r>
            <w:r>
              <w:rPr>
                <w:rFonts w:ascii="Times New Roman" w:hAnsi="Times New Roman"/>
                <w:bCs/>
                <w:sz w:val="24"/>
                <w:szCs w:val="24"/>
                <w:lang w:val="uk-UA"/>
              </w:rPr>
              <w:t xml:space="preserve">, </w:t>
            </w:r>
          </w:p>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lastRenderedPageBreak/>
              <w:t>Положення № 996</w:t>
            </w:r>
          </w:p>
        </w:tc>
      </w:tr>
      <w:tr w:rsidR="00206DC1" w:rsidRPr="008B6049" w:rsidTr="00523BD3">
        <w:tc>
          <w:tcPr>
            <w:tcW w:w="720" w:type="dxa"/>
            <w:gridSpan w:val="2"/>
          </w:tcPr>
          <w:p w:rsidR="00206DC1" w:rsidRPr="0056113F" w:rsidRDefault="00206DC1" w:rsidP="0020206D">
            <w:pPr>
              <w:pStyle w:val="NoSpacing"/>
              <w:jc w:val="both"/>
              <w:rPr>
                <w:rFonts w:ascii="Times New Roman" w:hAnsi="Times New Roman"/>
                <w:sz w:val="24"/>
                <w:szCs w:val="24"/>
                <w:lang w:val="uk-UA"/>
              </w:rPr>
            </w:pPr>
            <w:r w:rsidRPr="0056113F">
              <w:rPr>
                <w:rFonts w:ascii="Times New Roman" w:hAnsi="Times New Roman"/>
                <w:sz w:val="24"/>
                <w:szCs w:val="24"/>
                <w:lang w:val="uk-UA"/>
              </w:rPr>
              <w:lastRenderedPageBreak/>
              <w:t>1</w:t>
            </w:r>
            <w:r w:rsidR="002C5280">
              <w:rPr>
                <w:rFonts w:ascii="Times New Roman" w:hAnsi="Times New Roman"/>
                <w:sz w:val="24"/>
                <w:szCs w:val="24"/>
                <w:lang w:val="uk-UA"/>
              </w:rPr>
              <w:t>1</w:t>
            </w:r>
          </w:p>
        </w:tc>
        <w:tc>
          <w:tcPr>
            <w:tcW w:w="2520" w:type="dxa"/>
            <w:gridSpan w:val="2"/>
          </w:tcPr>
          <w:p w:rsidR="00206DC1" w:rsidRPr="0056113F" w:rsidRDefault="00206DC1" w:rsidP="0020206D">
            <w:pPr>
              <w:rPr>
                <w:lang w:val="uk-UA"/>
              </w:rPr>
            </w:pPr>
            <w:r w:rsidRPr="0056113F">
              <w:rPr>
                <w:rStyle w:val="rvts0"/>
                <w:lang w:val="uk-UA"/>
              </w:rPr>
              <w:t>Ліцензіатом  не пізніше ніж до 30 квітня року, що настає за звітним періодом, оприлюднено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r w:rsidR="00883C06">
              <w:rPr>
                <w:rStyle w:val="rvts0"/>
                <w:lang w:val="uk-UA"/>
              </w:rPr>
              <w:t>.</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highlight w:val="yellow"/>
                <w:lang w:val="uk-UA"/>
              </w:rPr>
            </w:pPr>
            <w:r w:rsidRPr="0056113F">
              <w:rPr>
                <w:rFonts w:ascii="Times New Roman" w:hAnsi="Times New Roman"/>
                <w:sz w:val="24"/>
                <w:szCs w:val="24"/>
                <w:lang w:val="uk-UA"/>
              </w:rPr>
              <w:t>середній</w:t>
            </w:r>
          </w:p>
        </w:tc>
        <w:tc>
          <w:tcPr>
            <w:tcW w:w="985"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360"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360"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720"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1800" w:type="dxa"/>
          </w:tcPr>
          <w:p w:rsidR="00206DC1" w:rsidRPr="0056113F" w:rsidRDefault="00206DC1" w:rsidP="0020206D">
            <w:pPr>
              <w:rPr>
                <w:lang w:val="uk-UA"/>
              </w:rPr>
            </w:pPr>
            <w:r w:rsidRPr="0056113F">
              <w:rPr>
                <w:bCs/>
                <w:lang w:val="uk-UA"/>
              </w:rPr>
              <w:t>Абзац перший пункту 18 розділу ІІ Ліцензійних умов № 818</w:t>
            </w:r>
          </w:p>
        </w:tc>
      </w:tr>
      <w:tr w:rsidR="00206DC1" w:rsidRPr="008B6049" w:rsidTr="00523BD3">
        <w:tc>
          <w:tcPr>
            <w:tcW w:w="720" w:type="dxa"/>
            <w:gridSpan w:val="2"/>
          </w:tcPr>
          <w:p w:rsidR="00206DC1" w:rsidRPr="0056113F" w:rsidRDefault="00206DC1" w:rsidP="00FD5D8A">
            <w:pPr>
              <w:pStyle w:val="NoSpacing"/>
              <w:ind w:left="-85" w:right="-85"/>
              <w:jc w:val="both"/>
              <w:rPr>
                <w:rFonts w:ascii="Times New Roman" w:hAnsi="Times New Roman"/>
                <w:sz w:val="24"/>
                <w:szCs w:val="24"/>
                <w:lang w:val="uk-UA"/>
              </w:rPr>
            </w:pPr>
            <w:r w:rsidRPr="0056113F">
              <w:rPr>
                <w:rFonts w:ascii="Times New Roman" w:hAnsi="Times New Roman"/>
                <w:sz w:val="24"/>
                <w:szCs w:val="24"/>
                <w:lang w:val="uk-UA"/>
              </w:rPr>
              <w:t>1</w:t>
            </w:r>
            <w:r w:rsidR="002C5280">
              <w:rPr>
                <w:rFonts w:ascii="Times New Roman" w:hAnsi="Times New Roman"/>
                <w:sz w:val="24"/>
                <w:szCs w:val="24"/>
                <w:lang w:val="uk-UA"/>
              </w:rPr>
              <w:t>1</w:t>
            </w:r>
            <w:r w:rsidRPr="0056113F">
              <w:rPr>
                <w:rFonts w:ascii="Times New Roman" w:hAnsi="Times New Roman"/>
                <w:sz w:val="24"/>
                <w:szCs w:val="24"/>
                <w:lang w:val="uk-UA"/>
              </w:rPr>
              <w:t>.</w:t>
            </w:r>
            <w:r>
              <w:rPr>
                <w:rFonts w:ascii="Times New Roman" w:hAnsi="Times New Roman"/>
                <w:sz w:val="24"/>
                <w:szCs w:val="24"/>
                <w:lang w:val="uk-UA"/>
              </w:rPr>
              <w:t>1</w:t>
            </w:r>
          </w:p>
        </w:tc>
        <w:tc>
          <w:tcPr>
            <w:tcW w:w="2520" w:type="dxa"/>
            <w:gridSpan w:val="2"/>
          </w:tcPr>
          <w:p w:rsidR="00206DC1" w:rsidRPr="0056113F" w:rsidRDefault="00206DC1" w:rsidP="006C1FC3">
            <w:pPr>
              <w:rPr>
                <w:lang w:val="uk-UA"/>
              </w:rPr>
            </w:pPr>
            <w:r w:rsidRPr="0056113F">
              <w:rPr>
                <w:lang w:val="uk-UA"/>
              </w:rPr>
              <w:t xml:space="preserve">Річна фінансова звітність ліцензіата підтверджена </w:t>
            </w:r>
            <w:r w:rsidR="00883C06">
              <w:rPr>
                <w:lang w:val="uk-UA"/>
              </w:rPr>
              <w:t>аудитором (аудиторською фірмою).</w:t>
            </w:r>
          </w:p>
        </w:tc>
        <w:tc>
          <w:tcPr>
            <w:tcW w:w="1895" w:type="dxa"/>
            <w:gridSpan w:val="2"/>
          </w:tcPr>
          <w:p w:rsidR="00206DC1" w:rsidRPr="0056113F" w:rsidRDefault="00206DC1" w:rsidP="007D1DD9">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7D1DD9">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7D1DD9">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72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1800" w:type="dxa"/>
          </w:tcPr>
          <w:p w:rsidR="00206DC1" w:rsidRPr="0056113F" w:rsidRDefault="00206DC1" w:rsidP="00321FA8">
            <w:pPr>
              <w:rPr>
                <w:bCs/>
                <w:lang w:val="uk-UA"/>
              </w:rPr>
            </w:pPr>
            <w:r w:rsidRPr="0056113F">
              <w:rPr>
                <w:bCs/>
                <w:lang w:val="uk-UA"/>
              </w:rPr>
              <w:t>Абзац третій пункту 18 розділу ІІ Ліцензійних умов № 818</w:t>
            </w:r>
          </w:p>
        </w:tc>
      </w:tr>
      <w:tr w:rsidR="00206DC1" w:rsidRPr="008B6049" w:rsidTr="00523BD3">
        <w:tc>
          <w:tcPr>
            <w:tcW w:w="720" w:type="dxa"/>
            <w:gridSpan w:val="2"/>
          </w:tcPr>
          <w:p w:rsidR="00206DC1" w:rsidRPr="0056113F" w:rsidRDefault="00FD5D8A" w:rsidP="00FD5D8A">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1</w:t>
            </w:r>
            <w:r w:rsidR="00206DC1" w:rsidRPr="0056113F">
              <w:rPr>
                <w:rFonts w:ascii="Times New Roman" w:hAnsi="Times New Roman"/>
                <w:sz w:val="24"/>
                <w:szCs w:val="24"/>
                <w:lang w:val="uk-UA"/>
              </w:rPr>
              <w:t>.2</w:t>
            </w:r>
          </w:p>
        </w:tc>
        <w:tc>
          <w:tcPr>
            <w:tcW w:w="2520" w:type="dxa"/>
            <w:gridSpan w:val="2"/>
          </w:tcPr>
          <w:p w:rsidR="00206DC1" w:rsidRPr="0056113F" w:rsidRDefault="00206DC1" w:rsidP="00FE5EA8">
            <w:pPr>
              <w:rPr>
                <w:lang w:val="uk-UA"/>
              </w:rPr>
            </w:pPr>
            <w:r w:rsidRPr="0056113F">
              <w:rPr>
                <w:rStyle w:val="rvts0"/>
                <w:lang w:val="uk-UA"/>
              </w:rPr>
              <w:t>Аудиторський висновок, який оприлюднюється ліцензіатом,  відповідає вимогам, встановлени</w:t>
            </w:r>
            <w:r>
              <w:rPr>
                <w:rStyle w:val="rvts0"/>
                <w:lang w:val="uk-UA"/>
              </w:rPr>
              <w:t xml:space="preserve">м рішення </w:t>
            </w:r>
            <w:r>
              <w:rPr>
                <w:rStyle w:val="rvts0"/>
                <w:lang w:val="uk-UA"/>
              </w:rPr>
              <w:lastRenderedPageBreak/>
              <w:t xml:space="preserve">Комісії від 12 лютого 2013 року </w:t>
            </w:r>
            <w:r w:rsidRPr="0056113F">
              <w:rPr>
                <w:rStyle w:val="rvts0"/>
                <w:lang w:val="uk-UA"/>
              </w:rPr>
              <w:t>№ 160</w:t>
            </w:r>
            <w:r>
              <w:rPr>
                <w:rStyle w:val="rvts0"/>
                <w:lang w:val="uk-UA"/>
              </w:rPr>
              <w:t xml:space="preserve"> «Про затвердження Вимог</w:t>
            </w:r>
            <w:r w:rsidRPr="0056113F">
              <w:rPr>
                <w:rStyle w:val="rvts0"/>
                <w:lang w:val="uk-UA"/>
              </w:rPr>
              <w:t xml:space="preserve"> до аудиторського висновку</w:t>
            </w:r>
            <w:r>
              <w:rPr>
                <w:rStyle w:val="rvts0"/>
                <w:lang w:val="uk-UA"/>
              </w:rPr>
              <w:t>,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№386/22918 (із змінами)</w:t>
            </w:r>
            <w:r w:rsidR="00883C06">
              <w:rPr>
                <w:rStyle w:val="rvts0"/>
                <w:lang w:val="uk-UA"/>
              </w:rPr>
              <w:t>.</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72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1800" w:type="dxa"/>
          </w:tcPr>
          <w:p w:rsidR="00206DC1" w:rsidRDefault="00206DC1" w:rsidP="00321FA8">
            <w:pPr>
              <w:rPr>
                <w:rStyle w:val="rvts0"/>
                <w:lang w:val="uk-UA"/>
              </w:rPr>
            </w:pPr>
            <w:r w:rsidRPr="0056113F">
              <w:rPr>
                <w:bCs/>
                <w:lang w:val="uk-UA"/>
              </w:rPr>
              <w:t>Абзац четвертий пункту 18 розділу ІІ Ліцензійних умов № 818</w:t>
            </w:r>
            <w:r>
              <w:rPr>
                <w:bCs/>
                <w:lang w:val="uk-UA"/>
              </w:rPr>
              <w:t>;</w:t>
            </w:r>
            <w:r>
              <w:rPr>
                <w:rStyle w:val="rvts0"/>
                <w:lang w:val="uk-UA"/>
              </w:rPr>
              <w:t xml:space="preserve"> </w:t>
            </w:r>
            <w:r>
              <w:rPr>
                <w:rStyle w:val="rvts0"/>
                <w:lang w:val="uk-UA"/>
              </w:rPr>
              <w:lastRenderedPageBreak/>
              <w:t>Вимоги</w:t>
            </w:r>
            <w:r w:rsidRPr="0056113F">
              <w:rPr>
                <w:rStyle w:val="rvts0"/>
                <w:lang w:val="uk-UA"/>
              </w:rPr>
              <w:t xml:space="preserve"> до ауд</w:t>
            </w:r>
            <w:r>
              <w:rPr>
                <w:rStyle w:val="rvts0"/>
                <w:lang w:val="uk-UA"/>
              </w:rPr>
              <w:t>иторськ</w:t>
            </w:r>
            <w:r w:rsidRPr="0056113F">
              <w:rPr>
                <w:rStyle w:val="rvts0"/>
                <w:lang w:val="uk-UA"/>
              </w:rPr>
              <w:t>о</w:t>
            </w:r>
            <w:r>
              <w:rPr>
                <w:rStyle w:val="rvts0"/>
                <w:lang w:val="uk-UA"/>
              </w:rPr>
              <w:t>-</w:t>
            </w:r>
          </w:p>
          <w:p w:rsidR="00206DC1" w:rsidRDefault="00206DC1" w:rsidP="00321FA8">
            <w:pPr>
              <w:rPr>
                <w:rStyle w:val="rvts0"/>
                <w:lang w:val="uk-UA"/>
              </w:rPr>
            </w:pPr>
            <w:r>
              <w:rPr>
                <w:rStyle w:val="rvts0"/>
                <w:lang w:val="uk-UA"/>
              </w:rPr>
              <w:t xml:space="preserve">го </w:t>
            </w:r>
            <w:r w:rsidRPr="0056113F">
              <w:rPr>
                <w:rStyle w:val="rvts0"/>
                <w:lang w:val="uk-UA"/>
              </w:rPr>
              <w:t xml:space="preserve"> висновку</w:t>
            </w:r>
            <w:r>
              <w:rPr>
                <w:rStyle w:val="rvts0"/>
                <w:lang w:val="uk-UA"/>
              </w:rPr>
              <w:t xml:space="preserve"> </w:t>
            </w:r>
          </w:p>
          <w:p w:rsidR="00206DC1" w:rsidRPr="0056113F" w:rsidRDefault="00206DC1" w:rsidP="00321FA8">
            <w:pPr>
              <w:rPr>
                <w:bCs/>
                <w:lang w:val="uk-UA"/>
              </w:rPr>
            </w:pPr>
            <w:r>
              <w:rPr>
                <w:rStyle w:val="rvts0"/>
                <w:lang w:val="uk-UA"/>
              </w:rPr>
              <w:t>№ 160</w:t>
            </w:r>
          </w:p>
        </w:tc>
      </w:tr>
      <w:tr w:rsidR="00206DC1" w:rsidRPr="008B6049" w:rsidTr="00523BD3">
        <w:tc>
          <w:tcPr>
            <w:tcW w:w="720" w:type="dxa"/>
            <w:gridSpan w:val="2"/>
          </w:tcPr>
          <w:p w:rsidR="00206DC1" w:rsidRPr="00C062DA" w:rsidRDefault="00206DC1" w:rsidP="00FD5D8A">
            <w:pPr>
              <w:pStyle w:val="NoSpacing"/>
              <w:ind w:left="-85" w:right="-85"/>
              <w:jc w:val="both"/>
              <w:rPr>
                <w:rFonts w:ascii="Times New Roman" w:hAnsi="Times New Roman"/>
                <w:sz w:val="24"/>
                <w:szCs w:val="24"/>
                <w:lang w:val="uk-UA"/>
              </w:rPr>
            </w:pPr>
            <w:r w:rsidRPr="00C062DA">
              <w:rPr>
                <w:rFonts w:ascii="Times New Roman" w:hAnsi="Times New Roman"/>
                <w:sz w:val="24"/>
                <w:szCs w:val="24"/>
                <w:lang w:val="uk-UA"/>
              </w:rPr>
              <w:lastRenderedPageBreak/>
              <w:t>1</w:t>
            </w:r>
            <w:r w:rsidR="002C5280">
              <w:rPr>
                <w:rFonts w:ascii="Times New Roman" w:hAnsi="Times New Roman"/>
                <w:sz w:val="24"/>
                <w:szCs w:val="24"/>
                <w:lang w:val="uk-UA"/>
              </w:rPr>
              <w:t>1</w:t>
            </w:r>
            <w:r w:rsidRPr="00C062DA">
              <w:rPr>
                <w:rFonts w:ascii="Times New Roman" w:hAnsi="Times New Roman"/>
                <w:sz w:val="24"/>
                <w:szCs w:val="24"/>
                <w:lang w:val="uk-UA"/>
              </w:rPr>
              <w:t>.3</w:t>
            </w:r>
          </w:p>
        </w:tc>
        <w:tc>
          <w:tcPr>
            <w:tcW w:w="2520" w:type="dxa"/>
            <w:gridSpan w:val="2"/>
          </w:tcPr>
          <w:p w:rsidR="00206DC1" w:rsidRPr="00C062DA" w:rsidRDefault="00206DC1" w:rsidP="006C1FC3">
            <w:pPr>
              <w:rPr>
                <w:rStyle w:val="rvts0"/>
                <w:lang w:val="uk-UA"/>
              </w:rPr>
            </w:pPr>
            <w:r w:rsidRPr="00C062DA">
              <w:rPr>
                <w:lang w:val="uk-UA"/>
              </w:rPr>
              <w:t>Аудиторський висновок (звіт незалежного аудитора) нада</w:t>
            </w:r>
            <w:r w:rsidR="00656AAC">
              <w:rPr>
                <w:lang w:val="uk-UA"/>
              </w:rPr>
              <w:t xml:space="preserve">но </w:t>
            </w:r>
            <w:r w:rsidRPr="00C062DA">
              <w:rPr>
                <w:lang w:val="uk-UA"/>
              </w:rPr>
              <w:t>тільки аудиторськ</w:t>
            </w:r>
            <w:r w:rsidR="00656AAC">
              <w:rPr>
                <w:lang w:val="uk-UA"/>
              </w:rPr>
              <w:t>ими</w:t>
            </w:r>
            <w:r w:rsidRPr="00C062DA">
              <w:rPr>
                <w:lang w:val="uk-UA"/>
              </w:rPr>
              <w:t xml:space="preserve"> фір</w:t>
            </w:r>
            <w:r w:rsidR="00656AAC">
              <w:rPr>
                <w:lang w:val="uk-UA"/>
              </w:rPr>
              <w:t>мами, включеними</w:t>
            </w:r>
            <w:r w:rsidRPr="00C062DA">
              <w:rPr>
                <w:lang w:val="uk-UA"/>
              </w:rPr>
              <w:t>,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r w:rsidR="00883C06">
              <w:rPr>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321FA8">
            <w:pPr>
              <w:rPr>
                <w:bCs/>
                <w:lang w:val="uk-UA"/>
              </w:rPr>
            </w:pPr>
            <w:r w:rsidRPr="00C062DA">
              <w:rPr>
                <w:bCs/>
                <w:lang w:val="uk-UA"/>
              </w:rPr>
              <w:t>Абзац п’ятий пункту 18 розділу ІІ Ліцензійних умов № 818</w:t>
            </w:r>
          </w:p>
        </w:tc>
      </w:tr>
      <w:tr w:rsidR="00206DC1" w:rsidRPr="008B6049" w:rsidTr="00523BD3">
        <w:tc>
          <w:tcPr>
            <w:tcW w:w="720" w:type="dxa"/>
            <w:gridSpan w:val="2"/>
          </w:tcPr>
          <w:p w:rsidR="00206DC1" w:rsidRPr="00C062DA" w:rsidRDefault="00537A31" w:rsidP="00537A31">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1</w:t>
            </w:r>
            <w:r w:rsidR="00206DC1" w:rsidRPr="00C062DA">
              <w:rPr>
                <w:rFonts w:ascii="Times New Roman" w:hAnsi="Times New Roman"/>
                <w:sz w:val="24"/>
                <w:szCs w:val="24"/>
                <w:lang w:val="uk-UA"/>
              </w:rPr>
              <w:t>.4</w:t>
            </w:r>
          </w:p>
        </w:tc>
        <w:tc>
          <w:tcPr>
            <w:tcW w:w="2520" w:type="dxa"/>
            <w:gridSpan w:val="2"/>
          </w:tcPr>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Інформація оприлюднена у вигляді </w:t>
            </w:r>
            <w:r w:rsidRPr="00C062DA">
              <w:rPr>
                <w:rStyle w:val="rvts0"/>
                <w:rFonts w:ascii="Times New Roman" w:hAnsi="Times New Roman"/>
                <w:sz w:val="24"/>
                <w:szCs w:val="24"/>
              </w:rPr>
              <w:t>PDF</w:t>
            </w:r>
            <w:r w:rsidRPr="00C062DA">
              <w:rPr>
                <w:rStyle w:val="rvts0"/>
                <w:rFonts w:ascii="Times New Roman" w:hAnsi="Times New Roman"/>
                <w:sz w:val="24"/>
                <w:szCs w:val="24"/>
                <w:lang w:val="uk-UA"/>
              </w:rPr>
              <w:t xml:space="preserve">-файлів,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у вільному доступі,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у цілодобовому режимі на власній веб-сторінці або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веб-сайті за кожний звітний період та перебуває на такій веб-сторінці або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веб-сайті протягом п’яти років з дати</w:t>
            </w:r>
          </w:p>
          <w:p w:rsidR="00206DC1" w:rsidRPr="00C062DA" w:rsidRDefault="00206DC1" w:rsidP="006909AF">
            <w:pPr>
              <w:rPr>
                <w:lang w:val="uk-UA"/>
              </w:rPr>
            </w:pPr>
            <w:r w:rsidRPr="00C062DA">
              <w:rPr>
                <w:rStyle w:val="rvts0"/>
                <w:lang w:val="uk-UA"/>
              </w:rPr>
              <w:t>її оприлюднення</w:t>
            </w:r>
            <w:r w:rsidR="00883C06">
              <w:rPr>
                <w:rStyle w:val="rvts0"/>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321FA8">
            <w:pPr>
              <w:rPr>
                <w:bCs/>
                <w:lang w:val="uk-UA"/>
              </w:rPr>
            </w:pPr>
            <w:r w:rsidRPr="00C062DA">
              <w:rPr>
                <w:bCs/>
                <w:lang w:val="uk-UA"/>
              </w:rPr>
              <w:t>Абзац шостий пункту 18 розділу ІІ Ліцензійних умов № 818</w:t>
            </w:r>
          </w:p>
        </w:tc>
      </w:tr>
      <w:tr w:rsidR="00206DC1" w:rsidRPr="008B6049" w:rsidTr="00523BD3">
        <w:tc>
          <w:tcPr>
            <w:tcW w:w="720" w:type="dxa"/>
            <w:gridSpan w:val="2"/>
          </w:tcPr>
          <w:p w:rsidR="00206DC1" w:rsidRPr="00C062DA" w:rsidRDefault="00537A31" w:rsidP="00537A31">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1</w:t>
            </w:r>
            <w:r w:rsidR="002C5280">
              <w:rPr>
                <w:rFonts w:ascii="Times New Roman" w:hAnsi="Times New Roman"/>
                <w:sz w:val="24"/>
                <w:szCs w:val="24"/>
                <w:lang w:val="uk-UA"/>
              </w:rPr>
              <w:t>1</w:t>
            </w:r>
            <w:r w:rsidR="00206DC1" w:rsidRPr="00C062DA">
              <w:rPr>
                <w:rFonts w:ascii="Times New Roman" w:hAnsi="Times New Roman"/>
                <w:sz w:val="24"/>
                <w:szCs w:val="24"/>
                <w:lang w:val="uk-UA"/>
              </w:rPr>
              <w:t>.5</w:t>
            </w:r>
          </w:p>
        </w:tc>
        <w:tc>
          <w:tcPr>
            <w:tcW w:w="2520" w:type="dxa"/>
            <w:gridSpan w:val="2"/>
          </w:tcPr>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Протягом п’яти робочих днів після оприлюднення річної фінансової звітності</w:t>
            </w:r>
            <w:r w:rsidRPr="00C062DA">
              <w:rPr>
                <w:rStyle w:val="rvts0"/>
                <w:sz w:val="24"/>
                <w:szCs w:val="24"/>
                <w:lang w:val="uk-UA"/>
              </w:rPr>
              <w:t xml:space="preserve"> </w:t>
            </w:r>
            <w:r w:rsidRPr="00C062DA">
              <w:rPr>
                <w:rStyle w:val="rvts0"/>
                <w:rFonts w:ascii="Times New Roman" w:hAnsi="Times New Roman"/>
                <w:sz w:val="24"/>
                <w:szCs w:val="24"/>
                <w:lang w:val="uk-UA"/>
              </w:rPr>
              <w:t>та річної консолідованої фінансової звітності разом з аудиторським висно</w:t>
            </w:r>
            <w:r w:rsidR="00656AAC">
              <w:rPr>
                <w:rStyle w:val="rvts0"/>
                <w:rFonts w:ascii="Times New Roman" w:hAnsi="Times New Roman"/>
                <w:sz w:val="24"/>
                <w:szCs w:val="24"/>
                <w:lang w:val="uk-UA"/>
              </w:rPr>
              <w:t>вком л</w:t>
            </w:r>
            <w:r w:rsidRPr="00C062DA">
              <w:rPr>
                <w:rStyle w:val="rvts0"/>
                <w:rFonts w:ascii="Times New Roman" w:hAnsi="Times New Roman"/>
                <w:sz w:val="24"/>
                <w:szCs w:val="24"/>
                <w:lang w:val="uk-UA"/>
              </w:rPr>
              <w:t xml:space="preserve">іцензіат письмово у довільній формі повідомив про це </w:t>
            </w:r>
            <w:r>
              <w:rPr>
                <w:rStyle w:val="rvts0"/>
                <w:rFonts w:ascii="Times New Roman" w:hAnsi="Times New Roman"/>
                <w:sz w:val="24"/>
                <w:szCs w:val="24"/>
                <w:lang w:val="uk-UA"/>
              </w:rPr>
              <w:t>Комісію</w:t>
            </w:r>
            <w:r w:rsidRPr="00C062DA">
              <w:rPr>
                <w:rStyle w:val="rvts0"/>
                <w:rFonts w:ascii="Times New Roman" w:hAnsi="Times New Roman"/>
                <w:sz w:val="24"/>
                <w:szCs w:val="24"/>
                <w:lang w:val="uk-UA"/>
              </w:rPr>
              <w:t xml:space="preserve">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r w:rsidR="00883C06">
              <w:rPr>
                <w:rStyle w:val="rvts0"/>
                <w:rFonts w:ascii="Times New Roman" w:hAnsi="Times New Roman"/>
                <w:sz w:val="24"/>
                <w:szCs w:val="24"/>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C5280" w:rsidRDefault="00206DC1" w:rsidP="00321FA8">
            <w:pPr>
              <w:rPr>
                <w:bCs/>
                <w:lang w:val="uk-UA"/>
              </w:rPr>
            </w:pPr>
            <w:r w:rsidRPr="00C062DA">
              <w:rPr>
                <w:bCs/>
                <w:lang w:val="uk-UA"/>
              </w:rPr>
              <w:t xml:space="preserve">Абзац </w:t>
            </w:r>
            <w:r w:rsidR="002C5280">
              <w:rPr>
                <w:bCs/>
                <w:lang w:val="uk-UA"/>
              </w:rPr>
              <w:t>сьомий</w:t>
            </w:r>
          </w:p>
          <w:p w:rsidR="00206DC1" w:rsidRPr="00C062DA" w:rsidRDefault="00206DC1" w:rsidP="00321FA8">
            <w:pPr>
              <w:rPr>
                <w:bCs/>
                <w:lang w:val="uk-UA"/>
              </w:rPr>
            </w:pPr>
            <w:r w:rsidRPr="00C062DA">
              <w:rPr>
                <w:bCs/>
                <w:lang w:val="uk-UA"/>
              </w:rPr>
              <w:t>пункту 18 розділу ІІ Ліцензійних умов № 818</w:t>
            </w:r>
          </w:p>
        </w:tc>
      </w:tr>
      <w:tr w:rsidR="00206DC1" w:rsidRPr="008B6049" w:rsidTr="00523BD3">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2C5280">
              <w:rPr>
                <w:rFonts w:ascii="Times New Roman" w:hAnsi="Times New Roman"/>
                <w:sz w:val="24"/>
                <w:szCs w:val="24"/>
                <w:lang w:val="uk-UA"/>
              </w:rPr>
              <w:t>2</w:t>
            </w:r>
          </w:p>
        </w:tc>
        <w:tc>
          <w:tcPr>
            <w:tcW w:w="2520" w:type="dxa"/>
            <w:gridSpan w:val="2"/>
          </w:tcPr>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Фондова біржа провадить діяльність із здійснення клірингу та розрахунків за договорами щодо фінансових інструментів (крім цінних паперів), які укладаються на такій біржі, відповідно до її правил</w:t>
            </w:r>
            <w:r w:rsidR="00883C06">
              <w:rPr>
                <w:rStyle w:val="rvts0"/>
                <w:rFonts w:ascii="Times New Roman" w:hAnsi="Times New Roman"/>
                <w:sz w:val="24"/>
                <w:szCs w:val="24"/>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321FA8">
            <w:pPr>
              <w:rPr>
                <w:bCs/>
                <w:lang w:val="uk-UA"/>
              </w:rPr>
            </w:pPr>
            <w:r w:rsidRPr="00C062DA">
              <w:rPr>
                <w:bCs/>
                <w:lang w:val="uk-UA"/>
              </w:rPr>
              <w:t>Пункт 19 розділу ІІ Ліцензійних умов № 818</w:t>
            </w:r>
          </w:p>
        </w:tc>
      </w:tr>
      <w:tr w:rsidR="00206DC1" w:rsidRPr="008B6049" w:rsidTr="00523BD3">
        <w:tc>
          <w:tcPr>
            <w:tcW w:w="720" w:type="dxa"/>
            <w:gridSpan w:val="2"/>
          </w:tcPr>
          <w:p w:rsidR="00206DC1" w:rsidRPr="00C062DA"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w:t>
            </w:r>
            <w:r w:rsidR="00206DC1" w:rsidRPr="00C062DA">
              <w:rPr>
                <w:rFonts w:ascii="Times New Roman" w:hAnsi="Times New Roman"/>
                <w:sz w:val="24"/>
                <w:szCs w:val="24"/>
                <w:lang w:val="uk-UA"/>
              </w:rPr>
              <w:t>.1</w:t>
            </w:r>
          </w:p>
        </w:tc>
        <w:tc>
          <w:tcPr>
            <w:tcW w:w="2520" w:type="dxa"/>
            <w:gridSpan w:val="2"/>
          </w:tcPr>
          <w:p w:rsidR="00206DC1" w:rsidRPr="00C062DA" w:rsidRDefault="00206DC1" w:rsidP="002C5280">
            <w:pPr>
              <w:pStyle w:val="rvps2"/>
              <w:rPr>
                <w:rStyle w:val="rvts0"/>
              </w:rPr>
            </w:pPr>
            <w:r w:rsidRPr="00C062DA">
              <w:t>Фондова біржа для здійснення клірингу та розрахунків за договорами щодо похідних (деривативів), які укладаються на ній</w:t>
            </w:r>
            <w:bookmarkStart w:id="15" w:name="n74"/>
            <w:bookmarkEnd w:id="15"/>
            <w:r w:rsidRPr="00C062DA">
              <w:t>:</w:t>
            </w:r>
            <w:bookmarkStart w:id="16" w:name="n75"/>
            <w:bookmarkEnd w:id="16"/>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C5280" w:rsidP="00321FA8">
            <w:pPr>
              <w:rPr>
                <w:bCs/>
                <w:lang w:val="uk-UA"/>
              </w:rPr>
            </w:pPr>
            <w:r>
              <w:rPr>
                <w:bCs/>
                <w:lang w:val="uk-UA"/>
              </w:rPr>
              <w:t>Абзац перший</w:t>
            </w:r>
            <w:r w:rsidR="00206DC1" w:rsidRPr="00C062DA">
              <w:rPr>
                <w:bCs/>
                <w:lang w:val="uk-UA"/>
              </w:rPr>
              <w:t xml:space="preserve"> пункту 20 розділу ІІ Ліцензійних умов № 818</w:t>
            </w:r>
          </w:p>
        </w:tc>
      </w:tr>
      <w:tr w:rsidR="002C5280" w:rsidRPr="008B6049" w:rsidTr="00523BD3">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12.1.1</w:t>
            </w:r>
          </w:p>
        </w:tc>
        <w:tc>
          <w:tcPr>
            <w:tcW w:w="2520" w:type="dxa"/>
            <w:gridSpan w:val="2"/>
          </w:tcPr>
          <w:p w:rsidR="002C5280" w:rsidRPr="00C062DA" w:rsidRDefault="002C5280" w:rsidP="004330EC">
            <w:pPr>
              <w:pStyle w:val="rvps2"/>
            </w:pPr>
            <w:r>
              <w:t>с</w:t>
            </w:r>
            <w:r w:rsidRPr="00C062DA">
              <w:t>твор</w:t>
            </w:r>
            <w:r>
              <w:t>ила (визначила</w:t>
            </w:r>
            <w:r w:rsidRPr="00C062DA">
              <w:t>) відповідний структурний підрозділ біржі для здійснення клірингу та розрахунків за договорами щодо похідних (деривативів);</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800" w:type="dxa"/>
          </w:tcPr>
          <w:p w:rsidR="002C5280" w:rsidRPr="00C062DA" w:rsidRDefault="002C5280" w:rsidP="00321FA8">
            <w:pPr>
              <w:rPr>
                <w:bCs/>
                <w:lang w:val="uk-UA"/>
              </w:rPr>
            </w:pPr>
            <w:r>
              <w:rPr>
                <w:bCs/>
                <w:lang w:val="uk-UA"/>
              </w:rPr>
              <w:t xml:space="preserve">Абзац другий </w:t>
            </w:r>
            <w:r w:rsidRPr="00C062DA">
              <w:rPr>
                <w:bCs/>
                <w:lang w:val="uk-UA"/>
              </w:rPr>
              <w:t>пункту 20 розділу ІІ Ліцензійних умов № 818</w:t>
            </w:r>
          </w:p>
        </w:tc>
      </w:tr>
      <w:tr w:rsidR="002C5280" w:rsidRPr="008B6049" w:rsidTr="00523BD3">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12.1.2</w:t>
            </w:r>
          </w:p>
        </w:tc>
        <w:tc>
          <w:tcPr>
            <w:tcW w:w="2520" w:type="dxa"/>
            <w:gridSpan w:val="2"/>
          </w:tcPr>
          <w:p w:rsidR="002C5280" w:rsidRPr="00C062DA" w:rsidRDefault="002C5280" w:rsidP="004330EC">
            <w:pPr>
              <w:pStyle w:val="rvps2"/>
            </w:pPr>
            <w:r w:rsidRPr="00C062DA">
              <w:t xml:space="preserve">усі працівники такого підрозділу мають сертифікат на право здійснювати </w:t>
            </w:r>
            <w:r w:rsidRPr="00C062DA">
              <w:lastRenderedPageBreak/>
              <w:t xml:space="preserve">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є не менше 2 осіб; </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800" w:type="dxa"/>
          </w:tcPr>
          <w:p w:rsidR="00D11F87" w:rsidRDefault="002C5280" w:rsidP="00321FA8">
            <w:pPr>
              <w:rPr>
                <w:bCs/>
                <w:lang w:val="uk-UA"/>
              </w:rPr>
            </w:pPr>
            <w:r>
              <w:rPr>
                <w:bCs/>
                <w:lang w:val="uk-UA"/>
              </w:rPr>
              <w:t xml:space="preserve">Абзац </w:t>
            </w:r>
            <w:r w:rsidR="00D11F87">
              <w:rPr>
                <w:bCs/>
                <w:lang w:val="uk-UA"/>
              </w:rPr>
              <w:t>другий</w:t>
            </w:r>
          </w:p>
          <w:p w:rsidR="002C5280" w:rsidRPr="00C062DA" w:rsidRDefault="002C5280" w:rsidP="00321FA8">
            <w:pPr>
              <w:rPr>
                <w:bCs/>
                <w:lang w:val="uk-UA"/>
              </w:rPr>
            </w:pPr>
            <w:r w:rsidRPr="00C062DA">
              <w:rPr>
                <w:bCs/>
                <w:lang w:val="uk-UA"/>
              </w:rPr>
              <w:t xml:space="preserve">пункту 20 розділу ІІ Ліцензійних </w:t>
            </w:r>
            <w:r w:rsidRPr="00C062DA">
              <w:rPr>
                <w:bCs/>
                <w:lang w:val="uk-UA"/>
              </w:rPr>
              <w:lastRenderedPageBreak/>
              <w:t>умов № 818</w:t>
            </w:r>
          </w:p>
        </w:tc>
      </w:tr>
      <w:tr w:rsidR="002C5280" w:rsidRPr="008B6049" w:rsidTr="00523BD3">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12.1.3</w:t>
            </w:r>
          </w:p>
        </w:tc>
        <w:tc>
          <w:tcPr>
            <w:tcW w:w="2520" w:type="dxa"/>
            <w:gridSpan w:val="2"/>
          </w:tcPr>
          <w:p w:rsidR="002C5280" w:rsidRPr="00C062DA" w:rsidRDefault="002C5280" w:rsidP="004330EC">
            <w:pPr>
              <w:pStyle w:val="rvps2"/>
            </w:pPr>
            <w:r w:rsidRPr="00C062DA">
              <w:t>має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w:t>
            </w:r>
            <w:r w:rsidR="00883C06">
              <w:t xml:space="preserve"> та обробки інформації.</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800" w:type="dxa"/>
          </w:tcPr>
          <w:p w:rsidR="00D11F87" w:rsidRDefault="002C5280" w:rsidP="00321FA8">
            <w:pPr>
              <w:rPr>
                <w:bCs/>
                <w:lang w:val="uk-UA"/>
              </w:rPr>
            </w:pPr>
            <w:r>
              <w:rPr>
                <w:bCs/>
                <w:lang w:val="uk-UA"/>
              </w:rPr>
              <w:t xml:space="preserve">Абзац </w:t>
            </w:r>
            <w:r w:rsidR="00D11F87">
              <w:rPr>
                <w:bCs/>
                <w:lang w:val="uk-UA"/>
              </w:rPr>
              <w:t>третій</w:t>
            </w:r>
          </w:p>
          <w:p w:rsidR="002C5280" w:rsidRPr="00C062DA" w:rsidRDefault="002C5280" w:rsidP="00321FA8">
            <w:pPr>
              <w:rPr>
                <w:bCs/>
                <w:lang w:val="uk-UA"/>
              </w:rPr>
            </w:pPr>
            <w:r w:rsidRPr="00C062DA">
              <w:rPr>
                <w:bCs/>
                <w:lang w:val="uk-UA"/>
              </w:rPr>
              <w:t>пункту 20 розділу ІІ Ліцензійних умов № 818</w:t>
            </w:r>
          </w:p>
        </w:tc>
      </w:tr>
      <w:tr w:rsidR="002C5280" w:rsidRPr="008B6049" w:rsidTr="00523BD3">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12.1.4</w:t>
            </w:r>
          </w:p>
        </w:tc>
        <w:tc>
          <w:tcPr>
            <w:tcW w:w="2520" w:type="dxa"/>
            <w:gridSpan w:val="2"/>
          </w:tcPr>
          <w:p w:rsidR="002C5280" w:rsidRPr="00C062DA" w:rsidRDefault="00D11F87" w:rsidP="004330EC">
            <w:pPr>
              <w:pStyle w:val="rvps2"/>
            </w:pPr>
            <w:r w:rsidRPr="00C062DA">
              <w:rPr>
                <w:rStyle w:val="rvts0"/>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r w:rsidR="00883C06">
              <w:rPr>
                <w:rStyle w:val="rvts0"/>
              </w:rPr>
              <w:t>.</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800" w:type="dxa"/>
          </w:tcPr>
          <w:p w:rsidR="002C5280" w:rsidRDefault="002C5280" w:rsidP="00321FA8">
            <w:pPr>
              <w:rPr>
                <w:bCs/>
                <w:lang w:val="uk-UA"/>
              </w:rPr>
            </w:pPr>
            <w:r>
              <w:rPr>
                <w:bCs/>
                <w:lang w:val="uk-UA"/>
              </w:rPr>
              <w:t xml:space="preserve">Абзац </w:t>
            </w:r>
            <w:r w:rsidR="00D11F87">
              <w:rPr>
                <w:bCs/>
                <w:lang w:val="uk-UA"/>
              </w:rPr>
              <w:t>четвертий</w:t>
            </w:r>
          </w:p>
          <w:p w:rsidR="002C5280" w:rsidRPr="00C062DA" w:rsidRDefault="002C5280" w:rsidP="00321FA8">
            <w:pPr>
              <w:rPr>
                <w:bCs/>
                <w:lang w:val="uk-UA"/>
              </w:rPr>
            </w:pPr>
            <w:r w:rsidRPr="00C062DA">
              <w:rPr>
                <w:bCs/>
                <w:lang w:val="uk-UA"/>
              </w:rPr>
              <w:t>пункту 20 розділу ІІ Ліцензійних умов № 818</w:t>
            </w:r>
          </w:p>
        </w:tc>
      </w:tr>
      <w:tr w:rsidR="00206DC1" w:rsidRPr="008B6049" w:rsidTr="00523BD3">
        <w:tc>
          <w:tcPr>
            <w:tcW w:w="720" w:type="dxa"/>
            <w:gridSpan w:val="2"/>
          </w:tcPr>
          <w:p w:rsidR="00206DC1" w:rsidRPr="00C062DA" w:rsidRDefault="00206DC1" w:rsidP="006C1FC3">
            <w:pPr>
              <w:pStyle w:val="NoSpacing"/>
              <w:jc w:val="both"/>
              <w:rPr>
                <w:rFonts w:ascii="Times New Roman" w:hAnsi="Times New Roman"/>
                <w:sz w:val="24"/>
                <w:szCs w:val="24"/>
                <w:lang w:val="en-US"/>
              </w:rPr>
            </w:pPr>
            <w:r w:rsidRPr="00C062DA">
              <w:rPr>
                <w:rFonts w:ascii="Times New Roman" w:hAnsi="Times New Roman"/>
                <w:sz w:val="24"/>
                <w:szCs w:val="24"/>
                <w:lang w:val="uk-UA"/>
              </w:rPr>
              <w:t>1</w:t>
            </w:r>
            <w:r w:rsidR="00D11F87">
              <w:rPr>
                <w:rFonts w:ascii="Times New Roman" w:hAnsi="Times New Roman"/>
                <w:sz w:val="24"/>
                <w:szCs w:val="24"/>
                <w:lang w:val="uk-UA"/>
              </w:rPr>
              <w:t>3</w:t>
            </w:r>
          </w:p>
        </w:tc>
        <w:tc>
          <w:tcPr>
            <w:tcW w:w="2520" w:type="dxa"/>
            <w:gridSpan w:val="2"/>
          </w:tcPr>
          <w:p w:rsidR="00206DC1" w:rsidRPr="00C062DA" w:rsidRDefault="00206DC1" w:rsidP="004330EC">
            <w:pPr>
              <w:pStyle w:val="rvps2"/>
              <w:rPr>
                <w:rStyle w:val="rvts0"/>
              </w:rPr>
            </w:pPr>
            <w:r w:rsidRPr="00C062DA">
              <w:rPr>
                <w:rStyle w:val="rvts0"/>
              </w:rPr>
              <w:t xml:space="preserve">У разі припинення ліцензіата шляхом реорганізації (крім перетворення акціонерного товариства в інше господарське </w:t>
            </w:r>
            <w:r w:rsidRPr="00C062DA">
              <w:rPr>
                <w:rStyle w:val="rvts0"/>
              </w:rPr>
              <w:lastRenderedPageBreak/>
              <w:t>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подаються до неї, для отримання нової ліцензії відповідно до вимог Порядку та умов видачі ліцензії</w:t>
            </w:r>
            <w:r w:rsidR="00883C06">
              <w:rPr>
                <w:rStyle w:val="rvts0"/>
              </w:rPr>
              <w:t>.</w:t>
            </w:r>
          </w:p>
        </w:tc>
        <w:tc>
          <w:tcPr>
            <w:tcW w:w="1895" w:type="dxa"/>
            <w:gridSpan w:val="2"/>
          </w:tcPr>
          <w:p w:rsidR="00206DC1" w:rsidRPr="00C062DA" w:rsidRDefault="00206DC1" w:rsidP="00C062DA">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C062D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3929B1">
            <w:pPr>
              <w:rPr>
                <w:bCs/>
                <w:lang w:val="uk-UA"/>
              </w:rPr>
            </w:pPr>
            <w:r w:rsidRPr="00C062DA">
              <w:rPr>
                <w:bCs/>
                <w:lang w:val="uk-UA"/>
              </w:rPr>
              <w:t>Пункт 1 розділу ІІІ Ліцензійних умов № 818</w:t>
            </w:r>
          </w:p>
        </w:tc>
      </w:tr>
      <w:tr w:rsidR="00206DC1" w:rsidRPr="008B6049" w:rsidTr="00523BD3">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D11F87">
              <w:rPr>
                <w:rFonts w:ascii="Times New Roman" w:hAnsi="Times New Roman"/>
                <w:sz w:val="24"/>
                <w:szCs w:val="24"/>
                <w:lang w:val="uk-UA"/>
              </w:rPr>
              <w:t>3</w:t>
            </w:r>
            <w:r w:rsidRPr="00C062DA">
              <w:rPr>
                <w:rFonts w:ascii="Times New Roman" w:hAnsi="Times New Roman"/>
                <w:sz w:val="24"/>
                <w:szCs w:val="24"/>
                <w:lang w:val="uk-UA"/>
              </w:rPr>
              <w:t>.1</w:t>
            </w:r>
          </w:p>
        </w:tc>
        <w:tc>
          <w:tcPr>
            <w:tcW w:w="2520" w:type="dxa"/>
            <w:gridSpan w:val="2"/>
          </w:tcPr>
          <w:p w:rsidR="00206DC1" w:rsidRPr="00C062DA" w:rsidRDefault="00206DC1" w:rsidP="004330EC">
            <w:pPr>
              <w:pStyle w:val="rvps2"/>
              <w:rPr>
                <w:rStyle w:val="rvts0"/>
              </w:rPr>
            </w:pPr>
            <w:r w:rsidRPr="00C062DA">
              <w:rPr>
                <w:rStyle w:val="rvts0"/>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r w:rsidR="00883C06">
              <w:rPr>
                <w:rStyle w:val="rvts0"/>
              </w:rPr>
              <w:t>.</w:t>
            </w:r>
          </w:p>
        </w:tc>
        <w:tc>
          <w:tcPr>
            <w:tcW w:w="1895" w:type="dxa"/>
            <w:gridSpan w:val="2"/>
          </w:tcPr>
          <w:p w:rsidR="00206DC1" w:rsidRPr="00C062DA" w:rsidRDefault="00206DC1" w:rsidP="00C062D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C062DA">
            <w:pPr>
              <w:pStyle w:val="NoSpacing"/>
              <w:jc w:val="center"/>
              <w:rPr>
                <w:rFonts w:ascii="Times New Roman" w:hAnsi="Times New Roman"/>
                <w:sz w:val="24"/>
                <w:szCs w:val="24"/>
                <w:lang w:val="uk-UA"/>
              </w:rPr>
            </w:pPr>
            <w:r>
              <w:rPr>
                <w:rFonts w:ascii="Times New Roman" w:hAnsi="Times New Roman"/>
                <w:sz w:val="24"/>
                <w:szCs w:val="24"/>
                <w:lang w:val="uk-UA"/>
              </w:rPr>
              <w:t>середній</w:t>
            </w:r>
          </w:p>
          <w:p w:rsidR="00206DC1" w:rsidRPr="00C062DA" w:rsidRDefault="00206DC1" w:rsidP="00C062DA">
            <w:pPr>
              <w:pStyle w:val="NoSpacing"/>
              <w:jc w:val="center"/>
              <w:rPr>
                <w:rFonts w:ascii="Times New Roman" w:hAnsi="Times New Roman"/>
                <w:sz w:val="24"/>
                <w:szCs w:val="24"/>
                <w:lang w:val="uk-UA"/>
              </w:rPr>
            </w:pP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3929B1">
            <w:pPr>
              <w:rPr>
                <w:bCs/>
                <w:lang w:val="uk-UA"/>
              </w:rPr>
            </w:pPr>
            <w:r w:rsidRPr="00C062DA">
              <w:rPr>
                <w:bCs/>
                <w:lang w:val="uk-UA"/>
              </w:rPr>
              <w:t>Пункт 2 розділу ІІІ Ліцензійних умов № 818</w:t>
            </w:r>
          </w:p>
        </w:tc>
      </w:tr>
      <w:tr w:rsidR="00206DC1" w:rsidRPr="008B6049" w:rsidTr="00523BD3">
        <w:tc>
          <w:tcPr>
            <w:tcW w:w="720" w:type="dxa"/>
            <w:gridSpan w:val="2"/>
          </w:tcPr>
          <w:p w:rsidR="00206DC1" w:rsidRPr="007A39DC" w:rsidRDefault="00A87BCF" w:rsidP="006C1FC3">
            <w:pPr>
              <w:pStyle w:val="NoSpacing"/>
              <w:jc w:val="both"/>
              <w:rPr>
                <w:rFonts w:ascii="Times New Roman" w:hAnsi="Times New Roman"/>
                <w:sz w:val="24"/>
                <w:szCs w:val="24"/>
                <w:lang w:val="en-US"/>
              </w:rPr>
            </w:pPr>
            <w:r w:rsidRPr="007A39DC">
              <w:rPr>
                <w:rFonts w:ascii="Times New Roman" w:hAnsi="Times New Roman"/>
                <w:sz w:val="24"/>
                <w:szCs w:val="24"/>
                <w:lang w:val="en-US"/>
              </w:rPr>
              <w:t>14</w:t>
            </w:r>
          </w:p>
        </w:tc>
        <w:tc>
          <w:tcPr>
            <w:tcW w:w="2520" w:type="dxa"/>
            <w:gridSpan w:val="2"/>
          </w:tcPr>
          <w:p w:rsidR="00206DC1" w:rsidRPr="007A39DC" w:rsidRDefault="00206DC1" w:rsidP="00A87BCF">
            <w:pPr>
              <w:pStyle w:val="rvps2"/>
              <w:rPr>
                <w:rStyle w:val="rvts0"/>
              </w:rPr>
            </w:pPr>
            <w:r w:rsidRPr="007A39DC">
              <w:t xml:space="preserve">У разі створення у ліцензіата в процесі професійної діяльності нового відокремленого </w:t>
            </w:r>
            <w:r w:rsidRPr="007A39DC">
              <w:lastRenderedPageBreak/>
              <w:t>підрозділу,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за місяць до початку провадження діяльності таким підрозділом подав до Комісії такі документи:</w:t>
            </w:r>
            <w:bookmarkStart w:id="17" w:name="n224"/>
            <w:bookmarkStart w:id="18" w:name="n225"/>
            <w:bookmarkStart w:id="19" w:name="n226"/>
            <w:bookmarkEnd w:id="17"/>
            <w:bookmarkEnd w:id="18"/>
            <w:bookmarkEnd w:id="19"/>
          </w:p>
        </w:tc>
        <w:tc>
          <w:tcPr>
            <w:tcW w:w="1895" w:type="dxa"/>
            <w:gridSpan w:val="2"/>
          </w:tcPr>
          <w:p w:rsidR="00206DC1" w:rsidRPr="007A39DC" w:rsidRDefault="00206DC1" w:rsidP="009A7043">
            <w:pPr>
              <w:pStyle w:val="NoSpacing"/>
              <w:jc w:val="center"/>
              <w:rPr>
                <w:rFonts w:ascii="Times New Roman" w:hAnsi="Times New Roman"/>
                <w:sz w:val="24"/>
                <w:szCs w:val="24"/>
                <w:lang w:val="uk-UA"/>
              </w:rPr>
            </w:pPr>
            <w:r w:rsidRPr="007A39DC">
              <w:rPr>
                <w:rFonts w:ascii="Times New Roman" w:hAnsi="Times New Roman"/>
                <w:sz w:val="24"/>
                <w:szCs w:val="24"/>
                <w:lang w:val="uk-UA"/>
              </w:rPr>
              <w:lastRenderedPageBreak/>
              <w:t>високий,</w:t>
            </w:r>
          </w:p>
          <w:p w:rsidR="00206DC1" w:rsidRPr="007A39DC" w:rsidRDefault="00206DC1" w:rsidP="009A7043">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206DC1" w:rsidRPr="007A39DC" w:rsidRDefault="00206DC1" w:rsidP="009A7043">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360"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360"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720"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1800" w:type="dxa"/>
          </w:tcPr>
          <w:p w:rsidR="00206DC1" w:rsidRPr="007A39DC" w:rsidRDefault="007A39DC" w:rsidP="003929B1">
            <w:pPr>
              <w:rPr>
                <w:bCs/>
                <w:lang w:val="uk-UA"/>
              </w:rPr>
            </w:pPr>
            <w:r w:rsidRPr="007A39DC">
              <w:rPr>
                <w:bCs/>
                <w:lang w:val="uk-UA"/>
              </w:rPr>
              <w:t>Абзац перший п</w:t>
            </w:r>
            <w:r w:rsidR="00206DC1" w:rsidRPr="007A39DC">
              <w:rPr>
                <w:bCs/>
                <w:lang w:val="uk-UA"/>
              </w:rPr>
              <w:t>ункт</w:t>
            </w:r>
            <w:r w:rsidRPr="007A39DC">
              <w:rPr>
                <w:bCs/>
                <w:lang w:val="uk-UA"/>
              </w:rPr>
              <w:t>у</w:t>
            </w:r>
            <w:r w:rsidR="00206DC1" w:rsidRPr="007A39DC">
              <w:rPr>
                <w:bCs/>
                <w:lang w:val="uk-UA"/>
              </w:rPr>
              <w:t xml:space="preserve"> 3 розділу ІІІ Ліцензійних умов № 818</w:t>
            </w:r>
          </w:p>
        </w:tc>
      </w:tr>
      <w:tr w:rsidR="00A87BCF" w:rsidRPr="008B6049" w:rsidTr="00523BD3">
        <w:tc>
          <w:tcPr>
            <w:tcW w:w="720" w:type="dxa"/>
            <w:gridSpan w:val="2"/>
          </w:tcPr>
          <w:p w:rsidR="00A87BCF" w:rsidRPr="007A39DC" w:rsidRDefault="00A87BCF" w:rsidP="006C1FC3">
            <w:pPr>
              <w:pStyle w:val="NoSpacing"/>
              <w:jc w:val="both"/>
              <w:rPr>
                <w:rFonts w:ascii="Times New Roman" w:hAnsi="Times New Roman"/>
                <w:sz w:val="24"/>
                <w:szCs w:val="24"/>
                <w:lang w:val="uk-UA"/>
              </w:rPr>
            </w:pPr>
            <w:r w:rsidRPr="007A39DC">
              <w:rPr>
                <w:rFonts w:ascii="Times New Roman" w:hAnsi="Times New Roman"/>
                <w:sz w:val="24"/>
                <w:szCs w:val="24"/>
                <w:lang w:val="en-US"/>
              </w:rPr>
              <w:t>14</w:t>
            </w:r>
            <w:r w:rsidRPr="007A39DC">
              <w:rPr>
                <w:rFonts w:ascii="Times New Roman" w:hAnsi="Times New Roman"/>
                <w:sz w:val="24"/>
                <w:szCs w:val="24"/>
                <w:lang w:val="uk-UA"/>
              </w:rPr>
              <w:t>.1</w:t>
            </w:r>
          </w:p>
          <w:p w:rsidR="00A87BCF" w:rsidRPr="007A39DC" w:rsidRDefault="00A87BCF" w:rsidP="006C1FC3">
            <w:pPr>
              <w:pStyle w:val="NoSpacing"/>
              <w:jc w:val="both"/>
              <w:rPr>
                <w:rFonts w:ascii="Times New Roman" w:hAnsi="Times New Roman"/>
                <w:sz w:val="24"/>
                <w:szCs w:val="24"/>
                <w:lang w:val="en-US"/>
              </w:rPr>
            </w:pPr>
          </w:p>
        </w:tc>
        <w:tc>
          <w:tcPr>
            <w:tcW w:w="2520" w:type="dxa"/>
            <w:gridSpan w:val="2"/>
          </w:tcPr>
          <w:p w:rsidR="00A87BCF" w:rsidRPr="007A39DC" w:rsidRDefault="00A87BCF" w:rsidP="00435C5A">
            <w:pPr>
              <w:pStyle w:val="rvps2"/>
            </w:pPr>
            <w:r w:rsidRPr="007A39DC">
              <w:t>1)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1895" w:type="dxa"/>
            <w:gridSpan w:val="2"/>
          </w:tcPr>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високий,</w:t>
            </w:r>
          </w:p>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A87BCF"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72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1800" w:type="dxa"/>
          </w:tcPr>
          <w:p w:rsidR="00A87BCF" w:rsidRPr="007A39DC" w:rsidRDefault="007A39DC" w:rsidP="003929B1">
            <w:pPr>
              <w:rPr>
                <w:bCs/>
                <w:lang w:val="uk-UA"/>
              </w:rPr>
            </w:pPr>
            <w:r w:rsidRPr="007A39DC">
              <w:rPr>
                <w:bCs/>
                <w:lang w:val="uk-UA"/>
              </w:rPr>
              <w:t>Підпункт 1 пункту 3 розділу ІІІ Ліцензійних умов № 818</w:t>
            </w:r>
          </w:p>
        </w:tc>
      </w:tr>
      <w:tr w:rsidR="00A87BCF" w:rsidRPr="008B6049" w:rsidTr="00523BD3">
        <w:tc>
          <w:tcPr>
            <w:tcW w:w="720" w:type="dxa"/>
            <w:gridSpan w:val="2"/>
          </w:tcPr>
          <w:p w:rsidR="00A87BCF" w:rsidRPr="007A39DC" w:rsidRDefault="007A39DC" w:rsidP="006C1FC3">
            <w:pPr>
              <w:pStyle w:val="NoSpacing"/>
              <w:jc w:val="both"/>
              <w:rPr>
                <w:rFonts w:ascii="Times New Roman" w:hAnsi="Times New Roman"/>
                <w:sz w:val="24"/>
                <w:szCs w:val="24"/>
                <w:lang w:val="uk-UA"/>
              </w:rPr>
            </w:pPr>
            <w:r w:rsidRPr="007A39DC">
              <w:rPr>
                <w:rFonts w:ascii="Times New Roman" w:hAnsi="Times New Roman"/>
                <w:sz w:val="24"/>
                <w:szCs w:val="24"/>
                <w:lang w:val="uk-UA"/>
              </w:rPr>
              <w:t>14.2</w:t>
            </w:r>
          </w:p>
        </w:tc>
        <w:tc>
          <w:tcPr>
            <w:tcW w:w="2520" w:type="dxa"/>
            <w:gridSpan w:val="2"/>
          </w:tcPr>
          <w:p w:rsidR="00A87BCF" w:rsidRPr="007A39DC" w:rsidRDefault="00A87BCF" w:rsidP="00435C5A">
            <w:pPr>
              <w:pStyle w:val="rvps2"/>
            </w:pPr>
            <w:r w:rsidRPr="007A39DC">
              <w:t xml:space="preserve">2)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 </w:t>
            </w:r>
          </w:p>
        </w:tc>
        <w:tc>
          <w:tcPr>
            <w:tcW w:w="1895" w:type="dxa"/>
            <w:gridSpan w:val="2"/>
          </w:tcPr>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високий,</w:t>
            </w:r>
          </w:p>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A87BCF"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72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1800" w:type="dxa"/>
          </w:tcPr>
          <w:p w:rsidR="00A87BCF" w:rsidRPr="007A39DC" w:rsidRDefault="007A39DC" w:rsidP="003929B1">
            <w:pPr>
              <w:rPr>
                <w:bCs/>
                <w:lang w:val="uk-UA"/>
              </w:rPr>
            </w:pPr>
            <w:r w:rsidRPr="007A39DC">
              <w:rPr>
                <w:bCs/>
                <w:lang w:val="uk-UA"/>
              </w:rPr>
              <w:t>Підпункт 2 пункту 3 розділу ІІІ Ліцензійних умов № 818</w:t>
            </w:r>
          </w:p>
        </w:tc>
      </w:tr>
      <w:tr w:rsidR="00A87BCF" w:rsidRPr="008B6049" w:rsidTr="00523BD3">
        <w:tc>
          <w:tcPr>
            <w:tcW w:w="720" w:type="dxa"/>
            <w:gridSpan w:val="2"/>
          </w:tcPr>
          <w:p w:rsidR="00A87BCF" w:rsidRPr="007A39DC" w:rsidRDefault="007A39DC" w:rsidP="006C1FC3">
            <w:pPr>
              <w:pStyle w:val="NoSpacing"/>
              <w:jc w:val="both"/>
              <w:rPr>
                <w:rFonts w:ascii="Times New Roman" w:hAnsi="Times New Roman"/>
                <w:sz w:val="24"/>
                <w:szCs w:val="24"/>
                <w:lang w:val="uk-UA"/>
              </w:rPr>
            </w:pPr>
            <w:r w:rsidRPr="007A39DC">
              <w:rPr>
                <w:rFonts w:ascii="Times New Roman" w:hAnsi="Times New Roman"/>
                <w:sz w:val="24"/>
                <w:szCs w:val="24"/>
                <w:lang w:val="uk-UA"/>
              </w:rPr>
              <w:t>14.3</w:t>
            </w:r>
          </w:p>
        </w:tc>
        <w:tc>
          <w:tcPr>
            <w:tcW w:w="2520" w:type="dxa"/>
            <w:gridSpan w:val="2"/>
          </w:tcPr>
          <w:p w:rsidR="00A87BCF" w:rsidRPr="007A39DC" w:rsidRDefault="00A87BCF" w:rsidP="00435C5A">
            <w:pPr>
              <w:pStyle w:val="rvps2"/>
            </w:pPr>
            <w:r w:rsidRPr="007A39DC">
              <w:t>3) документи, передбачені під</w:t>
            </w:r>
            <w:r w:rsidR="00656AAC">
              <w:t xml:space="preserve">пунктами 3, 5, 8 пункту 7 </w:t>
            </w:r>
            <w:r w:rsidRPr="007A39DC">
              <w:t>розділу</w:t>
            </w:r>
            <w:r w:rsidR="00656AAC">
              <w:t xml:space="preserve"> ІІІ</w:t>
            </w:r>
            <w:r w:rsidR="00883C06">
              <w:t>.</w:t>
            </w:r>
          </w:p>
        </w:tc>
        <w:tc>
          <w:tcPr>
            <w:tcW w:w="1895" w:type="dxa"/>
            <w:gridSpan w:val="2"/>
          </w:tcPr>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високий,</w:t>
            </w:r>
          </w:p>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A87BCF"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72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1800" w:type="dxa"/>
          </w:tcPr>
          <w:p w:rsidR="00A87BCF" w:rsidRPr="007A39DC" w:rsidRDefault="007A39DC" w:rsidP="003929B1">
            <w:pPr>
              <w:rPr>
                <w:bCs/>
                <w:lang w:val="uk-UA"/>
              </w:rPr>
            </w:pPr>
            <w:r w:rsidRPr="007A39DC">
              <w:rPr>
                <w:bCs/>
                <w:lang w:val="uk-UA"/>
              </w:rPr>
              <w:t xml:space="preserve">Підпункт 3 пункту 3 розділу ІІІ Ліцензійних </w:t>
            </w:r>
            <w:r w:rsidRPr="007A39DC">
              <w:rPr>
                <w:bCs/>
                <w:lang w:val="uk-UA"/>
              </w:rPr>
              <w:lastRenderedPageBreak/>
              <w:t>умов № 818</w:t>
            </w:r>
          </w:p>
        </w:tc>
      </w:tr>
      <w:tr w:rsidR="00206DC1" w:rsidRPr="00C062DA" w:rsidTr="00523BD3">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lastRenderedPageBreak/>
              <w:t>1</w:t>
            </w:r>
            <w:r w:rsidR="007A39DC">
              <w:rPr>
                <w:rFonts w:ascii="Times New Roman" w:hAnsi="Times New Roman"/>
                <w:sz w:val="24"/>
                <w:szCs w:val="24"/>
                <w:lang w:val="uk-UA"/>
              </w:rPr>
              <w:t>5</w:t>
            </w:r>
          </w:p>
        </w:tc>
        <w:tc>
          <w:tcPr>
            <w:tcW w:w="2520" w:type="dxa"/>
            <w:gridSpan w:val="2"/>
          </w:tcPr>
          <w:p w:rsidR="00206DC1" w:rsidRPr="00C062DA" w:rsidRDefault="00206DC1" w:rsidP="00435C5A">
            <w:pPr>
              <w:pStyle w:val="rvps2"/>
            </w:pPr>
            <w:r w:rsidRPr="00C062DA">
              <w:rPr>
                <w:rStyle w:val="rvts0"/>
              </w:rPr>
              <w:t>У разі ліквідації відокремленого підрозділу та/або припинення провадження ним діяльності з організації торгівлі на фондовому ринку ліцензіат  протягом десяти робочих днів з дати припинення зазначеної діяльності цим підрозділом подав копію рішення відповідного органу ліцензіата, підписану керівником ліцензіата</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Пункт 4 розділу ІІІ Ліцензійних умов № 818</w:t>
            </w:r>
          </w:p>
        </w:tc>
      </w:tr>
      <w:tr w:rsidR="00206DC1" w:rsidRPr="008B6049" w:rsidTr="00523BD3">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7A39DC">
              <w:rPr>
                <w:rFonts w:ascii="Times New Roman" w:hAnsi="Times New Roman"/>
                <w:sz w:val="24"/>
                <w:szCs w:val="24"/>
                <w:lang w:val="uk-UA"/>
              </w:rPr>
              <w:t>6</w:t>
            </w:r>
          </w:p>
        </w:tc>
        <w:tc>
          <w:tcPr>
            <w:tcW w:w="2520" w:type="dxa"/>
            <w:gridSpan w:val="2"/>
          </w:tcPr>
          <w:p w:rsidR="00206DC1" w:rsidRPr="002C3800" w:rsidRDefault="00206DC1" w:rsidP="00435C5A">
            <w:pPr>
              <w:pStyle w:val="rvps2"/>
              <w:rPr>
                <w:rStyle w:val="rvts0"/>
              </w:rPr>
            </w:pPr>
            <w:r w:rsidRPr="00C062DA">
              <w:rPr>
                <w:rStyle w:val="rvts0"/>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ліцензіатом подано заяву та документи відповідно до </w:t>
            </w:r>
            <w:hyperlink r:id="rId13" w:anchor="n15" w:tgtFrame="_blank" w:history="1">
              <w:r w:rsidRPr="00C062DA">
                <w:rPr>
                  <w:rStyle w:val="a4"/>
                  <w:color w:val="auto"/>
                  <w:u w:val="none"/>
                </w:rPr>
                <w:t>Порядку надання погодження на створення професійним учасником фондового ринку відокремленого підрозділу за межами України</w:t>
              </w:r>
            </w:hyperlink>
            <w:r w:rsidRPr="00C062DA">
              <w:rPr>
                <w:rStyle w:val="rvts0"/>
              </w:rPr>
              <w:t xml:space="preserve">, затвердженого рішенням Комісії від 6 листопада 2012 року </w:t>
            </w:r>
            <w:r>
              <w:rPr>
                <w:rStyle w:val="rvts0"/>
              </w:rPr>
              <w:t xml:space="preserve">         </w:t>
            </w:r>
            <w:r w:rsidRPr="00C062DA">
              <w:rPr>
                <w:rStyle w:val="rvts0"/>
              </w:rPr>
              <w:t>№ 1583</w:t>
            </w:r>
            <w:r>
              <w:rPr>
                <w:rStyle w:val="rvts0"/>
              </w:rPr>
              <w:t>, зареєстрованого в Міністерстві юстиції України 28 листопада 2012 року</w:t>
            </w:r>
            <w:r w:rsidR="00A55EC0">
              <w:rPr>
                <w:rStyle w:val="rvts0"/>
              </w:rPr>
              <w:t xml:space="preserve">                       </w:t>
            </w:r>
            <w:r>
              <w:rPr>
                <w:rStyle w:val="rvts0"/>
              </w:rPr>
              <w:t xml:space="preserve"> </w:t>
            </w:r>
            <w:r>
              <w:rPr>
                <w:rStyle w:val="rvts0"/>
              </w:rPr>
              <w:lastRenderedPageBreak/>
              <w:t>за  № 1999/22311</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Default="00206DC1" w:rsidP="002C4236">
            <w:pPr>
              <w:rPr>
                <w:bCs/>
                <w:lang w:val="uk-UA"/>
              </w:rPr>
            </w:pPr>
            <w:r w:rsidRPr="00C062DA">
              <w:rPr>
                <w:bCs/>
                <w:lang w:val="uk-UA"/>
              </w:rPr>
              <w:t>Пункт 5 розділу ІІІ Ліцензійних умов № 818</w:t>
            </w:r>
            <w:r>
              <w:rPr>
                <w:bCs/>
                <w:lang w:val="uk-UA"/>
              </w:rPr>
              <w:t xml:space="preserve">; Порядок </w:t>
            </w:r>
          </w:p>
          <w:p w:rsidR="00206DC1" w:rsidRPr="00C062DA" w:rsidRDefault="00206DC1" w:rsidP="002C4236">
            <w:pPr>
              <w:rPr>
                <w:bCs/>
                <w:lang w:val="uk-UA"/>
              </w:rPr>
            </w:pPr>
            <w:r>
              <w:rPr>
                <w:bCs/>
                <w:lang w:val="uk-UA"/>
              </w:rPr>
              <w:t>№ 1583</w:t>
            </w:r>
          </w:p>
        </w:tc>
      </w:tr>
      <w:tr w:rsidR="00206DC1" w:rsidRPr="008B6049" w:rsidTr="00523BD3">
        <w:trPr>
          <w:trHeight w:val="535"/>
        </w:trPr>
        <w:tc>
          <w:tcPr>
            <w:tcW w:w="720" w:type="dxa"/>
            <w:gridSpan w:val="2"/>
          </w:tcPr>
          <w:p w:rsidR="00206DC1" w:rsidRPr="001E3D1F" w:rsidRDefault="00206DC1" w:rsidP="006C1FC3">
            <w:pPr>
              <w:pStyle w:val="NoSpacing"/>
              <w:jc w:val="both"/>
              <w:rPr>
                <w:rFonts w:ascii="Times New Roman" w:hAnsi="Times New Roman"/>
                <w:sz w:val="24"/>
                <w:szCs w:val="24"/>
                <w:lang w:val="uk-UA"/>
              </w:rPr>
            </w:pPr>
            <w:r w:rsidRPr="001E3D1F">
              <w:rPr>
                <w:rFonts w:ascii="Times New Roman" w:hAnsi="Times New Roman"/>
                <w:sz w:val="24"/>
                <w:szCs w:val="24"/>
                <w:lang w:val="uk-UA"/>
              </w:rPr>
              <w:t>1</w:t>
            </w:r>
            <w:r w:rsidR="00802144" w:rsidRPr="001E3D1F">
              <w:rPr>
                <w:rFonts w:ascii="Times New Roman" w:hAnsi="Times New Roman"/>
                <w:sz w:val="24"/>
                <w:szCs w:val="24"/>
                <w:lang w:val="uk-UA"/>
              </w:rPr>
              <w:t>7</w:t>
            </w:r>
          </w:p>
        </w:tc>
        <w:tc>
          <w:tcPr>
            <w:tcW w:w="2520" w:type="dxa"/>
            <w:gridSpan w:val="2"/>
          </w:tcPr>
          <w:p w:rsidR="00206DC1" w:rsidRPr="00C062DA" w:rsidRDefault="00206DC1" w:rsidP="00F0425E">
            <w:pPr>
              <w:pStyle w:val="rvps2"/>
              <w:spacing w:before="0" w:beforeAutospacing="0"/>
              <w:rPr>
                <w:rStyle w:val="rvts0"/>
              </w:rPr>
            </w:pPr>
            <w:r w:rsidRPr="00C062DA">
              <w:t>У разі зміни найменування відокремленого підрозділу та/або місцезнаходження відокремленого підрозділу ліцензіатом протягом п'ятнадцяти робочих днів з дати внесення відповідних змін до положення про філію або інший відокремлений підрозділ подано:</w:t>
            </w:r>
            <w:bookmarkStart w:id="20" w:name="n229"/>
            <w:bookmarkStart w:id="21" w:name="n230"/>
            <w:bookmarkStart w:id="22" w:name="n231"/>
            <w:bookmarkStart w:id="23" w:name="n232"/>
            <w:bookmarkEnd w:id="20"/>
            <w:bookmarkEnd w:id="21"/>
            <w:bookmarkEnd w:id="22"/>
            <w:bookmarkEnd w:id="23"/>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1E3D1F" w:rsidP="002C4236">
            <w:pPr>
              <w:rPr>
                <w:bCs/>
                <w:lang w:val="uk-UA"/>
              </w:rPr>
            </w:pPr>
            <w:r>
              <w:rPr>
                <w:bCs/>
                <w:lang w:val="uk-UA"/>
              </w:rPr>
              <w:t>Абзац перший п</w:t>
            </w:r>
            <w:r w:rsidR="00206DC1" w:rsidRPr="00C062DA">
              <w:rPr>
                <w:bCs/>
                <w:lang w:val="uk-UA"/>
              </w:rPr>
              <w:t>ункт</w:t>
            </w:r>
            <w:r>
              <w:rPr>
                <w:bCs/>
                <w:lang w:val="uk-UA"/>
              </w:rPr>
              <w:t>у</w:t>
            </w:r>
            <w:r w:rsidR="00206DC1" w:rsidRPr="00C062DA">
              <w:rPr>
                <w:bCs/>
                <w:lang w:val="uk-UA"/>
              </w:rPr>
              <w:t xml:space="preserve"> 6 розділу ІІІ Ліцензійних умов № 818</w:t>
            </w:r>
          </w:p>
        </w:tc>
      </w:tr>
      <w:tr w:rsidR="00802144" w:rsidRPr="008B6049" w:rsidTr="00523BD3">
        <w:trPr>
          <w:trHeight w:val="706"/>
        </w:trPr>
        <w:tc>
          <w:tcPr>
            <w:tcW w:w="720" w:type="dxa"/>
            <w:gridSpan w:val="2"/>
          </w:tcPr>
          <w:p w:rsidR="00802144"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17.1</w:t>
            </w:r>
          </w:p>
        </w:tc>
        <w:tc>
          <w:tcPr>
            <w:tcW w:w="2520" w:type="dxa"/>
            <w:gridSpan w:val="2"/>
          </w:tcPr>
          <w:p w:rsidR="00802144" w:rsidRPr="00C062DA" w:rsidRDefault="00662A4E" w:rsidP="00F0425E">
            <w:pPr>
              <w:pStyle w:val="rvps2"/>
              <w:spacing w:before="0" w:beforeAutospacing="0"/>
            </w:pPr>
            <w:r w:rsidRPr="00C062DA">
              <w:t>1) копію рішення про зміну найменування та/або місцезнаходження цього підрозділу;</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802144"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72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1800" w:type="dxa"/>
          </w:tcPr>
          <w:p w:rsidR="00802144" w:rsidRPr="00C062DA" w:rsidRDefault="001E3D1F" w:rsidP="002C4236">
            <w:pPr>
              <w:rPr>
                <w:bCs/>
                <w:lang w:val="uk-UA"/>
              </w:rPr>
            </w:pPr>
            <w:r>
              <w:rPr>
                <w:bCs/>
                <w:lang w:val="uk-UA"/>
              </w:rPr>
              <w:t>Підпункт 1  п</w:t>
            </w:r>
            <w:r w:rsidRPr="00C062DA">
              <w:rPr>
                <w:bCs/>
                <w:lang w:val="uk-UA"/>
              </w:rPr>
              <w:t>ункт</w:t>
            </w:r>
            <w:r>
              <w:rPr>
                <w:bCs/>
                <w:lang w:val="uk-UA"/>
              </w:rPr>
              <w:t>у</w:t>
            </w:r>
            <w:r w:rsidRPr="00C062DA">
              <w:rPr>
                <w:bCs/>
                <w:lang w:val="uk-UA"/>
              </w:rPr>
              <w:t xml:space="preserve"> 6 розділу ІІІ Ліцензійних умов № 818</w:t>
            </w:r>
          </w:p>
        </w:tc>
      </w:tr>
      <w:tr w:rsidR="00802144" w:rsidRPr="008B6049" w:rsidTr="00523BD3">
        <w:trPr>
          <w:trHeight w:val="535"/>
        </w:trPr>
        <w:tc>
          <w:tcPr>
            <w:tcW w:w="720" w:type="dxa"/>
            <w:gridSpan w:val="2"/>
          </w:tcPr>
          <w:p w:rsidR="00802144"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17.2</w:t>
            </w:r>
          </w:p>
        </w:tc>
        <w:tc>
          <w:tcPr>
            <w:tcW w:w="2520" w:type="dxa"/>
            <w:gridSpan w:val="2"/>
          </w:tcPr>
          <w:p w:rsidR="00802144" w:rsidRPr="00C062DA" w:rsidRDefault="00662A4E" w:rsidP="00744202">
            <w:pPr>
              <w:pStyle w:val="rvps2"/>
            </w:pPr>
            <w:r w:rsidRPr="00C062DA">
              <w:t>2) копію затвердженого в установленому порядку положення про цей підрозділ з унесеними змінами;</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802144"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72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1800" w:type="dxa"/>
          </w:tcPr>
          <w:p w:rsidR="00802144" w:rsidRPr="00C062DA" w:rsidRDefault="001E3D1F" w:rsidP="002C4236">
            <w:pPr>
              <w:rPr>
                <w:bCs/>
                <w:lang w:val="uk-UA"/>
              </w:rPr>
            </w:pPr>
            <w:r>
              <w:rPr>
                <w:bCs/>
                <w:lang w:val="uk-UA"/>
              </w:rPr>
              <w:t>Підпункт 2  п</w:t>
            </w:r>
            <w:r w:rsidRPr="00C062DA">
              <w:rPr>
                <w:bCs/>
                <w:lang w:val="uk-UA"/>
              </w:rPr>
              <w:t>ункт</w:t>
            </w:r>
            <w:r>
              <w:rPr>
                <w:bCs/>
                <w:lang w:val="uk-UA"/>
              </w:rPr>
              <w:t>у</w:t>
            </w:r>
            <w:r w:rsidRPr="00C062DA">
              <w:rPr>
                <w:bCs/>
                <w:lang w:val="uk-UA"/>
              </w:rPr>
              <w:t xml:space="preserve"> 6 розділу ІІІ Ліцензійних умов № 818</w:t>
            </w:r>
          </w:p>
        </w:tc>
      </w:tr>
      <w:tr w:rsidR="00802144" w:rsidRPr="008B6049" w:rsidTr="00523BD3">
        <w:trPr>
          <w:trHeight w:val="524"/>
        </w:trPr>
        <w:tc>
          <w:tcPr>
            <w:tcW w:w="720" w:type="dxa"/>
            <w:gridSpan w:val="2"/>
          </w:tcPr>
          <w:p w:rsidR="00802144"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17.3</w:t>
            </w:r>
          </w:p>
        </w:tc>
        <w:tc>
          <w:tcPr>
            <w:tcW w:w="2520" w:type="dxa"/>
            <w:gridSpan w:val="2"/>
          </w:tcPr>
          <w:p w:rsidR="00802144" w:rsidRPr="00C062DA" w:rsidRDefault="00662A4E" w:rsidP="00744202">
            <w:pPr>
              <w:pStyle w:val="rvps2"/>
            </w:pPr>
            <w:r w:rsidRPr="00C062DA">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802144"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72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1800" w:type="dxa"/>
          </w:tcPr>
          <w:p w:rsidR="00802144" w:rsidRPr="00C062DA" w:rsidRDefault="001E3D1F" w:rsidP="002C4236">
            <w:pPr>
              <w:rPr>
                <w:bCs/>
                <w:lang w:val="uk-UA"/>
              </w:rPr>
            </w:pPr>
            <w:r>
              <w:rPr>
                <w:bCs/>
                <w:lang w:val="uk-UA"/>
              </w:rPr>
              <w:t>Підпункт 3 п</w:t>
            </w:r>
            <w:r w:rsidRPr="00C062DA">
              <w:rPr>
                <w:bCs/>
                <w:lang w:val="uk-UA"/>
              </w:rPr>
              <w:t>ункт</w:t>
            </w:r>
            <w:r>
              <w:rPr>
                <w:bCs/>
                <w:lang w:val="uk-UA"/>
              </w:rPr>
              <w:t>у</w:t>
            </w:r>
            <w:r w:rsidRPr="00C062DA">
              <w:rPr>
                <w:bCs/>
                <w:lang w:val="uk-UA"/>
              </w:rPr>
              <w:t xml:space="preserve"> 6 розділу ІІІ Ліцензійних умов № 818</w:t>
            </w:r>
          </w:p>
        </w:tc>
      </w:tr>
      <w:tr w:rsidR="00662A4E" w:rsidRPr="008B6049" w:rsidTr="00523BD3">
        <w:trPr>
          <w:trHeight w:val="524"/>
        </w:trPr>
        <w:tc>
          <w:tcPr>
            <w:tcW w:w="720" w:type="dxa"/>
            <w:gridSpan w:val="2"/>
          </w:tcPr>
          <w:p w:rsidR="00662A4E"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17.4</w:t>
            </w:r>
          </w:p>
        </w:tc>
        <w:tc>
          <w:tcPr>
            <w:tcW w:w="2520" w:type="dxa"/>
            <w:gridSpan w:val="2"/>
          </w:tcPr>
          <w:p w:rsidR="00662A4E" w:rsidRPr="00C062DA" w:rsidRDefault="00662A4E" w:rsidP="00662A4E">
            <w:pPr>
              <w:pStyle w:val="rvps2"/>
            </w:pPr>
            <w:r w:rsidRPr="00C062DA">
              <w:t>4) документи, передбачені підпунктами 5, 8 пункту 7 цього розділу</w:t>
            </w:r>
            <w:r>
              <w:t>.</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662A4E"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360"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360"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720"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1800" w:type="dxa"/>
          </w:tcPr>
          <w:p w:rsidR="00662A4E" w:rsidRPr="00C062DA" w:rsidRDefault="001E3D1F" w:rsidP="002C4236">
            <w:pPr>
              <w:rPr>
                <w:bCs/>
                <w:lang w:val="uk-UA"/>
              </w:rPr>
            </w:pPr>
            <w:r>
              <w:rPr>
                <w:bCs/>
                <w:lang w:val="uk-UA"/>
              </w:rPr>
              <w:t>Підпункт 4 п</w:t>
            </w:r>
            <w:r w:rsidRPr="00C062DA">
              <w:rPr>
                <w:bCs/>
                <w:lang w:val="uk-UA"/>
              </w:rPr>
              <w:t>ункт</w:t>
            </w:r>
            <w:r>
              <w:rPr>
                <w:bCs/>
                <w:lang w:val="uk-UA"/>
              </w:rPr>
              <w:t>у</w:t>
            </w:r>
            <w:r w:rsidRPr="00C062DA">
              <w:rPr>
                <w:bCs/>
                <w:lang w:val="uk-UA"/>
              </w:rPr>
              <w:t xml:space="preserve"> 6 розділу ІІІ Ліцензійних умов № 818</w:t>
            </w:r>
          </w:p>
        </w:tc>
      </w:tr>
      <w:tr w:rsidR="00206DC1" w:rsidRPr="008B6049" w:rsidTr="00523BD3">
        <w:tc>
          <w:tcPr>
            <w:tcW w:w="720" w:type="dxa"/>
            <w:gridSpan w:val="2"/>
          </w:tcPr>
          <w:p w:rsidR="00206DC1" w:rsidRPr="00C062DA" w:rsidRDefault="008F0A6B" w:rsidP="006C1FC3">
            <w:pPr>
              <w:pStyle w:val="NoSpacing"/>
              <w:jc w:val="both"/>
              <w:rPr>
                <w:rFonts w:ascii="Times New Roman" w:hAnsi="Times New Roman"/>
                <w:sz w:val="24"/>
                <w:szCs w:val="24"/>
                <w:lang w:val="uk-UA"/>
              </w:rPr>
            </w:pPr>
            <w:r>
              <w:rPr>
                <w:rFonts w:ascii="Times New Roman" w:hAnsi="Times New Roman"/>
                <w:sz w:val="24"/>
                <w:szCs w:val="24"/>
                <w:lang w:val="uk-UA"/>
              </w:rPr>
              <w:t>18</w:t>
            </w:r>
          </w:p>
        </w:tc>
        <w:tc>
          <w:tcPr>
            <w:tcW w:w="2520" w:type="dxa"/>
            <w:gridSpan w:val="2"/>
          </w:tcPr>
          <w:p w:rsidR="00206DC1" w:rsidRPr="00C062DA" w:rsidRDefault="00B627E9" w:rsidP="00744202">
            <w:pPr>
              <w:pStyle w:val="rvps2"/>
            </w:pPr>
            <w:r>
              <w:rPr>
                <w:rStyle w:val="rvts0"/>
              </w:rPr>
              <w:t>Ліцензіат</w:t>
            </w:r>
            <w:r w:rsidR="00206DC1" w:rsidRPr="00C062DA">
              <w:rPr>
                <w:rStyle w:val="rvts0"/>
              </w:rPr>
              <w:t xml:space="preserve"> з дати виникнення змін у процесі здійснення професійної діяльності на фондовому ринку - діяльності з </w:t>
            </w:r>
            <w:r w:rsidR="00206DC1" w:rsidRPr="00C062DA">
              <w:rPr>
                <w:rStyle w:val="rvts0"/>
              </w:rPr>
              <w:lastRenderedPageBreak/>
              <w:t>організації торгівлі протягом двадцяти робочих днів повід</w:t>
            </w:r>
            <w:r>
              <w:rPr>
                <w:rStyle w:val="rvts0"/>
              </w:rPr>
              <w:t>омив</w:t>
            </w:r>
            <w:r w:rsidR="00206DC1" w:rsidRPr="00C062DA">
              <w:rPr>
                <w:rStyle w:val="rvts0"/>
              </w:rPr>
              <w:t xml:space="preserve"> Комісію (із зазначенням департаменту регулювання діяльності торговців цінними паперами та фондових бірж), а саме надано  інформацію, яка підтверджує зазначені зміни за змістом та формою, визначеною підпунктами 1-14 пункту 7 розділу ІІІ Ліцензійних умов </w:t>
            </w:r>
            <w:r w:rsidR="00FE5EA8" w:rsidRPr="00FE5EA8">
              <w:rPr>
                <w:rStyle w:val="rvts0"/>
              </w:rPr>
              <w:t xml:space="preserve">             </w:t>
            </w:r>
            <w:r w:rsidR="00FE5EA8">
              <w:rPr>
                <w:rStyle w:val="rvts0"/>
              </w:rPr>
              <w:t xml:space="preserve"> №</w:t>
            </w:r>
            <w:r w:rsidR="00206DC1" w:rsidRPr="00C062DA">
              <w:rPr>
                <w:rStyle w:val="rvts0"/>
              </w:rPr>
              <w:t>818</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Пункт 7 розділу ІІІ Ліцензійних умов № 818</w:t>
            </w:r>
          </w:p>
        </w:tc>
      </w:tr>
      <w:tr w:rsidR="00206DC1" w:rsidRPr="008B6049" w:rsidTr="00523BD3">
        <w:trPr>
          <w:trHeight w:val="586"/>
        </w:trPr>
        <w:tc>
          <w:tcPr>
            <w:tcW w:w="720" w:type="dxa"/>
            <w:gridSpan w:val="2"/>
          </w:tcPr>
          <w:p w:rsidR="00206DC1" w:rsidRPr="00C062DA" w:rsidRDefault="008F0A6B" w:rsidP="006C1FC3">
            <w:pPr>
              <w:pStyle w:val="NoSpacing"/>
              <w:jc w:val="both"/>
              <w:rPr>
                <w:rFonts w:ascii="Times New Roman" w:hAnsi="Times New Roman"/>
                <w:sz w:val="24"/>
                <w:szCs w:val="24"/>
                <w:lang w:val="uk-UA"/>
              </w:rPr>
            </w:pPr>
            <w:r>
              <w:rPr>
                <w:rFonts w:ascii="Times New Roman" w:hAnsi="Times New Roman"/>
                <w:sz w:val="24"/>
                <w:szCs w:val="24"/>
                <w:lang w:val="uk-UA"/>
              </w:rPr>
              <w:t>19</w:t>
            </w:r>
          </w:p>
        </w:tc>
        <w:tc>
          <w:tcPr>
            <w:tcW w:w="2520" w:type="dxa"/>
            <w:gridSpan w:val="2"/>
          </w:tcPr>
          <w:p w:rsidR="00206DC1" w:rsidRPr="00C062DA" w:rsidRDefault="00206DC1" w:rsidP="00744202">
            <w:pPr>
              <w:pStyle w:val="rvps2"/>
              <w:rPr>
                <w:rStyle w:val="rvts0"/>
              </w:rPr>
            </w:pPr>
            <w:r w:rsidRPr="00C062DA">
              <w:rPr>
                <w:rStyle w:val="rvts0"/>
              </w:rPr>
              <w:t>Ліцензіат  повідомив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r w:rsidR="00883C06">
              <w:rPr>
                <w:rStyle w:val="rvts0"/>
              </w:rPr>
              <w:t>.</w:t>
            </w:r>
          </w:p>
        </w:tc>
        <w:tc>
          <w:tcPr>
            <w:tcW w:w="1895" w:type="dxa"/>
            <w:gridSpan w:val="2"/>
          </w:tcPr>
          <w:p w:rsidR="00206DC1" w:rsidRPr="00C062DA" w:rsidRDefault="00206DC1" w:rsidP="00D95871">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D95871">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D95871">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Абзац перший пункту 8 розділу ІІІ Ліцензійних умов № 818</w:t>
            </w:r>
          </w:p>
        </w:tc>
      </w:tr>
      <w:tr w:rsidR="00206DC1" w:rsidRPr="008B6049" w:rsidTr="00523BD3">
        <w:trPr>
          <w:trHeight w:val="895"/>
        </w:trPr>
        <w:tc>
          <w:tcPr>
            <w:tcW w:w="720" w:type="dxa"/>
            <w:gridSpan w:val="2"/>
          </w:tcPr>
          <w:p w:rsidR="00206DC1" w:rsidRPr="003930F8" w:rsidRDefault="008F0A6B"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w:t>
            </w:r>
          </w:p>
        </w:tc>
        <w:tc>
          <w:tcPr>
            <w:tcW w:w="2520" w:type="dxa"/>
            <w:gridSpan w:val="2"/>
          </w:tcPr>
          <w:p w:rsidR="00206DC1" w:rsidRPr="00C062DA" w:rsidRDefault="00206DC1" w:rsidP="00744202">
            <w:pPr>
              <w:pStyle w:val="rvps2"/>
              <w:rPr>
                <w:rStyle w:val="rvts0"/>
              </w:rPr>
            </w:pPr>
            <w:r w:rsidRPr="00C062DA">
              <w:rPr>
                <w:rStyle w:val="rvts0"/>
              </w:rPr>
              <w:t>Ліцензіат повідомив Комісію протягом п’ятнадцяти робочих днів з дати виникнення таких обставин:</w:t>
            </w:r>
            <w:r w:rsidRPr="00C062DA">
              <w:t xml:space="preserve"> </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730C86" w:rsidP="002C4236">
            <w:pPr>
              <w:rPr>
                <w:bCs/>
                <w:lang w:val="uk-UA"/>
              </w:rPr>
            </w:pPr>
            <w:r>
              <w:rPr>
                <w:bCs/>
                <w:lang w:val="uk-UA"/>
              </w:rPr>
              <w:t>Абзац другий</w:t>
            </w:r>
            <w:r w:rsidR="00206DC1" w:rsidRPr="00C062DA">
              <w:rPr>
                <w:bCs/>
                <w:lang w:val="uk-UA"/>
              </w:rPr>
              <w:t xml:space="preserve"> пункту 8 розділу ІІІ Ліцензійних умов № 818</w:t>
            </w:r>
          </w:p>
        </w:tc>
      </w:tr>
      <w:tr w:rsidR="00285805" w:rsidRPr="008B6049" w:rsidTr="00523BD3">
        <w:trPr>
          <w:trHeight w:val="442"/>
        </w:trPr>
        <w:tc>
          <w:tcPr>
            <w:tcW w:w="720" w:type="dxa"/>
            <w:gridSpan w:val="2"/>
          </w:tcPr>
          <w:p w:rsidR="00285805" w:rsidRPr="003930F8" w:rsidRDefault="00730C86" w:rsidP="006C1FC3">
            <w:pPr>
              <w:pStyle w:val="NoSpacing"/>
              <w:jc w:val="both"/>
              <w:rPr>
                <w:rFonts w:ascii="Times New Roman" w:hAnsi="Times New Roman"/>
                <w:sz w:val="24"/>
                <w:szCs w:val="24"/>
                <w:lang w:val="uk-UA"/>
              </w:rPr>
            </w:pPr>
            <w:r w:rsidRPr="003930F8">
              <w:rPr>
                <w:rFonts w:ascii="Times New Roman" w:hAnsi="Times New Roman"/>
                <w:sz w:val="24"/>
                <w:szCs w:val="24"/>
                <w:lang w:val="en-US"/>
              </w:rPr>
              <w:t>20</w:t>
            </w:r>
            <w:r w:rsidRPr="003930F8">
              <w:rPr>
                <w:rFonts w:ascii="Times New Roman" w:hAnsi="Times New Roman"/>
                <w:sz w:val="24"/>
                <w:szCs w:val="24"/>
                <w:lang w:val="uk-UA"/>
              </w:rPr>
              <w:t>.1</w:t>
            </w:r>
          </w:p>
        </w:tc>
        <w:tc>
          <w:tcPr>
            <w:tcW w:w="2520" w:type="dxa"/>
            <w:gridSpan w:val="2"/>
          </w:tcPr>
          <w:p w:rsidR="00285805" w:rsidRPr="00C062DA" w:rsidRDefault="00730C86" w:rsidP="00744202">
            <w:pPr>
              <w:pStyle w:val="rvps2"/>
              <w:rPr>
                <w:rStyle w:val="rvts0"/>
              </w:rPr>
            </w:pPr>
            <w:r w:rsidRPr="00C062DA">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24" w:name="n187"/>
            <w:bookmarkStart w:id="25" w:name="n108"/>
            <w:bookmarkEnd w:id="24"/>
            <w:bookmarkEnd w:id="25"/>
            <w:r w:rsidRPr="00C062DA">
              <w:t xml:space="preserve"> </w:t>
            </w:r>
          </w:p>
        </w:tc>
        <w:tc>
          <w:tcPr>
            <w:tcW w:w="1895" w:type="dxa"/>
            <w:gridSpan w:val="2"/>
          </w:tcPr>
          <w:p w:rsidR="00730C86" w:rsidRPr="00C062DA" w:rsidRDefault="00730C86" w:rsidP="00730C86">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730C86" w:rsidRPr="00C062DA" w:rsidRDefault="00730C86" w:rsidP="00730C86">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730C86" w:rsidP="00730C86">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800" w:type="dxa"/>
          </w:tcPr>
          <w:p w:rsidR="00285805" w:rsidRPr="00C062DA" w:rsidRDefault="003930F8" w:rsidP="002C4236">
            <w:pPr>
              <w:rPr>
                <w:bCs/>
                <w:lang w:val="uk-UA"/>
              </w:rPr>
            </w:pPr>
            <w:r>
              <w:rPr>
                <w:bCs/>
                <w:lang w:val="uk-UA"/>
              </w:rPr>
              <w:t>Абзац третій</w:t>
            </w:r>
            <w:r w:rsidRPr="00C062DA">
              <w:rPr>
                <w:bCs/>
                <w:lang w:val="uk-UA"/>
              </w:rPr>
              <w:t xml:space="preserve"> пункту 8 розділу ІІІ Ліцензійних умов № 818</w:t>
            </w:r>
          </w:p>
        </w:tc>
      </w:tr>
      <w:tr w:rsidR="00285805" w:rsidRPr="008B6049" w:rsidTr="00523BD3">
        <w:trPr>
          <w:trHeight w:val="442"/>
        </w:trPr>
        <w:tc>
          <w:tcPr>
            <w:tcW w:w="720" w:type="dxa"/>
            <w:gridSpan w:val="2"/>
          </w:tcPr>
          <w:p w:rsidR="00285805" w:rsidRPr="003930F8" w:rsidRDefault="003930F8"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20.2</w:t>
            </w:r>
          </w:p>
        </w:tc>
        <w:tc>
          <w:tcPr>
            <w:tcW w:w="2520" w:type="dxa"/>
            <w:gridSpan w:val="2"/>
          </w:tcPr>
          <w:p w:rsidR="00285805" w:rsidRPr="00C062DA" w:rsidRDefault="003930F8" w:rsidP="00744202">
            <w:pPr>
              <w:pStyle w:val="rvps2"/>
              <w:rPr>
                <w:rStyle w:val="rvts0"/>
              </w:rPr>
            </w:pPr>
            <w:r w:rsidRPr="00C062DA">
              <w:t xml:space="preserve">арешт банківських рахунків організатора торгівлі; </w:t>
            </w:r>
            <w:bookmarkStart w:id="26" w:name="n109"/>
            <w:bookmarkEnd w:id="26"/>
          </w:p>
        </w:tc>
        <w:tc>
          <w:tcPr>
            <w:tcW w:w="1895" w:type="dxa"/>
            <w:gridSpan w:val="2"/>
          </w:tcPr>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800" w:type="dxa"/>
          </w:tcPr>
          <w:p w:rsidR="00285805" w:rsidRPr="00C062DA" w:rsidRDefault="003930F8" w:rsidP="002C4236">
            <w:pPr>
              <w:rPr>
                <w:bCs/>
                <w:lang w:val="uk-UA"/>
              </w:rPr>
            </w:pPr>
            <w:r>
              <w:rPr>
                <w:bCs/>
                <w:lang w:val="uk-UA"/>
              </w:rPr>
              <w:t>Абзац четвертий</w:t>
            </w:r>
            <w:r w:rsidRPr="00C062DA">
              <w:rPr>
                <w:bCs/>
                <w:lang w:val="uk-UA"/>
              </w:rPr>
              <w:t xml:space="preserve"> пункту 8 </w:t>
            </w:r>
            <w:r w:rsidRPr="00C062DA">
              <w:rPr>
                <w:bCs/>
                <w:lang w:val="uk-UA"/>
              </w:rPr>
              <w:lastRenderedPageBreak/>
              <w:t>розділу ІІІ Ліцензійних умов № 818</w:t>
            </w:r>
          </w:p>
        </w:tc>
      </w:tr>
      <w:tr w:rsidR="00285805" w:rsidRPr="008B6049" w:rsidTr="00523BD3">
        <w:trPr>
          <w:trHeight w:val="442"/>
        </w:trPr>
        <w:tc>
          <w:tcPr>
            <w:tcW w:w="720" w:type="dxa"/>
            <w:gridSpan w:val="2"/>
          </w:tcPr>
          <w:p w:rsidR="00285805" w:rsidRPr="003930F8" w:rsidRDefault="003930F8"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lastRenderedPageBreak/>
              <w:t>20.3</w:t>
            </w:r>
          </w:p>
        </w:tc>
        <w:tc>
          <w:tcPr>
            <w:tcW w:w="2520" w:type="dxa"/>
            <w:gridSpan w:val="2"/>
          </w:tcPr>
          <w:p w:rsidR="00285805" w:rsidRPr="00C062DA" w:rsidRDefault="003930F8" w:rsidP="00744202">
            <w:pPr>
              <w:pStyle w:val="rvps2"/>
              <w:rPr>
                <w:rStyle w:val="rvts0"/>
              </w:rPr>
            </w:pPr>
            <w:r w:rsidRPr="00C062DA">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bookmarkStart w:id="27" w:name="n110"/>
            <w:bookmarkEnd w:id="27"/>
            <w:r w:rsidRPr="00C062DA">
              <w:t xml:space="preserve"> </w:t>
            </w:r>
          </w:p>
        </w:tc>
        <w:tc>
          <w:tcPr>
            <w:tcW w:w="1895" w:type="dxa"/>
            <w:gridSpan w:val="2"/>
          </w:tcPr>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800" w:type="dxa"/>
          </w:tcPr>
          <w:p w:rsidR="00285805" w:rsidRPr="00C062DA" w:rsidRDefault="003930F8" w:rsidP="002C4236">
            <w:pPr>
              <w:rPr>
                <w:bCs/>
                <w:lang w:val="uk-UA"/>
              </w:rPr>
            </w:pPr>
            <w:r>
              <w:rPr>
                <w:bCs/>
                <w:lang w:val="uk-UA"/>
              </w:rPr>
              <w:t xml:space="preserve">Абзац п’ятий </w:t>
            </w:r>
            <w:r w:rsidRPr="00C062DA">
              <w:rPr>
                <w:bCs/>
                <w:lang w:val="uk-UA"/>
              </w:rPr>
              <w:t xml:space="preserve"> пункту 8 розділу ІІІ Ліцензійних умов № 818</w:t>
            </w:r>
          </w:p>
        </w:tc>
      </w:tr>
      <w:tr w:rsidR="00285805" w:rsidRPr="008B6049" w:rsidTr="00523BD3">
        <w:trPr>
          <w:trHeight w:val="432"/>
        </w:trPr>
        <w:tc>
          <w:tcPr>
            <w:tcW w:w="720" w:type="dxa"/>
            <w:gridSpan w:val="2"/>
          </w:tcPr>
          <w:p w:rsidR="00285805" w:rsidRPr="003930F8" w:rsidRDefault="003930F8"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20.4</w:t>
            </w:r>
          </w:p>
        </w:tc>
        <w:tc>
          <w:tcPr>
            <w:tcW w:w="2520" w:type="dxa"/>
            <w:gridSpan w:val="2"/>
          </w:tcPr>
          <w:p w:rsidR="00285805" w:rsidRPr="00C062DA" w:rsidRDefault="003930F8" w:rsidP="00744202">
            <w:pPr>
              <w:pStyle w:val="rvps2"/>
              <w:rPr>
                <w:rStyle w:val="rvts0"/>
              </w:rPr>
            </w:pPr>
            <w:r w:rsidRPr="00C062DA">
              <w:t>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r w:rsidR="00883C06">
              <w:t>.</w:t>
            </w:r>
          </w:p>
        </w:tc>
        <w:tc>
          <w:tcPr>
            <w:tcW w:w="1895" w:type="dxa"/>
            <w:gridSpan w:val="2"/>
          </w:tcPr>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800" w:type="dxa"/>
          </w:tcPr>
          <w:p w:rsidR="00285805" w:rsidRPr="00C062DA" w:rsidRDefault="003930F8" w:rsidP="002C4236">
            <w:pPr>
              <w:rPr>
                <w:bCs/>
                <w:lang w:val="uk-UA"/>
              </w:rPr>
            </w:pPr>
            <w:r>
              <w:rPr>
                <w:bCs/>
                <w:lang w:val="uk-UA"/>
              </w:rPr>
              <w:t>Абзац шостий</w:t>
            </w:r>
            <w:r w:rsidRPr="00C062DA">
              <w:rPr>
                <w:bCs/>
                <w:lang w:val="uk-UA"/>
              </w:rPr>
              <w:t xml:space="preserve"> пункту 8 розділу ІІІ Ліцензійних умов № 818</w:t>
            </w:r>
          </w:p>
        </w:tc>
      </w:tr>
      <w:tr w:rsidR="00206DC1" w:rsidRPr="008B6049" w:rsidTr="00523BD3">
        <w:tc>
          <w:tcPr>
            <w:tcW w:w="720" w:type="dxa"/>
            <w:gridSpan w:val="2"/>
          </w:tcPr>
          <w:p w:rsidR="00206DC1" w:rsidRPr="00C062DA" w:rsidRDefault="003930F8" w:rsidP="006C1FC3">
            <w:pPr>
              <w:pStyle w:val="NoSpacing"/>
              <w:jc w:val="both"/>
              <w:rPr>
                <w:rFonts w:ascii="Times New Roman" w:hAnsi="Times New Roman"/>
                <w:sz w:val="24"/>
                <w:szCs w:val="24"/>
                <w:lang w:val="uk-UA"/>
              </w:rPr>
            </w:pPr>
            <w:r>
              <w:rPr>
                <w:rFonts w:ascii="Times New Roman" w:hAnsi="Times New Roman"/>
                <w:sz w:val="24"/>
                <w:szCs w:val="24"/>
                <w:lang w:val="uk-UA"/>
              </w:rPr>
              <w:t>21</w:t>
            </w:r>
          </w:p>
        </w:tc>
        <w:tc>
          <w:tcPr>
            <w:tcW w:w="2520" w:type="dxa"/>
            <w:gridSpan w:val="2"/>
          </w:tcPr>
          <w:p w:rsidR="00206DC1" w:rsidRPr="00C062DA" w:rsidRDefault="00206DC1" w:rsidP="00F565A8">
            <w:pPr>
              <w:pStyle w:val="rvps2"/>
              <w:rPr>
                <w:rStyle w:val="rvts0"/>
              </w:rPr>
            </w:pPr>
            <w:r w:rsidRPr="00C062DA">
              <w:rPr>
                <w:rStyle w:val="rvts0"/>
              </w:rPr>
              <w:t>Фондова біржа щокварталу до 25-го числа місяця, що настає за звітним кварталом (крім IV кварталу) (за підсумками року - до 01 травня на</w:t>
            </w:r>
            <w:r w:rsidR="00B627E9">
              <w:rPr>
                <w:rStyle w:val="rvts0"/>
              </w:rPr>
              <w:t>ступного за звітним року), подала</w:t>
            </w:r>
            <w:r w:rsidRPr="00C062DA">
              <w:rPr>
                <w:rStyle w:val="rvts0"/>
              </w:rPr>
              <w:t xml:space="preserve"> до Комісії (із зазначенням структурного 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w:t>
            </w:r>
            <w:r w:rsidRPr="00C062DA">
              <w:rPr>
                <w:rStyle w:val="rvts0"/>
              </w:rPr>
              <w:lastRenderedPageBreak/>
              <w:t>фінансових інвестицій за звітний квартал (рік), підписану керівником і головним бухгалтером, та копію фінансової звітності за звітний квартал (рік)</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Абзац перший пункту 9 розділу ІІІ Ліцензійних умов № 818</w:t>
            </w:r>
          </w:p>
        </w:tc>
      </w:tr>
      <w:tr w:rsidR="00206DC1" w:rsidRPr="008B6049" w:rsidTr="00523BD3">
        <w:tc>
          <w:tcPr>
            <w:tcW w:w="720" w:type="dxa"/>
            <w:gridSpan w:val="2"/>
          </w:tcPr>
          <w:p w:rsidR="00206DC1" w:rsidRPr="00310318" w:rsidRDefault="003930F8" w:rsidP="006C1FC3">
            <w:pPr>
              <w:pStyle w:val="NoSpacing"/>
              <w:jc w:val="both"/>
              <w:rPr>
                <w:rFonts w:ascii="Times New Roman" w:hAnsi="Times New Roman"/>
                <w:sz w:val="24"/>
                <w:szCs w:val="24"/>
                <w:lang w:val="uk-UA"/>
              </w:rPr>
            </w:pPr>
            <w:r w:rsidRPr="00310318">
              <w:rPr>
                <w:rFonts w:ascii="Times New Roman" w:hAnsi="Times New Roman"/>
                <w:sz w:val="24"/>
                <w:szCs w:val="24"/>
                <w:lang w:val="uk-UA"/>
              </w:rPr>
              <w:t>21</w:t>
            </w:r>
            <w:r w:rsidR="00206DC1" w:rsidRPr="00310318">
              <w:rPr>
                <w:rFonts w:ascii="Times New Roman" w:hAnsi="Times New Roman"/>
                <w:sz w:val="24"/>
                <w:szCs w:val="24"/>
                <w:lang w:val="uk-UA"/>
              </w:rPr>
              <w:t>.1</w:t>
            </w:r>
          </w:p>
        </w:tc>
        <w:tc>
          <w:tcPr>
            <w:tcW w:w="2520" w:type="dxa"/>
            <w:gridSpan w:val="2"/>
          </w:tcPr>
          <w:p w:rsidR="00206DC1" w:rsidRPr="00C062DA" w:rsidRDefault="00206DC1" w:rsidP="00F565A8">
            <w:pPr>
              <w:pStyle w:val="rvps2"/>
              <w:rPr>
                <w:rStyle w:val="rvts0"/>
              </w:rPr>
            </w:pPr>
            <w:r w:rsidRPr="00C062DA">
              <w:rPr>
                <w:rStyle w:val="rvts0"/>
              </w:rPr>
              <w:t xml:space="preserve">Копія фінансової звітності за квартал (рік) містить копії: </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310318" w:rsidP="002C4236">
            <w:pPr>
              <w:rPr>
                <w:bCs/>
                <w:lang w:val="uk-UA"/>
              </w:rPr>
            </w:pPr>
            <w:r>
              <w:rPr>
                <w:bCs/>
                <w:lang w:val="uk-UA"/>
              </w:rPr>
              <w:t>Абзац</w:t>
            </w:r>
            <w:r w:rsidR="00206DC1" w:rsidRPr="00C062DA">
              <w:rPr>
                <w:bCs/>
                <w:lang w:val="uk-UA"/>
              </w:rPr>
              <w:t xml:space="preserve"> другий пункту 9 розділу ІІІ Ліцензійних умов № 818</w:t>
            </w:r>
          </w:p>
        </w:tc>
      </w:tr>
      <w:tr w:rsidR="003930F8" w:rsidRPr="008B6049" w:rsidTr="00523BD3">
        <w:tc>
          <w:tcPr>
            <w:tcW w:w="720" w:type="dxa"/>
            <w:gridSpan w:val="2"/>
          </w:tcPr>
          <w:p w:rsidR="003930F8" w:rsidRPr="00310318" w:rsidRDefault="003930F8" w:rsidP="003930F8">
            <w:pPr>
              <w:pStyle w:val="NoSpacing"/>
              <w:ind w:left="-85" w:right="-85"/>
              <w:jc w:val="both"/>
              <w:rPr>
                <w:rFonts w:ascii="Times New Roman" w:hAnsi="Times New Roman"/>
                <w:sz w:val="24"/>
                <w:szCs w:val="24"/>
                <w:lang w:val="uk-UA"/>
              </w:rPr>
            </w:pPr>
            <w:r w:rsidRPr="00310318">
              <w:rPr>
                <w:rFonts w:ascii="Times New Roman" w:hAnsi="Times New Roman"/>
                <w:sz w:val="24"/>
                <w:szCs w:val="24"/>
                <w:lang w:val="uk-UA"/>
              </w:rPr>
              <w:t>21.1.1</w:t>
            </w:r>
          </w:p>
        </w:tc>
        <w:tc>
          <w:tcPr>
            <w:tcW w:w="2520" w:type="dxa"/>
            <w:gridSpan w:val="2"/>
          </w:tcPr>
          <w:p w:rsidR="003930F8" w:rsidRPr="00C062DA" w:rsidRDefault="003930F8" w:rsidP="003930F8">
            <w:pPr>
              <w:pStyle w:val="rvps2"/>
              <w:rPr>
                <w:rStyle w:val="rvts0"/>
              </w:rPr>
            </w:pPr>
            <w:r w:rsidRPr="00C062DA">
              <w:rPr>
                <w:rStyle w:val="rvts0"/>
              </w:rPr>
              <w:t xml:space="preserve">звіту про фінансовий стан на кінець періоду; </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80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930F8" w:rsidRPr="008B6049" w:rsidTr="00523BD3">
        <w:tc>
          <w:tcPr>
            <w:tcW w:w="720" w:type="dxa"/>
            <w:gridSpan w:val="2"/>
          </w:tcPr>
          <w:p w:rsidR="003930F8" w:rsidRPr="00310318" w:rsidRDefault="00310318" w:rsidP="00310318">
            <w:pPr>
              <w:pStyle w:val="NoSpacing"/>
              <w:ind w:left="-85"/>
              <w:jc w:val="both"/>
              <w:rPr>
                <w:rFonts w:ascii="Times New Roman" w:hAnsi="Times New Roman"/>
                <w:sz w:val="24"/>
                <w:szCs w:val="24"/>
                <w:lang w:val="uk-UA"/>
              </w:rPr>
            </w:pPr>
            <w:r w:rsidRPr="00310318">
              <w:rPr>
                <w:rFonts w:ascii="Times New Roman" w:hAnsi="Times New Roman"/>
                <w:sz w:val="24"/>
                <w:szCs w:val="24"/>
                <w:lang w:val="uk-UA"/>
              </w:rPr>
              <w:t>21.1.2</w:t>
            </w:r>
          </w:p>
        </w:tc>
        <w:tc>
          <w:tcPr>
            <w:tcW w:w="2520" w:type="dxa"/>
            <w:gridSpan w:val="2"/>
          </w:tcPr>
          <w:p w:rsidR="003930F8" w:rsidRPr="00C062DA" w:rsidRDefault="00310318" w:rsidP="00310318">
            <w:pPr>
              <w:pStyle w:val="rvps2"/>
              <w:rPr>
                <w:rStyle w:val="rvts0"/>
              </w:rPr>
            </w:pPr>
            <w:r w:rsidRPr="00C062DA">
              <w:rPr>
                <w:rStyle w:val="rvts0"/>
              </w:rPr>
              <w:t xml:space="preserve">звіту про сукупні доходи за період; звіту про зміни у власному капіталі за період; </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80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930F8" w:rsidRPr="008B6049" w:rsidTr="00523BD3">
        <w:tc>
          <w:tcPr>
            <w:tcW w:w="720" w:type="dxa"/>
            <w:gridSpan w:val="2"/>
          </w:tcPr>
          <w:p w:rsidR="003930F8" w:rsidRPr="00310318" w:rsidRDefault="00310318" w:rsidP="00310318">
            <w:pPr>
              <w:pStyle w:val="NoSpacing"/>
              <w:ind w:left="-85" w:right="-85"/>
              <w:jc w:val="both"/>
              <w:rPr>
                <w:rFonts w:ascii="Times New Roman" w:hAnsi="Times New Roman"/>
                <w:sz w:val="24"/>
                <w:szCs w:val="24"/>
                <w:lang w:val="uk-UA"/>
              </w:rPr>
            </w:pPr>
            <w:r w:rsidRPr="00310318">
              <w:rPr>
                <w:rFonts w:ascii="Times New Roman" w:hAnsi="Times New Roman"/>
                <w:sz w:val="24"/>
                <w:szCs w:val="24"/>
                <w:lang w:val="uk-UA"/>
              </w:rPr>
              <w:t>21.1.3</w:t>
            </w:r>
          </w:p>
        </w:tc>
        <w:tc>
          <w:tcPr>
            <w:tcW w:w="2520" w:type="dxa"/>
            <w:gridSpan w:val="2"/>
          </w:tcPr>
          <w:p w:rsidR="003930F8" w:rsidRPr="00C062DA" w:rsidRDefault="00310318" w:rsidP="00310318">
            <w:pPr>
              <w:pStyle w:val="rvps2"/>
              <w:rPr>
                <w:rStyle w:val="rvts0"/>
              </w:rPr>
            </w:pPr>
            <w:r w:rsidRPr="00C062DA">
              <w:rPr>
                <w:rStyle w:val="rvts0"/>
              </w:rPr>
              <w:t xml:space="preserve">звіту про рух грошових коштів за період; </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80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930F8" w:rsidRPr="008B6049" w:rsidTr="00523BD3">
        <w:tc>
          <w:tcPr>
            <w:tcW w:w="720" w:type="dxa"/>
            <w:gridSpan w:val="2"/>
          </w:tcPr>
          <w:p w:rsidR="003930F8" w:rsidRPr="00310318" w:rsidRDefault="00310318" w:rsidP="00310318">
            <w:pPr>
              <w:pStyle w:val="NoSpacing"/>
              <w:ind w:left="-85" w:right="-85"/>
              <w:jc w:val="both"/>
              <w:rPr>
                <w:rFonts w:ascii="Times New Roman" w:hAnsi="Times New Roman"/>
                <w:sz w:val="24"/>
                <w:szCs w:val="24"/>
                <w:lang w:val="uk-UA"/>
              </w:rPr>
            </w:pPr>
            <w:r w:rsidRPr="00310318">
              <w:rPr>
                <w:rFonts w:ascii="Times New Roman" w:hAnsi="Times New Roman"/>
                <w:sz w:val="24"/>
                <w:szCs w:val="24"/>
                <w:lang w:val="uk-UA"/>
              </w:rPr>
              <w:t>21.1.4</w:t>
            </w:r>
          </w:p>
        </w:tc>
        <w:tc>
          <w:tcPr>
            <w:tcW w:w="2520" w:type="dxa"/>
            <w:gridSpan w:val="2"/>
          </w:tcPr>
          <w:p w:rsidR="003930F8" w:rsidRPr="00C062DA" w:rsidRDefault="00310318" w:rsidP="00310318">
            <w:pPr>
              <w:pStyle w:val="rvps2"/>
              <w:rPr>
                <w:rStyle w:val="rvts0"/>
              </w:rPr>
            </w:pPr>
            <w:r w:rsidRPr="00C062DA">
              <w:rPr>
                <w:rStyle w:val="rvts0"/>
              </w:rPr>
              <w:t>приміток, що містять стислий виклад суттєвих облікових політик та інші пояснення</w:t>
            </w:r>
            <w:r>
              <w:rPr>
                <w:rStyle w:val="rvts0"/>
              </w:rPr>
              <w:t>.</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80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10318" w:rsidRPr="008B6049" w:rsidTr="00523BD3">
        <w:tc>
          <w:tcPr>
            <w:tcW w:w="720" w:type="dxa"/>
            <w:gridSpan w:val="2"/>
          </w:tcPr>
          <w:p w:rsidR="00310318" w:rsidRPr="00310318" w:rsidRDefault="00310318" w:rsidP="006C1FC3">
            <w:pPr>
              <w:pStyle w:val="NoSpacing"/>
              <w:jc w:val="both"/>
              <w:rPr>
                <w:rFonts w:ascii="Times New Roman" w:hAnsi="Times New Roman"/>
                <w:sz w:val="24"/>
                <w:szCs w:val="24"/>
                <w:lang w:val="uk-UA"/>
              </w:rPr>
            </w:pPr>
            <w:r w:rsidRPr="00310318">
              <w:rPr>
                <w:rFonts w:ascii="Times New Roman" w:hAnsi="Times New Roman"/>
                <w:sz w:val="24"/>
                <w:szCs w:val="24"/>
                <w:lang w:val="uk-UA"/>
              </w:rPr>
              <w:t>21.2</w:t>
            </w:r>
          </w:p>
        </w:tc>
        <w:tc>
          <w:tcPr>
            <w:tcW w:w="2520" w:type="dxa"/>
            <w:gridSpan w:val="2"/>
          </w:tcPr>
          <w:p w:rsidR="00310318" w:rsidRPr="00C062DA" w:rsidRDefault="00310318" w:rsidP="00310318">
            <w:pPr>
              <w:pStyle w:val="rvps2"/>
              <w:rPr>
                <w:rStyle w:val="rvts0"/>
              </w:rPr>
            </w:pPr>
            <w:r w:rsidRPr="00C062DA">
              <w:rPr>
                <w:rStyle w:val="rvts0"/>
              </w:rPr>
              <w:t>Зазначена інформація оприлюднена у цілодобовому режимі на власному веб-сайті за кожний звітний період та перебуває на ньому протягом п’яти років з дати її оприлюднення</w:t>
            </w:r>
            <w:r>
              <w:rPr>
                <w:rStyle w:val="rvts0"/>
              </w:rPr>
              <w:t>.</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72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1800" w:type="dxa"/>
          </w:tcPr>
          <w:p w:rsidR="00310318" w:rsidRPr="00C062DA" w:rsidRDefault="00310318" w:rsidP="002C4236">
            <w:pPr>
              <w:rPr>
                <w:bCs/>
                <w:lang w:val="uk-UA"/>
              </w:rPr>
            </w:pPr>
            <w:r>
              <w:rPr>
                <w:bCs/>
                <w:lang w:val="uk-UA"/>
              </w:rPr>
              <w:t>Абзац</w:t>
            </w:r>
            <w:r w:rsidRPr="00C062DA">
              <w:rPr>
                <w:bCs/>
                <w:lang w:val="uk-UA"/>
              </w:rPr>
              <w:t xml:space="preserve"> </w:t>
            </w:r>
            <w:r>
              <w:rPr>
                <w:bCs/>
                <w:lang w:val="uk-UA"/>
              </w:rPr>
              <w:t>третій</w:t>
            </w:r>
            <w:r w:rsidRPr="00C062DA">
              <w:rPr>
                <w:bCs/>
                <w:lang w:val="uk-UA"/>
              </w:rPr>
              <w:t xml:space="preserve"> пункту 9 розділу ІІІ Ліцензійних умов № 818</w:t>
            </w:r>
          </w:p>
        </w:tc>
      </w:tr>
      <w:tr w:rsidR="00206DC1" w:rsidRPr="008B6049" w:rsidTr="00523BD3">
        <w:tc>
          <w:tcPr>
            <w:tcW w:w="720" w:type="dxa"/>
            <w:gridSpan w:val="2"/>
          </w:tcPr>
          <w:p w:rsidR="00206DC1" w:rsidRPr="00C062DA" w:rsidRDefault="00310318" w:rsidP="006C1FC3">
            <w:pPr>
              <w:pStyle w:val="NoSpacing"/>
              <w:jc w:val="both"/>
              <w:rPr>
                <w:rFonts w:ascii="Times New Roman" w:hAnsi="Times New Roman"/>
                <w:sz w:val="24"/>
                <w:szCs w:val="24"/>
                <w:lang w:val="uk-UA"/>
              </w:rPr>
            </w:pPr>
            <w:r>
              <w:rPr>
                <w:rFonts w:ascii="Times New Roman" w:hAnsi="Times New Roman"/>
                <w:sz w:val="24"/>
                <w:szCs w:val="24"/>
                <w:lang w:val="uk-UA"/>
              </w:rPr>
              <w:t>22</w:t>
            </w:r>
          </w:p>
        </w:tc>
        <w:tc>
          <w:tcPr>
            <w:tcW w:w="2520" w:type="dxa"/>
            <w:gridSpan w:val="2"/>
          </w:tcPr>
          <w:p w:rsidR="00206DC1" w:rsidRPr="00C062DA" w:rsidRDefault="00206DC1" w:rsidP="00F565A8">
            <w:pPr>
              <w:pStyle w:val="rvps2"/>
              <w:rPr>
                <w:rStyle w:val="rvts0"/>
              </w:rPr>
            </w:pPr>
            <w:r w:rsidRPr="00C062DA">
              <w:t>Ліц</w:t>
            </w:r>
            <w:r w:rsidR="00E861C9">
              <w:t>ензіат щороку до 01 квітня подав</w:t>
            </w:r>
            <w:r w:rsidRPr="00C062DA">
              <w:t xml:space="preserve"> до Комісії станом на 01 січня поточного року такі документи, які додаються до заяви про видачу ліцензії:</w:t>
            </w:r>
            <w:bookmarkStart w:id="28" w:name="n191"/>
            <w:bookmarkStart w:id="29" w:name="n113"/>
            <w:bookmarkEnd w:id="28"/>
            <w:bookmarkEnd w:id="29"/>
            <w:r w:rsidRPr="00C062DA">
              <w:t xml:space="preserve"> довідку про асоційованих осіб фізичної особи - власника з істотною </w:t>
            </w:r>
            <w:r w:rsidRPr="00C062DA">
              <w:lastRenderedPageBreak/>
              <w:t>участю у заявника (ліцензіата);</w:t>
            </w:r>
            <w:bookmarkStart w:id="30" w:name="n114"/>
            <w:bookmarkEnd w:id="30"/>
            <w:r w:rsidRPr="00C062DA">
              <w:t xml:space="preserve"> довідку про юридичних осіб, у яких фізична особа - власник з істотною участю у заявника (ліцензіата) є керівником та/або контролером; </w:t>
            </w:r>
            <w:bookmarkStart w:id="31" w:name="n115"/>
            <w:bookmarkEnd w:id="31"/>
            <w:r w:rsidRPr="00C062DA">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r w:rsidR="00883C06">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Пункт 10 розділу ІІІ Ліцензійних умов № 818</w:t>
            </w:r>
          </w:p>
        </w:tc>
      </w:tr>
      <w:tr w:rsidR="00206DC1" w:rsidRPr="00C062DA" w:rsidTr="00523BD3">
        <w:tc>
          <w:tcPr>
            <w:tcW w:w="720" w:type="dxa"/>
            <w:gridSpan w:val="2"/>
          </w:tcPr>
          <w:p w:rsidR="00206DC1" w:rsidRPr="00C062DA" w:rsidRDefault="00310318" w:rsidP="006C1FC3">
            <w:pPr>
              <w:pStyle w:val="NoSpacing"/>
              <w:jc w:val="both"/>
              <w:rPr>
                <w:rFonts w:ascii="Times New Roman" w:hAnsi="Times New Roman"/>
                <w:sz w:val="24"/>
                <w:szCs w:val="24"/>
                <w:lang w:val="uk-UA"/>
              </w:rPr>
            </w:pPr>
            <w:r>
              <w:rPr>
                <w:rFonts w:ascii="Times New Roman" w:hAnsi="Times New Roman"/>
                <w:sz w:val="24"/>
                <w:szCs w:val="24"/>
                <w:lang w:val="uk-UA"/>
              </w:rPr>
              <w:t>23</w:t>
            </w:r>
          </w:p>
        </w:tc>
        <w:tc>
          <w:tcPr>
            <w:tcW w:w="2520" w:type="dxa"/>
            <w:gridSpan w:val="2"/>
          </w:tcPr>
          <w:p w:rsidR="00206DC1" w:rsidRPr="00C062DA" w:rsidRDefault="00206DC1" w:rsidP="00F565A8">
            <w:pPr>
              <w:pStyle w:val="rvps2"/>
            </w:pPr>
            <w:r w:rsidRPr="00C062DA">
              <w:rPr>
                <w:rStyle w:val="rvts0"/>
              </w:rPr>
              <w:t>Фондова біржа протягом сорока п'яти робочих днів з дати отримання ліцензії подає до Комісії списки членів постійних рад, комісій, комітетів фондової біржі</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Пункт 11 розділу ІІІ Ліцензійних умов № 818</w:t>
            </w:r>
          </w:p>
        </w:tc>
      </w:tr>
      <w:tr w:rsidR="00206DC1" w:rsidRPr="008B6049" w:rsidTr="00523BD3">
        <w:tc>
          <w:tcPr>
            <w:tcW w:w="720" w:type="dxa"/>
            <w:gridSpan w:val="2"/>
          </w:tcPr>
          <w:p w:rsidR="00206DC1" w:rsidRPr="00223792" w:rsidRDefault="00310318" w:rsidP="006C1FC3">
            <w:pPr>
              <w:pStyle w:val="NoSpacing"/>
              <w:jc w:val="both"/>
              <w:rPr>
                <w:rFonts w:ascii="Times New Roman" w:hAnsi="Times New Roman"/>
                <w:sz w:val="24"/>
                <w:szCs w:val="24"/>
                <w:lang w:val="uk-UA"/>
              </w:rPr>
            </w:pPr>
            <w:r w:rsidRPr="00223792">
              <w:rPr>
                <w:rFonts w:ascii="Times New Roman" w:hAnsi="Times New Roman"/>
                <w:sz w:val="24"/>
                <w:szCs w:val="24"/>
                <w:lang w:val="uk-UA"/>
              </w:rPr>
              <w:t>24</w:t>
            </w:r>
          </w:p>
        </w:tc>
        <w:tc>
          <w:tcPr>
            <w:tcW w:w="2520" w:type="dxa"/>
            <w:gridSpan w:val="2"/>
          </w:tcPr>
          <w:p w:rsidR="00206DC1" w:rsidRPr="00C062DA" w:rsidRDefault="00206DC1" w:rsidP="00F565A8">
            <w:pPr>
              <w:pStyle w:val="rvps2"/>
              <w:rPr>
                <w:rStyle w:val="rvts0"/>
              </w:rPr>
            </w:pPr>
            <w:r w:rsidRPr="00C062DA">
              <w:t xml:space="preserve">Фондова біржа  протягом двадцяти робочих днів з дати виникнення змін, що відбулись у процесі </w:t>
            </w:r>
            <w:r w:rsidR="00283C0C">
              <w:t>її професійної діяльності, подала</w:t>
            </w:r>
            <w:r w:rsidRPr="00C062DA">
              <w:t xml:space="preserve"> до Комісії у письмовій формі інформацію про: </w:t>
            </w:r>
            <w:bookmarkStart w:id="32" w:name="n118"/>
            <w:bookmarkEnd w:id="32"/>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23792" w:rsidP="002C4236">
            <w:pPr>
              <w:rPr>
                <w:bCs/>
                <w:lang w:val="uk-UA"/>
              </w:rPr>
            </w:pPr>
            <w:r>
              <w:rPr>
                <w:bCs/>
                <w:lang w:val="uk-UA"/>
              </w:rPr>
              <w:t>Абзац перший п</w:t>
            </w:r>
            <w:r w:rsidR="00206DC1" w:rsidRPr="00C062DA">
              <w:rPr>
                <w:bCs/>
                <w:lang w:val="uk-UA"/>
              </w:rPr>
              <w:t>ункт</w:t>
            </w:r>
            <w:r>
              <w:rPr>
                <w:bCs/>
                <w:lang w:val="uk-UA"/>
              </w:rPr>
              <w:t>у</w:t>
            </w:r>
            <w:r w:rsidR="00206DC1" w:rsidRPr="00C062DA">
              <w:rPr>
                <w:bCs/>
                <w:lang w:val="uk-UA"/>
              </w:rPr>
              <w:t xml:space="preserve"> 12 розділу ІІІ Ліцензійних умов № 818</w:t>
            </w:r>
          </w:p>
        </w:tc>
      </w:tr>
      <w:tr w:rsidR="00310318" w:rsidRPr="008B6049" w:rsidTr="00523BD3">
        <w:tc>
          <w:tcPr>
            <w:tcW w:w="720" w:type="dxa"/>
            <w:gridSpan w:val="2"/>
          </w:tcPr>
          <w:p w:rsidR="00310318" w:rsidRPr="00223792" w:rsidRDefault="00310318" w:rsidP="006C1FC3">
            <w:pPr>
              <w:pStyle w:val="NoSpacing"/>
              <w:jc w:val="both"/>
              <w:rPr>
                <w:rFonts w:ascii="Times New Roman" w:hAnsi="Times New Roman"/>
                <w:sz w:val="24"/>
                <w:szCs w:val="24"/>
                <w:lang w:val="uk-UA"/>
              </w:rPr>
            </w:pPr>
            <w:r w:rsidRPr="00223792">
              <w:rPr>
                <w:rFonts w:ascii="Times New Roman" w:hAnsi="Times New Roman"/>
                <w:sz w:val="24"/>
                <w:szCs w:val="24"/>
                <w:lang w:val="uk-UA"/>
              </w:rPr>
              <w:t>24.1</w:t>
            </w:r>
          </w:p>
        </w:tc>
        <w:tc>
          <w:tcPr>
            <w:tcW w:w="2520" w:type="dxa"/>
            <w:gridSpan w:val="2"/>
          </w:tcPr>
          <w:p w:rsidR="00310318" w:rsidRPr="00C062DA" w:rsidRDefault="00310318" w:rsidP="00F565A8">
            <w:pPr>
              <w:pStyle w:val="rvps2"/>
            </w:pPr>
            <w:r w:rsidRPr="00C062DA">
              <w:t xml:space="preserve">зміни до списків членів постійних рад, комісій, комітетів фондової біржі; </w:t>
            </w:r>
            <w:bookmarkStart w:id="33" w:name="n119"/>
            <w:bookmarkEnd w:id="33"/>
          </w:p>
        </w:tc>
        <w:tc>
          <w:tcPr>
            <w:tcW w:w="1895" w:type="dxa"/>
            <w:gridSpan w:val="2"/>
          </w:tcPr>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10318"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72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1800" w:type="dxa"/>
          </w:tcPr>
          <w:p w:rsidR="00223792" w:rsidRDefault="00223792" w:rsidP="002C4236">
            <w:pPr>
              <w:rPr>
                <w:bCs/>
                <w:lang w:val="uk-UA"/>
              </w:rPr>
            </w:pPr>
            <w:r>
              <w:rPr>
                <w:bCs/>
                <w:lang w:val="uk-UA"/>
              </w:rPr>
              <w:t>Абзац другий</w:t>
            </w:r>
          </w:p>
          <w:p w:rsidR="00310318" w:rsidRPr="00C062DA" w:rsidRDefault="00223792" w:rsidP="002C4236">
            <w:pPr>
              <w:rPr>
                <w:bCs/>
                <w:lang w:val="uk-UA"/>
              </w:rPr>
            </w:pPr>
            <w:r>
              <w:rPr>
                <w:bCs/>
                <w:lang w:val="uk-UA"/>
              </w:rPr>
              <w:t>п</w:t>
            </w:r>
            <w:r w:rsidRPr="00C062DA">
              <w:rPr>
                <w:bCs/>
                <w:lang w:val="uk-UA"/>
              </w:rPr>
              <w:t>ункт</w:t>
            </w:r>
            <w:r>
              <w:rPr>
                <w:bCs/>
                <w:lang w:val="uk-UA"/>
              </w:rPr>
              <w:t>у</w:t>
            </w:r>
            <w:r w:rsidRPr="00C062DA">
              <w:rPr>
                <w:bCs/>
                <w:lang w:val="uk-UA"/>
              </w:rPr>
              <w:t xml:space="preserve"> 12 розділу ІІІ Ліцензійних умов № 818</w:t>
            </w:r>
          </w:p>
        </w:tc>
      </w:tr>
      <w:tr w:rsidR="00310318" w:rsidRPr="008B6049" w:rsidTr="00523BD3">
        <w:tc>
          <w:tcPr>
            <w:tcW w:w="720" w:type="dxa"/>
            <w:gridSpan w:val="2"/>
          </w:tcPr>
          <w:p w:rsidR="00310318" w:rsidRPr="00223792" w:rsidRDefault="00310318" w:rsidP="006C1FC3">
            <w:pPr>
              <w:pStyle w:val="NoSpacing"/>
              <w:jc w:val="both"/>
              <w:rPr>
                <w:rFonts w:ascii="Times New Roman" w:hAnsi="Times New Roman"/>
                <w:sz w:val="24"/>
                <w:szCs w:val="24"/>
                <w:lang w:val="uk-UA"/>
              </w:rPr>
            </w:pPr>
            <w:r w:rsidRPr="00223792">
              <w:rPr>
                <w:rFonts w:ascii="Times New Roman" w:hAnsi="Times New Roman"/>
                <w:sz w:val="24"/>
                <w:szCs w:val="24"/>
                <w:lang w:val="uk-UA"/>
              </w:rPr>
              <w:t>24.2</w:t>
            </w:r>
          </w:p>
        </w:tc>
        <w:tc>
          <w:tcPr>
            <w:tcW w:w="2520" w:type="dxa"/>
            <w:gridSpan w:val="2"/>
          </w:tcPr>
          <w:p w:rsidR="00310318" w:rsidRPr="00C062DA" w:rsidRDefault="00310318" w:rsidP="00F565A8">
            <w:pPr>
              <w:pStyle w:val="rvps2"/>
            </w:pPr>
            <w:r w:rsidRPr="00C062DA">
              <w:t>укладені договори з кліринговими установами (із зазначенням їх повного найменування, місцезнаходження та номера телефону)</w:t>
            </w:r>
          </w:p>
        </w:tc>
        <w:tc>
          <w:tcPr>
            <w:tcW w:w="1895" w:type="dxa"/>
            <w:gridSpan w:val="2"/>
          </w:tcPr>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10318"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72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1800" w:type="dxa"/>
          </w:tcPr>
          <w:p w:rsidR="00223792" w:rsidRDefault="00223792" w:rsidP="002C4236">
            <w:pPr>
              <w:rPr>
                <w:bCs/>
                <w:lang w:val="uk-UA"/>
              </w:rPr>
            </w:pPr>
            <w:r>
              <w:rPr>
                <w:bCs/>
                <w:lang w:val="uk-UA"/>
              </w:rPr>
              <w:t>Абзац третій</w:t>
            </w:r>
          </w:p>
          <w:p w:rsidR="00310318" w:rsidRPr="00C062DA" w:rsidRDefault="00223792" w:rsidP="002C4236">
            <w:pPr>
              <w:rPr>
                <w:bCs/>
                <w:lang w:val="uk-UA"/>
              </w:rPr>
            </w:pPr>
            <w:r>
              <w:rPr>
                <w:bCs/>
                <w:lang w:val="uk-UA"/>
              </w:rPr>
              <w:t>п</w:t>
            </w:r>
            <w:r w:rsidRPr="00C062DA">
              <w:rPr>
                <w:bCs/>
                <w:lang w:val="uk-UA"/>
              </w:rPr>
              <w:t>ункт</w:t>
            </w:r>
            <w:r>
              <w:rPr>
                <w:bCs/>
                <w:lang w:val="uk-UA"/>
              </w:rPr>
              <w:t>у</w:t>
            </w:r>
            <w:r w:rsidRPr="00C062DA">
              <w:rPr>
                <w:bCs/>
                <w:lang w:val="uk-UA"/>
              </w:rPr>
              <w:t xml:space="preserve"> 12 розділу ІІІ Ліцензійних умов № 818</w:t>
            </w:r>
          </w:p>
        </w:tc>
      </w:tr>
      <w:tr w:rsidR="00206DC1" w:rsidRPr="008B6049" w:rsidTr="00523BD3">
        <w:tc>
          <w:tcPr>
            <w:tcW w:w="720" w:type="dxa"/>
            <w:gridSpan w:val="2"/>
          </w:tcPr>
          <w:p w:rsidR="00206DC1" w:rsidRPr="00C062DA" w:rsidRDefault="00223792" w:rsidP="006C1FC3">
            <w:pPr>
              <w:pStyle w:val="NoSpacing"/>
              <w:jc w:val="both"/>
              <w:rPr>
                <w:rFonts w:ascii="Times New Roman" w:hAnsi="Times New Roman"/>
                <w:sz w:val="24"/>
                <w:szCs w:val="24"/>
                <w:lang w:val="uk-UA"/>
              </w:rPr>
            </w:pPr>
            <w:r>
              <w:rPr>
                <w:rFonts w:ascii="Times New Roman" w:hAnsi="Times New Roman"/>
                <w:sz w:val="24"/>
                <w:szCs w:val="24"/>
                <w:lang w:val="uk-UA"/>
              </w:rPr>
              <w:t>25</w:t>
            </w:r>
          </w:p>
        </w:tc>
        <w:tc>
          <w:tcPr>
            <w:tcW w:w="2520" w:type="dxa"/>
            <w:gridSpan w:val="2"/>
          </w:tcPr>
          <w:p w:rsidR="00206DC1" w:rsidRPr="00C062DA" w:rsidRDefault="00206DC1" w:rsidP="00F565A8">
            <w:pPr>
              <w:pStyle w:val="rvps2"/>
            </w:pPr>
            <w:r w:rsidRPr="00C062DA">
              <w:rPr>
                <w:rStyle w:val="rvts0"/>
              </w:rPr>
              <w:t>У разі внесення зм</w:t>
            </w:r>
            <w:r w:rsidR="00283C0C">
              <w:rPr>
                <w:rStyle w:val="rvts0"/>
              </w:rPr>
              <w:t xml:space="preserve">ін до правил фондова </w:t>
            </w:r>
            <w:r w:rsidR="00283C0C">
              <w:rPr>
                <w:rStyle w:val="rvts0"/>
              </w:rPr>
              <w:lastRenderedPageBreak/>
              <w:t>біржа подала</w:t>
            </w:r>
            <w:r w:rsidRPr="00C062DA">
              <w:rPr>
                <w:rStyle w:val="rvts0"/>
              </w:rPr>
              <w:t xml:space="preserve">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радою фондової біржі</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2C4236">
            <w:pPr>
              <w:rPr>
                <w:bCs/>
                <w:lang w:val="uk-UA"/>
              </w:rPr>
            </w:pPr>
            <w:r w:rsidRPr="00C062DA">
              <w:rPr>
                <w:bCs/>
                <w:lang w:val="uk-UA"/>
              </w:rPr>
              <w:t xml:space="preserve">Абзац перший пункту 13 </w:t>
            </w:r>
            <w:r w:rsidRPr="00C062DA">
              <w:rPr>
                <w:bCs/>
                <w:lang w:val="uk-UA"/>
              </w:rPr>
              <w:lastRenderedPageBreak/>
              <w:t>розділу ІІІ Ліцензійних умов № 818</w:t>
            </w:r>
          </w:p>
        </w:tc>
      </w:tr>
      <w:tr w:rsidR="00206DC1" w:rsidRPr="008B6049" w:rsidTr="00523BD3">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lastRenderedPageBreak/>
              <w:t>2</w:t>
            </w:r>
            <w:r w:rsidR="00223792">
              <w:rPr>
                <w:rFonts w:ascii="Times New Roman" w:hAnsi="Times New Roman"/>
                <w:sz w:val="24"/>
                <w:szCs w:val="24"/>
                <w:lang w:val="uk-UA"/>
              </w:rPr>
              <w:t>5</w:t>
            </w:r>
            <w:r w:rsidRPr="00C062DA">
              <w:rPr>
                <w:rFonts w:ascii="Times New Roman" w:hAnsi="Times New Roman"/>
                <w:sz w:val="24"/>
                <w:szCs w:val="24"/>
                <w:lang w:val="uk-UA"/>
              </w:rPr>
              <w:t>.1</w:t>
            </w:r>
          </w:p>
        </w:tc>
        <w:tc>
          <w:tcPr>
            <w:tcW w:w="2520" w:type="dxa"/>
            <w:gridSpan w:val="2"/>
          </w:tcPr>
          <w:p w:rsidR="00206DC1" w:rsidRPr="00C062DA" w:rsidRDefault="00206DC1" w:rsidP="00F565A8">
            <w:pPr>
              <w:pStyle w:val="rvps2"/>
              <w:rPr>
                <w:rStyle w:val="rvts0"/>
              </w:rPr>
            </w:pPr>
            <w:r w:rsidRPr="00C062DA">
              <w:rPr>
                <w:rStyle w:val="rvts0"/>
              </w:rPr>
              <w:t>У разі внесення змін до правил фондової біржі на реєстрацію до Комісії подана нова редакція правил з урахуванням внесених змін</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800" w:type="dxa"/>
          </w:tcPr>
          <w:p w:rsidR="00206DC1" w:rsidRPr="00C062DA" w:rsidRDefault="00206DC1" w:rsidP="00B85B18">
            <w:pPr>
              <w:rPr>
                <w:bCs/>
                <w:lang w:val="uk-UA"/>
              </w:rPr>
            </w:pPr>
            <w:r w:rsidRPr="00C062DA">
              <w:rPr>
                <w:bCs/>
                <w:lang w:val="uk-UA"/>
              </w:rPr>
              <w:t>Абзац четвертий пункту 13 розділу ІІІ Ліцензійних умов № 818</w:t>
            </w:r>
          </w:p>
        </w:tc>
      </w:tr>
      <w:tr w:rsidR="00206DC1" w:rsidRPr="008B6049" w:rsidTr="00523BD3">
        <w:tc>
          <w:tcPr>
            <w:tcW w:w="720" w:type="dxa"/>
            <w:gridSpan w:val="2"/>
          </w:tcPr>
          <w:p w:rsidR="00206DC1" w:rsidRPr="003E1CFC" w:rsidRDefault="00206DC1" w:rsidP="00433B18">
            <w:pPr>
              <w:pStyle w:val="NoSpacing"/>
              <w:jc w:val="both"/>
              <w:rPr>
                <w:rFonts w:ascii="Times New Roman" w:hAnsi="Times New Roman"/>
                <w:sz w:val="24"/>
                <w:szCs w:val="24"/>
                <w:lang w:val="uk-UA"/>
              </w:rPr>
            </w:pPr>
            <w:r w:rsidRPr="003E1CFC">
              <w:rPr>
                <w:rFonts w:ascii="Times New Roman" w:hAnsi="Times New Roman"/>
                <w:sz w:val="24"/>
                <w:szCs w:val="24"/>
                <w:lang w:val="uk-UA"/>
              </w:rPr>
              <w:t>2</w:t>
            </w:r>
            <w:r w:rsidR="00223792" w:rsidRPr="003E1CFC">
              <w:rPr>
                <w:rFonts w:ascii="Times New Roman" w:hAnsi="Times New Roman"/>
                <w:sz w:val="24"/>
                <w:szCs w:val="24"/>
                <w:lang w:val="uk-UA"/>
              </w:rPr>
              <w:t>5</w:t>
            </w:r>
            <w:r w:rsidRPr="003E1CFC">
              <w:rPr>
                <w:rFonts w:ascii="Times New Roman" w:hAnsi="Times New Roman"/>
                <w:sz w:val="24"/>
                <w:szCs w:val="24"/>
                <w:lang w:val="uk-UA"/>
              </w:rPr>
              <w:t>.2</w:t>
            </w:r>
          </w:p>
        </w:tc>
        <w:tc>
          <w:tcPr>
            <w:tcW w:w="2520" w:type="dxa"/>
            <w:gridSpan w:val="2"/>
          </w:tcPr>
          <w:p w:rsidR="00206DC1" w:rsidRPr="00C062DA" w:rsidRDefault="00206DC1" w:rsidP="00433B18">
            <w:pPr>
              <w:pStyle w:val="rvps2"/>
              <w:rPr>
                <w:rStyle w:val="rvts0"/>
              </w:rPr>
            </w:pPr>
            <w:r w:rsidRPr="00C062DA">
              <w:t>Для реєстрації змін до правил фондовою біржею надано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bookmarkStart w:id="34" w:name="n126"/>
            <w:bookmarkEnd w:id="34"/>
            <w:r w:rsidRPr="00C062DA">
              <w:t xml:space="preserve"> </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72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1800" w:type="dxa"/>
          </w:tcPr>
          <w:p w:rsidR="001E582A" w:rsidRDefault="001E582A" w:rsidP="00433B18">
            <w:pPr>
              <w:rPr>
                <w:bCs/>
                <w:lang w:val="uk-UA"/>
              </w:rPr>
            </w:pPr>
            <w:r>
              <w:rPr>
                <w:bCs/>
                <w:lang w:val="uk-UA"/>
              </w:rPr>
              <w:t>Абзац перший</w:t>
            </w:r>
          </w:p>
          <w:p w:rsidR="00206DC1" w:rsidRPr="00C062DA" w:rsidRDefault="001E582A" w:rsidP="00433B18">
            <w:pPr>
              <w:rPr>
                <w:bCs/>
                <w:lang w:val="uk-UA"/>
              </w:rPr>
            </w:pPr>
            <w:r>
              <w:rPr>
                <w:bCs/>
                <w:lang w:val="uk-UA"/>
              </w:rPr>
              <w:t>п</w:t>
            </w:r>
            <w:r w:rsidR="00206DC1" w:rsidRPr="00C062DA">
              <w:rPr>
                <w:bCs/>
                <w:lang w:val="uk-UA"/>
              </w:rPr>
              <w:t>ункт</w:t>
            </w:r>
            <w:r>
              <w:rPr>
                <w:bCs/>
                <w:lang w:val="uk-UA"/>
              </w:rPr>
              <w:t>у</w:t>
            </w:r>
            <w:r w:rsidR="00206DC1" w:rsidRPr="00C062DA">
              <w:rPr>
                <w:bCs/>
                <w:lang w:val="uk-UA"/>
              </w:rPr>
              <w:t xml:space="preserve"> 15 розділу ІІІ Ліцензійних умов № 818</w:t>
            </w:r>
          </w:p>
        </w:tc>
      </w:tr>
      <w:tr w:rsidR="003E1CFC" w:rsidRPr="008B6049" w:rsidTr="00523BD3">
        <w:tc>
          <w:tcPr>
            <w:tcW w:w="720" w:type="dxa"/>
            <w:gridSpan w:val="2"/>
          </w:tcPr>
          <w:p w:rsidR="003E1CFC" w:rsidRPr="003E1CFC" w:rsidRDefault="003E1CFC" w:rsidP="003E1CFC">
            <w:pPr>
              <w:pStyle w:val="NoSpacing"/>
              <w:ind w:left="-85" w:right="-85"/>
              <w:jc w:val="both"/>
              <w:rPr>
                <w:rFonts w:ascii="Times New Roman" w:hAnsi="Times New Roman"/>
                <w:sz w:val="24"/>
                <w:szCs w:val="24"/>
                <w:lang w:val="uk-UA"/>
              </w:rPr>
            </w:pPr>
            <w:r>
              <w:rPr>
                <w:rFonts w:ascii="Times New Roman" w:hAnsi="Times New Roman"/>
                <w:sz w:val="24"/>
                <w:szCs w:val="24"/>
                <w:lang w:val="uk-UA"/>
              </w:rPr>
              <w:t>25.2.1</w:t>
            </w:r>
          </w:p>
        </w:tc>
        <w:tc>
          <w:tcPr>
            <w:tcW w:w="2520" w:type="dxa"/>
            <w:gridSpan w:val="2"/>
          </w:tcPr>
          <w:p w:rsidR="003E1CFC" w:rsidRPr="00C062DA" w:rsidRDefault="003E1CFC" w:rsidP="00433B18">
            <w:pPr>
              <w:pStyle w:val="rvps2"/>
            </w:pPr>
            <w:r w:rsidRPr="00C062DA">
              <w:t xml:space="preserve">заяву про реєстрацію змін до правил фондової біржі; </w:t>
            </w:r>
            <w:bookmarkStart w:id="35" w:name="n127"/>
            <w:bookmarkEnd w:id="35"/>
          </w:p>
        </w:tc>
        <w:tc>
          <w:tcPr>
            <w:tcW w:w="1895" w:type="dxa"/>
            <w:gridSpan w:val="2"/>
          </w:tcPr>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E1CFC"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72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1800" w:type="dxa"/>
          </w:tcPr>
          <w:p w:rsidR="001E582A" w:rsidRDefault="001E582A" w:rsidP="001E582A">
            <w:pPr>
              <w:rPr>
                <w:bCs/>
                <w:lang w:val="uk-UA"/>
              </w:rPr>
            </w:pPr>
            <w:r>
              <w:rPr>
                <w:bCs/>
                <w:lang w:val="uk-UA"/>
              </w:rPr>
              <w:t>Абзац другий</w:t>
            </w:r>
          </w:p>
          <w:p w:rsidR="003E1CFC"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3E1CFC" w:rsidRPr="008B6049" w:rsidTr="00523BD3">
        <w:tc>
          <w:tcPr>
            <w:tcW w:w="720" w:type="dxa"/>
            <w:gridSpan w:val="2"/>
          </w:tcPr>
          <w:p w:rsidR="003E1CFC" w:rsidRPr="003E1CFC"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t>25.2.2</w:t>
            </w:r>
          </w:p>
        </w:tc>
        <w:tc>
          <w:tcPr>
            <w:tcW w:w="2520" w:type="dxa"/>
            <w:gridSpan w:val="2"/>
          </w:tcPr>
          <w:p w:rsidR="003E1CFC" w:rsidRPr="00C062DA" w:rsidRDefault="003E1CFC" w:rsidP="00433B18">
            <w:pPr>
              <w:pStyle w:val="rvps2"/>
            </w:pPr>
            <w:r w:rsidRPr="00C062DA">
              <w:t xml:space="preserve">обґрунтування причин внесення змін до правил фондової біржі; </w:t>
            </w:r>
            <w:bookmarkStart w:id="36" w:name="n128"/>
            <w:bookmarkEnd w:id="36"/>
          </w:p>
        </w:tc>
        <w:tc>
          <w:tcPr>
            <w:tcW w:w="1895" w:type="dxa"/>
            <w:gridSpan w:val="2"/>
          </w:tcPr>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E1CFC"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72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1800" w:type="dxa"/>
          </w:tcPr>
          <w:p w:rsidR="001E582A" w:rsidRDefault="001E582A" w:rsidP="001E582A">
            <w:pPr>
              <w:rPr>
                <w:bCs/>
                <w:lang w:val="uk-UA"/>
              </w:rPr>
            </w:pPr>
            <w:r>
              <w:rPr>
                <w:bCs/>
                <w:lang w:val="uk-UA"/>
              </w:rPr>
              <w:t>Абзац третій</w:t>
            </w:r>
          </w:p>
          <w:p w:rsidR="003E1CFC"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B5520" w:rsidRPr="008B6049" w:rsidTr="00523BD3">
        <w:tc>
          <w:tcPr>
            <w:tcW w:w="720" w:type="dxa"/>
            <w:gridSpan w:val="2"/>
          </w:tcPr>
          <w:p w:rsidR="002B5520"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t>25.2.3</w:t>
            </w:r>
          </w:p>
        </w:tc>
        <w:tc>
          <w:tcPr>
            <w:tcW w:w="2520" w:type="dxa"/>
            <w:gridSpan w:val="2"/>
          </w:tcPr>
          <w:p w:rsidR="002B5520" w:rsidRPr="00C062DA" w:rsidRDefault="002B5520" w:rsidP="00433B18">
            <w:pPr>
              <w:pStyle w:val="rvps2"/>
            </w:pPr>
            <w:r w:rsidRPr="00C062DA">
              <w:t xml:space="preserve">правила в новій редакції з </w:t>
            </w:r>
            <w:r w:rsidRPr="00C062DA">
              <w:lastRenderedPageBreak/>
              <w:t xml:space="preserve">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 </w:t>
            </w:r>
            <w:bookmarkStart w:id="37" w:name="n129"/>
            <w:bookmarkEnd w:id="37"/>
          </w:p>
        </w:tc>
        <w:tc>
          <w:tcPr>
            <w:tcW w:w="1895" w:type="dxa"/>
            <w:gridSpan w:val="2"/>
          </w:tcPr>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B5520"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незначний</w:t>
            </w:r>
          </w:p>
        </w:tc>
        <w:tc>
          <w:tcPr>
            <w:tcW w:w="985"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72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1800" w:type="dxa"/>
          </w:tcPr>
          <w:p w:rsidR="001E582A" w:rsidRDefault="001E582A" w:rsidP="001E582A">
            <w:pPr>
              <w:rPr>
                <w:bCs/>
                <w:lang w:val="uk-UA"/>
              </w:rPr>
            </w:pPr>
            <w:r>
              <w:rPr>
                <w:bCs/>
                <w:lang w:val="uk-UA"/>
              </w:rPr>
              <w:t>Абзац четвертий</w:t>
            </w:r>
          </w:p>
          <w:p w:rsidR="002B5520" w:rsidRPr="00C062DA" w:rsidRDefault="001E582A" w:rsidP="001E582A">
            <w:pPr>
              <w:rPr>
                <w:bCs/>
                <w:lang w:val="uk-UA"/>
              </w:rPr>
            </w:pPr>
            <w:r>
              <w:rPr>
                <w:bCs/>
                <w:lang w:val="uk-UA"/>
              </w:rPr>
              <w:lastRenderedPageBreak/>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B5520" w:rsidRPr="008B6049" w:rsidTr="00523BD3">
        <w:tc>
          <w:tcPr>
            <w:tcW w:w="720" w:type="dxa"/>
            <w:gridSpan w:val="2"/>
          </w:tcPr>
          <w:p w:rsidR="002B5520"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25.2.4</w:t>
            </w:r>
          </w:p>
        </w:tc>
        <w:tc>
          <w:tcPr>
            <w:tcW w:w="2520" w:type="dxa"/>
            <w:gridSpan w:val="2"/>
          </w:tcPr>
          <w:p w:rsidR="002B5520" w:rsidRPr="00C062DA" w:rsidRDefault="002B5520" w:rsidP="00433B18">
            <w:pPr>
              <w:pStyle w:val="rvps2"/>
            </w:pPr>
            <w:r w:rsidRPr="00C062DA">
              <w:t xml:space="preserve">порівняльну таблицю старої та нової редакцій правил фондової біржі із зазначенням підстав для внесення змін у паперовій та електронній формах; </w:t>
            </w:r>
            <w:bookmarkStart w:id="38" w:name="n130"/>
            <w:bookmarkEnd w:id="38"/>
          </w:p>
        </w:tc>
        <w:tc>
          <w:tcPr>
            <w:tcW w:w="1895" w:type="dxa"/>
            <w:gridSpan w:val="2"/>
          </w:tcPr>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B5520"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72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1800" w:type="dxa"/>
          </w:tcPr>
          <w:p w:rsidR="001E582A" w:rsidRDefault="001E582A" w:rsidP="001E582A">
            <w:pPr>
              <w:rPr>
                <w:bCs/>
                <w:lang w:val="uk-UA"/>
              </w:rPr>
            </w:pPr>
            <w:r>
              <w:rPr>
                <w:bCs/>
                <w:lang w:val="uk-UA"/>
              </w:rPr>
              <w:t>Абзац п’ятий</w:t>
            </w:r>
          </w:p>
          <w:p w:rsidR="002B5520"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B5520" w:rsidRPr="008B6049" w:rsidTr="00523BD3">
        <w:tc>
          <w:tcPr>
            <w:tcW w:w="720" w:type="dxa"/>
            <w:gridSpan w:val="2"/>
          </w:tcPr>
          <w:p w:rsidR="002B5520"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t>25.2.5</w:t>
            </w:r>
          </w:p>
        </w:tc>
        <w:tc>
          <w:tcPr>
            <w:tcW w:w="2520" w:type="dxa"/>
            <w:gridSpan w:val="2"/>
          </w:tcPr>
          <w:p w:rsidR="002B5520" w:rsidRPr="00C062DA" w:rsidRDefault="002B5520" w:rsidP="00433B18">
            <w:pPr>
              <w:pStyle w:val="rvps2"/>
            </w:pPr>
            <w:r w:rsidRPr="00C062DA">
              <w:t>копію платіжного документа про перерахування плати за реєстрацію правил або змін до них</w:t>
            </w:r>
            <w:r w:rsidR="001E582A">
              <w:t>.</w:t>
            </w:r>
          </w:p>
        </w:tc>
        <w:tc>
          <w:tcPr>
            <w:tcW w:w="1895" w:type="dxa"/>
            <w:gridSpan w:val="2"/>
          </w:tcPr>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B5520"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72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1800" w:type="dxa"/>
          </w:tcPr>
          <w:p w:rsidR="001E582A" w:rsidRDefault="001E582A" w:rsidP="001E582A">
            <w:pPr>
              <w:rPr>
                <w:bCs/>
                <w:lang w:val="uk-UA"/>
              </w:rPr>
            </w:pPr>
            <w:r>
              <w:rPr>
                <w:bCs/>
                <w:lang w:val="uk-UA"/>
              </w:rPr>
              <w:t>Абзац шостий</w:t>
            </w:r>
          </w:p>
          <w:p w:rsidR="002B5520"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06DC1" w:rsidRPr="008B6049" w:rsidTr="00FE5EA8">
        <w:trPr>
          <w:trHeight w:val="3304"/>
        </w:trPr>
        <w:tc>
          <w:tcPr>
            <w:tcW w:w="720" w:type="dxa"/>
            <w:gridSpan w:val="2"/>
          </w:tcPr>
          <w:p w:rsidR="00206DC1" w:rsidRPr="00C062DA" w:rsidRDefault="00223792" w:rsidP="00433B18">
            <w:pPr>
              <w:pStyle w:val="NoSpacing"/>
              <w:jc w:val="both"/>
              <w:rPr>
                <w:rFonts w:ascii="Times New Roman" w:hAnsi="Times New Roman"/>
                <w:sz w:val="24"/>
                <w:szCs w:val="24"/>
                <w:lang w:val="uk-UA"/>
              </w:rPr>
            </w:pPr>
            <w:r>
              <w:rPr>
                <w:rFonts w:ascii="Times New Roman" w:hAnsi="Times New Roman"/>
                <w:sz w:val="24"/>
                <w:szCs w:val="24"/>
                <w:lang w:val="uk-UA"/>
              </w:rPr>
              <w:t>26</w:t>
            </w:r>
          </w:p>
        </w:tc>
        <w:tc>
          <w:tcPr>
            <w:tcW w:w="2520" w:type="dxa"/>
            <w:gridSpan w:val="2"/>
          </w:tcPr>
          <w:p w:rsidR="00206DC1" w:rsidRPr="00C062DA" w:rsidRDefault="00206DC1" w:rsidP="00433B18">
            <w:pPr>
              <w:pStyle w:val="rvps2"/>
            </w:pPr>
            <w:r w:rsidRPr="00C062DA">
              <w:t>Фондова біржа до державної реєстрації статуту (змін до статуту) (крім випадку, якщо фондова біржа створена і діє на підставі мод</w:t>
            </w:r>
            <w:r w:rsidR="00FC0EB0">
              <w:t>ельного статуту) подала</w:t>
            </w:r>
            <w:r w:rsidRPr="00C062DA">
              <w:t xml:space="preserve"> до Комісії на погодження статут (зміни до статуту) та такі документи:</w:t>
            </w:r>
            <w:bookmarkStart w:id="39" w:name="n132"/>
            <w:bookmarkEnd w:id="39"/>
            <w:r w:rsidRPr="00C062DA">
              <w:t xml:space="preserve"> заяву про реєстрацію статуту фондової біржі (змін до статуту);</w:t>
            </w:r>
            <w:bookmarkStart w:id="40" w:name="n133"/>
            <w:bookmarkEnd w:id="40"/>
            <w:r w:rsidRPr="00C062DA">
              <w:t xml:space="preserve"> обґрунтування причин унесення змін до статуту;</w:t>
            </w:r>
            <w:bookmarkStart w:id="41" w:name="n134"/>
            <w:bookmarkEnd w:id="41"/>
            <w:r w:rsidRPr="00C062DA">
              <w:t xml:space="preserve"> примірник оригіналу рішення про внесення змін до статуту;</w:t>
            </w:r>
            <w:bookmarkStart w:id="42" w:name="n135"/>
            <w:bookmarkEnd w:id="42"/>
            <w:r w:rsidRPr="00C062DA">
              <w:t xml:space="preserve"> статут (зміни до статуту) у трьох примірниках, оформлений відповідно до вимог статті 15 </w:t>
            </w:r>
            <w:hyperlink r:id="rId14" w:tgtFrame="_blank" w:history="1">
              <w:r w:rsidRPr="00C062DA">
                <w:rPr>
                  <w:rStyle w:val="a4"/>
                  <w:color w:val="auto"/>
                  <w:u w:val="none"/>
                </w:rPr>
                <w:t xml:space="preserve">Закону України «Про державну реєстрацію </w:t>
              </w:r>
              <w:r w:rsidRPr="00C062DA">
                <w:rPr>
                  <w:rStyle w:val="a4"/>
                  <w:color w:val="auto"/>
                  <w:u w:val="none"/>
                </w:rPr>
                <w:lastRenderedPageBreak/>
                <w:t>юридичних осіб та фізичних осіб – підприємців та громадських формувань»</w:t>
              </w:r>
            </w:hyperlink>
            <w:r w:rsidRPr="00C062DA">
              <w:t xml:space="preserve"> у паперовій формі та один примірник в електронній формі;</w:t>
            </w:r>
            <w:bookmarkStart w:id="43" w:name="n136"/>
            <w:bookmarkEnd w:id="43"/>
            <w:r w:rsidRPr="00C062DA">
              <w:t xml:space="preserve"> порівняльну таблицю старої та нової редакцій статуту в паперовій та електронній формах</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72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1800" w:type="dxa"/>
          </w:tcPr>
          <w:p w:rsidR="00206DC1" w:rsidRPr="00C062DA" w:rsidRDefault="00206DC1" w:rsidP="00433B18">
            <w:pPr>
              <w:rPr>
                <w:bCs/>
                <w:lang w:val="uk-UA"/>
              </w:rPr>
            </w:pPr>
            <w:r w:rsidRPr="00C062DA">
              <w:rPr>
                <w:bCs/>
                <w:lang w:val="uk-UA"/>
              </w:rPr>
              <w:t>Пункт 16 розділу ІІІ Ліцензійних умов № 818</w:t>
            </w:r>
          </w:p>
        </w:tc>
      </w:tr>
      <w:tr w:rsidR="00206DC1" w:rsidRPr="008B6049" w:rsidTr="00523BD3">
        <w:trPr>
          <w:trHeight w:val="7415"/>
        </w:trPr>
        <w:tc>
          <w:tcPr>
            <w:tcW w:w="720" w:type="dxa"/>
            <w:gridSpan w:val="2"/>
          </w:tcPr>
          <w:p w:rsidR="00206DC1" w:rsidRPr="00F44917" w:rsidRDefault="00206DC1" w:rsidP="00433B18">
            <w:pPr>
              <w:pStyle w:val="NoSpacing"/>
              <w:jc w:val="both"/>
              <w:rPr>
                <w:rFonts w:ascii="Times New Roman" w:hAnsi="Times New Roman"/>
                <w:sz w:val="24"/>
                <w:szCs w:val="24"/>
                <w:lang w:val="uk-UA"/>
              </w:rPr>
            </w:pPr>
            <w:r>
              <w:rPr>
                <w:rFonts w:ascii="Times New Roman" w:hAnsi="Times New Roman"/>
                <w:sz w:val="24"/>
                <w:szCs w:val="24"/>
                <w:lang w:val="uk-UA"/>
              </w:rPr>
              <w:t>2</w:t>
            </w:r>
            <w:r w:rsidR="008F364C">
              <w:rPr>
                <w:rFonts w:ascii="Times New Roman" w:hAnsi="Times New Roman"/>
                <w:sz w:val="24"/>
                <w:szCs w:val="24"/>
                <w:lang w:val="uk-UA"/>
              </w:rPr>
              <w:t>7</w:t>
            </w:r>
          </w:p>
        </w:tc>
        <w:tc>
          <w:tcPr>
            <w:tcW w:w="2520" w:type="dxa"/>
            <w:gridSpan w:val="2"/>
          </w:tcPr>
          <w:p w:rsidR="00206DC1" w:rsidRPr="00F44917" w:rsidRDefault="00206DC1" w:rsidP="00433B18">
            <w:pPr>
              <w:pStyle w:val="rvps2"/>
              <w:rPr>
                <w:rStyle w:val="rvts0"/>
              </w:rPr>
            </w:pPr>
            <w:r w:rsidRPr="00F44917">
              <w:rPr>
                <w:rStyle w:val="rvts0"/>
              </w:rPr>
              <w:t>Фондова бі</w:t>
            </w:r>
            <w:r w:rsidR="004014CD">
              <w:rPr>
                <w:rStyle w:val="rvts0"/>
              </w:rPr>
              <w:t>ржа надала</w:t>
            </w:r>
            <w:r w:rsidRPr="00F44917">
              <w:rPr>
                <w:rStyle w:val="rvts0"/>
              </w:rPr>
              <w:t xml:space="preserve"> адміністративні дані відповідно до </w:t>
            </w:r>
            <w:hyperlink r:id="rId15" w:anchor="n19" w:tgtFrame="_blank" w:history="1">
              <w:r w:rsidRPr="00F44917">
                <w:rPr>
                  <w:rStyle w:val="a4"/>
                  <w:color w:val="auto"/>
                  <w:u w:val="none"/>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r w:rsidRPr="00F44917">
              <w:rPr>
                <w:rStyle w:val="rvts0"/>
              </w:rPr>
              <w:t xml:space="preserve">, затвердженого рішенням Комісії від 25 вересня 2012 року  </w:t>
            </w:r>
            <w:r>
              <w:rPr>
                <w:rStyle w:val="rvts0"/>
              </w:rPr>
              <w:t xml:space="preserve">           </w:t>
            </w:r>
            <w:r w:rsidRPr="00F44917">
              <w:rPr>
                <w:rStyle w:val="rvts0"/>
              </w:rPr>
              <w:t xml:space="preserve"> № 1284, зареєстрованого в Міністерстві юстиції України 16 жовтня 2012 року за № 1738/22050 (зі змінами)</w:t>
            </w:r>
            <w:r w:rsidR="00883C06">
              <w:rPr>
                <w:rStyle w:val="rvts0"/>
              </w:rPr>
              <w:t>.</w:t>
            </w:r>
          </w:p>
        </w:tc>
        <w:tc>
          <w:tcPr>
            <w:tcW w:w="1895" w:type="dxa"/>
            <w:gridSpan w:val="2"/>
          </w:tcPr>
          <w:p w:rsidR="00206DC1" w:rsidRPr="00F44917" w:rsidRDefault="00206DC1" w:rsidP="00B00B92">
            <w:pPr>
              <w:pStyle w:val="NoSpacing"/>
              <w:jc w:val="center"/>
              <w:rPr>
                <w:rFonts w:ascii="Times New Roman" w:hAnsi="Times New Roman"/>
                <w:sz w:val="24"/>
                <w:szCs w:val="24"/>
                <w:lang w:val="uk-UA"/>
              </w:rPr>
            </w:pPr>
            <w:r w:rsidRPr="00F44917">
              <w:rPr>
                <w:rFonts w:ascii="Times New Roman" w:hAnsi="Times New Roman"/>
                <w:sz w:val="24"/>
                <w:szCs w:val="24"/>
                <w:lang w:val="uk-UA"/>
              </w:rPr>
              <w:t>високий,</w:t>
            </w:r>
          </w:p>
          <w:p w:rsidR="00206DC1" w:rsidRPr="00F44917" w:rsidRDefault="00206DC1" w:rsidP="00B00B92">
            <w:pPr>
              <w:pStyle w:val="NoSpacing"/>
              <w:jc w:val="center"/>
              <w:rPr>
                <w:rFonts w:ascii="Times New Roman" w:hAnsi="Times New Roman"/>
                <w:sz w:val="24"/>
                <w:szCs w:val="24"/>
                <w:lang w:val="uk-UA"/>
              </w:rPr>
            </w:pPr>
            <w:r w:rsidRPr="00F44917">
              <w:rPr>
                <w:rFonts w:ascii="Times New Roman" w:hAnsi="Times New Roman"/>
                <w:sz w:val="24"/>
                <w:szCs w:val="24"/>
                <w:lang w:val="uk-UA"/>
              </w:rPr>
              <w:t>середній,</w:t>
            </w:r>
          </w:p>
          <w:p w:rsidR="00206DC1" w:rsidRPr="00F44917" w:rsidRDefault="00206DC1" w:rsidP="00B00B92">
            <w:pPr>
              <w:pStyle w:val="NoSpacing"/>
              <w:jc w:val="center"/>
              <w:rPr>
                <w:rFonts w:ascii="Times New Roman" w:hAnsi="Times New Roman"/>
                <w:sz w:val="24"/>
                <w:szCs w:val="24"/>
                <w:lang w:val="uk-UA"/>
              </w:rPr>
            </w:pPr>
            <w:r w:rsidRPr="00F44917">
              <w:rPr>
                <w:rFonts w:ascii="Times New Roman" w:hAnsi="Times New Roman"/>
                <w:sz w:val="24"/>
                <w:szCs w:val="24"/>
                <w:lang w:val="uk-UA"/>
              </w:rPr>
              <w:t>незначний</w:t>
            </w:r>
          </w:p>
        </w:tc>
        <w:tc>
          <w:tcPr>
            <w:tcW w:w="985"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72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1800" w:type="dxa"/>
          </w:tcPr>
          <w:p w:rsidR="00206DC1" w:rsidRPr="00F44917" w:rsidRDefault="00206DC1" w:rsidP="00433B18">
            <w:pPr>
              <w:rPr>
                <w:bCs/>
                <w:lang w:val="uk-UA"/>
              </w:rPr>
            </w:pPr>
            <w:r w:rsidRPr="00F44917">
              <w:rPr>
                <w:bCs/>
                <w:lang w:val="uk-UA"/>
              </w:rPr>
              <w:t>Пункт 27 розділу ІІІ Ліцензійних умов № 818; Положення № 1284</w:t>
            </w:r>
          </w:p>
        </w:tc>
      </w:tr>
      <w:tr w:rsidR="00206DC1" w:rsidRPr="008B6049" w:rsidTr="00523BD3">
        <w:tc>
          <w:tcPr>
            <w:tcW w:w="720" w:type="dxa"/>
            <w:gridSpan w:val="2"/>
          </w:tcPr>
          <w:p w:rsidR="00206DC1" w:rsidRPr="00F44917" w:rsidRDefault="00206DC1" w:rsidP="00433B18">
            <w:pPr>
              <w:pStyle w:val="NoSpacing"/>
              <w:jc w:val="both"/>
              <w:rPr>
                <w:rFonts w:ascii="Times New Roman" w:hAnsi="Times New Roman"/>
                <w:sz w:val="24"/>
                <w:szCs w:val="24"/>
                <w:lang w:val="uk-UA"/>
              </w:rPr>
            </w:pPr>
            <w:r>
              <w:rPr>
                <w:rFonts w:ascii="Times New Roman" w:hAnsi="Times New Roman"/>
                <w:sz w:val="24"/>
                <w:szCs w:val="24"/>
                <w:lang w:val="uk-UA"/>
              </w:rPr>
              <w:t>2</w:t>
            </w:r>
            <w:r w:rsidR="008F364C">
              <w:rPr>
                <w:rFonts w:ascii="Times New Roman" w:hAnsi="Times New Roman"/>
                <w:sz w:val="24"/>
                <w:szCs w:val="24"/>
                <w:lang w:val="uk-UA"/>
              </w:rPr>
              <w:t>8</w:t>
            </w:r>
          </w:p>
        </w:tc>
        <w:tc>
          <w:tcPr>
            <w:tcW w:w="2520" w:type="dxa"/>
            <w:gridSpan w:val="2"/>
          </w:tcPr>
          <w:p w:rsidR="00206DC1" w:rsidRPr="00F44917" w:rsidRDefault="00206DC1" w:rsidP="00433B18">
            <w:pPr>
              <w:pStyle w:val="rvps2"/>
              <w:rPr>
                <w:rStyle w:val="rvts0"/>
              </w:rPr>
            </w:pPr>
            <w:r w:rsidRPr="00F44917">
              <w:rPr>
                <w:rStyle w:val="rvts0"/>
              </w:rPr>
              <w:t>У разі якщо у ліцензіата закінч</w:t>
            </w:r>
            <w:r w:rsidR="00305BE2">
              <w:rPr>
                <w:rStyle w:val="rvts0"/>
              </w:rPr>
              <w:t>ив</w:t>
            </w:r>
            <w:r w:rsidRPr="00F44917">
              <w:rPr>
                <w:rStyle w:val="rvts0"/>
              </w:rPr>
              <w:t>ся строк дії ліцензії (за наявності відповідного строку на бланку ліцензії), він  не менше ніж за шістдесят днів до закінчення такого строку повідом</w:t>
            </w:r>
            <w:r w:rsidR="00305BE2">
              <w:rPr>
                <w:rStyle w:val="rvts0"/>
              </w:rPr>
              <w:t>ив</w:t>
            </w:r>
            <w:r w:rsidRPr="00F44917">
              <w:rPr>
                <w:rStyle w:val="rvts0"/>
              </w:rPr>
              <w:t xml:space="preserve"> Комісію про намір припинити </w:t>
            </w:r>
            <w:r w:rsidRPr="00F44917">
              <w:rPr>
                <w:rStyle w:val="rvts0"/>
              </w:rPr>
              <w:lastRenderedPageBreak/>
              <w:t>провадження професійної діяльності на фондовому ринку або про намір отримати нову ліцензію на провадження цієї діяльності</w:t>
            </w:r>
            <w:r w:rsidR="00883C06">
              <w:rPr>
                <w:rStyle w:val="rvts0"/>
              </w:rPr>
              <w:t>.</w:t>
            </w:r>
          </w:p>
        </w:tc>
        <w:tc>
          <w:tcPr>
            <w:tcW w:w="1895" w:type="dxa"/>
            <w:gridSpan w:val="2"/>
          </w:tcPr>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lastRenderedPageBreak/>
              <w:t>високий,</w:t>
            </w:r>
          </w:p>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t>середній</w:t>
            </w:r>
          </w:p>
        </w:tc>
        <w:tc>
          <w:tcPr>
            <w:tcW w:w="985"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72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1800" w:type="dxa"/>
          </w:tcPr>
          <w:p w:rsidR="00206DC1" w:rsidRPr="00F44917" w:rsidRDefault="00206DC1" w:rsidP="00433B18">
            <w:pPr>
              <w:rPr>
                <w:bCs/>
                <w:lang w:val="uk-UA"/>
              </w:rPr>
            </w:pPr>
            <w:r w:rsidRPr="00F44917">
              <w:rPr>
                <w:bCs/>
                <w:lang w:val="uk-UA"/>
              </w:rPr>
              <w:t>Пункт 28 розділу ІІІ Ліцензійних умов № 818</w:t>
            </w:r>
          </w:p>
        </w:tc>
      </w:tr>
      <w:tr w:rsidR="00206DC1" w:rsidRPr="008B6049" w:rsidTr="00523BD3">
        <w:tc>
          <w:tcPr>
            <w:tcW w:w="720" w:type="dxa"/>
            <w:gridSpan w:val="2"/>
          </w:tcPr>
          <w:p w:rsidR="00206DC1" w:rsidRPr="00F44917" w:rsidRDefault="008F364C" w:rsidP="00433B18">
            <w:pPr>
              <w:pStyle w:val="NoSpacing"/>
              <w:jc w:val="both"/>
              <w:rPr>
                <w:rFonts w:ascii="Times New Roman" w:hAnsi="Times New Roman"/>
                <w:sz w:val="24"/>
                <w:szCs w:val="24"/>
                <w:lang w:val="uk-UA"/>
              </w:rPr>
            </w:pPr>
            <w:r>
              <w:rPr>
                <w:rFonts w:ascii="Times New Roman" w:hAnsi="Times New Roman"/>
                <w:sz w:val="24"/>
                <w:szCs w:val="24"/>
                <w:lang w:val="uk-UA"/>
              </w:rPr>
              <w:t>29</w:t>
            </w:r>
          </w:p>
        </w:tc>
        <w:tc>
          <w:tcPr>
            <w:tcW w:w="2520" w:type="dxa"/>
            <w:gridSpan w:val="2"/>
          </w:tcPr>
          <w:p w:rsidR="00206DC1" w:rsidRPr="00D80234" w:rsidRDefault="00206DC1" w:rsidP="00433B18">
            <w:pPr>
              <w:pStyle w:val="rvps2"/>
              <w:rPr>
                <w:rStyle w:val="rvts0"/>
              </w:rPr>
            </w:pPr>
            <w:r w:rsidRPr="00F44917">
              <w:t>Усі відомості пода</w:t>
            </w:r>
            <w:r w:rsidR="00305BE2">
              <w:t>ні</w:t>
            </w:r>
            <w:r w:rsidRPr="00F44917">
              <w:t xml:space="preserve"> до Комісії із супровідним листом, який засвідчується підписом керівника ліцензіата, у якому зазначено номер ліцензії ліцензіата. </w:t>
            </w:r>
            <w:bookmarkStart w:id="44" w:name="n155"/>
            <w:bookmarkEnd w:id="44"/>
            <w:r w:rsidRPr="00F44917">
              <w:t>У документах, що надаються згідно з цими Ліцензійними умовами та мають більше одного аркуша, усі аркуші є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bookmarkStart w:id="45" w:name="n156"/>
            <w:bookmarkEnd w:id="45"/>
            <w:r w:rsidRPr="00F44917">
              <w:t xml:space="preserve"> У разі якщо документи підписані не керівником ліцензіата, а виконувачем його обов'язків (крім випадків, установлених законами), то ліцензіат надає копію документа, який підтверджує повноваження цієї особи.</w:t>
            </w:r>
            <w:bookmarkStart w:id="46" w:name="n193"/>
            <w:bookmarkEnd w:id="46"/>
            <w:r w:rsidRPr="00F44917">
              <w:t xml:space="preserve"> У разі настання форс-мажорних обставин строк надання інформації, передбаченої цим розділом, продовжується </w:t>
            </w:r>
            <w:r w:rsidRPr="00F44917">
              <w:lastRenderedPageBreak/>
              <w:t>Комісією до дати отримання документів щодо закінчення таких обставин</w:t>
            </w:r>
            <w:r w:rsidR="00D80234">
              <w:t>.</w:t>
            </w:r>
          </w:p>
        </w:tc>
        <w:tc>
          <w:tcPr>
            <w:tcW w:w="1895" w:type="dxa"/>
            <w:gridSpan w:val="2"/>
          </w:tcPr>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lastRenderedPageBreak/>
              <w:t>середній,</w:t>
            </w:r>
          </w:p>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t>незначний</w:t>
            </w:r>
          </w:p>
        </w:tc>
        <w:tc>
          <w:tcPr>
            <w:tcW w:w="985"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72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1800" w:type="dxa"/>
          </w:tcPr>
          <w:p w:rsidR="00206DC1" w:rsidRPr="00F44917" w:rsidRDefault="00206DC1" w:rsidP="00E9079F">
            <w:pPr>
              <w:rPr>
                <w:bCs/>
                <w:lang w:val="uk-UA"/>
              </w:rPr>
            </w:pPr>
            <w:r w:rsidRPr="00F44917">
              <w:rPr>
                <w:bCs/>
                <w:lang w:val="uk-UA"/>
              </w:rPr>
              <w:t>Пункт 29 розділу ІІІ Ліцензійних умов № 818</w:t>
            </w:r>
          </w:p>
        </w:tc>
      </w:tr>
    </w:tbl>
    <w:p w:rsidR="00BE51B0" w:rsidRPr="008B2D33" w:rsidRDefault="00BE51B0" w:rsidP="003D48D0">
      <w:pPr>
        <w:ind w:right="-550"/>
        <w:rPr>
          <w:b/>
          <w:sz w:val="28"/>
          <w:szCs w:val="28"/>
          <w:lang w:val="uk-UA"/>
        </w:rPr>
      </w:pPr>
    </w:p>
    <w:p w:rsidR="0048195E" w:rsidRPr="00323A0C" w:rsidRDefault="0048195E" w:rsidP="0048195E">
      <w:pPr>
        <w:ind w:right="-550"/>
        <w:rPr>
          <w:sz w:val="20"/>
          <w:szCs w:val="20"/>
          <w:lang w:val="uk-UA"/>
        </w:rPr>
      </w:pPr>
      <w:r w:rsidRPr="00323A0C">
        <w:rPr>
          <w:b/>
          <w:sz w:val="20"/>
          <w:szCs w:val="20"/>
          <w:lang w:val="uk-UA"/>
        </w:rPr>
        <w:t>_____________</w:t>
      </w:r>
    </w:p>
    <w:p w:rsidR="0048195E" w:rsidRPr="00323A0C" w:rsidRDefault="0048195E" w:rsidP="0048195E">
      <w:pPr>
        <w:ind w:right="-83"/>
        <w:jc w:val="both"/>
        <w:rPr>
          <w:sz w:val="20"/>
          <w:szCs w:val="20"/>
          <w:lang w:val="uk-UA"/>
        </w:rPr>
      </w:pPr>
      <w:r w:rsidRPr="00323A0C">
        <w:rPr>
          <w:sz w:val="20"/>
          <w:szCs w:val="20"/>
          <w:lang w:val="uk-UA"/>
        </w:rPr>
        <w:tab/>
        <w:t>*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w:t>
      </w:r>
      <w:r w:rsidR="00323A0C">
        <w:rPr>
          <w:sz w:val="20"/>
          <w:szCs w:val="20"/>
          <w:lang w:val="uk-UA"/>
        </w:rPr>
        <w:t xml:space="preserve">арювання, </w:t>
      </w:r>
      <w:r w:rsidRPr="00323A0C">
        <w:rPr>
          <w:sz w:val="20"/>
          <w:szCs w:val="20"/>
          <w:lang w:val="uk-UA"/>
        </w:rPr>
        <w:t>а 1 -  питання щодо вимоги законодавства, дотримання якої не передбачає такого навантаження на суб’єкта господарювання.</w:t>
      </w:r>
    </w:p>
    <w:p w:rsidR="003D48D0" w:rsidRDefault="003D48D0" w:rsidP="003D48D0">
      <w:pPr>
        <w:ind w:right="-550"/>
        <w:rPr>
          <w:b/>
          <w:sz w:val="28"/>
          <w:szCs w:val="28"/>
          <w:lang w:val="uk-UA"/>
        </w:rPr>
      </w:pPr>
    </w:p>
    <w:p w:rsidR="00A64022" w:rsidRDefault="00A64022" w:rsidP="003D48D0">
      <w:pPr>
        <w:ind w:right="-550"/>
        <w:rPr>
          <w:b/>
          <w:sz w:val="28"/>
          <w:szCs w:val="28"/>
          <w:lang w:val="uk-UA"/>
        </w:rPr>
      </w:pPr>
    </w:p>
    <w:p w:rsidR="00FE5EA8" w:rsidRPr="008B6049" w:rsidRDefault="00FE5EA8" w:rsidP="003D48D0">
      <w:pPr>
        <w:ind w:right="-550"/>
        <w:rPr>
          <w:b/>
          <w:sz w:val="28"/>
          <w:szCs w:val="28"/>
          <w:lang w:val="uk-UA"/>
        </w:rPr>
      </w:pPr>
    </w:p>
    <w:p w:rsidR="003D48D0" w:rsidRPr="00D80234" w:rsidRDefault="003D48D0" w:rsidP="00883C06">
      <w:pPr>
        <w:ind w:left="360" w:right="-550"/>
        <w:rPr>
          <w:b/>
          <w:sz w:val="28"/>
          <w:szCs w:val="28"/>
          <w:lang w:val="uk-UA"/>
        </w:rPr>
      </w:pPr>
      <w:r w:rsidRPr="00D80234">
        <w:rPr>
          <w:b/>
          <w:sz w:val="28"/>
          <w:szCs w:val="28"/>
          <w:lang w:val="uk-UA"/>
        </w:rPr>
        <w:t xml:space="preserve">Директор департаменту </w:t>
      </w:r>
      <w:r w:rsidR="00A64022" w:rsidRPr="00D80234">
        <w:rPr>
          <w:b/>
          <w:sz w:val="28"/>
          <w:szCs w:val="28"/>
          <w:lang w:val="uk-UA"/>
        </w:rPr>
        <w:t xml:space="preserve">проведення </w:t>
      </w:r>
    </w:p>
    <w:p w:rsidR="003D48D0" w:rsidRPr="00D80234" w:rsidRDefault="00A64022" w:rsidP="00883C06">
      <w:pPr>
        <w:ind w:left="360" w:right="-550"/>
        <w:rPr>
          <w:b/>
          <w:sz w:val="28"/>
          <w:szCs w:val="28"/>
          <w:lang w:val="uk-UA"/>
        </w:rPr>
      </w:pPr>
      <w:r w:rsidRPr="00D80234">
        <w:rPr>
          <w:b/>
          <w:sz w:val="28"/>
          <w:szCs w:val="28"/>
          <w:lang w:val="uk-UA"/>
        </w:rPr>
        <w:t>інспекцій професійної діяльності</w:t>
      </w:r>
      <w:r w:rsidR="003D48D0" w:rsidRPr="00D80234">
        <w:rPr>
          <w:b/>
          <w:sz w:val="28"/>
          <w:szCs w:val="28"/>
          <w:lang w:val="uk-UA"/>
        </w:rPr>
        <w:t xml:space="preserve">                                </w:t>
      </w:r>
      <w:r w:rsidR="000242F3" w:rsidRPr="00D80234">
        <w:rPr>
          <w:b/>
          <w:sz w:val="28"/>
          <w:szCs w:val="28"/>
          <w:lang w:val="uk-UA"/>
        </w:rPr>
        <w:t xml:space="preserve">              </w:t>
      </w:r>
      <w:r w:rsidR="003D48D0" w:rsidRPr="00D80234">
        <w:rPr>
          <w:b/>
          <w:sz w:val="28"/>
          <w:szCs w:val="28"/>
          <w:lang w:val="uk-UA"/>
        </w:rPr>
        <w:t>О. Мисюра</w:t>
      </w:r>
    </w:p>
    <w:p w:rsidR="00FE65AB" w:rsidRPr="00D80234" w:rsidRDefault="00FE65AB" w:rsidP="00883C06">
      <w:pPr>
        <w:ind w:left="360"/>
        <w:rPr>
          <w:sz w:val="28"/>
          <w:szCs w:val="28"/>
          <w:lang w:val="uk-UA"/>
        </w:rPr>
      </w:pPr>
    </w:p>
    <w:sectPr w:rsidR="00FE65AB" w:rsidRPr="00D80234" w:rsidSect="00FE5EA8">
      <w:headerReference w:type="even" r:id="rId16"/>
      <w:headerReference w:type="default" r:id="rId17"/>
      <w:pgSz w:w="11906" w:h="16838"/>
      <w:pgMar w:top="899" w:right="746"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6B" w:rsidRDefault="00CF286B">
      <w:r>
        <w:separator/>
      </w:r>
    </w:p>
  </w:endnote>
  <w:endnote w:type="continuationSeparator" w:id="0">
    <w:p w:rsidR="00CF286B" w:rsidRDefault="00C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6B" w:rsidRDefault="00CF286B">
      <w:r>
        <w:separator/>
      </w:r>
    </w:p>
  </w:footnote>
  <w:footnote w:type="continuationSeparator" w:id="0">
    <w:p w:rsidR="00CF286B" w:rsidRDefault="00CF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A0" w:rsidRDefault="007924A0" w:rsidP="006950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24A0" w:rsidRDefault="007924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A0" w:rsidRDefault="007924A0" w:rsidP="006950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4BDB">
      <w:rPr>
        <w:rStyle w:val="a6"/>
        <w:noProof/>
      </w:rPr>
      <w:t>2</w:t>
    </w:r>
    <w:r>
      <w:rPr>
        <w:rStyle w:val="a6"/>
      </w:rPr>
      <w:fldChar w:fldCharType="end"/>
    </w:r>
  </w:p>
  <w:p w:rsidR="007924A0" w:rsidRDefault="007924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D65"/>
    <w:rsid w:val="000066B5"/>
    <w:rsid w:val="000140E8"/>
    <w:rsid w:val="000242F3"/>
    <w:rsid w:val="00036E09"/>
    <w:rsid w:val="00040C68"/>
    <w:rsid w:val="00086A1B"/>
    <w:rsid w:val="000A0EBC"/>
    <w:rsid w:val="000A0ECD"/>
    <w:rsid w:val="000A38D2"/>
    <w:rsid w:val="000B2A86"/>
    <w:rsid w:val="000D7A5D"/>
    <w:rsid w:val="000E3F0F"/>
    <w:rsid w:val="000E71EB"/>
    <w:rsid w:val="00110AAB"/>
    <w:rsid w:val="001318C9"/>
    <w:rsid w:val="001334B6"/>
    <w:rsid w:val="0014300B"/>
    <w:rsid w:val="00154BE0"/>
    <w:rsid w:val="0017363F"/>
    <w:rsid w:val="0018614A"/>
    <w:rsid w:val="00191F56"/>
    <w:rsid w:val="001954C9"/>
    <w:rsid w:val="001A2042"/>
    <w:rsid w:val="001D2C9E"/>
    <w:rsid w:val="001D7932"/>
    <w:rsid w:val="001E1316"/>
    <w:rsid w:val="001E3D1F"/>
    <w:rsid w:val="001E582A"/>
    <w:rsid w:val="00201531"/>
    <w:rsid w:val="0020206D"/>
    <w:rsid w:val="00206DC1"/>
    <w:rsid w:val="00211734"/>
    <w:rsid w:val="00223792"/>
    <w:rsid w:val="00225A64"/>
    <w:rsid w:val="00225B95"/>
    <w:rsid w:val="00230140"/>
    <w:rsid w:val="002324F8"/>
    <w:rsid w:val="0023316E"/>
    <w:rsid w:val="00242B49"/>
    <w:rsid w:val="0024377B"/>
    <w:rsid w:val="00260349"/>
    <w:rsid w:val="0026709E"/>
    <w:rsid w:val="00283C0C"/>
    <w:rsid w:val="00285805"/>
    <w:rsid w:val="002B5520"/>
    <w:rsid w:val="002C2485"/>
    <w:rsid w:val="002C251F"/>
    <w:rsid w:val="002C3800"/>
    <w:rsid w:val="002C4236"/>
    <w:rsid w:val="002C5280"/>
    <w:rsid w:val="002D16FE"/>
    <w:rsid w:val="002E7068"/>
    <w:rsid w:val="002F55FB"/>
    <w:rsid w:val="002F65FA"/>
    <w:rsid w:val="00300876"/>
    <w:rsid w:val="00305BE2"/>
    <w:rsid w:val="00310318"/>
    <w:rsid w:val="00312F9A"/>
    <w:rsid w:val="00321FA8"/>
    <w:rsid w:val="00323A0C"/>
    <w:rsid w:val="00323E4E"/>
    <w:rsid w:val="00324206"/>
    <w:rsid w:val="00326EF3"/>
    <w:rsid w:val="00332D6A"/>
    <w:rsid w:val="00334ECE"/>
    <w:rsid w:val="00336043"/>
    <w:rsid w:val="00340EB2"/>
    <w:rsid w:val="0035383E"/>
    <w:rsid w:val="0036160E"/>
    <w:rsid w:val="00383A1F"/>
    <w:rsid w:val="00384B62"/>
    <w:rsid w:val="00385872"/>
    <w:rsid w:val="003913C7"/>
    <w:rsid w:val="003929B1"/>
    <w:rsid w:val="003930F8"/>
    <w:rsid w:val="00397A3E"/>
    <w:rsid w:val="003A1378"/>
    <w:rsid w:val="003A5B6D"/>
    <w:rsid w:val="003B2549"/>
    <w:rsid w:val="003C54F1"/>
    <w:rsid w:val="003C72D6"/>
    <w:rsid w:val="003D116D"/>
    <w:rsid w:val="003D335D"/>
    <w:rsid w:val="003D48D0"/>
    <w:rsid w:val="003E183E"/>
    <w:rsid w:val="003E1CFC"/>
    <w:rsid w:val="004014CD"/>
    <w:rsid w:val="0040296C"/>
    <w:rsid w:val="004232A2"/>
    <w:rsid w:val="004330EC"/>
    <w:rsid w:val="00433B18"/>
    <w:rsid w:val="00433CF9"/>
    <w:rsid w:val="00434267"/>
    <w:rsid w:val="00435C5A"/>
    <w:rsid w:val="00443BBC"/>
    <w:rsid w:val="00460656"/>
    <w:rsid w:val="0048195E"/>
    <w:rsid w:val="00486E31"/>
    <w:rsid w:val="004A6BFE"/>
    <w:rsid w:val="004B4BDB"/>
    <w:rsid w:val="004C382B"/>
    <w:rsid w:val="004D263F"/>
    <w:rsid w:val="004F092D"/>
    <w:rsid w:val="004F3761"/>
    <w:rsid w:val="005061C0"/>
    <w:rsid w:val="00513358"/>
    <w:rsid w:val="00523BD3"/>
    <w:rsid w:val="00537A31"/>
    <w:rsid w:val="005401C8"/>
    <w:rsid w:val="00550050"/>
    <w:rsid w:val="0056113F"/>
    <w:rsid w:val="00562369"/>
    <w:rsid w:val="0056375D"/>
    <w:rsid w:val="005724E0"/>
    <w:rsid w:val="00575410"/>
    <w:rsid w:val="0057778D"/>
    <w:rsid w:val="0058006D"/>
    <w:rsid w:val="00587489"/>
    <w:rsid w:val="00587980"/>
    <w:rsid w:val="005907AE"/>
    <w:rsid w:val="005B105C"/>
    <w:rsid w:val="005C151F"/>
    <w:rsid w:val="005E2FA1"/>
    <w:rsid w:val="005F10BD"/>
    <w:rsid w:val="005F6118"/>
    <w:rsid w:val="00610D34"/>
    <w:rsid w:val="00613C06"/>
    <w:rsid w:val="00617733"/>
    <w:rsid w:val="0062224B"/>
    <w:rsid w:val="00625234"/>
    <w:rsid w:val="006406B7"/>
    <w:rsid w:val="0064631D"/>
    <w:rsid w:val="00656AAC"/>
    <w:rsid w:val="00662A4E"/>
    <w:rsid w:val="00664D65"/>
    <w:rsid w:val="00674937"/>
    <w:rsid w:val="00684A9B"/>
    <w:rsid w:val="00685B4A"/>
    <w:rsid w:val="006909AF"/>
    <w:rsid w:val="0069293C"/>
    <w:rsid w:val="0069505F"/>
    <w:rsid w:val="006A48D4"/>
    <w:rsid w:val="006B2C74"/>
    <w:rsid w:val="006C1FC3"/>
    <w:rsid w:val="006D6BB6"/>
    <w:rsid w:val="006E0136"/>
    <w:rsid w:val="006E2D27"/>
    <w:rsid w:val="006E4ADF"/>
    <w:rsid w:val="006F1867"/>
    <w:rsid w:val="006F3107"/>
    <w:rsid w:val="0070237D"/>
    <w:rsid w:val="007025EC"/>
    <w:rsid w:val="00702D07"/>
    <w:rsid w:val="007205E9"/>
    <w:rsid w:val="00730C86"/>
    <w:rsid w:val="0073383C"/>
    <w:rsid w:val="00744202"/>
    <w:rsid w:val="00744C3D"/>
    <w:rsid w:val="00754D6E"/>
    <w:rsid w:val="00772560"/>
    <w:rsid w:val="00790517"/>
    <w:rsid w:val="007924A0"/>
    <w:rsid w:val="00793780"/>
    <w:rsid w:val="00796861"/>
    <w:rsid w:val="007A39DC"/>
    <w:rsid w:val="007C3DAB"/>
    <w:rsid w:val="007D1DD9"/>
    <w:rsid w:val="007D4EC8"/>
    <w:rsid w:val="007D5260"/>
    <w:rsid w:val="007F4C81"/>
    <w:rsid w:val="00802144"/>
    <w:rsid w:val="0080619B"/>
    <w:rsid w:val="0083728C"/>
    <w:rsid w:val="008409D6"/>
    <w:rsid w:val="0085312A"/>
    <w:rsid w:val="008575DD"/>
    <w:rsid w:val="0086153D"/>
    <w:rsid w:val="008629E7"/>
    <w:rsid w:val="00883C06"/>
    <w:rsid w:val="00896B52"/>
    <w:rsid w:val="008A06FD"/>
    <w:rsid w:val="008A34BF"/>
    <w:rsid w:val="008B2D33"/>
    <w:rsid w:val="008B6049"/>
    <w:rsid w:val="008D168E"/>
    <w:rsid w:val="008F0A6B"/>
    <w:rsid w:val="008F364C"/>
    <w:rsid w:val="009340EB"/>
    <w:rsid w:val="0096522A"/>
    <w:rsid w:val="00966B74"/>
    <w:rsid w:val="0097162A"/>
    <w:rsid w:val="00971930"/>
    <w:rsid w:val="009733DD"/>
    <w:rsid w:val="0097444F"/>
    <w:rsid w:val="00977CB4"/>
    <w:rsid w:val="009A7043"/>
    <w:rsid w:val="009B1873"/>
    <w:rsid w:val="009D1A84"/>
    <w:rsid w:val="009D78C4"/>
    <w:rsid w:val="009E28CB"/>
    <w:rsid w:val="009F6BB6"/>
    <w:rsid w:val="00A02610"/>
    <w:rsid w:val="00A146CB"/>
    <w:rsid w:val="00A15295"/>
    <w:rsid w:val="00A25B61"/>
    <w:rsid w:val="00A26891"/>
    <w:rsid w:val="00A32696"/>
    <w:rsid w:val="00A404CE"/>
    <w:rsid w:val="00A4109C"/>
    <w:rsid w:val="00A553BD"/>
    <w:rsid w:val="00A55EC0"/>
    <w:rsid w:val="00A56E0E"/>
    <w:rsid w:val="00A61715"/>
    <w:rsid w:val="00A64022"/>
    <w:rsid w:val="00A6659D"/>
    <w:rsid w:val="00A857FE"/>
    <w:rsid w:val="00A87BCF"/>
    <w:rsid w:val="00AA1B46"/>
    <w:rsid w:val="00AB31FD"/>
    <w:rsid w:val="00AB45D8"/>
    <w:rsid w:val="00AC0017"/>
    <w:rsid w:val="00AE23BC"/>
    <w:rsid w:val="00AE2EEF"/>
    <w:rsid w:val="00AE5292"/>
    <w:rsid w:val="00B00B92"/>
    <w:rsid w:val="00B03114"/>
    <w:rsid w:val="00B13FF1"/>
    <w:rsid w:val="00B14542"/>
    <w:rsid w:val="00B3173A"/>
    <w:rsid w:val="00B55E90"/>
    <w:rsid w:val="00B615E1"/>
    <w:rsid w:val="00B627E9"/>
    <w:rsid w:val="00B63A3B"/>
    <w:rsid w:val="00B74F05"/>
    <w:rsid w:val="00B85B18"/>
    <w:rsid w:val="00B86D40"/>
    <w:rsid w:val="00B90F7D"/>
    <w:rsid w:val="00BA3A4C"/>
    <w:rsid w:val="00BA762B"/>
    <w:rsid w:val="00BB34C3"/>
    <w:rsid w:val="00BC5CD7"/>
    <w:rsid w:val="00BD6C62"/>
    <w:rsid w:val="00BE39FA"/>
    <w:rsid w:val="00BE51B0"/>
    <w:rsid w:val="00BF1D63"/>
    <w:rsid w:val="00C04115"/>
    <w:rsid w:val="00C062DA"/>
    <w:rsid w:val="00C117C3"/>
    <w:rsid w:val="00C32B9E"/>
    <w:rsid w:val="00C4749F"/>
    <w:rsid w:val="00C5324E"/>
    <w:rsid w:val="00C60D4D"/>
    <w:rsid w:val="00C613EE"/>
    <w:rsid w:val="00C77A88"/>
    <w:rsid w:val="00C818BB"/>
    <w:rsid w:val="00C9082F"/>
    <w:rsid w:val="00C932ED"/>
    <w:rsid w:val="00C943A0"/>
    <w:rsid w:val="00C97AF5"/>
    <w:rsid w:val="00CA26EE"/>
    <w:rsid w:val="00CB4E01"/>
    <w:rsid w:val="00CC116D"/>
    <w:rsid w:val="00CC119E"/>
    <w:rsid w:val="00CC63A5"/>
    <w:rsid w:val="00CD1B11"/>
    <w:rsid w:val="00CE1DD8"/>
    <w:rsid w:val="00CF286B"/>
    <w:rsid w:val="00D0691F"/>
    <w:rsid w:val="00D11F87"/>
    <w:rsid w:val="00D12DE4"/>
    <w:rsid w:val="00D34415"/>
    <w:rsid w:val="00D54239"/>
    <w:rsid w:val="00D54658"/>
    <w:rsid w:val="00D778EB"/>
    <w:rsid w:val="00D80234"/>
    <w:rsid w:val="00D95871"/>
    <w:rsid w:val="00DC132D"/>
    <w:rsid w:val="00DC3A1A"/>
    <w:rsid w:val="00DC5A8E"/>
    <w:rsid w:val="00E14B01"/>
    <w:rsid w:val="00E342C6"/>
    <w:rsid w:val="00E3761C"/>
    <w:rsid w:val="00E40E40"/>
    <w:rsid w:val="00E53525"/>
    <w:rsid w:val="00E56571"/>
    <w:rsid w:val="00E57E4D"/>
    <w:rsid w:val="00E73C2E"/>
    <w:rsid w:val="00E77ECF"/>
    <w:rsid w:val="00E8263C"/>
    <w:rsid w:val="00E845EE"/>
    <w:rsid w:val="00E861C9"/>
    <w:rsid w:val="00E9079F"/>
    <w:rsid w:val="00EA0E48"/>
    <w:rsid w:val="00EA3DCA"/>
    <w:rsid w:val="00EA5EC2"/>
    <w:rsid w:val="00EB3378"/>
    <w:rsid w:val="00EE47B1"/>
    <w:rsid w:val="00EE4846"/>
    <w:rsid w:val="00F0425E"/>
    <w:rsid w:val="00F243CE"/>
    <w:rsid w:val="00F412F1"/>
    <w:rsid w:val="00F44917"/>
    <w:rsid w:val="00F474A5"/>
    <w:rsid w:val="00F55C45"/>
    <w:rsid w:val="00F565A8"/>
    <w:rsid w:val="00F87774"/>
    <w:rsid w:val="00F902C0"/>
    <w:rsid w:val="00FA4625"/>
    <w:rsid w:val="00FB2C9D"/>
    <w:rsid w:val="00FB310E"/>
    <w:rsid w:val="00FB4FDA"/>
    <w:rsid w:val="00FC0EB0"/>
    <w:rsid w:val="00FD5D8A"/>
    <w:rsid w:val="00FD6C4C"/>
    <w:rsid w:val="00FE5EA8"/>
    <w:rsid w:val="00FE65AB"/>
    <w:rsid w:val="00FF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41ED4F-93B8-4DD0-93A9-6D522953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65"/>
    <w:rPr>
      <w:sz w:val="24"/>
      <w:szCs w:val="24"/>
      <w:lang w:val="ru-RU" w:eastAsia="ru-RU"/>
    </w:rPr>
  </w:style>
  <w:style w:type="paragraph" w:styleId="2">
    <w:name w:val="heading 2"/>
    <w:basedOn w:val="a"/>
    <w:next w:val="a"/>
    <w:link w:val="20"/>
    <w:qFormat/>
    <w:rsid w:val="00BF1D63"/>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664D65"/>
    <w:pPr>
      <w:spacing w:before="120"/>
      <w:ind w:firstLine="567"/>
    </w:pPr>
    <w:rPr>
      <w:rFonts w:ascii="Antiqua" w:hAnsi="Antiqua"/>
      <w:sz w:val="26"/>
      <w:szCs w:val="20"/>
      <w:lang w:val="uk-UA"/>
    </w:rPr>
  </w:style>
  <w:style w:type="paragraph" w:styleId="HTML">
    <w:name w:val="HTML Preformatted"/>
    <w:basedOn w:val="a"/>
    <w:link w:val="HTML0"/>
    <w:rsid w:val="0066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664D65"/>
    <w:rPr>
      <w:rFonts w:ascii="Courier New" w:hAnsi="Courier New"/>
      <w:lang w:val="en-US" w:eastAsia="ru-RU" w:bidi="ar-SA"/>
    </w:rPr>
  </w:style>
  <w:style w:type="paragraph" w:customStyle="1" w:styleId="NoSpacing">
    <w:name w:val="No Spacing"/>
    <w:rsid w:val="00664D65"/>
    <w:rPr>
      <w:rFonts w:ascii="Calibri" w:hAnsi="Calibri"/>
      <w:sz w:val="22"/>
      <w:szCs w:val="22"/>
      <w:lang w:val="ru-RU"/>
    </w:rPr>
  </w:style>
  <w:style w:type="paragraph" w:customStyle="1" w:styleId="1">
    <w:name w:val="Без интервала1"/>
    <w:rsid w:val="00664D65"/>
    <w:rPr>
      <w:rFonts w:ascii="Calibri" w:hAnsi="Calibri"/>
      <w:sz w:val="22"/>
      <w:szCs w:val="22"/>
      <w:lang w:val="ru-RU"/>
    </w:rPr>
  </w:style>
  <w:style w:type="character" w:customStyle="1" w:styleId="rvts0">
    <w:name w:val="rvts0"/>
    <w:basedOn w:val="a0"/>
    <w:rsid w:val="00C613EE"/>
  </w:style>
  <w:style w:type="paragraph" w:customStyle="1" w:styleId="rvps2">
    <w:name w:val="rvps2"/>
    <w:basedOn w:val="a"/>
    <w:rsid w:val="00B74F05"/>
    <w:pPr>
      <w:spacing w:before="100" w:beforeAutospacing="1" w:after="100" w:afterAutospacing="1"/>
    </w:pPr>
    <w:rPr>
      <w:lang w:val="uk-UA" w:eastAsia="uk-UA"/>
    </w:rPr>
  </w:style>
  <w:style w:type="character" w:styleId="a4">
    <w:name w:val="Hyperlink"/>
    <w:rsid w:val="00B74F05"/>
    <w:rPr>
      <w:color w:val="0000FF"/>
      <w:u w:val="single"/>
    </w:rPr>
  </w:style>
  <w:style w:type="character" w:customStyle="1" w:styleId="20">
    <w:name w:val="Заголовок 2 Знак"/>
    <w:link w:val="2"/>
    <w:semiHidden/>
    <w:locked/>
    <w:rsid w:val="00BF1D63"/>
    <w:rPr>
      <w:rFonts w:ascii="Cambria" w:hAnsi="Cambria"/>
      <w:b/>
      <w:bCs/>
      <w:i/>
      <w:iCs/>
      <w:sz w:val="28"/>
      <w:szCs w:val="28"/>
      <w:lang w:val="ru-RU" w:eastAsia="en-US" w:bidi="ar-SA"/>
    </w:rPr>
  </w:style>
  <w:style w:type="character" w:customStyle="1" w:styleId="rvts46">
    <w:name w:val="rvts46"/>
    <w:basedOn w:val="a0"/>
    <w:rsid w:val="003D116D"/>
  </w:style>
  <w:style w:type="character" w:customStyle="1" w:styleId="rvts11">
    <w:name w:val="rvts11"/>
    <w:basedOn w:val="a0"/>
    <w:rsid w:val="003D116D"/>
  </w:style>
  <w:style w:type="paragraph" w:styleId="a5">
    <w:name w:val="header"/>
    <w:basedOn w:val="a"/>
    <w:rsid w:val="00523BD3"/>
    <w:pPr>
      <w:tabs>
        <w:tab w:val="center" w:pos="4819"/>
        <w:tab w:val="right" w:pos="9639"/>
      </w:tabs>
    </w:pPr>
  </w:style>
  <w:style w:type="character" w:styleId="a6">
    <w:name w:val="page number"/>
    <w:basedOn w:val="a0"/>
    <w:rsid w:val="0052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671">
      <w:bodyDiv w:val="1"/>
      <w:marLeft w:val="0"/>
      <w:marRight w:val="0"/>
      <w:marTop w:val="0"/>
      <w:marBottom w:val="0"/>
      <w:divBdr>
        <w:top w:val="none" w:sz="0" w:space="0" w:color="auto"/>
        <w:left w:val="none" w:sz="0" w:space="0" w:color="auto"/>
        <w:bottom w:val="none" w:sz="0" w:space="0" w:color="auto"/>
        <w:right w:val="none" w:sz="0" w:space="0" w:color="auto"/>
      </w:divBdr>
    </w:div>
    <w:div w:id="218517666">
      <w:bodyDiv w:val="1"/>
      <w:marLeft w:val="0"/>
      <w:marRight w:val="0"/>
      <w:marTop w:val="0"/>
      <w:marBottom w:val="0"/>
      <w:divBdr>
        <w:top w:val="none" w:sz="0" w:space="0" w:color="auto"/>
        <w:left w:val="none" w:sz="0" w:space="0" w:color="auto"/>
        <w:bottom w:val="none" w:sz="0" w:space="0" w:color="auto"/>
        <w:right w:val="none" w:sz="0" w:space="0" w:color="auto"/>
      </w:divBdr>
    </w:div>
    <w:div w:id="550650822">
      <w:bodyDiv w:val="1"/>
      <w:marLeft w:val="0"/>
      <w:marRight w:val="0"/>
      <w:marTop w:val="0"/>
      <w:marBottom w:val="0"/>
      <w:divBdr>
        <w:top w:val="none" w:sz="0" w:space="0" w:color="auto"/>
        <w:left w:val="none" w:sz="0" w:space="0" w:color="auto"/>
        <w:bottom w:val="none" w:sz="0" w:space="0" w:color="auto"/>
        <w:right w:val="none" w:sz="0" w:space="0" w:color="auto"/>
      </w:divBdr>
    </w:div>
    <w:div w:id="635992170">
      <w:bodyDiv w:val="1"/>
      <w:marLeft w:val="0"/>
      <w:marRight w:val="0"/>
      <w:marTop w:val="0"/>
      <w:marBottom w:val="0"/>
      <w:divBdr>
        <w:top w:val="none" w:sz="0" w:space="0" w:color="auto"/>
        <w:left w:val="none" w:sz="0" w:space="0" w:color="auto"/>
        <w:bottom w:val="none" w:sz="0" w:space="0" w:color="auto"/>
        <w:right w:val="none" w:sz="0" w:space="0" w:color="auto"/>
      </w:divBdr>
    </w:div>
    <w:div w:id="871961776">
      <w:bodyDiv w:val="1"/>
      <w:marLeft w:val="0"/>
      <w:marRight w:val="0"/>
      <w:marTop w:val="0"/>
      <w:marBottom w:val="0"/>
      <w:divBdr>
        <w:top w:val="none" w:sz="0" w:space="0" w:color="auto"/>
        <w:left w:val="none" w:sz="0" w:space="0" w:color="auto"/>
        <w:bottom w:val="none" w:sz="0" w:space="0" w:color="auto"/>
        <w:right w:val="none" w:sz="0" w:space="0" w:color="auto"/>
      </w:divBdr>
    </w:div>
    <w:div w:id="1113524637">
      <w:bodyDiv w:val="1"/>
      <w:marLeft w:val="0"/>
      <w:marRight w:val="0"/>
      <w:marTop w:val="0"/>
      <w:marBottom w:val="0"/>
      <w:divBdr>
        <w:top w:val="none" w:sz="0" w:space="0" w:color="auto"/>
        <w:left w:val="none" w:sz="0" w:space="0" w:color="auto"/>
        <w:bottom w:val="none" w:sz="0" w:space="0" w:color="auto"/>
        <w:right w:val="none" w:sz="0" w:space="0" w:color="auto"/>
      </w:divBdr>
    </w:div>
    <w:div w:id="1175147676">
      <w:bodyDiv w:val="1"/>
      <w:marLeft w:val="0"/>
      <w:marRight w:val="0"/>
      <w:marTop w:val="0"/>
      <w:marBottom w:val="0"/>
      <w:divBdr>
        <w:top w:val="none" w:sz="0" w:space="0" w:color="auto"/>
        <w:left w:val="none" w:sz="0" w:space="0" w:color="auto"/>
        <w:bottom w:val="none" w:sz="0" w:space="0" w:color="auto"/>
        <w:right w:val="none" w:sz="0" w:space="0" w:color="auto"/>
      </w:divBdr>
    </w:div>
    <w:div w:id="1176532979">
      <w:bodyDiv w:val="1"/>
      <w:marLeft w:val="0"/>
      <w:marRight w:val="0"/>
      <w:marTop w:val="0"/>
      <w:marBottom w:val="0"/>
      <w:divBdr>
        <w:top w:val="none" w:sz="0" w:space="0" w:color="auto"/>
        <w:left w:val="none" w:sz="0" w:space="0" w:color="auto"/>
        <w:bottom w:val="none" w:sz="0" w:space="0" w:color="auto"/>
        <w:right w:val="none" w:sz="0" w:space="0" w:color="auto"/>
      </w:divBdr>
    </w:div>
    <w:div w:id="1378971729">
      <w:bodyDiv w:val="1"/>
      <w:marLeft w:val="0"/>
      <w:marRight w:val="0"/>
      <w:marTop w:val="0"/>
      <w:marBottom w:val="0"/>
      <w:divBdr>
        <w:top w:val="none" w:sz="0" w:space="0" w:color="auto"/>
        <w:left w:val="none" w:sz="0" w:space="0" w:color="auto"/>
        <w:bottom w:val="none" w:sz="0" w:space="0" w:color="auto"/>
        <w:right w:val="none" w:sz="0" w:space="0" w:color="auto"/>
      </w:divBdr>
    </w:div>
    <w:div w:id="1463764371">
      <w:bodyDiv w:val="1"/>
      <w:marLeft w:val="0"/>
      <w:marRight w:val="0"/>
      <w:marTop w:val="0"/>
      <w:marBottom w:val="0"/>
      <w:divBdr>
        <w:top w:val="none" w:sz="0" w:space="0" w:color="auto"/>
        <w:left w:val="none" w:sz="0" w:space="0" w:color="auto"/>
        <w:bottom w:val="none" w:sz="0" w:space="0" w:color="auto"/>
        <w:right w:val="none" w:sz="0" w:space="0" w:color="auto"/>
      </w:divBdr>
    </w:div>
    <w:div w:id="1501238592">
      <w:bodyDiv w:val="1"/>
      <w:marLeft w:val="0"/>
      <w:marRight w:val="0"/>
      <w:marTop w:val="0"/>
      <w:marBottom w:val="0"/>
      <w:divBdr>
        <w:top w:val="none" w:sz="0" w:space="0" w:color="auto"/>
        <w:left w:val="none" w:sz="0" w:space="0" w:color="auto"/>
        <w:bottom w:val="none" w:sz="0" w:space="0" w:color="auto"/>
        <w:right w:val="none" w:sz="0" w:space="0" w:color="auto"/>
      </w:divBdr>
    </w:div>
    <w:div w:id="1735229392">
      <w:bodyDiv w:val="1"/>
      <w:marLeft w:val="0"/>
      <w:marRight w:val="0"/>
      <w:marTop w:val="0"/>
      <w:marBottom w:val="0"/>
      <w:divBdr>
        <w:top w:val="none" w:sz="0" w:space="0" w:color="auto"/>
        <w:left w:val="none" w:sz="0" w:space="0" w:color="auto"/>
        <w:bottom w:val="none" w:sz="0" w:space="0" w:color="auto"/>
        <w:right w:val="none" w:sz="0" w:space="0" w:color="auto"/>
      </w:divBdr>
    </w:div>
    <w:div w:id="1790902666">
      <w:bodyDiv w:val="1"/>
      <w:marLeft w:val="0"/>
      <w:marRight w:val="0"/>
      <w:marTop w:val="0"/>
      <w:marBottom w:val="0"/>
      <w:divBdr>
        <w:top w:val="none" w:sz="0" w:space="0" w:color="auto"/>
        <w:left w:val="none" w:sz="0" w:space="0" w:color="auto"/>
        <w:bottom w:val="none" w:sz="0" w:space="0" w:color="auto"/>
        <w:right w:val="none" w:sz="0" w:space="0" w:color="auto"/>
      </w:divBdr>
    </w:div>
    <w:div w:id="1914272503">
      <w:bodyDiv w:val="1"/>
      <w:marLeft w:val="0"/>
      <w:marRight w:val="0"/>
      <w:marTop w:val="0"/>
      <w:marBottom w:val="0"/>
      <w:divBdr>
        <w:top w:val="none" w:sz="0" w:space="0" w:color="auto"/>
        <w:left w:val="none" w:sz="0" w:space="0" w:color="auto"/>
        <w:bottom w:val="none" w:sz="0" w:space="0" w:color="auto"/>
        <w:right w:val="none" w:sz="0" w:space="0" w:color="auto"/>
      </w:divBdr>
    </w:div>
    <w:div w:id="19455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269-13/paran17" TargetMode="External"/><Relationship Id="rId13" Type="http://schemas.openxmlformats.org/officeDocument/2006/relationships/hyperlink" Target="http://zakon2.rada.gov.ua/laws/show/z1999-12/paran1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z0269-13/paran17" TargetMode="External"/><Relationship Id="rId12" Type="http://schemas.openxmlformats.org/officeDocument/2006/relationships/hyperlink" Target="https://zakon.rada.gov.ua/laws/show/z1628-12"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zakon5.rada.gov.ua/laws/show/z1311-15/paran20" TargetMode="External"/><Relationship Id="rId11" Type="http://schemas.openxmlformats.org/officeDocument/2006/relationships/hyperlink" Target="http://zakon0.rada.gov.ua/laws/show/z1760-12/paran17" TargetMode="External"/><Relationship Id="rId5" Type="http://schemas.openxmlformats.org/officeDocument/2006/relationships/endnotes" Target="endnotes.xml"/><Relationship Id="rId15" Type="http://schemas.openxmlformats.org/officeDocument/2006/relationships/hyperlink" Target="http://zakon5.rada.gov.ua/laws/show/z1738-12/paran19" TargetMode="External"/><Relationship Id="rId10" Type="http://schemas.openxmlformats.org/officeDocument/2006/relationships/hyperlink" Target="http://zakon0.rada.gov.ua/laws/show/80/94-%D0%B2%D1%8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zakon0.rada.gov.ua/laws/show/2657-12" TargetMode="External"/><Relationship Id="rId14" Type="http://schemas.openxmlformats.org/officeDocument/2006/relationships/hyperlink" Target="http://zakon5.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5007</Words>
  <Characters>28541</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SSMSC</Company>
  <LinksUpToDate>false</LinksUpToDate>
  <CharactersWithSpaces>33482</CharactersWithSpaces>
  <SharedDoc>false</SharedDoc>
  <HLinks>
    <vt:vector size="60" baseType="variant">
      <vt:variant>
        <vt:i4>6881333</vt:i4>
      </vt:variant>
      <vt:variant>
        <vt:i4>27</vt:i4>
      </vt:variant>
      <vt:variant>
        <vt:i4>0</vt:i4>
      </vt:variant>
      <vt:variant>
        <vt:i4>5</vt:i4>
      </vt:variant>
      <vt:variant>
        <vt:lpwstr>http://zakon5.rada.gov.ua/laws/show/z1738-12/paran19</vt:lpwstr>
      </vt:variant>
      <vt:variant>
        <vt:lpwstr>n19</vt:lpwstr>
      </vt:variant>
      <vt:variant>
        <vt:i4>3997746</vt:i4>
      </vt:variant>
      <vt:variant>
        <vt:i4>24</vt:i4>
      </vt:variant>
      <vt:variant>
        <vt:i4>0</vt:i4>
      </vt:variant>
      <vt:variant>
        <vt:i4>5</vt:i4>
      </vt:variant>
      <vt:variant>
        <vt:lpwstr>http://zakon5.rada.gov.ua/laws/show/755-15</vt:lpwstr>
      </vt:variant>
      <vt:variant>
        <vt:lpwstr/>
      </vt:variant>
      <vt:variant>
        <vt:i4>7274557</vt:i4>
      </vt:variant>
      <vt:variant>
        <vt:i4>21</vt:i4>
      </vt:variant>
      <vt:variant>
        <vt:i4>0</vt:i4>
      </vt:variant>
      <vt:variant>
        <vt:i4>5</vt:i4>
      </vt:variant>
      <vt:variant>
        <vt:lpwstr>http://zakon2.rada.gov.ua/laws/show/z1999-12/paran15</vt:lpwstr>
      </vt:variant>
      <vt:variant>
        <vt:lpwstr>n15</vt:lpwstr>
      </vt:variant>
      <vt:variant>
        <vt:i4>7733287</vt:i4>
      </vt:variant>
      <vt:variant>
        <vt:i4>18</vt:i4>
      </vt:variant>
      <vt:variant>
        <vt:i4>0</vt:i4>
      </vt:variant>
      <vt:variant>
        <vt:i4>5</vt:i4>
      </vt:variant>
      <vt:variant>
        <vt:lpwstr>https://zakon.rada.gov.ua/laws/show/z1628-12</vt:lpwstr>
      </vt:variant>
      <vt:variant>
        <vt:lpwstr>n18</vt:lpwstr>
      </vt:variant>
      <vt:variant>
        <vt:i4>6422584</vt:i4>
      </vt:variant>
      <vt:variant>
        <vt:i4>15</vt:i4>
      </vt:variant>
      <vt:variant>
        <vt:i4>0</vt:i4>
      </vt:variant>
      <vt:variant>
        <vt:i4>5</vt:i4>
      </vt:variant>
      <vt:variant>
        <vt:lpwstr>http://zakon0.rada.gov.ua/laws/show/z1760-12/paran17</vt:lpwstr>
      </vt:variant>
      <vt:variant>
        <vt:lpwstr>n17</vt:lpwstr>
      </vt:variant>
      <vt:variant>
        <vt:i4>3539068</vt:i4>
      </vt:variant>
      <vt:variant>
        <vt:i4>12</vt:i4>
      </vt:variant>
      <vt:variant>
        <vt:i4>0</vt:i4>
      </vt:variant>
      <vt:variant>
        <vt:i4>5</vt:i4>
      </vt:variant>
      <vt:variant>
        <vt:lpwstr>http://zakon0.rada.gov.ua/laws/show/80/94-%D0%B2%D1%80</vt:lpwstr>
      </vt:variant>
      <vt:variant>
        <vt:lpwstr/>
      </vt:variant>
      <vt:variant>
        <vt:i4>2097198</vt:i4>
      </vt:variant>
      <vt:variant>
        <vt:i4>9</vt:i4>
      </vt:variant>
      <vt:variant>
        <vt:i4>0</vt:i4>
      </vt:variant>
      <vt:variant>
        <vt:i4>5</vt:i4>
      </vt:variant>
      <vt:variant>
        <vt:lpwstr>http://zakon0.rada.gov.ua/laws/show/2657-12</vt:lpwstr>
      </vt:variant>
      <vt:variant>
        <vt:lpwstr/>
      </vt:variant>
      <vt:variant>
        <vt:i4>6422582</vt:i4>
      </vt:variant>
      <vt:variant>
        <vt:i4>6</vt:i4>
      </vt:variant>
      <vt:variant>
        <vt:i4>0</vt:i4>
      </vt:variant>
      <vt:variant>
        <vt:i4>5</vt:i4>
      </vt:variant>
      <vt:variant>
        <vt:lpwstr>http://zakon2.rada.gov.ua/laws/show/z0269-13/paran17</vt:lpwstr>
      </vt:variant>
      <vt:variant>
        <vt:lpwstr>n17</vt:lpwstr>
      </vt:variant>
      <vt:variant>
        <vt:i4>6422582</vt:i4>
      </vt:variant>
      <vt:variant>
        <vt:i4>3</vt:i4>
      </vt:variant>
      <vt:variant>
        <vt:i4>0</vt:i4>
      </vt:variant>
      <vt:variant>
        <vt:i4>5</vt:i4>
      </vt:variant>
      <vt:variant>
        <vt:lpwstr>http://zakon2.rada.gov.ua/laws/show/z0269-13/paran17</vt:lpwstr>
      </vt:variant>
      <vt:variant>
        <vt:lpwstr>n17</vt:lpwstr>
      </vt:variant>
      <vt:variant>
        <vt:i4>6684731</vt:i4>
      </vt:variant>
      <vt:variant>
        <vt:i4>0</vt:i4>
      </vt:variant>
      <vt:variant>
        <vt:i4>0</vt:i4>
      </vt:variant>
      <vt:variant>
        <vt:i4>5</vt:i4>
      </vt:variant>
      <vt:variant>
        <vt:lpwstr>http://zakon5.rada.gov.ua/laws/show/z1311-15/paran20</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tetyana.bilochenko</dc:creator>
  <cp:keywords/>
  <cp:lastModifiedBy>Руслан Кисляк</cp:lastModifiedBy>
  <cp:revision>3</cp:revision>
  <cp:lastPrinted>2019-07-17T11:26:00Z</cp:lastPrinted>
  <dcterms:created xsi:type="dcterms:W3CDTF">2019-08-30T11:49:00Z</dcterms:created>
  <dcterms:modified xsi:type="dcterms:W3CDTF">2019-08-30T11:49:00Z</dcterms:modified>
</cp:coreProperties>
</file>