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F67" w:rsidRDefault="00BE2F67" w:rsidP="00BE2F67">
      <w:pPr>
        <w:pStyle w:val="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НАЦІОНАЛЬНА КОМІСІЯ З ЦІННИХ ПАПЕРІВ ТА ФОНДОВОГО РИНКУ</w:t>
      </w:r>
    </w:p>
    <w:p w:rsidR="00BE2F67" w:rsidRDefault="00BE2F67" w:rsidP="00BE2F67">
      <w:pPr>
        <w:pStyle w:val="1"/>
        <w:jc w:val="center"/>
        <w:rPr>
          <w:b/>
          <w:sz w:val="26"/>
          <w:szCs w:val="26"/>
        </w:rPr>
      </w:pPr>
    </w:p>
    <w:p w:rsidR="00BE2F67" w:rsidRPr="00BE2F67" w:rsidRDefault="00BE2F67" w:rsidP="00BE2F67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А №</w:t>
      </w:r>
      <w:r w:rsidR="006C42BA">
        <w:rPr>
          <w:b/>
          <w:sz w:val="28"/>
          <w:szCs w:val="28"/>
          <w:lang w:val="ru-RU"/>
        </w:rPr>
        <w:t xml:space="preserve"> </w:t>
      </w:r>
      <w:r w:rsidR="006C42BA" w:rsidRPr="006C42BA">
        <w:rPr>
          <w:b/>
          <w:sz w:val="28"/>
          <w:szCs w:val="28"/>
          <w:lang w:val="ru-RU"/>
        </w:rPr>
        <w:t>411</w:t>
      </w:r>
      <w:r w:rsidRPr="006C42BA">
        <w:rPr>
          <w:b/>
          <w:sz w:val="28"/>
          <w:szCs w:val="28"/>
        </w:rPr>
        <w:t>-ДП-ДУ</w:t>
      </w:r>
    </w:p>
    <w:p w:rsidR="00BE2F67" w:rsidRDefault="00BE2F67" w:rsidP="00BE2F67">
      <w:pPr>
        <w:pStyle w:val="21"/>
        <w:ind w:firstLine="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 накладення санкції за правопорушення на ринку цінних паперів</w:t>
      </w:r>
    </w:p>
    <w:p w:rsidR="00BE2F67" w:rsidRDefault="00BE2F67" w:rsidP="00BE2F67">
      <w:pPr>
        <w:pStyle w:val="21"/>
        <w:ind w:right="-284" w:firstLine="0"/>
        <w:rPr>
          <w:sz w:val="16"/>
          <w:szCs w:val="16"/>
          <w:lang w:val="uk-UA"/>
        </w:rPr>
      </w:pPr>
    </w:p>
    <w:p w:rsidR="00BE2F67" w:rsidRDefault="00BE2F67" w:rsidP="00BE2F67">
      <w:pPr>
        <w:pStyle w:val="21"/>
        <w:ind w:right="-284" w:firstLine="360"/>
        <w:rPr>
          <w:szCs w:val="28"/>
          <w:lang w:val="uk-UA"/>
        </w:rPr>
      </w:pPr>
      <w:r>
        <w:rPr>
          <w:szCs w:val="28"/>
          <w:lang w:val="uk-UA"/>
        </w:rPr>
        <w:t>м. Київ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  12 серпня 2019 року</w:t>
      </w:r>
    </w:p>
    <w:p w:rsidR="00BE2F67" w:rsidRDefault="00BE2F67" w:rsidP="00BE2F67">
      <w:pPr>
        <w:ind w:firstLine="709"/>
        <w:jc w:val="both"/>
        <w:rPr>
          <w:sz w:val="16"/>
          <w:szCs w:val="16"/>
        </w:rPr>
      </w:pPr>
    </w:p>
    <w:p w:rsidR="00BE2F67" w:rsidRDefault="00BE2F67" w:rsidP="004C1362">
      <w:pPr>
        <w:ind w:firstLine="709"/>
        <w:jc w:val="both"/>
        <w:rPr>
          <w:noProof/>
          <w:sz w:val="28"/>
          <w:szCs w:val="28"/>
        </w:rPr>
      </w:pPr>
      <w:r w:rsidRPr="00BE2F67">
        <w:rPr>
          <w:sz w:val="28"/>
          <w:szCs w:val="28"/>
        </w:rPr>
        <w:t xml:space="preserve">Ми, уповноважені особи Національної комісії з цінних паперів та фондового ринку (далі - Комісія) – Голова Комісії </w:t>
      </w:r>
      <w:proofErr w:type="spellStart"/>
      <w:r w:rsidRPr="00BE2F67">
        <w:rPr>
          <w:sz w:val="28"/>
          <w:szCs w:val="28"/>
        </w:rPr>
        <w:t>Хромаєв</w:t>
      </w:r>
      <w:proofErr w:type="spellEnd"/>
      <w:r w:rsidRPr="00BE2F67">
        <w:rPr>
          <w:sz w:val="28"/>
          <w:szCs w:val="28"/>
        </w:rPr>
        <w:t xml:space="preserve"> Т.З., на підставі статті 9 Закону України «Про державне регулювання ринку цінних паперів в Україні», член Комісії </w:t>
      </w:r>
      <w:proofErr w:type="spellStart"/>
      <w:r w:rsidRPr="00BE2F67">
        <w:rPr>
          <w:sz w:val="28"/>
          <w:szCs w:val="28"/>
        </w:rPr>
        <w:t>Назарчук</w:t>
      </w:r>
      <w:proofErr w:type="spellEnd"/>
      <w:r w:rsidRPr="00BE2F67">
        <w:rPr>
          <w:sz w:val="28"/>
          <w:szCs w:val="28"/>
        </w:rPr>
        <w:t xml:space="preserve"> І.Р., член Комісії Панченко О.С., на підставі доручення Голови Комісії </w:t>
      </w:r>
      <w:proofErr w:type="spellStart"/>
      <w:r w:rsidRPr="00BE2F67">
        <w:rPr>
          <w:sz w:val="28"/>
          <w:szCs w:val="28"/>
        </w:rPr>
        <w:t>Хромаєва</w:t>
      </w:r>
      <w:proofErr w:type="spellEnd"/>
      <w:r w:rsidRPr="00BE2F67">
        <w:rPr>
          <w:sz w:val="28"/>
          <w:szCs w:val="28"/>
        </w:rPr>
        <w:t xml:space="preserve"> Т.З. від 15.07.2019 № 404-ДП-ДУ, у відношенні Товариства з обмеженою відповідальністю «ГРУПА ІНВЕСТИЦІЙНИЙ СТАНДАРТ» (далі – ТОВ «ГРУПА ІНВЕСТИЦІЙНИЙ СТАНДАРТ», Товариство), місцезнаходження: 83017, Донецька обл., м. Донецьк,  вул. </w:t>
      </w:r>
      <w:proofErr w:type="spellStart"/>
      <w:r w:rsidRPr="00BE2F67">
        <w:rPr>
          <w:sz w:val="28"/>
          <w:szCs w:val="28"/>
        </w:rPr>
        <w:t>Овнатаняна</w:t>
      </w:r>
      <w:proofErr w:type="spellEnd"/>
      <w:r w:rsidRPr="00BE2F67">
        <w:rPr>
          <w:sz w:val="28"/>
          <w:szCs w:val="28"/>
        </w:rPr>
        <w:t xml:space="preserve">, буд. 4; тимчасове місцезнаходження: 84551, Донецька обл., </w:t>
      </w:r>
      <w:proofErr w:type="spellStart"/>
      <w:r w:rsidRPr="00BE2F67">
        <w:rPr>
          <w:sz w:val="28"/>
          <w:szCs w:val="28"/>
        </w:rPr>
        <w:t>Бахмутський</w:t>
      </w:r>
      <w:proofErr w:type="spellEnd"/>
      <w:r w:rsidRPr="00BE2F67">
        <w:rPr>
          <w:sz w:val="28"/>
          <w:szCs w:val="28"/>
        </w:rPr>
        <w:t xml:space="preserve"> р-н, м. Часів Яр, вул. Центральна, 1; ідентифікаційний код юридичної особи 35830798,</w:t>
      </w:r>
      <w:r>
        <w:rPr>
          <w:sz w:val="28"/>
          <w:szCs w:val="28"/>
        </w:rPr>
        <w:t xml:space="preserve">  </w:t>
      </w:r>
    </w:p>
    <w:p w:rsidR="00BE2F67" w:rsidRDefault="00BE2F67" w:rsidP="004C1362">
      <w:pPr>
        <w:pStyle w:val="a6"/>
        <w:spacing w:after="0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 т а н о в и л и:</w:t>
      </w:r>
    </w:p>
    <w:p w:rsidR="00BE2F67" w:rsidRDefault="00BE2F67" w:rsidP="004C1362">
      <w:pPr>
        <w:ind w:firstLine="709"/>
        <w:jc w:val="both"/>
        <w:rPr>
          <w:sz w:val="28"/>
          <w:szCs w:val="28"/>
        </w:rPr>
      </w:pPr>
      <w:r w:rsidRPr="001938A5">
        <w:rPr>
          <w:sz w:val="28"/>
          <w:szCs w:val="28"/>
        </w:rPr>
        <w:t>у відношенні</w:t>
      </w:r>
      <w:r w:rsidRPr="001938A5">
        <w:rPr>
          <w:sz w:val="28"/>
          <w:szCs w:val="28"/>
          <w:lang w:val="ru-RU"/>
        </w:rPr>
        <w:t xml:space="preserve"> </w:t>
      </w:r>
      <w:r w:rsidRPr="00C845D5">
        <w:rPr>
          <w:sz w:val="28"/>
          <w:szCs w:val="28"/>
          <w:lang w:val="ru-RU"/>
        </w:rPr>
        <w:t>ТОВ «ГРУПА ІНВЕСТИЦІЙНИЙ СТАНДАРТ»</w:t>
      </w:r>
      <w:r>
        <w:rPr>
          <w:sz w:val="28"/>
          <w:szCs w:val="28"/>
          <w:lang w:val="ru-RU"/>
        </w:rPr>
        <w:t xml:space="preserve"> </w:t>
      </w:r>
      <w:r w:rsidRPr="001938A5">
        <w:rPr>
          <w:sz w:val="28"/>
          <w:szCs w:val="28"/>
        </w:rPr>
        <w:t xml:space="preserve">було складено акт про правопорушення на ринку цінних паперів від </w:t>
      </w:r>
      <w:r>
        <w:rPr>
          <w:sz w:val="28"/>
          <w:szCs w:val="28"/>
          <w:lang w:val="ru-RU"/>
        </w:rPr>
        <w:t>09.07</w:t>
      </w:r>
      <w:r w:rsidRPr="001938A5">
        <w:rPr>
          <w:sz w:val="28"/>
          <w:szCs w:val="28"/>
          <w:lang w:val="ru-RU"/>
        </w:rPr>
        <w:t>.2019</w:t>
      </w:r>
      <w:r w:rsidRPr="001938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№ 540-ДП-ДУ</w:t>
      </w:r>
      <w:r w:rsidRPr="001938A5">
        <w:rPr>
          <w:sz w:val="28"/>
          <w:szCs w:val="28"/>
        </w:rPr>
        <w:t>, відповідно до якого встановлено наступне.</w:t>
      </w:r>
      <w:r w:rsidRPr="0043211A">
        <w:rPr>
          <w:sz w:val="28"/>
          <w:szCs w:val="28"/>
        </w:rPr>
        <w:t xml:space="preserve"> </w:t>
      </w:r>
    </w:p>
    <w:p w:rsidR="00BE2F67" w:rsidRPr="00C56548" w:rsidRDefault="00BE2F67" w:rsidP="004C1362">
      <w:pPr>
        <w:ind w:firstLine="709"/>
        <w:jc w:val="both"/>
        <w:rPr>
          <w:sz w:val="28"/>
          <w:szCs w:val="28"/>
        </w:rPr>
      </w:pPr>
      <w:r w:rsidRPr="00C56548">
        <w:rPr>
          <w:sz w:val="28"/>
          <w:szCs w:val="28"/>
        </w:rPr>
        <w:t xml:space="preserve">У відношенні </w:t>
      </w:r>
      <w:r>
        <w:rPr>
          <w:sz w:val="28"/>
          <w:szCs w:val="28"/>
        </w:rPr>
        <w:t xml:space="preserve">Товариства </w:t>
      </w:r>
      <w:r w:rsidRPr="00C56548">
        <w:rPr>
          <w:sz w:val="28"/>
          <w:szCs w:val="28"/>
        </w:rPr>
        <w:t xml:space="preserve">було винесено розпорядження про усунення порушень законодавства про цінні папери № 207-ДП-ДУ від 09.10.2018 з терміном виконання до 30.11.2018. </w:t>
      </w:r>
    </w:p>
    <w:p w:rsidR="00BE2F67" w:rsidRPr="00C56548" w:rsidRDefault="00BE2F67" w:rsidP="004C1362">
      <w:pPr>
        <w:ind w:firstLine="709"/>
        <w:jc w:val="both"/>
        <w:rPr>
          <w:sz w:val="28"/>
          <w:szCs w:val="28"/>
        </w:rPr>
      </w:pPr>
      <w:r w:rsidRPr="00C56548">
        <w:rPr>
          <w:sz w:val="28"/>
          <w:szCs w:val="28"/>
        </w:rPr>
        <w:t>Розпорядження виносилось у зв'язку з порушенням вимог пункту 16 глави 1 розділу ІІ Ліцензійних умов провадження професійної діяльності на фондовому ринку (ринку цінних паперів) – депозитарної діяльност</w:t>
      </w:r>
      <w:r>
        <w:rPr>
          <w:sz w:val="28"/>
          <w:szCs w:val="28"/>
        </w:rPr>
        <w:t>і та клірингової діяльності, затверджених</w:t>
      </w:r>
      <w:r w:rsidRPr="00C56548">
        <w:rPr>
          <w:sz w:val="28"/>
          <w:szCs w:val="28"/>
        </w:rPr>
        <w:t xml:space="preserve"> рішенням Комісії від 21.05.2013 № 862, зареєстрованим в Міністерстві юстиції України 06.06.2013 за № 897/23429 (далі – Ліцензійні умови) у частині недотримання </w:t>
      </w:r>
      <w:proofErr w:type="spellStart"/>
      <w:r w:rsidRPr="00C56548">
        <w:rPr>
          <w:sz w:val="28"/>
          <w:szCs w:val="28"/>
        </w:rPr>
        <w:t>пруденційних</w:t>
      </w:r>
      <w:proofErr w:type="spellEnd"/>
      <w:r w:rsidRPr="00C56548">
        <w:rPr>
          <w:sz w:val="28"/>
          <w:szCs w:val="28"/>
        </w:rPr>
        <w:t xml:space="preserve"> нормативів. </w:t>
      </w:r>
    </w:p>
    <w:p w:rsidR="00BE2F67" w:rsidRPr="00C56548" w:rsidRDefault="00BE2F67" w:rsidP="004C1362">
      <w:pPr>
        <w:ind w:firstLine="709"/>
        <w:jc w:val="both"/>
        <w:rPr>
          <w:sz w:val="28"/>
          <w:szCs w:val="28"/>
        </w:rPr>
      </w:pPr>
      <w:r w:rsidRPr="00C56548">
        <w:rPr>
          <w:sz w:val="28"/>
          <w:szCs w:val="28"/>
        </w:rPr>
        <w:t xml:space="preserve">Відповідно до розпорядження про усунення порушень законодавства про цінні папери № 207-ДП-ДУ від 09.10.2018, Товариству необхідно у термін до 30 листопада 2018 року усунути вищезазначене порушення законодавства шляхом  приведення значення </w:t>
      </w:r>
      <w:proofErr w:type="spellStart"/>
      <w:r w:rsidRPr="00C56548">
        <w:rPr>
          <w:sz w:val="28"/>
          <w:szCs w:val="28"/>
        </w:rPr>
        <w:t>пруденційного</w:t>
      </w:r>
      <w:proofErr w:type="spellEnd"/>
      <w:r w:rsidRPr="00C56548">
        <w:rPr>
          <w:sz w:val="28"/>
          <w:szCs w:val="28"/>
        </w:rPr>
        <w:t xml:space="preserve"> показника у відповідність до нормативного значення та до 30 листопада 2018 року письмово проінформувати уповноважену особу Комісії та департамент систематизації та аналізу фінансової звітності учасників ринків капіталу та </w:t>
      </w:r>
      <w:proofErr w:type="spellStart"/>
      <w:r w:rsidRPr="00C56548">
        <w:rPr>
          <w:sz w:val="28"/>
          <w:szCs w:val="28"/>
        </w:rPr>
        <w:t>пруденційного</w:t>
      </w:r>
      <w:proofErr w:type="spellEnd"/>
      <w:r w:rsidRPr="00C56548">
        <w:rPr>
          <w:sz w:val="28"/>
          <w:szCs w:val="28"/>
        </w:rPr>
        <w:t xml:space="preserve"> нагляду про виконання цього розпорядження.</w:t>
      </w:r>
    </w:p>
    <w:p w:rsidR="00BE2F67" w:rsidRPr="00C56548" w:rsidRDefault="00BE2F67" w:rsidP="004C1362">
      <w:pPr>
        <w:ind w:firstLine="709"/>
        <w:jc w:val="both"/>
        <w:rPr>
          <w:sz w:val="28"/>
          <w:szCs w:val="28"/>
        </w:rPr>
      </w:pPr>
      <w:r w:rsidRPr="00C56548">
        <w:rPr>
          <w:sz w:val="28"/>
          <w:szCs w:val="28"/>
        </w:rPr>
        <w:t xml:space="preserve">Розпорядження № 207-ДП-ДУ від 09.10.2018 направлено ТОВ «ГРУПА ІНВЕСТИЦІЙНИЙ СТАНДАРТ» рекомендованим листом зі штрих-кодовим ідентифікатором 0101032554661. Відповідно до інформації з офіційного веб-сайту АТ «Укрпошта» http://services.ukrposhta.ua, відправлення за номером 0101032554661 – </w:t>
      </w:r>
      <w:proofErr w:type="spellStart"/>
      <w:r w:rsidRPr="00C56548">
        <w:rPr>
          <w:sz w:val="28"/>
          <w:szCs w:val="28"/>
        </w:rPr>
        <w:t>вручено</w:t>
      </w:r>
      <w:proofErr w:type="spellEnd"/>
      <w:r w:rsidRPr="00C56548">
        <w:rPr>
          <w:sz w:val="28"/>
          <w:szCs w:val="28"/>
        </w:rPr>
        <w:t xml:space="preserve"> 17.10.2018 07:39:00.</w:t>
      </w:r>
    </w:p>
    <w:p w:rsidR="00BE2F67" w:rsidRPr="00C56548" w:rsidRDefault="00BE2F67" w:rsidP="004C1362">
      <w:pPr>
        <w:ind w:firstLine="709"/>
        <w:jc w:val="both"/>
        <w:rPr>
          <w:sz w:val="28"/>
          <w:szCs w:val="28"/>
        </w:rPr>
      </w:pPr>
      <w:r w:rsidRPr="00C56548">
        <w:rPr>
          <w:sz w:val="28"/>
          <w:szCs w:val="28"/>
        </w:rPr>
        <w:t xml:space="preserve">Станом на 30.11.2018 розмір власних коштів Товариства не відповідає встановленому нормативному значенню і дорівнює 2 673 821,91 грн. </w:t>
      </w:r>
    </w:p>
    <w:p w:rsidR="00BE2F67" w:rsidRPr="00C56548" w:rsidRDefault="00BE2F67" w:rsidP="004C1362">
      <w:pPr>
        <w:ind w:firstLine="709"/>
        <w:jc w:val="both"/>
        <w:rPr>
          <w:sz w:val="28"/>
          <w:szCs w:val="28"/>
        </w:rPr>
      </w:pPr>
      <w:r w:rsidRPr="00C56548">
        <w:rPr>
          <w:sz w:val="28"/>
          <w:szCs w:val="28"/>
        </w:rPr>
        <w:lastRenderedPageBreak/>
        <w:t xml:space="preserve">Починаючи з дати виникнення відхилення, тобто з 31.01.2018, до 30.11.2018 значення </w:t>
      </w:r>
      <w:proofErr w:type="spellStart"/>
      <w:r w:rsidRPr="00C56548">
        <w:rPr>
          <w:sz w:val="28"/>
          <w:szCs w:val="28"/>
        </w:rPr>
        <w:t>пруденційного</w:t>
      </w:r>
      <w:proofErr w:type="spellEnd"/>
      <w:r w:rsidRPr="00C56548">
        <w:rPr>
          <w:sz w:val="28"/>
          <w:szCs w:val="28"/>
        </w:rPr>
        <w:t xml:space="preserve"> показника не досягало встановленого нормативного значення. </w:t>
      </w:r>
    </w:p>
    <w:p w:rsidR="00BE2F67" w:rsidRPr="00C56548" w:rsidRDefault="00BE2F67" w:rsidP="004C1362">
      <w:pPr>
        <w:ind w:firstLine="709"/>
        <w:jc w:val="both"/>
        <w:rPr>
          <w:sz w:val="28"/>
          <w:szCs w:val="28"/>
        </w:rPr>
      </w:pPr>
      <w:r w:rsidRPr="00C56548">
        <w:rPr>
          <w:sz w:val="28"/>
          <w:szCs w:val="28"/>
        </w:rPr>
        <w:t xml:space="preserve">Крім того, станом на 11.01.2019 інформація про виконання розпорядження про усунення порушень законодавства про цінні папери № 207- ДП-ДУ від 09.10.2018 від Товариства до Комісії не надходила. </w:t>
      </w:r>
    </w:p>
    <w:p w:rsidR="00BE2F67" w:rsidRDefault="00BE2F67" w:rsidP="004C1362">
      <w:pPr>
        <w:ind w:firstLine="709"/>
        <w:jc w:val="both"/>
        <w:rPr>
          <w:sz w:val="28"/>
          <w:szCs w:val="28"/>
        </w:rPr>
      </w:pPr>
      <w:r w:rsidRPr="00C56548">
        <w:rPr>
          <w:sz w:val="28"/>
          <w:szCs w:val="28"/>
        </w:rPr>
        <w:t>Таким чином, Товариство не виконало розпорядження про усунення порушень законодавства про цінні п</w:t>
      </w:r>
      <w:r>
        <w:rPr>
          <w:sz w:val="28"/>
          <w:szCs w:val="28"/>
        </w:rPr>
        <w:t>апери №207-ДП-ДУ від 09.10.2018.</w:t>
      </w:r>
      <w:r w:rsidRPr="00C56548">
        <w:rPr>
          <w:sz w:val="28"/>
          <w:szCs w:val="28"/>
        </w:rPr>
        <w:t xml:space="preserve"> </w:t>
      </w:r>
    </w:p>
    <w:p w:rsidR="00BE2F67" w:rsidRPr="00C56548" w:rsidRDefault="00BE2F67" w:rsidP="004C1362">
      <w:pPr>
        <w:ind w:firstLine="709"/>
        <w:jc w:val="both"/>
        <w:rPr>
          <w:sz w:val="28"/>
          <w:szCs w:val="28"/>
        </w:rPr>
      </w:pPr>
      <w:r w:rsidRPr="00D551B1">
        <w:rPr>
          <w:sz w:val="28"/>
          <w:szCs w:val="28"/>
        </w:rPr>
        <w:t>Також, у відношенні  ТОВ «ГРУПА ІНВЕСТИЦІЙНИЙ СТАНДАРТ» було складено акт про правопорушення на ринку цінних паперів від 09.07.2019                №541-ДП-ДУ,  відповідно до якого встановлено наступне.</w:t>
      </w:r>
    </w:p>
    <w:p w:rsidR="00BE2F67" w:rsidRPr="00C56548" w:rsidRDefault="00BE2F67" w:rsidP="004C1362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48">
        <w:rPr>
          <w:rFonts w:ascii="Times New Roman" w:hAnsi="Times New Roman" w:cs="Times New Roman"/>
          <w:sz w:val="28"/>
          <w:szCs w:val="28"/>
        </w:rPr>
        <w:t xml:space="preserve">Відповідно до пункту 5 розділу </w:t>
      </w:r>
      <w:r w:rsidRPr="00C5654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56548">
        <w:rPr>
          <w:rFonts w:ascii="Times New Roman" w:hAnsi="Times New Roman" w:cs="Times New Roman"/>
          <w:sz w:val="28"/>
          <w:szCs w:val="28"/>
        </w:rPr>
        <w:t xml:space="preserve"> </w:t>
      </w:r>
      <w:r w:rsidRPr="00C56548">
        <w:rPr>
          <w:rStyle w:val="rvts23"/>
          <w:rFonts w:ascii="Times New Roman" w:hAnsi="Times New Roman" w:cs="Times New Roman"/>
          <w:sz w:val="28"/>
          <w:szCs w:val="28"/>
        </w:rPr>
        <w:t xml:space="preserve">Положення щодо </w:t>
      </w:r>
      <w:proofErr w:type="spellStart"/>
      <w:r w:rsidRPr="00C56548">
        <w:rPr>
          <w:rStyle w:val="rvts23"/>
          <w:rFonts w:ascii="Times New Roman" w:hAnsi="Times New Roman" w:cs="Times New Roman"/>
          <w:sz w:val="28"/>
          <w:szCs w:val="28"/>
        </w:rPr>
        <w:t>пруденційних</w:t>
      </w:r>
      <w:proofErr w:type="spellEnd"/>
      <w:r w:rsidRPr="00C56548">
        <w:rPr>
          <w:rStyle w:val="rvts23"/>
          <w:rFonts w:ascii="Times New Roman" w:hAnsi="Times New Roman" w:cs="Times New Roman"/>
          <w:sz w:val="28"/>
          <w:szCs w:val="28"/>
        </w:rPr>
        <w:t xml:space="preserve"> нормативів професійної діяльності на фондовому ринку та вимог до системи управління ризиками, з</w:t>
      </w:r>
      <w:r w:rsidRPr="00C56548">
        <w:rPr>
          <w:rStyle w:val="rvts9"/>
          <w:rFonts w:ascii="Times New Roman" w:hAnsi="Times New Roman" w:cs="Times New Roman"/>
          <w:sz w:val="28"/>
          <w:szCs w:val="28"/>
        </w:rPr>
        <w:t>атвердженого</w:t>
      </w:r>
      <w:r w:rsidRPr="00C56548">
        <w:rPr>
          <w:rFonts w:ascii="Times New Roman" w:hAnsi="Times New Roman" w:cs="Times New Roman"/>
          <w:sz w:val="28"/>
          <w:szCs w:val="28"/>
        </w:rPr>
        <w:t xml:space="preserve"> рішенням Комісії від 01.10.2015  № 1597, зареєстрованим в Міністерстві юстиції України 28.10.2015 за № 1311/27756 (далі – Положення № 1597) </w:t>
      </w:r>
      <w:r w:rsidRPr="00C56548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C56548">
        <w:rPr>
          <w:rFonts w:ascii="Times New Roman" w:hAnsi="Times New Roman" w:cs="Times New Roman"/>
          <w:sz w:val="28"/>
          <w:szCs w:val="28"/>
          <w:shd w:val="clear" w:color="auto" w:fill="FFFFFF"/>
        </w:rPr>
        <w:t>нформація</w:t>
      </w:r>
      <w:proofErr w:type="spellEnd"/>
      <w:r w:rsidRPr="00C56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 результати розрахунку </w:t>
      </w:r>
      <w:proofErr w:type="spellStart"/>
      <w:r w:rsidRPr="00C56548">
        <w:rPr>
          <w:rFonts w:ascii="Times New Roman" w:hAnsi="Times New Roman" w:cs="Times New Roman"/>
          <w:sz w:val="28"/>
          <w:szCs w:val="28"/>
          <w:shd w:val="clear" w:color="auto" w:fill="FFFFFF"/>
        </w:rPr>
        <w:t>пруденційних</w:t>
      </w:r>
      <w:proofErr w:type="spellEnd"/>
      <w:r w:rsidRPr="00C56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нормативів та дані, на основі яких здійснювався розрахунок зазначених показників, подаються до Комісії у порядку та строки, визначені нормативно-правовими актами Комісії, що регламентують подання адміністративних даних професійними учасниками фондового ринку до Комісії.</w:t>
      </w:r>
      <w:r w:rsidRPr="00C56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F67" w:rsidRPr="00C56548" w:rsidRDefault="00BE2F67" w:rsidP="004C1362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48">
        <w:rPr>
          <w:rFonts w:ascii="Times New Roman" w:hAnsi="Times New Roman" w:cs="Times New Roman"/>
          <w:sz w:val="28"/>
          <w:szCs w:val="28"/>
        </w:rPr>
        <w:t>Порядок складання та строки подання адміністративних даних (далі – Дані) депозитарними установами визначено Положенням про порядок звітування депозитарними установами до Національної комісії з цінних паперів</w:t>
      </w:r>
      <w:r>
        <w:rPr>
          <w:rFonts w:ascii="Times New Roman" w:hAnsi="Times New Roman" w:cs="Times New Roman"/>
          <w:sz w:val="28"/>
          <w:szCs w:val="28"/>
        </w:rPr>
        <w:t xml:space="preserve"> та фондового ринку, затвердженого</w:t>
      </w:r>
      <w:r w:rsidRPr="00C56548">
        <w:rPr>
          <w:rFonts w:ascii="Times New Roman" w:hAnsi="Times New Roman" w:cs="Times New Roman"/>
          <w:sz w:val="28"/>
          <w:szCs w:val="28"/>
        </w:rPr>
        <w:t xml:space="preserve"> рішенням Комісії від 11.06.2013 №</w:t>
      </w:r>
      <w:r w:rsidRPr="00C56548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C56548">
        <w:rPr>
          <w:rFonts w:ascii="Times New Roman" w:hAnsi="Times New Roman" w:cs="Times New Roman"/>
          <w:sz w:val="28"/>
          <w:szCs w:val="28"/>
        </w:rPr>
        <w:t>992, зареєстрованим у Міністерстві юстиції України 05.07.2013 за № 1126/23658 (далі – Положення № 992).</w:t>
      </w:r>
    </w:p>
    <w:p w:rsidR="00BE2F67" w:rsidRPr="00C56548" w:rsidRDefault="00BE2F67" w:rsidP="004C1362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48">
        <w:rPr>
          <w:rFonts w:ascii="Times New Roman" w:hAnsi="Times New Roman" w:cs="Times New Roman"/>
          <w:sz w:val="28"/>
          <w:szCs w:val="28"/>
        </w:rPr>
        <w:t xml:space="preserve">Відповідно до підпункту 1 пункту 1 глави 1 розділу </w:t>
      </w:r>
      <w:r w:rsidRPr="00C56548">
        <w:rPr>
          <w:rFonts w:ascii="Times New Roman" w:hAnsi="Times New Roman" w:cs="Times New Roman"/>
          <w:sz w:val="28"/>
          <w:szCs w:val="28"/>
          <w:lang w:eastAsia="ru-RU"/>
        </w:rPr>
        <w:t>VI</w:t>
      </w:r>
      <w:r w:rsidRPr="00C56548">
        <w:rPr>
          <w:rFonts w:ascii="Times New Roman" w:hAnsi="Times New Roman" w:cs="Times New Roman"/>
          <w:sz w:val="28"/>
          <w:szCs w:val="28"/>
        </w:rPr>
        <w:t xml:space="preserve"> Положення № 1597 одним з показників, які використовуються для вимірювання та оцінки ризиків депозитарної діяльності депозитарної установи, є розмір власних коштів.</w:t>
      </w:r>
    </w:p>
    <w:p w:rsidR="00BE2F67" w:rsidRPr="00C56548" w:rsidRDefault="00BE2F67" w:rsidP="004C1362">
      <w:pPr>
        <w:ind w:firstLine="709"/>
        <w:jc w:val="both"/>
        <w:rPr>
          <w:rStyle w:val="rvts23"/>
          <w:color w:val="000000"/>
          <w:sz w:val="28"/>
          <w:szCs w:val="28"/>
        </w:rPr>
      </w:pPr>
      <w:r w:rsidRPr="00C56548">
        <w:rPr>
          <w:rStyle w:val="rvts23"/>
          <w:color w:val="000000"/>
          <w:sz w:val="28"/>
          <w:szCs w:val="28"/>
        </w:rPr>
        <w:t xml:space="preserve">Відповідно до пункту 1 глави 2 розділу </w:t>
      </w:r>
      <w:r w:rsidRPr="00C56548">
        <w:rPr>
          <w:sz w:val="28"/>
          <w:szCs w:val="28"/>
        </w:rPr>
        <w:t xml:space="preserve">VI </w:t>
      </w:r>
      <w:r w:rsidRPr="00C56548">
        <w:rPr>
          <w:rStyle w:val="rvts23"/>
          <w:color w:val="000000"/>
          <w:sz w:val="28"/>
          <w:szCs w:val="28"/>
        </w:rPr>
        <w:t>Положення №</w:t>
      </w:r>
      <w:r w:rsidRPr="00C56548">
        <w:rPr>
          <w:rStyle w:val="rvts23"/>
          <w:color w:val="000000"/>
          <w:sz w:val="28"/>
          <w:szCs w:val="28"/>
          <w:lang w:val="en-US"/>
        </w:rPr>
        <w:t> </w:t>
      </w:r>
      <w:r w:rsidRPr="00C56548">
        <w:rPr>
          <w:rStyle w:val="rvts23"/>
          <w:color w:val="000000"/>
          <w:sz w:val="28"/>
          <w:szCs w:val="28"/>
        </w:rPr>
        <w:t>1597, власні кошти є коштами, які депозитарна установа може використовувати на покриття негативних фінансових наслідків реалізації ризиків, що виникають при провадженні нею професійної діяльності на фондовому ринку.</w:t>
      </w:r>
    </w:p>
    <w:p w:rsidR="00BE2F67" w:rsidRPr="00C56548" w:rsidRDefault="00BE2F67" w:rsidP="004C1362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548">
        <w:rPr>
          <w:rFonts w:ascii="Times New Roman" w:hAnsi="Times New Roman" w:cs="Times New Roman"/>
          <w:sz w:val="28"/>
          <w:szCs w:val="28"/>
          <w:lang w:eastAsia="ru-RU"/>
        </w:rPr>
        <w:t>Відповідно до пункту 2 глави 2 розділу VI Положення № 1597, власні кошти розраховуються в порядку, передбаченому главою 2 розділу ІІІ Положення</w:t>
      </w:r>
      <w:r w:rsidRPr="00C56548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56548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Pr="00C56548">
        <w:rPr>
          <w:rFonts w:ascii="Times New Roman" w:hAnsi="Times New Roman" w:cs="Times New Roman"/>
          <w:sz w:val="28"/>
          <w:szCs w:val="28"/>
          <w:lang w:val="en-US" w:eastAsia="ru-RU"/>
        </w:rPr>
        <w:t>1597</w:t>
      </w:r>
      <w:r w:rsidRPr="00C56548">
        <w:rPr>
          <w:rFonts w:ascii="Times New Roman" w:hAnsi="Times New Roman" w:cs="Times New Roman"/>
          <w:sz w:val="28"/>
          <w:szCs w:val="28"/>
          <w:lang w:eastAsia="ru-RU"/>
        </w:rPr>
        <w:t xml:space="preserve"> для розрахунку показника регулятивного капіталу установи.</w:t>
      </w:r>
    </w:p>
    <w:p w:rsidR="00BE2F67" w:rsidRPr="00C56548" w:rsidRDefault="00BE2F67" w:rsidP="004C1362">
      <w:pPr>
        <w:ind w:firstLine="709"/>
        <w:jc w:val="both"/>
        <w:rPr>
          <w:rStyle w:val="rvts23"/>
          <w:color w:val="000000"/>
          <w:sz w:val="28"/>
          <w:szCs w:val="28"/>
        </w:rPr>
      </w:pPr>
      <w:r w:rsidRPr="00C56548">
        <w:rPr>
          <w:rStyle w:val="rvts23"/>
          <w:color w:val="000000"/>
          <w:sz w:val="28"/>
          <w:szCs w:val="28"/>
        </w:rPr>
        <w:t>Пунктом 2 глави 2 розділу ІІІ Положення №</w:t>
      </w:r>
      <w:r w:rsidRPr="00C56548">
        <w:rPr>
          <w:rStyle w:val="rvts23"/>
          <w:color w:val="000000"/>
          <w:sz w:val="28"/>
          <w:szCs w:val="28"/>
          <w:lang w:val="en-US"/>
        </w:rPr>
        <w:t> </w:t>
      </w:r>
      <w:r w:rsidRPr="00C56548">
        <w:rPr>
          <w:rStyle w:val="rvts23"/>
          <w:color w:val="000000"/>
          <w:sz w:val="28"/>
          <w:szCs w:val="28"/>
        </w:rPr>
        <w:t>1597 передбачено, що регулятивний капітал складається з капіталу першого рівня та капіталу другого рівня.</w:t>
      </w:r>
    </w:p>
    <w:p w:rsidR="00BE2F67" w:rsidRPr="00C56548" w:rsidRDefault="00BE2F67" w:rsidP="004C1362">
      <w:pPr>
        <w:ind w:firstLine="709"/>
        <w:jc w:val="both"/>
        <w:rPr>
          <w:sz w:val="28"/>
          <w:szCs w:val="28"/>
        </w:rPr>
      </w:pPr>
      <w:r w:rsidRPr="00C56548">
        <w:rPr>
          <w:sz w:val="28"/>
          <w:szCs w:val="28"/>
        </w:rPr>
        <w:t>Згідно з підпунктом 5 пункту 4 глави 2 розділу ІІІ Положення №</w:t>
      </w:r>
      <w:r w:rsidRPr="00C56548">
        <w:rPr>
          <w:sz w:val="28"/>
          <w:szCs w:val="28"/>
          <w:lang w:val="en-US"/>
        </w:rPr>
        <w:t> </w:t>
      </w:r>
      <w:r w:rsidRPr="00C56548">
        <w:rPr>
          <w:sz w:val="28"/>
          <w:szCs w:val="28"/>
        </w:rPr>
        <w:t>1597, у редакції яка діяла до 01.01.2019 року, капітал першого рівня включає, у тому числі, прибуток поточного року у разі підтвердження його розміру аудитором (аудиторською фірмою).</w:t>
      </w:r>
    </w:p>
    <w:p w:rsidR="00BE2F67" w:rsidRPr="00C56548" w:rsidRDefault="00BE2F67" w:rsidP="004C1362">
      <w:pPr>
        <w:ind w:firstLine="709"/>
        <w:jc w:val="both"/>
        <w:rPr>
          <w:sz w:val="28"/>
          <w:szCs w:val="28"/>
        </w:rPr>
      </w:pPr>
      <w:r w:rsidRPr="00C56548">
        <w:rPr>
          <w:sz w:val="28"/>
          <w:szCs w:val="28"/>
        </w:rPr>
        <w:t>Відповідно до підпункту 5 пункту 4 глави 2 розділу ІІІ Положення №</w:t>
      </w:r>
      <w:r w:rsidRPr="00C56548">
        <w:rPr>
          <w:sz w:val="28"/>
          <w:szCs w:val="28"/>
          <w:lang w:val="en-US"/>
        </w:rPr>
        <w:t> </w:t>
      </w:r>
      <w:r w:rsidRPr="00C56548">
        <w:rPr>
          <w:sz w:val="28"/>
          <w:szCs w:val="28"/>
        </w:rPr>
        <w:t>1597, у редакції яка діє з 01.01.2019 року,</w:t>
      </w:r>
      <w:r w:rsidRPr="00C56548">
        <w:rPr>
          <w:sz w:val="28"/>
          <w:szCs w:val="28"/>
          <w:shd w:val="clear" w:color="auto" w:fill="FFFFFF"/>
        </w:rPr>
        <w:t xml:space="preserve"> прибуток поточного року (якщо фінансовим </w:t>
      </w:r>
      <w:r w:rsidRPr="00C56548">
        <w:rPr>
          <w:sz w:val="28"/>
          <w:szCs w:val="28"/>
          <w:shd w:val="clear" w:color="auto" w:fill="FFFFFF"/>
        </w:rPr>
        <w:lastRenderedPageBreak/>
        <w:t xml:space="preserve">результатом є прибуток) у разі підтвердження його розміру аудитором (аудиторською фірмою) відповідно до Міжнародних стандартів аудиту. Використання підтвердженого аудитором прибутку поточного року для розрахунку капіталу першого рівня допускається протягом не більше трьох місяців з дати, станом на яку здійснено таке підтвердження. Датою, з якої підтверджений аудитором прибуток поточного року може включатись до складу капіталу першого рівня, є дата звіту аудитора (копія відповідного звіту аудитора подається до Комісії у паперовому вигляді у строки, передбачені для подання інформації про результати та дані щодо розрахунку </w:t>
      </w:r>
      <w:proofErr w:type="spellStart"/>
      <w:r w:rsidRPr="00C56548">
        <w:rPr>
          <w:sz w:val="28"/>
          <w:szCs w:val="28"/>
          <w:shd w:val="clear" w:color="auto" w:fill="FFFFFF"/>
        </w:rPr>
        <w:t>пруденційних</w:t>
      </w:r>
      <w:proofErr w:type="spellEnd"/>
      <w:r w:rsidRPr="00C56548">
        <w:rPr>
          <w:sz w:val="28"/>
          <w:szCs w:val="28"/>
          <w:shd w:val="clear" w:color="auto" w:fill="FFFFFF"/>
        </w:rPr>
        <w:t xml:space="preserve"> нормативів до Комісії).</w:t>
      </w:r>
    </w:p>
    <w:p w:rsidR="00BE2F67" w:rsidRPr="00C56548" w:rsidRDefault="00BE2F67" w:rsidP="004C1362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548">
        <w:rPr>
          <w:rFonts w:ascii="Times New Roman" w:hAnsi="Times New Roman" w:cs="Times New Roman"/>
          <w:sz w:val="28"/>
          <w:szCs w:val="28"/>
          <w:lang w:eastAsia="ru-RU"/>
        </w:rPr>
        <w:t>Відповідно до Положення № 992, депозитарна установа</w:t>
      </w:r>
      <w:r w:rsidRPr="00C56548">
        <w:rPr>
          <w:rStyle w:val="rvts23"/>
          <w:rFonts w:ascii="Times New Roman" w:hAnsi="Times New Roman" w:cs="Times New Roman"/>
          <w:color w:val="000000"/>
          <w:sz w:val="28"/>
          <w:szCs w:val="28"/>
        </w:rPr>
        <w:t xml:space="preserve"> подає до Комісії інформацію щодо </w:t>
      </w:r>
      <w:r w:rsidRPr="00C56548">
        <w:rPr>
          <w:rFonts w:ascii="Times New Roman" w:hAnsi="Times New Roman" w:cs="Times New Roman"/>
          <w:sz w:val="28"/>
          <w:szCs w:val="28"/>
        </w:rPr>
        <w:t>прибутку поточного року у разі підтвердження його розміру аудитором (аудиторською фірмою) у Довідці про вихідні дані для розрахунку розміру власних коштів.</w:t>
      </w:r>
    </w:p>
    <w:p w:rsidR="00BE2F67" w:rsidRPr="00C56548" w:rsidRDefault="00BE2F67" w:rsidP="004C1362">
      <w:pPr>
        <w:ind w:firstLine="709"/>
        <w:jc w:val="both"/>
        <w:rPr>
          <w:sz w:val="28"/>
          <w:szCs w:val="28"/>
        </w:rPr>
      </w:pPr>
      <w:r w:rsidRPr="00C56548">
        <w:rPr>
          <w:sz w:val="28"/>
          <w:szCs w:val="28"/>
        </w:rPr>
        <w:t xml:space="preserve">Відповідно до інформації, поданої </w:t>
      </w:r>
      <w:r w:rsidRPr="00C56548">
        <w:rPr>
          <w:sz w:val="28"/>
          <w:szCs w:val="28"/>
          <w:shd w:val="clear" w:color="auto" w:fill="FFFFFF"/>
        </w:rPr>
        <w:t xml:space="preserve">Товариством до Комісії у строк, визначений Положенням  № 992, у складі Довідки </w:t>
      </w:r>
      <w:r w:rsidRPr="00C56548">
        <w:rPr>
          <w:sz w:val="28"/>
          <w:szCs w:val="28"/>
        </w:rPr>
        <w:t>про вихідні дані для розрахунку розміру власних коштів, розмір прибутку поточного року, у разі підтвердження його розміру аудитором (аудиторською фірмою) становив:</w:t>
      </w:r>
    </w:p>
    <w:p w:rsidR="00BE2F67" w:rsidRPr="003E4E1B" w:rsidRDefault="00BE2F67" w:rsidP="00BE2F67">
      <w:pPr>
        <w:pStyle w:val="a5"/>
        <w:spacing w:before="0" w:beforeAutospacing="0" w:after="0" w:afterAutospacing="0"/>
        <w:ind w:firstLine="720"/>
        <w:jc w:val="both"/>
        <w:rPr>
          <w:rStyle w:val="rvts23"/>
          <w:color w:val="000000"/>
          <w:sz w:val="16"/>
          <w:szCs w:val="16"/>
        </w:rPr>
      </w:pPr>
      <w:r w:rsidRPr="003E4E1B">
        <w:rPr>
          <w:rStyle w:val="rvts23"/>
          <w:color w:val="000000"/>
          <w:sz w:val="16"/>
          <w:szCs w:val="16"/>
        </w:rPr>
        <w:t xml:space="preserve"> </w:t>
      </w:r>
    </w:p>
    <w:tbl>
      <w:tblPr>
        <w:tblW w:w="49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"/>
        <w:gridCol w:w="2367"/>
        <w:gridCol w:w="1667"/>
        <w:gridCol w:w="1835"/>
        <w:gridCol w:w="2107"/>
      </w:tblGrid>
      <w:tr w:rsidR="00BE2F67" w:rsidRPr="00517C71" w:rsidTr="00FF1EA2">
        <w:trPr>
          <w:trHeight w:val="1317"/>
        </w:trPr>
        <w:tc>
          <w:tcPr>
            <w:tcW w:w="775" w:type="pct"/>
            <w:shd w:val="clear" w:color="auto" w:fill="auto"/>
          </w:tcPr>
          <w:p w:rsidR="00BE2F67" w:rsidRPr="00A037C6" w:rsidRDefault="00BE2F67" w:rsidP="00FF1EA2">
            <w:pPr>
              <w:pStyle w:val="a5"/>
              <w:spacing w:before="0" w:beforeAutospacing="0" w:after="0" w:afterAutospacing="0"/>
              <w:jc w:val="center"/>
              <w:rPr>
                <w:rStyle w:val="rvts23"/>
                <w:rFonts w:ascii="Times New Roman" w:hAnsi="Times New Roman" w:cs="Times New Roman"/>
                <w:sz w:val="20"/>
                <w:szCs w:val="20"/>
              </w:rPr>
            </w:pPr>
            <w:r w:rsidRPr="00A037C6">
              <w:rPr>
                <w:rStyle w:val="rvts23"/>
                <w:rFonts w:ascii="Times New Roman" w:hAnsi="Times New Roman" w:cs="Times New Roman"/>
                <w:sz w:val="20"/>
                <w:szCs w:val="20"/>
              </w:rPr>
              <w:t>Код ЄДРПОУ</w:t>
            </w:r>
          </w:p>
        </w:tc>
        <w:tc>
          <w:tcPr>
            <w:tcW w:w="1254" w:type="pct"/>
            <w:shd w:val="clear" w:color="auto" w:fill="auto"/>
          </w:tcPr>
          <w:p w:rsidR="00BE2F67" w:rsidRPr="00A037C6" w:rsidRDefault="00BE2F67" w:rsidP="00FF1EA2">
            <w:pPr>
              <w:pStyle w:val="a5"/>
              <w:spacing w:before="0" w:beforeAutospacing="0" w:after="0" w:afterAutospacing="0"/>
              <w:jc w:val="center"/>
              <w:rPr>
                <w:rStyle w:val="rvts23"/>
                <w:rFonts w:ascii="Times New Roman" w:hAnsi="Times New Roman" w:cs="Times New Roman"/>
                <w:sz w:val="20"/>
                <w:szCs w:val="20"/>
              </w:rPr>
            </w:pPr>
            <w:r w:rsidRPr="00A037C6">
              <w:rPr>
                <w:rStyle w:val="rvts23"/>
                <w:rFonts w:ascii="Times New Roman" w:hAnsi="Times New Roman" w:cs="Times New Roman"/>
                <w:sz w:val="20"/>
                <w:szCs w:val="20"/>
              </w:rPr>
              <w:t>Назва</w:t>
            </w:r>
          </w:p>
        </w:tc>
        <w:tc>
          <w:tcPr>
            <w:tcW w:w="883" w:type="pct"/>
            <w:shd w:val="clear" w:color="auto" w:fill="auto"/>
          </w:tcPr>
          <w:p w:rsidR="00BE2F67" w:rsidRPr="00A037C6" w:rsidRDefault="00BE2F67" w:rsidP="00FF1EA2">
            <w:pPr>
              <w:pStyle w:val="a5"/>
              <w:spacing w:before="0" w:beforeAutospacing="0" w:after="0" w:afterAutospacing="0"/>
              <w:jc w:val="center"/>
              <w:rPr>
                <w:rStyle w:val="rvts23"/>
                <w:rFonts w:ascii="Times New Roman" w:hAnsi="Times New Roman" w:cs="Times New Roman"/>
                <w:sz w:val="20"/>
                <w:szCs w:val="20"/>
              </w:rPr>
            </w:pPr>
            <w:r w:rsidRPr="00A037C6">
              <w:rPr>
                <w:rStyle w:val="rvts23"/>
                <w:rFonts w:ascii="Times New Roman" w:hAnsi="Times New Roman" w:cs="Times New Roman"/>
                <w:sz w:val="20"/>
                <w:szCs w:val="20"/>
              </w:rPr>
              <w:t>Дата розрахунку</w:t>
            </w:r>
          </w:p>
        </w:tc>
        <w:tc>
          <w:tcPr>
            <w:tcW w:w="972" w:type="pct"/>
          </w:tcPr>
          <w:p w:rsidR="00BE2F67" w:rsidRPr="00A037C6" w:rsidRDefault="00BE2F67" w:rsidP="00FF1EA2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7C6">
              <w:rPr>
                <w:rFonts w:ascii="Times New Roman" w:hAnsi="Times New Roman" w:cs="Times New Roman"/>
                <w:sz w:val="20"/>
                <w:szCs w:val="20"/>
              </w:rPr>
              <w:t>Розмір власних коштів, грн</w:t>
            </w:r>
          </w:p>
        </w:tc>
        <w:tc>
          <w:tcPr>
            <w:tcW w:w="1116" w:type="pct"/>
            <w:shd w:val="clear" w:color="auto" w:fill="auto"/>
          </w:tcPr>
          <w:p w:rsidR="00BE2F67" w:rsidRPr="00A037C6" w:rsidRDefault="00BE2F67" w:rsidP="00FF1EA2">
            <w:pPr>
              <w:pStyle w:val="a5"/>
              <w:spacing w:before="0" w:beforeAutospacing="0" w:after="0" w:afterAutospacing="0"/>
              <w:jc w:val="center"/>
              <w:rPr>
                <w:rStyle w:val="rvts23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37C6">
              <w:rPr>
                <w:rFonts w:ascii="Times New Roman" w:hAnsi="Times New Roman" w:cs="Times New Roman"/>
                <w:sz w:val="20"/>
                <w:szCs w:val="20"/>
              </w:rPr>
              <w:t>Прибуток поточного року, у разі підтвердження його розміру аудитором (аудиторською фірмою), грн</w:t>
            </w:r>
          </w:p>
        </w:tc>
      </w:tr>
      <w:tr w:rsidR="00BE2F67" w:rsidRPr="009E7FEF" w:rsidTr="00FF1EA2">
        <w:trPr>
          <w:trHeight w:val="80"/>
        </w:trPr>
        <w:tc>
          <w:tcPr>
            <w:tcW w:w="775" w:type="pct"/>
            <w:shd w:val="clear" w:color="auto" w:fill="auto"/>
          </w:tcPr>
          <w:p w:rsidR="00BE2F67" w:rsidRPr="00A037C6" w:rsidRDefault="00BE2F67" w:rsidP="00FF1EA2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54" w:type="pct"/>
            <w:shd w:val="clear" w:color="auto" w:fill="auto"/>
          </w:tcPr>
          <w:p w:rsidR="00BE2F67" w:rsidRPr="00A037C6" w:rsidRDefault="00BE2F67" w:rsidP="00FF1EA2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83" w:type="pct"/>
            <w:shd w:val="clear" w:color="auto" w:fill="auto"/>
          </w:tcPr>
          <w:p w:rsidR="00BE2F67" w:rsidRPr="00A037C6" w:rsidRDefault="00BE2F67" w:rsidP="00FF1EA2">
            <w:pPr>
              <w:pStyle w:val="a5"/>
              <w:spacing w:before="0" w:beforeAutospacing="0" w:after="0" w:afterAutospacing="0"/>
              <w:jc w:val="center"/>
              <w:rPr>
                <w:rStyle w:val="rvts2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</w:tcPr>
          <w:p w:rsidR="00BE2F67" w:rsidRPr="00A037C6" w:rsidRDefault="00BE2F67" w:rsidP="00FF1EA2">
            <w:pPr>
              <w:jc w:val="center"/>
              <w:rPr>
                <w:lang w:val="en-US"/>
              </w:rPr>
            </w:pPr>
            <w:r w:rsidRPr="00A037C6">
              <w:rPr>
                <w:lang w:val="en-US"/>
              </w:rPr>
              <w:t>RVK</w:t>
            </w:r>
          </w:p>
        </w:tc>
        <w:tc>
          <w:tcPr>
            <w:tcW w:w="1116" w:type="pct"/>
            <w:shd w:val="clear" w:color="auto" w:fill="auto"/>
          </w:tcPr>
          <w:p w:rsidR="00BE2F67" w:rsidRPr="00A037C6" w:rsidRDefault="00BE2F67" w:rsidP="00FF1EA2">
            <w:pPr>
              <w:jc w:val="center"/>
              <w:rPr>
                <w:lang w:val="en-US"/>
              </w:rPr>
            </w:pPr>
            <w:r w:rsidRPr="00A037C6">
              <w:rPr>
                <w:lang w:val="en-US"/>
              </w:rPr>
              <w:t>PR_NP</w:t>
            </w:r>
          </w:p>
        </w:tc>
      </w:tr>
      <w:tr w:rsidR="00BE2F67" w:rsidRPr="009E7FEF" w:rsidTr="00FF1EA2">
        <w:trPr>
          <w:trHeight w:val="340"/>
        </w:trPr>
        <w:tc>
          <w:tcPr>
            <w:tcW w:w="775" w:type="pct"/>
            <w:vMerge w:val="restart"/>
            <w:shd w:val="clear" w:color="auto" w:fill="auto"/>
            <w:vAlign w:val="center"/>
          </w:tcPr>
          <w:p w:rsidR="00BE2F67" w:rsidRPr="00A037C6" w:rsidRDefault="00BE2F67" w:rsidP="00FF1EA2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37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35830798</w:t>
            </w:r>
          </w:p>
        </w:tc>
        <w:tc>
          <w:tcPr>
            <w:tcW w:w="1254" w:type="pct"/>
            <w:vMerge w:val="restart"/>
            <w:shd w:val="clear" w:color="auto" w:fill="auto"/>
            <w:vAlign w:val="center"/>
          </w:tcPr>
          <w:p w:rsidR="00BE2F67" w:rsidRPr="00A037C6" w:rsidRDefault="00BE2F67" w:rsidP="00FF1EA2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37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ТОВ "ГРУПА ІНВЕСТИЦІЙНИЙ СТАНДАРТ"</w:t>
            </w:r>
          </w:p>
        </w:tc>
        <w:tc>
          <w:tcPr>
            <w:tcW w:w="883" w:type="pct"/>
            <w:shd w:val="clear" w:color="auto" w:fill="auto"/>
          </w:tcPr>
          <w:p w:rsidR="00BE2F67" w:rsidRPr="00A037C6" w:rsidRDefault="00BE2F67" w:rsidP="00FF1EA2">
            <w:pPr>
              <w:pStyle w:val="a5"/>
              <w:spacing w:before="0" w:beforeAutospacing="0" w:after="0" w:afterAutospacing="0"/>
              <w:jc w:val="center"/>
              <w:rPr>
                <w:rStyle w:val="rvts23"/>
                <w:rFonts w:ascii="Times New Roman" w:hAnsi="Times New Roman" w:cs="Times New Roman"/>
                <w:sz w:val="20"/>
                <w:szCs w:val="20"/>
              </w:rPr>
            </w:pPr>
            <w:r w:rsidRPr="00A037C6">
              <w:rPr>
                <w:rStyle w:val="rvts23"/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972" w:type="pct"/>
          </w:tcPr>
          <w:p w:rsidR="00BE2F67" w:rsidRPr="00A037C6" w:rsidRDefault="00BE2F67" w:rsidP="00FF1EA2">
            <w:pPr>
              <w:jc w:val="right"/>
            </w:pPr>
            <w:r w:rsidRPr="00A037C6">
              <w:t>2676703,25</w:t>
            </w:r>
          </w:p>
        </w:tc>
        <w:tc>
          <w:tcPr>
            <w:tcW w:w="1116" w:type="pct"/>
            <w:shd w:val="clear" w:color="auto" w:fill="auto"/>
          </w:tcPr>
          <w:p w:rsidR="00BE2F67" w:rsidRPr="00A037C6" w:rsidRDefault="00BE2F67" w:rsidP="00FF1EA2">
            <w:pPr>
              <w:jc w:val="right"/>
            </w:pPr>
            <w:r w:rsidRPr="00A037C6">
              <w:t>2881,34</w:t>
            </w:r>
          </w:p>
        </w:tc>
      </w:tr>
      <w:tr w:rsidR="00BE2F67" w:rsidRPr="009E7FEF" w:rsidTr="00FF1EA2">
        <w:trPr>
          <w:trHeight w:val="340"/>
        </w:trPr>
        <w:tc>
          <w:tcPr>
            <w:tcW w:w="775" w:type="pct"/>
            <w:vMerge/>
            <w:shd w:val="clear" w:color="auto" w:fill="auto"/>
            <w:vAlign w:val="center"/>
          </w:tcPr>
          <w:p w:rsidR="00BE2F67" w:rsidRPr="00A037C6" w:rsidRDefault="00BE2F67" w:rsidP="00FF1EA2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54" w:type="pct"/>
            <w:vMerge/>
            <w:shd w:val="clear" w:color="auto" w:fill="auto"/>
            <w:vAlign w:val="center"/>
          </w:tcPr>
          <w:p w:rsidR="00BE2F67" w:rsidRPr="00A037C6" w:rsidRDefault="00BE2F67" w:rsidP="00FF1EA2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83" w:type="pct"/>
            <w:shd w:val="clear" w:color="auto" w:fill="auto"/>
          </w:tcPr>
          <w:p w:rsidR="00BE2F67" w:rsidRPr="00A037C6" w:rsidRDefault="00BE2F67" w:rsidP="00FF1EA2">
            <w:pPr>
              <w:pStyle w:val="a5"/>
              <w:spacing w:before="0" w:beforeAutospacing="0" w:after="0" w:afterAutospacing="0"/>
              <w:jc w:val="center"/>
              <w:rPr>
                <w:rStyle w:val="rvts23"/>
                <w:rFonts w:ascii="Times New Roman" w:hAnsi="Times New Roman" w:cs="Times New Roman"/>
                <w:sz w:val="20"/>
                <w:szCs w:val="20"/>
              </w:rPr>
            </w:pPr>
            <w:r w:rsidRPr="00A037C6">
              <w:rPr>
                <w:rStyle w:val="rvts23"/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972" w:type="pct"/>
          </w:tcPr>
          <w:p w:rsidR="00BE2F67" w:rsidRPr="00A037C6" w:rsidRDefault="00BE2F67" w:rsidP="00FF1EA2">
            <w:pPr>
              <w:jc w:val="right"/>
            </w:pPr>
            <w:r w:rsidRPr="00A037C6">
              <w:t>2676703,25</w:t>
            </w:r>
          </w:p>
        </w:tc>
        <w:tc>
          <w:tcPr>
            <w:tcW w:w="1116" w:type="pct"/>
            <w:shd w:val="clear" w:color="auto" w:fill="auto"/>
          </w:tcPr>
          <w:p w:rsidR="00BE2F67" w:rsidRPr="00A037C6" w:rsidRDefault="00BE2F67" w:rsidP="00FF1EA2">
            <w:pPr>
              <w:jc w:val="right"/>
              <w:rPr>
                <w:lang w:val="en-US"/>
              </w:rPr>
            </w:pPr>
            <w:r w:rsidRPr="00A037C6">
              <w:t>2881,34</w:t>
            </w:r>
          </w:p>
        </w:tc>
      </w:tr>
    </w:tbl>
    <w:p w:rsidR="00BE2F67" w:rsidRPr="003E4E1B" w:rsidRDefault="00BE2F67" w:rsidP="00BE2F67">
      <w:pPr>
        <w:pStyle w:val="a5"/>
        <w:spacing w:before="0" w:beforeAutospacing="0" w:after="0" w:afterAutospacing="0"/>
        <w:ind w:firstLine="720"/>
        <w:jc w:val="both"/>
        <w:rPr>
          <w:rStyle w:val="rvts23"/>
          <w:color w:val="000000"/>
          <w:sz w:val="26"/>
          <w:szCs w:val="26"/>
        </w:rPr>
      </w:pPr>
    </w:p>
    <w:p w:rsidR="00BE2F67" w:rsidRPr="00C56548" w:rsidRDefault="00BE2F67" w:rsidP="004C1362">
      <w:pPr>
        <w:pStyle w:val="a5"/>
        <w:spacing w:before="0" w:beforeAutospacing="0" w:after="0" w:afterAutospacing="0"/>
        <w:ind w:firstLine="709"/>
        <w:jc w:val="both"/>
        <w:rPr>
          <w:rStyle w:val="rvts23"/>
          <w:rFonts w:ascii="Times New Roman" w:hAnsi="Times New Roman" w:cs="Times New Roman"/>
          <w:color w:val="000000"/>
          <w:sz w:val="28"/>
          <w:szCs w:val="28"/>
        </w:rPr>
      </w:pPr>
      <w:r w:rsidRPr="00C56548">
        <w:rPr>
          <w:rStyle w:val="rvts23"/>
          <w:rFonts w:ascii="Times New Roman" w:hAnsi="Times New Roman" w:cs="Times New Roman"/>
          <w:color w:val="000000"/>
          <w:sz w:val="28"/>
          <w:szCs w:val="28"/>
        </w:rPr>
        <w:t xml:space="preserve">Комісією з метою проведення додаткового аналізу було направлено до Товариства запит (вимогу) від 30.07.2018 № 16/04/23043 (далі – запит (вимога)). Відповідно до запиту (вимоги) Товариству необхідно надати копії документів, наданих аудитором (аудиторською фірмою) з метою підтвердження прибутку в сумі 2881,34 грн., отриманого протягом 2018 року, та відображеного Товариством у графі «Прибуток поточного року, </w:t>
      </w:r>
      <w:r w:rsidRPr="00C56548">
        <w:rPr>
          <w:rFonts w:ascii="Times New Roman" w:hAnsi="Times New Roman" w:cs="Times New Roman"/>
          <w:sz w:val="28"/>
          <w:szCs w:val="28"/>
        </w:rPr>
        <w:t>у разі підтвердження його розміру аудитором (аудиторською фірмою)» Довідки про вихідні дані для розрахунку розміру власних коштів за квітень та травень 2018 року, та копії відповідної фінансової звітності. У разі неможливості надання вищезазначених копій документів, Товариству необхідно надати письмові пояснення із зазначенням причин та підтверджуючих документів.</w:t>
      </w:r>
    </w:p>
    <w:p w:rsidR="00BE2F67" w:rsidRPr="00C56548" w:rsidRDefault="00BE2F67" w:rsidP="004C1362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48">
        <w:rPr>
          <w:rStyle w:val="rvts23"/>
          <w:rFonts w:ascii="Times New Roman" w:hAnsi="Times New Roman" w:cs="Times New Roman"/>
          <w:color w:val="000000"/>
          <w:sz w:val="28"/>
          <w:szCs w:val="28"/>
        </w:rPr>
        <w:t xml:space="preserve">Відповідно до пояснень, наданих </w:t>
      </w:r>
      <w:r w:rsidRPr="00C56548">
        <w:rPr>
          <w:rFonts w:ascii="Times New Roman" w:hAnsi="Times New Roman" w:cs="Times New Roman"/>
          <w:sz w:val="28"/>
          <w:szCs w:val="28"/>
          <w:shd w:val="clear" w:color="auto" w:fill="FFFFFF"/>
        </w:rPr>
        <w:t>Товариством листом від 07.08.2018 № 34/18 у відповідь на запит (вимогу), при заповнені Д</w:t>
      </w:r>
      <w:r w:rsidRPr="00C56548">
        <w:rPr>
          <w:rFonts w:ascii="Times New Roman" w:hAnsi="Times New Roman" w:cs="Times New Roman"/>
          <w:sz w:val="28"/>
          <w:szCs w:val="28"/>
        </w:rPr>
        <w:t>овідки про вихідні дані для розрахунку розміру власних коштів була допущена помилка, а саме: розмір прибутку поточного року у разі підтвердження його розміру аудитором (аудиторською фірмою) у сумі 2881,34 грн. був помилково вказаний при заповнені адміністративних даних. Виправлені адміністративні дані за квітень та травень 2018 року подані Товариством до Комісії 07.08.2018.</w:t>
      </w:r>
    </w:p>
    <w:p w:rsidR="00BE2F67" w:rsidRPr="00C56548" w:rsidRDefault="00BE2F67" w:rsidP="004C1362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56548">
        <w:rPr>
          <w:rFonts w:ascii="Times New Roman" w:hAnsi="Times New Roman" w:cs="Times New Roman"/>
          <w:sz w:val="28"/>
          <w:szCs w:val="28"/>
        </w:rPr>
        <w:lastRenderedPageBreak/>
        <w:t>Виходячи з наведеного,</w:t>
      </w:r>
      <w:r w:rsidRPr="00C56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Товариство </w:t>
      </w:r>
      <w:r w:rsidRPr="00C56548">
        <w:rPr>
          <w:rFonts w:ascii="Times New Roman" w:hAnsi="Times New Roman" w:cs="Times New Roman"/>
          <w:noProof/>
          <w:sz w:val="28"/>
          <w:szCs w:val="28"/>
        </w:rPr>
        <w:t xml:space="preserve">подало до Комісії у складі Довідки </w:t>
      </w:r>
      <w:r w:rsidRPr="00C56548">
        <w:rPr>
          <w:rFonts w:ascii="Times New Roman" w:hAnsi="Times New Roman" w:cs="Times New Roman"/>
          <w:sz w:val="28"/>
          <w:szCs w:val="28"/>
        </w:rPr>
        <w:t xml:space="preserve">про вихідні дані для розрахунку розміру власних коштів </w:t>
      </w:r>
      <w:r w:rsidRPr="00C56548">
        <w:rPr>
          <w:rFonts w:ascii="Times New Roman" w:hAnsi="Times New Roman" w:cs="Times New Roman"/>
          <w:noProof/>
          <w:sz w:val="28"/>
          <w:szCs w:val="28"/>
        </w:rPr>
        <w:t>недостовірну</w:t>
      </w:r>
      <w:r w:rsidRPr="00C56548">
        <w:rPr>
          <w:rFonts w:ascii="Times New Roman" w:hAnsi="Times New Roman" w:cs="Times New Roman"/>
          <w:b/>
          <w:noProof/>
          <w:color w:val="000080"/>
          <w:sz w:val="28"/>
          <w:szCs w:val="28"/>
        </w:rPr>
        <w:t xml:space="preserve"> </w:t>
      </w:r>
      <w:r w:rsidRPr="00C56548">
        <w:rPr>
          <w:rFonts w:ascii="Times New Roman" w:hAnsi="Times New Roman" w:cs="Times New Roman"/>
          <w:noProof/>
          <w:sz w:val="28"/>
          <w:szCs w:val="28"/>
        </w:rPr>
        <w:t>інформацію щодо розміру прибутку поточного року, підтвердженого аудитором (аудиторською фірмою), і, як наслідок, щодо розміру власних коштів.</w:t>
      </w:r>
    </w:p>
    <w:p w:rsidR="00BE2F67" w:rsidRPr="00D551B1" w:rsidRDefault="00BE2F67" w:rsidP="004C1362">
      <w:pPr>
        <w:tabs>
          <w:tab w:val="center" w:pos="709"/>
          <w:tab w:val="center" w:pos="2482"/>
          <w:tab w:val="center" w:pos="3635"/>
          <w:tab w:val="center" w:pos="5287"/>
          <w:tab w:val="center" w:pos="6431"/>
          <w:tab w:val="center" w:pos="7591"/>
          <w:tab w:val="right" w:pos="9645"/>
        </w:tabs>
        <w:ind w:firstLine="709"/>
        <w:jc w:val="both"/>
        <w:rPr>
          <w:noProof/>
          <w:sz w:val="28"/>
          <w:szCs w:val="28"/>
        </w:rPr>
      </w:pPr>
      <w:r w:rsidRPr="00C56548">
        <w:rPr>
          <w:sz w:val="28"/>
          <w:szCs w:val="28"/>
        </w:rPr>
        <w:tab/>
      </w:r>
      <w:r w:rsidRPr="00D551B1">
        <w:rPr>
          <w:sz w:val="28"/>
          <w:szCs w:val="28"/>
        </w:rPr>
        <w:t xml:space="preserve">Таким чином, </w:t>
      </w:r>
      <w:r w:rsidRPr="00D551B1">
        <w:rPr>
          <w:sz w:val="28"/>
          <w:szCs w:val="28"/>
          <w:shd w:val="clear" w:color="auto" w:fill="FFFFFF"/>
        </w:rPr>
        <w:t xml:space="preserve">Товариство </w:t>
      </w:r>
      <w:r w:rsidRPr="00D551B1">
        <w:rPr>
          <w:noProof/>
          <w:sz w:val="28"/>
          <w:szCs w:val="28"/>
        </w:rPr>
        <w:t>надало до Комісії недостовірну інформацію.</w:t>
      </w:r>
    </w:p>
    <w:p w:rsidR="00BE2F67" w:rsidRPr="00C56548" w:rsidRDefault="00BE2F67" w:rsidP="004C1362">
      <w:pPr>
        <w:ind w:firstLine="709"/>
        <w:jc w:val="both"/>
        <w:rPr>
          <w:sz w:val="28"/>
          <w:szCs w:val="28"/>
        </w:rPr>
      </w:pPr>
      <w:r w:rsidRPr="00D551B1">
        <w:rPr>
          <w:sz w:val="28"/>
          <w:szCs w:val="28"/>
        </w:rPr>
        <w:t>Крім того, у відношенні  ТОВ «ГРУПА ІНВЕСТИЦІЙНИЙ СТАНДАРТ» було складено акт про правопорушення на ринку цінних паперів від 09.07.2019                  №541-ДП-ДУ,  відповідно до якого встановлено наступне.</w:t>
      </w:r>
    </w:p>
    <w:p w:rsidR="00BE2F67" w:rsidRPr="00C56548" w:rsidRDefault="00BE2F67" w:rsidP="004C1362">
      <w:pPr>
        <w:ind w:firstLine="709"/>
        <w:jc w:val="both"/>
        <w:rPr>
          <w:sz w:val="28"/>
          <w:szCs w:val="28"/>
        </w:rPr>
      </w:pPr>
      <w:r w:rsidRPr="00C56548">
        <w:rPr>
          <w:sz w:val="28"/>
          <w:szCs w:val="28"/>
        </w:rPr>
        <w:t xml:space="preserve">Відповідно до пункту 16 глави 1 розділу ІІ Ліцензійних умов, депозитарна установа протягом строку провадження депозитарної діяльності зобов’язана дотримуватись вимог, зокрема, нормативно-правового </w:t>
      </w:r>
      <w:proofErr w:type="spellStart"/>
      <w:r w:rsidRPr="00C56548">
        <w:rPr>
          <w:sz w:val="28"/>
          <w:szCs w:val="28"/>
        </w:rPr>
        <w:t>акта</w:t>
      </w:r>
      <w:proofErr w:type="spellEnd"/>
      <w:r w:rsidRPr="00C56548">
        <w:rPr>
          <w:sz w:val="28"/>
          <w:szCs w:val="28"/>
        </w:rPr>
        <w:t xml:space="preserve"> Комісії, що регулює правила (порядок) провадження професійної діяльності на фондовому ринку – депозитарної діяльності.</w:t>
      </w:r>
    </w:p>
    <w:p w:rsidR="00BE2F67" w:rsidRPr="00C56548" w:rsidRDefault="00BE2F67" w:rsidP="004C1362">
      <w:pPr>
        <w:ind w:firstLine="709"/>
        <w:jc w:val="both"/>
        <w:rPr>
          <w:sz w:val="28"/>
          <w:szCs w:val="28"/>
        </w:rPr>
      </w:pPr>
      <w:r w:rsidRPr="00C56548">
        <w:rPr>
          <w:sz w:val="28"/>
          <w:szCs w:val="28"/>
        </w:rPr>
        <w:t>Згідно з пунктом 1 розділу ІІІ Положення</w:t>
      </w:r>
      <w:r>
        <w:rPr>
          <w:sz w:val="28"/>
          <w:szCs w:val="28"/>
        </w:rPr>
        <w:t xml:space="preserve"> №992</w:t>
      </w:r>
      <w:r w:rsidRPr="00C56548">
        <w:rPr>
          <w:sz w:val="28"/>
          <w:szCs w:val="28"/>
        </w:rPr>
        <w:t xml:space="preserve">, депозитарна установа подає щомісячні адміністративні дані (далі – Дані) у строк не пізніше останнього числа місяця, наступного за звітним. </w:t>
      </w:r>
    </w:p>
    <w:p w:rsidR="00BE2F67" w:rsidRPr="00C56548" w:rsidRDefault="00BE2F67" w:rsidP="004C1362">
      <w:pPr>
        <w:ind w:firstLine="709"/>
        <w:jc w:val="both"/>
        <w:rPr>
          <w:sz w:val="28"/>
          <w:szCs w:val="28"/>
        </w:rPr>
      </w:pPr>
      <w:r w:rsidRPr="00C56548">
        <w:rPr>
          <w:sz w:val="28"/>
          <w:szCs w:val="28"/>
        </w:rPr>
        <w:t xml:space="preserve">Згідно з пунктом 7 розділу ІІІ Положення № 992, депозитарні установи у разі виявлення невідповідності Даних, які подані до Комісії, повинні усунути ці невідповідності та повторно подати Дані в обсязі, визначеному в розділі ІІ цього Положення, але не пізніше строків, зазначених у цьому розділі. </w:t>
      </w:r>
    </w:p>
    <w:p w:rsidR="00BE2F67" w:rsidRPr="00C56548" w:rsidRDefault="00BE2F67" w:rsidP="004C1362">
      <w:pPr>
        <w:ind w:firstLine="709"/>
        <w:jc w:val="both"/>
        <w:rPr>
          <w:sz w:val="28"/>
          <w:szCs w:val="28"/>
        </w:rPr>
      </w:pPr>
      <w:r w:rsidRPr="00C56548">
        <w:rPr>
          <w:sz w:val="28"/>
          <w:szCs w:val="28"/>
        </w:rPr>
        <w:t>Щомісячні Дані за червень 2018 року Товариство подало до Комісії 30.07.2018. Виправлені Дані за червень 2018 року Товариством подані 07.08.2018, тобто пізніше останнього числа місяця, наступного за звітним.</w:t>
      </w:r>
    </w:p>
    <w:p w:rsidR="00BE2F67" w:rsidRPr="00C56548" w:rsidRDefault="00BE2F67" w:rsidP="004C1362">
      <w:pPr>
        <w:ind w:firstLine="709"/>
        <w:jc w:val="both"/>
        <w:rPr>
          <w:sz w:val="28"/>
          <w:szCs w:val="28"/>
        </w:rPr>
      </w:pPr>
      <w:r w:rsidRPr="00C56548">
        <w:rPr>
          <w:sz w:val="28"/>
          <w:szCs w:val="28"/>
        </w:rPr>
        <w:t>Таким чином, Товариство порушило вимоги пункту 16 глави 1 розділу ІІ Ліцензійних умов у частині недотримання пунктів 1 та 7 розділу ІІІ Положення № 992, а саме, не подало до Комісії відповідну інформацію в строк, визначений нормативно-правовим актом Комісії.</w:t>
      </w:r>
    </w:p>
    <w:p w:rsidR="00BE2F67" w:rsidRDefault="00BE2F67" w:rsidP="004C136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 метою повного, всебічного і об’єктивного розгляду справ, постановою від 12.08.2019 року про об’єднання справ про правопорушення на ринку цінних паперів в одне провадження, справи про правопорушення на ринку цінних паперів у відношенні </w:t>
      </w:r>
      <w:r w:rsidRPr="00BE2F67">
        <w:rPr>
          <w:bCs/>
          <w:sz w:val="28"/>
          <w:szCs w:val="28"/>
        </w:rPr>
        <w:t>ТОВ «ГРУПА ІНВЕСТИЦІЙНИЙ СТАНДАРТ»</w:t>
      </w:r>
      <w:r>
        <w:rPr>
          <w:bCs/>
          <w:sz w:val="28"/>
          <w:szCs w:val="28"/>
        </w:rPr>
        <w:t xml:space="preserve"> було об’єднано в одне провадження.</w:t>
      </w:r>
    </w:p>
    <w:p w:rsidR="004340D2" w:rsidRDefault="004340D2" w:rsidP="004C1362">
      <w:pPr>
        <w:ind w:firstLine="709"/>
        <w:jc w:val="both"/>
        <w:rPr>
          <w:bCs/>
          <w:sz w:val="28"/>
          <w:szCs w:val="28"/>
        </w:rPr>
      </w:pPr>
      <w:r w:rsidRPr="004340D2">
        <w:rPr>
          <w:bCs/>
          <w:sz w:val="28"/>
          <w:szCs w:val="28"/>
        </w:rPr>
        <w:t>Враховуючи викладене, на підставі пункту 5 статті 8 Закону України «Про державне регулювання ринку цінних паперів в Україні», статті 16 Закону України «Про ліцензування видів господарс</w:t>
      </w:r>
      <w:r w:rsidR="00BE13FF">
        <w:rPr>
          <w:bCs/>
          <w:sz w:val="28"/>
          <w:szCs w:val="28"/>
        </w:rPr>
        <w:t>ької діяльності», підпункту</w:t>
      </w:r>
      <w:r w:rsidRPr="004340D2">
        <w:rPr>
          <w:bCs/>
          <w:sz w:val="28"/>
          <w:szCs w:val="28"/>
        </w:rPr>
        <w:t xml:space="preserve"> 21 пункту 1 розділу ІV Порядку зупинення дії та </w:t>
      </w:r>
      <w:r w:rsidR="00C94643">
        <w:rPr>
          <w:bCs/>
          <w:sz w:val="28"/>
          <w:szCs w:val="28"/>
        </w:rPr>
        <w:t xml:space="preserve">анулювання ліцензії на окремі </w:t>
      </w:r>
      <w:r w:rsidRPr="004340D2">
        <w:rPr>
          <w:bCs/>
          <w:sz w:val="28"/>
          <w:szCs w:val="28"/>
        </w:rPr>
        <w:t xml:space="preserve"> види професійної діяльності на фондовому ринку (ринку цінних паперів), затвердженого рішенням Комісії від 14.05</w:t>
      </w:r>
      <w:r>
        <w:rPr>
          <w:bCs/>
          <w:sz w:val="28"/>
          <w:szCs w:val="28"/>
        </w:rPr>
        <w:t xml:space="preserve">.2013 №816, зареєстрованим </w:t>
      </w:r>
      <w:r w:rsidRPr="004340D2">
        <w:rPr>
          <w:bCs/>
          <w:sz w:val="28"/>
          <w:szCs w:val="28"/>
        </w:rPr>
        <w:t>в Міністерстві юстиції України від 01.06.2013 за № 862/23394 (далі – Порядок №816) та підпункту 2.4 пункту 2 розділу ХVІІ Правил розгляду справ про порушення вимог законодавства на ринку цінних паперів та застосування санкцій, затверджених рішенням Комісії від 16.10.2012 №1470,</w:t>
      </w:r>
    </w:p>
    <w:p w:rsidR="00BE2F67" w:rsidRDefault="00BE2F67" w:rsidP="004C1362">
      <w:pPr>
        <w:tabs>
          <w:tab w:val="center" w:pos="540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и л и:</w:t>
      </w:r>
    </w:p>
    <w:p w:rsidR="00BE13FF" w:rsidRDefault="00BE2F67" w:rsidP="004C1362">
      <w:pPr>
        <w:pStyle w:val="1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За невиконання розпорядження про усунення порушень ліцензійних умов, встановлених для виду господарської діяльності, застосувати у відношенні </w:t>
      </w:r>
      <w:r w:rsidRPr="00BE2F67">
        <w:rPr>
          <w:rFonts w:ascii="Times New Roman" w:hAnsi="Times New Roman"/>
          <w:sz w:val="28"/>
          <w:szCs w:val="28"/>
          <w:lang w:val="uk-UA"/>
        </w:rPr>
        <w:lastRenderedPageBreak/>
        <w:t>ТОВ «ГРУПА ІНВЕСТИЦІЙНИЙ СТАНДАРТ»</w:t>
      </w:r>
      <w:r>
        <w:rPr>
          <w:rFonts w:ascii="Times New Roman" w:hAnsi="Times New Roman"/>
          <w:sz w:val="28"/>
          <w:szCs w:val="28"/>
          <w:lang w:val="uk-UA"/>
        </w:rPr>
        <w:t xml:space="preserve"> санкцію у вигляді </w:t>
      </w:r>
      <w:r>
        <w:rPr>
          <w:rFonts w:ascii="Times New Roman" w:hAnsi="Times New Roman"/>
          <w:b/>
          <w:sz w:val="28"/>
          <w:szCs w:val="28"/>
          <w:lang w:val="uk-UA"/>
        </w:rPr>
        <w:t>анулювання ліцензії</w:t>
      </w:r>
      <w:r w:rsidR="00BE13FF" w:rsidRPr="00BE13FF">
        <w:rPr>
          <w:lang w:val="uk-UA"/>
        </w:rPr>
        <w:t xml:space="preserve"> </w:t>
      </w:r>
      <w:r w:rsidR="00BE13FF" w:rsidRPr="00BE13FF">
        <w:rPr>
          <w:rFonts w:ascii="Times New Roman" w:hAnsi="Times New Roman"/>
          <w:sz w:val="28"/>
          <w:szCs w:val="28"/>
          <w:lang w:val="uk-UA"/>
        </w:rPr>
        <w:t>на провадження професійної діяльності на фондовому ринку – депозитарної діяльності, а саме:</w:t>
      </w:r>
      <w:r w:rsidR="00BE13FF" w:rsidRPr="00BE13F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13FF" w:rsidRPr="00BE13FF">
        <w:rPr>
          <w:rFonts w:ascii="Times New Roman" w:hAnsi="Times New Roman"/>
          <w:sz w:val="28"/>
          <w:szCs w:val="28"/>
          <w:lang w:val="uk-UA"/>
        </w:rPr>
        <w:t>депозитарна діяльність депози</w:t>
      </w:r>
      <w:r w:rsidR="00BE13FF">
        <w:rPr>
          <w:rFonts w:ascii="Times New Roman" w:hAnsi="Times New Roman"/>
          <w:sz w:val="28"/>
          <w:szCs w:val="28"/>
          <w:lang w:val="uk-UA"/>
        </w:rPr>
        <w:t>тарної установи серії АЕ №286674 від 10</w:t>
      </w:r>
      <w:r w:rsidR="00BE13FF" w:rsidRPr="00BE13FF">
        <w:rPr>
          <w:rFonts w:ascii="Times New Roman" w:hAnsi="Times New Roman"/>
          <w:sz w:val="28"/>
          <w:szCs w:val="28"/>
          <w:lang w:val="uk-UA"/>
        </w:rPr>
        <w:t>.10.2013, строк дії ліцензії з 12.10.2013, виданої на</w:t>
      </w:r>
      <w:r w:rsidR="00BE13FF">
        <w:rPr>
          <w:rFonts w:ascii="Times New Roman" w:hAnsi="Times New Roman"/>
          <w:sz w:val="28"/>
          <w:szCs w:val="28"/>
          <w:lang w:val="uk-UA"/>
        </w:rPr>
        <w:t xml:space="preserve"> підставі рішення Комісії від 10.10.2013 № 2360</w:t>
      </w:r>
      <w:r w:rsidR="00BE13FF" w:rsidRPr="00BE13FF">
        <w:rPr>
          <w:rFonts w:ascii="Times New Roman" w:hAnsi="Times New Roman"/>
          <w:sz w:val="28"/>
          <w:szCs w:val="28"/>
          <w:lang w:val="uk-UA"/>
        </w:rPr>
        <w:t>.</w:t>
      </w:r>
    </w:p>
    <w:p w:rsidR="00BE13FF" w:rsidRDefault="00BE2F67" w:rsidP="004C1362">
      <w:pPr>
        <w:pStyle w:val="1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BE2F67">
        <w:rPr>
          <w:rFonts w:ascii="Times New Roman" w:hAnsi="Times New Roman"/>
          <w:sz w:val="28"/>
          <w:szCs w:val="28"/>
          <w:lang w:val="uk-UA"/>
        </w:rPr>
        <w:t>ТОВ «ГРУПА ІНВЕСТИЦІЙНИЙ СТАНДАРТ»</w:t>
      </w:r>
      <w:r>
        <w:rPr>
          <w:rFonts w:ascii="Times New Roman" w:hAnsi="Times New Roman"/>
          <w:sz w:val="28"/>
          <w:szCs w:val="28"/>
          <w:lang w:val="uk-UA"/>
        </w:rPr>
        <w:t xml:space="preserve"> вчинити дії, передбачені </w:t>
      </w:r>
      <w:r w:rsidR="009C4B44">
        <w:rPr>
          <w:rStyle w:val="rvts46"/>
          <w:rFonts w:ascii="Times New Roman" w:hAnsi="Times New Roman"/>
          <w:sz w:val="28"/>
          <w:szCs w:val="28"/>
          <w:lang w:val="uk-UA"/>
        </w:rPr>
        <w:t>пунктом 2</w:t>
      </w:r>
      <w:r>
        <w:rPr>
          <w:rStyle w:val="rvts46"/>
          <w:rFonts w:ascii="Times New Roman" w:hAnsi="Times New Roman"/>
          <w:sz w:val="28"/>
          <w:szCs w:val="28"/>
          <w:lang w:val="uk-UA"/>
        </w:rPr>
        <w:t xml:space="preserve"> розділу </w:t>
      </w:r>
      <w:r>
        <w:rPr>
          <w:rStyle w:val="rvts46"/>
          <w:rFonts w:ascii="Times New Roman" w:hAnsi="Times New Roman"/>
          <w:sz w:val="28"/>
          <w:szCs w:val="28"/>
          <w:lang w:val="en-US"/>
        </w:rPr>
        <w:t>V</w:t>
      </w:r>
      <w:r>
        <w:rPr>
          <w:rStyle w:val="rvts46"/>
          <w:rFonts w:ascii="Times New Roman" w:hAnsi="Times New Roman"/>
          <w:sz w:val="28"/>
          <w:szCs w:val="28"/>
          <w:lang w:val="uk-UA"/>
        </w:rPr>
        <w:t xml:space="preserve"> </w:t>
      </w:r>
      <w:r w:rsidR="00BE13FF" w:rsidRPr="00BE13FF">
        <w:rPr>
          <w:rFonts w:ascii="Times New Roman" w:hAnsi="Times New Roman"/>
          <w:sz w:val="28"/>
          <w:szCs w:val="28"/>
          <w:lang w:val="uk-UA"/>
        </w:rPr>
        <w:t>Порядку №816</w:t>
      </w:r>
      <w:r w:rsidR="00BE13FF">
        <w:rPr>
          <w:rFonts w:ascii="Times New Roman" w:hAnsi="Times New Roman"/>
          <w:sz w:val="28"/>
          <w:szCs w:val="28"/>
          <w:lang w:val="uk-UA"/>
        </w:rPr>
        <w:t>.</w:t>
      </w:r>
    </w:p>
    <w:p w:rsidR="00BE2F67" w:rsidRDefault="00BE2F67" w:rsidP="004C1362">
      <w:pPr>
        <w:pStyle w:val="1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Дану постанову направити </w:t>
      </w:r>
      <w:r w:rsidRPr="00BE2F67">
        <w:rPr>
          <w:rFonts w:ascii="Times New Roman" w:hAnsi="Times New Roman"/>
          <w:sz w:val="28"/>
          <w:szCs w:val="28"/>
          <w:lang w:val="uk-UA"/>
        </w:rPr>
        <w:t>ТОВ «ГРУПА ІНВЕСТИЦІЙНИЙ СТАНДАРТ»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E2F67" w:rsidRDefault="00BE2F67" w:rsidP="004C1362">
      <w:pPr>
        <w:pStyle w:val="10"/>
        <w:tabs>
          <w:tab w:val="left" w:pos="2755"/>
        </w:tabs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</w:r>
    </w:p>
    <w:p w:rsidR="00BE2F67" w:rsidRDefault="00BE2F67" w:rsidP="00BE2F67">
      <w:pPr>
        <w:tabs>
          <w:tab w:val="num" w:pos="0"/>
        </w:tabs>
        <w:jc w:val="both"/>
        <w:rPr>
          <w:spacing w:val="-2"/>
          <w:sz w:val="26"/>
          <w:szCs w:val="26"/>
        </w:rPr>
      </w:pPr>
      <w:r>
        <w:rPr>
          <w:sz w:val="26"/>
          <w:szCs w:val="26"/>
          <w:lang w:val="ru-RU"/>
        </w:rPr>
        <w:t xml:space="preserve">          </w:t>
      </w:r>
      <w:r>
        <w:rPr>
          <w:sz w:val="26"/>
          <w:szCs w:val="26"/>
        </w:rPr>
        <w:t xml:space="preserve">Постанову може бути оскаржено </w:t>
      </w:r>
      <w:r>
        <w:rPr>
          <w:spacing w:val="-2"/>
          <w:sz w:val="26"/>
          <w:szCs w:val="26"/>
        </w:rPr>
        <w:t>протягом п’ятнадцяти робочих днів до Національної комісії з цінних паперів та фондового ринку,</w:t>
      </w:r>
      <w:r>
        <w:rPr>
          <w:sz w:val="26"/>
          <w:szCs w:val="26"/>
        </w:rPr>
        <w:t xml:space="preserve"> протягом т</w:t>
      </w:r>
      <w:r>
        <w:rPr>
          <w:rStyle w:val="rvts0"/>
          <w:sz w:val="26"/>
          <w:szCs w:val="26"/>
        </w:rPr>
        <w:t>ридцяти календарних днів з дня прийняття</w:t>
      </w:r>
      <w:r>
        <w:rPr>
          <w:sz w:val="26"/>
          <w:szCs w:val="26"/>
        </w:rPr>
        <w:t xml:space="preserve"> </w:t>
      </w:r>
      <w:r>
        <w:rPr>
          <w:rStyle w:val="rvts0"/>
          <w:sz w:val="26"/>
          <w:szCs w:val="26"/>
        </w:rPr>
        <w:t>рішення до Експертно-апеляційної ради з питань ліцензування або</w:t>
      </w:r>
      <w:r>
        <w:rPr>
          <w:spacing w:val="-2"/>
          <w:sz w:val="26"/>
          <w:szCs w:val="26"/>
        </w:rPr>
        <w:t xml:space="preserve"> до суду у встановленому чинним законодавством порядку.</w:t>
      </w:r>
    </w:p>
    <w:p w:rsidR="00BE2F67" w:rsidRDefault="00BE2F67" w:rsidP="00BE2F67">
      <w:pPr>
        <w:jc w:val="both"/>
        <w:rPr>
          <w:b/>
          <w:sz w:val="26"/>
          <w:szCs w:val="26"/>
          <w:lang w:val="ru-RU"/>
        </w:rPr>
      </w:pPr>
    </w:p>
    <w:p w:rsidR="00BE2F67" w:rsidRDefault="00BE2F67" w:rsidP="00BE2F67">
      <w:pPr>
        <w:jc w:val="both"/>
        <w:rPr>
          <w:b/>
          <w:sz w:val="28"/>
          <w:szCs w:val="28"/>
        </w:rPr>
      </w:pPr>
    </w:p>
    <w:p w:rsidR="00BE2F67" w:rsidRDefault="009C4B44" w:rsidP="00BE2F67">
      <w:pPr>
        <w:pStyle w:val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Уповноважена особа Комісії</w:t>
      </w:r>
      <w:r w:rsidR="00BE2F67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        </w:t>
      </w:r>
      <w:r w:rsidR="00BE2F67">
        <w:rPr>
          <w:b/>
          <w:sz w:val="28"/>
          <w:szCs w:val="28"/>
        </w:rPr>
        <w:t xml:space="preserve">Т. </w:t>
      </w:r>
      <w:proofErr w:type="spellStart"/>
      <w:r w:rsidR="00BE2F67" w:rsidRPr="00C845D5">
        <w:rPr>
          <w:b/>
          <w:sz w:val="28"/>
          <w:szCs w:val="28"/>
        </w:rPr>
        <w:t>Хромаєв</w:t>
      </w:r>
      <w:proofErr w:type="spellEnd"/>
      <w:r w:rsidR="00BE2F67" w:rsidRPr="00C845D5">
        <w:rPr>
          <w:b/>
          <w:sz w:val="28"/>
          <w:szCs w:val="28"/>
        </w:rPr>
        <w:t xml:space="preserve"> </w:t>
      </w:r>
    </w:p>
    <w:p w:rsidR="00BE2F67" w:rsidRDefault="00BE2F67" w:rsidP="00BE2F67">
      <w:pPr>
        <w:jc w:val="both"/>
        <w:rPr>
          <w:b/>
          <w:sz w:val="28"/>
          <w:szCs w:val="28"/>
        </w:rPr>
      </w:pPr>
    </w:p>
    <w:p w:rsidR="00BE2F67" w:rsidRDefault="00BE2F67" w:rsidP="00BE2F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Уповноважена особа Комісії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</w:t>
      </w:r>
      <w:r w:rsidR="002D7BEF">
        <w:rPr>
          <w:b/>
          <w:sz w:val="28"/>
          <w:szCs w:val="28"/>
        </w:rPr>
        <w:t>І. Назарчук</w:t>
      </w:r>
      <w:bookmarkStart w:id="0" w:name="_GoBack"/>
      <w:bookmarkEnd w:id="0"/>
    </w:p>
    <w:p w:rsidR="00BE2F67" w:rsidRDefault="00BE2F67" w:rsidP="00BE2F67">
      <w:pPr>
        <w:jc w:val="both"/>
        <w:rPr>
          <w:b/>
          <w:sz w:val="28"/>
          <w:szCs w:val="28"/>
        </w:rPr>
      </w:pPr>
    </w:p>
    <w:p w:rsidR="00BE2F67" w:rsidRPr="009C4B44" w:rsidRDefault="00BE2F67" w:rsidP="00BE2F67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Уповноважена особа Комісії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</w:t>
      </w:r>
      <w:r w:rsidR="002D7BEF">
        <w:rPr>
          <w:b/>
          <w:sz w:val="28"/>
          <w:szCs w:val="28"/>
        </w:rPr>
        <w:t>О. Панченко</w:t>
      </w:r>
    </w:p>
    <w:p w:rsidR="00BE2F67" w:rsidRDefault="00BE2F67" w:rsidP="00BE2F67"/>
    <w:p w:rsidR="003110CD" w:rsidRDefault="003110CD"/>
    <w:sectPr w:rsidR="003110CD" w:rsidSect="00BE2F67">
      <w:foot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1EC" w:rsidRDefault="007D71EC" w:rsidP="00BE2F67">
      <w:r>
        <w:separator/>
      </w:r>
    </w:p>
  </w:endnote>
  <w:endnote w:type="continuationSeparator" w:id="0">
    <w:p w:rsidR="007D71EC" w:rsidRDefault="007D71EC" w:rsidP="00BE2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7421792"/>
      <w:docPartObj>
        <w:docPartGallery w:val="Page Numbers (Bottom of Page)"/>
        <w:docPartUnique/>
      </w:docPartObj>
    </w:sdtPr>
    <w:sdtEndPr/>
    <w:sdtContent>
      <w:p w:rsidR="00BE2F67" w:rsidRDefault="00BE2F6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BEF">
          <w:rPr>
            <w:noProof/>
          </w:rPr>
          <w:t>5</w:t>
        </w:r>
        <w:r>
          <w:fldChar w:fldCharType="end"/>
        </w:r>
      </w:p>
    </w:sdtContent>
  </w:sdt>
  <w:p w:rsidR="00BE2F67" w:rsidRDefault="00BE2F6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1EC" w:rsidRDefault="007D71EC" w:rsidP="00BE2F67">
      <w:r>
        <w:separator/>
      </w:r>
    </w:p>
  </w:footnote>
  <w:footnote w:type="continuationSeparator" w:id="0">
    <w:p w:rsidR="007D71EC" w:rsidRDefault="007D71EC" w:rsidP="00BE2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3DC"/>
    <w:rsid w:val="001033DC"/>
    <w:rsid w:val="002D7BEF"/>
    <w:rsid w:val="003110CD"/>
    <w:rsid w:val="00416547"/>
    <w:rsid w:val="004340D2"/>
    <w:rsid w:val="004C1362"/>
    <w:rsid w:val="005D3CD5"/>
    <w:rsid w:val="006B49E2"/>
    <w:rsid w:val="006C42BA"/>
    <w:rsid w:val="007D71EC"/>
    <w:rsid w:val="009C4B44"/>
    <w:rsid w:val="009D7475"/>
    <w:rsid w:val="00A33CB7"/>
    <w:rsid w:val="00BE13FF"/>
    <w:rsid w:val="00BE2F67"/>
    <w:rsid w:val="00C2363F"/>
    <w:rsid w:val="00C9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75D95"/>
  <w15:chartTrackingRefBased/>
  <w15:docId w15:val="{B09AA316-942F-4BF2-9D41-A8A6D897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E2F67"/>
    <w:rPr>
      <w:color w:val="0000FF"/>
      <w:u w:val="single"/>
    </w:rPr>
  </w:style>
  <w:style w:type="character" w:customStyle="1" w:styleId="a4">
    <w:name w:val="Звичайний (веб) Знак"/>
    <w:link w:val="a5"/>
    <w:locked/>
    <w:rsid w:val="00BE2F67"/>
    <w:rPr>
      <w:sz w:val="24"/>
      <w:szCs w:val="24"/>
      <w:lang w:val="x-none" w:eastAsia="x-none"/>
    </w:rPr>
  </w:style>
  <w:style w:type="paragraph" w:styleId="a5">
    <w:name w:val="Normal (Web)"/>
    <w:basedOn w:val="a"/>
    <w:link w:val="a4"/>
    <w:unhideWhenUsed/>
    <w:rsid w:val="00BE2F67"/>
    <w:pPr>
      <w:spacing w:before="100" w:beforeAutospacing="1" w:after="100" w:afterAutospacing="1"/>
    </w:pPr>
    <w:rPr>
      <w:rFonts w:asciiTheme="minorHAnsi" w:eastAsiaTheme="minorHAnsi" w:hAnsiTheme="minorHAnsi" w:cstheme="minorBidi"/>
      <w:lang w:val="x-none" w:eastAsia="x-none"/>
    </w:rPr>
  </w:style>
  <w:style w:type="paragraph" w:styleId="a6">
    <w:name w:val="Body Text Indent"/>
    <w:basedOn w:val="a"/>
    <w:link w:val="a7"/>
    <w:semiHidden/>
    <w:unhideWhenUsed/>
    <w:rsid w:val="00BE2F67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semiHidden/>
    <w:rsid w:val="00BE2F6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Звичайний1"/>
    <w:rsid w:val="00BE2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ий текст 21"/>
    <w:basedOn w:val="1"/>
    <w:rsid w:val="00BE2F67"/>
    <w:pPr>
      <w:ind w:firstLine="851"/>
      <w:jc w:val="both"/>
    </w:pPr>
    <w:rPr>
      <w:sz w:val="28"/>
      <w:lang w:val="ru-RU"/>
    </w:rPr>
  </w:style>
  <w:style w:type="paragraph" w:customStyle="1" w:styleId="10">
    <w:name w:val="Без інтервалів1"/>
    <w:rsid w:val="00BE2F67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rvts0">
    <w:name w:val="rvts0"/>
    <w:basedOn w:val="a0"/>
    <w:rsid w:val="00BE2F67"/>
  </w:style>
  <w:style w:type="character" w:customStyle="1" w:styleId="rvts9">
    <w:name w:val="rvts9"/>
    <w:basedOn w:val="a0"/>
    <w:rsid w:val="00BE2F67"/>
  </w:style>
  <w:style w:type="character" w:customStyle="1" w:styleId="rvts46">
    <w:name w:val="rvts46"/>
    <w:basedOn w:val="a0"/>
    <w:rsid w:val="00BE2F67"/>
  </w:style>
  <w:style w:type="character" w:customStyle="1" w:styleId="rvts23">
    <w:name w:val="rvts23"/>
    <w:basedOn w:val="a0"/>
    <w:rsid w:val="00BE2F67"/>
  </w:style>
  <w:style w:type="paragraph" w:styleId="a8">
    <w:name w:val="header"/>
    <w:basedOn w:val="a"/>
    <w:link w:val="a9"/>
    <w:uiPriority w:val="99"/>
    <w:unhideWhenUsed/>
    <w:rsid w:val="00BE2F67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BE2F6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footer"/>
    <w:basedOn w:val="a"/>
    <w:link w:val="ab"/>
    <w:uiPriority w:val="99"/>
    <w:unhideWhenUsed/>
    <w:rsid w:val="00BE2F67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BE2F67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8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B0CC7-6007-48B6-9AC7-73B701554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7931</Words>
  <Characters>4522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NSSMC</Company>
  <LinksUpToDate>false</LinksUpToDate>
  <CharactersWithSpaces>12429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2019-08-12T12:34:00Z</dcterms:created>
  <dcterms:modified xsi:type="dcterms:W3CDTF">2019-08-14T07:28:00Z</dcterms:modified>
</cp:coreProperties>
</file>