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8F9" w:rsidRPr="008D4B78" w:rsidRDefault="00694E8E" w:rsidP="00AE47C0">
      <w:pPr>
        <w:shd w:val="clear" w:color="auto" w:fill="FFFFFF"/>
        <w:spacing w:after="0" w:line="240" w:lineRule="auto"/>
        <w:ind w:left="450" w:right="450"/>
        <w:jc w:val="center"/>
        <w:textAlignment w:val="baseline"/>
        <w:rPr>
          <w:rFonts w:ascii="Times New Roman" w:eastAsia="Times New Roman" w:hAnsi="Times New Roman" w:cs="Times New Roman"/>
          <w:b/>
          <w:color w:val="000000"/>
          <w:sz w:val="28"/>
          <w:szCs w:val="28"/>
        </w:rPr>
      </w:pPr>
      <w:bookmarkStart w:id="0" w:name="_GoBack"/>
      <w:bookmarkEnd w:id="0"/>
      <w:r w:rsidRPr="008D4B78">
        <w:rPr>
          <w:rFonts w:ascii="Times New Roman" w:eastAsia="Times New Roman" w:hAnsi="Times New Roman" w:cs="Times New Roman"/>
          <w:b/>
          <w:bCs/>
          <w:color w:val="000000"/>
          <w:sz w:val="28"/>
          <w:szCs w:val="28"/>
          <w:bdr w:val="none" w:sz="0" w:space="0" w:color="auto" w:frame="1"/>
          <w:lang w:eastAsia="uk-UA"/>
        </w:rPr>
        <w:t>ПОЯСНЮВАЛЬНА ЗАПИСКА </w:t>
      </w:r>
      <w:r w:rsidRPr="008D4B78">
        <w:rPr>
          <w:rFonts w:ascii="Times New Roman" w:eastAsia="Times New Roman" w:hAnsi="Times New Roman" w:cs="Times New Roman"/>
          <w:color w:val="000000"/>
          <w:sz w:val="28"/>
          <w:szCs w:val="28"/>
          <w:lang w:eastAsia="uk-UA"/>
        </w:rPr>
        <w:br/>
      </w:r>
      <w:r w:rsidRPr="008D4B78">
        <w:rPr>
          <w:rFonts w:ascii="Times New Roman" w:eastAsia="Times New Roman" w:hAnsi="Times New Roman" w:cs="Times New Roman"/>
          <w:b/>
          <w:bCs/>
          <w:color w:val="000000"/>
          <w:sz w:val="28"/>
          <w:szCs w:val="28"/>
          <w:bdr w:val="none" w:sz="0" w:space="0" w:color="auto" w:frame="1"/>
          <w:lang w:eastAsia="uk-UA"/>
        </w:rPr>
        <w:t xml:space="preserve">до проекту </w:t>
      </w:r>
      <w:r w:rsidR="00FC28F9" w:rsidRPr="008D4B78">
        <w:rPr>
          <w:rFonts w:ascii="Times New Roman" w:eastAsia="Times New Roman" w:hAnsi="Times New Roman" w:cs="Times New Roman"/>
          <w:b/>
          <w:bCs/>
          <w:color w:val="000000"/>
          <w:sz w:val="28"/>
          <w:szCs w:val="28"/>
          <w:bdr w:val="none" w:sz="0" w:space="0" w:color="auto" w:frame="1"/>
          <w:lang w:eastAsia="uk-UA"/>
        </w:rPr>
        <w:t xml:space="preserve">рішення Національної комісії з цінних паперів та фондового </w:t>
      </w:r>
      <w:r w:rsidR="00FC28F9" w:rsidRPr="008D4B78">
        <w:rPr>
          <w:rFonts w:ascii="Times New Roman" w:eastAsia="Times New Roman" w:hAnsi="Times New Roman" w:cs="Times New Roman"/>
          <w:b/>
          <w:color w:val="000000"/>
          <w:sz w:val="28"/>
          <w:szCs w:val="28"/>
        </w:rPr>
        <w:t>ринку «</w:t>
      </w:r>
      <w:bookmarkStart w:id="1" w:name="n1702"/>
      <w:bookmarkEnd w:id="1"/>
      <w:r w:rsidR="00AE47C0" w:rsidRPr="008D4B78">
        <w:rPr>
          <w:rFonts w:ascii="Times New Roman" w:eastAsia="Times New Roman" w:hAnsi="Times New Roman" w:cs="Times New Roman"/>
          <w:b/>
          <w:color w:val="000000"/>
          <w:sz w:val="28"/>
          <w:szCs w:val="28"/>
        </w:rPr>
        <w:t>Про внесення змін до нормативно-правових актів про порядок звітування Центральним депозитарієм цінних паперів та депозитарними установами до Національної комісії з цінних паперів та фондового ринку»</w:t>
      </w:r>
    </w:p>
    <w:p w:rsidR="00AE47C0" w:rsidRPr="008D4B78" w:rsidRDefault="00AE47C0" w:rsidP="00AE47C0">
      <w:pPr>
        <w:shd w:val="clear" w:color="auto" w:fill="FFFFFF"/>
        <w:spacing w:after="0" w:line="240" w:lineRule="auto"/>
        <w:ind w:left="450" w:right="450"/>
        <w:jc w:val="center"/>
        <w:textAlignment w:val="baseline"/>
        <w:rPr>
          <w:rFonts w:ascii="Times New Roman" w:eastAsia="Times New Roman" w:hAnsi="Times New Roman" w:cs="Times New Roman"/>
          <w:b/>
          <w:color w:val="000000"/>
          <w:sz w:val="28"/>
          <w:szCs w:val="28"/>
        </w:rPr>
      </w:pPr>
    </w:p>
    <w:p w:rsidR="00AE47C0" w:rsidRPr="008D4B78" w:rsidRDefault="00AE47C0" w:rsidP="00AE47C0">
      <w:pPr>
        <w:shd w:val="clear" w:color="auto" w:fill="FFFFFF"/>
        <w:spacing w:after="0" w:line="240" w:lineRule="auto"/>
        <w:ind w:left="450" w:right="450"/>
        <w:jc w:val="center"/>
        <w:textAlignment w:val="baseline"/>
        <w:rPr>
          <w:rFonts w:ascii="Times New Roman" w:eastAsia="Times New Roman" w:hAnsi="Times New Roman" w:cs="Times New Roman"/>
          <w:b/>
          <w:color w:val="000000"/>
          <w:sz w:val="28"/>
          <w:szCs w:val="28"/>
        </w:rPr>
      </w:pPr>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b/>
          <w:bCs/>
          <w:color w:val="000000"/>
          <w:sz w:val="28"/>
          <w:szCs w:val="28"/>
          <w:bdr w:val="none" w:sz="0" w:space="0" w:color="auto" w:frame="1"/>
          <w:lang w:eastAsia="uk-UA"/>
        </w:rPr>
        <w:t xml:space="preserve">Мета: </w:t>
      </w:r>
      <w:r w:rsidR="00FC28F9" w:rsidRPr="008D4B78">
        <w:rPr>
          <w:rFonts w:ascii="Times New Roman" w:hAnsi="Times New Roman" w:cs="Times New Roman"/>
          <w:sz w:val="28"/>
          <w:szCs w:val="28"/>
        </w:rPr>
        <w:t>забезпечення захисту прав інвесторів і запобігання та уникнення ризиків у діяльності професійних учасників фондового ринку</w:t>
      </w:r>
      <w:r w:rsidR="00FC28F9" w:rsidRPr="008D4B78">
        <w:rPr>
          <w:rFonts w:ascii="Times New Roman" w:eastAsia="Times New Roman" w:hAnsi="Times New Roman" w:cs="Times New Roman"/>
          <w:b/>
          <w:bCs/>
          <w:color w:val="000000"/>
          <w:sz w:val="28"/>
          <w:szCs w:val="28"/>
          <w:bdr w:val="none" w:sz="0" w:space="0" w:color="auto" w:frame="1"/>
          <w:lang w:eastAsia="uk-UA"/>
        </w:rPr>
        <w:t xml:space="preserve"> </w:t>
      </w:r>
    </w:p>
    <w:p w:rsidR="00FC28F9" w:rsidRPr="008D4B78" w:rsidRDefault="00FC28F9" w:rsidP="004D419C">
      <w:pPr>
        <w:shd w:val="clear" w:color="auto" w:fill="FFFFFF"/>
        <w:spacing w:after="0" w:line="240" w:lineRule="auto"/>
        <w:ind w:firstLine="851"/>
        <w:jc w:val="both"/>
        <w:textAlignment w:val="baseline"/>
        <w:rPr>
          <w:rFonts w:ascii="Times New Roman" w:eastAsia="Times New Roman" w:hAnsi="Times New Roman" w:cs="Times New Roman"/>
          <w:b/>
          <w:bCs/>
          <w:color w:val="000000"/>
          <w:sz w:val="28"/>
          <w:szCs w:val="28"/>
          <w:bdr w:val="none" w:sz="0" w:space="0" w:color="auto" w:frame="1"/>
          <w:lang w:eastAsia="uk-UA"/>
        </w:rPr>
      </w:pPr>
      <w:bookmarkStart w:id="2" w:name="n1703"/>
      <w:bookmarkEnd w:id="2"/>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b/>
          <w:bCs/>
          <w:color w:val="000000"/>
          <w:sz w:val="28"/>
          <w:szCs w:val="28"/>
          <w:bdr w:val="none" w:sz="0" w:space="0" w:color="auto" w:frame="1"/>
          <w:lang w:eastAsia="uk-UA"/>
        </w:rPr>
        <w:t xml:space="preserve">1. Підстава розроблення проекту </w:t>
      </w:r>
      <w:proofErr w:type="spellStart"/>
      <w:r w:rsidRPr="008D4B78">
        <w:rPr>
          <w:rFonts w:ascii="Times New Roman" w:eastAsia="Times New Roman" w:hAnsi="Times New Roman" w:cs="Times New Roman"/>
          <w:b/>
          <w:bCs/>
          <w:color w:val="000000"/>
          <w:sz w:val="28"/>
          <w:szCs w:val="28"/>
          <w:bdr w:val="none" w:sz="0" w:space="0" w:color="auto" w:frame="1"/>
          <w:lang w:eastAsia="uk-UA"/>
        </w:rPr>
        <w:t>акта</w:t>
      </w:r>
      <w:proofErr w:type="spellEnd"/>
    </w:p>
    <w:p w:rsidR="00694E8E" w:rsidRPr="008D4B78" w:rsidRDefault="00203770"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bookmarkStart w:id="3" w:name="n1704"/>
      <w:bookmarkEnd w:id="3"/>
      <w:r w:rsidRPr="008D4B78">
        <w:rPr>
          <w:rFonts w:ascii="Times New Roman" w:eastAsia="Times New Roman" w:hAnsi="Times New Roman" w:cs="Times New Roman"/>
          <w:color w:val="000000"/>
          <w:sz w:val="28"/>
          <w:szCs w:val="28"/>
          <w:lang w:eastAsia="uk-UA"/>
        </w:rPr>
        <w:t>Необхідність приведення нормативно-правових актів Національної комісії з цінних паперів та фондового ринку у відповідність до вимог законодавства.</w:t>
      </w:r>
    </w:p>
    <w:p w:rsidR="00FC28F9" w:rsidRPr="008D4B78" w:rsidRDefault="00FC28F9" w:rsidP="004D419C">
      <w:pPr>
        <w:shd w:val="clear" w:color="auto" w:fill="FFFFFF"/>
        <w:spacing w:after="0" w:line="240" w:lineRule="auto"/>
        <w:ind w:firstLine="851"/>
        <w:jc w:val="both"/>
        <w:textAlignment w:val="baseline"/>
        <w:rPr>
          <w:rFonts w:ascii="Times New Roman" w:eastAsia="Times New Roman" w:hAnsi="Times New Roman" w:cs="Times New Roman"/>
          <w:b/>
          <w:bCs/>
          <w:color w:val="000000"/>
          <w:sz w:val="28"/>
          <w:szCs w:val="28"/>
          <w:bdr w:val="none" w:sz="0" w:space="0" w:color="auto" w:frame="1"/>
          <w:lang w:eastAsia="uk-UA"/>
        </w:rPr>
      </w:pPr>
      <w:bookmarkStart w:id="4" w:name="n1705"/>
      <w:bookmarkEnd w:id="4"/>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b/>
          <w:bCs/>
          <w:color w:val="000000"/>
          <w:sz w:val="28"/>
          <w:szCs w:val="28"/>
          <w:bdr w:val="none" w:sz="0" w:space="0" w:color="auto" w:frame="1"/>
          <w:lang w:eastAsia="uk-UA"/>
        </w:rPr>
        <w:t xml:space="preserve">2. Обґрунтування необхідності прийняття </w:t>
      </w:r>
      <w:proofErr w:type="spellStart"/>
      <w:r w:rsidRPr="008D4B78">
        <w:rPr>
          <w:rFonts w:ascii="Times New Roman" w:eastAsia="Times New Roman" w:hAnsi="Times New Roman" w:cs="Times New Roman"/>
          <w:b/>
          <w:bCs/>
          <w:color w:val="000000"/>
          <w:sz w:val="28"/>
          <w:szCs w:val="28"/>
          <w:bdr w:val="none" w:sz="0" w:space="0" w:color="auto" w:frame="1"/>
          <w:lang w:eastAsia="uk-UA"/>
        </w:rPr>
        <w:t>акта</w:t>
      </w:r>
      <w:proofErr w:type="spellEnd"/>
    </w:p>
    <w:p w:rsidR="001338F2" w:rsidRPr="008D4B78" w:rsidRDefault="001338F2" w:rsidP="001338F2">
      <w:pPr>
        <w:spacing w:after="0" w:line="240" w:lineRule="auto"/>
        <w:ind w:firstLine="709"/>
        <w:jc w:val="both"/>
        <w:rPr>
          <w:rFonts w:ascii="Times New Roman" w:eastAsia="Times New Roman" w:hAnsi="Times New Roman" w:cs="Times New Roman"/>
          <w:sz w:val="28"/>
          <w:szCs w:val="28"/>
          <w:lang w:eastAsia="uk-UA"/>
        </w:rPr>
      </w:pPr>
      <w:bookmarkStart w:id="5" w:name="n1706"/>
      <w:bookmarkStart w:id="6" w:name="n1708"/>
      <w:bookmarkEnd w:id="5"/>
      <w:bookmarkEnd w:id="6"/>
      <w:r w:rsidRPr="008D4B78">
        <w:rPr>
          <w:rFonts w:ascii="Times New Roman" w:eastAsia="Times New Roman" w:hAnsi="Times New Roman" w:cs="Times New Roman"/>
          <w:sz w:val="28"/>
          <w:szCs w:val="28"/>
          <w:lang w:eastAsia="uk-UA"/>
        </w:rPr>
        <w:t>У зв’язку зі здійсненням технологічної та операційної модифікації системи депозитарного обліку Центрального депозитарію цінних паперів (далі – Центральний депозитарій), передбаченої Комплексною програмою розвитку фінансового сектору України до 2020 року, затвердженою рішенням Національної комісії з цінних паперів та фондового ринку від 01.06.2018 № 363, та внесенням відповідних змін до Положення про провадження депозитарної діяльності, затвердженого рішенням Національної комісії з цінних паперів та фондового ринку від 23 квітня 2013 року № 735, зареєстрованого в Міністерстві юстиції України 27 червня 2013 року за № 1084/23616, виникла необхідність уточнення певних вимог щодо порядку звітування Центральним депозитарієм та депозитарними установами до Національної комісії з цінних паперів та фондового ринку.</w:t>
      </w:r>
    </w:p>
    <w:p w:rsidR="001338F2" w:rsidRPr="008D4B78" w:rsidRDefault="001338F2" w:rsidP="001338F2">
      <w:pPr>
        <w:pStyle w:val="a4"/>
        <w:tabs>
          <w:tab w:val="left" w:pos="0"/>
          <w:tab w:val="left" w:pos="1134"/>
        </w:tabs>
        <w:ind w:firstLine="851"/>
        <w:jc w:val="both"/>
        <w:rPr>
          <w:sz w:val="28"/>
          <w:szCs w:val="28"/>
          <w:lang w:eastAsia="uk-UA"/>
        </w:rPr>
      </w:pPr>
      <w:r w:rsidRPr="008D4B78">
        <w:rPr>
          <w:sz w:val="28"/>
          <w:szCs w:val="28"/>
          <w:lang w:eastAsia="uk-UA"/>
        </w:rPr>
        <w:t>Також, Положення про порядок звітування депозитарними установами до Національної комісії з цінних паперів та фондового ринку, затвердженого рішенням Національної комісії з цінних паперів та фондового ринку від 11 червня 2013 року № 992, зареєстрованого в Міністерстві юстиції України 05 липня 2013 року за № 1126/23658, потребує приведення цього нормативно-правового акту Комісії у відповідність до вимог Закону України «Про аудит фінансової звітності та аудиторську діяльність».</w:t>
      </w:r>
    </w:p>
    <w:p w:rsidR="00203770" w:rsidRPr="008D4B78" w:rsidRDefault="00203770"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rPr>
      </w:pPr>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b/>
          <w:color w:val="000000"/>
          <w:sz w:val="28"/>
          <w:szCs w:val="28"/>
        </w:rPr>
      </w:pPr>
      <w:r w:rsidRPr="008D4B78">
        <w:rPr>
          <w:rFonts w:ascii="Times New Roman" w:eastAsia="Times New Roman" w:hAnsi="Times New Roman" w:cs="Times New Roman"/>
          <w:b/>
          <w:color w:val="000000"/>
          <w:sz w:val="28"/>
          <w:szCs w:val="28"/>
        </w:rPr>
        <w:t xml:space="preserve">3. Суть проекту </w:t>
      </w:r>
      <w:proofErr w:type="spellStart"/>
      <w:r w:rsidRPr="008D4B78">
        <w:rPr>
          <w:rFonts w:ascii="Times New Roman" w:eastAsia="Times New Roman" w:hAnsi="Times New Roman" w:cs="Times New Roman"/>
          <w:b/>
          <w:color w:val="000000"/>
          <w:sz w:val="28"/>
          <w:szCs w:val="28"/>
        </w:rPr>
        <w:t>акта</w:t>
      </w:r>
      <w:proofErr w:type="spellEnd"/>
    </w:p>
    <w:p w:rsidR="00B518ED" w:rsidRPr="008D4B78" w:rsidRDefault="008A11CD" w:rsidP="00B518ED">
      <w:pPr>
        <w:spacing w:after="0" w:line="240" w:lineRule="auto"/>
        <w:ind w:firstLine="709"/>
        <w:jc w:val="both"/>
        <w:rPr>
          <w:rFonts w:ascii="Times New Roman" w:eastAsia="Times New Roman" w:hAnsi="Times New Roman" w:cs="Times New Roman"/>
          <w:sz w:val="28"/>
          <w:szCs w:val="28"/>
          <w:lang w:eastAsia="uk-UA"/>
        </w:rPr>
      </w:pPr>
      <w:bookmarkStart w:id="7" w:name="n1709"/>
      <w:bookmarkStart w:id="8" w:name="n1711"/>
      <w:bookmarkEnd w:id="7"/>
      <w:bookmarkEnd w:id="8"/>
      <w:r w:rsidRPr="008D4B78">
        <w:rPr>
          <w:rFonts w:ascii="Times New Roman" w:eastAsia="Times New Roman" w:hAnsi="Times New Roman" w:cs="Times New Roman"/>
          <w:sz w:val="28"/>
          <w:szCs w:val="28"/>
          <w:lang w:eastAsia="uk-UA"/>
        </w:rPr>
        <w:t xml:space="preserve">Проектом передбачається внесення змін до Положення про порядок звітування Центральним депозитарієм цінних паперів до Національної комісії з цінних паперів та фондового ринку, затвердженого рішенням Національної комісії з цінних паперів та фондового ринку від 28 травня 2013 року № 894, зареєстрованого в Міністерстві юстиції України 17 червня 2013 року за </w:t>
      </w:r>
      <w:r w:rsidR="008D4B78">
        <w:rPr>
          <w:rFonts w:ascii="Times New Roman" w:eastAsia="Times New Roman" w:hAnsi="Times New Roman" w:cs="Times New Roman"/>
          <w:sz w:val="28"/>
          <w:szCs w:val="28"/>
          <w:lang w:eastAsia="uk-UA"/>
        </w:rPr>
        <w:br/>
      </w:r>
      <w:r w:rsidRPr="008D4B78">
        <w:rPr>
          <w:rFonts w:ascii="Times New Roman" w:eastAsia="Times New Roman" w:hAnsi="Times New Roman" w:cs="Times New Roman"/>
          <w:sz w:val="28"/>
          <w:szCs w:val="28"/>
          <w:lang w:eastAsia="uk-UA"/>
        </w:rPr>
        <w:t>№ 975/23507, зокрема:</w:t>
      </w:r>
    </w:p>
    <w:p w:rsidR="008A11CD" w:rsidRPr="008D4B78" w:rsidRDefault="008A11CD" w:rsidP="00D80454">
      <w:pPr>
        <w:pStyle w:val="a7"/>
        <w:spacing w:before="0" w:beforeAutospacing="0" w:after="0" w:afterAutospacing="0"/>
        <w:ind w:firstLine="851"/>
        <w:jc w:val="both"/>
        <w:rPr>
          <w:sz w:val="28"/>
          <w:szCs w:val="28"/>
        </w:rPr>
      </w:pPr>
      <w:r w:rsidRPr="008D4B78">
        <w:rPr>
          <w:sz w:val="28"/>
          <w:szCs w:val="28"/>
        </w:rPr>
        <w:t xml:space="preserve">об’єднання довідки про загальну кількість та вартість цінних паперів на обліку в Центральному депозитарії (додаток 1) та довідки про здійснені </w:t>
      </w:r>
      <w:r w:rsidRPr="008D4B78">
        <w:rPr>
          <w:sz w:val="28"/>
          <w:szCs w:val="28"/>
        </w:rPr>
        <w:lastRenderedPageBreak/>
        <w:t>Центральним депозитарієм облікові операції на виконання договорів (біржових контрактів) на організаторах торгівлі (додаток 2) шляхом викладення об’єднаної довідки в новій редакції (довідка про загальну кількість цінних паперів, які знаходяться в обліку в Центральному депозитарії, та про проведення Центральним депозитарієм облікових операцій</w:t>
      </w:r>
      <w:r w:rsidR="008D4B78">
        <w:rPr>
          <w:sz w:val="28"/>
          <w:szCs w:val="28"/>
        </w:rPr>
        <w:t>)</w:t>
      </w:r>
      <w:r w:rsidRPr="008D4B78">
        <w:rPr>
          <w:sz w:val="28"/>
          <w:szCs w:val="28"/>
        </w:rPr>
        <w:t>;</w:t>
      </w:r>
    </w:p>
    <w:p w:rsidR="008A11CD" w:rsidRPr="008D4B78" w:rsidRDefault="008A11CD" w:rsidP="00D80454">
      <w:pPr>
        <w:pStyle w:val="a7"/>
        <w:spacing w:before="0" w:beforeAutospacing="0" w:after="0" w:afterAutospacing="0"/>
        <w:ind w:firstLine="851"/>
        <w:jc w:val="both"/>
        <w:rPr>
          <w:sz w:val="28"/>
          <w:szCs w:val="28"/>
        </w:rPr>
      </w:pPr>
      <w:r w:rsidRPr="008D4B78">
        <w:rPr>
          <w:sz w:val="28"/>
          <w:szCs w:val="28"/>
        </w:rPr>
        <w:t>об’єднання довідки про облікові операції, здійснені Центральним депозитарієм (додаток 7) та довідки про обслуговування Центральним депозитарієм корпоративних операцій емітента (додаток 6) шляхом викладення об’єднаної довідки в новій редакції (довідки про облікові операції, здійснені Центральним депозитарієм);</w:t>
      </w:r>
    </w:p>
    <w:p w:rsidR="008A11CD" w:rsidRPr="008D4B78" w:rsidRDefault="008A11CD" w:rsidP="00D80454">
      <w:pPr>
        <w:pStyle w:val="a7"/>
        <w:spacing w:before="0" w:beforeAutospacing="0" w:after="0" w:afterAutospacing="0"/>
        <w:ind w:firstLine="851"/>
        <w:jc w:val="both"/>
        <w:rPr>
          <w:sz w:val="28"/>
          <w:szCs w:val="28"/>
        </w:rPr>
      </w:pPr>
      <w:r w:rsidRPr="008D4B78">
        <w:rPr>
          <w:sz w:val="28"/>
          <w:szCs w:val="28"/>
        </w:rPr>
        <w:t>об’єднання довідки про перелік цінних паперів, які обслуговував Центральний депозитарій (додаток 7), довідки про загальну кількість цінних паперів, що обліковуються на рахунках депозитарних установ та депозитаріїв-кореспондентів у Центральному депозитарії (додаток 8) та довідки про облік у Центральному депозитарії цінних паперів, викуплених емітентом (додаток 9) шляхом викладення об’єднаної довідки в новій редакції (довідки про перелік цінних паперів, які обслуговуються Центральним депозитарієм)</w:t>
      </w:r>
      <w:r w:rsidR="00D80454" w:rsidRPr="008D4B78">
        <w:rPr>
          <w:sz w:val="28"/>
          <w:szCs w:val="28"/>
        </w:rPr>
        <w:t>;</w:t>
      </w:r>
    </w:p>
    <w:p w:rsidR="008A11CD" w:rsidRPr="008D4B78" w:rsidRDefault="00D80454" w:rsidP="00D80454">
      <w:pPr>
        <w:pStyle w:val="a7"/>
        <w:spacing w:before="0" w:beforeAutospacing="0" w:after="0" w:afterAutospacing="0"/>
        <w:ind w:firstLine="851"/>
        <w:jc w:val="both"/>
        <w:rPr>
          <w:sz w:val="28"/>
          <w:szCs w:val="28"/>
        </w:rPr>
      </w:pPr>
      <w:r w:rsidRPr="008D4B78">
        <w:rPr>
          <w:sz w:val="28"/>
          <w:szCs w:val="28"/>
        </w:rPr>
        <w:t xml:space="preserve">виключення </w:t>
      </w:r>
      <w:r w:rsidR="008A11CD" w:rsidRPr="008D4B78">
        <w:rPr>
          <w:sz w:val="28"/>
          <w:szCs w:val="28"/>
        </w:rPr>
        <w:t>довідки про прийняті на зберігання Центральним депозитарієм як уповноваженим на зберігання документів баз даних, копій баз даних, архівів баз даних та іншої інформації від депозитарних установ, що припинили свою депозитарну діяльність депозитарної у</w:t>
      </w:r>
      <w:r w:rsidRPr="008D4B78">
        <w:rPr>
          <w:sz w:val="28"/>
          <w:szCs w:val="28"/>
        </w:rPr>
        <w:t xml:space="preserve">станови, за період (додаток 11), </w:t>
      </w:r>
      <w:r w:rsidR="008A11CD" w:rsidRPr="008D4B78">
        <w:rPr>
          <w:sz w:val="28"/>
          <w:szCs w:val="28"/>
        </w:rPr>
        <w:t>довідки про тарифи на послуги Центра</w:t>
      </w:r>
      <w:r w:rsidRPr="008D4B78">
        <w:rPr>
          <w:sz w:val="28"/>
          <w:szCs w:val="28"/>
        </w:rPr>
        <w:t xml:space="preserve">льного депозитарію (додаток 12), </w:t>
      </w:r>
      <w:r w:rsidR="008A11CD" w:rsidRPr="008D4B78">
        <w:rPr>
          <w:sz w:val="28"/>
          <w:szCs w:val="28"/>
        </w:rPr>
        <w:t>довідки про призначення та/або анулювання Центральним депозитарієм міжнародних ідентифікаційних номе</w:t>
      </w:r>
      <w:r w:rsidRPr="008D4B78">
        <w:rPr>
          <w:sz w:val="28"/>
          <w:szCs w:val="28"/>
        </w:rPr>
        <w:t xml:space="preserve">рів цінних паперів (додаток 13), </w:t>
      </w:r>
      <w:r w:rsidR="008A11CD" w:rsidRPr="008D4B78">
        <w:rPr>
          <w:sz w:val="28"/>
          <w:szCs w:val="28"/>
        </w:rPr>
        <w:t>довідки щодо внесених до Реєстру індивідуальних ідентифікаційних кодів власників цінних паперів - нерезидентів, призначених депози</w:t>
      </w:r>
      <w:r w:rsidRPr="008D4B78">
        <w:rPr>
          <w:sz w:val="28"/>
          <w:szCs w:val="28"/>
        </w:rPr>
        <w:t xml:space="preserve">тарними установами (додаток 14), </w:t>
      </w:r>
      <w:r w:rsidR="008A11CD" w:rsidRPr="008D4B78">
        <w:rPr>
          <w:sz w:val="28"/>
          <w:szCs w:val="28"/>
        </w:rPr>
        <w:t>довідки про передачу депозитарною установою на зберігання документів, баз даних, копій баз даних уповноваже</w:t>
      </w:r>
      <w:r w:rsidRPr="008D4B78">
        <w:rPr>
          <w:sz w:val="28"/>
          <w:szCs w:val="28"/>
        </w:rPr>
        <w:t>ному на зберігання (додаток 21), як таких, інформація за якими оприлюднена на офіційному сайті Центрального депозитарія.</w:t>
      </w:r>
    </w:p>
    <w:p w:rsidR="001338F2" w:rsidRPr="008D4B78" w:rsidRDefault="008D4B78" w:rsidP="008D4B78">
      <w:pPr>
        <w:spacing w:after="0" w:line="240" w:lineRule="auto"/>
        <w:ind w:firstLine="851"/>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Крім того, </w:t>
      </w:r>
      <w:r w:rsidR="00203770" w:rsidRPr="008D4B78">
        <w:rPr>
          <w:rFonts w:ascii="Times New Roman" w:eastAsia="Times New Roman" w:hAnsi="Times New Roman" w:cs="Times New Roman"/>
          <w:sz w:val="28"/>
          <w:szCs w:val="28"/>
          <w:lang w:eastAsia="uk-UA"/>
        </w:rPr>
        <w:t>Проект</w:t>
      </w:r>
      <w:r w:rsidR="00972A04" w:rsidRPr="008D4B78">
        <w:rPr>
          <w:rFonts w:ascii="Times New Roman" w:eastAsia="Times New Roman" w:hAnsi="Times New Roman" w:cs="Times New Roman"/>
          <w:sz w:val="28"/>
          <w:szCs w:val="28"/>
          <w:lang w:eastAsia="uk-UA"/>
        </w:rPr>
        <w:t xml:space="preserve">ом передбачається </w:t>
      </w:r>
      <w:r w:rsidR="00DB2D2D" w:rsidRPr="008D4B78">
        <w:rPr>
          <w:rFonts w:ascii="Times New Roman" w:eastAsia="Times New Roman" w:hAnsi="Times New Roman" w:cs="Times New Roman"/>
          <w:sz w:val="28"/>
          <w:szCs w:val="28"/>
          <w:lang w:eastAsia="uk-UA"/>
        </w:rPr>
        <w:t xml:space="preserve">внесення змін до Положення про порядок звітування депозитарними установами до Національної комісії з цінних паперів та фондового ринку, затвердженого рішенням Національної комісії з цінних паперів та фондового ринку від 11 червня 2013 року № 992, зареєстрованого в Міністерстві юстиції України 05 липня 2013 року </w:t>
      </w:r>
      <w:r>
        <w:rPr>
          <w:rFonts w:ascii="Times New Roman" w:eastAsia="Times New Roman" w:hAnsi="Times New Roman" w:cs="Times New Roman"/>
          <w:sz w:val="28"/>
          <w:szCs w:val="28"/>
          <w:lang w:eastAsia="uk-UA"/>
        </w:rPr>
        <w:br/>
      </w:r>
      <w:r w:rsidR="00DB2D2D" w:rsidRPr="008D4B78">
        <w:rPr>
          <w:rFonts w:ascii="Times New Roman" w:eastAsia="Times New Roman" w:hAnsi="Times New Roman" w:cs="Times New Roman"/>
          <w:sz w:val="28"/>
          <w:szCs w:val="28"/>
          <w:lang w:eastAsia="uk-UA"/>
        </w:rPr>
        <w:t>за № 1126/23658,</w:t>
      </w:r>
      <w:r w:rsidR="001338F2" w:rsidRPr="008D4B78">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зокрема, з метою </w:t>
      </w:r>
      <w:r w:rsidRPr="008D4B78">
        <w:rPr>
          <w:rFonts w:ascii="Times New Roman" w:hAnsi="Times New Roman" w:cs="Times New Roman"/>
          <w:sz w:val="28"/>
          <w:szCs w:val="28"/>
          <w:lang w:eastAsia="uk-UA"/>
        </w:rPr>
        <w:t>приведення цього нормативно-правового акту Комісії у відповідність до вимог Закону України «Про аудит фінансової звітності та аудиторську діяльність»</w:t>
      </w:r>
      <w:r>
        <w:rPr>
          <w:rFonts w:ascii="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шляхом </w:t>
      </w:r>
      <w:r w:rsidR="001338F2" w:rsidRPr="008D4B78">
        <w:rPr>
          <w:rFonts w:ascii="Times New Roman" w:eastAsia="Times New Roman" w:hAnsi="Times New Roman" w:cs="Times New Roman"/>
          <w:sz w:val="28"/>
          <w:szCs w:val="28"/>
          <w:lang w:eastAsia="uk-UA"/>
        </w:rPr>
        <w:t>виключення з довідки «Титульний аркуш» відомостей щодо аудиторської фірми</w:t>
      </w:r>
      <w:r w:rsidR="00B518ED" w:rsidRPr="008D4B78">
        <w:rPr>
          <w:rFonts w:ascii="Times New Roman" w:eastAsia="Times New Roman" w:hAnsi="Times New Roman" w:cs="Times New Roman"/>
          <w:sz w:val="28"/>
          <w:szCs w:val="28"/>
          <w:lang w:eastAsia="uk-UA"/>
        </w:rPr>
        <w:t xml:space="preserve"> та д</w:t>
      </w:r>
      <w:r w:rsidR="001338F2" w:rsidRPr="008D4B78">
        <w:rPr>
          <w:rFonts w:ascii="Times New Roman" w:eastAsia="Times New Roman" w:hAnsi="Times New Roman" w:cs="Times New Roman"/>
          <w:sz w:val="28"/>
          <w:szCs w:val="28"/>
          <w:lang w:eastAsia="uk-UA"/>
        </w:rPr>
        <w:t xml:space="preserve">оповнення </w:t>
      </w:r>
      <w:r>
        <w:rPr>
          <w:rFonts w:ascii="Times New Roman" w:eastAsia="Times New Roman" w:hAnsi="Times New Roman" w:cs="Times New Roman"/>
          <w:sz w:val="28"/>
          <w:szCs w:val="28"/>
          <w:lang w:eastAsia="uk-UA"/>
        </w:rPr>
        <w:t xml:space="preserve">цього </w:t>
      </w:r>
      <w:r w:rsidR="001338F2" w:rsidRPr="008D4B78">
        <w:rPr>
          <w:rFonts w:ascii="Times New Roman" w:eastAsia="Times New Roman" w:hAnsi="Times New Roman" w:cs="Times New Roman"/>
          <w:sz w:val="28"/>
          <w:szCs w:val="28"/>
          <w:lang w:eastAsia="uk-UA"/>
        </w:rPr>
        <w:t>Положення нов</w:t>
      </w:r>
      <w:r>
        <w:rPr>
          <w:rFonts w:ascii="Times New Roman" w:eastAsia="Times New Roman" w:hAnsi="Times New Roman" w:cs="Times New Roman"/>
          <w:sz w:val="28"/>
          <w:szCs w:val="28"/>
          <w:lang w:eastAsia="uk-UA"/>
        </w:rPr>
        <w:t>ою</w:t>
      </w:r>
      <w:r w:rsidR="001338F2" w:rsidRPr="008D4B78">
        <w:rPr>
          <w:rFonts w:ascii="Times New Roman" w:eastAsia="Times New Roman" w:hAnsi="Times New Roman" w:cs="Times New Roman"/>
          <w:sz w:val="28"/>
          <w:szCs w:val="28"/>
          <w:lang w:eastAsia="uk-UA"/>
        </w:rPr>
        <w:t xml:space="preserve"> довідк</w:t>
      </w:r>
      <w:r>
        <w:rPr>
          <w:rFonts w:ascii="Times New Roman" w:eastAsia="Times New Roman" w:hAnsi="Times New Roman" w:cs="Times New Roman"/>
          <w:sz w:val="28"/>
          <w:szCs w:val="28"/>
          <w:lang w:eastAsia="uk-UA"/>
        </w:rPr>
        <w:t>ою</w:t>
      </w:r>
      <w:r w:rsidR="001338F2" w:rsidRPr="008D4B78">
        <w:rPr>
          <w:rFonts w:ascii="Times New Roman" w:eastAsia="Times New Roman" w:hAnsi="Times New Roman" w:cs="Times New Roman"/>
          <w:sz w:val="28"/>
          <w:szCs w:val="28"/>
          <w:lang w:eastAsia="uk-UA"/>
        </w:rPr>
        <w:t xml:space="preserve"> щодо відомостей про аудиторський звіт</w:t>
      </w:r>
      <w:r>
        <w:rPr>
          <w:rFonts w:ascii="Times New Roman" w:eastAsia="Times New Roman" w:hAnsi="Times New Roman" w:cs="Times New Roman"/>
          <w:sz w:val="28"/>
          <w:szCs w:val="28"/>
          <w:lang w:eastAsia="uk-UA"/>
        </w:rPr>
        <w:t>.</w:t>
      </w:r>
      <w:r w:rsidR="001338F2" w:rsidRPr="008D4B78">
        <w:rPr>
          <w:rFonts w:ascii="Times New Roman" w:eastAsia="Times New Roman" w:hAnsi="Times New Roman" w:cs="Times New Roman"/>
          <w:sz w:val="28"/>
          <w:szCs w:val="28"/>
          <w:lang w:eastAsia="uk-UA"/>
        </w:rPr>
        <w:t xml:space="preserve"> </w:t>
      </w:r>
    </w:p>
    <w:p w:rsidR="00B518ED" w:rsidRPr="008D4B78" w:rsidRDefault="00B518ED" w:rsidP="00B518ED">
      <w:pPr>
        <w:spacing w:after="0" w:line="240" w:lineRule="auto"/>
        <w:ind w:firstLine="709"/>
        <w:jc w:val="both"/>
        <w:rPr>
          <w:rFonts w:ascii="Times New Roman" w:eastAsia="Times New Roman" w:hAnsi="Times New Roman" w:cs="Times New Roman"/>
          <w:sz w:val="28"/>
          <w:szCs w:val="28"/>
          <w:lang w:eastAsia="uk-UA"/>
        </w:rPr>
      </w:pPr>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b/>
          <w:color w:val="000000"/>
          <w:sz w:val="28"/>
          <w:szCs w:val="28"/>
        </w:rPr>
      </w:pPr>
      <w:r w:rsidRPr="008D4B78">
        <w:rPr>
          <w:rFonts w:ascii="Times New Roman" w:eastAsia="Times New Roman" w:hAnsi="Times New Roman" w:cs="Times New Roman"/>
          <w:b/>
          <w:color w:val="000000"/>
          <w:sz w:val="28"/>
          <w:szCs w:val="28"/>
        </w:rPr>
        <w:t>4. Правові аспекти</w:t>
      </w:r>
    </w:p>
    <w:p w:rsidR="007F29AD" w:rsidRPr="007F29AD" w:rsidRDefault="00D339E8" w:rsidP="007F29AD">
      <w:pPr>
        <w:spacing w:after="0" w:line="240" w:lineRule="auto"/>
        <w:ind w:firstLine="709"/>
        <w:jc w:val="both"/>
        <w:rPr>
          <w:rFonts w:ascii="Times New Roman" w:eastAsia="Times New Roman" w:hAnsi="Times New Roman" w:cs="Times New Roman"/>
          <w:sz w:val="28"/>
          <w:szCs w:val="28"/>
          <w:lang w:eastAsia="uk-UA"/>
        </w:rPr>
      </w:pPr>
      <w:bookmarkStart w:id="9" w:name="n1712"/>
      <w:bookmarkStart w:id="10" w:name="n1713"/>
      <w:bookmarkEnd w:id="9"/>
      <w:bookmarkEnd w:id="10"/>
      <w:r w:rsidRPr="007F29AD">
        <w:rPr>
          <w:rFonts w:ascii="Times New Roman" w:eastAsia="Times New Roman" w:hAnsi="Times New Roman" w:cs="Times New Roman"/>
          <w:sz w:val="28"/>
          <w:szCs w:val="28"/>
          <w:lang w:eastAsia="uk-UA"/>
        </w:rPr>
        <w:t xml:space="preserve">Проект розроблений відповідно </w:t>
      </w:r>
      <w:r w:rsidR="007F29AD" w:rsidRPr="007F29AD">
        <w:rPr>
          <w:rFonts w:ascii="Times New Roman" w:eastAsia="Times New Roman" w:hAnsi="Times New Roman" w:cs="Times New Roman"/>
          <w:sz w:val="28"/>
          <w:szCs w:val="28"/>
          <w:lang w:eastAsia="uk-UA"/>
        </w:rPr>
        <w:t>абзацу шостого пункту 2 статті 28 розділу V Закону України «Про депозитарну систему України», пункту 10 частини другої статті 7 та пункту 13 статті 8 Закону України «Про державне регулювання ринку цінних паперів в Україні»</w:t>
      </w:r>
      <w:r w:rsidR="00C918A2">
        <w:rPr>
          <w:rFonts w:ascii="Times New Roman" w:eastAsia="Times New Roman" w:hAnsi="Times New Roman" w:cs="Times New Roman"/>
          <w:sz w:val="28"/>
          <w:szCs w:val="28"/>
          <w:lang w:eastAsia="uk-UA"/>
        </w:rPr>
        <w:t>.</w:t>
      </w:r>
      <w:r w:rsidR="007F29AD" w:rsidRPr="007F29AD">
        <w:rPr>
          <w:rFonts w:ascii="Times New Roman" w:eastAsia="Times New Roman" w:hAnsi="Times New Roman" w:cs="Times New Roman"/>
          <w:sz w:val="28"/>
          <w:szCs w:val="28"/>
          <w:lang w:eastAsia="uk-UA"/>
        </w:rPr>
        <w:t xml:space="preserve"> </w:t>
      </w:r>
    </w:p>
    <w:p w:rsidR="00D339E8" w:rsidRPr="008D4B78" w:rsidRDefault="002C7E6C"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rPr>
      </w:pPr>
      <w:r w:rsidRPr="008D4B78">
        <w:rPr>
          <w:rFonts w:ascii="Times New Roman" w:eastAsia="Times New Roman" w:hAnsi="Times New Roman" w:cs="Times New Roman"/>
          <w:color w:val="000000"/>
          <w:sz w:val="28"/>
          <w:szCs w:val="28"/>
        </w:rPr>
        <w:t>.</w:t>
      </w:r>
    </w:p>
    <w:p w:rsidR="002C7E6C" w:rsidRPr="008D4B78" w:rsidRDefault="002C7E6C"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rPr>
      </w:pPr>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b/>
          <w:color w:val="000000"/>
          <w:sz w:val="28"/>
          <w:szCs w:val="28"/>
        </w:rPr>
      </w:pPr>
      <w:r w:rsidRPr="008D4B78">
        <w:rPr>
          <w:rFonts w:ascii="Times New Roman" w:eastAsia="Times New Roman" w:hAnsi="Times New Roman" w:cs="Times New Roman"/>
          <w:b/>
          <w:color w:val="000000"/>
          <w:sz w:val="28"/>
          <w:szCs w:val="28"/>
        </w:rPr>
        <w:t>5. Фінансово-економічне обґрунтування</w:t>
      </w:r>
    </w:p>
    <w:p w:rsidR="00FD4D5F" w:rsidRPr="008D4B78" w:rsidRDefault="00FD4D5F" w:rsidP="004D419C">
      <w:pPr>
        <w:pStyle w:val="2"/>
        <w:tabs>
          <w:tab w:val="left" w:pos="9720"/>
          <w:tab w:val="left" w:pos="10080"/>
        </w:tabs>
        <w:spacing w:after="0" w:line="240" w:lineRule="auto"/>
        <w:ind w:left="0" w:right="-81" w:firstLine="851"/>
        <w:jc w:val="both"/>
        <w:rPr>
          <w:color w:val="000000"/>
          <w:sz w:val="28"/>
          <w:szCs w:val="28"/>
          <w:lang w:eastAsia="en-US"/>
        </w:rPr>
      </w:pPr>
      <w:bookmarkStart w:id="11" w:name="n1714"/>
      <w:bookmarkStart w:id="12" w:name="n1715"/>
      <w:bookmarkEnd w:id="11"/>
      <w:bookmarkEnd w:id="12"/>
      <w:r w:rsidRPr="008D4B78">
        <w:rPr>
          <w:color w:val="000000"/>
          <w:sz w:val="28"/>
          <w:szCs w:val="28"/>
          <w:lang w:eastAsia="en-US"/>
        </w:rPr>
        <w:t xml:space="preserve">На дію цього нормативно-правового </w:t>
      </w:r>
      <w:proofErr w:type="spellStart"/>
      <w:r w:rsidRPr="008D4B78">
        <w:rPr>
          <w:color w:val="000000"/>
          <w:sz w:val="28"/>
          <w:szCs w:val="28"/>
          <w:lang w:eastAsia="en-US"/>
        </w:rPr>
        <w:t>акта</w:t>
      </w:r>
      <w:proofErr w:type="spellEnd"/>
      <w:r w:rsidRPr="008D4B78">
        <w:rPr>
          <w:color w:val="000000"/>
          <w:sz w:val="28"/>
          <w:szCs w:val="28"/>
          <w:lang w:eastAsia="en-US"/>
        </w:rPr>
        <w:t xml:space="preserve"> може негативно вплинути нестабільна політична ситуація, яка може призвести до зміни державної політики у сфері фондового ринку та економічної політики. Цей фактор може суттєво знизити ефективність дій Проекту внаслідок можливої зміни деяких положень нормативних актів, які регулюють дану сферу діяльності на фондовому ринку. В результаті цього може збільшитись кількість правопорушень на фондовому ринку, пов’язаних з невідповідністю між нормативно-правовою базою діяльності професійних учасників на фондовому ринку.</w:t>
      </w:r>
    </w:p>
    <w:p w:rsidR="00FD4D5F" w:rsidRPr="008D4B78" w:rsidRDefault="00FD4D5F" w:rsidP="004D419C">
      <w:pPr>
        <w:pStyle w:val="2"/>
        <w:tabs>
          <w:tab w:val="left" w:pos="9720"/>
          <w:tab w:val="left" w:pos="10080"/>
        </w:tabs>
        <w:spacing w:after="0" w:line="240" w:lineRule="auto"/>
        <w:ind w:left="0" w:right="-81" w:firstLine="851"/>
        <w:jc w:val="both"/>
        <w:rPr>
          <w:color w:val="000000"/>
          <w:sz w:val="28"/>
          <w:szCs w:val="28"/>
          <w:lang w:eastAsia="en-US"/>
        </w:rPr>
      </w:pPr>
      <w:r w:rsidRPr="008D4B78">
        <w:rPr>
          <w:color w:val="000000"/>
          <w:sz w:val="28"/>
          <w:szCs w:val="28"/>
          <w:lang w:eastAsia="en-US"/>
        </w:rPr>
        <w:t xml:space="preserve">Позитивно на дію цього нормативно-правового </w:t>
      </w:r>
      <w:proofErr w:type="spellStart"/>
      <w:r w:rsidRPr="008D4B78">
        <w:rPr>
          <w:color w:val="000000"/>
          <w:sz w:val="28"/>
          <w:szCs w:val="28"/>
          <w:lang w:eastAsia="en-US"/>
        </w:rPr>
        <w:t>акта</w:t>
      </w:r>
      <w:proofErr w:type="spellEnd"/>
      <w:r w:rsidRPr="008D4B78">
        <w:rPr>
          <w:color w:val="000000"/>
          <w:sz w:val="28"/>
          <w:szCs w:val="28"/>
          <w:lang w:eastAsia="en-US"/>
        </w:rPr>
        <w:t xml:space="preserve"> може вплинути розвиток сучасних (в першу чергу комп’ютерних) технологій, який дозволить підвищити ефективність та прозорість діяльності Національної комісії з цінних паперів та фондового ринку, полегшити доступ учасників ринку цінних паперів до необхідної їм інформації тощо.</w:t>
      </w:r>
    </w:p>
    <w:p w:rsidR="00FD4D5F" w:rsidRPr="008D4B78" w:rsidRDefault="00FD4D5F" w:rsidP="004D419C">
      <w:pPr>
        <w:pStyle w:val="2"/>
        <w:tabs>
          <w:tab w:val="left" w:pos="9720"/>
          <w:tab w:val="left" w:pos="10080"/>
        </w:tabs>
        <w:spacing w:after="0" w:line="240" w:lineRule="auto"/>
        <w:ind w:left="0" w:right="-81" w:firstLine="851"/>
        <w:jc w:val="both"/>
        <w:rPr>
          <w:b/>
          <w:color w:val="000000"/>
          <w:sz w:val="28"/>
          <w:szCs w:val="28"/>
          <w:lang w:eastAsia="en-US"/>
        </w:rPr>
      </w:pPr>
      <w:r w:rsidRPr="008D4B78">
        <w:rPr>
          <w:b/>
          <w:color w:val="000000"/>
          <w:sz w:val="28"/>
          <w:szCs w:val="28"/>
          <w:lang w:eastAsia="en-US"/>
        </w:rPr>
        <w:t xml:space="preserve">Оцінка можливості впровадження та виконання вимог нормативно-правового </w:t>
      </w:r>
      <w:proofErr w:type="spellStart"/>
      <w:r w:rsidRPr="008D4B78">
        <w:rPr>
          <w:b/>
          <w:color w:val="000000"/>
          <w:sz w:val="28"/>
          <w:szCs w:val="28"/>
          <w:lang w:eastAsia="en-US"/>
        </w:rPr>
        <w:t>акта</w:t>
      </w:r>
      <w:proofErr w:type="spellEnd"/>
      <w:r w:rsidRPr="008D4B78">
        <w:rPr>
          <w:b/>
          <w:color w:val="000000"/>
          <w:sz w:val="28"/>
          <w:szCs w:val="28"/>
          <w:lang w:eastAsia="en-US"/>
        </w:rPr>
        <w:t xml:space="preserve"> </w:t>
      </w:r>
    </w:p>
    <w:p w:rsidR="00FD4D5F" w:rsidRPr="008D4B78" w:rsidRDefault="00FD4D5F" w:rsidP="004D419C">
      <w:pPr>
        <w:pStyle w:val="2"/>
        <w:tabs>
          <w:tab w:val="left" w:pos="9720"/>
          <w:tab w:val="left" w:pos="10080"/>
        </w:tabs>
        <w:spacing w:after="0" w:line="240" w:lineRule="auto"/>
        <w:ind w:left="0" w:right="-81" w:firstLine="851"/>
        <w:jc w:val="both"/>
        <w:rPr>
          <w:sz w:val="28"/>
          <w:szCs w:val="28"/>
        </w:rPr>
      </w:pPr>
      <w:r w:rsidRPr="008D4B78">
        <w:rPr>
          <w:color w:val="000000"/>
          <w:sz w:val="28"/>
          <w:szCs w:val="28"/>
          <w:lang w:eastAsia="en-US"/>
        </w:rPr>
        <w:t>Для впровадження</w:t>
      </w:r>
      <w:r w:rsidRPr="008D4B78">
        <w:rPr>
          <w:sz w:val="28"/>
          <w:szCs w:val="28"/>
        </w:rPr>
        <w:t xml:space="preserve"> вимог цього нормативно-правового </w:t>
      </w:r>
      <w:proofErr w:type="spellStart"/>
      <w:r w:rsidRPr="008D4B78">
        <w:rPr>
          <w:sz w:val="28"/>
          <w:szCs w:val="28"/>
        </w:rPr>
        <w:t>акта</w:t>
      </w:r>
      <w:proofErr w:type="spellEnd"/>
      <w:r w:rsidRPr="008D4B78">
        <w:rPr>
          <w:sz w:val="28"/>
          <w:szCs w:val="28"/>
        </w:rPr>
        <w:t xml:space="preserve"> Національної комісії з цінних паперів та фондового ринку не потрібно додаткових витрат з бюджету.</w:t>
      </w:r>
    </w:p>
    <w:p w:rsidR="00FD4D5F" w:rsidRPr="008D4B78" w:rsidRDefault="00FD4D5F" w:rsidP="004D419C">
      <w:pPr>
        <w:pStyle w:val="2"/>
        <w:tabs>
          <w:tab w:val="left" w:pos="9720"/>
          <w:tab w:val="left" w:pos="10080"/>
        </w:tabs>
        <w:spacing w:after="0" w:line="240" w:lineRule="auto"/>
        <w:ind w:left="0" w:right="-81" w:firstLine="851"/>
        <w:jc w:val="both"/>
        <w:rPr>
          <w:sz w:val="28"/>
          <w:szCs w:val="28"/>
        </w:rPr>
      </w:pPr>
      <w:r w:rsidRPr="008D4B78">
        <w:rPr>
          <w:sz w:val="28"/>
          <w:szCs w:val="28"/>
        </w:rPr>
        <w:t xml:space="preserve">Прийняття цього нормативно-правового </w:t>
      </w:r>
      <w:proofErr w:type="spellStart"/>
      <w:r w:rsidRPr="008D4B78">
        <w:rPr>
          <w:sz w:val="28"/>
          <w:szCs w:val="28"/>
        </w:rPr>
        <w:t>акта</w:t>
      </w:r>
      <w:proofErr w:type="spellEnd"/>
      <w:r w:rsidRPr="008D4B78">
        <w:rPr>
          <w:sz w:val="28"/>
          <w:szCs w:val="28"/>
        </w:rPr>
        <w:t xml:space="preserve"> дозволить сприяти забезпеченню ефективного функціонування фондового ринку, сприятиме приведення у відповідність із законодавством України нормативних документів Національної комісії з цінних паперів та фондового ринку, а також розширюють можливість застосування альтернативних способів подальшого обслуговування цінних паперів, прав на цінні папери, забезпеченню захисту прав інвесторів і запобіганню та уникненню ризиків у діяльності професійних учасників фондового ринку.</w:t>
      </w:r>
    </w:p>
    <w:p w:rsidR="00FD4D5F" w:rsidRPr="008D4B78" w:rsidRDefault="00FD4D5F" w:rsidP="004D419C">
      <w:pPr>
        <w:pStyle w:val="2"/>
        <w:tabs>
          <w:tab w:val="left" w:pos="9720"/>
          <w:tab w:val="left" w:pos="10080"/>
        </w:tabs>
        <w:spacing w:after="0" w:line="240" w:lineRule="auto"/>
        <w:ind w:left="0" w:right="-81" w:firstLine="851"/>
        <w:jc w:val="both"/>
        <w:rPr>
          <w:sz w:val="28"/>
          <w:szCs w:val="28"/>
        </w:rPr>
      </w:pPr>
      <w:r w:rsidRPr="008D4B78">
        <w:rPr>
          <w:sz w:val="28"/>
          <w:szCs w:val="28"/>
        </w:rPr>
        <w:t xml:space="preserve">Практичне значення і цільова спрямованість нормативно-правового </w:t>
      </w:r>
      <w:proofErr w:type="spellStart"/>
      <w:r w:rsidRPr="008D4B78">
        <w:rPr>
          <w:sz w:val="28"/>
          <w:szCs w:val="28"/>
        </w:rPr>
        <w:t>акта</w:t>
      </w:r>
      <w:proofErr w:type="spellEnd"/>
      <w:r w:rsidRPr="008D4B78">
        <w:rPr>
          <w:sz w:val="28"/>
          <w:szCs w:val="28"/>
        </w:rPr>
        <w:t xml:space="preserve"> полягає у підвищенні надійності захисту майнових прав інвесторів, поліпшенні інвестиційного клімату в країні. </w:t>
      </w:r>
    </w:p>
    <w:p w:rsidR="00FD4D5F" w:rsidRPr="008D4B78" w:rsidRDefault="00FD4D5F" w:rsidP="004D419C">
      <w:pPr>
        <w:pStyle w:val="StyleAwt"/>
        <w:tabs>
          <w:tab w:val="left" w:pos="9720"/>
          <w:tab w:val="left" w:pos="10080"/>
        </w:tabs>
        <w:spacing w:line="240" w:lineRule="auto"/>
        <w:ind w:right="-81" w:firstLine="851"/>
        <w:jc w:val="both"/>
        <w:rPr>
          <w:b w:val="0"/>
          <w:i w:val="0"/>
          <w:sz w:val="28"/>
          <w:szCs w:val="28"/>
          <w:u w:val="none"/>
          <w:lang w:eastAsia="uk-UA"/>
        </w:rPr>
      </w:pPr>
      <w:r w:rsidRPr="008D4B78">
        <w:rPr>
          <w:b w:val="0"/>
          <w:i w:val="0"/>
          <w:sz w:val="28"/>
          <w:szCs w:val="28"/>
          <w:u w:val="none"/>
          <w:lang w:eastAsia="uk-UA"/>
        </w:rPr>
        <w:t xml:space="preserve">Дія цього нормативно-правового </w:t>
      </w:r>
      <w:proofErr w:type="spellStart"/>
      <w:r w:rsidRPr="008D4B78">
        <w:rPr>
          <w:b w:val="0"/>
          <w:i w:val="0"/>
          <w:sz w:val="28"/>
          <w:szCs w:val="28"/>
          <w:u w:val="none"/>
          <w:lang w:eastAsia="uk-UA"/>
        </w:rPr>
        <w:t>акта</w:t>
      </w:r>
      <w:proofErr w:type="spellEnd"/>
      <w:r w:rsidRPr="008D4B78">
        <w:rPr>
          <w:b w:val="0"/>
          <w:i w:val="0"/>
          <w:sz w:val="28"/>
          <w:szCs w:val="28"/>
          <w:u w:val="none"/>
          <w:lang w:eastAsia="uk-UA"/>
        </w:rPr>
        <w:t xml:space="preserve"> має загальний аспект державно-правового регулювання, що означає впровадження загальнообов’язковості виконання вимог для всіх учасників фондового ринку та забезпечить вирішення багатьох проблемних питань, пов’язаних з </w:t>
      </w:r>
      <w:bookmarkStart w:id="13" w:name="n1716"/>
      <w:bookmarkEnd w:id="13"/>
      <w:r w:rsidR="005B1D02" w:rsidRPr="008D4B78">
        <w:rPr>
          <w:b w:val="0"/>
          <w:i w:val="0"/>
          <w:sz w:val="28"/>
          <w:szCs w:val="28"/>
          <w:u w:val="none"/>
          <w:lang w:eastAsia="uk-UA"/>
        </w:rPr>
        <w:t>обслуговуванням депозитарною</w:t>
      </w:r>
      <w:r w:rsidR="009D3E82" w:rsidRPr="008D4B78">
        <w:rPr>
          <w:b w:val="0"/>
          <w:i w:val="0"/>
          <w:sz w:val="28"/>
          <w:szCs w:val="28"/>
          <w:u w:val="none"/>
          <w:lang w:eastAsia="uk-UA"/>
        </w:rPr>
        <w:t xml:space="preserve"> у</w:t>
      </w:r>
      <w:r w:rsidR="005B1D02" w:rsidRPr="008D4B78">
        <w:rPr>
          <w:b w:val="0"/>
          <w:i w:val="0"/>
          <w:sz w:val="28"/>
          <w:szCs w:val="28"/>
          <w:u w:val="none"/>
          <w:lang w:eastAsia="uk-UA"/>
        </w:rPr>
        <w:t>становою рахунку у цінних паперах номінального утримувача, у тому числі щодо ведення обліку цінних паперів, прав на цінні папери та прав за цінними паперами, що належать клієнтам номінального утримувача, а також клієнтам клієнта номінального утримувача.</w:t>
      </w:r>
    </w:p>
    <w:p w:rsidR="005B1D02" w:rsidRPr="008D4B78" w:rsidRDefault="005B1D02" w:rsidP="004D419C">
      <w:pPr>
        <w:shd w:val="clear" w:color="auto" w:fill="FFFFFF"/>
        <w:spacing w:after="0" w:line="240" w:lineRule="auto"/>
        <w:ind w:firstLine="851"/>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b/>
          <w:bCs/>
          <w:color w:val="000000"/>
          <w:sz w:val="28"/>
          <w:szCs w:val="28"/>
          <w:bdr w:val="none" w:sz="0" w:space="0" w:color="auto" w:frame="1"/>
          <w:lang w:eastAsia="uk-UA"/>
        </w:rPr>
        <w:t>6. Прогноз впливу</w:t>
      </w:r>
    </w:p>
    <w:p w:rsidR="00FD4D5F" w:rsidRPr="008D4B78" w:rsidRDefault="00FD4D5F" w:rsidP="004D419C">
      <w:pPr>
        <w:shd w:val="clear" w:color="auto" w:fill="FFFFFF"/>
        <w:spacing w:after="0" w:line="240" w:lineRule="auto"/>
        <w:ind w:firstLine="851"/>
        <w:jc w:val="both"/>
        <w:textAlignment w:val="baseline"/>
        <w:rPr>
          <w:rFonts w:ascii="Times New Roman" w:eastAsia="Times New Roman" w:hAnsi="Times New Roman" w:cs="Times New Roman"/>
          <w:b/>
          <w:i/>
          <w:color w:val="000000"/>
          <w:sz w:val="28"/>
          <w:szCs w:val="28"/>
          <w:lang w:eastAsia="uk-UA"/>
        </w:rPr>
      </w:pPr>
      <w:bookmarkStart w:id="14" w:name="n1717"/>
      <w:bookmarkEnd w:id="14"/>
    </w:p>
    <w:p w:rsidR="00694E8E" w:rsidRPr="008D4B78" w:rsidRDefault="00FD4D5F"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b/>
          <w:i/>
          <w:color w:val="000000"/>
          <w:sz w:val="28"/>
          <w:szCs w:val="28"/>
          <w:lang w:eastAsia="uk-UA"/>
        </w:rPr>
        <w:t>О</w:t>
      </w:r>
      <w:r w:rsidR="00694E8E" w:rsidRPr="008D4B78">
        <w:rPr>
          <w:rFonts w:ascii="Times New Roman" w:eastAsia="Times New Roman" w:hAnsi="Times New Roman" w:cs="Times New Roman"/>
          <w:b/>
          <w:i/>
          <w:color w:val="000000"/>
          <w:sz w:val="28"/>
          <w:szCs w:val="28"/>
          <w:lang w:eastAsia="uk-UA"/>
        </w:rPr>
        <w:t xml:space="preserve">чікуваний вплив реалізації </w:t>
      </w:r>
      <w:proofErr w:type="spellStart"/>
      <w:r w:rsidR="00694E8E" w:rsidRPr="008D4B78">
        <w:rPr>
          <w:rFonts w:ascii="Times New Roman" w:eastAsia="Times New Roman" w:hAnsi="Times New Roman" w:cs="Times New Roman"/>
          <w:b/>
          <w:i/>
          <w:color w:val="000000"/>
          <w:sz w:val="28"/>
          <w:szCs w:val="28"/>
          <w:lang w:eastAsia="uk-UA"/>
        </w:rPr>
        <w:t>акта</w:t>
      </w:r>
      <w:proofErr w:type="spellEnd"/>
      <w:r w:rsidR="00694E8E" w:rsidRPr="008D4B78">
        <w:rPr>
          <w:rFonts w:ascii="Times New Roman" w:eastAsia="Times New Roman" w:hAnsi="Times New Roman" w:cs="Times New Roman"/>
          <w:b/>
          <w:i/>
          <w:color w:val="000000"/>
          <w:sz w:val="28"/>
          <w:szCs w:val="28"/>
          <w:lang w:eastAsia="uk-UA"/>
        </w:rPr>
        <w:t xml:space="preserve"> на</w:t>
      </w:r>
      <w:r w:rsidR="00694E8E" w:rsidRPr="008D4B78">
        <w:rPr>
          <w:rFonts w:ascii="Times New Roman" w:eastAsia="Times New Roman" w:hAnsi="Times New Roman" w:cs="Times New Roman"/>
          <w:color w:val="000000"/>
          <w:sz w:val="28"/>
          <w:szCs w:val="28"/>
          <w:lang w:eastAsia="uk-UA"/>
        </w:rPr>
        <w:t>:</w:t>
      </w:r>
    </w:p>
    <w:p w:rsidR="00D67334"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uk-UA"/>
        </w:rPr>
      </w:pPr>
      <w:bookmarkStart w:id="15" w:name="n1718"/>
      <w:bookmarkEnd w:id="15"/>
      <w:r w:rsidRPr="008D4B78">
        <w:rPr>
          <w:rFonts w:ascii="Times New Roman" w:eastAsia="Times New Roman" w:hAnsi="Times New Roman" w:cs="Times New Roman"/>
          <w:i/>
          <w:color w:val="000000"/>
          <w:sz w:val="28"/>
          <w:szCs w:val="28"/>
          <w:lang w:eastAsia="uk-UA"/>
        </w:rPr>
        <w:t>ринкове середовище, забезпечення прав та інтересів суб’єктів гос</w:t>
      </w:r>
      <w:r w:rsidR="00FD4D5F" w:rsidRPr="008D4B78">
        <w:rPr>
          <w:rFonts w:ascii="Times New Roman" w:eastAsia="Times New Roman" w:hAnsi="Times New Roman" w:cs="Times New Roman"/>
          <w:i/>
          <w:color w:val="000000"/>
          <w:sz w:val="28"/>
          <w:szCs w:val="28"/>
          <w:lang w:eastAsia="uk-UA"/>
        </w:rPr>
        <w:t>подарювання, громадян і держави</w:t>
      </w:r>
      <w:r w:rsidR="00FD4D5F" w:rsidRPr="008D4B78">
        <w:rPr>
          <w:rFonts w:ascii="Times New Roman" w:eastAsia="Times New Roman" w:hAnsi="Times New Roman" w:cs="Times New Roman"/>
          <w:color w:val="000000"/>
          <w:sz w:val="28"/>
          <w:szCs w:val="28"/>
          <w:lang w:eastAsia="uk-UA"/>
        </w:rPr>
        <w:t>:</w:t>
      </w:r>
      <w:r w:rsidR="00253FC8" w:rsidRPr="008D4B78">
        <w:rPr>
          <w:rFonts w:ascii="Times New Roman" w:eastAsia="Times New Roman" w:hAnsi="Times New Roman" w:cs="Times New Roman"/>
          <w:color w:val="000000"/>
          <w:sz w:val="28"/>
          <w:szCs w:val="28"/>
          <w:lang w:eastAsia="uk-UA"/>
        </w:rPr>
        <w:t xml:space="preserve"> </w:t>
      </w:r>
      <w:r w:rsidR="00D67334" w:rsidRPr="00D67334">
        <w:rPr>
          <w:rFonts w:ascii="Times New Roman" w:eastAsia="Times New Roman" w:hAnsi="Times New Roman" w:cs="Times New Roman"/>
          <w:sz w:val="28"/>
          <w:szCs w:val="28"/>
          <w:lang w:eastAsia="uk-UA"/>
        </w:rPr>
        <w:t xml:space="preserve">можливість </w:t>
      </w:r>
      <w:proofErr w:type="spellStart"/>
      <w:r w:rsidR="00D67334" w:rsidRPr="00D67334">
        <w:rPr>
          <w:rFonts w:ascii="Times New Roman" w:eastAsia="Times New Roman" w:hAnsi="Times New Roman" w:cs="Times New Roman"/>
          <w:sz w:val="28"/>
          <w:szCs w:val="28"/>
          <w:lang w:eastAsia="uk-UA"/>
        </w:rPr>
        <w:t>оперативно</w:t>
      </w:r>
      <w:proofErr w:type="spellEnd"/>
      <w:r w:rsidR="00D67334" w:rsidRPr="00D67334">
        <w:rPr>
          <w:rFonts w:ascii="Times New Roman" w:eastAsia="Times New Roman" w:hAnsi="Times New Roman" w:cs="Times New Roman"/>
          <w:sz w:val="28"/>
          <w:szCs w:val="28"/>
          <w:lang w:eastAsia="uk-UA"/>
        </w:rPr>
        <w:t xml:space="preserve"> здійснювати моніторинг та </w:t>
      </w:r>
      <w:r w:rsidR="00D67334">
        <w:rPr>
          <w:rFonts w:ascii="Times New Roman" w:eastAsia="Times New Roman" w:hAnsi="Times New Roman" w:cs="Times New Roman"/>
          <w:sz w:val="28"/>
          <w:szCs w:val="28"/>
          <w:lang w:eastAsia="uk-UA"/>
        </w:rPr>
        <w:t>запобігати</w:t>
      </w:r>
      <w:r w:rsidR="00D67334" w:rsidRPr="00D67334">
        <w:rPr>
          <w:rFonts w:ascii="Times New Roman" w:eastAsia="Times New Roman" w:hAnsi="Times New Roman" w:cs="Times New Roman"/>
          <w:sz w:val="28"/>
          <w:szCs w:val="28"/>
          <w:lang w:eastAsia="uk-UA"/>
        </w:rPr>
        <w:t xml:space="preserve"> правопорушень на фондовому ринку. </w:t>
      </w:r>
    </w:p>
    <w:p w:rsidR="003353AF" w:rsidRPr="008D4B78" w:rsidRDefault="00694E8E" w:rsidP="003353AF">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bookmarkStart w:id="16" w:name="n1719"/>
      <w:bookmarkEnd w:id="16"/>
      <w:r w:rsidRPr="008D4B78">
        <w:rPr>
          <w:rFonts w:ascii="Times New Roman" w:eastAsia="Times New Roman" w:hAnsi="Times New Roman" w:cs="Times New Roman"/>
          <w:i/>
          <w:color w:val="000000"/>
          <w:sz w:val="28"/>
          <w:szCs w:val="28"/>
          <w:lang w:eastAsia="uk-UA"/>
        </w:rPr>
        <w:lastRenderedPageBreak/>
        <w:t>розвиток регіонів</w:t>
      </w:r>
      <w:r w:rsidR="00253FC8" w:rsidRPr="008D4B78">
        <w:rPr>
          <w:rFonts w:ascii="Times New Roman" w:eastAsia="Times New Roman" w:hAnsi="Times New Roman" w:cs="Times New Roman"/>
          <w:color w:val="000000"/>
          <w:sz w:val="28"/>
          <w:szCs w:val="28"/>
          <w:lang w:eastAsia="uk-UA"/>
        </w:rPr>
        <w:t xml:space="preserve">: </w:t>
      </w:r>
      <w:bookmarkStart w:id="17" w:name="n1720"/>
      <w:bookmarkEnd w:id="17"/>
      <w:r w:rsidR="003353AF" w:rsidRPr="008D4B78">
        <w:rPr>
          <w:rFonts w:ascii="Times New Roman" w:eastAsia="Times New Roman" w:hAnsi="Times New Roman" w:cs="Times New Roman"/>
          <w:color w:val="000000"/>
          <w:sz w:val="28"/>
          <w:szCs w:val="28"/>
          <w:lang w:eastAsia="uk-UA"/>
        </w:rPr>
        <w:t>нормативно-правовий акт за предметом правового регулювання не регулює зазначену сферу;</w:t>
      </w:r>
    </w:p>
    <w:p w:rsidR="003353AF" w:rsidRPr="008D4B78" w:rsidRDefault="00694E8E" w:rsidP="003353AF">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i/>
          <w:color w:val="000000"/>
          <w:sz w:val="28"/>
          <w:szCs w:val="28"/>
          <w:lang w:eastAsia="uk-UA"/>
        </w:rPr>
        <w:t>ринок праці</w:t>
      </w:r>
      <w:r w:rsidR="00253FC8" w:rsidRPr="008D4B78">
        <w:rPr>
          <w:rFonts w:ascii="Times New Roman" w:eastAsia="Times New Roman" w:hAnsi="Times New Roman" w:cs="Times New Roman"/>
          <w:i/>
          <w:color w:val="000000"/>
          <w:sz w:val="28"/>
          <w:szCs w:val="28"/>
          <w:lang w:eastAsia="uk-UA"/>
        </w:rPr>
        <w:t>:</w:t>
      </w:r>
      <w:r w:rsidRPr="008D4B78">
        <w:rPr>
          <w:rFonts w:ascii="Times New Roman" w:eastAsia="Times New Roman" w:hAnsi="Times New Roman" w:cs="Times New Roman"/>
          <w:color w:val="000000"/>
          <w:sz w:val="28"/>
          <w:szCs w:val="28"/>
          <w:lang w:eastAsia="uk-UA"/>
        </w:rPr>
        <w:t xml:space="preserve"> </w:t>
      </w:r>
      <w:bookmarkStart w:id="18" w:name="n1721"/>
      <w:bookmarkEnd w:id="18"/>
      <w:r w:rsidR="003353AF" w:rsidRPr="008D4B78">
        <w:rPr>
          <w:rFonts w:ascii="Times New Roman" w:eastAsia="Times New Roman" w:hAnsi="Times New Roman" w:cs="Times New Roman"/>
          <w:color w:val="000000"/>
          <w:sz w:val="28"/>
          <w:szCs w:val="28"/>
          <w:lang w:eastAsia="uk-UA"/>
        </w:rPr>
        <w:t>нормативно-правовий акт за предметом правового регулювання не регулює зазначену сферу;</w:t>
      </w:r>
    </w:p>
    <w:p w:rsidR="00BE5CD6"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i/>
          <w:color w:val="000000"/>
          <w:sz w:val="28"/>
          <w:szCs w:val="28"/>
          <w:lang w:eastAsia="uk-UA"/>
        </w:rPr>
        <w:t>громадське здоров’я</w:t>
      </w:r>
      <w:r w:rsidR="00253FC8" w:rsidRPr="008D4B78">
        <w:rPr>
          <w:rFonts w:ascii="Times New Roman" w:eastAsia="Times New Roman" w:hAnsi="Times New Roman" w:cs="Times New Roman"/>
          <w:i/>
          <w:color w:val="000000"/>
          <w:sz w:val="28"/>
          <w:szCs w:val="28"/>
          <w:lang w:eastAsia="uk-UA"/>
        </w:rPr>
        <w:t xml:space="preserve">: </w:t>
      </w:r>
      <w:r w:rsidR="00BE5CD6" w:rsidRPr="008D4B78">
        <w:rPr>
          <w:rFonts w:ascii="Times New Roman" w:eastAsia="Times New Roman" w:hAnsi="Times New Roman" w:cs="Times New Roman"/>
          <w:color w:val="000000"/>
          <w:sz w:val="28"/>
          <w:szCs w:val="28"/>
          <w:lang w:eastAsia="uk-UA"/>
        </w:rPr>
        <w:t>нормативно-правовий акт за предметом правового регулювання не регулює зазначену сферу;</w:t>
      </w:r>
    </w:p>
    <w:p w:rsidR="00BE5CD6"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bookmarkStart w:id="19" w:name="n1722"/>
      <w:bookmarkEnd w:id="19"/>
      <w:r w:rsidRPr="008D4B78">
        <w:rPr>
          <w:rFonts w:ascii="Times New Roman" w:eastAsia="Times New Roman" w:hAnsi="Times New Roman" w:cs="Times New Roman"/>
          <w:i/>
          <w:color w:val="000000"/>
          <w:sz w:val="28"/>
          <w:szCs w:val="28"/>
          <w:lang w:eastAsia="uk-UA"/>
        </w:rPr>
        <w:t>екологію та навколишнє природне середовище</w:t>
      </w:r>
      <w:r w:rsidR="00BE5CD6" w:rsidRPr="008D4B78">
        <w:rPr>
          <w:rFonts w:ascii="Times New Roman" w:eastAsia="Times New Roman" w:hAnsi="Times New Roman" w:cs="Times New Roman"/>
          <w:i/>
          <w:color w:val="000000"/>
          <w:sz w:val="28"/>
          <w:szCs w:val="28"/>
          <w:lang w:eastAsia="uk-UA"/>
        </w:rPr>
        <w:t>:</w:t>
      </w:r>
      <w:r w:rsidRPr="008D4B78">
        <w:rPr>
          <w:rFonts w:ascii="Times New Roman" w:eastAsia="Times New Roman" w:hAnsi="Times New Roman" w:cs="Times New Roman"/>
          <w:color w:val="000000"/>
          <w:sz w:val="28"/>
          <w:szCs w:val="28"/>
          <w:lang w:eastAsia="uk-UA"/>
        </w:rPr>
        <w:t xml:space="preserve"> </w:t>
      </w:r>
      <w:r w:rsidR="00BE5CD6" w:rsidRPr="008D4B78">
        <w:rPr>
          <w:rFonts w:ascii="Times New Roman" w:eastAsia="Times New Roman" w:hAnsi="Times New Roman" w:cs="Times New Roman"/>
          <w:color w:val="000000"/>
          <w:sz w:val="28"/>
          <w:szCs w:val="28"/>
          <w:lang w:eastAsia="uk-UA"/>
        </w:rPr>
        <w:t>нормативно-правовий акт за предметом правового регулювання не регулює зазначену сферу;</w:t>
      </w:r>
    </w:p>
    <w:p w:rsidR="00BE5CD6"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bookmarkStart w:id="20" w:name="n1723"/>
      <w:bookmarkEnd w:id="20"/>
      <w:r w:rsidRPr="008D4B78">
        <w:rPr>
          <w:rFonts w:ascii="Times New Roman" w:eastAsia="Times New Roman" w:hAnsi="Times New Roman" w:cs="Times New Roman"/>
          <w:i/>
          <w:color w:val="000000"/>
          <w:sz w:val="28"/>
          <w:szCs w:val="28"/>
          <w:lang w:eastAsia="uk-UA"/>
        </w:rPr>
        <w:t>сфери суспільних відносин</w:t>
      </w:r>
      <w:r w:rsidR="00BE5CD6" w:rsidRPr="008D4B78">
        <w:rPr>
          <w:rFonts w:ascii="Times New Roman" w:eastAsia="Times New Roman" w:hAnsi="Times New Roman" w:cs="Times New Roman"/>
          <w:color w:val="000000"/>
          <w:sz w:val="28"/>
          <w:szCs w:val="28"/>
          <w:lang w:eastAsia="uk-UA"/>
        </w:rPr>
        <w:t xml:space="preserve">: </w:t>
      </w:r>
      <w:bookmarkStart w:id="21" w:name="n1724"/>
      <w:bookmarkEnd w:id="21"/>
      <w:r w:rsidR="00BE5CD6" w:rsidRPr="008D4B78">
        <w:rPr>
          <w:rFonts w:ascii="Times New Roman" w:eastAsia="Times New Roman" w:hAnsi="Times New Roman" w:cs="Times New Roman"/>
          <w:color w:val="000000"/>
          <w:sz w:val="28"/>
          <w:szCs w:val="28"/>
          <w:lang w:eastAsia="uk-UA"/>
        </w:rPr>
        <w:t>нормативно-правовий акт за предметом правового регулювання не регулює зазначену сферу.</w:t>
      </w:r>
    </w:p>
    <w:p w:rsidR="00FD4D5F" w:rsidRPr="008D4B78" w:rsidRDefault="00FD4D5F" w:rsidP="004D419C">
      <w:pPr>
        <w:shd w:val="clear" w:color="auto" w:fill="FFFFFF"/>
        <w:spacing w:after="0" w:line="240" w:lineRule="auto"/>
        <w:ind w:firstLine="851"/>
        <w:jc w:val="both"/>
        <w:textAlignment w:val="baseline"/>
        <w:rPr>
          <w:rFonts w:ascii="Times New Roman" w:eastAsia="Times New Roman" w:hAnsi="Times New Roman" w:cs="Times New Roman"/>
          <w:b/>
          <w:bCs/>
          <w:color w:val="000000"/>
          <w:sz w:val="28"/>
          <w:szCs w:val="28"/>
          <w:bdr w:val="none" w:sz="0" w:space="0" w:color="auto" w:frame="1"/>
          <w:lang w:eastAsia="uk-UA"/>
        </w:rPr>
      </w:pPr>
      <w:bookmarkStart w:id="22" w:name="n1726"/>
      <w:bookmarkEnd w:id="22"/>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b/>
          <w:bCs/>
          <w:color w:val="000000"/>
          <w:sz w:val="28"/>
          <w:szCs w:val="28"/>
          <w:bdr w:val="none" w:sz="0" w:space="0" w:color="auto" w:frame="1"/>
          <w:lang w:eastAsia="uk-UA"/>
        </w:rPr>
        <w:t>7. Позиція заінтересованих сторін</w:t>
      </w:r>
    </w:p>
    <w:p w:rsidR="00F27B2C" w:rsidRPr="008D4B78" w:rsidRDefault="002067F0"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bookmarkStart w:id="23" w:name="n1727"/>
      <w:bookmarkEnd w:id="23"/>
      <w:r w:rsidRPr="008D4B78">
        <w:rPr>
          <w:rFonts w:ascii="Times New Roman" w:eastAsia="Times New Roman" w:hAnsi="Times New Roman" w:cs="Times New Roman"/>
          <w:color w:val="000000"/>
          <w:sz w:val="28"/>
          <w:szCs w:val="28"/>
          <w:lang w:eastAsia="uk-UA"/>
        </w:rPr>
        <w:t>Під час розробки</w:t>
      </w:r>
      <w:r w:rsidR="00694E8E" w:rsidRPr="008D4B78">
        <w:rPr>
          <w:rFonts w:ascii="Times New Roman" w:eastAsia="Times New Roman" w:hAnsi="Times New Roman" w:cs="Times New Roman"/>
          <w:color w:val="000000"/>
          <w:sz w:val="28"/>
          <w:szCs w:val="28"/>
          <w:lang w:eastAsia="uk-UA"/>
        </w:rPr>
        <w:t xml:space="preserve"> проекту </w:t>
      </w:r>
      <w:proofErr w:type="spellStart"/>
      <w:r w:rsidR="00694E8E" w:rsidRPr="008D4B78">
        <w:rPr>
          <w:rFonts w:ascii="Times New Roman" w:eastAsia="Times New Roman" w:hAnsi="Times New Roman" w:cs="Times New Roman"/>
          <w:color w:val="000000"/>
          <w:sz w:val="28"/>
          <w:szCs w:val="28"/>
          <w:lang w:eastAsia="uk-UA"/>
        </w:rPr>
        <w:t>акта</w:t>
      </w:r>
      <w:proofErr w:type="spellEnd"/>
      <w:r w:rsidR="00694E8E" w:rsidRPr="008D4B78">
        <w:rPr>
          <w:rFonts w:ascii="Times New Roman" w:eastAsia="Times New Roman" w:hAnsi="Times New Roman" w:cs="Times New Roman"/>
          <w:color w:val="000000"/>
          <w:sz w:val="28"/>
          <w:szCs w:val="28"/>
          <w:lang w:eastAsia="uk-UA"/>
        </w:rPr>
        <w:t xml:space="preserve"> проводилися консультації із заінтересованими сторонами, </w:t>
      </w:r>
      <w:r w:rsidR="00F27B2C" w:rsidRPr="008D4B78">
        <w:rPr>
          <w:rFonts w:ascii="Times New Roman" w:eastAsia="Times New Roman" w:hAnsi="Times New Roman" w:cs="Times New Roman"/>
          <w:color w:val="000000"/>
          <w:sz w:val="28"/>
          <w:szCs w:val="28"/>
          <w:lang w:eastAsia="uk-UA"/>
        </w:rPr>
        <w:t>зокрема професійними учасниками фондового ринку.</w:t>
      </w:r>
    </w:p>
    <w:p w:rsidR="002D7A4F" w:rsidRPr="008D4B78" w:rsidRDefault="002D7A4F"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bookmarkStart w:id="24" w:name="n1729"/>
      <w:bookmarkStart w:id="25" w:name="n1730"/>
      <w:bookmarkEnd w:id="24"/>
      <w:bookmarkEnd w:id="25"/>
      <w:r w:rsidRPr="008D4B78">
        <w:rPr>
          <w:rFonts w:ascii="Times New Roman" w:eastAsia="Times New Roman" w:hAnsi="Times New Roman" w:cs="Times New Roman"/>
          <w:color w:val="000000"/>
          <w:sz w:val="28"/>
          <w:szCs w:val="28"/>
          <w:lang w:eastAsia="uk-UA"/>
        </w:rPr>
        <w:t>Проект</w:t>
      </w:r>
      <w:r w:rsidR="00694E8E" w:rsidRPr="008D4B78">
        <w:rPr>
          <w:rFonts w:ascii="Times New Roman" w:eastAsia="Times New Roman" w:hAnsi="Times New Roman" w:cs="Times New Roman"/>
          <w:color w:val="000000"/>
          <w:sz w:val="28"/>
          <w:szCs w:val="28"/>
          <w:lang w:eastAsia="uk-UA"/>
        </w:rPr>
        <w:t xml:space="preserve"> не матиме впливу на інтереси окремих верств (груп) населення, об’єднаних спільними інтересами, суб’єктів господарювання тощо</w:t>
      </w:r>
      <w:r w:rsidRPr="008D4B78">
        <w:rPr>
          <w:rFonts w:ascii="Times New Roman" w:eastAsia="Times New Roman" w:hAnsi="Times New Roman" w:cs="Times New Roman"/>
          <w:color w:val="000000"/>
          <w:sz w:val="28"/>
          <w:szCs w:val="28"/>
          <w:lang w:eastAsia="uk-UA"/>
        </w:rPr>
        <w:t>.</w:t>
      </w:r>
    </w:p>
    <w:p w:rsidR="00694E8E" w:rsidRPr="008D4B78" w:rsidRDefault="002067F0"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bookmarkStart w:id="26" w:name="n1731"/>
      <w:bookmarkEnd w:id="26"/>
      <w:r w:rsidRPr="008D4B78">
        <w:rPr>
          <w:rFonts w:ascii="Times New Roman" w:eastAsia="Times New Roman" w:hAnsi="Times New Roman" w:cs="Times New Roman"/>
          <w:color w:val="000000"/>
          <w:sz w:val="28"/>
          <w:szCs w:val="28"/>
          <w:lang w:eastAsia="uk-UA"/>
        </w:rPr>
        <w:t>Проект не</w:t>
      </w:r>
      <w:r w:rsidR="00694E8E" w:rsidRPr="008D4B78">
        <w:rPr>
          <w:rFonts w:ascii="Times New Roman" w:eastAsia="Times New Roman" w:hAnsi="Times New Roman" w:cs="Times New Roman"/>
          <w:color w:val="000000"/>
          <w:sz w:val="28"/>
          <w:szCs w:val="28"/>
          <w:lang w:eastAsia="uk-UA"/>
        </w:rPr>
        <w:t xml:space="preserve"> стосується питань функціонування місцевого самоврядування, прав та інтересів територіальних громад, місц</w:t>
      </w:r>
      <w:r w:rsidRPr="008D4B78">
        <w:rPr>
          <w:rFonts w:ascii="Times New Roman" w:eastAsia="Times New Roman" w:hAnsi="Times New Roman" w:cs="Times New Roman"/>
          <w:color w:val="000000"/>
          <w:sz w:val="28"/>
          <w:szCs w:val="28"/>
          <w:lang w:eastAsia="uk-UA"/>
        </w:rPr>
        <w:t>евого та регіонального розвитку</w:t>
      </w:r>
      <w:r w:rsidR="00694E8E" w:rsidRPr="008D4B78">
        <w:rPr>
          <w:rFonts w:ascii="Times New Roman" w:eastAsia="Times New Roman" w:hAnsi="Times New Roman" w:cs="Times New Roman"/>
          <w:color w:val="000000"/>
          <w:sz w:val="28"/>
          <w:szCs w:val="28"/>
          <w:lang w:eastAsia="uk-UA"/>
        </w:rPr>
        <w:t>.</w:t>
      </w:r>
    </w:p>
    <w:p w:rsidR="002067F0" w:rsidRPr="008D4B78" w:rsidRDefault="002067F0"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bookmarkStart w:id="27" w:name="n1732"/>
      <w:bookmarkEnd w:id="27"/>
      <w:r w:rsidRPr="008D4B78">
        <w:rPr>
          <w:rFonts w:ascii="Times New Roman" w:eastAsia="Times New Roman" w:hAnsi="Times New Roman" w:cs="Times New Roman"/>
          <w:color w:val="000000"/>
          <w:sz w:val="28"/>
          <w:szCs w:val="28"/>
          <w:lang w:eastAsia="uk-UA"/>
        </w:rPr>
        <w:t>Проект не</w:t>
      </w:r>
      <w:r w:rsidR="00694E8E" w:rsidRPr="008D4B78">
        <w:rPr>
          <w:rFonts w:ascii="Times New Roman" w:eastAsia="Times New Roman" w:hAnsi="Times New Roman" w:cs="Times New Roman"/>
          <w:color w:val="000000"/>
          <w:sz w:val="28"/>
          <w:szCs w:val="28"/>
          <w:lang w:eastAsia="uk-UA"/>
        </w:rPr>
        <w:t xml:space="preserve"> стосується соціально-трудової сфери</w:t>
      </w:r>
      <w:r w:rsidRPr="008D4B78">
        <w:rPr>
          <w:rFonts w:ascii="Times New Roman" w:eastAsia="Times New Roman" w:hAnsi="Times New Roman" w:cs="Times New Roman"/>
          <w:color w:val="000000"/>
          <w:sz w:val="28"/>
          <w:szCs w:val="28"/>
          <w:lang w:eastAsia="uk-UA"/>
        </w:rPr>
        <w:t>.</w:t>
      </w:r>
    </w:p>
    <w:p w:rsidR="002067F0" w:rsidRPr="008D4B78" w:rsidRDefault="002067F0"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bookmarkStart w:id="28" w:name="n1733"/>
      <w:bookmarkEnd w:id="28"/>
      <w:r w:rsidRPr="008D4B78">
        <w:rPr>
          <w:rFonts w:ascii="Times New Roman" w:eastAsia="Times New Roman" w:hAnsi="Times New Roman" w:cs="Times New Roman"/>
          <w:color w:val="000000"/>
          <w:sz w:val="28"/>
          <w:szCs w:val="28"/>
          <w:lang w:eastAsia="uk-UA"/>
        </w:rPr>
        <w:t>Проект не</w:t>
      </w:r>
      <w:r w:rsidR="00694E8E" w:rsidRPr="008D4B78">
        <w:rPr>
          <w:rFonts w:ascii="Times New Roman" w:eastAsia="Times New Roman" w:hAnsi="Times New Roman" w:cs="Times New Roman"/>
          <w:color w:val="000000"/>
          <w:sz w:val="28"/>
          <w:szCs w:val="28"/>
          <w:lang w:eastAsia="uk-UA"/>
        </w:rPr>
        <w:t xml:space="preserve"> стосується сфери наукової та науково-технічної діяльност</w:t>
      </w:r>
      <w:r w:rsidRPr="008D4B78">
        <w:rPr>
          <w:rFonts w:ascii="Times New Roman" w:eastAsia="Times New Roman" w:hAnsi="Times New Roman" w:cs="Times New Roman"/>
          <w:color w:val="000000"/>
          <w:sz w:val="28"/>
          <w:szCs w:val="28"/>
          <w:lang w:eastAsia="uk-UA"/>
        </w:rPr>
        <w:t>і.</w:t>
      </w:r>
    </w:p>
    <w:p w:rsidR="00FD4D5F" w:rsidRPr="008D4B78" w:rsidRDefault="00FD4D5F" w:rsidP="004D419C">
      <w:pPr>
        <w:shd w:val="clear" w:color="auto" w:fill="FFFFFF"/>
        <w:spacing w:after="0" w:line="240" w:lineRule="auto"/>
        <w:ind w:firstLine="851"/>
        <w:jc w:val="both"/>
        <w:textAlignment w:val="baseline"/>
        <w:rPr>
          <w:rFonts w:ascii="Times New Roman" w:eastAsia="Times New Roman" w:hAnsi="Times New Roman" w:cs="Times New Roman"/>
          <w:b/>
          <w:bCs/>
          <w:color w:val="000000"/>
          <w:sz w:val="28"/>
          <w:szCs w:val="28"/>
          <w:bdr w:val="none" w:sz="0" w:space="0" w:color="auto" w:frame="1"/>
          <w:lang w:eastAsia="uk-UA"/>
        </w:rPr>
      </w:pPr>
      <w:bookmarkStart w:id="29" w:name="n1734"/>
      <w:bookmarkEnd w:id="29"/>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b/>
          <w:bCs/>
          <w:color w:val="000000"/>
          <w:sz w:val="28"/>
          <w:szCs w:val="28"/>
          <w:bdr w:val="none" w:sz="0" w:space="0" w:color="auto" w:frame="1"/>
          <w:lang w:eastAsia="uk-UA"/>
        </w:rPr>
        <w:t>8. Громадське обговорення</w:t>
      </w:r>
    </w:p>
    <w:p w:rsidR="00FD4D5F" w:rsidRPr="008D4B78" w:rsidRDefault="00FD4D5F" w:rsidP="004D419C">
      <w:pPr>
        <w:shd w:val="clear" w:color="auto" w:fill="FFFFFF"/>
        <w:spacing w:after="0" w:line="240" w:lineRule="auto"/>
        <w:ind w:firstLine="851"/>
        <w:jc w:val="both"/>
        <w:textAlignment w:val="baseline"/>
        <w:rPr>
          <w:rFonts w:ascii="Times New Roman" w:hAnsi="Times New Roman" w:cs="Times New Roman"/>
          <w:sz w:val="28"/>
          <w:szCs w:val="28"/>
        </w:rPr>
      </w:pPr>
      <w:bookmarkStart w:id="30" w:name="n1735"/>
      <w:bookmarkStart w:id="31" w:name="n1737"/>
      <w:bookmarkEnd w:id="30"/>
      <w:bookmarkEnd w:id="31"/>
      <w:r w:rsidRPr="008D4B78">
        <w:rPr>
          <w:rFonts w:ascii="Times New Roman" w:hAnsi="Times New Roman" w:cs="Times New Roman"/>
          <w:sz w:val="28"/>
          <w:szCs w:val="28"/>
        </w:rPr>
        <w:t>Проект оприлюднений на офіційному сайті Комісії</w:t>
      </w:r>
      <w:r w:rsidRPr="008D4B78">
        <w:rPr>
          <w:rFonts w:ascii="Times New Roman" w:hAnsi="Times New Roman" w:cs="Times New Roman"/>
          <w:b/>
          <w:sz w:val="28"/>
          <w:szCs w:val="28"/>
        </w:rPr>
        <w:t xml:space="preserve"> (</w:t>
      </w:r>
      <w:r w:rsidRPr="008D4B78">
        <w:rPr>
          <w:rFonts w:ascii="Times New Roman" w:hAnsi="Times New Roman" w:cs="Times New Roman"/>
          <w:sz w:val="28"/>
          <w:szCs w:val="28"/>
        </w:rPr>
        <w:t xml:space="preserve">http:// www.nssmc.gov.ua) для надання зауважень та пропозицій. </w:t>
      </w:r>
    </w:p>
    <w:p w:rsidR="00FD4D5F" w:rsidRPr="008D4B78" w:rsidRDefault="00FD4D5F" w:rsidP="004D419C">
      <w:pPr>
        <w:shd w:val="clear" w:color="auto" w:fill="FFFFFF"/>
        <w:spacing w:after="0" w:line="240" w:lineRule="auto"/>
        <w:ind w:firstLine="851"/>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b/>
          <w:bCs/>
          <w:color w:val="000000"/>
          <w:sz w:val="28"/>
          <w:szCs w:val="28"/>
          <w:bdr w:val="none" w:sz="0" w:space="0" w:color="auto" w:frame="1"/>
          <w:lang w:eastAsia="uk-UA"/>
        </w:rPr>
        <w:t>9. Позиція заінтересованих органів</w:t>
      </w:r>
    </w:p>
    <w:p w:rsidR="00FD4D5F" w:rsidRPr="008D4B78" w:rsidRDefault="00FD4D5F" w:rsidP="004D419C">
      <w:pPr>
        <w:shd w:val="clear" w:color="auto" w:fill="FFFFFF"/>
        <w:spacing w:after="0" w:line="240" w:lineRule="auto"/>
        <w:ind w:firstLine="851"/>
        <w:jc w:val="both"/>
        <w:textAlignment w:val="baseline"/>
        <w:rPr>
          <w:rFonts w:ascii="Times New Roman" w:hAnsi="Times New Roman" w:cs="Times New Roman"/>
          <w:color w:val="000000"/>
          <w:sz w:val="28"/>
          <w:szCs w:val="28"/>
        </w:rPr>
      </w:pPr>
      <w:bookmarkStart w:id="32" w:name="n1738"/>
      <w:bookmarkStart w:id="33" w:name="n1741"/>
      <w:bookmarkEnd w:id="32"/>
      <w:bookmarkEnd w:id="33"/>
      <w:r w:rsidRPr="008D4B78">
        <w:rPr>
          <w:rFonts w:ascii="Times New Roman" w:hAnsi="Times New Roman" w:cs="Times New Roman"/>
          <w:sz w:val="28"/>
          <w:szCs w:val="28"/>
        </w:rPr>
        <w:t xml:space="preserve">Проект </w:t>
      </w:r>
      <w:r w:rsidRPr="008D4B78">
        <w:rPr>
          <w:rFonts w:ascii="Times New Roman" w:hAnsi="Times New Roman" w:cs="Times New Roman"/>
          <w:color w:val="000000"/>
          <w:sz w:val="28"/>
          <w:szCs w:val="28"/>
        </w:rPr>
        <w:t>відповідно до законодавства не потребує погодження із заінтересованими органами.</w:t>
      </w:r>
    </w:p>
    <w:p w:rsidR="00FD4D5F" w:rsidRPr="008D4B78" w:rsidRDefault="00FD4D5F" w:rsidP="004D419C">
      <w:pPr>
        <w:shd w:val="clear" w:color="auto" w:fill="FFFFFF"/>
        <w:spacing w:after="0" w:line="240" w:lineRule="auto"/>
        <w:ind w:firstLine="851"/>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b/>
          <w:bCs/>
          <w:color w:val="000000"/>
          <w:sz w:val="28"/>
          <w:szCs w:val="28"/>
          <w:bdr w:val="none" w:sz="0" w:space="0" w:color="auto" w:frame="1"/>
          <w:lang w:eastAsia="uk-UA"/>
        </w:rPr>
        <w:t>10. Правова експертиза</w:t>
      </w:r>
    </w:p>
    <w:p w:rsidR="00694E8E" w:rsidRPr="008D4B78" w:rsidRDefault="002D7A4F"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bookmarkStart w:id="34" w:name="n1742"/>
      <w:bookmarkEnd w:id="34"/>
      <w:r w:rsidRPr="008D4B78">
        <w:rPr>
          <w:rFonts w:ascii="Times New Roman" w:eastAsia="Times New Roman" w:hAnsi="Times New Roman" w:cs="Times New Roman"/>
          <w:color w:val="000000"/>
          <w:sz w:val="28"/>
          <w:szCs w:val="28"/>
          <w:lang w:eastAsia="uk-UA"/>
        </w:rPr>
        <w:t>Проект не потребує</w:t>
      </w:r>
      <w:r w:rsidR="00694E8E" w:rsidRPr="008D4B78">
        <w:rPr>
          <w:rFonts w:ascii="Times New Roman" w:eastAsia="Times New Roman" w:hAnsi="Times New Roman" w:cs="Times New Roman"/>
          <w:color w:val="000000"/>
          <w:sz w:val="28"/>
          <w:szCs w:val="28"/>
          <w:lang w:eastAsia="uk-UA"/>
        </w:rPr>
        <w:t xml:space="preserve"> проведення правової експертизи Мін’юстом.</w:t>
      </w:r>
    </w:p>
    <w:p w:rsidR="00FD4D5F" w:rsidRPr="008D4B78" w:rsidRDefault="00FD4D5F" w:rsidP="004D419C">
      <w:pPr>
        <w:shd w:val="clear" w:color="auto" w:fill="FFFFFF"/>
        <w:spacing w:after="0" w:line="240" w:lineRule="auto"/>
        <w:ind w:firstLine="851"/>
        <w:jc w:val="both"/>
        <w:textAlignment w:val="baseline"/>
        <w:rPr>
          <w:rFonts w:ascii="Times New Roman" w:eastAsia="Times New Roman" w:hAnsi="Times New Roman" w:cs="Times New Roman"/>
          <w:b/>
          <w:bCs/>
          <w:color w:val="000000"/>
          <w:sz w:val="28"/>
          <w:szCs w:val="28"/>
          <w:bdr w:val="none" w:sz="0" w:space="0" w:color="auto" w:frame="1"/>
          <w:lang w:eastAsia="uk-UA"/>
        </w:rPr>
      </w:pPr>
      <w:bookmarkStart w:id="35" w:name="n1743"/>
      <w:bookmarkEnd w:id="35"/>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b/>
          <w:bCs/>
          <w:color w:val="000000"/>
          <w:sz w:val="28"/>
          <w:szCs w:val="28"/>
          <w:bdr w:val="none" w:sz="0" w:space="0" w:color="auto" w:frame="1"/>
          <w:lang w:eastAsia="uk-UA"/>
        </w:rPr>
        <w:t>11. Запобігання дискримінації</w:t>
      </w:r>
    </w:p>
    <w:p w:rsidR="006364F5" w:rsidRPr="008D4B78" w:rsidRDefault="006364F5" w:rsidP="004D419C">
      <w:pPr>
        <w:shd w:val="clear" w:color="auto" w:fill="FFFFFF"/>
        <w:spacing w:after="0" w:line="240" w:lineRule="auto"/>
        <w:ind w:firstLine="851"/>
        <w:jc w:val="both"/>
        <w:textAlignment w:val="baseline"/>
        <w:rPr>
          <w:rFonts w:ascii="Times New Roman" w:hAnsi="Times New Roman" w:cs="Times New Roman"/>
          <w:sz w:val="28"/>
          <w:szCs w:val="28"/>
        </w:rPr>
      </w:pPr>
      <w:bookmarkStart w:id="36" w:name="n1744"/>
      <w:bookmarkStart w:id="37" w:name="n1745"/>
      <w:bookmarkEnd w:id="36"/>
      <w:bookmarkEnd w:id="37"/>
      <w:r w:rsidRPr="008D4B78">
        <w:rPr>
          <w:rFonts w:ascii="Times New Roman" w:hAnsi="Times New Roman" w:cs="Times New Roman"/>
          <w:sz w:val="28"/>
          <w:szCs w:val="28"/>
        </w:rPr>
        <w:t>Положення Проекту не містять ознак дискримінації.</w:t>
      </w:r>
    </w:p>
    <w:p w:rsidR="006364F5" w:rsidRPr="008D4B78" w:rsidRDefault="006364F5" w:rsidP="004D419C">
      <w:pPr>
        <w:shd w:val="clear" w:color="auto" w:fill="FFFFFF"/>
        <w:spacing w:after="0" w:line="240" w:lineRule="auto"/>
        <w:ind w:firstLine="851"/>
        <w:jc w:val="both"/>
        <w:textAlignment w:val="baseline"/>
        <w:rPr>
          <w:rFonts w:ascii="Times New Roman" w:eastAsia="Times New Roman" w:hAnsi="Times New Roman" w:cs="Times New Roman"/>
          <w:b/>
          <w:bCs/>
          <w:color w:val="000000"/>
          <w:sz w:val="28"/>
          <w:szCs w:val="28"/>
          <w:bdr w:val="none" w:sz="0" w:space="0" w:color="auto" w:frame="1"/>
          <w:lang w:eastAsia="uk-UA"/>
        </w:rPr>
      </w:pPr>
      <w:r w:rsidRPr="008D4B78">
        <w:rPr>
          <w:rFonts w:ascii="Times New Roman" w:eastAsia="Times New Roman" w:hAnsi="Times New Roman" w:cs="Times New Roman"/>
          <w:b/>
          <w:bCs/>
          <w:color w:val="000000"/>
          <w:sz w:val="28"/>
          <w:szCs w:val="28"/>
          <w:bdr w:val="none" w:sz="0" w:space="0" w:color="auto" w:frame="1"/>
          <w:lang w:eastAsia="uk-UA"/>
        </w:rPr>
        <w:t xml:space="preserve"> </w:t>
      </w:r>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b/>
          <w:bCs/>
          <w:color w:val="000000"/>
          <w:sz w:val="28"/>
          <w:szCs w:val="28"/>
          <w:bdr w:val="none" w:sz="0" w:space="0" w:color="auto" w:frame="1"/>
          <w:lang w:eastAsia="uk-UA"/>
        </w:rPr>
        <w:t>12. Запобігання корупції</w:t>
      </w:r>
    </w:p>
    <w:p w:rsidR="006364F5" w:rsidRPr="008D4B78" w:rsidRDefault="006364F5" w:rsidP="004D419C">
      <w:pPr>
        <w:spacing w:after="0" w:line="240" w:lineRule="auto"/>
        <w:ind w:firstLine="851"/>
        <w:jc w:val="both"/>
        <w:rPr>
          <w:rFonts w:ascii="Times New Roman" w:hAnsi="Times New Roman" w:cs="Times New Roman"/>
          <w:b/>
          <w:sz w:val="28"/>
          <w:szCs w:val="28"/>
        </w:rPr>
      </w:pPr>
      <w:bookmarkStart w:id="38" w:name="n1746"/>
      <w:bookmarkStart w:id="39" w:name="n1747"/>
      <w:bookmarkEnd w:id="38"/>
      <w:bookmarkEnd w:id="39"/>
      <w:r w:rsidRPr="008D4B78">
        <w:rPr>
          <w:rFonts w:ascii="Times New Roman" w:hAnsi="Times New Roman" w:cs="Times New Roman"/>
          <w:sz w:val="28"/>
          <w:szCs w:val="28"/>
        </w:rPr>
        <w:t>Проект не містить</w:t>
      </w:r>
      <w:r w:rsidRPr="008D4B78">
        <w:rPr>
          <w:rFonts w:ascii="Times New Roman" w:hAnsi="Times New Roman" w:cs="Times New Roman"/>
          <w:b/>
          <w:sz w:val="28"/>
          <w:szCs w:val="28"/>
        </w:rPr>
        <w:t xml:space="preserve"> </w:t>
      </w:r>
      <w:r w:rsidRPr="008D4B78">
        <w:rPr>
          <w:rFonts w:ascii="Times New Roman" w:hAnsi="Times New Roman" w:cs="Times New Roman"/>
          <w:sz w:val="28"/>
          <w:szCs w:val="28"/>
        </w:rPr>
        <w:t>норм, які можуть містити ризики</w:t>
      </w:r>
      <w:r w:rsidRPr="008D4B78">
        <w:rPr>
          <w:rFonts w:ascii="Times New Roman" w:hAnsi="Times New Roman" w:cs="Times New Roman"/>
          <w:b/>
          <w:sz w:val="28"/>
          <w:szCs w:val="28"/>
        </w:rPr>
        <w:t xml:space="preserve"> </w:t>
      </w:r>
      <w:r w:rsidRPr="008D4B78">
        <w:rPr>
          <w:rFonts w:ascii="Times New Roman" w:hAnsi="Times New Roman" w:cs="Times New Roman"/>
          <w:sz w:val="28"/>
          <w:szCs w:val="28"/>
        </w:rPr>
        <w:t>корупційних правопорушень.</w:t>
      </w:r>
    </w:p>
    <w:p w:rsidR="006364F5" w:rsidRPr="008D4B78" w:rsidRDefault="006364F5" w:rsidP="004D419C">
      <w:pPr>
        <w:shd w:val="clear" w:color="auto" w:fill="FFFFFF"/>
        <w:spacing w:after="0" w:line="240" w:lineRule="auto"/>
        <w:ind w:firstLine="851"/>
        <w:jc w:val="both"/>
        <w:textAlignment w:val="baseline"/>
        <w:rPr>
          <w:rFonts w:ascii="Times New Roman" w:eastAsia="Times New Roman" w:hAnsi="Times New Roman" w:cs="Times New Roman"/>
          <w:b/>
          <w:bCs/>
          <w:color w:val="000000"/>
          <w:sz w:val="28"/>
          <w:szCs w:val="28"/>
          <w:bdr w:val="none" w:sz="0" w:space="0" w:color="auto" w:frame="1"/>
          <w:lang w:eastAsia="uk-UA"/>
        </w:rPr>
      </w:pPr>
    </w:p>
    <w:p w:rsidR="00694E8E" w:rsidRPr="008D4B78" w:rsidRDefault="00694E8E"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b/>
          <w:bCs/>
          <w:color w:val="000000"/>
          <w:sz w:val="28"/>
          <w:szCs w:val="28"/>
          <w:bdr w:val="none" w:sz="0" w:space="0" w:color="auto" w:frame="1"/>
          <w:lang w:eastAsia="uk-UA"/>
        </w:rPr>
        <w:t>13. Прогноз результатів</w:t>
      </w:r>
    </w:p>
    <w:p w:rsidR="00780A8A" w:rsidRPr="008D4B78" w:rsidRDefault="00780A8A"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bookmarkStart w:id="40" w:name="n1748"/>
      <w:bookmarkEnd w:id="40"/>
      <w:r w:rsidRPr="008D4B78">
        <w:rPr>
          <w:rFonts w:ascii="Times New Roman" w:eastAsia="Times New Roman" w:hAnsi="Times New Roman" w:cs="Times New Roman"/>
          <w:color w:val="000000"/>
          <w:sz w:val="28"/>
          <w:szCs w:val="28"/>
          <w:lang w:eastAsia="uk-UA"/>
        </w:rPr>
        <w:t xml:space="preserve">Основним показником результативності впливу цього Проекту буде приведення нормативно-правових актів Національної комісії з цінних паперів та фондового ринку у відповідність до вимог чинного законодавства. </w:t>
      </w:r>
    </w:p>
    <w:p w:rsidR="00780A8A" w:rsidRPr="008D4B78" w:rsidRDefault="00780A8A"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color w:val="000000"/>
          <w:sz w:val="28"/>
          <w:szCs w:val="28"/>
          <w:lang w:eastAsia="uk-UA"/>
        </w:rPr>
        <w:t xml:space="preserve">Показники результативності </w:t>
      </w:r>
      <w:proofErr w:type="spellStart"/>
      <w:r w:rsidRPr="008D4B78">
        <w:rPr>
          <w:rFonts w:ascii="Times New Roman" w:eastAsia="Times New Roman" w:hAnsi="Times New Roman" w:cs="Times New Roman"/>
          <w:color w:val="000000"/>
          <w:sz w:val="28"/>
          <w:szCs w:val="28"/>
          <w:lang w:eastAsia="uk-UA"/>
        </w:rPr>
        <w:t>Проекта</w:t>
      </w:r>
      <w:proofErr w:type="spellEnd"/>
      <w:r w:rsidRPr="008D4B78">
        <w:rPr>
          <w:rFonts w:ascii="Times New Roman" w:eastAsia="Times New Roman" w:hAnsi="Times New Roman" w:cs="Times New Roman"/>
          <w:color w:val="000000"/>
          <w:sz w:val="28"/>
          <w:szCs w:val="28"/>
          <w:lang w:eastAsia="uk-UA"/>
        </w:rPr>
        <w:t>:</w:t>
      </w:r>
    </w:p>
    <w:p w:rsidR="00780A8A" w:rsidRPr="008D4B78" w:rsidRDefault="00780A8A"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color w:val="000000"/>
          <w:sz w:val="28"/>
          <w:szCs w:val="28"/>
          <w:lang w:eastAsia="uk-UA"/>
        </w:rPr>
        <w:t xml:space="preserve">1) Розмір надходжень до державного та місцевих бюджетів і державних цільових фондів, пов’язаних з дією </w:t>
      </w:r>
      <w:proofErr w:type="spellStart"/>
      <w:r w:rsidRPr="008D4B78">
        <w:rPr>
          <w:rFonts w:ascii="Times New Roman" w:eastAsia="Times New Roman" w:hAnsi="Times New Roman" w:cs="Times New Roman"/>
          <w:color w:val="000000"/>
          <w:sz w:val="28"/>
          <w:szCs w:val="28"/>
          <w:lang w:eastAsia="uk-UA"/>
        </w:rPr>
        <w:t>акта</w:t>
      </w:r>
      <w:proofErr w:type="spellEnd"/>
      <w:r w:rsidRPr="008D4B78">
        <w:rPr>
          <w:rFonts w:ascii="Times New Roman" w:eastAsia="Times New Roman" w:hAnsi="Times New Roman" w:cs="Times New Roman"/>
          <w:color w:val="000000"/>
          <w:sz w:val="28"/>
          <w:szCs w:val="28"/>
          <w:lang w:eastAsia="uk-UA"/>
        </w:rPr>
        <w:t xml:space="preserve">  – не зміниться.</w:t>
      </w:r>
    </w:p>
    <w:p w:rsidR="00780A8A" w:rsidRPr="008D4B78" w:rsidRDefault="00780A8A"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color w:val="000000"/>
          <w:sz w:val="28"/>
          <w:szCs w:val="28"/>
          <w:lang w:eastAsia="uk-UA"/>
        </w:rPr>
        <w:lastRenderedPageBreak/>
        <w:t xml:space="preserve">2) Кількість суб’єктів господарювання та/або фізичних осіб, на яких поширюватиметься дія </w:t>
      </w:r>
      <w:proofErr w:type="spellStart"/>
      <w:r w:rsidRPr="008D4B78">
        <w:rPr>
          <w:rFonts w:ascii="Times New Roman" w:eastAsia="Times New Roman" w:hAnsi="Times New Roman" w:cs="Times New Roman"/>
          <w:color w:val="000000"/>
          <w:sz w:val="28"/>
          <w:szCs w:val="28"/>
          <w:lang w:eastAsia="uk-UA"/>
        </w:rPr>
        <w:t>акта</w:t>
      </w:r>
      <w:proofErr w:type="spellEnd"/>
      <w:r w:rsidRPr="008D4B78">
        <w:rPr>
          <w:rFonts w:ascii="Times New Roman" w:eastAsia="Times New Roman" w:hAnsi="Times New Roman" w:cs="Times New Roman"/>
          <w:color w:val="000000"/>
          <w:sz w:val="28"/>
          <w:szCs w:val="28"/>
          <w:lang w:eastAsia="uk-UA"/>
        </w:rPr>
        <w:t xml:space="preserve"> - дія </w:t>
      </w:r>
      <w:proofErr w:type="spellStart"/>
      <w:r w:rsidRPr="008D4B78">
        <w:rPr>
          <w:rFonts w:ascii="Times New Roman" w:eastAsia="Times New Roman" w:hAnsi="Times New Roman" w:cs="Times New Roman"/>
          <w:color w:val="000000"/>
          <w:sz w:val="28"/>
          <w:szCs w:val="28"/>
          <w:lang w:eastAsia="uk-UA"/>
        </w:rPr>
        <w:t>акта</w:t>
      </w:r>
      <w:proofErr w:type="spellEnd"/>
      <w:r w:rsidRPr="008D4B78">
        <w:rPr>
          <w:rFonts w:ascii="Times New Roman" w:eastAsia="Times New Roman" w:hAnsi="Times New Roman" w:cs="Times New Roman"/>
          <w:color w:val="000000"/>
          <w:sz w:val="28"/>
          <w:szCs w:val="28"/>
          <w:lang w:eastAsia="uk-UA"/>
        </w:rPr>
        <w:t xml:space="preserve"> поширюється на </w:t>
      </w:r>
      <w:r w:rsidR="00F27B2C" w:rsidRPr="008D4B78">
        <w:rPr>
          <w:rFonts w:ascii="Times New Roman" w:eastAsia="Times New Roman" w:hAnsi="Times New Roman" w:cs="Times New Roman"/>
          <w:color w:val="000000"/>
          <w:sz w:val="28"/>
          <w:szCs w:val="28"/>
          <w:lang w:eastAsia="uk-UA"/>
        </w:rPr>
        <w:t>200</w:t>
      </w:r>
      <w:r w:rsidRPr="008D4B78">
        <w:rPr>
          <w:rFonts w:ascii="Times New Roman" w:eastAsia="Times New Roman" w:hAnsi="Times New Roman" w:cs="Times New Roman"/>
          <w:color w:val="000000"/>
          <w:sz w:val="28"/>
          <w:szCs w:val="28"/>
          <w:lang w:eastAsia="uk-UA"/>
        </w:rPr>
        <w:t xml:space="preserve"> професійних учасників фондового ринку</w:t>
      </w:r>
      <w:r w:rsidR="00F27B2C" w:rsidRPr="008D4B78">
        <w:rPr>
          <w:rFonts w:ascii="Times New Roman" w:eastAsia="Times New Roman" w:hAnsi="Times New Roman" w:cs="Times New Roman"/>
          <w:color w:val="000000"/>
          <w:sz w:val="28"/>
          <w:szCs w:val="28"/>
          <w:lang w:eastAsia="uk-UA"/>
        </w:rPr>
        <w:t xml:space="preserve"> та на невизначену кількість </w:t>
      </w:r>
      <w:r w:rsidR="00A85250" w:rsidRPr="008D4B78">
        <w:rPr>
          <w:rFonts w:ascii="Times New Roman" w:eastAsia="Times New Roman" w:hAnsi="Times New Roman" w:cs="Times New Roman"/>
          <w:color w:val="000000"/>
          <w:sz w:val="28"/>
          <w:szCs w:val="28"/>
          <w:lang w:eastAsia="uk-UA"/>
        </w:rPr>
        <w:t>осіб, які мають намір  надавати своїм клієнтам послуги з обліку цінних паперів та реєстрації переходу права власності на цінні папери, у тому числі в інших державах на підставі відповідних договорів з іноземними фінансовими установами</w:t>
      </w:r>
      <w:r w:rsidRPr="008D4B78">
        <w:rPr>
          <w:rFonts w:ascii="Times New Roman" w:eastAsia="Times New Roman" w:hAnsi="Times New Roman" w:cs="Times New Roman"/>
          <w:color w:val="000000"/>
          <w:sz w:val="28"/>
          <w:szCs w:val="28"/>
          <w:lang w:eastAsia="uk-UA"/>
        </w:rPr>
        <w:t>.</w:t>
      </w:r>
    </w:p>
    <w:p w:rsidR="00780A8A" w:rsidRPr="008D4B78" w:rsidRDefault="00780A8A"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color w:val="000000"/>
          <w:sz w:val="28"/>
          <w:szCs w:val="28"/>
          <w:lang w:eastAsia="uk-UA"/>
        </w:rPr>
        <w:t xml:space="preserve">3) Розмір коштів і час, що витрачатимуться суб’єктами господарювання та/або фізичними особами, пов’язаними з виконанням вимог регуляторного </w:t>
      </w:r>
      <w:proofErr w:type="spellStart"/>
      <w:r w:rsidRPr="008D4B78">
        <w:rPr>
          <w:rFonts w:ascii="Times New Roman" w:eastAsia="Times New Roman" w:hAnsi="Times New Roman" w:cs="Times New Roman"/>
          <w:color w:val="000000"/>
          <w:sz w:val="28"/>
          <w:szCs w:val="28"/>
          <w:lang w:eastAsia="uk-UA"/>
        </w:rPr>
        <w:t>акта</w:t>
      </w:r>
      <w:proofErr w:type="spellEnd"/>
      <w:r w:rsidRPr="008D4B78">
        <w:rPr>
          <w:rFonts w:ascii="Times New Roman" w:eastAsia="Times New Roman" w:hAnsi="Times New Roman" w:cs="Times New Roman"/>
          <w:color w:val="000000"/>
          <w:sz w:val="28"/>
          <w:szCs w:val="28"/>
          <w:lang w:eastAsia="uk-UA"/>
        </w:rPr>
        <w:t xml:space="preserve">: розмір коштів та часу, які витратять суб’єкти господарювання на виконання вимог даного регуляторного </w:t>
      </w:r>
      <w:proofErr w:type="spellStart"/>
      <w:r w:rsidRPr="008D4B78">
        <w:rPr>
          <w:rFonts w:ascii="Times New Roman" w:eastAsia="Times New Roman" w:hAnsi="Times New Roman" w:cs="Times New Roman"/>
          <w:color w:val="000000"/>
          <w:sz w:val="28"/>
          <w:szCs w:val="28"/>
          <w:lang w:eastAsia="uk-UA"/>
        </w:rPr>
        <w:t>акта</w:t>
      </w:r>
      <w:proofErr w:type="spellEnd"/>
      <w:r w:rsidRPr="008D4B78">
        <w:rPr>
          <w:rFonts w:ascii="Times New Roman" w:eastAsia="Times New Roman" w:hAnsi="Times New Roman" w:cs="Times New Roman"/>
          <w:color w:val="000000"/>
          <w:sz w:val="28"/>
          <w:szCs w:val="28"/>
          <w:lang w:eastAsia="uk-UA"/>
        </w:rPr>
        <w:t xml:space="preserve">, </w:t>
      </w:r>
      <w:proofErr w:type="spellStart"/>
      <w:r w:rsidRPr="008D4B78">
        <w:rPr>
          <w:rFonts w:ascii="Times New Roman" w:eastAsia="Times New Roman" w:hAnsi="Times New Roman" w:cs="Times New Roman"/>
          <w:color w:val="000000"/>
          <w:sz w:val="28"/>
          <w:szCs w:val="28"/>
          <w:lang w:eastAsia="uk-UA"/>
        </w:rPr>
        <w:t>збільшаться</w:t>
      </w:r>
      <w:proofErr w:type="spellEnd"/>
      <w:r w:rsidR="003353AF">
        <w:rPr>
          <w:rFonts w:ascii="Times New Roman" w:eastAsia="Times New Roman" w:hAnsi="Times New Roman" w:cs="Times New Roman"/>
          <w:color w:val="000000"/>
          <w:sz w:val="28"/>
          <w:szCs w:val="28"/>
          <w:lang w:eastAsia="uk-UA"/>
        </w:rPr>
        <w:t xml:space="preserve"> у зв’язку з приведенням програмного забезпечення для </w:t>
      </w:r>
      <w:r w:rsidR="003353AF" w:rsidRPr="003353AF">
        <w:rPr>
          <w:rFonts w:ascii="Times New Roman" w:eastAsia="Times New Roman" w:hAnsi="Times New Roman" w:cs="Times New Roman"/>
          <w:color w:val="000000"/>
          <w:sz w:val="28"/>
          <w:szCs w:val="28"/>
          <w:lang w:eastAsia="uk-UA"/>
        </w:rPr>
        <w:t>звітування Центральним депозитарієм цінних паперів та депозитарними установами до Національної комісії з цінних паперів та фондового ринку</w:t>
      </w:r>
      <w:r w:rsidRPr="008D4B78">
        <w:rPr>
          <w:rFonts w:ascii="Times New Roman" w:eastAsia="Times New Roman" w:hAnsi="Times New Roman" w:cs="Times New Roman"/>
          <w:color w:val="000000"/>
          <w:sz w:val="28"/>
          <w:szCs w:val="28"/>
          <w:lang w:eastAsia="uk-UA"/>
        </w:rPr>
        <w:t>.</w:t>
      </w:r>
    </w:p>
    <w:p w:rsidR="00780A8A" w:rsidRPr="008D4B78" w:rsidRDefault="00780A8A"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color w:val="000000"/>
          <w:sz w:val="28"/>
          <w:szCs w:val="28"/>
          <w:lang w:eastAsia="uk-UA"/>
        </w:rPr>
        <w:t>4) Кількість скарг та пропозицій –зауваження та скарги не надходили;</w:t>
      </w:r>
    </w:p>
    <w:p w:rsidR="00780A8A" w:rsidRPr="008D4B78" w:rsidRDefault="00780A8A"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r w:rsidRPr="008D4B78">
        <w:rPr>
          <w:rFonts w:ascii="Times New Roman" w:eastAsia="Times New Roman" w:hAnsi="Times New Roman" w:cs="Times New Roman"/>
          <w:color w:val="000000"/>
          <w:sz w:val="28"/>
          <w:szCs w:val="28"/>
          <w:lang w:eastAsia="uk-UA"/>
        </w:rPr>
        <w:t xml:space="preserve">5) Рівень поінформованості суб’єктів господарювання та/або фізичних осіб з основних положень </w:t>
      </w:r>
      <w:proofErr w:type="spellStart"/>
      <w:r w:rsidRPr="008D4B78">
        <w:rPr>
          <w:rFonts w:ascii="Times New Roman" w:eastAsia="Times New Roman" w:hAnsi="Times New Roman" w:cs="Times New Roman"/>
          <w:color w:val="000000"/>
          <w:sz w:val="28"/>
          <w:szCs w:val="28"/>
          <w:lang w:eastAsia="uk-UA"/>
        </w:rPr>
        <w:t>акта</w:t>
      </w:r>
      <w:proofErr w:type="spellEnd"/>
      <w:r w:rsidRPr="008D4B78">
        <w:rPr>
          <w:rFonts w:ascii="Times New Roman" w:eastAsia="Times New Roman" w:hAnsi="Times New Roman" w:cs="Times New Roman"/>
          <w:color w:val="000000"/>
          <w:sz w:val="28"/>
          <w:szCs w:val="28"/>
          <w:lang w:eastAsia="uk-UA"/>
        </w:rPr>
        <w:t xml:space="preserve"> – середній. </w:t>
      </w:r>
    </w:p>
    <w:p w:rsidR="00FA37D7" w:rsidRPr="008D4B78" w:rsidRDefault="00FA37D7"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p>
    <w:p w:rsidR="00FA37D7" w:rsidRPr="008D4B78" w:rsidRDefault="00FA37D7" w:rsidP="004D419C">
      <w:pPr>
        <w:shd w:val="clear" w:color="auto" w:fill="FFFFFF"/>
        <w:spacing w:after="0" w:line="240" w:lineRule="auto"/>
        <w:ind w:firstLine="851"/>
        <w:jc w:val="both"/>
        <w:textAlignment w:val="baseline"/>
        <w:rPr>
          <w:rFonts w:ascii="Times New Roman" w:eastAsia="Times New Roman" w:hAnsi="Times New Roman" w:cs="Times New Roman"/>
          <w:color w:val="000000"/>
          <w:sz w:val="28"/>
          <w:szCs w:val="28"/>
          <w:lang w:eastAsia="uk-UA"/>
        </w:rPr>
      </w:pPr>
    </w:p>
    <w:p w:rsidR="00FA37D7" w:rsidRPr="008D4B78" w:rsidRDefault="00FA37D7" w:rsidP="004D419C">
      <w:pPr>
        <w:shd w:val="clear" w:color="auto" w:fill="FFFFFF"/>
        <w:spacing w:after="0" w:line="240" w:lineRule="auto"/>
        <w:ind w:firstLine="851"/>
        <w:jc w:val="both"/>
        <w:textAlignment w:val="baseline"/>
        <w:rPr>
          <w:rFonts w:ascii="Times New Roman" w:eastAsia="Times New Roman" w:hAnsi="Times New Roman" w:cs="Times New Roman"/>
          <w:b/>
          <w:color w:val="000000"/>
          <w:sz w:val="28"/>
          <w:szCs w:val="28"/>
          <w:lang w:eastAsia="uk-UA"/>
        </w:rPr>
      </w:pPr>
    </w:p>
    <w:p w:rsidR="00357D3E" w:rsidRPr="008D4B78" w:rsidRDefault="009D3E82" w:rsidP="004D419C">
      <w:pPr>
        <w:shd w:val="clear" w:color="auto" w:fill="FFFFFF"/>
        <w:spacing w:after="0" w:line="240" w:lineRule="auto"/>
        <w:ind w:firstLine="851"/>
        <w:jc w:val="both"/>
        <w:textAlignment w:val="baseline"/>
        <w:rPr>
          <w:rFonts w:ascii="Times New Roman" w:eastAsia="Times New Roman" w:hAnsi="Times New Roman" w:cs="Times New Roman"/>
          <w:b/>
          <w:color w:val="000000"/>
          <w:sz w:val="28"/>
          <w:szCs w:val="28"/>
          <w:lang w:eastAsia="uk-UA"/>
        </w:rPr>
      </w:pPr>
      <w:proofErr w:type="spellStart"/>
      <w:r w:rsidRPr="008D4B78">
        <w:rPr>
          <w:rFonts w:ascii="Times New Roman" w:eastAsia="Times New Roman" w:hAnsi="Times New Roman" w:cs="Times New Roman"/>
          <w:b/>
          <w:color w:val="000000"/>
          <w:sz w:val="28"/>
          <w:szCs w:val="28"/>
          <w:lang w:eastAsia="uk-UA"/>
        </w:rPr>
        <w:t>Т.в.о</w:t>
      </w:r>
      <w:proofErr w:type="spellEnd"/>
      <w:r w:rsidRPr="008D4B78">
        <w:rPr>
          <w:rFonts w:ascii="Times New Roman" w:eastAsia="Times New Roman" w:hAnsi="Times New Roman" w:cs="Times New Roman"/>
          <w:b/>
          <w:color w:val="000000"/>
          <w:sz w:val="28"/>
          <w:szCs w:val="28"/>
          <w:lang w:eastAsia="uk-UA"/>
        </w:rPr>
        <w:t>. д</w:t>
      </w:r>
      <w:r w:rsidR="00357D3E" w:rsidRPr="008D4B78">
        <w:rPr>
          <w:rFonts w:ascii="Times New Roman" w:eastAsia="Times New Roman" w:hAnsi="Times New Roman" w:cs="Times New Roman"/>
          <w:b/>
          <w:color w:val="000000"/>
          <w:sz w:val="28"/>
          <w:szCs w:val="28"/>
          <w:lang w:eastAsia="uk-UA"/>
        </w:rPr>
        <w:t>иректор</w:t>
      </w:r>
      <w:r w:rsidRPr="008D4B78">
        <w:rPr>
          <w:rFonts w:ascii="Times New Roman" w:eastAsia="Times New Roman" w:hAnsi="Times New Roman" w:cs="Times New Roman"/>
          <w:b/>
          <w:color w:val="000000"/>
          <w:sz w:val="28"/>
          <w:szCs w:val="28"/>
          <w:lang w:eastAsia="uk-UA"/>
        </w:rPr>
        <w:t>а</w:t>
      </w:r>
      <w:r w:rsidR="00357D3E" w:rsidRPr="008D4B78">
        <w:rPr>
          <w:rFonts w:ascii="Times New Roman" w:eastAsia="Times New Roman" w:hAnsi="Times New Roman" w:cs="Times New Roman"/>
          <w:b/>
          <w:color w:val="000000"/>
          <w:sz w:val="28"/>
          <w:szCs w:val="28"/>
          <w:lang w:eastAsia="uk-UA"/>
        </w:rPr>
        <w:t xml:space="preserve"> департаменту </w:t>
      </w:r>
    </w:p>
    <w:p w:rsidR="00A83B27" w:rsidRPr="008D4B78" w:rsidRDefault="00A83B27" w:rsidP="004D419C">
      <w:pPr>
        <w:shd w:val="clear" w:color="auto" w:fill="FFFFFF"/>
        <w:spacing w:after="0" w:line="240" w:lineRule="auto"/>
        <w:ind w:firstLine="851"/>
        <w:jc w:val="both"/>
        <w:textAlignment w:val="baseline"/>
        <w:rPr>
          <w:rFonts w:ascii="Times New Roman" w:hAnsi="Times New Roman" w:cs="Times New Roman"/>
          <w:b/>
          <w:sz w:val="28"/>
          <w:szCs w:val="28"/>
        </w:rPr>
      </w:pPr>
      <w:r w:rsidRPr="008D4B78">
        <w:rPr>
          <w:rFonts w:ascii="Times New Roman" w:hAnsi="Times New Roman" w:cs="Times New Roman"/>
          <w:b/>
          <w:sz w:val="28"/>
          <w:szCs w:val="28"/>
        </w:rPr>
        <w:t xml:space="preserve">методології </w:t>
      </w:r>
      <w:r w:rsidR="00357D3E" w:rsidRPr="008D4B78">
        <w:rPr>
          <w:rFonts w:ascii="Times New Roman" w:hAnsi="Times New Roman" w:cs="Times New Roman"/>
          <w:b/>
          <w:sz w:val="28"/>
          <w:szCs w:val="28"/>
        </w:rPr>
        <w:t xml:space="preserve">регулювання </w:t>
      </w:r>
    </w:p>
    <w:p w:rsidR="00357D3E" w:rsidRPr="008D4B78" w:rsidRDefault="00357D3E" w:rsidP="004D419C">
      <w:pPr>
        <w:shd w:val="clear" w:color="auto" w:fill="FFFFFF"/>
        <w:spacing w:after="0" w:line="240" w:lineRule="auto"/>
        <w:ind w:firstLine="851"/>
        <w:jc w:val="both"/>
        <w:textAlignment w:val="baseline"/>
        <w:rPr>
          <w:rFonts w:ascii="Times New Roman" w:hAnsi="Times New Roman" w:cs="Times New Roman"/>
          <w:b/>
          <w:sz w:val="28"/>
          <w:szCs w:val="28"/>
        </w:rPr>
      </w:pPr>
      <w:r w:rsidRPr="008D4B78">
        <w:rPr>
          <w:rFonts w:ascii="Times New Roman" w:hAnsi="Times New Roman" w:cs="Times New Roman"/>
          <w:b/>
          <w:sz w:val="28"/>
          <w:szCs w:val="28"/>
        </w:rPr>
        <w:t xml:space="preserve">професійних учасників </w:t>
      </w:r>
    </w:p>
    <w:p w:rsidR="00FA37D7" w:rsidRPr="008D4B78" w:rsidRDefault="00357D3E" w:rsidP="004D419C">
      <w:pPr>
        <w:shd w:val="clear" w:color="auto" w:fill="FFFFFF"/>
        <w:tabs>
          <w:tab w:val="left" w:pos="7371"/>
        </w:tabs>
        <w:spacing w:after="0" w:line="240" w:lineRule="auto"/>
        <w:ind w:firstLine="851"/>
        <w:jc w:val="both"/>
        <w:textAlignment w:val="baseline"/>
        <w:rPr>
          <w:rFonts w:ascii="Times New Roman" w:eastAsia="Times New Roman" w:hAnsi="Times New Roman" w:cs="Times New Roman"/>
          <w:b/>
          <w:color w:val="000000"/>
          <w:sz w:val="28"/>
          <w:szCs w:val="28"/>
          <w:lang w:eastAsia="uk-UA"/>
        </w:rPr>
      </w:pPr>
      <w:r w:rsidRPr="008D4B78">
        <w:rPr>
          <w:rFonts w:ascii="Times New Roman" w:hAnsi="Times New Roman" w:cs="Times New Roman"/>
          <w:b/>
          <w:sz w:val="28"/>
          <w:szCs w:val="28"/>
        </w:rPr>
        <w:t>ринку цінних паперів</w:t>
      </w:r>
      <w:r w:rsidRPr="008D4B78">
        <w:rPr>
          <w:rFonts w:ascii="Times New Roman" w:hAnsi="Times New Roman" w:cs="Times New Roman"/>
          <w:sz w:val="28"/>
          <w:szCs w:val="28"/>
        </w:rPr>
        <w:tab/>
      </w:r>
      <w:r w:rsidRPr="008D4B78">
        <w:rPr>
          <w:rFonts w:ascii="Times New Roman" w:hAnsi="Times New Roman" w:cs="Times New Roman"/>
          <w:b/>
          <w:sz w:val="28"/>
          <w:szCs w:val="28"/>
        </w:rPr>
        <w:t>І.</w:t>
      </w:r>
      <w:r w:rsidR="003353AF">
        <w:rPr>
          <w:rFonts w:ascii="Times New Roman" w:hAnsi="Times New Roman" w:cs="Times New Roman"/>
          <w:b/>
          <w:sz w:val="28"/>
          <w:szCs w:val="28"/>
        </w:rPr>
        <w:t>Козловська</w:t>
      </w:r>
    </w:p>
    <w:sectPr w:rsidR="00FA37D7" w:rsidRPr="008D4B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8E"/>
    <w:rsid w:val="00067EA9"/>
    <w:rsid w:val="000F16AB"/>
    <w:rsid w:val="001338F2"/>
    <w:rsid w:val="00184C9A"/>
    <w:rsid w:val="00203770"/>
    <w:rsid w:val="002067F0"/>
    <w:rsid w:val="00253FC8"/>
    <w:rsid w:val="002C7E6C"/>
    <w:rsid w:val="002D7A4F"/>
    <w:rsid w:val="002E1810"/>
    <w:rsid w:val="003353AF"/>
    <w:rsid w:val="00357D3E"/>
    <w:rsid w:val="004776EE"/>
    <w:rsid w:val="004D419C"/>
    <w:rsid w:val="004E5FA0"/>
    <w:rsid w:val="005B1D02"/>
    <w:rsid w:val="006364F5"/>
    <w:rsid w:val="00694E8E"/>
    <w:rsid w:val="00696290"/>
    <w:rsid w:val="00703D1E"/>
    <w:rsid w:val="00780A8A"/>
    <w:rsid w:val="0078242C"/>
    <w:rsid w:val="007F29AD"/>
    <w:rsid w:val="008A11CD"/>
    <w:rsid w:val="008D4B78"/>
    <w:rsid w:val="00972A04"/>
    <w:rsid w:val="009B4003"/>
    <w:rsid w:val="009D078B"/>
    <w:rsid w:val="009D3E82"/>
    <w:rsid w:val="00A269C9"/>
    <w:rsid w:val="00A83B27"/>
    <w:rsid w:val="00A85250"/>
    <w:rsid w:val="00AE47C0"/>
    <w:rsid w:val="00B3697F"/>
    <w:rsid w:val="00B518ED"/>
    <w:rsid w:val="00B55B6D"/>
    <w:rsid w:val="00BE5CD6"/>
    <w:rsid w:val="00C918A2"/>
    <w:rsid w:val="00D339E8"/>
    <w:rsid w:val="00D67334"/>
    <w:rsid w:val="00D80454"/>
    <w:rsid w:val="00DB1B15"/>
    <w:rsid w:val="00DB2D2D"/>
    <w:rsid w:val="00DF32E5"/>
    <w:rsid w:val="00EA225D"/>
    <w:rsid w:val="00F27B2C"/>
    <w:rsid w:val="00FA37D7"/>
    <w:rsid w:val="00FC28F9"/>
    <w:rsid w:val="00FC598E"/>
    <w:rsid w:val="00FD4D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93028F-9006-408C-BB27-FC6C5E6D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E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2E1810"/>
    <w:pPr>
      <w:spacing w:after="120" w:line="480" w:lineRule="auto"/>
      <w:ind w:left="283"/>
    </w:pPr>
    <w:rPr>
      <w:rFonts w:ascii="Times New Roman" w:eastAsia="Times New Roman" w:hAnsi="Times New Roman" w:cs="Times New Roman"/>
      <w:sz w:val="24"/>
      <w:szCs w:val="24"/>
      <w:lang w:eastAsia="uk-UA"/>
    </w:rPr>
  </w:style>
  <w:style w:type="character" w:customStyle="1" w:styleId="20">
    <w:name w:val="Основной текст с отступом 2 Знак"/>
    <w:basedOn w:val="a0"/>
    <w:link w:val="2"/>
    <w:rsid w:val="002E1810"/>
    <w:rPr>
      <w:rFonts w:ascii="Times New Roman" w:eastAsia="Times New Roman" w:hAnsi="Times New Roman" w:cs="Times New Roman"/>
      <w:sz w:val="24"/>
      <w:szCs w:val="24"/>
      <w:lang w:eastAsia="uk-UA"/>
    </w:rPr>
  </w:style>
  <w:style w:type="paragraph" w:customStyle="1" w:styleId="a3">
    <w:name w:val="Стиль Знак Знак"/>
    <w:basedOn w:val="a"/>
    <w:rsid w:val="00203770"/>
    <w:pPr>
      <w:spacing w:after="0" w:line="240" w:lineRule="auto"/>
    </w:pPr>
    <w:rPr>
      <w:rFonts w:ascii="Verdana" w:eastAsia="Times New Roman" w:hAnsi="Verdana" w:cs="Verdana"/>
      <w:sz w:val="20"/>
      <w:szCs w:val="20"/>
      <w:lang w:val="en-US"/>
    </w:rPr>
  </w:style>
  <w:style w:type="paragraph" w:styleId="a4">
    <w:name w:val="Body Text"/>
    <w:basedOn w:val="a"/>
    <w:link w:val="a5"/>
    <w:rsid w:val="00780A8A"/>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rsid w:val="00780A8A"/>
    <w:rPr>
      <w:rFonts w:ascii="Times New Roman" w:eastAsia="Times New Roman" w:hAnsi="Times New Roman" w:cs="Times New Roman"/>
      <w:sz w:val="20"/>
      <w:szCs w:val="20"/>
      <w:lang w:eastAsia="ru-RU"/>
    </w:rPr>
  </w:style>
  <w:style w:type="paragraph" w:customStyle="1" w:styleId="StyleAwt">
    <w:name w:val="StyleAwt"/>
    <w:basedOn w:val="a"/>
    <w:link w:val="StyleAwt0"/>
    <w:rsid w:val="00B3697F"/>
    <w:pPr>
      <w:spacing w:after="0" w:line="220" w:lineRule="exact"/>
    </w:pPr>
    <w:rPr>
      <w:rFonts w:ascii="Times New Roman" w:eastAsia="Times New Roman" w:hAnsi="Times New Roman" w:cs="Times New Roman"/>
      <w:b/>
      <w:i/>
      <w:sz w:val="18"/>
      <w:szCs w:val="20"/>
      <w:u w:val="single"/>
      <w:lang w:eastAsia="ru-RU"/>
    </w:rPr>
  </w:style>
  <w:style w:type="character" w:customStyle="1" w:styleId="StyleAwt0">
    <w:name w:val="StyleAwt Знак"/>
    <w:link w:val="StyleAwt"/>
    <w:rsid w:val="00B3697F"/>
    <w:rPr>
      <w:rFonts w:ascii="Times New Roman" w:eastAsia="Times New Roman" w:hAnsi="Times New Roman" w:cs="Times New Roman"/>
      <w:b/>
      <w:i/>
      <w:sz w:val="18"/>
      <w:szCs w:val="20"/>
      <w:u w:val="single"/>
      <w:lang w:eastAsia="ru-RU"/>
    </w:rPr>
  </w:style>
  <w:style w:type="character" w:styleId="a6">
    <w:name w:val="Hyperlink"/>
    <w:rsid w:val="00B3697F"/>
    <w:rPr>
      <w:color w:val="0000FF"/>
      <w:u w:val="single"/>
    </w:rPr>
  </w:style>
  <w:style w:type="paragraph" w:customStyle="1" w:styleId="rvps2">
    <w:name w:val="rvps2"/>
    <w:basedOn w:val="a"/>
    <w:rsid w:val="00B3697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Normal (Web)"/>
    <w:basedOn w:val="a"/>
    <w:uiPriority w:val="99"/>
    <w:rsid w:val="00972A0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8">
    <w:name w:val="Знак Знак"/>
    <w:semiHidden/>
    <w:locked/>
    <w:rsid w:val="00DB2D2D"/>
    <w:rPr>
      <w:lang w:val="ru-RU" w:eastAsia="ru-RU" w:bidi="ar-SA"/>
    </w:rPr>
  </w:style>
  <w:style w:type="paragraph" w:customStyle="1" w:styleId="StyleZakonu">
    <w:name w:val="StyleZakonu"/>
    <w:basedOn w:val="a"/>
    <w:link w:val="StyleZakonu0"/>
    <w:rsid w:val="009B4003"/>
    <w:pPr>
      <w:spacing w:after="60" w:line="220" w:lineRule="exact"/>
      <w:ind w:firstLine="284"/>
      <w:jc w:val="both"/>
    </w:pPr>
    <w:rPr>
      <w:rFonts w:ascii="Times New Roman" w:eastAsia="Times New Roman" w:hAnsi="Times New Roman" w:cs="Times New Roman"/>
      <w:sz w:val="20"/>
      <w:szCs w:val="20"/>
      <w:lang w:eastAsia="ru-RU"/>
    </w:rPr>
  </w:style>
  <w:style w:type="character" w:customStyle="1" w:styleId="StyleZakonu0">
    <w:name w:val="StyleZakonu Знак"/>
    <w:link w:val="StyleZakonu"/>
    <w:locked/>
    <w:rsid w:val="009B400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1699</Words>
  <Characters>9686</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Нінель Черноморченко</dc:creator>
  <cp:keywords/>
  <dc:description/>
  <cp:lastModifiedBy>Руслан Кисляк</cp:lastModifiedBy>
  <cp:revision>2</cp:revision>
  <dcterms:created xsi:type="dcterms:W3CDTF">2019-08-06T06:46:00Z</dcterms:created>
  <dcterms:modified xsi:type="dcterms:W3CDTF">2019-08-06T06:46:00Z</dcterms:modified>
</cp:coreProperties>
</file>