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08" w:rsidRPr="00E14451" w:rsidRDefault="009F2710">
      <w:pPr>
        <w:rPr>
          <w:sz w:val="28"/>
          <w:szCs w:val="28"/>
        </w:rPr>
      </w:pPr>
      <w:bookmarkStart w:id="0" w:name="_GoBack"/>
      <w:bookmarkEnd w:id="0"/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9F2710">
        <w:rPr>
          <w:sz w:val="28"/>
          <w:szCs w:val="28"/>
        </w:rPr>
        <w:tab/>
      </w:r>
      <w:r w:rsidRPr="00E14451">
        <w:rPr>
          <w:sz w:val="28"/>
          <w:szCs w:val="28"/>
        </w:rPr>
        <w:tab/>
      </w:r>
      <w:r w:rsidR="006B6A9C">
        <w:rPr>
          <w:sz w:val="28"/>
          <w:szCs w:val="28"/>
        </w:rPr>
        <w:tab/>
      </w:r>
      <w:r w:rsidR="00513BA3">
        <w:rPr>
          <w:sz w:val="28"/>
          <w:szCs w:val="28"/>
        </w:rPr>
        <w:t>Проект</w:t>
      </w:r>
    </w:p>
    <w:p w:rsidR="009F2710" w:rsidRPr="00E14451" w:rsidRDefault="00FD7BD5" w:rsidP="009F2710">
      <w:pPr>
        <w:jc w:val="center"/>
        <w:rPr>
          <w:color w:val="000000"/>
          <w:sz w:val="28"/>
          <w:szCs w:val="28"/>
        </w:rPr>
      </w:pPr>
      <w:r w:rsidRPr="00E14451">
        <w:rPr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4pt;height:73.2pt;visibility:visible">
            <v:imagedata r:id="rId7" o:title=""/>
          </v:shape>
        </w:pict>
      </w:r>
    </w:p>
    <w:p w:rsidR="009F2710" w:rsidRPr="00E14451" w:rsidRDefault="009F2710" w:rsidP="009F2710">
      <w:pPr>
        <w:jc w:val="center"/>
        <w:rPr>
          <w:b/>
          <w:color w:val="000000"/>
          <w:sz w:val="28"/>
          <w:szCs w:val="28"/>
        </w:rPr>
      </w:pPr>
      <w:r w:rsidRPr="00E14451">
        <w:rPr>
          <w:b/>
          <w:color w:val="000000"/>
          <w:sz w:val="28"/>
          <w:szCs w:val="28"/>
        </w:rPr>
        <w:t xml:space="preserve">НАЦІОНАЛЬНА КОМІСІЯ З ЦІННИХ ПАПЕРІВ </w:t>
      </w:r>
    </w:p>
    <w:p w:rsidR="009F2710" w:rsidRPr="00E14451" w:rsidRDefault="009F2710" w:rsidP="009F2710">
      <w:pPr>
        <w:jc w:val="center"/>
        <w:rPr>
          <w:b/>
          <w:color w:val="000000"/>
          <w:sz w:val="28"/>
          <w:szCs w:val="28"/>
        </w:rPr>
      </w:pPr>
      <w:r w:rsidRPr="00E14451">
        <w:rPr>
          <w:b/>
          <w:color w:val="000000"/>
          <w:sz w:val="28"/>
          <w:szCs w:val="28"/>
        </w:rPr>
        <w:t>ТА ФОНДОВОГО РИНКУ</w:t>
      </w:r>
    </w:p>
    <w:p w:rsidR="009F2710" w:rsidRPr="00E14451" w:rsidRDefault="009F2710" w:rsidP="009F2710">
      <w:pPr>
        <w:jc w:val="center"/>
        <w:rPr>
          <w:b/>
          <w:color w:val="000000"/>
          <w:sz w:val="28"/>
          <w:szCs w:val="28"/>
        </w:rPr>
      </w:pPr>
      <w:r w:rsidRPr="00E14451">
        <w:rPr>
          <w:noProof/>
          <w:color w:val="000000"/>
          <w:sz w:val="28"/>
          <w:szCs w:val="28"/>
        </w:rPr>
        <w:pict>
          <v:rect id="_x0000_s1026" style="position:absolute;left:0;text-align:left;margin-left:1.2pt;margin-top:0;width:474.15pt;height:4.55pt;z-index:1"/>
        </w:pict>
      </w:r>
    </w:p>
    <w:p w:rsidR="009F2710" w:rsidRDefault="009F2710" w:rsidP="009F2710">
      <w:pPr>
        <w:jc w:val="center"/>
        <w:rPr>
          <w:b/>
          <w:color w:val="000000"/>
          <w:sz w:val="28"/>
          <w:szCs w:val="28"/>
        </w:rPr>
      </w:pPr>
      <w:r w:rsidRPr="00E14451">
        <w:rPr>
          <w:b/>
          <w:color w:val="000000"/>
          <w:sz w:val="28"/>
          <w:szCs w:val="28"/>
        </w:rPr>
        <w:t>Р І Ш Е Н Н Я</w:t>
      </w:r>
    </w:p>
    <w:p w:rsidR="00F85E05" w:rsidRPr="00F85E05" w:rsidRDefault="00F85E05" w:rsidP="009F2710">
      <w:pPr>
        <w:jc w:val="center"/>
        <w:rPr>
          <w:b/>
          <w:color w:val="000000"/>
          <w:sz w:val="20"/>
          <w:szCs w:val="20"/>
        </w:rPr>
      </w:pPr>
    </w:p>
    <w:p w:rsidR="009F2710" w:rsidRPr="00E14451" w:rsidRDefault="00513BA3">
      <w:pPr>
        <w:rPr>
          <w:sz w:val="28"/>
          <w:szCs w:val="28"/>
        </w:rPr>
      </w:pPr>
      <w:r>
        <w:rPr>
          <w:sz w:val="28"/>
          <w:szCs w:val="28"/>
        </w:rPr>
        <w:t xml:space="preserve">           .     </w:t>
      </w:r>
      <w:r w:rsidR="00F85E05">
        <w:rPr>
          <w:sz w:val="28"/>
          <w:szCs w:val="28"/>
        </w:rPr>
        <w:t>.2019</w:t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  <w:t>м. Київ</w:t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</w:r>
      <w:r w:rsidR="009F2710" w:rsidRPr="00E1445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      </w:t>
      </w:r>
    </w:p>
    <w:p w:rsidR="009F2710" w:rsidRPr="00E14451" w:rsidRDefault="009F27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F2710" w:rsidRPr="00E14451" w:rsidTr="00FD7BD5">
        <w:tc>
          <w:tcPr>
            <w:tcW w:w="45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13BA3" w:rsidRDefault="009F2710" w:rsidP="00FD7BD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4451">
              <w:rPr>
                <w:sz w:val="28"/>
                <w:szCs w:val="28"/>
              </w:rPr>
              <w:t xml:space="preserve">Про </w:t>
            </w:r>
            <w:r w:rsidR="009F6055">
              <w:rPr>
                <w:sz w:val="28"/>
                <w:szCs w:val="28"/>
              </w:rPr>
              <w:t>в</w:t>
            </w:r>
            <w:r w:rsidR="0073777B">
              <w:rPr>
                <w:sz w:val="28"/>
                <w:szCs w:val="28"/>
              </w:rPr>
              <w:t>несення з</w:t>
            </w:r>
            <w:r w:rsidRPr="00E14451">
              <w:rPr>
                <w:sz w:val="28"/>
                <w:szCs w:val="28"/>
              </w:rPr>
              <w:t xml:space="preserve">мін до </w:t>
            </w:r>
            <w:r w:rsidR="00513BA3">
              <w:rPr>
                <w:sz w:val="28"/>
                <w:szCs w:val="28"/>
              </w:rPr>
              <w:t>Порядку ведення обліку програмних продуктів на фондовому ринку</w:t>
            </w:r>
          </w:p>
          <w:p w:rsidR="00513BA3" w:rsidRDefault="00513BA3" w:rsidP="00FD7B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13BA3" w:rsidRDefault="00513BA3" w:rsidP="00FD7B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13BA3" w:rsidRDefault="00513BA3" w:rsidP="00FD7B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13BA3" w:rsidRDefault="00513BA3" w:rsidP="00FD7B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F2710" w:rsidRPr="00E14451" w:rsidRDefault="009F2710" w:rsidP="00FD7BD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F2710" w:rsidRPr="00C442B8" w:rsidRDefault="009F2710" w:rsidP="000F4967">
      <w:pPr>
        <w:spacing w:line="360" w:lineRule="auto"/>
        <w:jc w:val="both"/>
        <w:rPr>
          <w:sz w:val="24"/>
          <w:szCs w:val="24"/>
        </w:rPr>
      </w:pPr>
    </w:p>
    <w:p w:rsidR="00B133C6" w:rsidRPr="00E14451" w:rsidRDefault="00B133C6" w:rsidP="006E1E1A">
      <w:pPr>
        <w:spacing w:line="360" w:lineRule="auto"/>
        <w:ind w:firstLine="567"/>
        <w:jc w:val="both"/>
        <w:rPr>
          <w:sz w:val="28"/>
          <w:szCs w:val="28"/>
        </w:rPr>
      </w:pPr>
      <w:r w:rsidRPr="00E14451">
        <w:rPr>
          <w:sz w:val="28"/>
          <w:szCs w:val="28"/>
        </w:rPr>
        <w:t xml:space="preserve">Відповідно до </w:t>
      </w:r>
      <w:r w:rsidR="002B27FE" w:rsidRPr="00E14451">
        <w:rPr>
          <w:sz w:val="28"/>
          <w:szCs w:val="28"/>
        </w:rPr>
        <w:t>пункт</w:t>
      </w:r>
      <w:r w:rsidR="000F4967" w:rsidRPr="00E14451">
        <w:rPr>
          <w:sz w:val="28"/>
          <w:szCs w:val="28"/>
        </w:rPr>
        <w:t>у</w:t>
      </w:r>
      <w:r w:rsidR="002B27FE" w:rsidRPr="00E14451">
        <w:rPr>
          <w:sz w:val="28"/>
          <w:szCs w:val="28"/>
        </w:rPr>
        <w:t xml:space="preserve"> 20 статті 8 Закону України «Про державне регулювання ринку цінних паперів в Україні», </w:t>
      </w:r>
      <w:r w:rsidR="000F4967" w:rsidRPr="00E14451">
        <w:rPr>
          <w:sz w:val="28"/>
          <w:szCs w:val="28"/>
        </w:rPr>
        <w:t>з метою встановлення єдиних підходів до використання програмних продуктів у професійній діяльності на</w:t>
      </w:r>
      <w:r w:rsidR="007C07F7">
        <w:rPr>
          <w:sz w:val="28"/>
          <w:szCs w:val="28"/>
        </w:rPr>
        <w:t xml:space="preserve"> фондовому ринку</w:t>
      </w:r>
    </w:p>
    <w:p w:rsidR="002B27FE" w:rsidRPr="00E14451" w:rsidRDefault="002B27FE" w:rsidP="00B133C6">
      <w:pPr>
        <w:spacing w:line="360" w:lineRule="auto"/>
        <w:ind w:firstLine="426"/>
        <w:rPr>
          <w:sz w:val="28"/>
          <w:szCs w:val="28"/>
        </w:rPr>
      </w:pPr>
    </w:p>
    <w:p w:rsidR="00E1407B" w:rsidRPr="00E14451" w:rsidRDefault="002B27FE" w:rsidP="00D13240">
      <w:pPr>
        <w:spacing w:line="360" w:lineRule="auto"/>
        <w:ind w:firstLine="426"/>
        <w:jc w:val="center"/>
        <w:rPr>
          <w:sz w:val="28"/>
          <w:szCs w:val="28"/>
        </w:rPr>
      </w:pPr>
      <w:r w:rsidRPr="00E14451">
        <w:rPr>
          <w:sz w:val="28"/>
          <w:szCs w:val="28"/>
        </w:rPr>
        <w:t>Національна комісія з цінних паперів та фондового ринку</w:t>
      </w:r>
    </w:p>
    <w:p w:rsidR="000F4967" w:rsidRDefault="000F4967" w:rsidP="00B133C6">
      <w:pPr>
        <w:spacing w:line="360" w:lineRule="auto"/>
        <w:ind w:firstLine="426"/>
        <w:rPr>
          <w:sz w:val="28"/>
          <w:szCs w:val="28"/>
        </w:rPr>
      </w:pPr>
    </w:p>
    <w:p w:rsidR="00E1407B" w:rsidRPr="00E14451" w:rsidRDefault="006E1E1A" w:rsidP="006E1E1A">
      <w:pPr>
        <w:spacing w:line="360" w:lineRule="auto"/>
        <w:ind w:firstLine="426"/>
        <w:jc w:val="center"/>
        <w:rPr>
          <w:sz w:val="28"/>
          <w:szCs w:val="28"/>
        </w:rPr>
      </w:pPr>
      <w:r w:rsidRPr="00E14451">
        <w:rPr>
          <w:b/>
          <w:sz w:val="28"/>
          <w:szCs w:val="28"/>
        </w:rPr>
        <w:t>ВИРІШИЛА</w:t>
      </w:r>
      <w:r w:rsidR="00A01AD6">
        <w:rPr>
          <w:b/>
          <w:sz w:val="28"/>
          <w:szCs w:val="28"/>
        </w:rPr>
        <w:t>:</w:t>
      </w:r>
    </w:p>
    <w:p w:rsidR="00E1407B" w:rsidRPr="00E14451" w:rsidRDefault="00E1407B" w:rsidP="00B133C6">
      <w:pPr>
        <w:spacing w:line="360" w:lineRule="auto"/>
        <w:ind w:firstLine="426"/>
        <w:rPr>
          <w:sz w:val="28"/>
          <w:szCs w:val="28"/>
        </w:rPr>
      </w:pPr>
    </w:p>
    <w:p w:rsidR="0073777B" w:rsidRDefault="0073777B" w:rsidP="0073777B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Унести зміни до Порядку ведення обліку програмних продуктів на фондовому ринку затвердженого рішенням Національної комісії з цінних паперів та фондового ринку від </w:t>
      </w:r>
      <w:r>
        <w:rPr>
          <w:sz w:val="28"/>
          <w:szCs w:val="28"/>
        </w:rPr>
        <w:t xml:space="preserve">13 листопада 2012 року № 1617, </w:t>
      </w:r>
      <w:r>
        <w:rPr>
          <w:sz w:val="28"/>
          <w:szCs w:val="28"/>
        </w:rPr>
        <w:lastRenderedPageBreak/>
        <w:t>зареєстрованого в Міністерстві юстиції України 21 січня 2013 року за               № 141/2011, виклавши його в новій</w:t>
      </w:r>
      <w:r>
        <w:rPr>
          <w:bCs/>
          <w:color w:val="000000"/>
          <w:sz w:val="28"/>
          <w:szCs w:val="28"/>
        </w:rPr>
        <w:t xml:space="preserve">  редакції, що додається.</w:t>
      </w:r>
    </w:p>
    <w:p w:rsidR="00E1407B" w:rsidRPr="00E14451" w:rsidRDefault="00E1407B" w:rsidP="007003AE">
      <w:pPr>
        <w:spacing w:line="360" w:lineRule="auto"/>
        <w:ind w:firstLine="426"/>
        <w:jc w:val="both"/>
        <w:rPr>
          <w:sz w:val="28"/>
          <w:szCs w:val="28"/>
        </w:rPr>
      </w:pPr>
    </w:p>
    <w:p w:rsidR="00E1407B" w:rsidRDefault="00D447A0" w:rsidP="007003A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інформаційних технологій (</w:t>
      </w:r>
      <w:r w:rsidR="00972219">
        <w:rPr>
          <w:sz w:val="28"/>
          <w:szCs w:val="28"/>
        </w:rPr>
        <w:t>Камінський О</w:t>
      </w:r>
      <w:r>
        <w:rPr>
          <w:sz w:val="28"/>
          <w:szCs w:val="28"/>
        </w:rPr>
        <w:t>.) забезпечити:</w:t>
      </w:r>
    </w:p>
    <w:p w:rsidR="00E1407B" w:rsidRDefault="007003AE" w:rsidP="007003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47A0">
        <w:rPr>
          <w:sz w:val="28"/>
          <w:szCs w:val="28"/>
        </w:rPr>
        <w:t>одання цього рішення для здійснення експертизи на відповідність положенням Конвенції про захист прав</w:t>
      </w:r>
      <w:r w:rsidR="004507A2">
        <w:rPr>
          <w:sz w:val="28"/>
          <w:szCs w:val="28"/>
        </w:rPr>
        <w:t xml:space="preserve"> людини</w:t>
      </w:r>
      <w:r w:rsidR="00D447A0">
        <w:rPr>
          <w:sz w:val="28"/>
          <w:szCs w:val="28"/>
        </w:rPr>
        <w:t xml:space="preserve"> і основоположних свобод до Секретаріату Урядового уповноваженого у справах Європейського суду з прав людини Міністерства юстиції України;</w:t>
      </w:r>
    </w:p>
    <w:p w:rsidR="00D447A0" w:rsidRDefault="007003AE" w:rsidP="007003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7003AE" w:rsidRDefault="007003AE" w:rsidP="007003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оприлюднення цього рішення </w:t>
      </w:r>
      <w:r w:rsidR="001E343F">
        <w:rPr>
          <w:sz w:val="28"/>
          <w:szCs w:val="28"/>
        </w:rPr>
        <w:t xml:space="preserve">на офіційному веб-сайті </w:t>
      </w:r>
      <w:r w:rsidR="00CC18D4">
        <w:rPr>
          <w:sz w:val="28"/>
          <w:szCs w:val="28"/>
        </w:rPr>
        <w:t>Національної комісії з цінних паперів та фондового ринку</w:t>
      </w:r>
      <w:r w:rsidR="00F85E05">
        <w:rPr>
          <w:sz w:val="28"/>
          <w:szCs w:val="28"/>
        </w:rPr>
        <w:t>.</w:t>
      </w:r>
    </w:p>
    <w:p w:rsidR="00E1407B" w:rsidRPr="00E14451" w:rsidRDefault="00E1407B" w:rsidP="007003AE">
      <w:pPr>
        <w:spacing w:line="360" w:lineRule="auto"/>
        <w:ind w:firstLine="567"/>
        <w:jc w:val="both"/>
        <w:rPr>
          <w:sz w:val="28"/>
          <w:szCs w:val="28"/>
        </w:rPr>
      </w:pPr>
    </w:p>
    <w:p w:rsidR="00E1407B" w:rsidRDefault="007003AE" w:rsidP="007003A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A1443">
        <w:rPr>
          <w:sz w:val="28"/>
          <w:szCs w:val="28"/>
        </w:rPr>
        <w:t>Це рішення набирає чинності</w:t>
      </w:r>
      <w:r w:rsidR="00CC18D4">
        <w:rPr>
          <w:sz w:val="28"/>
          <w:szCs w:val="28"/>
        </w:rPr>
        <w:t xml:space="preserve"> </w:t>
      </w:r>
      <w:r w:rsidRPr="00AA1443">
        <w:rPr>
          <w:sz w:val="28"/>
          <w:szCs w:val="28"/>
        </w:rPr>
        <w:t xml:space="preserve">з </w:t>
      </w:r>
      <w:r w:rsidR="007C07F7">
        <w:rPr>
          <w:sz w:val="28"/>
          <w:szCs w:val="28"/>
        </w:rPr>
        <w:t>01 січня 2020 року</w:t>
      </w:r>
      <w:r w:rsidR="009F6055">
        <w:rPr>
          <w:sz w:val="28"/>
          <w:szCs w:val="28"/>
        </w:rPr>
        <w:t>, але не раніше дня його офіційного опублікування.</w:t>
      </w:r>
    </w:p>
    <w:p w:rsidR="008914CA" w:rsidRDefault="008914CA" w:rsidP="008914CA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</w:p>
    <w:p w:rsidR="007C07F7" w:rsidRPr="00AA1443" w:rsidRDefault="007C07F7" w:rsidP="007003A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Професійн</w:t>
      </w:r>
      <w:r w:rsidR="008914CA">
        <w:rPr>
          <w:sz w:val="28"/>
          <w:szCs w:val="28"/>
        </w:rPr>
        <w:t xml:space="preserve">им учасникам фондового ринку у термін 01 лютого 2020 року подати інформацію про спеціалізовані програмні продукти (модулі спеціалізованих програмних продуктів) до </w:t>
      </w:r>
      <w:r w:rsidR="009F6055">
        <w:rPr>
          <w:sz w:val="28"/>
          <w:szCs w:val="28"/>
        </w:rPr>
        <w:t>Національної комісії з цінних паперів та фондового ринку</w:t>
      </w:r>
      <w:r w:rsidR="008914CA">
        <w:rPr>
          <w:sz w:val="28"/>
          <w:szCs w:val="28"/>
        </w:rPr>
        <w:t>.</w:t>
      </w:r>
    </w:p>
    <w:p w:rsidR="006B6A9C" w:rsidRPr="007003AE" w:rsidRDefault="006B6A9C" w:rsidP="007003AE">
      <w:pPr>
        <w:spacing w:line="360" w:lineRule="auto"/>
        <w:ind w:firstLine="567"/>
        <w:rPr>
          <w:sz w:val="28"/>
          <w:szCs w:val="28"/>
        </w:rPr>
      </w:pPr>
    </w:p>
    <w:p w:rsidR="00E1407B" w:rsidRPr="007003AE" w:rsidRDefault="006B6A9C" w:rsidP="00F85E0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члена Комісії Панченка О.</w:t>
      </w:r>
    </w:p>
    <w:p w:rsidR="00F85E05" w:rsidRPr="007003AE" w:rsidRDefault="00F85E05" w:rsidP="007003AE">
      <w:pPr>
        <w:spacing w:line="360" w:lineRule="auto"/>
        <w:ind w:firstLine="567"/>
        <w:rPr>
          <w:sz w:val="28"/>
          <w:szCs w:val="28"/>
        </w:rPr>
      </w:pPr>
    </w:p>
    <w:p w:rsidR="00E1407B" w:rsidRPr="007003AE" w:rsidRDefault="00E1407B" w:rsidP="007003AE">
      <w:pPr>
        <w:spacing w:line="360" w:lineRule="auto"/>
        <w:ind w:firstLine="567"/>
        <w:rPr>
          <w:sz w:val="28"/>
          <w:szCs w:val="28"/>
        </w:rPr>
      </w:pPr>
    </w:p>
    <w:p w:rsidR="00E1407B" w:rsidRPr="006B6A9C" w:rsidRDefault="006B6A9C" w:rsidP="007003AE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</w:t>
      </w:r>
      <w:r w:rsidR="001E343F">
        <w:rPr>
          <w:b/>
          <w:sz w:val="28"/>
          <w:szCs w:val="28"/>
        </w:rPr>
        <w:t>имур</w:t>
      </w:r>
      <w:r>
        <w:rPr>
          <w:b/>
          <w:sz w:val="28"/>
          <w:szCs w:val="28"/>
        </w:rPr>
        <w:t xml:space="preserve"> Хромаєв</w:t>
      </w:r>
    </w:p>
    <w:p w:rsidR="00E1407B" w:rsidRDefault="00E1407B" w:rsidP="007003AE">
      <w:pPr>
        <w:spacing w:line="360" w:lineRule="auto"/>
        <w:ind w:firstLine="567"/>
        <w:rPr>
          <w:sz w:val="24"/>
          <w:szCs w:val="24"/>
        </w:rPr>
      </w:pPr>
    </w:p>
    <w:p w:rsidR="006B6A9C" w:rsidRDefault="006B6A9C" w:rsidP="007003AE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Протокол засідання Комісії</w:t>
      </w:r>
    </w:p>
    <w:p w:rsidR="00E1407B" w:rsidRDefault="001E343F" w:rsidP="007003AE">
      <w:pPr>
        <w:spacing w:line="360" w:lineRule="auto"/>
        <w:ind w:firstLine="567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       .   </w:t>
      </w:r>
      <w:r w:rsidR="00CC18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10034">
        <w:rPr>
          <w:sz w:val="24"/>
          <w:szCs w:val="24"/>
        </w:rPr>
        <w:t>.</w:t>
      </w:r>
      <w:r>
        <w:rPr>
          <w:sz w:val="24"/>
          <w:szCs w:val="24"/>
        </w:rPr>
        <w:t>2019</w:t>
      </w:r>
      <w:r w:rsidR="006B6A9C">
        <w:rPr>
          <w:sz w:val="24"/>
          <w:szCs w:val="24"/>
        </w:rPr>
        <w:t xml:space="preserve"> №</w:t>
      </w:r>
      <w:r w:rsidR="009F6055">
        <w:rPr>
          <w:sz w:val="24"/>
          <w:szCs w:val="24"/>
        </w:rPr>
        <w:t xml:space="preserve"> </w:t>
      </w:r>
    </w:p>
    <w:p w:rsidR="002F5777" w:rsidRPr="00E10034" w:rsidRDefault="002F5777" w:rsidP="007003AE">
      <w:pPr>
        <w:spacing w:line="360" w:lineRule="auto"/>
        <w:ind w:firstLine="567"/>
        <w:rPr>
          <w:sz w:val="28"/>
          <w:szCs w:val="28"/>
        </w:rPr>
        <w:sectPr w:rsidR="002F5777" w:rsidRPr="00E10034" w:rsidSect="00212313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B6A9C" w:rsidRDefault="004507A2" w:rsidP="00B133C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18D4">
        <w:rPr>
          <w:sz w:val="28"/>
          <w:szCs w:val="28"/>
        </w:rPr>
        <w:t>Проект</w:t>
      </w: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ЗАТВЕРДЖЕНО</w:t>
      </w:r>
    </w:p>
    <w:p w:rsidR="0072261B" w:rsidRDefault="0072261B" w:rsidP="0072261B">
      <w:pPr>
        <w:spacing w:line="360" w:lineRule="auto"/>
        <w:ind w:left="5664" w:firstLine="6"/>
        <w:rPr>
          <w:sz w:val="28"/>
          <w:szCs w:val="28"/>
        </w:rPr>
      </w:pPr>
      <w:r>
        <w:rPr>
          <w:sz w:val="28"/>
          <w:szCs w:val="28"/>
        </w:rPr>
        <w:t>Рішення Національної комісії з цінних паперів та фондового ринку</w:t>
      </w:r>
    </w:p>
    <w:p w:rsidR="0072261B" w:rsidRDefault="00CC18D4" w:rsidP="0072261B">
      <w:pPr>
        <w:spacing w:line="360" w:lineRule="auto"/>
        <w:ind w:left="5664" w:firstLine="6"/>
        <w:rPr>
          <w:sz w:val="28"/>
          <w:szCs w:val="28"/>
        </w:rPr>
      </w:pPr>
      <w:r>
        <w:rPr>
          <w:sz w:val="28"/>
          <w:szCs w:val="28"/>
        </w:rPr>
        <w:t>___. _________</w:t>
      </w:r>
      <w:r w:rsidR="00906B34">
        <w:rPr>
          <w:sz w:val="28"/>
          <w:szCs w:val="28"/>
        </w:rPr>
        <w:t xml:space="preserve"> 2019</w:t>
      </w:r>
      <w:r w:rsidR="0072261B">
        <w:rPr>
          <w:sz w:val="28"/>
          <w:szCs w:val="28"/>
        </w:rPr>
        <w:t xml:space="preserve"> року № </w:t>
      </w:r>
    </w:p>
    <w:p w:rsidR="006B6A9C" w:rsidRDefault="006B6A9C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</w:p>
    <w:p w:rsidR="002F3287" w:rsidRDefault="002F3287" w:rsidP="00B133C6">
      <w:pPr>
        <w:spacing w:line="360" w:lineRule="auto"/>
        <w:ind w:firstLine="426"/>
        <w:rPr>
          <w:sz w:val="28"/>
          <w:szCs w:val="28"/>
        </w:rPr>
      </w:pPr>
    </w:p>
    <w:p w:rsidR="002F3287" w:rsidRDefault="002F3287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72261B" w:rsidP="00B133C6">
      <w:pPr>
        <w:spacing w:line="360" w:lineRule="auto"/>
        <w:ind w:firstLine="426"/>
        <w:rPr>
          <w:sz w:val="28"/>
          <w:szCs w:val="28"/>
        </w:rPr>
      </w:pPr>
    </w:p>
    <w:p w:rsidR="0072261B" w:rsidRDefault="001C3824" w:rsidP="00A93C78">
      <w:pPr>
        <w:spacing w:line="24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</w:t>
      </w:r>
      <w:r w:rsidR="009038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 ведення обліку програмних продуктів на фондовому ринку</w:t>
      </w:r>
    </w:p>
    <w:p w:rsidR="005D433A" w:rsidRDefault="005D433A" w:rsidP="00A93C78">
      <w:pPr>
        <w:spacing w:line="240" w:lineRule="auto"/>
        <w:ind w:firstLine="425"/>
        <w:jc w:val="center"/>
        <w:rPr>
          <w:b/>
          <w:sz w:val="28"/>
          <w:szCs w:val="28"/>
        </w:rPr>
      </w:pPr>
    </w:p>
    <w:p w:rsidR="005D433A" w:rsidRDefault="005D433A" w:rsidP="00A93C78">
      <w:pPr>
        <w:spacing w:line="240" w:lineRule="auto"/>
        <w:ind w:firstLine="425"/>
        <w:jc w:val="center"/>
        <w:rPr>
          <w:b/>
          <w:sz w:val="28"/>
          <w:szCs w:val="28"/>
        </w:rPr>
      </w:pPr>
    </w:p>
    <w:p w:rsidR="005D433A" w:rsidRPr="00CF5337" w:rsidRDefault="00C54CB0" w:rsidP="00CF533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CF5337">
        <w:rPr>
          <w:sz w:val="28"/>
          <w:szCs w:val="28"/>
        </w:rPr>
        <w:t>Ц</w:t>
      </w:r>
      <w:r w:rsidR="00CF5337" w:rsidRPr="00CF5337">
        <w:rPr>
          <w:sz w:val="28"/>
          <w:szCs w:val="28"/>
        </w:rPr>
        <w:t>ей</w:t>
      </w:r>
      <w:r w:rsidRPr="00CF5337">
        <w:rPr>
          <w:sz w:val="28"/>
          <w:szCs w:val="28"/>
        </w:rPr>
        <w:t xml:space="preserve"> Порядо</w:t>
      </w:r>
      <w:r w:rsidR="00CF5337" w:rsidRPr="00CF5337">
        <w:rPr>
          <w:sz w:val="28"/>
          <w:szCs w:val="28"/>
        </w:rPr>
        <w:t>к</w:t>
      </w:r>
      <w:r w:rsidRPr="00CF5337">
        <w:rPr>
          <w:sz w:val="28"/>
          <w:szCs w:val="28"/>
        </w:rPr>
        <w:t xml:space="preserve"> визнач</w:t>
      </w:r>
      <w:r w:rsidR="00CF5337" w:rsidRPr="00CF5337">
        <w:rPr>
          <w:sz w:val="28"/>
          <w:szCs w:val="28"/>
        </w:rPr>
        <w:t>ає</w:t>
      </w:r>
      <w:r w:rsidRPr="00CF5337">
        <w:rPr>
          <w:sz w:val="28"/>
          <w:szCs w:val="28"/>
        </w:rPr>
        <w:t xml:space="preserve"> порядок подання</w:t>
      </w:r>
      <w:r w:rsidR="00A00BEA" w:rsidRPr="00CF5337">
        <w:rPr>
          <w:sz w:val="28"/>
          <w:szCs w:val="28"/>
        </w:rPr>
        <w:t xml:space="preserve"> до Національної комісії з цінних паперів та фондового ринку (далі – Комісія)</w:t>
      </w:r>
      <w:r w:rsidR="0065012E" w:rsidRPr="00CF5337">
        <w:rPr>
          <w:sz w:val="28"/>
          <w:szCs w:val="28"/>
        </w:rPr>
        <w:t xml:space="preserve"> </w:t>
      </w:r>
      <w:r w:rsidR="00642398" w:rsidRPr="00CF5337">
        <w:rPr>
          <w:sz w:val="28"/>
          <w:szCs w:val="28"/>
        </w:rPr>
        <w:t>і</w:t>
      </w:r>
      <w:r w:rsidR="00182C7B" w:rsidRPr="00CF5337">
        <w:rPr>
          <w:sz w:val="28"/>
          <w:szCs w:val="28"/>
        </w:rPr>
        <w:t>нформації про програмні</w:t>
      </w:r>
      <w:r w:rsidR="00642398" w:rsidRPr="00CF5337">
        <w:rPr>
          <w:sz w:val="28"/>
          <w:szCs w:val="28"/>
        </w:rPr>
        <w:t xml:space="preserve"> продукт</w:t>
      </w:r>
      <w:r w:rsidR="00182C7B" w:rsidRPr="00CF5337">
        <w:rPr>
          <w:sz w:val="28"/>
          <w:szCs w:val="28"/>
        </w:rPr>
        <w:t>и (модулі</w:t>
      </w:r>
      <w:r w:rsidR="00642398" w:rsidRPr="00CF5337">
        <w:rPr>
          <w:sz w:val="28"/>
          <w:szCs w:val="28"/>
        </w:rPr>
        <w:t>)</w:t>
      </w:r>
      <w:r w:rsidR="00C308ED" w:rsidRPr="00CF5337">
        <w:rPr>
          <w:sz w:val="28"/>
          <w:szCs w:val="28"/>
        </w:rPr>
        <w:t xml:space="preserve">, </w:t>
      </w:r>
      <w:r w:rsidR="00182C7B" w:rsidRPr="00CF5337">
        <w:rPr>
          <w:rFonts w:eastAsia="Times New Roman"/>
          <w:color w:val="000000"/>
          <w:sz w:val="28"/>
          <w:szCs w:val="28"/>
          <w:lang w:eastAsia="uk-UA"/>
        </w:rPr>
        <w:t>які</w:t>
      </w:r>
      <w:r w:rsidR="003E62D9" w:rsidRPr="00CF5337">
        <w:rPr>
          <w:rFonts w:eastAsia="Times New Roman"/>
          <w:color w:val="000000"/>
          <w:sz w:val="28"/>
          <w:szCs w:val="28"/>
          <w:lang w:eastAsia="uk-UA"/>
        </w:rPr>
        <w:t xml:space="preserve"> створ</w:t>
      </w:r>
      <w:r w:rsidR="008677D7" w:rsidRPr="00CF5337">
        <w:rPr>
          <w:rFonts w:eastAsia="Times New Roman"/>
          <w:color w:val="000000"/>
          <w:sz w:val="28"/>
          <w:szCs w:val="28"/>
          <w:lang w:eastAsia="uk-UA"/>
        </w:rPr>
        <w:t>ено</w:t>
      </w:r>
      <w:r w:rsidR="00AA28E1" w:rsidRPr="00CF5337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182C7B" w:rsidRPr="00CF5337">
        <w:rPr>
          <w:rFonts w:eastAsia="Times New Roman"/>
          <w:color w:val="000000"/>
          <w:sz w:val="28"/>
          <w:szCs w:val="28"/>
          <w:lang w:eastAsia="uk-UA"/>
        </w:rPr>
        <w:t>для використання на фондовому ринку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>,</w:t>
      </w:r>
      <w:r w:rsidR="00182C7B" w:rsidRPr="00CF5337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 xml:space="preserve">та/або які </w:t>
      </w:r>
      <w:r w:rsidR="00182C7B" w:rsidRPr="00CF5337">
        <w:rPr>
          <w:rFonts w:eastAsia="Times New Roman"/>
          <w:color w:val="000000"/>
          <w:sz w:val="28"/>
          <w:szCs w:val="28"/>
          <w:lang w:eastAsia="uk-UA"/>
        </w:rPr>
        <w:t>використовуються учасниками фондового ринку, зокрема при здійсненні професійної діяльності</w:t>
      </w:r>
      <w:r w:rsidR="0064003F" w:rsidRPr="00CF5337">
        <w:rPr>
          <w:rFonts w:eastAsia="Times New Roman"/>
          <w:color w:val="000000"/>
          <w:sz w:val="28"/>
          <w:szCs w:val="28"/>
          <w:lang w:eastAsia="uk-UA"/>
        </w:rPr>
        <w:t xml:space="preserve">, 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 xml:space="preserve">порядок </w:t>
      </w:r>
      <w:r w:rsidR="0064003F" w:rsidRPr="00CF5337">
        <w:rPr>
          <w:rFonts w:eastAsia="Times New Roman"/>
          <w:color w:val="000000"/>
          <w:sz w:val="28"/>
          <w:szCs w:val="28"/>
          <w:lang w:eastAsia="uk-UA"/>
        </w:rPr>
        <w:t>внесення змін до інформації про так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>і</w:t>
      </w:r>
      <w:r w:rsidR="0064003F" w:rsidRPr="00CF5337">
        <w:rPr>
          <w:rFonts w:eastAsia="Times New Roman"/>
          <w:color w:val="000000"/>
          <w:sz w:val="28"/>
          <w:szCs w:val="28"/>
          <w:lang w:eastAsia="uk-UA"/>
        </w:rPr>
        <w:t xml:space="preserve"> програмн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>і</w:t>
      </w:r>
      <w:r w:rsidR="0064003F" w:rsidRPr="00CF5337">
        <w:rPr>
          <w:rFonts w:eastAsia="Times New Roman"/>
          <w:color w:val="000000"/>
          <w:sz w:val="28"/>
          <w:szCs w:val="28"/>
          <w:lang w:eastAsia="uk-UA"/>
        </w:rPr>
        <w:t xml:space="preserve"> продукт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>и</w:t>
      </w:r>
      <w:r w:rsidR="0064003F" w:rsidRPr="00CF5337">
        <w:rPr>
          <w:rFonts w:eastAsia="Times New Roman"/>
          <w:color w:val="000000"/>
          <w:sz w:val="28"/>
          <w:szCs w:val="28"/>
          <w:lang w:eastAsia="uk-UA"/>
        </w:rPr>
        <w:t xml:space="preserve"> (модул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>і</w:t>
      </w:r>
      <w:r w:rsidR="0064003F" w:rsidRPr="00CF5337">
        <w:rPr>
          <w:rFonts w:eastAsia="Times New Roman"/>
          <w:color w:val="000000"/>
          <w:sz w:val="28"/>
          <w:szCs w:val="28"/>
          <w:lang w:eastAsia="uk-UA"/>
        </w:rPr>
        <w:t>)</w:t>
      </w:r>
      <w:r w:rsidR="00CF5337" w:rsidRPr="00CF5337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CF5337" w:rsidRPr="00CF5337">
        <w:rPr>
          <w:sz w:val="28"/>
          <w:szCs w:val="28"/>
        </w:rPr>
        <w:t xml:space="preserve">та порядок </w:t>
      </w:r>
      <w:r w:rsidR="00CF5337">
        <w:rPr>
          <w:sz w:val="28"/>
          <w:szCs w:val="28"/>
        </w:rPr>
        <w:t xml:space="preserve">ведення </w:t>
      </w:r>
      <w:r w:rsidR="00CF5337" w:rsidRPr="00CF5337">
        <w:rPr>
          <w:sz w:val="28"/>
          <w:szCs w:val="28"/>
        </w:rPr>
        <w:t>Комісією</w:t>
      </w:r>
      <w:r w:rsidR="00CF5337">
        <w:rPr>
          <w:sz w:val="28"/>
          <w:szCs w:val="28"/>
        </w:rPr>
        <w:t xml:space="preserve"> </w:t>
      </w:r>
      <w:r w:rsidR="00CF5337" w:rsidRPr="00CF5337">
        <w:rPr>
          <w:sz w:val="28"/>
          <w:szCs w:val="28"/>
        </w:rPr>
        <w:t>обліку</w:t>
      </w:r>
      <w:r w:rsidR="00CF5337">
        <w:rPr>
          <w:sz w:val="28"/>
          <w:szCs w:val="28"/>
        </w:rPr>
        <w:t xml:space="preserve"> програмних продуктів на фондовому ринку.</w:t>
      </w:r>
    </w:p>
    <w:p w:rsidR="009A678D" w:rsidRPr="00A06DB3" w:rsidRDefault="009A678D" w:rsidP="00A855D7">
      <w:pPr>
        <w:pStyle w:val="rvps2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1" w:name="n18"/>
      <w:bookmarkEnd w:id="1"/>
      <w:r w:rsidRPr="00A06DB3">
        <w:rPr>
          <w:color w:val="000000"/>
          <w:sz w:val="28"/>
          <w:szCs w:val="28"/>
        </w:rPr>
        <w:t xml:space="preserve">У цьому Порядку терміни </w:t>
      </w:r>
      <w:r>
        <w:rPr>
          <w:color w:val="000000"/>
          <w:sz w:val="28"/>
          <w:szCs w:val="28"/>
        </w:rPr>
        <w:t>використовуються</w:t>
      </w:r>
      <w:r w:rsidRPr="00A06DB3">
        <w:rPr>
          <w:color w:val="000000"/>
          <w:sz w:val="28"/>
          <w:szCs w:val="28"/>
        </w:rPr>
        <w:t xml:space="preserve"> в таких значеннях:</w:t>
      </w:r>
    </w:p>
    <w:p w:rsidR="009A678D" w:rsidRPr="00A06DB3" w:rsidRDefault="009A678D" w:rsidP="00A855D7">
      <w:pPr>
        <w:pStyle w:val="rvps2"/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2" w:name="n19"/>
      <w:bookmarkEnd w:id="2"/>
      <w:r w:rsidRPr="007971A1">
        <w:rPr>
          <w:color w:val="000000"/>
          <w:sz w:val="28"/>
          <w:szCs w:val="28"/>
        </w:rPr>
        <w:t xml:space="preserve">заявник </w:t>
      </w:r>
      <w:r>
        <w:rPr>
          <w:color w:val="000000"/>
          <w:sz w:val="28"/>
          <w:szCs w:val="28"/>
        </w:rPr>
        <w:t>–</w:t>
      </w:r>
      <w:r w:rsidRPr="007971A1">
        <w:rPr>
          <w:color w:val="000000"/>
          <w:sz w:val="28"/>
          <w:szCs w:val="28"/>
        </w:rPr>
        <w:t xml:space="preserve"> учасник фондового ринку</w:t>
      </w:r>
      <w:r w:rsidR="00A51122">
        <w:rPr>
          <w:color w:val="000000"/>
          <w:sz w:val="28"/>
          <w:szCs w:val="28"/>
        </w:rPr>
        <w:t xml:space="preserve"> (суб</w:t>
      </w:r>
      <w:r w:rsidR="00A51122" w:rsidRPr="00A51122">
        <w:rPr>
          <w:color w:val="000000"/>
          <w:sz w:val="28"/>
          <w:szCs w:val="28"/>
          <w:lang w:val="ru-RU"/>
        </w:rPr>
        <w:t>’єкт подання)</w:t>
      </w:r>
      <w:r w:rsidRPr="007971A1">
        <w:rPr>
          <w:color w:val="000000"/>
          <w:sz w:val="28"/>
          <w:szCs w:val="28"/>
        </w:rPr>
        <w:t xml:space="preserve">, який надає інформацію про програмний продукт (модуль), </w:t>
      </w:r>
      <w:r>
        <w:rPr>
          <w:color w:val="000000"/>
          <w:sz w:val="28"/>
          <w:szCs w:val="28"/>
        </w:rPr>
        <w:t>що</w:t>
      </w:r>
      <w:r w:rsidRPr="007971A1">
        <w:rPr>
          <w:color w:val="000000"/>
          <w:sz w:val="28"/>
          <w:szCs w:val="28"/>
        </w:rPr>
        <w:t xml:space="preserve"> використовує</w:t>
      </w:r>
      <w:r>
        <w:rPr>
          <w:color w:val="000000"/>
          <w:sz w:val="28"/>
          <w:szCs w:val="28"/>
        </w:rPr>
        <w:t>ться</w:t>
      </w:r>
      <w:r w:rsidRPr="007971A1">
        <w:rPr>
          <w:color w:val="000000"/>
          <w:sz w:val="28"/>
          <w:szCs w:val="28"/>
        </w:rPr>
        <w:t xml:space="preserve"> у діяльності на фондовому ринку </w:t>
      </w:r>
      <w:r>
        <w:rPr>
          <w:color w:val="000000"/>
          <w:sz w:val="28"/>
          <w:szCs w:val="28"/>
        </w:rPr>
        <w:t xml:space="preserve">або </w:t>
      </w:r>
      <w:r w:rsidRPr="007971A1">
        <w:rPr>
          <w:color w:val="000000"/>
          <w:sz w:val="28"/>
          <w:szCs w:val="28"/>
        </w:rPr>
        <w:t xml:space="preserve">створив програмний продукт (модуль) для власних потреб </w:t>
      </w:r>
      <w:r>
        <w:rPr>
          <w:color w:val="000000"/>
          <w:sz w:val="28"/>
          <w:szCs w:val="28"/>
        </w:rPr>
        <w:t xml:space="preserve">або для </w:t>
      </w:r>
      <w:r w:rsidRPr="007971A1">
        <w:rPr>
          <w:color w:val="000000"/>
          <w:sz w:val="28"/>
          <w:szCs w:val="28"/>
        </w:rPr>
        <w:t>р</w:t>
      </w:r>
      <w:r w:rsidR="00A51122">
        <w:rPr>
          <w:color w:val="000000"/>
          <w:sz w:val="28"/>
          <w:szCs w:val="28"/>
        </w:rPr>
        <w:t>озповсюдження на фондовому</w:t>
      </w:r>
      <w:r w:rsidR="007A7553">
        <w:rPr>
          <w:color w:val="000000"/>
          <w:sz w:val="28"/>
          <w:szCs w:val="28"/>
        </w:rPr>
        <w:t xml:space="preserve"> ринку</w:t>
      </w:r>
      <w:r w:rsidRPr="007971A1">
        <w:rPr>
          <w:color w:val="000000"/>
          <w:sz w:val="28"/>
          <w:szCs w:val="28"/>
        </w:rPr>
        <w:t>;</w:t>
      </w:r>
      <w:r w:rsidRPr="00A06DB3">
        <w:rPr>
          <w:color w:val="000000"/>
          <w:sz w:val="28"/>
          <w:szCs w:val="28"/>
        </w:rPr>
        <w:t xml:space="preserve"> </w:t>
      </w:r>
    </w:p>
    <w:p w:rsidR="009A678D" w:rsidRPr="00A06DB3" w:rsidRDefault="009A678D" w:rsidP="00A855D7">
      <w:pPr>
        <w:pStyle w:val="rvps2"/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06DB3">
        <w:rPr>
          <w:color w:val="000000"/>
          <w:sz w:val="28"/>
          <w:szCs w:val="28"/>
        </w:rPr>
        <w:lastRenderedPageBreak/>
        <w:t xml:space="preserve">облік програмних продуктів – здійснення </w:t>
      </w:r>
      <w:r w:rsidR="00871D0D">
        <w:rPr>
          <w:color w:val="000000"/>
          <w:sz w:val="28"/>
          <w:szCs w:val="28"/>
        </w:rPr>
        <w:t>К</w:t>
      </w:r>
      <w:r w:rsidRPr="00A06DB3">
        <w:rPr>
          <w:color w:val="000000"/>
          <w:sz w:val="28"/>
          <w:szCs w:val="28"/>
        </w:rPr>
        <w:t>омісією діяльності із збирання та обробки інформації про програмні продукти (модулі), що використовуються на фондовому ринку</w:t>
      </w:r>
      <w:r w:rsidR="00E631EF">
        <w:rPr>
          <w:color w:val="000000"/>
          <w:sz w:val="28"/>
          <w:szCs w:val="28"/>
        </w:rPr>
        <w:t>,</w:t>
      </w:r>
      <w:r w:rsidRPr="00A06DB3">
        <w:rPr>
          <w:color w:val="000000"/>
          <w:sz w:val="28"/>
          <w:szCs w:val="28"/>
        </w:rPr>
        <w:t xml:space="preserve"> на підставі інформації</w:t>
      </w:r>
      <w:r w:rsidR="00E631EF">
        <w:rPr>
          <w:color w:val="000000"/>
          <w:sz w:val="28"/>
          <w:szCs w:val="28"/>
        </w:rPr>
        <w:t>,</w:t>
      </w:r>
      <w:r w:rsidRPr="00A06DB3">
        <w:rPr>
          <w:color w:val="000000"/>
          <w:sz w:val="28"/>
          <w:szCs w:val="28"/>
        </w:rPr>
        <w:t xml:space="preserve"> наданої заявниками та</w:t>
      </w:r>
      <w:r w:rsidR="00E631EF">
        <w:rPr>
          <w:color w:val="000000"/>
          <w:sz w:val="28"/>
          <w:szCs w:val="28"/>
        </w:rPr>
        <w:t>/або отриманої з</w:t>
      </w:r>
      <w:r w:rsidRPr="00A06DB3">
        <w:rPr>
          <w:color w:val="000000"/>
          <w:sz w:val="28"/>
          <w:szCs w:val="28"/>
        </w:rPr>
        <w:t xml:space="preserve"> інших джерел, не заборонених законодавством;</w:t>
      </w:r>
    </w:p>
    <w:p w:rsidR="009A678D" w:rsidRPr="00A06DB3" w:rsidRDefault="009A678D" w:rsidP="00A855D7">
      <w:pPr>
        <w:pStyle w:val="rvps2"/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3" w:name="n20"/>
      <w:bookmarkEnd w:id="3"/>
      <w:r w:rsidRPr="00A06DB3">
        <w:rPr>
          <w:color w:val="000000"/>
          <w:sz w:val="28"/>
          <w:szCs w:val="28"/>
        </w:rPr>
        <w:t xml:space="preserve">розробник програмного продукту (модуля) </w:t>
      </w:r>
      <w:r w:rsidR="00CF5337">
        <w:rPr>
          <w:color w:val="000000"/>
          <w:sz w:val="28"/>
          <w:szCs w:val="28"/>
        </w:rPr>
        <w:t>–</w:t>
      </w:r>
      <w:r w:rsidRPr="00A06DB3">
        <w:rPr>
          <w:color w:val="000000"/>
          <w:sz w:val="28"/>
          <w:szCs w:val="28"/>
        </w:rPr>
        <w:t xml:space="preserve"> юридична особа</w:t>
      </w:r>
      <w:r>
        <w:rPr>
          <w:color w:val="000000"/>
          <w:sz w:val="28"/>
          <w:szCs w:val="28"/>
        </w:rPr>
        <w:t>, фізична особа</w:t>
      </w:r>
      <w:r w:rsidR="00CF53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̶ підприємець</w:t>
      </w:r>
      <w:r w:rsidRPr="00A06DB3">
        <w:rPr>
          <w:color w:val="000000"/>
          <w:sz w:val="28"/>
          <w:szCs w:val="28"/>
        </w:rPr>
        <w:t xml:space="preserve"> або фізична особа, яка створила програмний продукт (модуль), володіє виключним правом на програмний продукт (модуль) (далі </w:t>
      </w:r>
      <w:r w:rsidR="00CF5337">
        <w:rPr>
          <w:color w:val="000000"/>
          <w:sz w:val="28"/>
          <w:szCs w:val="28"/>
        </w:rPr>
        <w:t>–</w:t>
      </w:r>
      <w:r w:rsidRPr="00A06DB3">
        <w:rPr>
          <w:color w:val="000000"/>
          <w:sz w:val="28"/>
          <w:szCs w:val="28"/>
        </w:rPr>
        <w:t xml:space="preserve"> розробник);</w:t>
      </w:r>
    </w:p>
    <w:p w:rsidR="009A678D" w:rsidRPr="00A06DB3" w:rsidRDefault="009A678D" w:rsidP="00A855D7">
      <w:pPr>
        <w:pStyle w:val="rvps2"/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4" w:name="n21"/>
      <w:bookmarkEnd w:id="4"/>
      <w:r w:rsidRPr="00A06DB3">
        <w:rPr>
          <w:color w:val="000000"/>
          <w:sz w:val="28"/>
          <w:szCs w:val="28"/>
        </w:rPr>
        <w:t xml:space="preserve">спеціалізований програмний продукт (модуль спеціалізованого програмного продукту) </w:t>
      </w:r>
      <w:r w:rsidR="00CF5337">
        <w:rPr>
          <w:color w:val="000000"/>
          <w:sz w:val="28"/>
          <w:szCs w:val="28"/>
        </w:rPr>
        <w:t>–</w:t>
      </w:r>
      <w:r w:rsidRPr="00A06DB3">
        <w:rPr>
          <w:color w:val="000000"/>
          <w:sz w:val="28"/>
          <w:szCs w:val="28"/>
        </w:rPr>
        <w:t xml:space="preserve"> програмний продукт (модуль), який створюється із застосуванням засобів розробки програмних продуктів та використовується професійними учасниками на фондовому ринку при здійсненні професійної діяльності, за винятком:</w:t>
      </w:r>
    </w:p>
    <w:p w:rsidR="009A678D" w:rsidRPr="00A06DB3" w:rsidRDefault="009A678D" w:rsidP="00A855D7">
      <w:pPr>
        <w:pStyle w:val="rvps2"/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5" w:name="n22"/>
      <w:bookmarkEnd w:id="5"/>
      <w:r w:rsidRPr="00A06DB3">
        <w:rPr>
          <w:color w:val="000000"/>
          <w:sz w:val="28"/>
          <w:szCs w:val="28"/>
        </w:rPr>
        <w:t>програмного продукту загального користування, який без додаткових змін та доповнень у повному обсязі може використовуватись у діяльності, не пов'язаній з фондовим ринком;</w:t>
      </w:r>
    </w:p>
    <w:p w:rsidR="009A678D" w:rsidRDefault="009A678D" w:rsidP="00A855D7">
      <w:pPr>
        <w:pStyle w:val="rvps2"/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firstLine="567"/>
        <w:jc w:val="both"/>
        <w:rPr>
          <w:color w:val="000000"/>
          <w:sz w:val="28"/>
          <w:szCs w:val="28"/>
        </w:rPr>
      </w:pPr>
      <w:bookmarkStart w:id="6" w:name="n23"/>
      <w:bookmarkEnd w:id="6"/>
      <w:r w:rsidRPr="00A06DB3">
        <w:rPr>
          <w:color w:val="000000"/>
          <w:sz w:val="28"/>
          <w:szCs w:val="28"/>
        </w:rPr>
        <w:t>допоміжного програмного продукту, заміна якого на інший програмний продукт не призведе до порушення професійної діяльності.</w:t>
      </w:r>
    </w:p>
    <w:p w:rsidR="009A678D" w:rsidRDefault="00C40607" w:rsidP="00A855D7">
      <w:pPr>
        <w:pStyle w:val="rvps2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167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7" w:name="n24"/>
      <w:bookmarkEnd w:id="7"/>
      <w:r>
        <w:rPr>
          <w:color w:val="000000"/>
          <w:sz w:val="28"/>
          <w:szCs w:val="28"/>
        </w:rPr>
        <w:t>І</w:t>
      </w:r>
      <w:r w:rsidR="009A678D" w:rsidRPr="00A06DB3">
        <w:rPr>
          <w:color w:val="000000"/>
          <w:sz w:val="28"/>
          <w:szCs w:val="28"/>
        </w:rPr>
        <w:t>нші терміни</w:t>
      </w:r>
      <w:r>
        <w:rPr>
          <w:color w:val="000000"/>
          <w:sz w:val="28"/>
          <w:szCs w:val="28"/>
        </w:rPr>
        <w:t xml:space="preserve"> в цьому Порядку</w:t>
      </w:r>
      <w:r w:rsidR="009A678D" w:rsidRPr="00A06DB3">
        <w:rPr>
          <w:color w:val="000000"/>
          <w:sz w:val="28"/>
          <w:szCs w:val="28"/>
        </w:rPr>
        <w:t xml:space="preserve"> використовуються у значеннях, наведених у Законах </w:t>
      </w:r>
      <w:r w:rsidR="009A678D" w:rsidRPr="009A678D">
        <w:rPr>
          <w:sz w:val="28"/>
          <w:szCs w:val="28"/>
        </w:rPr>
        <w:t xml:space="preserve">України </w:t>
      </w:r>
      <w:hyperlink r:id="rId9" w:tgtFrame="_blank" w:history="1">
        <w:r w:rsidR="009A678D" w:rsidRPr="009A678D">
          <w:rPr>
            <w:rStyle w:val="ab"/>
            <w:color w:val="auto"/>
            <w:sz w:val="28"/>
            <w:szCs w:val="28"/>
            <w:u w:val="none"/>
          </w:rPr>
          <w:t>«Про цінні папери та фондовий ринок»</w:t>
        </w:r>
      </w:hyperlink>
      <w:r w:rsidR="009A678D" w:rsidRPr="009A678D">
        <w:rPr>
          <w:sz w:val="28"/>
          <w:szCs w:val="28"/>
        </w:rPr>
        <w:t xml:space="preserve">, </w:t>
      </w:r>
      <w:hyperlink r:id="rId10" w:tgtFrame="_blank" w:history="1">
        <w:r w:rsidR="009A678D" w:rsidRPr="009A678D">
          <w:rPr>
            <w:rStyle w:val="ab"/>
            <w:color w:val="auto"/>
            <w:sz w:val="28"/>
            <w:szCs w:val="28"/>
            <w:u w:val="none"/>
          </w:rPr>
          <w:t>«Про авторське право і суміжні права»</w:t>
        </w:r>
      </w:hyperlink>
      <w:r w:rsidR="009A678D" w:rsidRPr="009A678D">
        <w:rPr>
          <w:sz w:val="28"/>
          <w:szCs w:val="28"/>
        </w:rPr>
        <w:t>,</w:t>
      </w:r>
      <w:r w:rsidR="006F1CF7">
        <w:rPr>
          <w:sz w:val="28"/>
          <w:szCs w:val="28"/>
        </w:rPr>
        <w:t xml:space="preserve"> Положенні про подання адміністративних даних та інформації у вигляді електронних документів до Національної комісії з цінних паперів та фондового ринку, затвердженого рішенням </w:t>
      </w:r>
      <w:r w:rsidR="000653D2">
        <w:rPr>
          <w:sz w:val="28"/>
          <w:szCs w:val="28"/>
        </w:rPr>
        <w:t>К</w:t>
      </w:r>
      <w:r w:rsidR="006F1CF7">
        <w:rPr>
          <w:sz w:val="28"/>
          <w:szCs w:val="28"/>
        </w:rPr>
        <w:t>омісії від 13 травня 2011</w:t>
      </w:r>
      <w:r w:rsidR="009F6055">
        <w:rPr>
          <w:sz w:val="28"/>
          <w:szCs w:val="28"/>
        </w:rPr>
        <w:t xml:space="preserve"> </w:t>
      </w:r>
      <w:r w:rsidR="006F1CF7">
        <w:rPr>
          <w:sz w:val="28"/>
          <w:szCs w:val="28"/>
        </w:rPr>
        <w:t>року № 492, зареєстрованого в Міністерстві юстиції України 25 червня 2011 року за № 789/19527</w:t>
      </w:r>
      <w:r w:rsidR="001C5A1B">
        <w:rPr>
          <w:sz w:val="28"/>
          <w:szCs w:val="28"/>
        </w:rPr>
        <w:t xml:space="preserve"> (далі – Положення про подання адміністративних даних</w:t>
      </w:r>
      <w:r w:rsidR="00215FAA">
        <w:rPr>
          <w:sz w:val="28"/>
          <w:szCs w:val="28"/>
        </w:rPr>
        <w:t xml:space="preserve"> та інформації</w:t>
      </w:r>
      <w:r w:rsidR="001C5A1B">
        <w:rPr>
          <w:sz w:val="28"/>
          <w:szCs w:val="28"/>
        </w:rPr>
        <w:t>),</w:t>
      </w:r>
      <w:r w:rsidR="009A678D" w:rsidRPr="009A678D">
        <w:rPr>
          <w:sz w:val="28"/>
          <w:szCs w:val="28"/>
        </w:rPr>
        <w:t xml:space="preserve"> </w:t>
      </w:r>
      <w:hyperlink r:id="rId11" w:anchor="n17" w:tgtFrame="_blank" w:history="1">
        <w:r w:rsidR="009A678D" w:rsidRPr="009A678D">
          <w:rPr>
            <w:rStyle w:val="ab"/>
            <w:color w:val="auto"/>
            <w:sz w:val="28"/>
            <w:szCs w:val="28"/>
            <w:u w:val="none"/>
          </w:rPr>
          <w:t>Вимогах до програмних продуктів</w:t>
        </w:r>
      </w:hyperlink>
      <w:r w:rsidR="009A678D" w:rsidRPr="004B144A">
        <w:rPr>
          <w:sz w:val="28"/>
          <w:szCs w:val="28"/>
        </w:rPr>
        <w:t>,</w:t>
      </w:r>
      <w:r w:rsidR="009A678D" w:rsidRPr="00A06DB3">
        <w:rPr>
          <w:color w:val="000000"/>
          <w:sz w:val="28"/>
          <w:szCs w:val="28"/>
        </w:rPr>
        <w:t xml:space="preserve"> які використовуються на фондовому ринку, та програмного забезпечення автоматизованих, інформаційних та інформаційно-телекомунікаційних систем, </w:t>
      </w:r>
      <w:r w:rsidR="009A678D" w:rsidRPr="00A06DB3">
        <w:rPr>
          <w:color w:val="000000"/>
          <w:sz w:val="28"/>
          <w:szCs w:val="28"/>
        </w:rPr>
        <w:lastRenderedPageBreak/>
        <w:t xml:space="preserve">призначених для здійснення професійної діяльності на фондовому ринку, депозитарної діяльності Центрального депозитарію цінних паперів, затверджених рішенням </w:t>
      </w:r>
      <w:r w:rsidR="006F1CF7">
        <w:rPr>
          <w:color w:val="000000"/>
          <w:sz w:val="28"/>
          <w:szCs w:val="28"/>
        </w:rPr>
        <w:t>К</w:t>
      </w:r>
      <w:r w:rsidR="009A678D" w:rsidRPr="00A06DB3">
        <w:rPr>
          <w:color w:val="000000"/>
          <w:sz w:val="28"/>
          <w:szCs w:val="28"/>
        </w:rPr>
        <w:t xml:space="preserve">омісії від 02 жовтня 2012 року № 1342, зареєстрованих в Міністерстві юстиції України 19 жовтня 2012 року за №1760/22072 (далі </w:t>
      </w:r>
      <w:r w:rsidR="009A678D">
        <w:rPr>
          <w:color w:val="000000"/>
          <w:sz w:val="28"/>
          <w:szCs w:val="28"/>
        </w:rPr>
        <w:t>–</w:t>
      </w:r>
      <w:r w:rsidR="009A678D" w:rsidRPr="00A06DB3">
        <w:rPr>
          <w:color w:val="000000"/>
          <w:sz w:val="28"/>
          <w:szCs w:val="28"/>
        </w:rPr>
        <w:t xml:space="preserve"> Вимоги).</w:t>
      </w:r>
    </w:p>
    <w:p w:rsidR="009A678D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color w:val="000000"/>
          <w:sz w:val="28"/>
          <w:szCs w:val="28"/>
        </w:rPr>
      </w:pPr>
      <w:bookmarkStart w:id="8" w:name="n25"/>
      <w:bookmarkStart w:id="9" w:name="n26"/>
      <w:bookmarkStart w:id="10" w:name="n27"/>
      <w:bookmarkStart w:id="11" w:name="n29"/>
      <w:bookmarkEnd w:id="8"/>
      <w:bookmarkEnd w:id="9"/>
      <w:bookmarkEnd w:id="10"/>
      <w:bookmarkEnd w:id="11"/>
      <w:r w:rsidRPr="00A06DB3">
        <w:rPr>
          <w:color w:val="000000"/>
          <w:sz w:val="28"/>
          <w:szCs w:val="28"/>
        </w:rPr>
        <w:t xml:space="preserve">Учасник фондового ринку, крім професійного учасника фондового ринку, який </w:t>
      </w:r>
      <w:r w:rsidR="0054134A" w:rsidRPr="00A06DB3">
        <w:rPr>
          <w:color w:val="000000"/>
          <w:sz w:val="28"/>
          <w:szCs w:val="28"/>
        </w:rPr>
        <w:t>створив програмний продукт (модуль) для використання на фондовому ринку</w:t>
      </w:r>
      <w:r w:rsidR="0054134A">
        <w:rPr>
          <w:color w:val="000000"/>
          <w:sz w:val="28"/>
          <w:szCs w:val="28"/>
        </w:rPr>
        <w:t xml:space="preserve"> </w:t>
      </w:r>
      <w:r w:rsidR="0054134A" w:rsidRPr="002B3177">
        <w:rPr>
          <w:color w:val="000000"/>
          <w:sz w:val="28"/>
          <w:szCs w:val="28"/>
          <w:lang w:val="ru-RU"/>
        </w:rPr>
        <w:t>та/</w:t>
      </w:r>
      <w:r w:rsidR="0054134A">
        <w:rPr>
          <w:color w:val="000000"/>
          <w:sz w:val="28"/>
          <w:szCs w:val="28"/>
        </w:rPr>
        <w:t xml:space="preserve">або </w:t>
      </w:r>
      <w:r>
        <w:rPr>
          <w:color w:val="000000"/>
          <w:sz w:val="28"/>
          <w:szCs w:val="28"/>
        </w:rPr>
        <w:t>використовує</w:t>
      </w:r>
      <w:r>
        <w:rPr>
          <w:color w:val="000000"/>
          <w:sz w:val="28"/>
          <w:szCs w:val="28"/>
          <w:lang w:val="ru-RU"/>
        </w:rPr>
        <w:t>,</w:t>
      </w:r>
      <w:r w:rsidRPr="00A06DB3">
        <w:rPr>
          <w:color w:val="000000"/>
          <w:sz w:val="28"/>
          <w:szCs w:val="28"/>
        </w:rPr>
        <w:t xml:space="preserve"> надає</w:t>
      </w:r>
      <w:r w:rsidR="002B3177">
        <w:rPr>
          <w:color w:val="000000"/>
          <w:sz w:val="28"/>
          <w:szCs w:val="28"/>
        </w:rPr>
        <w:t xml:space="preserve"> Комісії</w:t>
      </w:r>
      <w:r w:rsidRPr="00A06DB3">
        <w:rPr>
          <w:color w:val="000000"/>
          <w:sz w:val="28"/>
          <w:szCs w:val="28"/>
        </w:rPr>
        <w:t xml:space="preserve"> інформацію</w:t>
      </w:r>
      <w:r w:rsidR="002B3177">
        <w:rPr>
          <w:color w:val="000000"/>
          <w:sz w:val="28"/>
          <w:szCs w:val="28"/>
        </w:rPr>
        <w:t xml:space="preserve"> про такий програмний продукт (модуль)</w:t>
      </w:r>
      <w:r w:rsidRPr="00A06DB3">
        <w:rPr>
          <w:color w:val="000000"/>
          <w:sz w:val="28"/>
          <w:szCs w:val="28"/>
        </w:rPr>
        <w:t xml:space="preserve"> за своєю згодою</w:t>
      </w:r>
      <w:r w:rsidR="0054134A">
        <w:rPr>
          <w:color w:val="000000"/>
          <w:sz w:val="28"/>
          <w:szCs w:val="28"/>
        </w:rPr>
        <w:t>.</w:t>
      </w:r>
    </w:p>
    <w:p w:rsidR="009A678D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1B3393">
        <w:rPr>
          <w:rFonts w:eastAsia="Times New Roman"/>
          <w:color w:val="000000"/>
          <w:sz w:val="28"/>
          <w:szCs w:val="28"/>
          <w:lang w:eastAsia="uk-UA"/>
        </w:rPr>
        <w:t xml:space="preserve">Професійний учасник фондового ринку, який створив спеціалізований програмний продукт (модуль спеціалізованого програмного продукту) (далі –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С</w:t>
      </w:r>
      <w:r w:rsidRPr="001B3393">
        <w:rPr>
          <w:rFonts w:eastAsia="Times New Roman"/>
          <w:color w:val="000000"/>
          <w:sz w:val="28"/>
          <w:szCs w:val="28"/>
          <w:lang w:eastAsia="uk-UA"/>
        </w:rPr>
        <w:t xml:space="preserve">ПП (модуль СПП) або придбав майнові права на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С</w:t>
      </w:r>
      <w:r w:rsidRPr="001B3393">
        <w:rPr>
          <w:rFonts w:eastAsia="Times New Roman"/>
          <w:color w:val="000000"/>
          <w:sz w:val="28"/>
          <w:szCs w:val="28"/>
          <w:lang w:eastAsia="uk-UA"/>
        </w:rPr>
        <w:t xml:space="preserve">ПП (модуль СПП), або має права на використання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С</w:t>
      </w:r>
      <w:r w:rsidRPr="001B3393">
        <w:rPr>
          <w:rFonts w:eastAsia="Times New Roman"/>
          <w:color w:val="000000"/>
          <w:sz w:val="28"/>
          <w:szCs w:val="28"/>
          <w:lang w:eastAsia="uk-UA"/>
        </w:rPr>
        <w:t>ПП (модуля СПП) та/або використовує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 xml:space="preserve"> СПП (модуль СПП)</w:t>
      </w:r>
      <w:r w:rsidRPr="001B3393">
        <w:rPr>
          <w:rFonts w:eastAsia="Times New Roman"/>
          <w:color w:val="000000"/>
          <w:sz w:val="28"/>
          <w:szCs w:val="28"/>
          <w:lang w:eastAsia="uk-UA"/>
        </w:rPr>
        <w:t xml:space="preserve"> для провадження професійної діяльності, надає інформацію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 xml:space="preserve"> до Комісії про</w:t>
      </w:r>
      <w:r w:rsidRPr="001B3393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такий</w:t>
      </w:r>
      <w:r w:rsidRPr="001B3393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С</w:t>
      </w:r>
      <w:r w:rsidR="00871D0D">
        <w:rPr>
          <w:rFonts w:eastAsia="Times New Roman"/>
          <w:color w:val="000000"/>
          <w:sz w:val="28"/>
          <w:szCs w:val="28"/>
          <w:lang w:eastAsia="uk-UA"/>
        </w:rPr>
        <w:t>ПП (модуль СПП)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.</w:t>
      </w:r>
    </w:p>
    <w:p w:rsidR="009A678D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A06DB3">
        <w:rPr>
          <w:rFonts w:eastAsia="Times New Roman"/>
          <w:color w:val="000000"/>
          <w:sz w:val="28"/>
          <w:szCs w:val="28"/>
          <w:lang w:eastAsia="uk-UA"/>
        </w:rPr>
        <w:t xml:space="preserve">У разі внесення 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суттєвих функціональних </w:t>
      </w:r>
      <w:r w:rsidRPr="00A06DB3">
        <w:rPr>
          <w:rFonts w:eastAsia="Times New Roman"/>
          <w:color w:val="000000"/>
          <w:sz w:val="28"/>
          <w:szCs w:val="28"/>
          <w:lang w:eastAsia="uk-UA"/>
        </w:rPr>
        <w:t xml:space="preserve">змін до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>С</w:t>
      </w:r>
      <w:r w:rsidRPr="00A06DB3">
        <w:rPr>
          <w:rFonts w:eastAsia="Times New Roman"/>
          <w:color w:val="000000"/>
          <w:sz w:val="28"/>
          <w:szCs w:val="28"/>
          <w:lang w:eastAsia="uk-UA"/>
        </w:rPr>
        <w:t>ПП (модуля СПП)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 (впровадження нових версій)</w:t>
      </w:r>
      <w:r w:rsidRPr="00A06DB3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 xml:space="preserve">подана до Комісії </w:t>
      </w:r>
      <w:r w:rsidRPr="00A06DB3">
        <w:rPr>
          <w:rFonts w:eastAsia="Times New Roman"/>
          <w:color w:val="000000"/>
          <w:sz w:val="28"/>
          <w:szCs w:val="28"/>
          <w:lang w:eastAsia="uk-UA"/>
        </w:rPr>
        <w:t xml:space="preserve">інформація 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 xml:space="preserve">про </w:t>
      </w:r>
      <w:r w:rsidR="00CD3FC5">
        <w:rPr>
          <w:rFonts w:eastAsia="Times New Roman"/>
          <w:color w:val="000000"/>
          <w:sz w:val="28"/>
          <w:szCs w:val="28"/>
          <w:lang w:eastAsia="uk-UA"/>
        </w:rPr>
        <w:t>відповідний</w:t>
      </w:r>
      <w:r w:rsidR="00E72EE6">
        <w:rPr>
          <w:rFonts w:eastAsia="Times New Roman"/>
          <w:color w:val="000000"/>
          <w:sz w:val="28"/>
          <w:szCs w:val="28"/>
          <w:lang w:eastAsia="uk-UA"/>
        </w:rPr>
        <w:t xml:space="preserve"> СПП (модуль СПП) </w:t>
      </w:r>
      <w:r w:rsidRPr="00A06DB3">
        <w:rPr>
          <w:rFonts w:eastAsia="Times New Roman"/>
          <w:color w:val="000000"/>
          <w:sz w:val="28"/>
          <w:szCs w:val="28"/>
          <w:lang w:eastAsia="uk-UA"/>
        </w:rPr>
        <w:t>підлягає оновленню протягом календ</w:t>
      </w:r>
      <w:r w:rsidR="00CD3FC5">
        <w:rPr>
          <w:rFonts w:eastAsia="Times New Roman"/>
          <w:color w:val="000000"/>
          <w:sz w:val="28"/>
          <w:szCs w:val="28"/>
          <w:lang w:eastAsia="uk-UA"/>
        </w:rPr>
        <w:t>арного місяця з моменту настання таких змін</w:t>
      </w:r>
      <w:r w:rsidRPr="00A06DB3">
        <w:rPr>
          <w:rFonts w:eastAsia="Times New Roman"/>
          <w:color w:val="000000"/>
          <w:sz w:val="28"/>
          <w:szCs w:val="28"/>
          <w:lang w:eastAsia="uk-UA"/>
        </w:rPr>
        <w:t>.</w:t>
      </w:r>
    </w:p>
    <w:p w:rsidR="00B212A9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sz w:val="28"/>
          <w:szCs w:val="28"/>
        </w:rPr>
      </w:pPr>
      <w:r w:rsidRPr="00CC30B9">
        <w:rPr>
          <w:sz w:val="28"/>
          <w:szCs w:val="28"/>
        </w:rPr>
        <w:t>Інформація про програмний продукт (модуль),</w:t>
      </w:r>
      <w:r w:rsidR="00CD3FC5">
        <w:rPr>
          <w:sz w:val="28"/>
          <w:szCs w:val="28"/>
        </w:rPr>
        <w:t xml:space="preserve"> у тому числі</w:t>
      </w:r>
      <w:r w:rsidRPr="00CC30B9">
        <w:rPr>
          <w:sz w:val="28"/>
          <w:szCs w:val="28"/>
        </w:rPr>
        <w:t xml:space="preserve"> </w:t>
      </w:r>
      <w:r w:rsidR="00CD3FC5">
        <w:rPr>
          <w:sz w:val="28"/>
          <w:szCs w:val="28"/>
        </w:rPr>
        <w:t>С</w:t>
      </w:r>
      <w:r w:rsidRPr="00CC30B9">
        <w:rPr>
          <w:sz w:val="28"/>
          <w:szCs w:val="28"/>
        </w:rPr>
        <w:t>ПП (модуль СПП)</w:t>
      </w:r>
      <w:r w:rsidR="001C5A1B">
        <w:rPr>
          <w:sz w:val="28"/>
          <w:szCs w:val="28"/>
        </w:rPr>
        <w:t>,</w:t>
      </w:r>
      <w:r w:rsidRPr="00CC30B9">
        <w:rPr>
          <w:sz w:val="28"/>
          <w:szCs w:val="28"/>
        </w:rPr>
        <w:t xml:space="preserve"> (дал</w:t>
      </w:r>
      <w:r w:rsidR="008650ED">
        <w:rPr>
          <w:sz w:val="28"/>
          <w:szCs w:val="28"/>
        </w:rPr>
        <w:t>і – програмний продукт (модуль)</w:t>
      </w:r>
      <w:r w:rsidRPr="00CC30B9">
        <w:rPr>
          <w:sz w:val="28"/>
          <w:szCs w:val="28"/>
        </w:rPr>
        <w:t xml:space="preserve"> подається до К</w:t>
      </w:r>
      <w:r>
        <w:rPr>
          <w:sz w:val="28"/>
          <w:szCs w:val="28"/>
        </w:rPr>
        <w:t>омісії</w:t>
      </w:r>
      <w:r w:rsidRPr="00CC30B9">
        <w:rPr>
          <w:sz w:val="28"/>
          <w:szCs w:val="28"/>
        </w:rPr>
        <w:t xml:space="preserve"> в електронній формі у </w:t>
      </w:r>
      <w:r w:rsidR="00323534">
        <w:rPr>
          <w:sz w:val="28"/>
          <w:szCs w:val="28"/>
        </w:rPr>
        <w:t>вигляді електронного документа</w:t>
      </w:r>
      <w:r w:rsidR="00612E06">
        <w:rPr>
          <w:sz w:val="28"/>
          <w:szCs w:val="28"/>
        </w:rPr>
        <w:t xml:space="preserve"> </w:t>
      </w:r>
      <w:r w:rsidR="002D602D">
        <w:rPr>
          <w:sz w:val="28"/>
          <w:szCs w:val="28"/>
        </w:rPr>
        <w:t xml:space="preserve">відповідно до </w:t>
      </w:r>
      <w:r w:rsidR="00CD7876">
        <w:rPr>
          <w:sz w:val="28"/>
          <w:szCs w:val="28"/>
        </w:rPr>
        <w:t>Положенн</w:t>
      </w:r>
      <w:r w:rsidR="002D602D">
        <w:rPr>
          <w:sz w:val="28"/>
          <w:szCs w:val="28"/>
        </w:rPr>
        <w:t>я</w:t>
      </w:r>
      <w:r w:rsidR="00CD7876">
        <w:rPr>
          <w:sz w:val="28"/>
          <w:szCs w:val="28"/>
        </w:rPr>
        <w:t xml:space="preserve"> про подання адміністративних даних та інформації.</w:t>
      </w:r>
      <w:r w:rsidR="00B212A9">
        <w:rPr>
          <w:sz w:val="28"/>
          <w:szCs w:val="28"/>
        </w:rPr>
        <w:tab/>
      </w:r>
    </w:p>
    <w:p w:rsidR="009A678D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sz w:val="28"/>
          <w:szCs w:val="28"/>
        </w:rPr>
      </w:pPr>
      <w:r w:rsidRPr="002E640F">
        <w:rPr>
          <w:sz w:val="28"/>
          <w:szCs w:val="28"/>
        </w:rPr>
        <w:t xml:space="preserve">Подання інформації про декілька програмних продуктів (модулів) одним заявником здійснюється за схемою, наведеною у </w:t>
      </w:r>
      <w:r w:rsidR="00546E23">
        <w:rPr>
          <w:sz w:val="28"/>
          <w:szCs w:val="28"/>
        </w:rPr>
        <w:t>пункті 1</w:t>
      </w:r>
      <w:r w:rsidR="00AF79F3">
        <w:rPr>
          <w:sz w:val="28"/>
          <w:szCs w:val="28"/>
        </w:rPr>
        <w:t>5</w:t>
      </w:r>
      <w:r w:rsidR="009F6055">
        <w:rPr>
          <w:sz w:val="28"/>
          <w:szCs w:val="28"/>
        </w:rPr>
        <w:t xml:space="preserve"> цього</w:t>
      </w:r>
      <w:r w:rsidR="004243F2" w:rsidRPr="002E640F">
        <w:rPr>
          <w:sz w:val="28"/>
          <w:szCs w:val="28"/>
        </w:rPr>
        <w:t xml:space="preserve"> </w:t>
      </w:r>
      <w:r w:rsidRPr="002E640F">
        <w:rPr>
          <w:sz w:val="28"/>
          <w:szCs w:val="28"/>
        </w:rPr>
        <w:t xml:space="preserve">Порядку, із зазначенням переліку відомостей про назви програмних продуктів (модулів), їх розробників, відомостей по кожному програмному продукту (модулю). </w:t>
      </w:r>
    </w:p>
    <w:p w:rsidR="009A678D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sz w:val="28"/>
          <w:szCs w:val="28"/>
        </w:rPr>
      </w:pPr>
      <w:r w:rsidRPr="002E640F">
        <w:rPr>
          <w:sz w:val="28"/>
          <w:szCs w:val="28"/>
        </w:rPr>
        <w:lastRenderedPageBreak/>
        <w:t xml:space="preserve">Інформація складається відповідно до опису розділів та схем XML файлів, визначених окремим документом Комісії нормативно-технічного характеру. </w:t>
      </w:r>
    </w:p>
    <w:p w:rsidR="009A678D" w:rsidRDefault="009A678D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D5A32">
        <w:rPr>
          <w:rFonts w:eastAsia="Times New Roman"/>
          <w:sz w:val="28"/>
          <w:szCs w:val="28"/>
          <w:lang w:eastAsia="ru-RU"/>
        </w:rPr>
        <w:t>Ініціатором надання оновленої інформації про програмний продукт (модуль) є заявник.</w:t>
      </w:r>
      <w:r w:rsidR="001D5A32">
        <w:rPr>
          <w:rFonts w:eastAsia="Times New Roman"/>
          <w:sz w:val="28"/>
          <w:szCs w:val="28"/>
          <w:lang w:eastAsia="ru-RU"/>
        </w:rPr>
        <w:t xml:space="preserve"> </w:t>
      </w:r>
    </w:p>
    <w:p w:rsidR="009A678D" w:rsidRDefault="009A678D" w:rsidP="00A855D7">
      <w:pPr>
        <w:numPr>
          <w:ilvl w:val="0"/>
          <w:numId w:val="17"/>
        </w:numPr>
        <w:tabs>
          <w:tab w:val="left" w:pos="1134"/>
        </w:tabs>
        <w:spacing w:after="167" w:line="360" w:lineRule="auto"/>
        <w:ind w:left="0" w:firstLine="567"/>
        <w:jc w:val="both"/>
        <w:rPr>
          <w:bCs/>
          <w:sz w:val="28"/>
          <w:szCs w:val="28"/>
        </w:rPr>
      </w:pPr>
      <w:r w:rsidRPr="00B94649">
        <w:rPr>
          <w:bCs/>
          <w:sz w:val="28"/>
          <w:szCs w:val="28"/>
        </w:rPr>
        <w:t>У разі</w:t>
      </w:r>
      <w:r>
        <w:rPr>
          <w:bCs/>
          <w:sz w:val="28"/>
          <w:szCs w:val="28"/>
        </w:rPr>
        <w:t xml:space="preserve"> внесення суттєвих змін,</w:t>
      </w:r>
      <w:r w:rsidRPr="00B94649">
        <w:rPr>
          <w:bCs/>
          <w:sz w:val="28"/>
          <w:szCs w:val="28"/>
        </w:rPr>
        <w:t xml:space="preserve"> розроблення оновленої версії</w:t>
      </w:r>
      <w:r>
        <w:rPr>
          <w:bCs/>
          <w:sz w:val="28"/>
          <w:szCs w:val="28"/>
        </w:rPr>
        <w:t xml:space="preserve"> або впровадження нового програмного продукту (модуля) на заміну, тощо, щодо якого подавалась інформація раніше, </w:t>
      </w:r>
      <w:r w:rsidRPr="00B94649">
        <w:rPr>
          <w:bCs/>
          <w:sz w:val="28"/>
          <w:szCs w:val="28"/>
        </w:rPr>
        <w:t>заявник</w:t>
      </w:r>
      <w:r>
        <w:rPr>
          <w:bCs/>
          <w:sz w:val="28"/>
          <w:szCs w:val="28"/>
        </w:rPr>
        <w:t xml:space="preserve"> </w:t>
      </w:r>
      <w:r w:rsidRPr="00B94649">
        <w:rPr>
          <w:bCs/>
          <w:sz w:val="28"/>
          <w:szCs w:val="28"/>
        </w:rPr>
        <w:t xml:space="preserve">надає </w:t>
      </w:r>
      <w:r>
        <w:rPr>
          <w:bCs/>
          <w:sz w:val="28"/>
          <w:szCs w:val="28"/>
        </w:rPr>
        <w:t xml:space="preserve">Комісію </w:t>
      </w:r>
      <w:r w:rsidRPr="00B94649">
        <w:rPr>
          <w:bCs/>
          <w:sz w:val="28"/>
          <w:szCs w:val="28"/>
        </w:rPr>
        <w:t xml:space="preserve">інформацію </w:t>
      </w:r>
      <w:r>
        <w:rPr>
          <w:bCs/>
          <w:sz w:val="28"/>
          <w:szCs w:val="28"/>
        </w:rPr>
        <w:t xml:space="preserve">протягом календарного </w:t>
      </w:r>
      <w:r w:rsidRPr="00B94649">
        <w:rPr>
          <w:bCs/>
          <w:sz w:val="28"/>
          <w:szCs w:val="28"/>
        </w:rPr>
        <w:t>місяц</w:t>
      </w:r>
      <w:r>
        <w:rPr>
          <w:bCs/>
          <w:sz w:val="28"/>
          <w:szCs w:val="28"/>
        </w:rPr>
        <w:t>я</w:t>
      </w:r>
      <w:r w:rsidRPr="00B946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B94649">
        <w:rPr>
          <w:bCs/>
          <w:sz w:val="28"/>
          <w:szCs w:val="28"/>
        </w:rPr>
        <w:t xml:space="preserve"> початку </w:t>
      </w:r>
      <w:r>
        <w:rPr>
          <w:bCs/>
          <w:sz w:val="28"/>
          <w:szCs w:val="28"/>
        </w:rPr>
        <w:t>впровадження (</w:t>
      </w:r>
      <w:r w:rsidRPr="00B94649">
        <w:rPr>
          <w:bCs/>
          <w:sz w:val="28"/>
          <w:szCs w:val="28"/>
        </w:rPr>
        <w:t>розповсюдження</w:t>
      </w:r>
      <w:r>
        <w:rPr>
          <w:bCs/>
          <w:sz w:val="28"/>
          <w:szCs w:val="28"/>
        </w:rPr>
        <w:t>)</w:t>
      </w:r>
      <w:r w:rsidRPr="00B94649">
        <w:rPr>
          <w:bCs/>
          <w:sz w:val="28"/>
          <w:szCs w:val="28"/>
        </w:rPr>
        <w:t xml:space="preserve"> програмного продукту (модуля).</w:t>
      </w:r>
      <w:r>
        <w:rPr>
          <w:bCs/>
          <w:sz w:val="28"/>
          <w:szCs w:val="28"/>
        </w:rPr>
        <w:t xml:space="preserve"> </w:t>
      </w:r>
    </w:p>
    <w:p w:rsidR="009A678D" w:rsidRDefault="009A678D" w:rsidP="00A855D7">
      <w:pPr>
        <w:numPr>
          <w:ilvl w:val="0"/>
          <w:numId w:val="17"/>
        </w:numPr>
        <w:tabs>
          <w:tab w:val="left" w:pos="1134"/>
        </w:tabs>
        <w:spacing w:after="167"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 подається заявником до центрального апарату Комісії у вигляді електронного документа відповідно до вимог</w:t>
      </w:r>
      <w:r w:rsidR="005F0258">
        <w:rPr>
          <w:bCs/>
          <w:sz w:val="28"/>
          <w:szCs w:val="28"/>
        </w:rPr>
        <w:t xml:space="preserve"> пункту </w:t>
      </w:r>
      <w:r w:rsidR="00AF79F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цього Порядку. </w:t>
      </w:r>
    </w:p>
    <w:p w:rsidR="009A678D" w:rsidRDefault="009A678D" w:rsidP="00A855D7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Опрацювання оновленої інформації здійснюється протягом двох робочих днів з моменту отримання електронного документа Комісією.</w:t>
      </w:r>
    </w:p>
    <w:p w:rsidR="00796F2C" w:rsidRDefault="00796F2C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bCs/>
          <w:sz w:val="28"/>
          <w:szCs w:val="28"/>
        </w:rPr>
      </w:pPr>
      <w:r w:rsidRPr="002E640F">
        <w:rPr>
          <w:bCs/>
          <w:sz w:val="28"/>
          <w:szCs w:val="28"/>
        </w:rPr>
        <w:t>Ведення обліку здійснюється Комісією в еле</w:t>
      </w:r>
      <w:r w:rsidR="00023C6F">
        <w:rPr>
          <w:bCs/>
          <w:sz w:val="28"/>
          <w:szCs w:val="28"/>
        </w:rPr>
        <w:t>ктронному вигляді. Інформація для</w:t>
      </w:r>
      <w:r w:rsidRPr="002E640F">
        <w:rPr>
          <w:bCs/>
          <w:sz w:val="28"/>
          <w:szCs w:val="28"/>
        </w:rPr>
        <w:t xml:space="preserve"> обліку вноситься Комісією протягом двох наступних робочих днів з дати отримання </w:t>
      </w:r>
      <w:r w:rsidRPr="002E640F">
        <w:rPr>
          <w:sz w:val="28"/>
          <w:szCs w:val="28"/>
        </w:rPr>
        <w:t>електронного документа</w:t>
      </w:r>
      <w:r w:rsidRPr="002E64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96F2C" w:rsidRPr="0006307A" w:rsidRDefault="00796F2C" w:rsidP="00A855D7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167" w:line="360" w:lineRule="auto"/>
        <w:ind w:left="0" w:firstLine="567"/>
        <w:jc w:val="both"/>
        <w:rPr>
          <w:bCs/>
          <w:sz w:val="28"/>
          <w:szCs w:val="28"/>
        </w:rPr>
      </w:pPr>
      <w:r w:rsidRPr="0006307A">
        <w:rPr>
          <w:bCs/>
          <w:sz w:val="28"/>
          <w:szCs w:val="28"/>
        </w:rPr>
        <w:t>Інформація про програмний продукт модуль:</w:t>
      </w:r>
    </w:p>
    <w:p w:rsidR="009A678D" w:rsidRDefault="0016288C" w:rsidP="00A855D7">
      <w:pPr>
        <w:pStyle w:val="aa"/>
        <w:numPr>
          <w:ilvl w:val="0"/>
          <w:numId w:val="18"/>
        </w:numPr>
        <w:tabs>
          <w:tab w:val="left" w:pos="567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678D" w:rsidRPr="001F0865">
        <w:rPr>
          <w:sz w:val="28"/>
          <w:szCs w:val="28"/>
        </w:rPr>
        <w:t>агальні відомості про заявника (найменування юридичної особи, код за ЄДР</w:t>
      </w:r>
      <w:r w:rsidR="009A678D">
        <w:rPr>
          <w:sz w:val="28"/>
          <w:szCs w:val="28"/>
        </w:rPr>
        <w:t>ПО</w:t>
      </w:r>
      <w:r w:rsidR="009A678D" w:rsidRPr="001F0865">
        <w:rPr>
          <w:sz w:val="28"/>
          <w:szCs w:val="28"/>
        </w:rPr>
        <w:t>, місцезнаходження</w:t>
      </w:r>
      <w:r w:rsidR="009A678D">
        <w:rPr>
          <w:sz w:val="28"/>
          <w:szCs w:val="28"/>
        </w:rPr>
        <w:t>,</w:t>
      </w:r>
      <w:r w:rsidR="009A678D" w:rsidRPr="001F0865">
        <w:rPr>
          <w:sz w:val="28"/>
          <w:szCs w:val="28"/>
        </w:rPr>
        <w:t xml:space="preserve"> контактні дані</w:t>
      </w:r>
      <w:r w:rsidR="009A678D">
        <w:rPr>
          <w:sz w:val="28"/>
          <w:szCs w:val="28"/>
        </w:rPr>
        <w:t>, види професійної діяльності на фондовому ринку та інша інформація, яку заявник вважає за потрібне додати про себе), перелік програмних продуктів (модулів), щодо яких надається інформація заявником</w:t>
      </w:r>
      <w:r w:rsidR="009A678D" w:rsidRPr="001F0865">
        <w:rPr>
          <w:sz w:val="28"/>
          <w:szCs w:val="28"/>
        </w:rPr>
        <w:t>.</w:t>
      </w:r>
    </w:p>
    <w:p w:rsidR="009A678D" w:rsidRDefault="009A678D" w:rsidP="00A855D7">
      <w:pPr>
        <w:pStyle w:val="aa"/>
        <w:tabs>
          <w:tab w:val="left" w:pos="567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0261B7">
        <w:rPr>
          <w:bCs/>
          <w:sz w:val="28"/>
          <w:szCs w:val="28"/>
        </w:rPr>
        <w:t>У разі наявності</w:t>
      </w:r>
      <w:r w:rsidR="00023C6F">
        <w:rPr>
          <w:bCs/>
          <w:sz w:val="28"/>
          <w:szCs w:val="28"/>
        </w:rPr>
        <w:t xml:space="preserve"> у заявника</w:t>
      </w:r>
      <w:r w:rsidRPr="000261B7">
        <w:rPr>
          <w:bCs/>
          <w:sz w:val="28"/>
          <w:szCs w:val="28"/>
        </w:rPr>
        <w:t xml:space="preserve"> інформації, яка необхідна для повного і всебічного розуміння конкретних умов </w:t>
      </w:r>
      <w:r>
        <w:rPr>
          <w:bCs/>
          <w:sz w:val="28"/>
          <w:szCs w:val="28"/>
        </w:rPr>
        <w:t>функціонування програмних продуктів (модулів) для забезпечення діяльності на фондовому ринку</w:t>
      </w:r>
      <w:r w:rsidRPr="000261B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заявник </w:t>
      </w:r>
      <w:r w:rsidRPr="000261B7">
        <w:rPr>
          <w:bCs/>
          <w:sz w:val="28"/>
          <w:szCs w:val="28"/>
        </w:rPr>
        <w:t>наводить ї</w:t>
      </w:r>
      <w:r w:rsidR="00DC5891">
        <w:rPr>
          <w:bCs/>
          <w:sz w:val="28"/>
          <w:szCs w:val="28"/>
        </w:rPr>
        <w:t>ї в довільній формі у примітках;</w:t>
      </w:r>
    </w:p>
    <w:p w:rsidR="009A678D" w:rsidRPr="001F0865" w:rsidRDefault="009A678D" w:rsidP="00A855D7">
      <w:pPr>
        <w:pStyle w:val="aa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9A678D" w:rsidRPr="00A06DB3" w:rsidRDefault="0016288C" w:rsidP="00A855D7">
      <w:pPr>
        <w:pStyle w:val="aa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A678D" w:rsidRPr="00A06DB3">
        <w:rPr>
          <w:sz w:val="28"/>
          <w:szCs w:val="28"/>
        </w:rPr>
        <w:t>агальн</w:t>
      </w:r>
      <w:r w:rsidR="009A678D">
        <w:rPr>
          <w:sz w:val="28"/>
          <w:szCs w:val="28"/>
        </w:rPr>
        <w:t>і</w:t>
      </w:r>
      <w:r w:rsidR="009A678D" w:rsidRPr="00A06DB3">
        <w:rPr>
          <w:sz w:val="28"/>
          <w:szCs w:val="28"/>
        </w:rPr>
        <w:t xml:space="preserve"> відомост</w:t>
      </w:r>
      <w:r w:rsidR="009A678D">
        <w:rPr>
          <w:sz w:val="28"/>
          <w:szCs w:val="28"/>
        </w:rPr>
        <w:t>і</w:t>
      </w:r>
      <w:r w:rsidR="009A678D" w:rsidRPr="00A06DB3">
        <w:rPr>
          <w:sz w:val="28"/>
          <w:szCs w:val="28"/>
        </w:rPr>
        <w:t xml:space="preserve"> про програмний продукт (модуль) (програмні продукти (модулі)</w:t>
      </w:r>
      <w:r w:rsidR="009A678D">
        <w:rPr>
          <w:sz w:val="28"/>
          <w:szCs w:val="28"/>
        </w:rPr>
        <w:t xml:space="preserve"> (надається по кожному окремо)</w:t>
      </w:r>
      <w:r w:rsidR="009A678D" w:rsidRPr="00A06DB3">
        <w:rPr>
          <w:sz w:val="28"/>
          <w:szCs w:val="28"/>
        </w:rPr>
        <w:t>:</w:t>
      </w:r>
    </w:p>
    <w:p w:rsidR="009A678D" w:rsidRPr="00A06DB3" w:rsidRDefault="009A678D" w:rsidP="00A855D7">
      <w:pPr>
        <w:tabs>
          <w:tab w:val="left" w:pos="1134"/>
        </w:tabs>
        <w:spacing w:line="360" w:lineRule="auto"/>
        <w:ind w:left="520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назва програмного продукту (модуля);</w:t>
      </w:r>
    </w:p>
    <w:p w:rsidR="009A678D" w:rsidRPr="00A06DB3" w:rsidRDefault="009A678D" w:rsidP="00A855D7">
      <w:pPr>
        <w:tabs>
          <w:tab w:val="left" w:pos="1134"/>
        </w:tabs>
        <w:spacing w:line="360" w:lineRule="auto"/>
        <w:ind w:left="520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версія програмного продукту (модуля);</w:t>
      </w:r>
    </w:p>
    <w:p w:rsidR="009A678D" w:rsidRDefault="009A678D" w:rsidP="00A855D7">
      <w:pPr>
        <w:pStyle w:val="aa"/>
        <w:tabs>
          <w:tab w:val="left" w:pos="1134"/>
        </w:tabs>
        <w:spacing w:line="360" w:lineRule="auto"/>
        <w:ind w:left="0" w:firstLine="520"/>
        <w:contextualSpacing/>
        <w:jc w:val="both"/>
        <w:rPr>
          <w:sz w:val="28"/>
          <w:szCs w:val="28"/>
        </w:rPr>
      </w:pPr>
      <w:r w:rsidRPr="00A06DB3">
        <w:rPr>
          <w:sz w:val="28"/>
          <w:szCs w:val="28"/>
        </w:rPr>
        <w:t xml:space="preserve">відомості про розробника програмного продукту (модуля) (надаються за згодою розробника) – найменування </w:t>
      </w:r>
      <w:r>
        <w:rPr>
          <w:sz w:val="28"/>
          <w:szCs w:val="28"/>
        </w:rPr>
        <w:t xml:space="preserve">юридичної </w:t>
      </w:r>
      <w:r w:rsidRPr="00A06DB3">
        <w:rPr>
          <w:sz w:val="28"/>
          <w:szCs w:val="28"/>
        </w:rPr>
        <w:t>особи (</w:t>
      </w:r>
      <w:r>
        <w:rPr>
          <w:sz w:val="28"/>
          <w:szCs w:val="28"/>
        </w:rPr>
        <w:t xml:space="preserve">П.І.Б. </w:t>
      </w:r>
      <w:r w:rsidRPr="00A06DB3">
        <w:rPr>
          <w:sz w:val="28"/>
          <w:szCs w:val="28"/>
        </w:rPr>
        <w:t>фізичної особи – підприємця</w:t>
      </w:r>
      <w:r>
        <w:rPr>
          <w:sz w:val="28"/>
          <w:szCs w:val="28"/>
        </w:rPr>
        <w:t>, фізичної особи</w:t>
      </w:r>
      <w:r w:rsidRPr="00A06DB3">
        <w:rPr>
          <w:sz w:val="28"/>
          <w:szCs w:val="28"/>
        </w:rPr>
        <w:t>), код за ЄДР</w:t>
      </w:r>
      <w:r>
        <w:rPr>
          <w:sz w:val="28"/>
          <w:szCs w:val="28"/>
        </w:rPr>
        <w:t>ПО</w:t>
      </w:r>
      <w:r w:rsidRPr="00A06DB3">
        <w:rPr>
          <w:sz w:val="28"/>
          <w:szCs w:val="28"/>
        </w:rPr>
        <w:t xml:space="preserve"> юридичної особи, місцезнаходження (контактні дані) юридичної особи</w:t>
      </w:r>
      <w:r>
        <w:rPr>
          <w:sz w:val="28"/>
          <w:szCs w:val="28"/>
        </w:rPr>
        <w:t>;</w:t>
      </w:r>
    </w:p>
    <w:p w:rsidR="009A678D" w:rsidRPr="00A06DB3" w:rsidRDefault="009A678D" w:rsidP="00A855D7">
      <w:pPr>
        <w:tabs>
          <w:tab w:val="left" w:pos="1134"/>
        </w:tabs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дата (</w:t>
      </w:r>
      <w:r w:rsidRPr="00A06DB3">
        <w:rPr>
          <w:sz w:val="28"/>
          <w:szCs w:val="28"/>
        </w:rPr>
        <w:t>орієнтовна дата</w:t>
      </w:r>
      <w:r>
        <w:rPr>
          <w:sz w:val="28"/>
          <w:szCs w:val="28"/>
        </w:rPr>
        <w:t>)</w:t>
      </w:r>
      <w:r w:rsidRPr="00A06DB3">
        <w:rPr>
          <w:sz w:val="28"/>
          <w:szCs w:val="28"/>
        </w:rPr>
        <w:t xml:space="preserve"> початку використання професійним учасником фондового ринку програмного продукту (модуля)</w:t>
      </w:r>
      <w:r>
        <w:rPr>
          <w:sz w:val="28"/>
          <w:szCs w:val="28"/>
        </w:rPr>
        <w:t xml:space="preserve"> зазначеної версії</w:t>
      </w:r>
      <w:r w:rsidRPr="00A06DB3">
        <w:rPr>
          <w:sz w:val="28"/>
          <w:szCs w:val="28"/>
        </w:rPr>
        <w:t>;</w:t>
      </w:r>
    </w:p>
    <w:p w:rsidR="009A678D" w:rsidRDefault="009A678D" w:rsidP="00A855D7">
      <w:pPr>
        <w:tabs>
          <w:tab w:val="left" w:pos="1134"/>
        </w:tabs>
        <w:spacing w:line="360" w:lineRule="auto"/>
        <w:ind w:firstLine="520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вид/види професійної діяльності, в якому використовується програмний продукт (модуль);</w:t>
      </w:r>
    </w:p>
    <w:p w:rsidR="009A678D" w:rsidRPr="001F0865" w:rsidRDefault="009A678D" w:rsidP="00A855D7">
      <w:pPr>
        <w:tabs>
          <w:tab w:val="left" w:pos="1134"/>
        </w:tabs>
        <w:spacing w:line="360" w:lineRule="auto"/>
        <w:ind w:left="520"/>
        <w:jc w:val="both"/>
        <w:rPr>
          <w:sz w:val="28"/>
          <w:szCs w:val="28"/>
        </w:rPr>
      </w:pPr>
      <w:r w:rsidRPr="001F0865">
        <w:rPr>
          <w:sz w:val="28"/>
          <w:szCs w:val="28"/>
        </w:rPr>
        <w:t>призначення програмного продукту (модуля)</w:t>
      </w:r>
      <w:r w:rsidR="00DC5891">
        <w:rPr>
          <w:sz w:val="28"/>
          <w:szCs w:val="28"/>
        </w:rPr>
        <w:t>, стислий опис можливостей;</w:t>
      </w:r>
    </w:p>
    <w:p w:rsidR="009A678D" w:rsidRPr="00A06DB3" w:rsidRDefault="009A678D" w:rsidP="00A855D7">
      <w:pPr>
        <w:tabs>
          <w:tab w:val="left" w:pos="1134"/>
        </w:tabs>
        <w:spacing w:line="360" w:lineRule="auto"/>
        <w:ind w:left="520"/>
        <w:jc w:val="both"/>
        <w:rPr>
          <w:sz w:val="28"/>
          <w:szCs w:val="28"/>
        </w:rPr>
      </w:pPr>
    </w:p>
    <w:p w:rsidR="009A678D" w:rsidRPr="00A06DB3" w:rsidRDefault="0016288C" w:rsidP="00A855D7">
      <w:pPr>
        <w:pStyle w:val="aa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678D" w:rsidRPr="00A06DB3">
        <w:rPr>
          <w:sz w:val="28"/>
          <w:szCs w:val="28"/>
        </w:rPr>
        <w:t xml:space="preserve">ідомості про </w:t>
      </w:r>
      <w:r w:rsidR="009A678D">
        <w:rPr>
          <w:sz w:val="28"/>
          <w:szCs w:val="28"/>
        </w:rPr>
        <w:t xml:space="preserve">функціональні можливості </w:t>
      </w:r>
      <w:r w:rsidR="009A678D" w:rsidRPr="00A06DB3">
        <w:rPr>
          <w:sz w:val="28"/>
          <w:szCs w:val="28"/>
        </w:rPr>
        <w:t>програмн</w:t>
      </w:r>
      <w:r w:rsidR="009A678D">
        <w:rPr>
          <w:sz w:val="28"/>
          <w:szCs w:val="28"/>
        </w:rPr>
        <w:t xml:space="preserve">ого </w:t>
      </w:r>
      <w:r w:rsidR="009A678D" w:rsidRPr="00A06DB3">
        <w:rPr>
          <w:sz w:val="28"/>
          <w:szCs w:val="28"/>
        </w:rPr>
        <w:t>продукт</w:t>
      </w:r>
      <w:r w:rsidR="009A678D">
        <w:rPr>
          <w:sz w:val="28"/>
          <w:szCs w:val="28"/>
        </w:rPr>
        <w:t>у (модулю</w:t>
      </w:r>
      <w:r w:rsidR="009A678D" w:rsidRPr="00A06DB3">
        <w:rPr>
          <w:sz w:val="28"/>
          <w:szCs w:val="28"/>
        </w:rPr>
        <w:t>), у тому числі</w:t>
      </w:r>
      <w:r w:rsidR="009A678D">
        <w:rPr>
          <w:sz w:val="28"/>
          <w:szCs w:val="28"/>
        </w:rPr>
        <w:t xml:space="preserve"> для</w:t>
      </w:r>
      <w:r w:rsidR="009A678D" w:rsidRPr="00A06DB3">
        <w:rPr>
          <w:sz w:val="28"/>
          <w:szCs w:val="28"/>
        </w:rPr>
        <w:t xml:space="preserve"> бездротових (мобільних)</w:t>
      </w:r>
      <w:r w:rsidR="009A678D">
        <w:rPr>
          <w:sz w:val="28"/>
          <w:szCs w:val="28"/>
        </w:rPr>
        <w:t xml:space="preserve"> пристроїв (надається по кожному окремо)</w:t>
      </w:r>
      <w:r w:rsidR="009A678D" w:rsidRPr="00A06DB3">
        <w:rPr>
          <w:sz w:val="28"/>
          <w:szCs w:val="28"/>
        </w:rPr>
        <w:t>: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перелік документації до програмного продукту (модуля)</w:t>
      </w:r>
      <w:r>
        <w:rPr>
          <w:sz w:val="28"/>
          <w:szCs w:val="28"/>
        </w:rPr>
        <w:t>, яка є у розпорядженні заявника</w:t>
      </w:r>
      <w:r w:rsidRPr="00A06DB3">
        <w:rPr>
          <w:sz w:val="28"/>
          <w:szCs w:val="28"/>
        </w:rPr>
        <w:t>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 xml:space="preserve">опис функціональних можливостей програмного продукту (модуля) (опис реалізованих процедур, які відповідно до вимог нормативно-правових актів </w:t>
      </w:r>
      <w:r>
        <w:rPr>
          <w:sz w:val="28"/>
          <w:szCs w:val="28"/>
        </w:rPr>
        <w:t xml:space="preserve">Комісії </w:t>
      </w:r>
      <w:r w:rsidRPr="00A06DB3">
        <w:rPr>
          <w:sz w:val="28"/>
          <w:szCs w:val="28"/>
        </w:rPr>
        <w:t>реалізовані цим продуктом</w:t>
      </w:r>
      <w:r>
        <w:rPr>
          <w:sz w:val="28"/>
          <w:szCs w:val="28"/>
        </w:rPr>
        <w:t xml:space="preserve">, </w:t>
      </w:r>
      <w:r w:rsidRPr="00A06DB3">
        <w:rPr>
          <w:sz w:val="28"/>
          <w:szCs w:val="28"/>
        </w:rPr>
        <w:t>у разі здійснення операцій з торгівлі цінними паперами на фондовій біржі окремо зазначити, чи використовує</w:t>
      </w:r>
      <w:r w:rsidR="00A36E03">
        <w:rPr>
          <w:sz w:val="28"/>
          <w:szCs w:val="28"/>
        </w:rPr>
        <w:t>ться програмний продукт як бот);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опис реалізованих механізмі</w:t>
      </w:r>
      <w:r>
        <w:rPr>
          <w:sz w:val="28"/>
          <w:szCs w:val="28"/>
        </w:rPr>
        <w:t>в (процедур) для унеможливлення</w:t>
      </w:r>
      <w:r w:rsidRPr="00A06DB3">
        <w:rPr>
          <w:sz w:val="28"/>
          <w:szCs w:val="28"/>
        </w:rPr>
        <w:t xml:space="preserve"> несанкціонованого знищення/модифікації, підроблення, копіювання інформації (для програмних продуктів, які використовуються професійними учасниками депозитарної системи України), у тому числі: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дублювання системних, програмно-технічних засобів для забезпечення збереження інформації та унеможливлення її знищення;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lastRenderedPageBreak/>
        <w:t>наявність можливості забезпечення резервування інформації;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можливість відокремленого ведення обліку одночасно (для програмних продуктів, які використовуються для депозитарної діяльності Центрального депозитарію</w:t>
      </w:r>
      <w:r w:rsidR="00141F6E">
        <w:rPr>
          <w:sz w:val="28"/>
          <w:szCs w:val="28"/>
        </w:rPr>
        <w:t xml:space="preserve"> цінних паперів</w:t>
      </w:r>
      <w:r w:rsidRPr="00A06DB3">
        <w:rPr>
          <w:sz w:val="28"/>
          <w:szCs w:val="28"/>
        </w:rPr>
        <w:t>);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41F6E">
        <w:rPr>
          <w:sz w:val="28"/>
          <w:szCs w:val="28"/>
        </w:rPr>
        <w:t>забезпечення формування депозитарного балансу (для програмних продуктів, які використовуються професійними учасниками депозитарної системи України);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наявність вбудованих механізмів захисту інформації у разі призначення програмного продукту для обробки інформації, вимоги щодо захисту якої встановлено законодавством;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створення спеціалізованим програмним продуктом (модулем) архіву даних у разі, якщо архівація даних передбачена технічним завданням або аналогічним за змістом документом, наведена у документації до програмного продукту (модуля) (навести термін зберігання архіву відповідно до законодавства);</w:t>
      </w:r>
    </w:p>
    <w:p w:rsidR="009A678D" w:rsidRPr="00A06DB3" w:rsidRDefault="009A678D" w:rsidP="00A855D7">
      <w:pPr>
        <w:pStyle w:val="aa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6DB3">
        <w:rPr>
          <w:sz w:val="28"/>
          <w:szCs w:val="28"/>
        </w:rPr>
        <w:t>супроводження та технічна підтримка програмного продукту (модуля)</w:t>
      </w:r>
      <w:r>
        <w:rPr>
          <w:sz w:val="28"/>
          <w:szCs w:val="28"/>
        </w:rPr>
        <w:t>, зокрема з використання аутсорсінгу</w:t>
      </w:r>
      <w:r w:rsidRPr="00A06DB3">
        <w:rPr>
          <w:sz w:val="28"/>
          <w:szCs w:val="28"/>
        </w:rPr>
        <w:t>.</w:t>
      </w:r>
    </w:p>
    <w:p w:rsidR="009A678D" w:rsidRPr="00A06DB3" w:rsidRDefault="00DC5891" w:rsidP="00A855D7">
      <w:pPr>
        <w:tabs>
          <w:tab w:val="left" w:pos="1134"/>
        </w:tabs>
        <w:spacing w:before="100" w:beforeAutospacing="1" w:after="100" w:afterAutospacing="1" w:line="360" w:lineRule="auto"/>
        <w:ind w:firstLine="52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</w:t>
      </w:r>
      <w:r>
        <w:rPr>
          <w:rFonts w:eastAsia="Times New Roman"/>
          <w:sz w:val="28"/>
          <w:szCs w:val="28"/>
          <w:lang w:eastAsia="ru-RU"/>
        </w:rPr>
        <w:tab/>
      </w:r>
      <w:r w:rsidR="0016288C">
        <w:rPr>
          <w:rFonts w:eastAsia="Times New Roman"/>
          <w:sz w:val="28"/>
          <w:szCs w:val="28"/>
          <w:lang w:eastAsia="ru-RU"/>
        </w:rPr>
        <w:t>в</w:t>
      </w:r>
      <w:r w:rsidR="009A678D" w:rsidRPr="00A06DB3">
        <w:rPr>
          <w:rFonts w:eastAsia="Times New Roman"/>
          <w:sz w:val="28"/>
          <w:szCs w:val="28"/>
          <w:lang w:eastAsia="ru-RU"/>
        </w:rPr>
        <w:t>ідомості щодо інформаційно-комунікаційних можливостей  програмного продукту (модуля)</w:t>
      </w:r>
      <w:r w:rsidR="009A678D">
        <w:rPr>
          <w:rFonts w:eastAsia="Times New Roman"/>
          <w:sz w:val="28"/>
          <w:szCs w:val="28"/>
          <w:lang w:eastAsia="ru-RU"/>
        </w:rPr>
        <w:t xml:space="preserve"> (</w:t>
      </w:r>
      <w:r w:rsidR="009A678D" w:rsidRPr="00A06DB3">
        <w:rPr>
          <w:rFonts w:eastAsia="Times New Roman"/>
          <w:sz w:val="28"/>
          <w:szCs w:val="28"/>
          <w:lang w:eastAsia="ru-RU"/>
        </w:rPr>
        <w:t>обміну інформацією</w:t>
      </w:r>
      <w:r w:rsidR="009A678D">
        <w:rPr>
          <w:rFonts w:eastAsia="Times New Roman"/>
          <w:sz w:val="28"/>
          <w:szCs w:val="28"/>
          <w:lang w:eastAsia="ru-RU"/>
        </w:rPr>
        <w:t xml:space="preserve"> із зовнішніми системами)</w:t>
      </w:r>
      <w:r w:rsidR="009A678D" w:rsidRPr="00A06DB3">
        <w:rPr>
          <w:rFonts w:eastAsia="Times New Roman"/>
          <w:sz w:val="28"/>
          <w:szCs w:val="28"/>
          <w:lang w:eastAsia="ru-RU"/>
        </w:rPr>
        <w:t>:</w:t>
      </w:r>
    </w:p>
    <w:p w:rsidR="009A678D" w:rsidRPr="00A06DB3" w:rsidRDefault="009A678D" w:rsidP="00A855D7">
      <w:pPr>
        <w:tabs>
          <w:tab w:val="left" w:pos="567"/>
          <w:tab w:val="left" w:pos="1134"/>
        </w:tabs>
        <w:spacing w:before="100" w:beforeAutospacing="1" w:after="100" w:afterAutospacing="1" w:line="360" w:lineRule="auto"/>
        <w:ind w:firstLine="5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06DB3">
        <w:rPr>
          <w:rFonts w:eastAsia="Times New Roman"/>
          <w:sz w:val="28"/>
          <w:szCs w:val="28"/>
          <w:lang w:eastAsia="ru-RU"/>
        </w:rPr>
        <w:t>реалізація інтеграції програмного продукту (модуля) з іншим програмними продуктами для виду/видів діяльності на фондовому ринку, реалізація захисту інформації;</w:t>
      </w:r>
    </w:p>
    <w:p w:rsidR="009A678D" w:rsidRDefault="009A678D" w:rsidP="00A855D7">
      <w:pPr>
        <w:tabs>
          <w:tab w:val="left" w:pos="567"/>
          <w:tab w:val="left" w:pos="1134"/>
        </w:tabs>
        <w:spacing w:before="100" w:beforeAutospacing="1" w:after="100" w:afterAutospacing="1" w:line="360" w:lineRule="auto"/>
        <w:ind w:firstLine="5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06DB3">
        <w:rPr>
          <w:rFonts w:eastAsia="Times New Roman"/>
          <w:sz w:val="28"/>
          <w:szCs w:val="28"/>
          <w:lang w:eastAsia="ru-RU"/>
        </w:rPr>
        <w:t>робота програмного продукту (модуля) із використанням «хмарних» сервісів, які переносять обчислювальні ресурси на віддалені інтернет-сервери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9A678D" w:rsidRDefault="009A678D" w:rsidP="00A855D7">
      <w:pPr>
        <w:tabs>
          <w:tab w:val="left" w:pos="1134"/>
        </w:tabs>
        <w:spacing w:line="360" w:lineRule="auto"/>
        <w:ind w:left="567"/>
        <w:jc w:val="both"/>
        <w:rPr>
          <w:bCs/>
          <w:sz w:val="28"/>
          <w:szCs w:val="28"/>
        </w:rPr>
      </w:pPr>
    </w:p>
    <w:p w:rsidR="009A678D" w:rsidRDefault="0016288C" w:rsidP="00A855D7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A678D">
        <w:rPr>
          <w:bCs/>
          <w:sz w:val="28"/>
          <w:szCs w:val="28"/>
        </w:rPr>
        <w:t>ідомості стосовно змін функціональних можливостей програмного продукту (модуля)</w:t>
      </w:r>
      <w:r w:rsidR="009A678D" w:rsidRPr="007971A1">
        <w:rPr>
          <w:bCs/>
          <w:sz w:val="28"/>
          <w:szCs w:val="28"/>
          <w:lang w:val="ru-RU"/>
        </w:rPr>
        <w:t xml:space="preserve"> (</w:t>
      </w:r>
      <w:r w:rsidR="009A678D">
        <w:rPr>
          <w:bCs/>
          <w:sz w:val="28"/>
          <w:szCs w:val="28"/>
        </w:rPr>
        <w:t>заповнюється у разі змін</w:t>
      </w:r>
      <w:r w:rsidR="009A678D" w:rsidRPr="007971A1">
        <w:rPr>
          <w:bCs/>
          <w:sz w:val="28"/>
          <w:szCs w:val="28"/>
          <w:lang w:val="ru-RU"/>
        </w:rPr>
        <w:t>)</w:t>
      </w:r>
      <w:r w:rsidR="009A678D">
        <w:rPr>
          <w:bCs/>
          <w:sz w:val="28"/>
          <w:szCs w:val="28"/>
        </w:rPr>
        <w:t>:</w:t>
      </w:r>
    </w:p>
    <w:p w:rsidR="009A678D" w:rsidRDefault="009A678D" w:rsidP="00A855D7">
      <w:pPr>
        <w:pStyle w:val="aa"/>
        <w:tabs>
          <w:tab w:val="left" w:pos="567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07F67">
        <w:rPr>
          <w:sz w:val="28"/>
          <w:szCs w:val="28"/>
        </w:rPr>
        <w:t xml:space="preserve">опис змін до функціональних можливостей </w:t>
      </w:r>
      <w:r>
        <w:rPr>
          <w:sz w:val="28"/>
          <w:szCs w:val="28"/>
        </w:rPr>
        <w:t>програмного продукту (модуля</w:t>
      </w:r>
      <w:r w:rsidRPr="00F07F67">
        <w:rPr>
          <w:sz w:val="28"/>
          <w:szCs w:val="28"/>
        </w:rPr>
        <w:t xml:space="preserve">) (опис реалізованих змін до процедур, які відповідно до вимог </w:t>
      </w:r>
      <w:r w:rsidRPr="00F07F67">
        <w:rPr>
          <w:sz w:val="28"/>
          <w:szCs w:val="28"/>
        </w:rPr>
        <w:lastRenderedPageBreak/>
        <w:t>нормативно-правових актів К</w:t>
      </w:r>
      <w:r>
        <w:rPr>
          <w:sz w:val="28"/>
          <w:szCs w:val="28"/>
        </w:rPr>
        <w:t xml:space="preserve">омісії </w:t>
      </w:r>
      <w:r w:rsidRPr="00F07F67">
        <w:rPr>
          <w:sz w:val="28"/>
          <w:szCs w:val="28"/>
        </w:rPr>
        <w:t xml:space="preserve">реалізовані </w:t>
      </w:r>
      <w:r>
        <w:rPr>
          <w:sz w:val="28"/>
          <w:szCs w:val="28"/>
        </w:rPr>
        <w:t xml:space="preserve">у цьому програмному </w:t>
      </w:r>
      <w:r w:rsidRPr="00F07F67">
        <w:rPr>
          <w:sz w:val="28"/>
          <w:szCs w:val="28"/>
        </w:rPr>
        <w:t>продукт</w:t>
      </w:r>
      <w:r>
        <w:rPr>
          <w:sz w:val="28"/>
          <w:szCs w:val="28"/>
        </w:rPr>
        <w:t>і (модулі),</w:t>
      </w:r>
      <w:r w:rsidRPr="00F07F67">
        <w:rPr>
          <w:sz w:val="28"/>
          <w:szCs w:val="28"/>
        </w:rPr>
        <w:t xml:space="preserve"> у разі здійснення операцій з торгівлі цінними паперами на фондовій біржі окремо зазначити, чи використовується програмний продукт як бот). </w:t>
      </w:r>
    </w:p>
    <w:p w:rsidR="009A678D" w:rsidRDefault="009A678D" w:rsidP="00A855D7">
      <w:pPr>
        <w:pStyle w:val="aa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9A678D" w:rsidRPr="000261B7" w:rsidRDefault="0016288C" w:rsidP="00A855D7">
      <w:pPr>
        <w:pStyle w:val="aa"/>
        <w:numPr>
          <w:ilvl w:val="0"/>
          <w:numId w:val="19"/>
        </w:numPr>
        <w:tabs>
          <w:tab w:val="left" w:pos="567"/>
          <w:tab w:val="left" w:pos="1134"/>
        </w:tabs>
        <w:spacing w:after="167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678D">
        <w:rPr>
          <w:sz w:val="28"/>
          <w:szCs w:val="28"/>
        </w:rPr>
        <w:t xml:space="preserve">ідомості щодо </w:t>
      </w:r>
      <w:r w:rsidR="009A678D">
        <w:rPr>
          <w:bCs/>
          <w:sz w:val="28"/>
          <w:szCs w:val="28"/>
        </w:rPr>
        <w:t xml:space="preserve">причин відмови від використання програмного продукту (модуля), який замінено </w:t>
      </w:r>
      <w:r w:rsidR="009A678D" w:rsidRPr="007971A1">
        <w:rPr>
          <w:bCs/>
          <w:sz w:val="28"/>
          <w:szCs w:val="28"/>
          <w:lang w:val="ru-RU"/>
        </w:rPr>
        <w:t>(</w:t>
      </w:r>
      <w:r w:rsidR="009A678D" w:rsidRPr="007971A1">
        <w:rPr>
          <w:bCs/>
          <w:sz w:val="28"/>
          <w:szCs w:val="28"/>
        </w:rPr>
        <w:t>заповнюється у разі змін</w:t>
      </w:r>
      <w:r w:rsidR="009A678D" w:rsidRPr="007971A1">
        <w:rPr>
          <w:bCs/>
          <w:sz w:val="28"/>
          <w:szCs w:val="28"/>
          <w:lang w:val="ru-RU"/>
        </w:rPr>
        <w:t>)</w:t>
      </w:r>
      <w:r w:rsidR="009A678D">
        <w:rPr>
          <w:bCs/>
          <w:sz w:val="28"/>
          <w:szCs w:val="28"/>
        </w:rPr>
        <w:t>.</w:t>
      </w:r>
    </w:p>
    <w:p w:rsidR="009A678D" w:rsidRPr="000261B7" w:rsidRDefault="009A678D" w:rsidP="00A855D7">
      <w:pPr>
        <w:pStyle w:val="aa"/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9A678D" w:rsidRDefault="009A678D" w:rsidP="00A855D7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656459">
        <w:rPr>
          <w:bCs/>
          <w:sz w:val="28"/>
          <w:szCs w:val="28"/>
        </w:rPr>
        <w:t xml:space="preserve">На письмову вимогу Комісії </w:t>
      </w:r>
      <w:r>
        <w:rPr>
          <w:bCs/>
          <w:sz w:val="28"/>
          <w:szCs w:val="28"/>
          <w:lang w:val="ru-RU"/>
        </w:rPr>
        <w:t xml:space="preserve">участник фондового ринку </w:t>
      </w:r>
      <w:r w:rsidRPr="00656459">
        <w:rPr>
          <w:bCs/>
          <w:sz w:val="28"/>
          <w:szCs w:val="28"/>
        </w:rPr>
        <w:t xml:space="preserve">зобов'язаний подати (надіслати) до Комісії </w:t>
      </w:r>
      <w:r>
        <w:rPr>
          <w:bCs/>
          <w:sz w:val="28"/>
          <w:szCs w:val="28"/>
        </w:rPr>
        <w:t>і</w:t>
      </w:r>
      <w:r w:rsidRPr="00656459">
        <w:rPr>
          <w:bCs/>
          <w:sz w:val="28"/>
          <w:szCs w:val="28"/>
        </w:rPr>
        <w:t>нформаці</w:t>
      </w:r>
      <w:r>
        <w:rPr>
          <w:bCs/>
          <w:sz w:val="28"/>
          <w:szCs w:val="28"/>
        </w:rPr>
        <w:t>ю</w:t>
      </w:r>
      <w:r w:rsidRPr="00656459">
        <w:rPr>
          <w:bCs/>
          <w:sz w:val="28"/>
          <w:szCs w:val="28"/>
        </w:rPr>
        <w:t xml:space="preserve"> про програмн</w:t>
      </w:r>
      <w:r>
        <w:rPr>
          <w:bCs/>
          <w:sz w:val="28"/>
          <w:szCs w:val="28"/>
        </w:rPr>
        <w:t>і</w:t>
      </w:r>
      <w:r w:rsidRPr="00656459">
        <w:rPr>
          <w:bCs/>
          <w:sz w:val="28"/>
          <w:szCs w:val="28"/>
        </w:rPr>
        <w:t xml:space="preserve"> продукт</w:t>
      </w:r>
      <w:r>
        <w:rPr>
          <w:bCs/>
          <w:sz w:val="28"/>
          <w:szCs w:val="28"/>
        </w:rPr>
        <w:t>и</w:t>
      </w:r>
      <w:r w:rsidRPr="00656459">
        <w:rPr>
          <w:bCs/>
          <w:sz w:val="28"/>
          <w:szCs w:val="28"/>
        </w:rPr>
        <w:t xml:space="preserve"> (модул</w:t>
      </w:r>
      <w:r>
        <w:rPr>
          <w:bCs/>
          <w:sz w:val="28"/>
          <w:szCs w:val="28"/>
        </w:rPr>
        <w:t>і</w:t>
      </w:r>
      <w:r w:rsidRPr="0065645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що використовуються ним при здійсненні діяльності на фондовому ринку</w:t>
      </w:r>
      <w:r w:rsidR="00CF5337" w:rsidRPr="00CF5337">
        <w:rPr>
          <w:bCs/>
          <w:sz w:val="28"/>
          <w:szCs w:val="28"/>
        </w:rPr>
        <w:t xml:space="preserve"> </w:t>
      </w:r>
      <w:r w:rsidR="00CF5337" w:rsidRPr="00656459">
        <w:rPr>
          <w:bCs/>
          <w:sz w:val="28"/>
          <w:szCs w:val="28"/>
        </w:rPr>
        <w:t>відповідно до цього По</w:t>
      </w:r>
      <w:r w:rsidR="00CF5337">
        <w:rPr>
          <w:bCs/>
          <w:sz w:val="28"/>
          <w:szCs w:val="28"/>
        </w:rPr>
        <w:t>рядку</w:t>
      </w:r>
      <w:r>
        <w:rPr>
          <w:bCs/>
          <w:sz w:val="28"/>
          <w:szCs w:val="28"/>
        </w:rPr>
        <w:t xml:space="preserve">, </w:t>
      </w:r>
      <w:r w:rsidRPr="00656459">
        <w:rPr>
          <w:bCs/>
          <w:sz w:val="28"/>
          <w:szCs w:val="28"/>
        </w:rPr>
        <w:t>у строк/термін, передбачений вимогою, в паперовій формі</w:t>
      </w:r>
      <w:r>
        <w:rPr>
          <w:bCs/>
          <w:sz w:val="28"/>
          <w:szCs w:val="28"/>
        </w:rPr>
        <w:t>, засвідченої підписом керівника учасника фондового ринку</w:t>
      </w:r>
      <w:r w:rsidRPr="00656459">
        <w:rPr>
          <w:bCs/>
          <w:sz w:val="28"/>
          <w:szCs w:val="28"/>
        </w:rPr>
        <w:t>.</w:t>
      </w:r>
    </w:p>
    <w:p w:rsidR="009A678D" w:rsidRDefault="009A678D" w:rsidP="00A2668A">
      <w:pPr>
        <w:tabs>
          <w:tab w:val="left" w:pos="1134"/>
        </w:tabs>
        <w:spacing w:line="360" w:lineRule="auto"/>
        <w:ind w:firstLine="567"/>
        <w:jc w:val="both"/>
        <w:rPr>
          <w:bCs/>
          <w:sz w:val="28"/>
          <w:szCs w:val="28"/>
        </w:rPr>
      </w:pPr>
      <w:bookmarkStart w:id="12" w:name="n32"/>
      <w:bookmarkEnd w:id="12"/>
      <w:r>
        <w:rPr>
          <w:bCs/>
          <w:sz w:val="28"/>
          <w:szCs w:val="28"/>
        </w:rPr>
        <w:t>Я</w:t>
      </w:r>
      <w:r w:rsidRPr="000261B7">
        <w:rPr>
          <w:bCs/>
          <w:sz w:val="28"/>
          <w:szCs w:val="28"/>
        </w:rPr>
        <w:t>кщо паперова форма інформації нараховує більше одного аркуша, така паперова форма має бути прошнурована, аркуші пронумеровані та засвідчені підписом керівника.</w:t>
      </w:r>
      <w:bookmarkStart w:id="13" w:name="n150"/>
      <w:bookmarkStart w:id="14" w:name="n33"/>
      <w:bookmarkStart w:id="15" w:name="n34"/>
      <w:bookmarkEnd w:id="13"/>
      <w:bookmarkEnd w:id="14"/>
      <w:bookmarkEnd w:id="15"/>
    </w:p>
    <w:p w:rsidR="00A855D7" w:rsidRDefault="00A855D7" w:rsidP="00A855D7">
      <w:pPr>
        <w:tabs>
          <w:tab w:val="left" w:pos="1134"/>
        </w:tabs>
        <w:spacing w:line="240" w:lineRule="auto"/>
        <w:ind w:firstLine="567"/>
        <w:jc w:val="both"/>
        <w:rPr>
          <w:bCs/>
          <w:sz w:val="20"/>
          <w:szCs w:val="20"/>
        </w:rPr>
      </w:pPr>
    </w:p>
    <w:p w:rsidR="00CF5337" w:rsidRDefault="00CF5337" w:rsidP="00A855D7">
      <w:pPr>
        <w:tabs>
          <w:tab w:val="left" w:pos="1134"/>
        </w:tabs>
        <w:spacing w:line="240" w:lineRule="auto"/>
        <w:ind w:firstLine="567"/>
        <w:jc w:val="both"/>
        <w:rPr>
          <w:bCs/>
          <w:sz w:val="20"/>
          <w:szCs w:val="20"/>
        </w:rPr>
      </w:pPr>
    </w:p>
    <w:p w:rsidR="009A678D" w:rsidRPr="004B144A" w:rsidRDefault="009A678D" w:rsidP="00A855D7">
      <w:pPr>
        <w:spacing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Т.в</w:t>
      </w:r>
      <w:r w:rsidRPr="004B144A">
        <w:rPr>
          <w:b/>
          <w:bCs/>
          <w:sz w:val="28"/>
          <w:szCs w:val="28"/>
          <w:lang w:val="ru-RU"/>
        </w:rPr>
        <w:t>.о. Директора департаменту</w:t>
      </w:r>
    </w:p>
    <w:p w:rsidR="00AB03F9" w:rsidRDefault="009A678D" w:rsidP="00A855D7">
      <w:pPr>
        <w:spacing w:line="24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інформаційних технологій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О. Камінський</w:t>
      </w:r>
      <w:r w:rsidR="00A855D7">
        <w:rPr>
          <w:b/>
          <w:bCs/>
          <w:sz w:val="28"/>
          <w:szCs w:val="28"/>
        </w:rPr>
        <w:t xml:space="preserve"> </w:t>
      </w:r>
    </w:p>
    <w:sectPr w:rsidR="00AB03F9" w:rsidSect="00212313"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BA" w:rsidRDefault="00643BBA" w:rsidP="00101EBB">
      <w:pPr>
        <w:spacing w:line="240" w:lineRule="auto"/>
      </w:pPr>
      <w:r>
        <w:separator/>
      </w:r>
    </w:p>
  </w:endnote>
  <w:endnote w:type="continuationSeparator" w:id="0">
    <w:p w:rsidR="00643BBA" w:rsidRDefault="00643BBA" w:rsidP="00101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BA" w:rsidRDefault="00643BBA" w:rsidP="00101EBB">
      <w:pPr>
        <w:spacing w:line="240" w:lineRule="auto"/>
      </w:pPr>
      <w:r>
        <w:separator/>
      </w:r>
    </w:p>
  </w:footnote>
  <w:footnote w:type="continuationSeparator" w:id="0">
    <w:p w:rsidR="00643BBA" w:rsidRDefault="00643BBA" w:rsidP="00101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13" w:rsidRDefault="0021231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425">
      <w:rPr>
        <w:noProof/>
      </w:rPr>
      <w:t>2</w:t>
    </w:r>
    <w:r>
      <w:fldChar w:fldCharType="end"/>
    </w:r>
  </w:p>
  <w:p w:rsidR="00212313" w:rsidRDefault="002123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B7" w:rsidRPr="00F763B7" w:rsidRDefault="00F763B7">
    <w:pPr>
      <w:pStyle w:val="a4"/>
      <w:jc w:val="center"/>
      <w:rPr>
        <w:lang w:val="ru-RU"/>
      </w:rPr>
    </w:pPr>
  </w:p>
  <w:p w:rsidR="00F763B7" w:rsidRDefault="00F763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F5B"/>
    <w:multiLevelType w:val="hybridMultilevel"/>
    <w:tmpl w:val="725A5412"/>
    <w:lvl w:ilvl="0" w:tplc="7D20D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D044E"/>
    <w:multiLevelType w:val="hybridMultilevel"/>
    <w:tmpl w:val="7C925506"/>
    <w:lvl w:ilvl="0" w:tplc="992242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9D311E"/>
    <w:multiLevelType w:val="hybridMultilevel"/>
    <w:tmpl w:val="A706FEC8"/>
    <w:lvl w:ilvl="0" w:tplc="A4C469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2F6BBE"/>
    <w:multiLevelType w:val="hybridMultilevel"/>
    <w:tmpl w:val="3CD88864"/>
    <w:lvl w:ilvl="0" w:tplc="A80AF80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C0C47"/>
    <w:multiLevelType w:val="hybridMultilevel"/>
    <w:tmpl w:val="6194D20C"/>
    <w:lvl w:ilvl="0" w:tplc="C54C7CD4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723F0A"/>
    <w:multiLevelType w:val="hybridMultilevel"/>
    <w:tmpl w:val="CB040A14"/>
    <w:lvl w:ilvl="0" w:tplc="A9442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1D1D8E"/>
    <w:multiLevelType w:val="hybridMultilevel"/>
    <w:tmpl w:val="CD469632"/>
    <w:lvl w:ilvl="0" w:tplc="2A844D9C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1A207F2B"/>
    <w:multiLevelType w:val="hybridMultilevel"/>
    <w:tmpl w:val="F2228D0E"/>
    <w:lvl w:ilvl="0" w:tplc="244A9B6E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0" w:hanging="360"/>
      </w:pPr>
    </w:lvl>
    <w:lvl w:ilvl="2" w:tplc="0422001B" w:tentative="1">
      <w:start w:val="1"/>
      <w:numFmt w:val="lowerRoman"/>
      <w:lvlText w:val="%3."/>
      <w:lvlJc w:val="right"/>
      <w:pPr>
        <w:ind w:left="2720" w:hanging="180"/>
      </w:pPr>
    </w:lvl>
    <w:lvl w:ilvl="3" w:tplc="0422000F" w:tentative="1">
      <w:start w:val="1"/>
      <w:numFmt w:val="decimal"/>
      <w:lvlText w:val="%4."/>
      <w:lvlJc w:val="left"/>
      <w:pPr>
        <w:ind w:left="3440" w:hanging="360"/>
      </w:pPr>
    </w:lvl>
    <w:lvl w:ilvl="4" w:tplc="04220019" w:tentative="1">
      <w:start w:val="1"/>
      <w:numFmt w:val="lowerLetter"/>
      <w:lvlText w:val="%5."/>
      <w:lvlJc w:val="left"/>
      <w:pPr>
        <w:ind w:left="4160" w:hanging="360"/>
      </w:pPr>
    </w:lvl>
    <w:lvl w:ilvl="5" w:tplc="0422001B" w:tentative="1">
      <w:start w:val="1"/>
      <w:numFmt w:val="lowerRoman"/>
      <w:lvlText w:val="%6."/>
      <w:lvlJc w:val="right"/>
      <w:pPr>
        <w:ind w:left="4880" w:hanging="180"/>
      </w:pPr>
    </w:lvl>
    <w:lvl w:ilvl="6" w:tplc="0422000F" w:tentative="1">
      <w:start w:val="1"/>
      <w:numFmt w:val="decimal"/>
      <w:lvlText w:val="%7."/>
      <w:lvlJc w:val="left"/>
      <w:pPr>
        <w:ind w:left="5600" w:hanging="360"/>
      </w:pPr>
    </w:lvl>
    <w:lvl w:ilvl="7" w:tplc="04220019" w:tentative="1">
      <w:start w:val="1"/>
      <w:numFmt w:val="lowerLetter"/>
      <w:lvlText w:val="%8."/>
      <w:lvlJc w:val="left"/>
      <w:pPr>
        <w:ind w:left="6320" w:hanging="360"/>
      </w:pPr>
    </w:lvl>
    <w:lvl w:ilvl="8" w:tplc="0422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25376E49"/>
    <w:multiLevelType w:val="hybridMultilevel"/>
    <w:tmpl w:val="B16AAEC4"/>
    <w:lvl w:ilvl="0" w:tplc="F0C65F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EB29DE"/>
    <w:multiLevelType w:val="hybridMultilevel"/>
    <w:tmpl w:val="3CD88864"/>
    <w:lvl w:ilvl="0" w:tplc="A80AF80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62645"/>
    <w:multiLevelType w:val="hybridMultilevel"/>
    <w:tmpl w:val="B218F71C"/>
    <w:lvl w:ilvl="0" w:tplc="261A2EF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D16E1"/>
    <w:multiLevelType w:val="multilevel"/>
    <w:tmpl w:val="FC4ED2F2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2F8D6FD4"/>
    <w:multiLevelType w:val="multilevel"/>
    <w:tmpl w:val="CD5260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CC203D"/>
    <w:multiLevelType w:val="hybridMultilevel"/>
    <w:tmpl w:val="A5FA0FA6"/>
    <w:lvl w:ilvl="0" w:tplc="C42EAE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C80531"/>
    <w:multiLevelType w:val="hybridMultilevel"/>
    <w:tmpl w:val="9A9CD3CA"/>
    <w:lvl w:ilvl="0" w:tplc="4A8AFB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4719D9"/>
    <w:multiLevelType w:val="hybridMultilevel"/>
    <w:tmpl w:val="49E41CA6"/>
    <w:lvl w:ilvl="0" w:tplc="FFEC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38750F"/>
    <w:multiLevelType w:val="hybridMultilevel"/>
    <w:tmpl w:val="209C6D6C"/>
    <w:lvl w:ilvl="0" w:tplc="B270F4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683622"/>
    <w:multiLevelType w:val="hybridMultilevel"/>
    <w:tmpl w:val="5358EE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C59C1"/>
    <w:multiLevelType w:val="hybridMultilevel"/>
    <w:tmpl w:val="8E82929E"/>
    <w:lvl w:ilvl="0" w:tplc="B0483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7"/>
  </w:num>
  <w:num w:numId="15">
    <w:abstractNumId w:val="9"/>
  </w:num>
  <w:num w:numId="16">
    <w:abstractNumId w:val="10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3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710"/>
    <w:rsid w:val="0001429F"/>
    <w:rsid w:val="00014514"/>
    <w:rsid w:val="00017B03"/>
    <w:rsid w:val="000208C1"/>
    <w:rsid w:val="00023C6F"/>
    <w:rsid w:val="00046FDE"/>
    <w:rsid w:val="0005238F"/>
    <w:rsid w:val="0006307A"/>
    <w:rsid w:val="000653D2"/>
    <w:rsid w:val="000660D9"/>
    <w:rsid w:val="00092F71"/>
    <w:rsid w:val="000B7978"/>
    <w:rsid w:val="000C0523"/>
    <w:rsid w:val="000C1405"/>
    <w:rsid w:val="000F404A"/>
    <w:rsid w:val="000F4967"/>
    <w:rsid w:val="000F4E5F"/>
    <w:rsid w:val="00100EB2"/>
    <w:rsid w:val="00101EBB"/>
    <w:rsid w:val="00115746"/>
    <w:rsid w:val="001256BD"/>
    <w:rsid w:val="00134F13"/>
    <w:rsid w:val="00141F6E"/>
    <w:rsid w:val="0014321D"/>
    <w:rsid w:val="0016288C"/>
    <w:rsid w:val="00165E6A"/>
    <w:rsid w:val="00166973"/>
    <w:rsid w:val="00181AF1"/>
    <w:rsid w:val="00182C7B"/>
    <w:rsid w:val="001860BF"/>
    <w:rsid w:val="001A4B4A"/>
    <w:rsid w:val="001B05DB"/>
    <w:rsid w:val="001C08CB"/>
    <w:rsid w:val="001C3824"/>
    <w:rsid w:val="001C533F"/>
    <w:rsid w:val="001C5A1B"/>
    <w:rsid w:val="001C5AC2"/>
    <w:rsid w:val="001C7185"/>
    <w:rsid w:val="001D0EC4"/>
    <w:rsid w:val="001D5A32"/>
    <w:rsid w:val="001E343F"/>
    <w:rsid w:val="001E4A9D"/>
    <w:rsid w:val="001F4568"/>
    <w:rsid w:val="001F7C5B"/>
    <w:rsid w:val="002002A6"/>
    <w:rsid w:val="00203951"/>
    <w:rsid w:val="00210DC3"/>
    <w:rsid w:val="00212313"/>
    <w:rsid w:val="00215FAA"/>
    <w:rsid w:val="0023284D"/>
    <w:rsid w:val="00260675"/>
    <w:rsid w:val="00266547"/>
    <w:rsid w:val="00282425"/>
    <w:rsid w:val="00282A4A"/>
    <w:rsid w:val="002913A5"/>
    <w:rsid w:val="00292A8A"/>
    <w:rsid w:val="002942FD"/>
    <w:rsid w:val="002B27FE"/>
    <w:rsid w:val="002B3177"/>
    <w:rsid w:val="002C2D9A"/>
    <w:rsid w:val="002D331E"/>
    <w:rsid w:val="002D602D"/>
    <w:rsid w:val="002D6ABC"/>
    <w:rsid w:val="002D6FF9"/>
    <w:rsid w:val="002E1799"/>
    <w:rsid w:val="002E1A5F"/>
    <w:rsid w:val="002E36D9"/>
    <w:rsid w:val="002E640F"/>
    <w:rsid w:val="002F2E77"/>
    <w:rsid w:val="002F3287"/>
    <w:rsid w:val="002F5777"/>
    <w:rsid w:val="002F6B0D"/>
    <w:rsid w:val="003122F2"/>
    <w:rsid w:val="00314393"/>
    <w:rsid w:val="00323534"/>
    <w:rsid w:val="00331DF5"/>
    <w:rsid w:val="003540BB"/>
    <w:rsid w:val="003606FA"/>
    <w:rsid w:val="003615CF"/>
    <w:rsid w:val="00383B15"/>
    <w:rsid w:val="003A5A0C"/>
    <w:rsid w:val="003C10CE"/>
    <w:rsid w:val="003C1EA6"/>
    <w:rsid w:val="003D058C"/>
    <w:rsid w:val="003D2578"/>
    <w:rsid w:val="003E62D9"/>
    <w:rsid w:val="003F0EDD"/>
    <w:rsid w:val="003F49D6"/>
    <w:rsid w:val="004000C8"/>
    <w:rsid w:val="004103AD"/>
    <w:rsid w:val="00417EA9"/>
    <w:rsid w:val="00420E71"/>
    <w:rsid w:val="004243F2"/>
    <w:rsid w:val="00431BDF"/>
    <w:rsid w:val="00443708"/>
    <w:rsid w:val="004507A2"/>
    <w:rsid w:val="00452FFF"/>
    <w:rsid w:val="00462969"/>
    <w:rsid w:val="0049454A"/>
    <w:rsid w:val="004B31F1"/>
    <w:rsid w:val="004C2E3F"/>
    <w:rsid w:val="004D3E11"/>
    <w:rsid w:val="004E600F"/>
    <w:rsid w:val="004E69E5"/>
    <w:rsid w:val="00511AFD"/>
    <w:rsid w:val="00513BA3"/>
    <w:rsid w:val="00516662"/>
    <w:rsid w:val="005207AD"/>
    <w:rsid w:val="00523174"/>
    <w:rsid w:val="0054134A"/>
    <w:rsid w:val="0054345D"/>
    <w:rsid w:val="00546E23"/>
    <w:rsid w:val="00571749"/>
    <w:rsid w:val="00572D05"/>
    <w:rsid w:val="0057575C"/>
    <w:rsid w:val="005A6225"/>
    <w:rsid w:val="005D3ED7"/>
    <w:rsid w:val="005D433A"/>
    <w:rsid w:val="005F0258"/>
    <w:rsid w:val="005F6C17"/>
    <w:rsid w:val="00601B11"/>
    <w:rsid w:val="00612E06"/>
    <w:rsid w:val="00633115"/>
    <w:rsid w:val="0064003F"/>
    <w:rsid w:val="00641B5A"/>
    <w:rsid w:val="00642398"/>
    <w:rsid w:val="00643BBA"/>
    <w:rsid w:val="0065012E"/>
    <w:rsid w:val="0068717E"/>
    <w:rsid w:val="006968B5"/>
    <w:rsid w:val="006A462D"/>
    <w:rsid w:val="006B6A9C"/>
    <w:rsid w:val="006D3214"/>
    <w:rsid w:val="006E1E1A"/>
    <w:rsid w:val="006F0AB1"/>
    <w:rsid w:val="006F1CF7"/>
    <w:rsid w:val="007003AE"/>
    <w:rsid w:val="0072261B"/>
    <w:rsid w:val="00737724"/>
    <w:rsid w:val="0073777B"/>
    <w:rsid w:val="007478B0"/>
    <w:rsid w:val="00754C38"/>
    <w:rsid w:val="00755AA3"/>
    <w:rsid w:val="00765FF5"/>
    <w:rsid w:val="00776D9A"/>
    <w:rsid w:val="0078490F"/>
    <w:rsid w:val="00796F2C"/>
    <w:rsid w:val="007A7553"/>
    <w:rsid w:val="007C07F7"/>
    <w:rsid w:val="007D1EDD"/>
    <w:rsid w:val="007D3701"/>
    <w:rsid w:val="007E0D8E"/>
    <w:rsid w:val="007E1296"/>
    <w:rsid w:val="00805612"/>
    <w:rsid w:val="00811C0B"/>
    <w:rsid w:val="00830CA0"/>
    <w:rsid w:val="00844089"/>
    <w:rsid w:val="00856D60"/>
    <w:rsid w:val="00865059"/>
    <w:rsid w:val="008650ED"/>
    <w:rsid w:val="008677D7"/>
    <w:rsid w:val="00870254"/>
    <w:rsid w:val="00871D0D"/>
    <w:rsid w:val="008740B3"/>
    <w:rsid w:val="00874AE9"/>
    <w:rsid w:val="0087611A"/>
    <w:rsid w:val="00877BDD"/>
    <w:rsid w:val="008914CA"/>
    <w:rsid w:val="008A0D1F"/>
    <w:rsid w:val="008A6495"/>
    <w:rsid w:val="008A6989"/>
    <w:rsid w:val="008B14CD"/>
    <w:rsid w:val="008E2B3B"/>
    <w:rsid w:val="009038A7"/>
    <w:rsid w:val="00906B34"/>
    <w:rsid w:val="00923E76"/>
    <w:rsid w:val="0093709D"/>
    <w:rsid w:val="00941015"/>
    <w:rsid w:val="00951E3B"/>
    <w:rsid w:val="00954448"/>
    <w:rsid w:val="00961B8B"/>
    <w:rsid w:val="00972219"/>
    <w:rsid w:val="00974CD3"/>
    <w:rsid w:val="00980860"/>
    <w:rsid w:val="0098491A"/>
    <w:rsid w:val="009927B0"/>
    <w:rsid w:val="009A0E72"/>
    <w:rsid w:val="009A678D"/>
    <w:rsid w:val="009B37A3"/>
    <w:rsid w:val="009B4212"/>
    <w:rsid w:val="009C4756"/>
    <w:rsid w:val="009F02E6"/>
    <w:rsid w:val="009F2710"/>
    <w:rsid w:val="009F6055"/>
    <w:rsid w:val="009F74AC"/>
    <w:rsid w:val="00A00BEA"/>
    <w:rsid w:val="00A01AD6"/>
    <w:rsid w:val="00A06386"/>
    <w:rsid w:val="00A210BA"/>
    <w:rsid w:val="00A2668A"/>
    <w:rsid w:val="00A340D4"/>
    <w:rsid w:val="00A35D3B"/>
    <w:rsid w:val="00A36E03"/>
    <w:rsid w:val="00A41F22"/>
    <w:rsid w:val="00A51122"/>
    <w:rsid w:val="00A744D0"/>
    <w:rsid w:val="00A855D7"/>
    <w:rsid w:val="00A906E2"/>
    <w:rsid w:val="00A93C78"/>
    <w:rsid w:val="00AA1443"/>
    <w:rsid w:val="00AA28E1"/>
    <w:rsid w:val="00AA4327"/>
    <w:rsid w:val="00AB03F9"/>
    <w:rsid w:val="00AE3948"/>
    <w:rsid w:val="00AE57D8"/>
    <w:rsid w:val="00AE5985"/>
    <w:rsid w:val="00AF1513"/>
    <w:rsid w:val="00AF79F3"/>
    <w:rsid w:val="00B133C6"/>
    <w:rsid w:val="00B212A9"/>
    <w:rsid w:val="00B3720F"/>
    <w:rsid w:val="00B43879"/>
    <w:rsid w:val="00B50CA7"/>
    <w:rsid w:val="00B5361B"/>
    <w:rsid w:val="00B54BEC"/>
    <w:rsid w:val="00B57276"/>
    <w:rsid w:val="00B66E88"/>
    <w:rsid w:val="00B71079"/>
    <w:rsid w:val="00B81654"/>
    <w:rsid w:val="00B97F6D"/>
    <w:rsid w:val="00BC5C42"/>
    <w:rsid w:val="00BD00CB"/>
    <w:rsid w:val="00BD3D3C"/>
    <w:rsid w:val="00BE6DAD"/>
    <w:rsid w:val="00BF17BD"/>
    <w:rsid w:val="00C058D1"/>
    <w:rsid w:val="00C17377"/>
    <w:rsid w:val="00C308ED"/>
    <w:rsid w:val="00C36F40"/>
    <w:rsid w:val="00C40607"/>
    <w:rsid w:val="00C442B8"/>
    <w:rsid w:val="00C54CB0"/>
    <w:rsid w:val="00CB205E"/>
    <w:rsid w:val="00CB7D5A"/>
    <w:rsid w:val="00CC0040"/>
    <w:rsid w:val="00CC18D4"/>
    <w:rsid w:val="00CC6027"/>
    <w:rsid w:val="00CD3FC5"/>
    <w:rsid w:val="00CD7876"/>
    <w:rsid w:val="00CE10DA"/>
    <w:rsid w:val="00CE1824"/>
    <w:rsid w:val="00CE4E74"/>
    <w:rsid w:val="00CF5337"/>
    <w:rsid w:val="00D05242"/>
    <w:rsid w:val="00D13240"/>
    <w:rsid w:val="00D1549E"/>
    <w:rsid w:val="00D33675"/>
    <w:rsid w:val="00D447A0"/>
    <w:rsid w:val="00D720F3"/>
    <w:rsid w:val="00DC1A5D"/>
    <w:rsid w:val="00DC5740"/>
    <w:rsid w:val="00DC5891"/>
    <w:rsid w:val="00DD08C8"/>
    <w:rsid w:val="00DD2DED"/>
    <w:rsid w:val="00DE6D66"/>
    <w:rsid w:val="00DF2322"/>
    <w:rsid w:val="00E02537"/>
    <w:rsid w:val="00E10034"/>
    <w:rsid w:val="00E13ED9"/>
    <w:rsid w:val="00E1407B"/>
    <w:rsid w:val="00E14451"/>
    <w:rsid w:val="00E253D6"/>
    <w:rsid w:val="00E42375"/>
    <w:rsid w:val="00E45CE3"/>
    <w:rsid w:val="00E50D3A"/>
    <w:rsid w:val="00E631EF"/>
    <w:rsid w:val="00E72EE6"/>
    <w:rsid w:val="00EC5B07"/>
    <w:rsid w:val="00ED713C"/>
    <w:rsid w:val="00EE0783"/>
    <w:rsid w:val="00EE75B2"/>
    <w:rsid w:val="00EE7F27"/>
    <w:rsid w:val="00F05447"/>
    <w:rsid w:val="00F069E6"/>
    <w:rsid w:val="00F13636"/>
    <w:rsid w:val="00F24375"/>
    <w:rsid w:val="00F40DFF"/>
    <w:rsid w:val="00F41EC2"/>
    <w:rsid w:val="00F45DB9"/>
    <w:rsid w:val="00F530EF"/>
    <w:rsid w:val="00F55B53"/>
    <w:rsid w:val="00F73BD0"/>
    <w:rsid w:val="00F763B7"/>
    <w:rsid w:val="00F85E05"/>
    <w:rsid w:val="00F90B43"/>
    <w:rsid w:val="00F95EDC"/>
    <w:rsid w:val="00FA2ACF"/>
    <w:rsid w:val="00FB5273"/>
    <w:rsid w:val="00FC2D5B"/>
    <w:rsid w:val="00FD7BD5"/>
    <w:rsid w:val="00FE1544"/>
    <w:rsid w:val="00FE7BFD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7B6FC7-37E1-455E-B478-C30A3B4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A0"/>
    <w:pPr>
      <w:spacing w:line="276" w:lineRule="auto"/>
    </w:pPr>
    <w:rPr>
      <w:sz w:val="26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EBB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EBB"/>
  </w:style>
  <w:style w:type="paragraph" w:styleId="a6">
    <w:name w:val="footer"/>
    <w:basedOn w:val="a"/>
    <w:link w:val="a7"/>
    <w:uiPriority w:val="99"/>
    <w:unhideWhenUsed/>
    <w:rsid w:val="00101EB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EBB"/>
  </w:style>
  <w:style w:type="paragraph" w:styleId="a8">
    <w:name w:val="Body Text"/>
    <w:basedOn w:val="a"/>
    <w:link w:val="a9"/>
    <w:rsid w:val="006D3214"/>
    <w:pPr>
      <w:spacing w:line="240" w:lineRule="auto"/>
      <w:jc w:val="both"/>
    </w:pPr>
    <w:rPr>
      <w:rFonts w:eastAsia="Times New Roman"/>
      <w:sz w:val="28"/>
      <w:szCs w:val="20"/>
      <w:lang w:val="x-none" w:eastAsia="ru-RU"/>
    </w:rPr>
  </w:style>
  <w:style w:type="character" w:customStyle="1" w:styleId="a9">
    <w:name w:val="Основной текст Знак"/>
    <w:link w:val="a8"/>
    <w:rsid w:val="006D3214"/>
    <w:rPr>
      <w:rFonts w:eastAsia="Times New Roman"/>
      <w:sz w:val="28"/>
      <w:lang w:eastAsia="ru-RU"/>
    </w:rPr>
  </w:style>
  <w:style w:type="paragraph" w:styleId="HTML">
    <w:name w:val="HTML Preformatted"/>
    <w:basedOn w:val="a"/>
    <w:link w:val="HTML0"/>
    <w:rsid w:val="006D3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D3214"/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6D3214"/>
    <w:pPr>
      <w:spacing w:line="240" w:lineRule="auto"/>
      <w:ind w:left="708"/>
    </w:pPr>
    <w:rPr>
      <w:rFonts w:eastAsia="Times New Roman"/>
      <w:sz w:val="20"/>
      <w:szCs w:val="20"/>
      <w:lang w:eastAsia="uk-UA"/>
    </w:rPr>
  </w:style>
  <w:style w:type="paragraph" w:customStyle="1" w:styleId="rvps7">
    <w:name w:val="rvps7"/>
    <w:basedOn w:val="a"/>
    <w:rsid w:val="009A67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A678D"/>
  </w:style>
  <w:style w:type="paragraph" w:customStyle="1" w:styleId="rvps2">
    <w:name w:val="rvps2"/>
    <w:basedOn w:val="a"/>
    <w:rsid w:val="009A67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b">
    <w:name w:val="Hyperlink"/>
    <w:uiPriority w:val="99"/>
    <w:unhideWhenUsed/>
    <w:rsid w:val="009A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760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792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480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1849</Words>
  <Characters>10543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Національна комісія</Company>
  <LinksUpToDate>false</LinksUpToDate>
  <CharactersWithSpaces>12368</CharactersWithSpaces>
  <SharedDoc>false</SharedDoc>
  <HLinks>
    <vt:vector size="18" baseType="variant"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https://zakon.rada.gov.ua/laws/show/z1760-12</vt:lpwstr>
      </vt:variant>
      <vt:variant>
        <vt:lpwstr>n17</vt:lpwstr>
      </vt:variant>
      <vt:variant>
        <vt:i4>7274539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https://zakon.rada.gov.ua/laws/show/3792-12</vt:lpwstr>
      </vt:variant>
      <vt:variant>
        <vt:lpwstr/>
      </vt:variant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https://zakon.rada.gov.ua/laws/show/3480-15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zemlianoy</dc:creator>
  <cp:keywords/>
  <cp:lastModifiedBy>Руслан Кисляк</cp:lastModifiedBy>
  <cp:revision>2</cp:revision>
  <dcterms:created xsi:type="dcterms:W3CDTF">2019-09-05T12:20:00Z</dcterms:created>
  <dcterms:modified xsi:type="dcterms:W3CDTF">2019-09-05T12:20:00Z</dcterms:modified>
</cp:coreProperties>
</file>