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67" w:rsidRDefault="00BE2F67" w:rsidP="00BE2F67">
      <w:pPr>
        <w:pStyle w:val="1"/>
        <w:jc w:val="center"/>
        <w:rPr>
          <w:b/>
          <w:sz w:val="26"/>
          <w:szCs w:val="26"/>
        </w:rPr>
      </w:pPr>
      <w:r>
        <w:rPr>
          <w:b/>
          <w:sz w:val="26"/>
          <w:szCs w:val="26"/>
        </w:rPr>
        <w:t>НАЦІОНАЛЬНА КОМІСІЯ З ЦІННИХ ПАПЕРІВ ТА ФОНДОВОГО РИНКУ</w:t>
      </w:r>
    </w:p>
    <w:p w:rsidR="00BE2F67" w:rsidRDefault="00BE2F67" w:rsidP="00BE2F67">
      <w:pPr>
        <w:pStyle w:val="1"/>
        <w:jc w:val="center"/>
        <w:rPr>
          <w:b/>
          <w:sz w:val="26"/>
          <w:szCs w:val="26"/>
        </w:rPr>
      </w:pPr>
    </w:p>
    <w:p w:rsidR="00BE2F67" w:rsidRPr="00BE2F67" w:rsidRDefault="00BE2F67" w:rsidP="00BE2F67">
      <w:pPr>
        <w:pStyle w:val="a6"/>
        <w:jc w:val="center"/>
        <w:rPr>
          <w:b/>
          <w:sz w:val="28"/>
          <w:szCs w:val="28"/>
        </w:rPr>
      </w:pPr>
      <w:bookmarkStart w:id="0" w:name="_GoBack"/>
      <w:r>
        <w:rPr>
          <w:b/>
          <w:sz w:val="28"/>
          <w:szCs w:val="28"/>
        </w:rPr>
        <w:t>П О С Т А Н О В А №</w:t>
      </w:r>
      <w:r w:rsidR="006C42BA">
        <w:rPr>
          <w:b/>
          <w:sz w:val="28"/>
          <w:szCs w:val="28"/>
          <w:lang w:val="ru-RU"/>
        </w:rPr>
        <w:t xml:space="preserve"> </w:t>
      </w:r>
      <w:r w:rsidR="003864F2">
        <w:rPr>
          <w:b/>
          <w:sz w:val="28"/>
          <w:szCs w:val="28"/>
          <w:lang w:val="ru-RU"/>
        </w:rPr>
        <w:t>436</w:t>
      </w:r>
      <w:r w:rsidR="003864F2">
        <w:rPr>
          <w:b/>
          <w:sz w:val="28"/>
          <w:szCs w:val="28"/>
        </w:rPr>
        <w:t>-ДП-</w:t>
      </w:r>
      <w:r w:rsidR="00704410">
        <w:rPr>
          <w:b/>
          <w:sz w:val="28"/>
          <w:szCs w:val="28"/>
        </w:rPr>
        <w:t>Т</w:t>
      </w:r>
    </w:p>
    <w:p w:rsidR="00BE2F67" w:rsidRDefault="00BE2F67" w:rsidP="00BE2F67">
      <w:pPr>
        <w:pStyle w:val="21"/>
        <w:ind w:firstLine="0"/>
        <w:jc w:val="center"/>
        <w:rPr>
          <w:b/>
          <w:szCs w:val="28"/>
          <w:lang w:val="uk-UA"/>
        </w:rPr>
      </w:pPr>
      <w:r>
        <w:rPr>
          <w:b/>
          <w:szCs w:val="28"/>
          <w:lang w:val="uk-UA"/>
        </w:rPr>
        <w:t>про накладення санкції за правопорушення на ринку цінних паперів</w:t>
      </w:r>
    </w:p>
    <w:bookmarkEnd w:id="0"/>
    <w:p w:rsidR="00BE2F67" w:rsidRPr="008F0CD7" w:rsidRDefault="00BE2F67" w:rsidP="00BE2F67">
      <w:pPr>
        <w:pStyle w:val="21"/>
        <w:ind w:right="-284" w:firstLine="0"/>
        <w:rPr>
          <w:szCs w:val="28"/>
          <w:lang w:val="uk-UA"/>
        </w:rPr>
      </w:pPr>
    </w:p>
    <w:p w:rsidR="00BE2F67" w:rsidRDefault="00704410" w:rsidP="00BE2F67">
      <w:pPr>
        <w:pStyle w:val="21"/>
        <w:ind w:right="-284" w:firstLine="360"/>
        <w:rPr>
          <w:szCs w:val="28"/>
          <w:lang w:val="uk-UA"/>
        </w:rPr>
      </w:pPr>
      <w:r>
        <w:rPr>
          <w:szCs w:val="28"/>
          <w:lang w:val="uk-UA"/>
        </w:rPr>
        <w:t>м. Київ</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w:t>
      </w:r>
      <w:r w:rsidR="003864F2">
        <w:rPr>
          <w:szCs w:val="28"/>
          <w:lang w:val="uk-UA"/>
        </w:rPr>
        <w:t>10 вересня</w:t>
      </w:r>
      <w:r w:rsidR="00BE2F67">
        <w:rPr>
          <w:szCs w:val="28"/>
          <w:lang w:val="uk-UA"/>
        </w:rPr>
        <w:t xml:space="preserve"> 2019 року</w:t>
      </w:r>
    </w:p>
    <w:p w:rsidR="00BE2F67" w:rsidRPr="008F0CD7" w:rsidRDefault="00BE2F67" w:rsidP="00BE2F67">
      <w:pPr>
        <w:ind w:firstLine="709"/>
        <w:jc w:val="both"/>
        <w:rPr>
          <w:sz w:val="28"/>
          <w:szCs w:val="28"/>
        </w:rPr>
      </w:pPr>
    </w:p>
    <w:p w:rsidR="00B6155E" w:rsidRPr="00B6155E" w:rsidRDefault="00BE2F67" w:rsidP="00B6155E">
      <w:pPr>
        <w:ind w:firstLine="567"/>
        <w:jc w:val="both"/>
        <w:rPr>
          <w:sz w:val="28"/>
          <w:szCs w:val="28"/>
        </w:rPr>
      </w:pPr>
      <w:r w:rsidRPr="00BE2F67">
        <w:rPr>
          <w:sz w:val="28"/>
          <w:szCs w:val="28"/>
        </w:rPr>
        <w:t>Ми, уповноважені особи Національної комісії з цінних паперів та фондового ринку (далі - Комісія) –</w:t>
      </w:r>
      <w:r w:rsidR="00704410">
        <w:rPr>
          <w:sz w:val="28"/>
          <w:szCs w:val="28"/>
        </w:rPr>
        <w:t xml:space="preserve"> член Комісії Назарчук І.Р., Панченко О.С., </w:t>
      </w:r>
      <w:r w:rsidR="00FF09C0">
        <w:rPr>
          <w:sz w:val="28"/>
          <w:szCs w:val="28"/>
        </w:rPr>
        <w:br/>
      </w:r>
      <w:r w:rsidR="00704410">
        <w:rPr>
          <w:sz w:val="28"/>
          <w:szCs w:val="28"/>
        </w:rPr>
        <w:t xml:space="preserve">Тарабакін Д.В., </w:t>
      </w:r>
      <w:r w:rsidRPr="00BE2F67">
        <w:rPr>
          <w:sz w:val="28"/>
          <w:szCs w:val="28"/>
        </w:rPr>
        <w:t>на підставі доручення Голови Комісії Хр</w:t>
      </w:r>
      <w:r w:rsidR="00FF09C0">
        <w:rPr>
          <w:sz w:val="28"/>
          <w:szCs w:val="28"/>
        </w:rPr>
        <w:t xml:space="preserve">омаєва Т.З. від </w:t>
      </w:r>
      <w:r w:rsidR="004F5902">
        <w:rPr>
          <w:sz w:val="28"/>
          <w:szCs w:val="28"/>
        </w:rPr>
        <w:t>05.08</w:t>
      </w:r>
      <w:r w:rsidR="000A3687">
        <w:rPr>
          <w:sz w:val="28"/>
          <w:szCs w:val="28"/>
        </w:rPr>
        <w:t>.2019 №4</w:t>
      </w:r>
      <w:r w:rsidR="002805E7">
        <w:rPr>
          <w:sz w:val="28"/>
          <w:szCs w:val="28"/>
        </w:rPr>
        <w:t>61-ДП-Т</w:t>
      </w:r>
      <w:r w:rsidR="004D1E52">
        <w:rPr>
          <w:sz w:val="28"/>
          <w:szCs w:val="28"/>
        </w:rPr>
        <w:t xml:space="preserve">, </w:t>
      </w:r>
      <w:r w:rsidR="004D1E52" w:rsidRPr="004D1E52">
        <w:rPr>
          <w:bCs/>
          <w:iCs/>
          <w:sz w:val="28"/>
          <w:szCs w:val="28"/>
        </w:rPr>
        <w:t xml:space="preserve">розглянувши матеріали справи про правопорушення на ринку цінних паперів, </w:t>
      </w:r>
      <w:r w:rsidRPr="00BE2F67">
        <w:rPr>
          <w:sz w:val="28"/>
          <w:szCs w:val="28"/>
        </w:rPr>
        <w:t xml:space="preserve">у відношенні </w:t>
      </w:r>
      <w:r w:rsidR="00B6155E" w:rsidRPr="00B6155E">
        <w:rPr>
          <w:sz w:val="28"/>
          <w:szCs w:val="28"/>
        </w:rPr>
        <w:t xml:space="preserve">Товариства з обмеженою відповідальністю </w:t>
      </w:r>
      <w:r w:rsidR="00B6155E" w:rsidRPr="00B6155E">
        <w:rPr>
          <w:sz w:val="28"/>
          <w:szCs w:val="28"/>
        </w:rPr>
        <w:br/>
        <w:t>«Абріс-інвест» (далі – ТОВ «Абріс-інвест», Товариство), місцезнаходження: 03134, м. Київ, вул. Сім’ї Сосніних, буд 3; ідентифікаційний код юридичної особи 31280357,</w:t>
      </w:r>
    </w:p>
    <w:p w:rsidR="00BE2F67" w:rsidRDefault="00BE2F67" w:rsidP="004C1362">
      <w:pPr>
        <w:ind w:firstLine="709"/>
        <w:jc w:val="both"/>
        <w:rPr>
          <w:noProof/>
          <w:sz w:val="28"/>
          <w:szCs w:val="28"/>
        </w:rPr>
      </w:pPr>
    </w:p>
    <w:p w:rsidR="00BE2F67" w:rsidRDefault="00BE2F67" w:rsidP="004C1362">
      <w:pPr>
        <w:pStyle w:val="a6"/>
        <w:spacing w:after="0"/>
        <w:ind w:left="0" w:firstLine="709"/>
        <w:jc w:val="center"/>
        <w:rPr>
          <w:b/>
          <w:sz w:val="28"/>
          <w:szCs w:val="28"/>
        </w:rPr>
      </w:pPr>
      <w:r>
        <w:rPr>
          <w:b/>
          <w:sz w:val="28"/>
          <w:szCs w:val="28"/>
        </w:rPr>
        <w:t>в с т а н о в и л и:</w:t>
      </w:r>
    </w:p>
    <w:p w:rsidR="00BE2F67" w:rsidRDefault="00BE2F67" w:rsidP="009D1404">
      <w:pPr>
        <w:jc w:val="both"/>
        <w:rPr>
          <w:sz w:val="28"/>
          <w:szCs w:val="28"/>
        </w:rPr>
      </w:pPr>
    </w:p>
    <w:p w:rsidR="00E676E3" w:rsidRPr="00E676E3" w:rsidRDefault="00E676E3" w:rsidP="00E676E3">
      <w:pPr>
        <w:ind w:firstLine="567"/>
        <w:jc w:val="both"/>
        <w:rPr>
          <w:sz w:val="28"/>
          <w:szCs w:val="28"/>
        </w:rPr>
      </w:pPr>
      <w:r w:rsidRPr="00E676E3">
        <w:rPr>
          <w:sz w:val="28"/>
          <w:szCs w:val="28"/>
        </w:rPr>
        <w:t xml:space="preserve">у відношенні ТОВ «Абріс-інвест» було складено акт про правопорушення на ринку цінних паперів від </w:t>
      </w:r>
      <w:r w:rsidRPr="00E676E3">
        <w:rPr>
          <w:sz w:val="28"/>
          <w:szCs w:val="28"/>
          <w:lang w:val="ru-RU"/>
        </w:rPr>
        <w:t>20.08.2019</w:t>
      </w:r>
      <w:r w:rsidRPr="00E676E3">
        <w:rPr>
          <w:sz w:val="28"/>
          <w:szCs w:val="28"/>
        </w:rPr>
        <w:t xml:space="preserve"> №616-ДП-Т, відповідно до якого встановлено наступне. </w:t>
      </w:r>
    </w:p>
    <w:p w:rsidR="00E676E3" w:rsidRPr="00E676E3" w:rsidRDefault="00E676E3" w:rsidP="00E676E3">
      <w:pPr>
        <w:ind w:firstLine="567"/>
        <w:jc w:val="both"/>
        <w:rPr>
          <w:sz w:val="28"/>
          <w:szCs w:val="28"/>
        </w:rPr>
      </w:pPr>
      <w:r w:rsidRPr="00E676E3">
        <w:rPr>
          <w:sz w:val="28"/>
          <w:szCs w:val="28"/>
        </w:rPr>
        <w:t xml:space="preserve">Відповідно до пункту 2 розділу ІІ Ліцензійних умов провадження професійної діяльності на фондовому ринку (ринку цінних паперів) – діяльності з торгівлі цінними паперами, затверджених рішенням Комісії від 14.05.2013 </w:t>
      </w:r>
      <w:r w:rsidRPr="00E676E3">
        <w:rPr>
          <w:sz w:val="28"/>
          <w:szCs w:val="28"/>
        </w:rPr>
        <w:br/>
        <w:t>№ 819, зареєстрованим в Міністерстві юстиції України 01.06.2013 року за №857/23389 (далі – Ліцензійні умови № 819), ліцензіат при провадженні діяльності з торгівлі цінними паперами має відповідати вимогам, зокрема, нормативно-правових актів Комісії, що регулюють правила (порядок) провадження професійної діяльності на фондовому ринку за кожним видом діяльності - діяльності з торгівлі цінними паперами, на який ліцензіат отримав відповідну ліцензію.</w:t>
      </w:r>
    </w:p>
    <w:p w:rsidR="00E676E3" w:rsidRPr="00E676E3" w:rsidRDefault="00E676E3" w:rsidP="00E676E3">
      <w:pPr>
        <w:ind w:firstLine="567"/>
        <w:jc w:val="both"/>
        <w:rPr>
          <w:sz w:val="28"/>
          <w:szCs w:val="28"/>
        </w:rPr>
      </w:pPr>
      <w:r w:rsidRPr="00E676E3">
        <w:rPr>
          <w:sz w:val="28"/>
          <w:szCs w:val="28"/>
        </w:rPr>
        <w:t xml:space="preserve">Згідно  пункту 1 розділу ІІІ Положення про порядок складання та подання адміністративних даних щодо діяльності торговців цінними паперами до Комісії, затвердженого рішенням Комісії від 25.09.2012 №1283, зареєстрованим </w:t>
      </w:r>
      <w:r w:rsidRPr="00E676E3">
        <w:rPr>
          <w:sz w:val="28"/>
          <w:szCs w:val="28"/>
        </w:rPr>
        <w:br/>
        <w:t xml:space="preserve">в Міністерстві юстиції України 16.10.2012 року за № 1737/22049 </w:t>
      </w:r>
      <w:r w:rsidRPr="00E676E3">
        <w:rPr>
          <w:sz w:val="28"/>
          <w:szCs w:val="28"/>
        </w:rPr>
        <w:br/>
        <w:t xml:space="preserve">(далі – Положення №1283), торговець цінними паперами подає місячні Дані до центрального апарату Комісії не пізніше останнього числа місяця, наступного за звітним. </w:t>
      </w:r>
    </w:p>
    <w:p w:rsidR="00E676E3" w:rsidRPr="00E676E3" w:rsidRDefault="00E676E3" w:rsidP="00E676E3">
      <w:pPr>
        <w:ind w:firstLine="567"/>
        <w:jc w:val="both"/>
        <w:rPr>
          <w:sz w:val="28"/>
          <w:szCs w:val="28"/>
        </w:rPr>
      </w:pPr>
      <w:r w:rsidRPr="00E676E3">
        <w:rPr>
          <w:sz w:val="28"/>
          <w:szCs w:val="28"/>
        </w:rPr>
        <w:t xml:space="preserve">Станом на 24.07.2019 адміністративні дані торговця цінними паперами за травень 2019 року Товариством не подані. </w:t>
      </w:r>
    </w:p>
    <w:p w:rsidR="00E676E3" w:rsidRPr="00E676E3" w:rsidRDefault="00E676E3" w:rsidP="00E676E3">
      <w:pPr>
        <w:ind w:firstLine="567"/>
        <w:jc w:val="both"/>
        <w:rPr>
          <w:sz w:val="28"/>
          <w:szCs w:val="28"/>
        </w:rPr>
      </w:pPr>
      <w:r w:rsidRPr="00E676E3">
        <w:rPr>
          <w:sz w:val="28"/>
          <w:szCs w:val="28"/>
        </w:rPr>
        <w:t>Таким чином, торговець цінними паперами ТОВ «Абріс-інвест» порушив вимоги пункту 2 розділу ІІ Ліцензійних умов № 819, в частині не дотримання вимог пункту 1 розділу ІІІ Положення № 1283, а саме: неподання до Комісії адміністративних даних торговця цінними паперами за травень 2019 року.</w:t>
      </w:r>
    </w:p>
    <w:p w:rsidR="00E676E3" w:rsidRPr="00E676E3" w:rsidRDefault="00E676E3" w:rsidP="00E676E3">
      <w:pPr>
        <w:ind w:firstLine="567"/>
        <w:jc w:val="both"/>
        <w:rPr>
          <w:sz w:val="28"/>
          <w:szCs w:val="28"/>
        </w:rPr>
      </w:pPr>
      <w:r w:rsidRPr="00E676E3">
        <w:rPr>
          <w:sz w:val="28"/>
          <w:szCs w:val="28"/>
        </w:rPr>
        <w:lastRenderedPageBreak/>
        <w:t xml:space="preserve">Також, у відношенні ТОВ «Абріс-інвест» було складено акт про правопорушення на ринку цінних паперів від </w:t>
      </w:r>
      <w:r w:rsidRPr="00E676E3">
        <w:rPr>
          <w:sz w:val="28"/>
          <w:szCs w:val="28"/>
          <w:lang w:val="ru-RU"/>
        </w:rPr>
        <w:t>01.08.2019</w:t>
      </w:r>
      <w:r w:rsidRPr="00E676E3">
        <w:rPr>
          <w:sz w:val="28"/>
          <w:szCs w:val="28"/>
        </w:rPr>
        <w:t xml:space="preserve"> №605-ДП-Т, відповідно до якого встановлено наступне. </w:t>
      </w:r>
    </w:p>
    <w:p w:rsidR="00E676E3" w:rsidRPr="00E676E3" w:rsidRDefault="00E676E3" w:rsidP="00E676E3">
      <w:pPr>
        <w:ind w:firstLine="567"/>
        <w:jc w:val="both"/>
        <w:rPr>
          <w:sz w:val="28"/>
          <w:szCs w:val="28"/>
        </w:rPr>
      </w:pPr>
      <w:r w:rsidRPr="00E676E3">
        <w:rPr>
          <w:sz w:val="28"/>
          <w:szCs w:val="28"/>
        </w:rPr>
        <w:t>Відповідно до пункту 2 розділу ІІ Ліцензійних умов №819, ліцензіат при провадженні діяльності з торгівлі цінними паперами має відповідати вимогам, зокрема, нормативно-правових актів Комісії, що регулюють правила (порядок) провадження професійної діяльності на фондовому ринку за кожним видом діяльності - діяльності з торгівлі цінними паперами, на який ліцензіат отримав відповідну ліцензію.</w:t>
      </w:r>
    </w:p>
    <w:p w:rsidR="00E676E3" w:rsidRPr="00E676E3" w:rsidRDefault="00E676E3" w:rsidP="00E676E3">
      <w:pPr>
        <w:ind w:firstLine="567"/>
        <w:jc w:val="both"/>
        <w:rPr>
          <w:sz w:val="28"/>
          <w:szCs w:val="28"/>
        </w:rPr>
      </w:pPr>
      <w:r w:rsidRPr="00E676E3">
        <w:rPr>
          <w:sz w:val="28"/>
          <w:szCs w:val="28"/>
        </w:rPr>
        <w:t xml:space="preserve">Згідно з пунктом 1 розділу ІІІ Положення про порядок складання та подання адміністративних даних щодо діяльності торговців цінними паперами до Національної комісії з цінних паперів та фондового ринку, затвердженого рішенням Комісії від 25.09.2012 № 1283, зареєстрованим в Міністерстві юстиції України 16.10.2012 за № 1737/22049 (далі – Положення №1283), торговець цінними паперами подає місячні Дані до центрального апарату Комісії не пізніше останнього числа місяця, наступного за звітним. </w:t>
      </w:r>
    </w:p>
    <w:p w:rsidR="00E676E3" w:rsidRPr="00E676E3" w:rsidRDefault="00E676E3" w:rsidP="00E676E3">
      <w:pPr>
        <w:ind w:firstLine="567"/>
        <w:jc w:val="both"/>
        <w:rPr>
          <w:sz w:val="28"/>
          <w:szCs w:val="28"/>
        </w:rPr>
      </w:pPr>
      <w:r w:rsidRPr="00E676E3">
        <w:rPr>
          <w:sz w:val="28"/>
          <w:szCs w:val="28"/>
        </w:rPr>
        <w:t xml:space="preserve">Станом на 15.05.2019 адміністративні дані не подані. </w:t>
      </w:r>
    </w:p>
    <w:p w:rsidR="00E676E3" w:rsidRPr="00E676E3" w:rsidRDefault="00E676E3" w:rsidP="00E676E3">
      <w:pPr>
        <w:ind w:firstLine="567"/>
        <w:jc w:val="both"/>
        <w:rPr>
          <w:sz w:val="28"/>
          <w:szCs w:val="28"/>
        </w:rPr>
      </w:pPr>
      <w:r w:rsidRPr="00E676E3">
        <w:rPr>
          <w:sz w:val="28"/>
          <w:szCs w:val="28"/>
        </w:rPr>
        <w:t xml:space="preserve">Таким чином, торговець цінними паперами ТОВ «Абріс-інвест» порушив вимоги пункту 2 розділу ІІ Ліцензійних умов № 819, в частині не дотримання вимог пункту 1 розділу ІІІ Положення № 1283, а саме: неподання до Комісії адміністративних даних торговця цінними паперами за січень, лютий, березень, квітень 2019 року. </w:t>
      </w:r>
    </w:p>
    <w:p w:rsidR="00E676E3" w:rsidRPr="00E676E3" w:rsidRDefault="00E676E3" w:rsidP="00E676E3">
      <w:pPr>
        <w:ind w:firstLine="567"/>
        <w:jc w:val="both"/>
        <w:rPr>
          <w:sz w:val="28"/>
          <w:szCs w:val="28"/>
        </w:rPr>
      </w:pPr>
      <w:r w:rsidRPr="00E676E3">
        <w:rPr>
          <w:sz w:val="28"/>
          <w:szCs w:val="28"/>
        </w:rPr>
        <w:t xml:space="preserve">Також, у відношенні, ТОВ «Абріс-інвест» було складено акт про правопорушення на ринку цінних паперів від </w:t>
      </w:r>
      <w:r w:rsidRPr="00E676E3">
        <w:rPr>
          <w:sz w:val="28"/>
          <w:szCs w:val="28"/>
          <w:lang w:val="ru-RU"/>
        </w:rPr>
        <w:t>01.08.2019</w:t>
      </w:r>
      <w:r w:rsidRPr="00E676E3">
        <w:rPr>
          <w:sz w:val="28"/>
          <w:szCs w:val="28"/>
        </w:rPr>
        <w:t xml:space="preserve"> №606-ДП-Т, відповідно до якого встановлено наступне. </w:t>
      </w:r>
    </w:p>
    <w:p w:rsidR="00E676E3" w:rsidRPr="00E676E3" w:rsidRDefault="00E676E3" w:rsidP="00E676E3">
      <w:pPr>
        <w:ind w:firstLine="567"/>
        <w:jc w:val="both"/>
        <w:rPr>
          <w:sz w:val="28"/>
          <w:szCs w:val="28"/>
        </w:rPr>
      </w:pPr>
      <w:r w:rsidRPr="00E676E3">
        <w:rPr>
          <w:sz w:val="28"/>
          <w:szCs w:val="28"/>
        </w:rPr>
        <w:t xml:space="preserve">у відношенні ТОВ «Абріс-інвест» було винесено розпорядження про усунення порушень законодавства про цінні папери № 111-ДП-Т від 11.04.2019, відповідно до якого товариству необхідно було в термін до 26 квітня 2019 року усунути порушення та до 26 квітня 2019 року письмово проінформувати уповноважену особу Комісії та департамент ліцензування професійних учасників фондового ринку про виконання розпорядження про усунення порушення законодавства про цінні папери, а саме порушення вимоги абзацу третього пункту 7 розділу II Ліцензійних умов №819, в частині не відновлення необхідної кількості сертифікованих фахівців протягом трьох місяців. </w:t>
      </w:r>
    </w:p>
    <w:p w:rsidR="00E676E3" w:rsidRPr="00E676E3" w:rsidRDefault="00E676E3" w:rsidP="00E676E3">
      <w:pPr>
        <w:ind w:firstLine="567"/>
        <w:jc w:val="both"/>
        <w:rPr>
          <w:sz w:val="28"/>
          <w:szCs w:val="28"/>
        </w:rPr>
      </w:pPr>
      <w:r w:rsidRPr="00E676E3">
        <w:rPr>
          <w:sz w:val="28"/>
          <w:szCs w:val="28"/>
        </w:rPr>
        <w:t xml:space="preserve">Відповідно до пункту 17 розділу І Порядку та умов видачі ліцензії на провадження окремих видів професійної діяльності на фондовому ринку (ринку цінних паперів), затвердженого рішенням Комісії від 14.05.2013 № 817, зареєстрованим Міністерством юстиції України 01.06.2013 за № 854/23386 </w:t>
      </w:r>
      <w:r w:rsidRPr="00E676E3">
        <w:rPr>
          <w:sz w:val="28"/>
          <w:szCs w:val="28"/>
        </w:rPr>
        <w:br/>
        <w:t xml:space="preserve">(далі– Порядок та умови №817) вимоги, установлені цими Порядком та умовами, повинні виконуватись посадовими особами ліцензіата та ліцензіатом протягом усього строку провадження професійної діяльності на фондовому ринку. </w:t>
      </w:r>
    </w:p>
    <w:p w:rsidR="00E676E3" w:rsidRPr="00E676E3" w:rsidRDefault="00E676E3" w:rsidP="00E676E3">
      <w:pPr>
        <w:ind w:firstLine="567"/>
        <w:jc w:val="both"/>
        <w:rPr>
          <w:sz w:val="28"/>
          <w:szCs w:val="28"/>
        </w:rPr>
      </w:pPr>
      <w:r w:rsidRPr="00E676E3">
        <w:rPr>
          <w:sz w:val="28"/>
          <w:szCs w:val="28"/>
        </w:rPr>
        <w:t xml:space="preserve">Відповідно до вимог пункту 13 глави 1 розділу III Порядку та умов №817, для торговця цінними паперами (крім банку) при отриманні ліцензії на провадження декількох видів професійної діяльності на фондовому ринку - діяльності з торгівлі цінними паперами одночасно кваліфікаційні вимоги такі: не менше чотирьох </w:t>
      </w:r>
      <w:r w:rsidRPr="00E676E3">
        <w:rPr>
          <w:sz w:val="28"/>
          <w:szCs w:val="28"/>
        </w:rPr>
        <w:lastRenderedPageBreak/>
        <w:t xml:space="preserve">сертифікованих фахівців (у тому числі керівні посадові особи) та по три сертифікованих фахівці (у тому числі керівні посадові особи) - для відокремленого підрозділу, який провадить ці види діяльності. </w:t>
      </w:r>
    </w:p>
    <w:p w:rsidR="00E676E3" w:rsidRPr="00E676E3" w:rsidRDefault="00E676E3" w:rsidP="00E676E3">
      <w:pPr>
        <w:ind w:firstLine="567"/>
        <w:jc w:val="both"/>
        <w:rPr>
          <w:sz w:val="28"/>
          <w:szCs w:val="28"/>
        </w:rPr>
      </w:pPr>
      <w:r w:rsidRPr="00E676E3">
        <w:rPr>
          <w:sz w:val="28"/>
          <w:szCs w:val="28"/>
        </w:rPr>
        <w:t xml:space="preserve">ТОВ «Абріс-інвест» листом від 31.08.2018 №18/08/31-1 (вх. Комісії №29285 від 04.09.2018) надало довідку про керівних посадових осіб та фахівців ліцензіата, що безпосередньо здійснюють професійну діяльність на фондовому ринку та сертифіковані в установленому порядку. Згідно з наданою довідкою наказом №20-08- 2018-ІК від 20.08.2018 було звільнено брокера Лесіка А.В., наказом №20-08- 2018-2К від 20.08.2018 було звільнено фахівця з питань тцп Клименко Г.М., наказом №03-08-2018-ІК від 03.08.2018 було звільнено брокера Коптегіна О.В. </w:t>
      </w:r>
    </w:p>
    <w:p w:rsidR="00E676E3" w:rsidRPr="00E676E3" w:rsidRDefault="00E676E3" w:rsidP="00E676E3">
      <w:pPr>
        <w:ind w:firstLine="567"/>
        <w:jc w:val="both"/>
        <w:rPr>
          <w:sz w:val="28"/>
          <w:szCs w:val="28"/>
        </w:rPr>
      </w:pPr>
      <w:r w:rsidRPr="00E676E3">
        <w:rPr>
          <w:sz w:val="28"/>
          <w:szCs w:val="28"/>
        </w:rPr>
        <w:t xml:space="preserve">Станом на 14.05.2019, інформація щодо виконання розпорядження про усунення порушень законодавства про цінні папери № 111-ДП-Т від 11.04.2019 в </w:t>
      </w:r>
      <w:r w:rsidRPr="00E676E3">
        <w:rPr>
          <w:sz w:val="28"/>
          <w:szCs w:val="28"/>
          <w:lang w:val="ru-RU"/>
        </w:rPr>
        <w:t>Комісії</w:t>
      </w:r>
      <w:r w:rsidRPr="00E676E3">
        <w:rPr>
          <w:sz w:val="28"/>
          <w:szCs w:val="28"/>
        </w:rPr>
        <w:t xml:space="preserve"> відсутня. </w:t>
      </w:r>
    </w:p>
    <w:p w:rsidR="00E676E3" w:rsidRPr="00E676E3" w:rsidRDefault="00E676E3" w:rsidP="00E676E3">
      <w:pPr>
        <w:ind w:firstLine="567"/>
        <w:jc w:val="both"/>
        <w:rPr>
          <w:sz w:val="28"/>
          <w:szCs w:val="28"/>
        </w:rPr>
      </w:pPr>
      <w:r w:rsidRPr="00E676E3">
        <w:rPr>
          <w:sz w:val="28"/>
          <w:szCs w:val="28"/>
        </w:rPr>
        <w:t xml:space="preserve">Таким чином, ТОВ «Абріс-інвест» не виконало розпорядження про усунення порушень законодавства про цінні папери № 111-ДП-Т від 11.04.2019. </w:t>
      </w:r>
    </w:p>
    <w:p w:rsidR="00E676E3" w:rsidRPr="00E676E3" w:rsidRDefault="00E676E3" w:rsidP="00E676E3">
      <w:pPr>
        <w:ind w:firstLine="567"/>
        <w:jc w:val="both"/>
        <w:rPr>
          <w:sz w:val="28"/>
          <w:szCs w:val="28"/>
        </w:rPr>
      </w:pPr>
      <w:r w:rsidRPr="00E676E3">
        <w:rPr>
          <w:sz w:val="28"/>
          <w:szCs w:val="28"/>
        </w:rPr>
        <w:t xml:space="preserve">Також, у відношенні, ТОВ «Абріс-інвест» було складено акт про правопорушення на ринку цінних паперів від </w:t>
      </w:r>
      <w:r w:rsidRPr="00E676E3">
        <w:rPr>
          <w:sz w:val="28"/>
          <w:szCs w:val="28"/>
          <w:lang w:val="ru-RU"/>
        </w:rPr>
        <w:t>19.03.2019</w:t>
      </w:r>
      <w:r w:rsidRPr="00E676E3">
        <w:rPr>
          <w:sz w:val="28"/>
          <w:szCs w:val="28"/>
        </w:rPr>
        <w:t xml:space="preserve"> №199-ДП-Т, відповідно до якого встановлено наступне. </w:t>
      </w:r>
    </w:p>
    <w:p w:rsidR="00E676E3" w:rsidRPr="00E676E3" w:rsidRDefault="00E676E3" w:rsidP="00E676E3">
      <w:pPr>
        <w:ind w:firstLine="567"/>
        <w:jc w:val="both"/>
        <w:rPr>
          <w:sz w:val="28"/>
          <w:szCs w:val="28"/>
          <w:lang w:val="x-none"/>
        </w:rPr>
      </w:pPr>
      <w:r w:rsidRPr="00E676E3">
        <w:rPr>
          <w:sz w:val="28"/>
          <w:szCs w:val="28"/>
          <w:lang w:val="x-none"/>
        </w:rPr>
        <w:t xml:space="preserve">Відповідно до пункту 5 розділу </w:t>
      </w:r>
      <w:r w:rsidRPr="00E676E3">
        <w:rPr>
          <w:sz w:val="28"/>
          <w:szCs w:val="28"/>
          <w:lang w:val="en-US"/>
        </w:rPr>
        <w:t>X</w:t>
      </w:r>
      <w:r w:rsidRPr="00E676E3">
        <w:rPr>
          <w:sz w:val="28"/>
          <w:szCs w:val="28"/>
          <w:lang w:val="x-none"/>
        </w:rPr>
        <w:t xml:space="preserve"> Положення щодо пруденційних нормативів професійної діяльності на фондовому ринку та вимог до системи управління ризиками, затвердженого рішенням Комісії від 01.10.2015  № 1597, зареєстрованим у Міністерстві юстиції України 28.10.2015 за № 1311/27756 (далі – Положення № 1597), торговці цінними паперами подають до Комісії інформацію про результати розрахунку пруденційних нормативів та дані, на основі яких здійснювався розрахунок зазначених показників, у порядку та строки, визначені нормативно-правовими актами Комісії, що регламентують подання адміністративних даних професійними учасниками фондового ринку до Комісії. </w:t>
      </w:r>
    </w:p>
    <w:p w:rsidR="00E676E3" w:rsidRPr="00E676E3" w:rsidRDefault="00E676E3" w:rsidP="00E676E3">
      <w:pPr>
        <w:ind w:firstLine="567"/>
        <w:jc w:val="both"/>
        <w:rPr>
          <w:sz w:val="28"/>
          <w:szCs w:val="28"/>
        </w:rPr>
      </w:pPr>
      <w:r w:rsidRPr="00E676E3">
        <w:rPr>
          <w:sz w:val="28"/>
          <w:szCs w:val="28"/>
          <w:lang w:val="x-none"/>
        </w:rPr>
        <w:t xml:space="preserve">Склад, строки та порядок подання до Комісії адміністративних даних </w:t>
      </w:r>
      <w:r w:rsidRPr="00E676E3">
        <w:rPr>
          <w:sz w:val="28"/>
          <w:szCs w:val="28"/>
          <w:lang w:val="x-none"/>
        </w:rPr>
        <w:br/>
        <w:t xml:space="preserve">(далі – Дані) торговцями цінними паперами визначено Положенням </w:t>
      </w:r>
      <w:r w:rsidRPr="00E676E3">
        <w:rPr>
          <w:sz w:val="28"/>
          <w:szCs w:val="28"/>
        </w:rPr>
        <w:t>№1283.</w:t>
      </w:r>
    </w:p>
    <w:p w:rsidR="00E676E3" w:rsidRPr="00E676E3" w:rsidRDefault="00E676E3" w:rsidP="00E676E3">
      <w:pPr>
        <w:ind w:firstLine="567"/>
        <w:jc w:val="both"/>
        <w:rPr>
          <w:sz w:val="28"/>
          <w:szCs w:val="28"/>
          <w:lang w:val="x-none"/>
        </w:rPr>
      </w:pPr>
      <w:r w:rsidRPr="00E676E3">
        <w:rPr>
          <w:sz w:val="28"/>
          <w:szCs w:val="28"/>
          <w:lang w:val="x-none"/>
        </w:rPr>
        <w:t xml:space="preserve">Відповідно до підпункту 1 пункту 1 глави 1 розділу ІІI Положення № 1597 одним з показників, які використовуються для вимірювання та оцінки ризиків діяльності з торгівлі цінними паперами, є розмір регулятивного капіталу. </w:t>
      </w:r>
    </w:p>
    <w:p w:rsidR="00E676E3" w:rsidRPr="00E676E3" w:rsidRDefault="00E676E3" w:rsidP="00E676E3">
      <w:pPr>
        <w:ind w:firstLine="567"/>
        <w:jc w:val="both"/>
        <w:rPr>
          <w:sz w:val="28"/>
          <w:szCs w:val="28"/>
        </w:rPr>
      </w:pPr>
      <w:r w:rsidRPr="00E676E3">
        <w:rPr>
          <w:sz w:val="28"/>
          <w:szCs w:val="28"/>
        </w:rPr>
        <w:t xml:space="preserve">Відповідно до пункту 1 глави 2 розділу ІІI Положення № 1597, регулятивний капітал (власні кошти) – капітал, який установа може використовувати на покриття негативних фінансових наслідків реалізації ризиків, що виникають при провадженні нею професійної діяльності на фондовому ринку.  </w:t>
      </w:r>
    </w:p>
    <w:p w:rsidR="00E676E3" w:rsidRPr="00E676E3" w:rsidRDefault="00E676E3" w:rsidP="00E676E3">
      <w:pPr>
        <w:ind w:firstLine="567"/>
        <w:jc w:val="both"/>
        <w:rPr>
          <w:sz w:val="28"/>
          <w:szCs w:val="28"/>
        </w:rPr>
      </w:pPr>
      <w:r w:rsidRPr="00E676E3">
        <w:rPr>
          <w:sz w:val="28"/>
          <w:szCs w:val="28"/>
        </w:rPr>
        <w:t>Відповідно до пункту 2 глави 2 розділу ІІІ Положення № 1597 регулятивний капітал складається з капіталу першого рівня та капіталу другого рівня.</w:t>
      </w:r>
    </w:p>
    <w:p w:rsidR="00E676E3" w:rsidRPr="00E676E3" w:rsidRDefault="00E676E3" w:rsidP="00E676E3">
      <w:pPr>
        <w:ind w:firstLine="567"/>
        <w:jc w:val="both"/>
        <w:rPr>
          <w:sz w:val="28"/>
          <w:szCs w:val="28"/>
        </w:rPr>
      </w:pPr>
      <w:r w:rsidRPr="00E676E3">
        <w:rPr>
          <w:sz w:val="28"/>
          <w:szCs w:val="28"/>
        </w:rPr>
        <w:t>Відповідно до абзацу п’ятого пункту 3 глави 2 розділу ІІІ Положення № 1597, у редакції, яка діяла до 17.03.2017, капітал першого рівня включає у тому числі, нерозподілений прибуток на початок звітного року.</w:t>
      </w:r>
    </w:p>
    <w:p w:rsidR="00E676E3" w:rsidRPr="00E676E3" w:rsidRDefault="00E676E3" w:rsidP="00E676E3">
      <w:pPr>
        <w:ind w:firstLine="567"/>
        <w:jc w:val="both"/>
        <w:rPr>
          <w:sz w:val="28"/>
          <w:szCs w:val="28"/>
        </w:rPr>
      </w:pPr>
      <w:r w:rsidRPr="00E676E3">
        <w:rPr>
          <w:sz w:val="28"/>
          <w:szCs w:val="28"/>
        </w:rPr>
        <w:t xml:space="preserve">Відповідно до абзацу п’ятого пункту 3 глави 2 розділу ІІІ Положення № 1597, у редакції, яка діяла до 01.02.2018, капітал першого рівня включає </w:t>
      </w:r>
      <w:r w:rsidRPr="00E676E3">
        <w:rPr>
          <w:sz w:val="28"/>
          <w:szCs w:val="28"/>
        </w:rPr>
        <w:br/>
        <w:t xml:space="preserve">у тому числі, нерозподілений прибуток на початок звітного року (включається до капіталу першого рівня після підтвердження його розміру аудитором </w:t>
      </w:r>
      <w:r w:rsidRPr="00E676E3">
        <w:rPr>
          <w:sz w:val="28"/>
          <w:szCs w:val="28"/>
        </w:rPr>
        <w:lastRenderedPageBreak/>
        <w:t>(аудиторською фірмою); до такого підтвердження дозволяється включати до капіталу першого рівня нерозподілений прибуток на початок попереднього року, підтверджений аудитором (аудиторською фірмою), за вирахуванням прибутку, що був розподілений у попередньому році, та збитків попереднього року).</w:t>
      </w:r>
    </w:p>
    <w:p w:rsidR="00E676E3" w:rsidRPr="00E676E3" w:rsidRDefault="00E676E3" w:rsidP="00E676E3">
      <w:pPr>
        <w:ind w:firstLine="567"/>
        <w:jc w:val="both"/>
        <w:rPr>
          <w:sz w:val="28"/>
          <w:szCs w:val="28"/>
        </w:rPr>
      </w:pPr>
      <w:r w:rsidRPr="00E676E3">
        <w:rPr>
          <w:sz w:val="28"/>
          <w:szCs w:val="28"/>
        </w:rPr>
        <w:t xml:space="preserve">Відповідно до підпункту 4 пункту 4 глави 2 розділу ІІІ Положення № 1597 </w:t>
      </w:r>
      <w:r w:rsidRPr="00E676E3">
        <w:rPr>
          <w:sz w:val="28"/>
          <w:szCs w:val="28"/>
        </w:rPr>
        <w:br/>
        <w:t>у редакції, яка діє з 01.02.2018, капітал першого рівня включає, у тому числі, нерозподілений прибуток на початок звітного року (включається до капіталу першого рівня після підтвердження його розміру аудитором (аудиторською фірмою); до такого підтвердження дозволяється включати до капіталу першого рівня нерозподілений прибуток на початок попереднього року, підтверджений аудитором (аудиторською фірмою), за вирахуванням прибутку, що був розподілений у попередньому році, та збитків попереднього року).</w:t>
      </w:r>
    </w:p>
    <w:p w:rsidR="00E676E3" w:rsidRPr="00E676E3" w:rsidRDefault="00E676E3" w:rsidP="00E676E3">
      <w:pPr>
        <w:ind w:firstLine="567"/>
        <w:jc w:val="both"/>
        <w:rPr>
          <w:sz w:val="28"/>
          <w:szCs w:val="28"/>
        </w:rPr>
      </w:pPr>
      <w:r w:rsidRPr="00E676E3">
        <w:rPr>
          <w:sz w:val="28"/>
          <w:szCs w:val="28"/>
        </w:rPr>
        <w:t>Відповідно до підпункту 4 пункту 4 глави 2 розділу ІІІ Положення № 1597, у редакції яка діє з 01.01.2019, капітал першого рівня включає, у тому числі, нерозподілений прибуток на початок звітного року (включається до капіталу першого рівня після підтвердження його розміру аудитором (аудиторською фірмою); до такого підтвердження дозволяється включати до капіталу першого рівня нерозподілений прибуток на початок попереднього року, підтверджений аудитором (аудиторською фірмою), за вирахуванням прибутку, що був розподілений у попередньому році, та збитків попереднього року). Датою, з якої підтверджений аудитором нерозподілений прибуток на початок звітного року може включатись до складу капіталу першого рівня, є дата звіту аудитора.</w:t>
      </w:r>
    </w:p>
    <w:p w:rsidR="00E676E3" w:rsidRPr="00E676E3" w:rsidRDefault="00E676E3" w:rsidP="00E676E3">
      <w:pPr>
        <w:ind w:firstLine="567"/>
        <w:jc w:val="both"/>
        <w:rPr>
          <w:sz w:val="28"/>
          <w:szCs w:val="28"/>
        </w:rPr>
      </w:pPr>
      <w:r w:rsidRPr="00E676E3">
        <w:rPr>
          <w:sz w:val="28"/>
          <w:szCs w:val="28"/>
        </w:rPr>
        <w:t>Відповідно до пункту 3 розділу ІІІ Положення № 1597 в редакції, яка діяла до 01.02.2018, розмір капіталу першого рівня зменшується, зокрема, на суму непокритого збитку на початок звітного року.</w:t>
      </w:r>
    </w:p>
    <w:p w:rsidR="00E676E3" w:rsidRPr="00E676E3" w:rsidRDefault="00E676E3" w:rsidP="00E676E3">
      <w:pPr>
        <w:ind w:firstLine="567"/>
        <w:jc w:val="both"/>
        <w:rPr>
          <w:sz w:val="28"/>
          <w:szCs w:val="28"/>
        </w:rPr>
      </w:pPr>
      <w:r w:rsidRPr="00E676E3">
        <w:rPr>
          <w:sz w:val="28"/>
          <w:szCs w:val="28"/>
        </w:rPr>
        <w:t>Підпунктом 9 пункту 5 розділу ІІІ Положення № 1597 в редакції, яка діє з 01.02.2018, передбачено, що розмір капіталу першого рівня зменшується, зокрема, на суму непокритого збитку на початок звітного року.</w:t>
      </w:r>
    </w:p>
    <w:p w:rsidR="00E676E3" w:rsidRPr="00E676E3" w:rsidRDefault="00E676E3" w:rsidP="00E676E3">
      <w:pPr>
        <w:ind w:firstLine="567"/>
        <w:jc w:val="both"/>
        <w:rPr>
          <w:sz w:val="28"/>
          <w:szCs w:val="28"/>
        </w:rPr>
      </w:pPr>
      <w:r w:rsidRPr="00E676E3">
        <w:rPr>
          <w:sz w:val="28"/>
          <w:szCs w:val="28"/>
        </w:rPr>
        <w:t xml:space="preserve">Відповідно до підпункту 9 пункту 5 розділу ІІІ Положення № 1597, </w:t>
      </w:r>
      <w:r w:rsidRPr="00E676E3">
        <w:rPr>
          <w:sz w:val="28"/>
          <w:szCs w:val="28"/>
        </w:rPr>
        <w:br/>
        <w:t>у редакції яка діє з 01.01.2019, розмір капіталу першого рівня зменшується, зокрема, на суму непокритого збитку на початок звітного року (якщо у році, що передує звітному, був отриманий прибуток, його включення до розрахунку капіталу першого рівня допускається після підтвердження його розміру аудитором (аудиторською фірмою); до такого підтвердження до капіталу першого рівня включається непокритий збиток на початок попереднього року, підтверджений аудитором (аудиторською фірмою)).</w:t>
      </w:r>
    </w:p>
    <w:p w:rsidR="00E676E3" w:rsidRPr="00E676E3" w:rsidRDefault="00E676E3" w:rsidP="00E676E3">
      <w:pPr>
        <w:ind w:firstLine="567"/>
        <w:jc w:val="both"/>
        <w:rPr>
          <w:sz w:val="28"/>
          <w:szCs w:val="28"/>
          <w:lang w:val="x-none"/>
        </w:rPr>
      </w:pPr>
      <w:r w:rsidRPr="00E676E3">
        <w:rPr>
          <w:sz w:val="28"/>
          <w:szCs w:val="28"/>
          <w:lang w:val="x-none"/>
        </w:rPr>
        <w:t>Отже, внаслідок змін законодавства діяння не втратило характеру правопорушення.</w:t>
      </w:r>
    </w:p>
    <w:p w:rsidR="00E676E3" w:rsidRPr="00E676E3" w:rsidRDefault="00E676E3" w:rsidP="00E676E3">
      <w:pPr>
        <w:ind w:firstLine="567"/>
        <w:jc w:val="both"/>
        <w:rPr>
          <w:sz w:val="28"/>
          <w:szCs w:val="28"/>
          <w:lang w:val="x-none"/>
        </w:rPr>
      </w:pPr>
      <w:r w:rsidRPr="00E676E3">
        <w:rPr>
          <w:sz w:val="28"/>
          <w:szCs w:val="28"/>
          <w:lang w:val="x-none"/>
        </w:rPr>
        <w:t xml:space="preserve">Відповідно до Положення № 1283, торговці цінними паперами подають до Комісії інформацію щодо нерозподіленого прибутку на початок звітного року та непокритого збитку на початок звітного року у Довідці про вихідні дані для розрахунку показника розміру регулятивного капіталу та у складі фінансової звітності. </w:t>
      </w:r>
    </w:p>
    <w:p w:rsidR="00E676E3" w:rsidRPr="00E676E3" w:rsidRDefault="00E676E3" w:rsidP="00E676E3">
      <w:pPr>
        <w:ind w:firstLine="567"/>
        <w:jc w:val="both"/>
        <w:rPr>
          <w:sz w:val="28"/>
          <w:szCs w:val="28"/>
          <w:lang w:val="x-none"/>
        </w:rPr>
      </w:pPr>
      <w:r w:rsidRPr="00E676E3">
        <w:rPr>
          <w:sz w:val="28"/>
          <w:szCs w:val="28"/>
          <w:lang w:val="x-none"/>
        </w:rPr>
        <w:lastRenderedPageBreak/>
        <w:t xml:space="preserve">У складі Довідок про вихідні дані для розрахунку показника розміру регулятивного капіталу за періоди з січня по серпень 2017 року, Товариством подана наступна інформація: </w:t>
      </w:r>
    </w:p>
    <w:p w:rsidR="00E676E3" w:rsidRPr="00E676E3" w:rsidRDefault="00E676E3" w:rsidP="00E676E3">
      <w:pPr>
        <w:ind w:firstLine="567"/>
        <w:jc w:val="both"/>
        <w:rPr>
          <w:sz w:val="28"/>
          <w:szCs w:val="28"/>
          <w:lang w:val="x-none"/>
        </w:rPr>
      </w:pPr>
      <w:r w:rsidRPr="00E676E3">
        <w:rPr>
          <w:sz w:val="28"/>
          <w:szCs w:val="28"/>
          <w:lang w:val="x-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693"/>
        <w:gridCol w:w="1847"/>
        <w:gridCol w:w="2308"/>
        <w:gridCol w:w="2259"/>
      </w:tblGrid>
      <w:tr w:rsidR="00E676E3" w:rsidRPr="005E20F7" w:rsidTr="0089324C">
        <w:trPr>
          <w:trHeight w:val="904"/>
        </w:trPr>
        <w:tc>
          <w:tcPr>
            <w:tcW w:w="692" w:type="pct"/>
            <w:vMerge w:val="restart"/>
            <w:shd w:val="clear" w:color="auto" w:fill="auto"/>
            <w:vAlign w:val="center"/>
          </w:tcPr>
          <w:p w:rsidR="00E676E3" w:rsidRPr="005E20F7" w:rsidRDefault="00E676E3" w:rsidP="00E676E3">
            <w:pPr>
              <w:ind w:firstLine="567"/>
              <w:jc w:val="both"/>
              <w:rPr>
                <w:sz w:val="22"/>
                <w:szCs w:val="22"/>
              </w:rPr>
            </w:pPr>
            <w:r w:rsidRPr="005E20F7">
              <w:rPr>
                <w:sz w:val="22"/>
                <w:szCs w:val="22"/>
              </w:rPr>
              <w:t>Код ЄДРПОУ</w:t>
            </w:r>
          </w:p>
        </w:tc>
        <w:tc>
          <w:tcPr>
            <w:tcW w:w="970" w:type="pct"/>
            <w:vMerge w:val="restart"/>
            <w:shd w:val="clear" w:color="auto" w:fill="auto"/>
            <w:vAlign w:val="center"/>
          </w:tcPr>
          <w:p w:rsidR="00E676E3" w:rsidRPr="005E20F7" w:rsidRDefault="00E676E3" w:rsidP="00E676E3">
            <w:pPr>
              <w:ind w:firstLine="567"/>
              <w:jc w:val="both"/>
              <w:rPr>
                <w:sz w:val="22"/>
                <w:szCs w:val="22"/>
              </w:rPr>
            </w:pPr>
            <w:r w:rsidRPr="005E20F7">
              <w:rPr>
                <w:sz w:val="22"/>
                <w:szCs w:val="22"/>
              </w:rPr>
              <w:t>Назва</w:t>
            </w:r>
          </w:p>
        </w:tc>
        <w:tc>
          <w:tcPr>
            <w:tcW w:w="793" w:type="pct"/>
            <w:vMerge w:val="restart"/>
            <w:shd w:val="clear" w:color="auto" w:fill="auto"/>
            <w:vAlign w:val="center"/>
          </w:tcPr>
          <w:p w:rsidR="00E676E3" w:rsidRPr="005E20F7" w:rsidRDefault="00E676E3" w:rsidP="00E676E3">
            <w:pPr>
              <w:ind w:firstLine="567"/>
              <w:jc w:val="both"/>
              <w:rPr>
                <w:sz w:val="22"/>
                <w:szCs w:val="22"/>
              </w:rPr>
            </w:pPr>
            <w:r w:rsidRPr="005E20F7">
              <w:rPr>
                <w:sz w:val="22"/>
                <w:szCs w:val="22"/>
              </w:rPr>
              <w:t>Дата розрахунку</w:t>
            </w:r>
          </w:p>
        </w:tc>
        <w:tc>
          <w:tcPr>
            <w:tcW w:w="1235" w:type="pct"/>
            <w:vAlign w:val="center"/>
          </w:tcPr>
          <w:p w:rsidR="00E676E3" w:rsidRPr="005E20F7" w:rsidRDefault="00E676E3" w:rsidP="00E676E3">
            <w:pPr>
              <w:ind w:firstLine="567"/>
              <w:jc w:val="both"/>
              <w:rPr>
                <w:sz w:val="22"/>
                <w:szCs w:val="22"/>
              </w:rPr>
            </w:pPr>
            <w:r w:rsidRPr="005E20F7">
              <w:rPr>
                <w:sz w:val="22"/>
                <w:szCs w:val="22"/>
              </w:rPr>
              <w:t>Нерозподілений прибуток на початок звітного року (грн)</w:t>
            </w:r>
          </w:p>
        </w:tc>
        <w:tc>
          <w:tcPr>
            <w:tcW w:w="1310" w:type="pct"/>
            <w:vAlign w:val="center"/>
          </w:tcPr>
          <w:p w:rsidR="00E676E3" w:rsidRPr="005E20F7" w:rsidRDefault="00E676E3" w:rsidP="00E676E3">
            <w:pPr>
              <w:ind w:firstLine="567"/>
              <w:jc w:val="both"/>
              <w:rPr>
                <w:sz w:val="22"/>
                <w:szCs w:val="22"/>
              </w:rPr>
            </w:pPr>
            <w:r w:rsidRPr="005E20F7">
              <w:rPr>
                <w:sz w:val="22"/>
                <w:szCs w:val="22"/>
              </w:rPr>
              <w:t>Непокритий збиток на початок звітного року (грн)</w:t>
            </w:r>
          </w:p>
        </w:tc>
      </w:tr>
      <w:tr w:rsidR="00E676E3" w:rsidRPr="005E20F7" w:rsidTr="0089324C">
        <w:trPr>
          <w:trHeight w:val="64"/>
        </w:trPr>
        <w:tc>
          <w:tcPr>
            <w:tcW w:w="692" w:type="pct"/>
            <w:vMerge/>
            <w:shd w:val="clear" w:color="auto" w:fill="auto"/>
            <w:vAlign w:val="center"/>
          </w:tcPr>
          <w:p w:rsidR="00E676E3" w:rsidRPr="005E20F7" w:rsidRDefault="00E676E3" w:rsidP="00E676E3">
            <w:pPr>
              <w:ind w:firstLine="567"/>
              <w:jc w:val="both"/>
              <w:rPr>
                <w:sz w:val="22"/>
                <w:szCs w:val="22"/>
              </w:rPr>
            </w:pPr>
          </w:p>
        </w:tc>
        <w:tc>
          <w:tcPr>
            <w:tcW w:w="970" w:type="pct"/>
            <w:vMerge/>
            <w:shd w:val="clear" w:color="auto" w:fill="auto"/>
            <w:vAlign w:val="center"/>
          </w:tcPr>
          <w:p w:rsidR="00E676E3" w:rsidRPr="005E20F7" w:rsidRDefault="00E676E3" w:rsidP="00E676E3">
            <w:pPr>
              <w:ind w:firstLine="567"/>
              <w:jc w:val="both"/>
              <w:rPr>
                <w:sz w:val="22"/>
                <w:szCs w:val="22"/>
              </w:rPr>
            </w:pPr>
          </w:p>
        </w:tc>
        <w:tc>
          <w:tcPr>
            <w:tcW w:w="793" w:type="pct"/>
            <w:vMerge/>
            <w:shd w:val="clear" w:color="auto" w:fill="auto"/>
            <w:vAlign w:val="center"/>
          </w:tcPr>
          <w:p w:rsidR="00E676E3" w:rsidRPr="005E20F7" w:rsidRDefault="00E676E3" w:rsidP="00E676E3">
            <w:pPr>
              <w:ind w:firstLine="567"/>
              <w:jc w:val="both"/>
              <w:rPr>
                <w:sz w:val="22"/>
                <w:szCs w:val="22"/>
              </w:rPr>
            </w:pPr>
          </w:p>
        </w:tc>
        <w:tc>
          <w:tcPr>
            <w:tcW w:w="1235" w:type="pct"/>
            <w:vAlign w:val="center"/>
          </w:tcPr>
          <w:p w:rsidR="00E676E3" w:rsidRPr="005E20F7" w:rsidRDefault="00E676E3" w:rsidP="00E676E3">
            <w:pPr>
              <w:ind w:firstLine="567"/>
              <w:jc w:val="both"/>
              <w:rPr>
                <w:sz w:val="22"/>
                <w:szCs w:val="22"/>
              </w:rPr>
            </w:pPr>
            <w:r w:rsidRPr="005E20F7">
              <w:rPr>
                <w:sz w:val="22"/>
                <w:szCs w:val="22"/>
              </w:rPr>
              <w:t>nrpr</w:t>
            </w:r>
          </w:p>
        </w:tc>
        <w:tc>
          <w:tcPr>
            <w:tcW w:w="1310" w:type="pct"/>
            <w:vAlign w:val="center"/>
          </w:tcPr>
          <w:p w:rsidR="00E676E3" w:rsidRPr="005E20F7" w:rsidRDefault="00E676E3" w:rsidP="00E676E3">
            <w:pPr>
              <w:ind w:firstLine="567"/>
              <w:jc w:val="both"/>
              <w:rPr>
                <w:sz w:val="22"/>
                <w:szCs w:val="22"/>
                <w:lang w:val="en-US"/>
              </w:rPr>
            </w:pPr>
            <w:r w:rsidRPr="005E20F7">
              <w:rPr>
                <w:sz w:val="22"/>
                <w:szCs w:val="22"/>
                <w:lang w:val="en-US"/>
              </w:rPr>
              <w:t>nzb</w:t>
            </w:r>
          </w:p>
        </w:tc>
      </w:tr>
      <w:tr w:rsidR="00E676E3" w:rsidRPr="005E20F7" w:rsidTr="0089324C">
        <w:trPr>
          <w:trHeight w:val="64"/>
        </w:trPr>
        <w:tc>
          <w:tcPr>
            <w:tcW w:w="692" w:type="pct"/>
            <w:shd w:val="clear" w:color="auto" w:fill="auto"/>
            <w:vAlign w:val="center"/>
          </w:tcPr>
          <w:p w:rsidR="00E676E3" w:rsidRPr="005E20F7" w:rsidRDefault="00E676E3" w:rsidP="00E676E3">
            <w:pPr>
              <w:ind w:firstLine="567"/>
              <w:jc w:val="both"/>
              <w:rPr>
                <w:sz w:val="22"/>
                <w:szCs w:val="22"/>
              </w:rPr>
            </w:pPr>
            <w:r w:rsidRPr="005E20F7">
              <w:rPr>
                <w:sz w:val="22"/>
                <w:szCs w:val="22"/>
              </w:rPr>
              <w:t>31280357</w:t>
            </w:r>
          </w:p>
        </w:tc>
        <w:tc>
          <w:tcPr>
            <w:tcW w:w="970" w:type="pct"/>
            <w:shd w:val="clear" w:color="auto" w:fill="auto"/>
            <w:vAlign w:val="center"/>
          </w:tcPr>
          <w:p w:rsidR="00E676E3" w:rsidRPr="005E20F7" w:rsidRDefault="00E676E3" w:rsidP="00E676E3">
            <w:pPr>
              <w:ind w:firstLine="567"/>
              <w:jc w:val="both"/>
              <w:rPr>
                <w:sz w:val="22"/>
                <w:szCs w:val="22"/>
              </w:rPr>
            </w:pPr>
            <w:r w:rsidRPr="005E20F7">
              <w:rPr>
                <w:sz w:val="22"/>
                <w:szCs w:val="22"/>
              </w:rPr>
              <w:t>ТОВ "АБРІС-ІНВЕСТ"</w:t>
            </w:r>
          </w:p>
        </w:tc>
        <w:tc>
          <w:tcPr>
            <w:tcW w:w="793" w:type="pct"/>
            <w:shd w:val="clear" w:color="auto" w:fill="auto"/>
            <w:vAlign w:val="center"/>
          </w:tcPr>
          <w:p w:rsidR="00E676E3" w:rsidRPr="005E20F7" w:rsidRDefault="00E676E3" w:rsidP="00E676E3">
            <w:pPr>
              <w:ind w:firstLine="567"/>
              <w:jc w:val="both"/>
              <w:rPr>
                <w:sz w:val="22"/>
                <w:szCs w:val="22"/>
              </w:rPr>
            </w:pPr>
            <w:r w:rsidRPr="005E20F7">
              <w:rPr>
                <w:sz w:val="22"/>
                <w:szCs w:val="22"/>
              </w:rPr>
              <w:t>02.01.2017-31.08.2017</w:t>
            </w:r>
          </w:p>
        </w:tc>
        <w:tc>
          <w:tcPr>
            <w:tcW w:w="1235" w:type="pct"/>
            <w:vAlign w:val="center"/>
          </w:tcPr>
          <w:p w:rsidR="00E676E3" w:rsidRPr="005E20F7" w:rsidRDefault="00E676E3" w:rsidP="00E676E3">
            <w:pPr>
              <w:ind w:firstLine="567"/>
              <w:jc w:val="both"/>
              <w:rPr>
                <w:sz w:val="22"/>
                <w:szCs w:val="22"/>
              </w:rPr>
            </w:pPr>
            <w:r w:rsidRPr="005E20F7">
              <w:rPr>
                <w:sz w:val="22"/>
                <w:szCs w:val="22"/>
              </w:rPr>
              <w:t>28 000,00</w:t>
            </w:r>
          </w:p>
        </w:tc>
        <w:tc>
          <w:tcPr>
            <w:tcW w:w="1310" w:type="pct"/>
            <w:vAlign w:val="center"/>
          </w:tcPr>
          <w:p w:rsidR="00E676E3" w:rsidRPr="005E20F7" w:rsidRDefault="00E676E3" w:rsidP="00E676E3">
            <w:pPr>
              <w:ind w:firstLine="567"/>
              <w:jc w:val="both"/>
              <w:rPr>
                <w:sz w:val="22"/>
                <w:szCs w:val="22"/>
              </w:rPr>
            </w:pPr>
            <w:r w:rsidRPr="005E20F7">
              <w:rPr>
                <w:sz w:val="22"/>
                <w:szCs w:val="22"/>
              </w:rPr>
              <w:t>0,00</w:t>
            </w:r>
          </w:p>
        </w:tc>
      </w:tr>
    </w:tbl>
    <w:p w:rsidR="00196921" w:rsidRDefault="00196921" w:rsidP="00E676E3">
      <w:pPr>
        <w:ind w:firstLine="567"/>
        <w:jc w:val="both"/>
        <w:rPr>
          <w:sz w:val="28"/>
          <w:szCs w:val="28"/>
          <w:lang w:val="x-none"/>
        </w:rPr>
      </w:pPr>
    </w:p>
    <w:p w:rsidR="00E676E3" w:rsidRPr="00E676E3" w:rsidRDefault="00E676E3" w:rsidP="00E676E3">
      <w:pPr>
        <w:ind w:firstLine="567"/>
        <w:jc w:val="both"/>
        <w:rPr>
          <w:sz w:val="28"/>
          <w:szCs w:val="28"/>
          <w:lang w:val="x-none"/>
        </w:rPr>
      </w:pPr>
      <w:r w:rsidRPr="00E676E3">
        <w:rPr>
          <w:sz w:val="28"/>
          <w:szCs w:val="28"/>
          <w:lang w:val="x-none"/>
        </w:rPr>
        <w:t>При цьому відповідно до інформації, поданої Товариством до Комісії в електронному вигляді у складі фінансової звітності, а саме Балансу (Звіту про фінансовий стан), нерозподілений прибуток (непокритий збиток) на початок звітного 2017 року (на кінець 2016 року) складає:</w:t>
      </w:r>
    </w:p>
    <w:p w:rsidR="00E676E3" w:rsidRPr="00E676E3" w:rsidRDefault="00E676E3" w:rsidP="00E676E3">
      <w:pPr>
        <w:ind w:firstLine="567"/>
        <w:jc w:val="both"/>
        <w:rPr>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86"/>
        <w:gridCol w:w="1774"/>
        <w:gridCol w:w="4010"/>
      </w:tblGrid>
      <w:tr w:rsidR="00E676E3" w:rsidRPr="003A69CB" w:rsidTr="0089324C">
        <w:trPr>
          <w:trHeight w:val="449"/>
        </w:trPr>
        <w:tc>
          <w:tcPr>
            <w:tcW w:w="875" w:type="pct"/>
            <w:shd w:val="clear" w:color="auto" w:fill="auto"/>
            <w:vAlign w:val="center"/>
          </w:tcPr>
          <w:p w:rsidR="00E676E3" w:rsidRPr="003A69CB" w:rsidRDefault="00E676E3" w:rsidP="00E676E3">
            <w:pPr>
              <w:ind w:firstLine="567"/>
              <w:jc w:val="both"/>
              <w:rPr>
                <w:sz w:val="22"/>
                <w:szCs w:val="22"/>
              </w:rPr>
            </w:pPr>
            <w:r w:rsidRPr="003A69CB">
              <w:rPr>
                <w:sz w:val="22"/>
                <w:szCs w:val="22"/>
              </w:rPr>
              <w:t>Код ЄДРПОУ</w:t>
            </w:r>
          </w:p>
        </w:tc>
        <w:tc>
          <w:tcPr>
            <w:tcW w:w="1174" w:type="pct"/>
            <w:shd w:val="clear" w:color="auto" w:fill="auto"/>
            <w:vAlign w:val="center"/>
          </w:tcPr>
          <w:p w:rsidR="00E676E3" w:rsidRPr="003A69CB" w:rsidRDefault="00E676E3" w:rsidP="00E676E3">
            <w:pPr>
              <w:ind w:firstLine="567"/>
              <w:jc w:val="both"/>
              <w:rPr>
                <w:sz w:val="22"/>
                <w:szCs w:val="22"/>
              </w:rPr>
            </w:pPr>
            <w:r w:rsidRPr="003A69CB">
              <w:rPr>
                <w:sz w:val="22"/>
                <w:szCs w:val="22"/>
              </w:rPr>
              <w:t>Назва</w:t>
            </w:r>
          </w:p>
        </w:tc>
        <w:tc>
          <w:tcPr>
            <w:tcW w:w="895" w:type="pct"/>
            <w:shd w:val="clear" w:color="auto" w:fill="auto"/>
            <w:vAlign w:val="center"/>
          </w:tcPr>
          <w:p w:rsidR="00E676E3" w:rsidRPr="003A69CB" w:rsidRDefault="00E676E3" w:rsidP="00E676E3">
            <w:pPr>
              <w:ind w:firstLine="567"/>
              <w:jc w:val="both"/>
              <w:rPr>
                <w:sz w:val="22"/>
                <w:szCs w:val="22"/>
              </w:rPr>
            </w:pPr>
            <w:r w:rsidRPr="003A69CB">
              <w:rPr>
                <w:sz w:val="22"/>
                <w:szCs w:val="22"/>
              </w:rPr>
              <w:t>Дата</w:t>
            </w:r>
          </w:p>
        </w:tc>
        <w:tc>
          <w:tcPr>
            <w:tcW w:w="2056" w:type="pct"/>
            <w:vAlign w:val="center"/>
          </w:tcPr>
          <w:p w:rsidR="00E676E3" w:rsidRPr="003A69CB" w:rsidRDefault="00E676E3" w:rsidP="00E676E3">
            <w:pPr>
              <w:ind w:firstLine="567"/>
              <w:jc w:val="both"/>
              <w:rPr>
                <w:sz w:val="22"/>
                <w:szCs w:val="22"/>
              </w:rPr>
            </w:pPr>
            <w:r w:rsidRPr="003A69CB">
              <w:rPr>
                <w:sz w:val="22"/>
                <w:szCs w:val="22"/>
              </w:rPr>
              <w:t>Нерозподілений прибуток (непокритий збиток) на кінець звітного року, тис. грн.</w:t>
            </w:r>
          </w:p>
        </w:tc>
      </w:tr>
      <w:tr w:rsidR="00E676E3" w:rsidRPr="003A69CB" w:rsidTr="0089324C">
        <w:trPr>
          <w:trHeight w:val="72"/>
        </w:trPr>
        <w:tc>
          <w:tcPr>
            <w:tcW w:w="875" w:type="pct"/>
            <w:vMerge w:val="restart"/>
            <w:shd w:val="clear" w:color="auto" w:fill="auto"/>
          </w:tcPr>
          <w:p w:rsidR="00E676E3" w:rsidRPr="003A69CB" w:rsidRDefault="00E676E3" w:rsidP="00E676E3">
            <w:pPr>
              <w:ind w:firstLine="567"/>
              <w:jc w:val="both"/>
              <w:rPr>
                <w:sz w:val="22"/>
                <w:szCs w:val="22"/>
              </w:rPr>
            </w:pPr>
            <w:r w:rsidRPr="003A69CB">
              <w:rPr>
                <w:sz w:val="22"/>
                <w:szCs w:val="22"/>
              </w:rPr>
              <w:t>31280357</w:t>
            </w:r>
          </w:p>
        </w:tc>
        <w:tc>
          <w:tcPr>
            <w:tcW w:w="1174" w:type="pct"/>
            <w:vMerge w:val="restart"/>
            <w:shd w:val="clear" w:color="auto" w:fill="auto"/>
          </w:tcPr>
          <w:p w:rsidR="00E676E3" w:rsidRPr="003A69CB" w:rsidRDefault="00E676E3" w:rsidP="00E676E3">
            <w:pPr>
              <w:ind w:firstLine="567"/>
              <w:jc w:val="both"/>
              <w:rPr>
                <w:sz w:val="22"/>
                <w:szCs w:val="22"/>
              </w:rPr>
            </w:pPr>
            <w:r w:rsidRPr="003A69CB">
              <w:rPr>
                <w:sz w:val="22"/>
                <w:szCs w:val="22"/>
              </w:rPr>
              <w:t>ТОВ "АБРІС-ІНВЕСТ"</w:t>
            </w:r>
          </w:p>
        </w:tc>
        <w:tc>
          <w:tcPr>
            <w:tcW w:w="895" w:type="pct"/>
            <w:shd w:val="clear" w:color="auto" w:fill="auto"/>
          </w:tcPr>
          <w:p w:rsidR="00E676E3" w:rsidRPr="003A69CB" w:rsidRDefault="00E676E3" w:rsidP="00E676E3">
            <w:pPr>
              <w:ind w:firstLine="567"/>
              <w:jc w:val="both"/>
              <w:rPr>
                <w:sz w:val="22"/>
                <w:szCs w:val="22"/>
              </w:rPr>
            </w:pPr>
          </w:p>
        </w:tc>
        <w:tc>
          <w:tcPr>
            <w:tcW w:w="2056" w:type="pct"/>
          </w:tcPr>
          <w:p w:rsidR="00E676E3" w:rsidRPr="003A69CB" w:rsidRDefault="00E676E3" w:rsidP="00E676E3">
            <w:pPr>
              <w:ind w:firstLine="567"/>
              <w:jc w:val="both"/>
              <w:rPr>
                <w:sz w:val="22"/>
                <w:szCs w:val="22"/>
              </w:rPr>
            </w:pPr>
            <w:r w:rsidRPr="003A69CB">
              <w:rPr>
                <w:sz w:val="22"/>
                <w:szCs w:val="22"/>
              </w:rPr>
              <w:t>BP1420_04</w:t>
            </w:r>
          </w:p>
        </w:tc>
      </w:tr>
      <w:tr w:rsidR="00E676E3" w:rsidRPr="003A69CB" w:rsidTr="0089324C">
        <w:trPr>
          <w:trHeight w:val="72"/>
        </w:trPr>
        <w:tc>
          <w:tcPr>
            <w:tcW w:w="875" w:type="pct"/>
            <w:vMerge/>
            <w:shd w:val="clear" w:color="auto" w:fill="auto"/>
            <w:vAlign w:val="center"/>
          </w:tcPr>
          <w:p w:rsidR="00E676E3" w:rsidRPr="003A69CB" w:rsidRDefault="00E676E3" w:rsidP="00E676E3">
            <w:pPr>
              <w:ind w:firstLine="567"/>
              <w:jc w:val="both"/>
              <w:rPr>
                <w:sz w:val="22"/>
                <w:szCs w:val="22"/>
              </w:rPr>
            </w:pPr>
          </w:p>
        </w:tc>
        <w:tc>
          <w:tcPr>
            <w:tcW w:w="1174" w:type="pct"/>
            <w:vMerge/>
            <w:shd w:val="clear" w:color="auto" w:fill="auto"/>
            <w:vAlign w:val="center"/>
          </w:tcPr>
          <w:p w:rsidR="00E676E3" w:rsidRPr="003A69CB" w:rsidRDefault="00E676E3" w:rsidP="00E676E3">
            <w:pPr>
              <w:ind w:firstLine="567"/>
              <w:jc w:val="both"/>
              <w:rPr>
                <w:sz w:val="22"/>
                <w:szCs w:val="22"/>
              </w:rPr>
            </w:pPr>
          </w:p>
        </w:tc>
        <w:tc>
          <w:tcPr>
            <w:tcW w:w="895" w:type="pct"/>
            <w:shd w:val="clear" w:color="auto" w:fill="auto"/>
            <w:vAlign w:val="bottom"/>
          </w:tcPr>
          <w:p w:rsidR="00E676E3" w:rsidRPr="003A69CB" w:rsidRDefault="00E676E3" w:rsidP="00E676E3">
            <w:pPr>
              <w:ind w:firstLine="567"/>
              <w:jc w:val="both"/>
              <w:rPr>
                <w:sz w:val="22"/>
                <w:szCs w:val="22"/>
              </w:rPr>
            </w:pPr>
            <w:r w:rsidRPr="003A69CB">
              <w:rPr>
                <w:sz w:val="22"/>
                <w:szCs w:val="22"/>
              </w:rPr>
              <w:t>31.12.2016</w:t>
            </w:r>
          </w:p>
        </w:tc>
        <w:tc>
          <w:tcPr>
            <w:tcW w:w="2056" w:type="pct"/>
          </w:tcPr>
          <w:p w:rsidR="00E676E3" w:rsidRPr="003A69CB" w:rsidRDefault="00E676E3" w:rsidP="00E676E3">
            <w:pPr>
              <w:ind w:firstLine="567"/>
              <w:jc w:val="both"/>
              <w:rPr>
                <w:sz w:val="22"/>
                <w:szCs w:val="22"/>
              </w:rPr>
            </w:pPr>
            <w:r w:rsidRPr="003A69CB">
              <w:rPr>
                <w:sz w:val="22"/>
                <w:szCs w:val="22"/>
              </w:rPr>
              <w:t xml:space="preserve">-3643 </w:t>
            </w:r>
          </w:p>
        </w:tc>
      </w:tr>
    </w:tbl>
    <w:p w:rsidR="00E676E3" w:rsidRPr="00E676E3" w:rsidRDefault="00E676E3" w:rsidP="00E676E3">
      <w:pPr>
        <w:ind w:firstLine="567"/>
        <w:jc w:val="both"/>
        <w:rPr>
          <w:sz w:val="28"/>
          <w:szCs w:val="28"/>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2286"/>
        <w:gridCol w:w="1774"/>
        <w:gridCol w:w="4011"/>
      </w:tblGrid>
      <w:tr w:rsidR="00E676E3" w:rsidRPr="003A69CB" w:rsidTr="0089324C">
        <w:trPr>
          <w:trHeight w:val="477"/>
        </w:trPr>
        <w:tc>
          <w:tcPr>
            <w:tcW w:w="874" w:type="pct"/>
            <w:shd w:val="clear" w:color="auto" w:fill="auto"/>
            <w:vAlign w:val="center"/>
          </w:tcPr>
          <w:p w:rsidR="00E676E3" w:rsidRPr="003A69CB" w:rsidRDefault="00E676E3" w:rsidP="00E676E3">
            <w:pPr>
              <w:ind w:firstLine="567"/>
              <w:jc w:val="both"/>
              <w:rPr>
                <w:sz w:val="22"/>
                <w:szCs w:val="22"/>
              </w:rPr>
            </w:pPr>
            <w:r w:rsidRPr="003A69CB">
              <w:rPr>
                <w:sz w:val="22"/>
                <w:szCs w:val="22"/>
              </w:rPr>
              <w:t>Код ЄДРПОУ</w:t>
            </w:r>
          </w:p>
        </w:tc>
        <w:tc>
          <w:tcPr>
            <w:tcW w:w="1174" w:type="pct"/>
            <w:shd w:val="clear" w:color="auto" w:fill="auto"/>
            <w:vAlign w:val="center"/>
          </w:tcPr>
          <w:p w:rsidR="00E676E3" w:rsidRPr="003A69CB" w:rsidRDefault="00E676E3" w:rsidP="00E676E3">
            <w:pPr>
              <w:ind w:firstLine="567"/>
              <w:jc w:val="both"/>
              <w:rPr>
                <w:sz w:val="22"/>
                <w:szCs w:val="22"/>
              </w:rPr>
            </w:pPr>
            <w:r w:rsidRPr="003A69CB">
              <w:rPr>
                <w:sz w:val="22"/>
                <w:szCs w:val="22"/>
              </w:rPr>
              <w:t>Назва</w:t>
            </w:r>
          </w:p>
        </w:tc>
        <w:tc>
          <w:tcPr>
            <w:tcW w:w="895" w:type="pct"/>
            <w:shd w:val="clear" w:color="auto" w:fill="auto"/>
            <w:vAlign w:val="center"/>
          </w:tcPr>
          <w:p w:rsidR="00E676E3" w:rsidRPr="003A69CB" w:rsidRDefault="00E676E3" w:rsidP="00E676E3">
            <w:pPr>
              <w:ind w:firstLine="567"/>
              <w:jc w:val="both"/>
              <w:rPr>
                <w:sz w:val="22"/>
                <w:szCs w:val="22"/>
              </w:rPr>
            </w:pPr>
            <w:r w:rsidRPr="003A69CB">
              <w:rPr>
                <w:sz w:val="22"/>
                <w:szCs w:val="22"/>
              </w:rPr>
              <w:t>Дата</w:t>
            </w:r>
          </w:p>
        </w:tc>
        <w:tc>
          <w:tcPr>
            <w:tcW w:w="2056" w:type="pct"/>
            <w:vAlign w:val="center"/>
          </w:tcPr>
          <w:p w:rsidR="00E676E3" w:rsidRPr="003A69CB" w:rsidRDefault="00E676E3" w:rsidP="00E676E3">
            <w:pPr>
              <w:ind w:firstLine="567"/>
              <w:jc w:val="both"/>
              <w:rPr>
                <w:sz w:val="22"/>
                <w:szCs w:val="22"/>
              </w:rPr>
            </w:pPr>
            <w:r w:rsidRPr="003A69CB">
              <w:rPr>
                <w:sz w:val="22"/>
                <w:szCs w:val="22"/>
              </w:rPr>
              <w:t>Нерозподілений прибуток (непокритий збиток) на початок звітного року, тис. грн.</w:t>
            </w:r>
          </w:p>
        </w:tc>
      </w:tr>
      <w:tr w:rsidR="00E676E3" w:rsidRPr="003A69CB" w:rsidTr="0089324C">
        <w:trPr>
          <w:trHeight w:val="75"/>
        </w:trPr>
        <w:tc>
          <w:tcPr>
            <w:tcW w:w="874" w:type="pct"/>
            <w:vMerge w:val="restart"/>
            <w:shd w:val="clear" w:color="auto" w:fill="auto"/>
          </w:tcPr>
          <w:p w:rsidR="00E676E3" w:rsidRPr="003A69CB" w:rsidRDefault="00E676E3" w:rsidP="00E676E3">
            <w:pPr>
              <w:ind w:firstLine="567"/>
              <w:jc w:val="both"/>
              <w:rPr>
                <w:sz w:val="22"/>
                <w:szCs w:val="22"/>
              </w:rPr>
            </w:pPr>
            <w:r w:rsidRPr="003A69CB">
              <w:rPr>
                <w:sz w:val="22"/>
                <w:szCs w:val="22"/>
              </w:rPr>
              <w:t>31280357</w:t>
            </w:r>
          </w:p>
        </w:tc>
        <w:tc>
          <w:tcPr>
            <w:tcW w:w="1174" w:type="pct"/>
            <w:vMerge w:val="restart"/>
            <w:shd w:val="clear" w:color="auto" w:fill="auto"/>
          </w:tcPr>
          <w:p w:rsidR="00E676E3" w:rsidRPr="003A69CB" w:rsidRDefault="00E676E3" w:rsidP="00E676E3">
            <w:pPr>
              <w:ind w:firstLine="567"/>
              <w:jc w:val="both"/>
              <w:rPr>
                <w:sz w:val="22"/>
                <w:szCs w:val="22"/>
              </w:rPr>
            </w:pPr>
            <w:r w:rsidRPr="003A69CB">
              <w:rPr>
                <w:sz w:val="22"/>
                <w:szCs w:val="22"/>
              </w:rPr>
              <w:t>ТОВ "АБРІС-ІНВЕСТ"</w:t>
            </w:r>
          </w:p>
        </w:tc>
        <w:tc>
          <w:tcPr>
            <w:tcW w:w="895" w:type="pct"/>
            <w:shd w:val="clear" w:color="auto" w:fill="auto"/>
          </w:tcPr>
          <w:p w:rsidR="00E676E3" w:rsidRPr="003A69CB" w:rsidRDefault="00E676E3" w:rsidP="00E676E3">
            <w:pPr>
              <w:ind w:firstLine="567"/>
              <w:jc w:val="both"/>
              <w:rPr>
                <w:sz w:val="22"/>
                <w:szCs w:val="22"/>
              </w:rPr>
            </w:pPr>
          </w:p>
        </w:tc>
        <w:tc>
          <w:tcPr>
            <w:tcW w:w="2056" w:type="pct"/>
          </w:tcPr>
          <w:p w:rsidR="00E676E3" w:rsidRPr="003A69CB" w:rsidRDefault="00E676E3" w:rsidP="00E676E3">
            <w:pPr>
              <w:ind w:firstLine="567"/>
              <w:jc w:val="both"/>
              <w:rPr>
                <w:sz w:val="22"/>
                <w:szCs w:val="22"/>
                <w:lang w:val="en-US"/>
              </w:rPr>
            </w:pPr>
            <w:r w:rsidRPr="003A69CB">
              <w:rPr>
                <w:sz w:val="22"/>
                <w:szCs w:val="22"/>
                <w:lang w:val="en-US"/>
              </w:rPr>
              <w:t>BP1420_03</w:t>
            </w:r>
          </w:p>
        </w:tc>
      </w:tr>
      <w:tr w:rsidR="00E676E3" w:rsidRPr="003A69CB" w:rsidTr="0089324C">
        <w:trPr>
          <w:trHeight w:val="75"/>
        </w:trPr>
        <w:tc>
          <w:tcPr>
            <w:tcW w:w="874" w:type="pct"/>
            <w:vMerge/>
            <w:shd w:val="clear" w:color="auto" w:fill="auto"/>
            <w:vAlign w:val="center"/>
          </w:tcPr>
          <w:p w:rsidR="00E676E3" w:rsidRPr="003A69CB" w:rsidRDefault="00E676E3" w:rsidP="00E676E3">
            <w:pPr>
              <w:ind w:firstLine="567"/>
              <w:jc w:val="both"/>
              <w:rPr>
                <w:sz w:val="22"/>
                <w:szCs w:val="22"/>
              </w:rPr>
            </w:pPr>
          </w:p>
        </w:tc>
        <w:tc>
          <w:tcPr>
            <w:tcW w:w="1174" w:type="pct"/>
            <w:vMerge/>
            <w:shd w:val="clear" w:color="auto" w:fill="auto"/>
            <w:vAlign w:val="center"/>
          </w:tcPr>
          <w:p w:rsidR="00E676E3" w:rsidRPr="003A69CB" w:rsidRDefault="00E676E3" w:rsidP="00E676E3">
            <w:pPr>
              <w:ind w:firstLine="567"/>
              <w:jc w:val="both"/>
              <w:rPr>
                <w:sz w:val="22"/>
                <w:szCs w:val="22"/>
              </w:rPr>
            </w:pPr>
          </w:p>
        </w:tc>
        <w:tc>
          <w:tcPr>
            <w:tcW w:w="895" w:type="pct"/>
            <w:shd w:val="clear" w:color="auto" w:fill="auto"/>
            <w:vAlign w:val="bottom"/>
          </w:tcPr>
          <w:p w:rsidR="00E676E3" w:rsidRPr="003A69CB" w:rsidRDefault="00E676E3" w:rsidP="00E676E3">
            <w:pPr>
              <w:ind w:firstLine="567"/>
              <w:jc w:val="both"/>
              <w:rPr>
                <w:sz w:val="22"/>
                <w:szCs w:val="22"/>
              </w:rPr>
            </w:pPr>
            <w:r w:rsidRPr="003A69CB">
              <w:rPr>
                <w:sz w:val="22"/>
                <w:szCs w:val="22"/>
              </w:rPr>
              <w:t>31.03.2017</w:t>
            </w:r>
          </w:p>
        </w:tc>
        <w:tc>
          <w:tcPr>
            <w:tcW w:w="2056" w:type="pct"/>
          </w:tcPr>
          <w:p w:rsidR="00E676E3" w:rsidRPr="003A69CB" w:rsidRDefault="00E676E3" w:rsidP="00E676E3">
            <w:pPr>
              <w:ind w:firstLine="567"/>
              <w:jc w:val="both"/>
              <w:rPr>
                <w:sz w:val="22"/>
                <w:szCs w:val="22"/>
              </w:rPr>
            </w:pPr>
            <w:r w:rsidRPr="003A69CB">
              <w:rPr>
                <w:sz w:val="22"/>
                <w:szCs w:val="22"/>
              </w:rPr>
              <w:t>-3615</w:t>
            </w:r>
          </w:p>
        </w:tc>
      </w:tr>
      <w:tr w:rsidR="00E676E3" w:rsidRPr="003A69CB" w:rsidTr="0089324C">
        <w:trPr>
          <w:trHeight w:val="75"/>
        </w:trPr>
        <w:tc>
          <w:tcPr>
            <w:tcW w:w="874" w:type="pct"/>
            <w:vMerge/>
            <w:shd w:val="clear" w:color="auto" w:fill="auto"/>
            <w:vAlign w:val="center"/>
          </w:tcPr>
          <w:p w:rsidR="00E676E3" w:rsidRPr="003A69CB" w:rsidRDefault="00E676E3" w:rsidP="00E676E3">
            <w:pPr>
              <w:ind w:firstLine="567"/>
              <w:jc w:val="both"/>
              <w:rPr>
                <w:sz w:val="22"/>
                <w:szCs w:val="22"/>
              </w:rPr>
            </w:pPr>
          </w:p>
        </w:tc>
        <w:tc>
          <w:tcPr>
            <w:tcW w:w="1174" w:type="pct"/>
            <w:vMerge/>
            <w:shd w:val="clear" w:color="auto" w:fill="auto"/>
            <w:vAlign w:val="center"/>
          </w:tcPr>
          <w:p w:rsidR="00E676E3" w:rsidRPr="003A69CB" w:rsidRDefault="00E676E3" w:rsidP="00E676E3">
            <w:pPr>
              <w:ind w:firstLine="567"/>
              <w:jc w:val="both"/>
              <w:rPr>
                <w:sz w:val="22"/>
                <w:szCs w:val="22"/>
              </w:rPr>
            </w:pPr>
          </w:p>
        </w:tc>
        <w:tc>
          <w:tcPr>
            <w:tcW w:w="895" w:type="pct"/>
            <w:shd w:val="clear" w:color="auto" w:fill="auto"/>
            <w:vAlign w:val="bottom"/>
          </w:tcPr>
          <w:p w:rsidR="00E676E3" w:rsidRPr="003A69CB" w:rsidRDefault="00E676E3" w:rsidP="00E676E3">
            <w:pPr>
              <w:ind w:firstLine="567"/>
              <w:jc w:val="both"/>
              <w:rPr>
                <w:sz w:val="22"/>
                <w:szCs w:val="22"/>
              </w:rPr>
            </w:pPr>
            <w:r w:rsidRPr="003A69CB">
              <w:rPr>
                <w:sz w:val="22"/>
                <w:szCs w:val="22"/>
              </w:rPr>
              <w:t>30.06.2017</w:t>
            </w:r>
          </w:p>
        </w:tc>
        <w:tc>
          <w:tcPr>
            <w:tcW w:w="2056" w:type="pct"/>
          </w:tcPr>
          <w:p w:rsidR="00E676E3" w:rsidRPr="003A69CB" w:rsidRDefault="00E676E3" w:rsidP="00E676E3">
            <w:pPr>
              <w:ind w:firstLine="567"/>
              <w:jc w:val="both"/>
              <w:rPr>
                <w:sz w:val="22"/>
                <w:szCs w:val="22"/>
              </w:rPr>
            </w:pPr>
            <w:r w:rsidRPr="003A69CB">
              <w:rPr>
                <w:sz w:val="22"/>
                <w:szCs w:val="22"/>
              </w:rPr>
              <w:t>-3615</w:t>
            </w:r>
          </w:p>
        </w:tc>
      </w:tr>
    </w:tbl>
    <w:p w:rsidR="00E676E3" w:rsidRPr="00E676E3" w:rsidRDefault="00E676E3" w:rsidP="00E676E3">
      <w:pPr>
        <w:ind w:firstLine="567"/>
        <w:jc w:val="both"/>
        <w:rPr>
          <w:sz w:val="28"/>
          <w:szCs w:val="28"/>
          <w:lang w:val="x-none"/>
        </w:rPr>
      </w:pPr>
    </w:p>
    <w:p w:rsidR="00E676E3" w:rsidRPr="00E676E3" w:rsidRDefault="00E676E3" w:rsidP="00E676E3">
      <w:pPr>
        <w:ind w:firstLine="567"/>
        <w:jc w:val="both"/>
        <w:rPr>
          <w:sz w:val="28"/>
          <w:szCs w:val="28"/>
          <w:lang w:val="x-none"/>
        </w:rPr>
      </w:pPr>
      <w:r w:rsidRPr="00E676E3">
        <w:rPr>
          <w:sz w:val="28"/>
          <w:szCs w:val="28"/>
          <w:lang w:val="x-none"/>
        </w:rPr>
        <w:t>Комісією з метою проведення додаткового аналізу було направлено до Товариства запит (вимогу) від 07.08.2017 № 16/04/15189 (далі – запит (вимога)). Відповідно до запиту (вимоги) Товариству необхідно надати пояснення щодо невідповідності між сумами нерозподіленого прибутку чи непокритого збитку на початок звітного року, включеними Товариством до розрахунку регулятивного капіталу, та відповідними сумами, зазначеними Товариством у фінансовій звітності.</w:t>
      </w:r>
    </w:p>
    <w:p w:rsidR="00E676E3" w:rsidRPr="00E676E3" w:rsidRDefault="00E676E3" w:rsidP="00E676E3">
      <w:pPr>
        <w:ind w:firstLine="567"/>
        <w:jc w:val="both"/>
        <w:rPr>
          <w:sz w:val="28"/>
          <w:szCs w:val="28"/>
          <w:lang w:val="x-none"/>
        </w:rPr>
      </w:pPr>
      <w:r w:rsidRPr="00E676E3">
        <w:rPr>
          <w:sz w:val="28"/>
          <w:szCs w:val="28"/>
          <w:lang w:val="x-none"/>
        </w:rPr>
        <w:t>Відповідно до пояснень, наданих Товариством листом від 11.09.2017 №</w:t>
      </w:r>
      <w:r w:rsidRPr="00E676E3">
        <w:rPr>
          <w:sz w:val="28"/>
          <w:szCs w:val="28"/>
          <w:lang w:val="ru-RU"/>
        </w:rPr>
        <w:t> </w:t>
      </w:r>
      <w:r w:rsidRPr="00E676E3">
        <w:rPr>
          <w:sz w:val="28"/>
          <w:szCs w:val="28"/>
          <w:lang w:val="x-none"/>
        </w:rPr>
        <w:t xml:space="preserve">17/09/11-1 у відповідь на запит (вимогу), вказана вище невідповідність пов’язана з тим, що замість нерозподіленого прибутку чи непокритого збитку на початок звітного року в адміністративних даних відображені суми прибутку, </w:t>
      </w:r>
      <w:r w:rsidRPr="00E676E3">
        <w:rPr>
          <w:sz w:val="28"/>
          <w:szCs w:val="28"/>
          <w:lang w:val="x-none"/>
        </w:rPr>
        <w:br/>
        <w:t>з яких Товариство сплатило податки.</w:t>
      </w:r>
    </w:p>
    <w:p w:rsidR="00E676E3" w:rsidRPr="00E676E3" w:rsidRDefault="00E676E3" w:rsidP="00E676E3">
      <w:pPr>
        <w:ind w:firstLine="567"/>
        <w:jc w:val="both"/>
        <w:rPr>
          <w:sz w:val="28"/>
          <w:szCs w:val="28"/>
          <w:lang w:val="x-none"/>
        </w:rPr>
      </w:pPr>
      <w:r w:rsidRPr="00E676E3">
        <w:rPr>
          <w:sz w:val="28"/>
          <w:szCs w:val="28"/>
          <w:lang w:val="x-none"/>
        </w:rPr>
        <w:t>Виходячи з наведеного, Товариство подало до Комісії недостовірну</w:t>
      </w:r>
      <w:r w:rsidRPr="00E676E3">
        <w:rPr>
          <w:b/>
          <w:sz w:val="28"/>
          <w:szCs w:val="28"/>
          <w:lang w:val="x-none"/>
        </w:rPr>
        <w:t xml:space="preserve"> </w:t>
      </w:r>
      <w:r w:rsidRPr="00E676E3">
        <w:rPr>
          <w:sz w:val="28"/>
          <w:szCs w:val="28"/>
          <w:lang w:val="x-none"/>
        </w:rPr>
        <w:t>інформацію щодо розміру нерозподіленого прибутку на початок звітного року та непокритого збитку на початок звітного року у складі Довідки про вихідні дані для розрахунку показника розміру регулятивного капіталу.</w:t>
      </w:r>
    </w:p>
    <w:p w:rsidR="00E676E3" w:rsidRPr="00E676E3" w:rsidRDefault="00E676E3" w:rsidP="00E676E3">
      <w:pPr>
        <w:ind w:firstLine="567"/>
        <w:jc w:val="both"/>
        <w:rPr>
          <w:sz w:val="28"/>
          <w:szCs w:val="28"/>
        </w:rPr>
      </w:pPr>
      <w:r w:rsidRPr="00E676E3">
        <w:rPr>
          <w:sz w:val="28"/>
          <w:szCs w:val="28"/>
        </w:rPr>
        <w:t>Таким чином, Товариство надало до Комісії недостовірну інформацію.</w:t>
      </w:r>
    </w:p>
    <w:p w:rsidR="00E676E3" w:rsidRPr="00E676E3" w:rsidRDefault="00E676E3" w:rsidP="00E676E3">
      <w:pPr>
        <w:ind w:firstLine="567"/>
        <w:jc w:val="both"/>
        <w:rPr>
          <w:sz w:val="28"/>
          <w:szCs w:val="28"/>
        </w:rPr>
      </w:pPr>
      <w:r w:rsidRPr="00E676E3">
        <w:rPr>
          <w:sz w:val="28"/>
          <w:szCs w:val="28"/>
        </w:rPr>
        <w:lastRenderedPageBreak/>
        <w:t>Постановою про зупинення провадження справи про правопорушення на ринку цінних паперів від 11.04.2019 провадження у справі про правопорушення на ринку цінних паперів було зупинено.</w:t>
      </w:r>
    </w:p>
    <w:p w:rsidR="00E676E3" w:rsidRPr="00E676E3" w:rsidRDefault="00E676E3" w:rsidP="00E676E3">
      <w:pPr>
        <w:ind w:firstLine="567"/>
        <w:jc w:val="both"/>
        <w:rPr>
          <w:sz w:val="28"/>
          <w:szCs w:val="28"/>
        </w:rPr>
      </w:pPr>
      <w:r w:rsidRPr="00E676E3">
        <w:rPr>
          <w:sz w:val="28"/>
          <w:szCs w:val="28"/>
        </w:rPr>
        <w:t>Постановою про відновлення провадження у справі про правопорушення на ринку цінних паперів від 29.08.2019 провадження у справі про правопорушення на ринку цінних паперів відновлено.</w:t>
      </w:r>
    </w:p>
    <w:p w:rsidR="00E676E3" w:rsidRPr="00E676E3" w:rsidRDefault="00E676E3" w:rsidP="00E676E3">
      <w:pPr>
        <w:ind w:firstLine="567"/>
        <w:jc w:val="both"/>
        <w:rPr>
          <w:sz w:val="28"/>
          <w:szCs w:val="28"/>
        </w:rPr>
      </w:pPr>
      <w:r w:rsidRPr="00E676E3">
        <w:rPr>
          <w:sz w:val="28"/>
          <w:szCs w:val="28"/>
        </w:rPr>
        <w:t xml:space="preserve">Також, у відношенні, ТОВ «Абріс-інвест» було складено акт про правопорушення на ринку цінних паперів від </w:t>
      </w:r>
      <w:r w:rsidRPr="00E676E3">
        <w:rPr>
          <w:sz w:val="28"/>
          <w:szCs w:val="28"/>
          <w:lang w:val="ru-RU"/>
        </w:rPr>
        <w:t>19.03.2019</w:t>
      </w:r>
      <w:r w:rsidRPr="00E676E3">
        <w:rPr>
          <w:sz w:val="28"/>
          <w:szCs w:val="28"/>
        </w:rPr>
        <w:t xml:space="preserve"> №200-ДП-Т, відповідно до якого встановлено наступне. </w:t>
      </w:r>
    </w:p>
    <w:p w:rsidR="00E676E3" w:rsidRPr="00E676E3" w:rsidRDefault="00E676E3" w:rsidP="00E676E3">
      <w:pPr>
        <w:ind w:firstLine="567"/>
        <w:jc w:val="both"/>
        <w:rPr>
          <w:sz w:val="28"/>
          <w:szCs w:val="28"/>
        </w:rPr>
      </w:pPr>
      <w:r w:rsidRPr="00E676E3">
        <w:rPr>
          <w:sz w:val="28"/>
          <w:szCs w:val="28"/>
        </w:rPr>
        <w:t>Відповідно до пункту 2 розділу ІІ Ліцензійних умов №819, ліцензіат при провадженні діяльності з торгівлі цінними паперами має відповідати вимогам, зокрема, нормативно-правових актів Комісії, що регулюють правила (порядок) провадження професійної діяльності на фондовому ринку за кожним видом діяльності - діяльності з торгівлі цінними паперами, на який ліцензіат отримав відповідну ліцензію.</w:t>
      </w:r>
    </w:p>
    <w:p w:rsidR="00E676E3" w:rsidRPr="00E676E3" w:rsidRDefault="00E676E3" w:rsidP="00E676E3">
      <w:pPr>
        <w:ind w:firstLine="567"/>
        <w:jc w:val="both"/>
        <w:rPr>
          <w:sz w:val="28"/>
          <w:szCs w:val="28"/>
        </w:rPr>
      </w:pPr>
      <w:r w:rsidRPr="00E676E3">
        <w:rPr>
          <w:sz w:val="28"/>
          <w:szCs w:val="28"/>
        </w:rPr>
        <w:t>Згідно з пунктом 1 розділу ІІІ Положення №1283, торговець цінними паперами подає місячні Дані до центрального апарату Комісії не пізніше останнього числа місяця, наступного за звітним.</w:t>
      </w:r>
    </w:p>
    <w:p w:rsidR="00E676E3" w:rsidRPr="00E676E3" w:rsidRDefault="00E676E3" w:rsidP="00E676E3">
      <w:pPr>
        <w:ind w:firstLine="567"/>
        <w:jc w:val="both"/>
        <w:rPr>
          <w:sz w:val="28"/>
          <w:szCs w:val="28"/>
        </w:rPr>
      </w:pPr>
      <w:r w:rsidRPr="00E676E3">
        <w:rPr>
          <w:sz w:val="28"/>
          <w:szCs w:val="28"/>
        </w:rPr>
        <w:t xml:space="preserve">Станом на 18.02.2019 адміністративні дані за період вересень 2017 </w:t>
      </w:r>
      <w:r w:rsidRPr="00E676E3">
        <w:rPr>
          <w:sz w:val="28"/>
          <w:szCs w:val="28"/>
        </w:rPr>
        <w:br/>
        <w:t>року – грудень 2018 року не подані.</w:t>
      </w:r>
    </w:p>
    <w:p w:rsidR="00E676E3" w:rsidRPr="00E676E3" w:rsidRDefault="00E676E3" w:rsidP="00E676E3">
      <w:pPr>
        <w:ind w:firstLine="567"/>
        <w:jc w:val="both"/>
        <w:rPr>
          <w:sz w:val="28"/>
          <w:szCs w:val="28"/>
        </w:rPr>
      </w:pPr>
      <w:r w:rsidRPr="00E676E3">
        <w:rPr>
          <w:sz w:val="28"/>
          <w:szCs w:val="28"/>
        </w:rPr>
        <w:t xml:space="preserve">Таким чином, торговець цінними паперами ТОВ «Абріс-інвест» порушив вимоги пункту 2 розділу ІІ Ліцензійних умов № 819, в частині недотримання вимог  пункту 1 розділу ІІІ Положення № 1283, а саме: неподання до Комісії адміністративних даних торговця цінними паперами за період вересень </w:t>
      </w:r>
      <w:r w:rsidRPr="00E676E3">
        <w:rPr>
          <w:sz w:val="28"/>
          <w:szCs w:val="28"/>
        </w:rPr>
        <w:br/>
        <w:t>2017 року – грудень 2018 року.</w:t>
      </w:r>
    </w:p>
    <w:p w:rsidR="00E676E3" w:rsidRPr="00E676E3" w:rsidRDefault="00E676E3" w:rsidP="00E676E3">
      <w:pPr>
        <w:ind w:firstLine="567"/>
        <w:jc w:val="both"/>
        <w:rPr>
          <w:sz w:val="28"/>
          <w:szCs w:val="28"/>
        </w:rPr>
      </w:pPr>
      <w:r w:rsidRPr="00E676E3">
        <w:rPr>
          <w:sz w:val="28"/>
          <w:szCs w:val="28"/>
        </w:rPr>
        <w:t>Постановою про зупинення провадження справи про правопорушення на ринку цінних паперів від 11.04.2019 провадження у справі про правопорушення на ринку цінних паперів було зупинено.</w:t>
      </w:r>
    </w:p>
    <w:p w:rsidR="00E676E3" w:rsidRDefault="00E676E3" w:rsidP="00E676E3">
      <w:pPr>
        <w:ind w:firstLine="567"/>
        <w:jc w:val="both"/>
        <w:rPr>
          <w:sz w:val="28"/>
          <w:szCs w:val="28"/>
        </w:rPr>
      </w:pPr>
      <w:r w:rsidRPr="00E676E3">
        <w:rPr>
          <w:sz w:val="28"/>
          <w:szCs w:val="28"/>
        </w:rPr>
        <w:t>Постановою про відновлення провадження у справі про правопорушення на ринку цінних паперів від 29.08.2019 провадження у справі про правопорушення на ринку цінних паперів відновлено.</w:t>
      </w:r>
    </w:p>
    <w:p w:rsidR="00460722" w:rsidRPr="00321B7E" w:rsidRDefault="00460722" w:rsidP="00321B7E">
      <w:pPr>
        <w:ind w:firstLine="567"/>
        <w:jc w:val="both"/>
        <w:rPr>
          <w:bCs/>
          <w:sz w:val="28"/>
          <w:szCs w:val="28"/>
        </w:rPr>
      </w:pPr>
      <w:r>
        <w:rPr>
          <w:bCs/>
          <w:sz w:val="28"/>
          <w:szCs w:val="28"/>
        </w:rPr>
        <w:t>З метою повного, всебічного і об’єктивного р</w:t>
      </w:r>
      <w:r w:rsidR="00F21055">
        <w:rPr>
          <w:bCs/>
          <w:sz w:val="28"/>
          <w:szCs w:val="28"/>
        </w:rPr>
        <w:t>озгляду справ, постановою від 10.09</w:t>
      </w:r>
      <w:r>
        <w:rPr>
          <w:bCs/>
          <w:sz w:val="28"/>
          <w:szCs w:val="28"/>
        </w:rPr>
        <w:t xml:space="preserve">.2019 року про об’єднання справ про правопорушення на ринку цінних паперів в одне провадження, справи про правопорушення на ринку цінних паперів у відношенні </w:t>
      </w:r>
      <w:r w:rsidR="008E0B87">
        <w:rPr>
          <w:bCs/>
          <w:sz w:val="28"/>
          <w:szCs w:val="28"/>
        </w:rPr>
        <w:t>ТОВ «Абріс-інвест»</w:t>
      </w:r>
      <w:r>
        <w:rPr>
          <w:bCs/>
          <w:sz w:val="28"/>
          <w:szCs w:val="28"/>
        </w:rPr>
        <w:t xml:space="preserve"> було об’єднано в одне провадження.</w:t>
      </w:r>
    </w:p>
    <w:p w:rsidR="004340D2" w:rsidRDefault="004340D2" w:rsidP="00D15EB8">
      <w:pPr>
        <w:ind w:firstLine="567"/>
        <w:jc w:val="both"/>
        <w:rPr>
          <w:bCs/>
          <w:sz w:val="28"/>
          <w:szCs w:val="28"/>
        </w:rPr>
      </w:pPr>
      <w:r w:rsidRPr="004340D2">
        <w:rPr>
          <w:bCs/>
          <w:sz w:val="28"/>
          <w:szCs w:val="28"/>
        </w:rPr>
        <w:t>Враховуючи викладене, на підставі пункту 5 статті 8 Закону України «Про державне регулювання ринку цінних паперів в Україні», статті 16 Закону України «Про ліцензування видів господарс</w:t>
      </w:r>
      <w:r w:rsidR="00407375">
        <w:rPr>
          <w:bCs/>
          <w:sz w:val="28"/>
          <w:szCs w:val="28"/>
        </w:rPr>
        <w:t>ької діяльності»,</w:t>
      </w:r>
      <w:r w:rsidR="00A02523" w:rsidRPr="00A02523">
        <w:rPr>
          <w:bCs/>
          <w:sz w:val="28"/>
          <w:szCs w:val="28"/>
        </w:rPr>
        <w:t xml:space="preserve"> </w:t>
      </w:r>
      <w:r w:rsidR="00BE13FF">
        <w:rPr>
          <w:bCs/>
          <w:sz w:val="28"/>
          <w:szCs w:val="28"/>
        </w:rPr>
        <w:t>підпункту</w:t>
      </w:r>
      <w:r w:rsidRPr="004340D2">
        <w:rPr>
          <w:bCs/>
          <w:sz w:val="28"/>
          <w:szCs w:val="28"/>
        </w:rPr>
        <w:t xml:space="preserve"> 21 пункту 1 розділу ІV Порядку зупинення дії та </w:t>
      </w:r>
      <w:r w:rsidR="00C94643">
        <w:rPr>
          <w:bCs/>
          <w:sz w:val="28"/>
          <w:szCs w:val="28"/>
        </w:rPr>
        <w:t xml:space="preserve">анулювання ліцензії на окремі </w:t>
      </w:r>
      <w:r w:rsidRPr="004340D2">
        <w:rPr>
          <w:bCs/>
          <w:sz w:val="28"/>
          <w:szCs w:val="28"/>
        </w:rPr>
        <w:t>види професійної діяльності на фондовому ринку (ринку цінних паперів), затвердженого рішенням Комісії від 14.05</w:t>
      </w:r>
      <w:r>
        <w:rPr>
          <w:bCs/>
          <w:sz w:val="28"/>
          <w:szCs w:val="28"/>
        </w:rPr>
        <w:t xml:space="preserve">.2013 №816, зареєстрованим </w:t>
      </w:r>
      <w:r w:rsidR="00710508">
        <w:rPr>
          <w:bCs/>
          <w:sz w:val="28"/>
          <w:szCs w:val="28"/>
        </w:rPr>
        <w:br/>
      </w:r>
      <w:r w:rsidRPr="004340D2">
        <w:rPr>
          <w:bCs/>
          <w:sz w:val="28"/>
          <w:szCs w:val="28"/>
        </w:rPr>
        <w:t>в Міністерстві юстиції України від 01.06.2013 за № 862/23394 (далі – Порядок №816) та підпункту 2.4 пункту 2 розділу ХVІІ Правил розгляду справ про порушення вимог законодавства на ринку цінних паперів та застосування санкцій, затверджених рішенням Комісії від 16.10.2012 №1470,</w:t>
      </w:r>
    </w:p>
    <w:p w:rsidR="00AD6217" w:rsidRDefault="00AD6217" w:rsidP="00D15EB8">
      <w:pPr>
        <w:ind w:firstLine="567"/>
        <w:jc w:val="both"/>
        <w:rPr>
          <w:bCs/>
          <w:sz w:val="28"/>
          <w:szCs w:val="28"/>
        </w:rPr>
      </w:pPr>
    </w:p>
    <w:p w:rsidR="00BE2F67" w:rsidRDefault="00BE2F67" w:rsidP="00D15EB8">
      <w:pPr>
        <w:tabs>
          <w:tab w:val="center" w:pos="5400"/>
        </w:tabs>
        <w:ind w:firstLine="567"/>
        <w:jc w:val="center"/>
        <w:rPr>
          <w:b/>
          <w:sz w:val="28"/>
          <w:szCs w:val="28"/>
        </w:rPr>
      </w:pPr>
      <w:r>
        <w:rPr>
          <w:b/>
          <w:sz w:val="28"/>
          <w:szCs w:val="28"/>
        </w:rPr>
        <w:t>п о с т а н о в и л и:</w:t>
      </w:r>
    </w:p>
    <w:p w:rsidR="00AD6217" w:rsidRPr="00BC18B2" w:rsidRDefault="00AD6217" w:rsidP="00BC18B2">
      <w:pPr>
        <w:tabs>
          <w:tab w:val="center" w:pos="5400"/>
        </w:tabs>
        <w:ind w:firstLine="567"/>
        <w:jc w:val="both"/>
        <w:rPr>
          <w:b/>
          <w:sz w:val="28"/>
          <w:szCs w:val="28"/>
        </w:rPr>
      </w:pPr>
    </w:p>
    <w:p w:rsidR="00D12BCE" w:rsidRPr="00D12BCE" w:rsidRDefault="00D12BCE" w:rsidP="002023AD">
      <w:pPr>
        <w:pStyle w:val="10"/>
        <w:ind w:firstLine="567"/>
        <w:jc w:val="both"/>
        <w:rPr>
          <w:rFonts w:ascii="Times New Roman" w:hAnsi="Times New Roman"/>
          <w:lang w:val="uk-UA"/>
        </w:rPr>
      </w:pPr>
      <w:r w:rsidRPr="00D12BCE">
        <w:rPr>
          <w:rFonts w:ascii="Times New Roman" w:hAnsi="Times New Roman"/>
          <w:sz w:val="28"/>
          <w:szCs w:val="28"/>
          <w:lang w:val="uk-UA"/>
        </w:rPr>
        <w:t>1.</w:t>
      </w:r>
      <w:r>
        <w:rPr>
          <w:rFonts w:ascii="Times New Roman" w:hAnsi="Times New Roman"/>
          <w:sz w:val="28"/>
          <w:szCs w:val="28"/>
          <w:lang w:val="uk-UA"/>
        </w:rPr>
        <w:t xml:space="preserve"> </w:t>
      </w:r>
      <w:r w:rsidR="00BE2F67" w:rsidRPr="00BC18B2">
        <w:rPr>
          <w:rFonts w:ascii="Times New Roman" w:hAnsi="Times New Roman"/>
          <w:sz w:val="28"/>
          <w:szCs w:val="28"/>
          <w:lang w:val="uk-UA"/>
        </w:rPr>
        <w:t>За невиконання розпорядження про усунення порушень ліцензійних умов, встановлених дл</w:t>
      </w:r>
      <w:r w:rsidR="00357CDD">
        <w:rPr>
          <w:rFonts w:ascii="Times New Roman" w:hAnsi="Times New Roman"/>
          <w:sz w:val="28"/>
          <w:szCs w:val="28"/>
          <w:lang w:val="uk-UA"/>
        </w:rPr>
        <w:t>я виду господарської діяльності</w:t>
      </w:r>
      <w:r w:rsidR="00687376">
        <w:rPr>
          <w:rFonts w:ascii="Times New Roman" w:hAnsi="Times New Roman"/>
          <w:sz w:val="28"/>
          <w:szCs w:val="28"/>
          <w:lang w:val="uk-UA"/>
        </w:rPr>
        <w:t>,</w:t>
      </w:r>
      <w:r w:rsidR="00BE2F67" w:rsidRPr="00BC18B2">
        <w:rPr>
          <w:rFonts w:ascii="Times New Roman" w:hAnsi="Times New Roman"/>
          <w:sz w:val="28"/>
          <w:szCs w:val="28"/>
          <w:lang w:val="uk-UA"/>
        </w:rPr>
        <w:t xml:space="preserve"> застосувати у відношенні </w:t>
      </w:r>
      <w:r w:rsidR="009951DC">
        <w:rPr>
          <w:rFonts w:ascii="Times New Roman" w:hAnsi="Times New Roman"/>
          <w:sz w:val="28"/>
          <w:szCs w:val="28"/>
          <w:lang w:val="uk-UA"/>
        </w:rPr>
        <w:br/>
      </w:r>
      <w:r w:rsidR="00D856B8" w:rsidRPr="00D856B8">
        <w:rPr>
          <w:rFonts w:ascii="Times New Roman" w:hAnsi="Times New Roman"/>
          <w:bCs/>
          <w:sz w:val="28"/>
          <w:szCs w:val="28"/>
          <w:lang w:val="uk-UA"/>
        </w:rPr>
        <w:t xml:space="preserve">ТОВ «Абріс-інвест» </w:t>
      </w:r>
      <w:r w:rsidR="00BE2F67" w:rsidRPr="00BC18B2">
        <w:rPr>
          <w:rFonts w:ascii="Times New Roman" w:hAnsi="Times New Roman"/>
          <w:sz w:val="28"/>
          <w:szCs w:val="28"/>
          <w:lang w:val="uk-UA"/>
        </w:rPr>
        <w:t xml:space="preserve">санкцію у вигляді </w:t>
      </w:r>
      <w:r w:rsidR="00BE2F67" w:rsidRPr="00BC18B2">
        <w:rPr>
          <w:rFonts w:ascii="Times New Roman" w:hAnsi="Times New Roman"/>
          <w:b/>
          <w:sz w:val="28"/>
          <w:szCs w:val="28"/>
          <w:lang w:val="uk-UA"/>
        </w:rPr>
        <w:t>анулюван</w:t>
      </w:r>
      <w:r w:rsidR="00D856B8">
        <w:rPr>
          <w:rFonts w:ascii="Times New Roman" w:hAnsi="Times New Roman"/>
          <w:b/>
          <w:sz w:val="28"/>
          <w:szCs w:val="28"/>
          <w:lang w:val="uk-UA"/>
        </w:rPr>
        <w:t>ня ліцензії</w:t>
      </w:r>
      <w:r w:rsidR="00BE13FF" w:rsidRPr="00BC18B2">
        <w:rPr>
          <w:rFonts w:ascii="Times New Roman" w:hAnsi="Times New Roman"/>
          <w:lang w:val="uk-UA"/>
        </w:rPr>
        <w:t xml:space="preserve"> </w:t>
      </w:r>
      <w:r w:rsidR="002023AD" w:rsidRPr="00D12BCE">
        <w:rPr>
          <w:rFonts w:ascii="Times New Roman" w:eastAsiaTheme="minorHAnsi" w:hAnsi="Times New Roman"/>
          <w:bCs/>
          <w:sz w:val="28"/>
          <w:szCs w:val="28"/>
          <w:lang w:val="uk-UA" w:eastAsia="en-US"/>
        </w:rPr>
        <w:t>на провадження професійної</w:t>
      </w:r>
      <w:r w:rsidR="00A54166">
        <w:rPr>
          <w:rFonts w:ascii="Times New Roman" w:eastAsiaTheme="minorHAnsi" w:hAnsi="Times New Roman"/>
          <w:bCs/>
          <w:sz w:val="28"/>
          <w:szCs w:val="28"/>
          <w:lang w:val="uk-UA" w:eastAsia="en-US"/>
        </w:rPr>
        <w:t xml:space="preserve"> діяльності на фондовому ринку </w:t>
      </w:r>
      <w:r w:rsidRPr="00D12BCE">
        <w:rPr>
          <w:rFonts w:ascii="Times New Roman" w:eastAsiaTheme="minorHAnsi" w:hAnsi="Times New Roman"/>
          <w:bCs/>
          <w:sz w:val="28"/>
          <w:szCs w:val="28"/>
          <w:lang w:val="uk-UA" w:eastAsia="en-US"/>
        </w:rPr>
        <w:t>– діяльності з торгівлі цінними паперами, а саме</w:t>
      </w:r>
      <w:r w:rsidR="00D856B8">
        <w:rPr>
          <w:rFonts w:ascii="Times New Roman" w:eastAsiaTheme="minorHAnsi" w:hAnsi="Times New Roman"/>
          <w:bCs/>
          <w:sz w:val="28"/>
          <w:szCs w:val="28"/>
          <w:lang w:val="uk-UA" w:eastAsia="en-US"/>
        </w:rPr>
        <w:t>: брокерська діяльність серії АД</w:t>
      </w:r>
      <w:r w:rsidRPr="00D12BCE">
        <w:rPr>
          <w:rFonts w:ascii="Times New Roman" w:eastAsiaTheme="minorHAnsi" w:hAnsi="Times New Roman"/>
          <w:bCs/>
          <w:sz w:val="28"/>
          <w:szCs w:val="28"/>
          <w:lang w:val="uk-UA" w:eastAsia="en-US"/>
        </w:rPr>
        <w:t xml:space="preserve"> №</w:t>
      </w:r>
      <w:r w:rsidR="00D856B8">
        <w:rPr>
          <w:rFonts w:ascii="Times New Roman" w:eastAsiaTheme="minorHAnsi" w:hAnsi="Times New Roman"/>
          <w:bCs/>
          <w:sz w:val="28"/>
          <w:szCs w:val="28"/>
          <w:lang w:val="uk-UA" w:eastAsia="en-US"/>
        </w:rPr>
        <w:t>075872 від 18.09</w:t>
      </w:r>
      <w:r w:rsidR="00C31227">
        <w:rPr>
          <w:rFonts w:ascii="Times New Roman" w:eastAsiaTheme="minorHAnsi" w:hAnsi="Times New Roman"/>
          <w:bCs/>
          <w:sz w:val="28"/>
          <w:szCs w:val="28"/>
          <w:lang w:val="uk-UA" w:eastAsia="en-US"/>
        </w:rPr>
        <w:t>.2012</w:t>
      </w:r>
      <w:r w:rsidR="00D856B8">
        <w:rPr>
          <w:rFonts w:ascii="Times New Roman" w:eastAsiaTheme="minorHAnsi" w:hAnsi="Times New Roman"/>
          <w:bCs/>
          <w:sz w:val="28"/>
          <w:szCs w:val="28"/>
          <w:lang w:val="uk-UA" w:eastAsia="en-US"/>
        </w:rPr>
        <w:t xml:space="preserve">, дилерська діяльність серії АД </w:t>
      </w:r>
      <w:r w:rsidRPr="00D12BCE">
        <w:rPr>
          <w:rFonts w:ascii="Times New Roman" w:eastAsiaTheme="minorHAnsi" w:hAnsi="Times New Roman"/>
          <w:bCs/>
          <w:sz w:val="28"/>
          <w:szCs w:val="28"/>
          <w:lang w:val="uk-UA" w:eastAsia="en-US"/>
        </w:rPr>
        <w:t>№</w:t>
      </w:r>
      <w:r w:rsidR="00D856B8">
        <w:rPr>
          <w:rFonts w:ascii="Times New Roman" w:eastAsiaTheme="minorHAnsi" w:hAnsi="Times New Roman"/>
          <w:bCs/>
          <w:sz w:val="28"/>
          <w:szCs w:val="28"/>
          <w:lang w:val="uk-UA" w:eastAsia="en-US"/>
        </w:rPr>
        <w:t>075783 від 18.09</w:t>
      </w:r>
      <w:r w:rsidR="00C31227">
        <w:rPr>
          <w:rFonts w:ascii="Times New Roman" w:eastAsiaTheme="minorHAnsi" w:hAnsi="Times New Roman"/>
          <w:bCs/>
          <w:sz w:val="28"/>
          <w:szCs w:val="28"/>
          <w:lang w:val="uk-UA" w:eastAsia="en-US"/>
        </w:rPr>
        <w:t>.2012</w:t>
      </w:r>
      <w:r w:rsidRPr="00D12BCE">
        <w:rPr>
          <w:rFonts w:ascii="Times New Roman" w:eastAsiaTheme="minorHAnsi" w:hAnsi="Times New Roman"/>
          <w:bCs/>
          <w:sz w:val="28"/>
          <w:szCs w:val="28"/>
          <w:lang w:val="uk-UA" w:eastAsia="en-US"/>
        </w:rPr>
        <w:t xml:space="preserve">, виданих на </w:t>
      </w:r>
      <w:r w:rsidR="00C31227">
        <w:rPr>
          <w:rFonts w:ascii="Times New Roman" w:eastAsiaTheme="minorHAnsi" w:hAnsi="Times New Roman"/>
          <w:bCs/>
          <w:sz w:val="28"/>
          <w:szCs w:val="28"/>
          <w:lang w:val="uk-UA" w:eastAsia="en-US"/>
        </w:rPr>
        <w:t xml:space="preserve">підставі рішення Комісії </w:t>
      </w:r>
      <w:r w:rsidR="00D856B8">
        <w:rPr>
          <w:rFonts w:ascii="Times New Roman" w:eastAsiaTheme="minorHAnsi" w:hAnsi="Times New Roman"/>
          <w:bCs/>
          <w:sz w:val="28"/>
          <w:szCs w:val="28"/>
          <w:lang w:val="uk-UA" w:eastAsia="en-US"/>
        </w:rPr>
        <w:t>від 18.09</w:t>
      </w:r>
      <w:r w:rsidR="00C31227">
        <w:rPr>
          <w:rFonts w:ascii="Times New Roman" w:eastAsiaTheme="minorHAnsi" w:hAnsi="Times New Roman"/>
          <w:bCs/>
          <w:sz w:val="28"/>
          <w:szCs w:val="28"/>
          <w:lang w:val="uk-UA" w:eastAsia="en-US"/>
        </w:rPr>
        <w:t>.2012</w:t>
      </w:r>
      <w:r w:rsidRPr="00D12BCE">
        <w:rPr>
          <w:rFonts w:ascii="Times New Roman" w:eastAsiaTheme="minorHAnsi" w:hAnsi="Times New Roman"/>
          <w:bCs/>
          <w:sz w:val="28"/>
          <w:szCs w:val="28"/>
          <w:lang w:val="uk-UA" w:eastAsia="en-US"/>
        </w:rPr>
        <w:t xml:space="preserve"> </w:t>
      </w:r>
      <w:r w:rsidR="00D856B8">
        <w:rPr>
          <w:rFonts w:ascii="Times New Roman" w:eastAsiaTheme="minorHAnsi" w:hAnsi="Times New Roman"/>
          <w:bCs/>
          <w:sz w:val="28"/>
          <w:szCs w:val="28"/>
          <w:lang w:val="uk-UA" w:eastAsia="en-US"/>
        </w:rPr>
        <w:t>№778</w:t>
      </w:r>
      <w:r w:rsidR="002023AD">
        <w:rPr>
          <w:rFonts w:ascii="Times New Roman" w:eastAsiaTheme="minorHAnsi" w:hAnsi="Times New Roman"/>
          <w:bCs/>
          <w:sz w:val="28"/>
          <w:szCs w:val="28"/>
          <w:lang w:val="uk-UA" w:eastAsia="en-US"/>
        </w:rPr>
        <w:t>.</w:t>
      </w:r>
    </w:p>
    <w:p w:rsidR="00BE13FF" w:rsidRDefault="00BE2F67" w:rsidP="00D15EB8">
      <w:pPr>
        <w:pStyle w:val="10"/>
        <w:ind w:firstLine="567"/>
        <w:jc w:val="both"/>
        <w:rPr>
          <w:rFonts w:ascii="Times New Roman" w:hAnsi="Times New Roman"/>
          <w:sz w:val="28"/>
          <w:szCs w:val="28"/>
          <w:lang w:val="uk-UA"/>
        </w:rPr>
      </w:pPr>
      <w:r>
        <w:rPr>
          <w:rFonts w:ascii="Times New Roman" w:hAnsi="Times New Roman"/>
          <w:sz w:val="28"/>
          <w:szCs w:val="28"/>
          <w:lang w:val="uk-UA"/>
        </w:rPr>
        <w:t xml:space="preserve">2. </w:t>
      </w:r>
      <w:r w:rsidR="00E309EE" w:rsidRPr="00E309EE">
        <w:rPr>
          <w:rFonts w:ascii="Times New Roman" w:hAnsi="Times New Roman"/>
          <w:bCs/>
          <w:sz w:val="28"/>
          <w:szCs w:val="28"/>
          <w:lang w:val="uk-UA"/>
        </w:rPr>
        <w:t>ТОВ «Абріс-інвест»</w:t>
      </w:r>
      <w:r>
        <w:rPr>
          <w:rFonts w:ascii="Times New Roman" w:hAnsi="Times New Roman"/>
          <w:sz w:val="28"/>
          <w:szCs w:val="28"/>
          <w:lang w:val="uk-UA"/>
        </w:rPr>
        <w:t xml:space="preserve"> вчинити дії, передбачені </w:t>
      </w:r>
      <w:r w:rsidR="00AE6BD5">
        <w:rPr>
          <w:rStyle w:val="rvts46"/>
          <w:rFonts w:ascii="Times New Roman" w:hAnsi="Times New Roman"/>
          <w:sz w:val="28"/>
          <w:szCs w:val="28"/>
          <w:lang w:val="uk-UA"/>
        </w:rPr>
        <w:t>пунктом</w:t>
      </w:r>
      <w:r w:rsidR="003C2C67">
        <w:rPr>
          <w:rStyle w:val="rvts46"/>
          <w:rFonts w:ascii="Times New Roman" w:hAnsi="Times New Roman"/>
          <w:sz w:val="28"/>
          <w:szCs w:val="28"/>
          <w:lang w:val="uk-UA"/>
        </w:rPr>
        <w:t xml:space="preserve"> 1</w:t>
      </w:r>
      <w:r>
        <w:rPr>
          <w:rStyle w:val="rvts46"/>
          <w:rFonts w:ascii="Times New Roman" w:hAnsi="Times New Roman"/>
          <w:sz w:val="28"/>
          <w:szCs w:val="28"/>
          <w:lang w:val="uk-UA"/>
        </w:rPr>
        <w:t xml:space="preserve"> розділу </w:t>
      </w:r>
      <w:r w:rsidR="003C2C67">
        <w:rPr>
          <w:rStyle w:val="rvts46"/>
          <w:rFonts w:ascii="Times New Roman" w:hAnsi="Times New Roman"/>
          <w:sz w:val="28"/>
          <w:szCs w:val="28"/>
          <w:lang w:val="uk-UA"/>
        </w:rPr>
        <w:br/>
      </w:r>
      <w:r>
        <w:rPr>
          <w:rStyle w:val="rvts46"/>
          <w:rFonts w:ascii="Times New Roman" w:hAnsi="Times New Roman"/>
          <w:sz w:val="28"/>
          <w:szCs w:val="28"/>
          <w:lang w:val="en-US"/>
        </w:rPr>
        <w:t>V</w:t>
      </w:r>
      <w:r>
        <w:rPr>
          <w:rStyle w:val="rvts46"/>
          <w:rFonts w:ascii="Times New Roman" w:hAnsi="Times New Roman"/>
          <w:sz w:val="28"/>
          <w:szCs w:val="28"/>
          <w:lang w:val="uk-UA"/>
        </w:rPr>
        <w:t xml:space="preserve"> </w:t>
      </w:r>
      <w:r w:rsidR="00BE13FF" w:rsidRPr="00BE13FF">
        <w:rPr>
          <w:rFonts w:ascii="Times New Roman" w:hAnsi="Times New Roman"/>
          <w:sz w:val="28"/>
          <w:szCs w:val="28"/>
          <w:lang w:val="uk-UA"/>
        </w:rPr>
        <w:t>Порядку №816</w:t>
      </w:r>
      <w:r w:rsidR="00BE13FF">
        <w:rPr>
          <w:rFonts w:ascii="Times New Roman" w:hAnsi="Times New Roman"/>
          <w:sz w:val="28"/>
          <w:szCs w:val="28"/>
          <w:lang w:val="uk-UA"/>
        </w:rPr>
        <w:t>.</w:t>
      </w:r>
    </w:p>
    <w:p w:rsidR="00BE2F67" w:rsidRDefault="00BE2F67" w:rsidP="00D15EB8">
      <w:pPr>
        <w:pStyle w:val="10"/>
        <w:ind w:firstLine="567"/>
        <w:jc w:val="both"/>
        <w:rPr>
          <w:rFonts w:ascii="Times New Roman" w:hAnsi="Times New Roman"/>
          <w:sz w:val="28"/>
          <w:szCs w:val="28"/>
          <w:lang w:val="uk-UA"/>
        </w:rPr>
      </w:pPr>
      <w:r>
        <w:rPr>
          <w:rFonts w:ascii="Times New Roman" w:hAnsi="Times New Roman"/>
          <w:sz w:val="28"/>
          <w:szCs w:val="28"/>
          <w:lang w:val="uk-UA"/>
        </w:rPr>
        <w:t xml:space="preserve">3. Дану постанову направити </w:t>
      </w:r>
      <w:r w:rsidR="00E309EE" w:rsidRPr="00E309EE">
        <w:rPr>
          <w:rFonts w:ascii="Times New Roman" w:hAnsi="Times New Roman"/>
          <w:bCs/>
          <w:sz w:val="28"/>
          <w:szCs w:val="28"/>
          <w:lang w:val="uk-UA"/>
        </w:rPr>
        <w:t>ТОВ «Абріс-інвест»</w:t>
      </w:r>
      <w:r>
        <w:rPr>
          <w:rFonts w:ascii="Times New Roman" w:hAnsi="Times New Roman"/>
          <w:sz w:val="28"/>
          <w:szCs w:val="28"/>
          <w:lang w:val="uk-UA"/>
        </w:rPr>
        <w:t>.</w:t>
      </w:r>
    </w:p>
    <w:p w:rsidR="00BE2F67" w:rsidRDefault="00BE2F67" w:rsidP="00D15EB8">
      <w:pPr>
        <w:pStyle w:val="10"/>
        <w:tabs>
          <w:tab w:val="left" w:pos="2755"/>
        </w:tabs>
        <w:ind w:firstLine="567"/>
        <w:jc w:val="both"/>
        <w:rPr>
          <w:rFonts w:ascii="Times New Roman" w:hAnsi="Times New Roman"/>
          <w:sz w:val="26"/>
          <w:szCs w:val="26"/>
          <w:lang w:val="uk-UA"/>
        </w:rPr>
      </w:pPr>
      <w:r>
        <w:rPr>
          <w:rFonts w:ascii="Times New Roman" w:hAnsi="Times New Roman"/>
          <w:sz w:val="26"/>
          <w:szCs w:val="26"/>
          <w:lang w:val="uk-UA"/>
        </w:rPr>
        <w:tab/>
      </w:r>
    </w:p>
    <w:p w:rsidR="00E31141" w:rsidRDefault="00BE2F67" w:rsidP="00321B7E">
      <w:pPr>
        <w:tabs>
          <w:tab w:val="num" w:pos="0"/>
        </w:tabs>
        <w:ind w:firstLine="567"/>
        <w:jc w:val="both"/>
        <w:rPr>
          <w:spacing w:val="-2"/>
          <w:sz w:val="26"/>
          <w:szCs w:val="26"/>
        </w:rPr>
      </w:pPr>
      <w:r>
        <w:rPr>
          <w:sz w:val="26"/>
          <w:szCs w:val="26"/>
        </w:rPr>
        <w:t xml:space="preserve">Постанову може бути оскаржено </w:t>
      </w:r>
      <w:r>
        <w:rPr>
          <w:spacing w:val="-2"/>
          <w:sz w:val="26"/>
          <w:szCs w:val="26"/>
        </w:rPr>
        <w:t>протягом п’ятнадцяти робочих днів до Національної комісії з цінних паперів та фондового ринку,</w:t>
      </w:r>
      <w:r>
        <w:rPr>
          <w:sz w:val="26"/>
          <w:szCs w:val="26"/>
        </w:rPr>
        <w:t xml:space="preserve"> протягом т</w:t>
      </w:r>
      <w:r>
        <w:rPr>
          <w:rStyle w:val="rvts0"/>
          <w:sz w:val="26"/>
          <w:szCs w:val="26"/>
        </w:rPr>
        <w:t>ридцяти календарних днів з дня прийняття</w:t>
      </w:r>
      <w:r>
        <w:rPr>
          <w:sz w:val="26"/>
          <w:szCs w:val="26"/>
        </w:rPr>
        <w:t xml:space="preserve"> </w:t>
      </w:r>
      <w:r>
        <w:rPr>
          <w:rStyle w:val="rvts0"/>
          <w:sz w:val="26"/>
          <w:szCs w:val="26"/>
        </w:rPr>
        <w:t>рішення до Експертно-апеляційної ради з питань ліцензування або</w:t>
      </w:r>
      <w:r>
        <w:rPr>
          <w:spacing w:val="-2"/>
          <w:sz w:val="26"/>
          <w:szCs w:val="26"/>
        </w:rPr>
        <w:t xml:space="preserve"> до суду у встановленому чинним законодавством порядку.</w:t>
      </w:r>
    </w:p>
    <w:p w:rsidR="0044348E" w:rsidRDefault="0044348E" w:rsidP="00321B7E">
      <w:pPr>
        <w:tabs>
          <w:tab w:val="num" w:pos="0"/>
        </w:tabs>
        <w:ind w:firstLine="567"/>
        <w:jc w:val="both"/>
        <w:rPr>
          <w:spacing w:val="-2"/>
          <w:sz w:val="26"/>
          <w:szCs w:val="26"/>
        </w:rPr>
      </w:pPr>
    </w:p>
    <w:p w:rsidR="0044348E" w:rsidRPr="00321B7E" w:rsidRDefault="0044348E" w:rsidP="00321B7E">
      <w:pPr>
        <w:tabs>
          <w:tab w:val="num" w:pos="0"/>
        </w:tabs>
        <w:ind w:firstLine="567"/>
        <w:jc w:val="both"/>
        <w:rPr>
          <w:spacing w:val="-2"/>
          <w:sz w:val="26"/>
          <w:szCs w:val="26"/>
        </w:rPr>
      </w:pPr>
    </w:p>
    <w:p w:rsidR="00BE2F67" w:rsidRDefault="009C4B44" w:rsidP="00BE2F67">
      <w:pPr>
        <w:pStyle w:val="1"/>
        <w:jc w:val="both"/>
        <w:rPr>
          <w:b/>
          <w:sz w:val="28"/>
          <w:szCs w:val="28"/>
        </w:rPr>
      </w:pPr>
      <w:r>
        <w:rPr>
          <w:b/>
          <w:sz w:val="28"/>
          <w:szCs w:val="28"/>
        </w:rPr>
        <w:t>Уповноважена особа Комісії</w:t>
      </w:r>
      <w:r w:rsidR="00BE2F67">
        <w:rPr>
          <w:b/>
          <w:sz w:val="28"/>
          <w:szCs w:val="28"/>
        </w:rPr>
        <w:t xml:space="preserve">                     </w:t>
      </w:r>
      <w:r w:rsidR="003D1BDA">
        <w:rPr>
          <w:b/>
          <w:sz w:val="28"/>
          <w:szCs w:val="28"/>
        </w:rPr>
        <w:t xml:space="preserve">                                     І. Назарчук </w:t>
      </w:r>
    </w:p>
    <w:p w:rsidR="00BE2F67" w:rsidRPr="0044348E" w:rsidRDefault="00BE2F67" w:rsidP="00BE2F67">
      <w:pPr>
        <w:jc w:val="both"/>
        <w:rPr>
          <w:b/>
          <w:sz w:val="36"/>
          <w:szCs w:val="36"/>
        </w:rPr>
      </w:pPr>
    </w:p>
    <w:p w:rsidR="00BE2F67" w:rsidRDefault="00BE2F67" w:rsidP="00BE2F67">
      <w:pPr>
        <w:jc w:val="both"/>
        <w:rPr>
          <w:sz w:val="28"/>
          <w:szCs w:val="28"/>
        </w:rPr>
      </w:pPr>
      <w:r>
        <w:rPr>
          <w:b/>
          <w:sz w:val="28"/>
          <w:szCs w:val="28"/>
        </w:rPr>
        <w:t>Уповноважена особа Комісії</w:t>
      </w:r>
      <w:r>
        <w:rPr>
          <w:b/>
          <w:sz w:val="28"/>
          <w:szCs w:val="28"/>
        </w:rPr>
        <w:tab/>
      </w:r>
      <w:r>
        <w:rPr>
          <w:b/>
          <w:sz w:val="28"/>
          <w:szCs w:val="28"/>
        </w:rPr>
        <w:tab/>
      </w:r>
      <w:r>
        <w:rPr>
          <w:b/>
          <w:sz w:val="28"/>
          <w:szCs w:val="28"/>
        </w:rPr>
        <w:tab/>
      </w:r>
      <w:r>
        <w:rPr>
          <w:b/>
          <w:sz w:val="28"/>
          <w:szCs w:val="28"/>
        </w:rPr>
        <w:tab/>
      </w:r>
      <w:r w:rsidR="003D1BDA">
        <w:rPr>
          <w:b/>
          <w:sz w:val="28"/>
          <w:szCs w:val="28"/>
        </w:rPr>
        <w:t xml:space="preserve">                  О. Панченко</w:t>
      </w:r>
    </w:p>
    <w:p w:rsidR="00BE2F67" w:rsidRPr="0044348E" w:rsidRDefault="00BE2F67" w:rsidP="00BE2F67">
      <w:pPr>
        <w:jc w:val="both"/>
        <w:rPr>
          <w:b/>
          <w:sz w:val="36"/>
          <w:szCs w:val="36"/>
        </w:rPr>
      </w:pPr>
    </w:p>
    <w:p w:rsidR="003110CD" w:rsidRPr="00733B25" w:rsidRDefault="00BE2F67" w:rsidP="00733B25">
      <w:pPr>
        <w:jc w:val="both"/>
        <w:rPr>
          <w:b/>
          <w:sz w:val="28"/>
          <w:szCs w:val="28"/>
          <w:lang w:val="ru-RU"/>
        </w:rPr>
      </w:pPr>
      <w:r>
        <w:rPr>
          <w:b/>
          <w:sz w:val="28"/>
          <w:szCs w:val="28"/>
        </w:rPr>
        <w:t xml:space="preserve">Уповноважена особа </w:t>
      </w:r>
      <w:r w:rsidR="003D1BDA">
        <w:rPr>
          <w:b/>
          <w:sz w:val="28"/>
          <w:szCs w:val="28"/>
        </w:rPr>
        <w:t>Комісії</w:t>
      </w:r>
      <w:r w:rsidR="003D1BDA">
        <w:rPr>
          <w:b/>
          <w:sz w:val="28"/>
          <w:szCs w:val="28"/>
        </w:rPr>
        <w:tab/>
      </w:r>
      <w:r w:rsidR="003D1BDA">
        <w:rPr>
          <w:b/>
          <w:sz w:val="28"/>
          <w:szCs w:val="28"/>
        </w:rPr>
        <w:tab/>
      </w:r>
      <w:r w:rsidR="003D1BDA">
        <w:rPr>
          <w:b/>
          <w:sz w:val="28"/>
          <w:szCs w:val="28"/>
        </w:rPr>
        <w:tab/>
      </w:r>
      <w:r w:rsidR="003D1BDA">
        <w:rPr>
          <w:b/>
          <w:sz w:val="28"/>
          <w:szCs w:val="28"/>
        </w:rPr>
        <w:tab/>
        <w:t xml:space="preserve">                   Д. Тарабакін</w:t>
      </w:r>
    </w:p>
    <w:sectPr w:rsidR="003110CD" w:rsidRPr="00733B25" w:rsidSect="008F0CD7">
      <w:footerReference w:type="default" r:id="rId8"/>
      <w:pgSz w:w="11906" w:h="16838"/>
      <w:pgMar w:top="851" w:right="70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B4" w:rsidRDefault="00EC41B4" w:rsidP="00BE2F67">
      <w:r>
        <w:separator/>
      </w:r>
    </w:p>
  </w:endnote>
  <w:endnote w:type="continuationSeparator" w:id="0">
    <w:p w:rsidR="00EC41B4" w:rsidRDefault="00EC41B4" w:rsidP="00BE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660944"/>
      <w:docPartObj>
        <w:docPartGallery w:val="Page Numbers (Bottom of Page)"/>
        <w:docPartUnique/>
      </w:docPartObj>
    </w:sdtPr>
    <w:sdtEndPr/>
    <w:sdtContent>
      <w:p w:rsidR="00BE2F67" w:rsidRDefault="00BE2F67">
        <w:pPr>
          <w:pStyle w:val="aa"/>
          <w:jc w:val="right"/>
        </w:pPr>
        <w:r>
          <w:fldChar w:fldCharType="begin"/>
        </w:r>
        <w:r>
          <w:instrText>PAGE   \* MERGEFORMAT</w:instrText>
        </w:r>
        <w:r>
          <w:fldChar w:fldCharType="separate"/>
        </w:r>
        <w:r w:rsidR="00E546EF">
          <w:rPr>
            <w:noProof/>
          </w:rPr>
          <w:t>7</w:t>
        </w:r>
        <w:r>
          <w:fldChar w:fldCharType="end"/>
        </w:r>
      </w:p>
    </w:sdtContent>
  </w:sdt>
  <w:p w:rsidR="00BE2F67" w:rsidRDefault="00BE2F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B4" w:rsidRDefault="00EC41B4" w:rsidP="00BE2F67">
      <w:r>
        <w:separator/>
      </w:r>
    </w:p>
  </w:footnote>
  <w:footnote w:type="continuationSeparator" w:id="0">
    <w:p w:rsidR="00EC41B4" w:rsidRDefault="00EC41B4" w:rsidP="00BE2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8185B"/>
    <w:multiLevelType w:val="hybridMultilevel"/>
    <w:tmpl w:val="C35422A2"/>
    <w:lvl w:ilvl="0" w:tplc="291ED61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7E5F6924"/>
    <w:multiLevelType w:val="hybridMultilevel"/>
    <w:tmpl w:val="6C902C54"/>
    <w:lvl w:ilvl="0" w:tplc="E66A13BC">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DC"/>
    <w:rsid w:val="000226D5"/>
    <w:rsid w:val="000A3687"/>
    <w:rsid w:val="000B1CAB"/>
    <w:rsid w:val="000F50AB"/>
    <w:rsid w:val="001033DC"/>
    <w:rsid w:val="00196921"/>
    <w:rsid w:val="001B29D4"/>
    <w:rsid w:val="001C357D"/>
    <w:rsid w:val="002023AD"/>
    <w:rsid w:val="0023584F"/>
    <w:rsid w:val="002805E7"/>
    <w:rsid w:val="002853E2"/>
    <w:rsid w:val="002D7BEF"/>
    <w:rsid w:val="002F7EC5"/>
    <w:rsid w:val="003110CD"/>
    <w:rsid w:val="00320A55"/>
    <w:rsid w:val="00321B7E"/>
    <w:rsid w:val="003500B0"/>
    <w:rsid w:val="00357CDD"/>
    <w:rsid w:val="00370110"/>
    <w:rsid w:val="003864F2"/>
    <w:rsid w:val="003A69CB"/>
    <w:rsid w:val="003C2C67"/>
    <w:rsid w:val="003D1BDA"/>
    <w:rsid w:val="003F679D"/>
    <w:rsid w:val="003F6845"/>
    <w:rsid w:val="00407375"/>
    <w:rsid w:val="00416547"/>
    <w:rsid w:val="004340D2"/>
    <w:rsid w:val="0044348E"/>
    <w:rsid w:val="0045710F"/>
    <w:rsid w:val="00460722"/>
    <w:rsid w:val="004C1362"/>
    <w:rsid w:val="004D1E52"/>
    <w:rsid w:val="004F5902"/>
    <w:rsid w:val="004F7E95"/>
    <w:rsid w:val="005D3CD5"/>
    <w:rsid w:val="005E20F7"/>
    <w:rsid w:val="0066038C"/>
    <w:rsid w:val="00687376"/>
    <w:rsid w:val="006B49E2"/>
    <w:rsid w:val="006C42BA"/>
    <w:rsid w:val="006C4560"/>
    <w:rsid w:val="006D4AC7"/>
    <w:rsid w:val="006F7634"/>
    <w:rsid w:val="00704410"/>
    <w:rsid w:val="00710508"/>
    <w:rsid w:val="00733B25"/>
    <w:rsid w:val="007D71EC"/>
    <w:rsid w:val="008045C2"/>
    <w:rsid w:val="008C251D"/>
    <w:rsid w:val="008E0B87"/>
    <w:rsid w:val="008F0CD7"/>
    <w:rsid w:val="00984F73"/>
    <w:rsid w:val="009951DC"/>
    <w:rsid w:val="009C46B1"/>
    <w:rsid w:val="009C4B44"/>
    <w:rsid w:val="009D12CE"/>
    <w:rsid w:val="009D1404"/>
    <w:rsid w:val="009D7475"/>
    <w:rsid w:val="00A02523"/>
    <w:rsid w:val="00A043FC"/>
    <w:rsid w:val="00A33CB7"/>
    <w:rsid w:val="00A54166"/>
    <w:rsid w:val="00AC42B5"/>
    <w:rsid w:val="00AD6217"/>
    <w:rsid w:val="00AE6BD5"/>
    <w:rsid w:val="00B07399"/>
    <w:rsid w:val="00B210FA"/>
    <w:rsid w:val="00B44EDC"/>
    <w:rsid w:val="00B51A65"/>
    <w:rsid w:val="00B6155E"/>
    <w:rsid w:val="00BB2D7F"/>
    <w:rsid w:val="00BC18B2"/>
    <w:rsid w:val="00BE13FF"/>
    <w:rsid w:val="00BE2F67"/>
    <w:rsid w:val="00C04869"/>
    <w:rsid w:val="00C2363F"/>
    <w:rsid w:val="00C25705"/>
    <w:rsid w:val="00C259F5"/>
    <w:rsid w:val="00C31227"/>
    <w:rsid w:val="00C744F5"/>
    <w:rsid w:val="00C94643"/>
    <w:rsid w:val="00CF1611"/>
    <w:rsid w:val="00D12BCE"/>
    <w:rsid w:val="00D15EB8"/>
    <w:rsid w:val="00D73308"/>
    <w:rsid w:val="00D80135"/>
    <w:rsid w:val="00D856B8"/>
    <w:rsid w:val="00DD5067"/>
    <w:rsid w:val="00DD76DB"/>
    <w:rsid w:val="00E212CA"/>
    <w:rsid w:val="00E2515C"/>
    <w:rsid w:val="00E309EE"/>
    <w:rsid w:val="00E31141"/>
    <w:rsid w:val="00E546EF"/>
    <w:rsid w:val="00E6632B"/>
    <w:rsid w:val="00E676E3"/>
    <w:rsid w:val="00E725B9"/>
    <w:rsid w:val="00EC41B4"/>
    <w:rsid w:val="00F130D2"/>
    <w:rsid w:val="00F13AC7"/>
    <w:rsid w:val="00F21055"/>
    <w:rsid w:val="00F81803"/>
    <w:rsid w:val="00FF0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B3E3"/>
  <w15:chartTrackingRefBased/>
  <w15:docId w15:val="{B09AA316-942F-4BF2-9D41-A8A6D897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F6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F67"/>
    <w:rPr>
      <w:color w:val="0000FF"/>
      <w:u w:val="single"/>
    </w:rPr>
  </w:style>
  <w:style w:type="character" w:customStyle="1" w:styleId="a4">
    <w:name w:val="Звичайний (веб) Знак"/>
    <w:link w:val="a5"/>
    <w:locked/>
    <w:rsid w:val="00BE2F67"/>
    <w:rPr>
      <w:sz w:val="24"/>
      <w:szCs w:val="24"/>
      <w:lang w:val="x-none" w:eastAsia="x-none"/>
    </w:rPr>
  </w:style>
  <w:style w:type="paragraph" w:styleId="a5">
    <w:name w:val="Normal (Web)"/>
    <w:basedOn w:val="a"/>
    <w:link w:val="a4"/>
    <w:unhideWhenUsed/>
    <w:rsid w:val="00BE2F67"/>
    <w:pPr>
      <w:spacing w:before="100" w:beforeAutospacing="1" w:after="100" w:afterAutospacing="1"/>
    </w:pPr>
    <w:rPr>
      <w:rFonts w:asciiTheme="minorHAnsi" w:eastAsiaTheme="minorHAnsi" w:hAnsiTheme="minorHAnsi" w:cstheme="minorBidi"/>
      <w:lang w:val="x-none" w:eastAsia="x-none"/>
    </w:rPr>
  </w:style>
  <w:style w:type="paragraph" w:styleId="a6">
    <w:name w:val="Body Text Indent"/>
    <w:basedOn w:val="a"/>
    <w:link w:val="a7"/>
    <w:semiHidden/>
    <w:unhideWhenUsed/>
    <w:rsid w:val="00BE2F67"/>
    <w:pPr>
      <w:spacing w:after="120"/>
      <w:ind w:left="283"/>
    </w:pPr>
  </w:style>
  <w:style w:type="character" w:customStyle="1" w:styleId="a7">
    <w:name w:val="Основний текст з відступом Знак"/>
    <w:basedOn w:val="a0"/>
    <w:link w:val="a6"/>
    <w:semiHidden/>
    <w:rsid w:val="00BE2F67"/>
    <w:rPr>
      <w:rFonts w:ascii="Times New Roman" w:eastAsia="Times New Roman" w:hAnsi="Times New Roman" w:cs="Times New Roman"/>
      <w:sz w:val="24"/>
      <w:szCs w:val="24"/>
      <w:lang w:eastAsia="uk-UA"/>
    </w:rPr>
  </w:style>
  <w:style w:type="paragraph" w:customStyle="1" w:styleId="1">
    <w:name w:val="Звичайний1"/>
    <w:rsid w:val="00BE2F67"/>
    <w:pPr>
      <w:spacing w:after="0" w:line="240" w:lineRule="auto"/>
    </w:pPr>
    <w:rPr>
      <w:rFonts w:ascii="Times New Roman" w:eastAsia="Times New Roman" w:hAnsi="Times New Roman" w:cs="Times New Roman"/>
      <w:sz w:val="20"/>
      <w:szCs w:val="20"/>
      <w:lang w:eastAsia="ru-RU"/>
    </w:rPr>
  </w:style>
  <w:style w:type="paragraph" w:customStyle="1" w:styleId="21">
    <w:name w:val="Основний текст 21"/>
    <w:basedOn w:val="1"/>
    <w:rsid w:val="00BE2F67"/>
    <w:pPr>
      <w:ind w:firstLine="851"/>
      <w:jc w:val="both"/>
    </w:pPr>
    <w:rPr>
      <w:sz w:val="28"/>
      <w:lang w:val="ru-RU"/>
    </w:rPr>
  </w:style>
  <w:style w:type="paragraph" w:customStyle="1" w:styleId="10">
    <w:name w:val="Без інтервалів1"/>
    <w:rsid w:val="00BE2F67"/>
    <w:pPr>
      <w:spacing w:after="0" w:line="240" w:lineRule="auto"/>
    </w:pPr>
    <w:rPr>
      <w:rFonts w:ascii="Calibri" w:eastAsia="Times New Roman" w:hAnsi="Calibri" w:cs="Times New Roman"/>
      <w:lang w:val="ru-RU" w:eastAsia="ru-RU"/>
    </w:rPr>
  </w:style>
  <w:style w:type="character" w:customStyle="1" w:styleId="rvts0">
    <w:name w:val="rvts0"/>
    <w:basedOn w:val="a0"/>
    <w:rsid w:val="00BE2F67"/>
  </w:style>
  <w:style w:type="character" w:customStyle="1" w:styleId="rvts9">
    <w:name w:val="rvts9"/>
    <w:basedOn w:val="a0"/>
    <w:rsid w:val="00BE2F67"/>
  </w:style>
  <w:style w:type="character" w:customStyle="1" w:styleId="rvts46">
    <w:name w:val="rvts46"/>
    <w:basedOn w:val="a0"/>
    <w:rsid w:val="00BE2F67"/>
  </w:style>
  <w:style w:type="character" w:customStyle="1" w:styleId="rvts23">
    <w:name w:val="rvts23"/>
    <w:basedOn w:val="a0"/>
    <w:rsid w:val="00BE2F67"/>
  </w:style>
  <w:style w:type="paragraph" w:styleId="a8">
    <w:name w:val="header"/>
    <w:basedOn w:val="a"/>
    <w:link w:val="a9"/>
    <w:uiPriority w:val="99"/>
    <w:unhideWhenUsed/>
    <w:rsid w:val="00BE2F67"/>
    <w:pPr>
      <w:tabs>
        <w:tab w:val="center" w:pos="4677"/>
        <w:tab w:val="right" w:pos="9355"/>
      </w:tabs>
    </w:pPr>
  </w:style>
  <w:style w:type="character" w:customStyle="1" w:styleId="a9">
    <w:name w:val="Верхній колонтитул Знак"/>
    <w:basedOn w:val="a0"/>
    <w:link w:val="a8"/>
    <w:uiPriority w:val="99"/>
    <w:rsid w:val="00BE2F67"/>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BE2F67"/>
    <w:pPr>
      <w:tabs>
        <w:tab w:val="center" w:pos="4677"/>
        <w:tab w:val="right" w:pos="9355"/>
      </w:tabs>
    </w:pPr>
  </w:style>
  <w:style w:type="character" w:customStyle="1" w:styleId="ab">
    <w:name w:val="Нижній колонтитул Знак"/>
    <w:basedOn w:val="a0"/>
    <w:link w:val="aa"/>
    <w:uiPriority w:val="99"/>
    <w:rsid w:val="00BE2F67"/>
    <w:rPr>
      <w:rFonts w:ascii="Times New Roman" w:eastAsia="Times New Roman" w:hAnsi="Times New Roman" w:cs="Times New Roman"/>
      <w:sz w:val="24"/>
      <w:szCs w:val="24"/>
      <w:lang w:eastAsia="uk-UA"/>
    </w:rPr>
  </w:style>
  <w:style w:type="paragraph" w:styleId="ac">
    <w:name w:val="Balloon Text"/>
    <w:basedOn w:val="a"/>
    <w:link w:val="ad"/>
    <w:uiPriority w:val="99"/>
    <w:semiHidden/>
    <w:unhideWhenUsed/>
    <w:rsid w:val="000F50AB"/>
    <w:rPr>
      <w:rFonts w:ascii="Segoe UI" w:hAnsi="Segoe UI" w:cs="Segoe UI"/>
      <w:sz w:val="18"/>
      <w:szCs w:val="18"/>
    </w:rPr>
  </w:style>
  <w:style w:type="character" w:customStyle="1" w:styleId="ad">
    <w:name w:val="Текст у виносці Знак"/>
    <w:basedOn w:val="a0"/>
    <w:link w:val="ac"/>
    <w:uiPriority w:val="99"/>
    <w:semiHidden/>
    <w:rsid w:val="000F50AB"/>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8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620E5-4F35-482C-9A3F-3F3A1F12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11304</Words>
  <Characters>6444</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2019-10-23T09:35:00Z</cp:lastPrinted>
  <dcterms:created xsi:type="dcterms:W3CDTF">2019-10-23T09:43:00Z</dcterms:created>
  <dcterms:modified xsi:type="dcterms:W3CDTF">2019-10-23T09:43:00Z</dcterms:modified>
</cp:coreProperties>
</file>