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89" w:rsidRDefault="00231589" w:rsidP="00DD6E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bookmarkStart w:id="0" w:name="_GoBack"/>
      <w:bookmarkEnd w:id="0"/>
      <w:r w:rsidRPr="00C43433">
        <w:rPr>
          <w:rFonts w:ascii="Times New Roman" w:hAnsi="Times New Roman"/>
          <w:b/>
          <w:sz w:val="24"/>
          <w:szCs w:val="24"/>
        </w:rPr>
        <w:t xml:space="preserve">Порівняльна таблиця до проекту Змін до </w:t>
      </w:r>
      <w:r w:rsidRPr="00C43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Положення про порядок звітування депозитарними установами до Національної комісії з цінних паперів та фондового ринку</w:t>
      </w:r>
      <w:r w:rsidRPr="00C43433">
        <w:rPr>
          <w:rFonts w:ascii="Times New Roman" w:hAnsi="Times New Roman"/>
          <w:b/>
          <w:sz w:val="24"/>
          <w:szCs w:val="24"/>
        </w:rPr>
        <w:t xml:space="preserve"> , затвердженого рішенням Національної комісії з цінних паперів та фондового ринку від </w:t>
      </w:r>
      <w:r w:rsidRPr="00C43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11.06.2013  № 992</w:t>
      </w:r>
      <w:r w:rsidRPr="00C43433">
        <w:rPr>
          <w:rFonts w:ascii="Times New Roman" w:hAnsi="Times New Roman"/>
          <w:b/>
          <w:sz w:val="24"/>
          <w:szCs w:val="24"/>
        </w:rPr>
        <w:t xml:space="preserve">, зареєстрованого в Міністерстві юстиції України </w:t>
      </w:r>
      <w:r w:rsidRPr="00C43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5 липня 2013 р.</w:t>
      </w:r>
      <w:r w:rsidRPr="00C43433">
        <w:rPr>
          <w:rFonts w:ascii="Times New Roman" w:hAnsi="Times New Roman"/>
          <w:b/>
          <w:sz w:val="24"/>
          <w:szCs w:val="24"/>
          <w:lang w:eastAsia="uk-UA"/>
        </w:rPr>
        <w:t> </w:t>
      </w:r>
      <w:r w:rsidRPr="00C43433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за № 1126/23658</w:t>
      </w:r>
      <w:r w:rsidR="005F5449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, з урахуванням пропозицій ПАРД, надісланих листом від 09.08.2019 № 92-01</w:t>
      </w:r>
    </w:p>
    <w:p w:rsidR="005F5449" w:rsidRDefault="005F5449" w:rsidP="005F544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  <w:gridCol w:w="5245"/>
      </w:tblGrid>
      <w:tr w:rsidR="005F5449" w:rsidRPr="00B232AD" w:rsidTr="00B232AD">
        <w:tc>
          <w:tcPr>
            <w:tcW w:w="5211" w:type="dxa"/>
            <w:shd w:val="clear" w:color="auto" w:fill="auto"/>
          </w:tcPr>
          <w:p w:rsidR="005F5449" w:rsidRPr="00B232AD" w:rsidRDefault="005F5449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232A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Чинна редакція</w:t>
            </w:r>
          </w:p>
        </w:tc>
        <w:tc>
          <w:tcPr>
            <w:tcW w:w="5245" w:type="dxa"/>
            <w:shd w:val="clear" w:color="auto" w:fill="auto"/>
          </w:tcPr>
          <w:p w:rsidR="005F5449" w:rsidRPr="00B232AD" w:rsidRDefault="005F5449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232A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Редакція ПАРД</w:t>
            </w:r>
          </w:p>
        </w:tc>
        <w:tc>
          <w:tcPr>
            <w:tcW w:w="5245" w:type="dxa"/>
            <w:shd w:val="clear" w:color="auto" w:fill="auto"/>
          </w:tcPr>
          <w:p w:rsidR="005F5449" w:rsidRPr="00B232AD" w:rsidRDefault="005F5449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232A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Коментар департаменту та остаточна редакція</w:t>
            </w:r>
          </w:p>
        </w:tc>
      </w:tr>
      <w:tr w:rsidR="002E2DB8" w:rsidRPr="00B232AD" w:rsidTr="00B232AD">
        <w:tc>
          <w:tcPr>
            <w:tcW w:w="5211" w:type="dxa"/>
            <w:shd w:val="clear" w:color="auto" w:fill="auto"/>
          </w:tcPr>
          <w:p w:rsidR="002E2DB8" w:rsidRPr="00B232AD" w:rsidRDefault="002E2DB8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2E2DB8" w:rsidRPr="00B232AD" w:rsidRDefault="002E2DB8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2E2DB8" w:rsidRPr="00B232AD" w:rsidRDefault="002E2DB8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2E2DB8" w:rsidRPr="00B232AD" w:rsidTr="00B232AD">
        <w:tc>
          <w:tcPr>
            <w:tcW w:w="5211" w:type="dxa"/>
            <w:shd w:val="clear" w:color="auto" w:fill="auto"/>
          </w:tcPr>
          <w:p w:rsidR="002E2DB8" w:rsidRPr="00B232AD" w:rsidRDefault="002E2DB8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2E2DB8" w:rsidRPr="00B232AD" w:rsidRDefault="002E2DB8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2E2DB8" w:rsidRPr="00B232AD" w:rsidRDefault="002E2DB8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2E2DB8" w:rsidRPr="00B232AD" w:rsidTr="00B232AD">
        <w:tc>
          <w:tcPr>
            <w:tcW w:w="5211" w:type="dxa"/>
            <w:shd w:val="clear" w:color="auto" w:fill="auto"/>
          </w:tcPr>
          <w:p w:rsidR="002E2DB8" w:rsidRPr="00B232AD" w:rsidRDefault="002E2DB8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2E2DB8" w:rsidRPr="00B232AD" w:rsidRDefault="002E2DB8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2E2DB8" w:rsidRPr="00B232AD" w:rsidRDefault="002E2DB8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DD6ECC" w:rsidRPr="00B232AD" w:rsidTr="00B232AD">
        <w:tc>
          <w:tcPr>
            <w:tcW w:w="5211" w:type="dxa"/>
            <w:shd w:val="clear" w:color="auto" w:fill="auto"/>
          </w:tcPr>
          <w:p w:rsidR="00DD6ECC" w:rsidRPr="00B232AD" w:rsidRDefault="00DD6ECC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DD6ECC" w:rsidRPr="00B232AD" w:rsidRDefault="00DD6ECC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p w:rsidR="00DD6ECC" w:rsidRPr="00B232AD" w:rsidRDefault="00DD6ECC" w:rsidP="00B232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232AD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  <w:t>Враховано</w:t>
            </w:r>
          </w:p>
        </w:tc>
      </w:tr>
      <w:tr w:rsidR="005F5449" w:rsidRPr="00B232AD" w:rsidTr="00B232AD">
        <w:tc>
          <w:tcPr>
            <w:tcW w:w="5211" w:type="dxa"/>
            <w:shd w:val="clear" w:color="auto" w:fill="auto"/>
          </w:tcPr>
          <w:tbl>
            <w:tblPr>
              <w:tblpPr w:leftFromText="45" w:rightFromText="45" w:vertAnchor="text" w:tblpXSpec="right" w:tblpYSpec="center"/>
              <w:tblW w:w="2250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48"/>
            </w:tblGrid>
            <w:tr w:rsidR="005F5449" w:rsidTr="005F5449">
              <w:trPr>
                <w:tblCellSpacing w:w="22" w:type="dxa"/>
              </w:trPr>
              <w:tc>
                <w:tcPr>
                  <w:tcW w:w="4820" w:type="pct"/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Додаток 9</w:t>
                  </w:r>
                  <w:r>
                    <w:br/>
                    <w:t>до Положення про порядок звітування депозитарними установами до Національної комісії з цінних паперів та фондового ринку</w:t>
                  </w:r>
                  <w:r>
                    <w:br/>
                    <w:t>(підпункт 7 пункту 4 розділу II)</w:t>
                  </w:r>
                </w:p>
              </w:tc>
            </w:tr>
          </w:tbl>
          <w:p w:rsidR="005F5449" w:rsidRPr="00B232AD" w:rsidRDefault="005F5449" w:rsidP="00B232AD">
            <w:pPr>
              <w:pStyle w:val="a6"/>
              <w:spacing w:before="0" w:beforeAutospacing="0" w:after="0" w:afterAutospacing="0"/>
              <w:jc w:val="both"/>
              <w:rPr>
                <w:vertAlign w:val="superscript"/>
              </w:rPr>
            </w:pPr>
          </w:p>
          <w:p w:rsidR="005F5449" w:rsidRPr="00B232AD" w:rsidRDefault="005F5449" w:rsidP="00B232AD">
            <w:pPr>
              <w:pStyle w:val="a6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B232AD">
              <w:rPr>
                <w:vertAlign w:val="superscript"/>
              </w:rPr>
              <w:br w:type="textWrapping" w:clear="all"/>
            </w:r>
          </w:p>
          <w:p w:rsidR="005F5449" w:rsidRPr="00B232AD" w:rsidRDefault="005F5449" w:rsidP="00B232AD">
            <w:pPr>
              <w:pStyle w:val="3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B232AD">
              <w:rPr>
                <w:vertAlign w:val="superscript"/>
              </w:rPr>
              <w:t>Довідка про облікові операції, проведені депозитарною установою</w:t>
            </w:r>
            <w:r w:rsidR="00DD6ECC" w:rsidRPr="00B232AD">
              <w:rPr>
                <w:vertAlign w:val="superscript"/>
              </w:rPr>
              <w:t xml:space="preserve"> 1</w:t>
            </w:r>
          </w:p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4523"/>
            </w:tblGrid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P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Номер за порядком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Квартал, за який подаються Дані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Рік, за який подаються Дані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4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Дані депозитарної установи: код за ЄДРПОУ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Дата операційного дня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6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за розпорядженнями депонентів / номінальних утримувачів, керуючих рахунками депонентів / номінальних утримувачів,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7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за розпорядженнями депонентів / номінальних утримувачів, керуючих рахунками депонентів / номінальних утримувачів,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8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за розпорядженнями номінальних утримувачів, керуючих рахунками депонентів / номінальних утримувачів,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9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унаслідок виконання безумовної операції з цінними паперами,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10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унаслідок виконання безумовної операції з цінними паперами,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11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унаслідок виконання безумовної операції з цінними паперами,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договорів на організаторі торгівлі,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договорів на організаторі торгівлі,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14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договорів на організаторі торгівлі,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15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 xml:space="preserve">Обслуговування операції: на підставі отриманої інформації від депозитарію про укладення правочинів щодо цінних паперів поза фондовою біржею, з дотриманням принципу "поставка цінних </w:t>
                  </w:r>
                  <w:r>
                    <w:lastRenderedPageBreak/>
                    <w:t>паперів проти оплати",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16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правочинів щодо цінних паперів поза фондовою біржею, з дотриманням принципу "поставка цінних паперів проти оплати",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17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правочинів щодо цінних паперів поза фондовою біржею, з дотриманням принципу "поставка цінних паперів проти оплати",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18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 xml:space="preserve">Обслуговування операції: виконаних відповідно до вимог </w:t>
                  </w:r>
                  <w:r>
                    <w:rPr>
                      <w:color w:val="0000FF"/>
                    </w:rPr>
                    <w:t>статті 65</w:t>
                  </w:r>
                  <w:r>
                    <w:rPr>
                      <w:color w:val="0000FF"/>
                      <w:vertAlign w:val="superscript"/>
                    </w:rPr>
                    <w:t xml:space="preserve"> 2</w:t>
                  </w:r>
                  <w:r>
                    <w:rPr>
                      <w:color w:val="0000FF"/>
                    </w:rPr>
                    <w:t xml:space="preserve"> Закону України "Про акціонерні товариства"</w:t>
                  </w:r>
                  <w:r>
                    <w:t>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19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 xml:space="preserve">Обслуговування операції: виконаних відповідно до вимог </w:t>
                  </w:r>
                  <w:r>
                    <w:rPr>
                      <w:color w:val="0000FF"/>
                    </w:rPr>
                    <w:t>статті 65</w:t>
                  </w:r>
                  <w:r>
                    <w:rPr>
                      <w:color w:val="0000FF"/>
                      <w:vertAlign w:val="superscript"/>
                    </w:rPr>
                    <w:t xml:space="preserve"> 2</w:t>
                  </w:r>
                  <w:r>
                    <w:rPr>
                      <w:color w:val="0000FF"/>
                    </w:rPr>
                    <w:t xml:space="preserve"> Закону України "Про акціонерні товариства"</w:t>
                  </w:r>
                  <w:r>
                    <w:t>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20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 xml:space="preserve">Обслуговування операції: виконаних відповідно до вимог </w:t>
                  </w:r>
                  <w:r>
                    <w:rPr>
                      <w:color w:val="0000FF"/>
                    </w:rPr>
                    <w:t>статті 65</w:t>
                  </w:r>
                  <w:r>
                    <w:rPr>
                      <w:color w:val="0000FF"/>
                      <w:vertAlign w:val="superscript"/>
                    </w:rPr>
                    <w:t xml:space="preserve"> 2</w:t>
                  </w:r>
                  <w:r>
                    <w:rPr>
                      <w:color w:val="0000FF"/>
                    </w:rPr>
                    <w:t xml:space="preserve"> Закону </w:t>
                  </w:r>
                  <w:r>
                    <w:rPr>
                      <w:color w:val="0000FF"/>
                    </w:rPr>
                    <w:lastRenderedPageBreak/>
                    <w:t>України "Про акціонерні товариства"</w:t>
                  </w:r>
                  <w:r>
                    <w:t>, загальна номінальна вартість цінних паперів,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21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Зарахування цінних паперів: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Зарахування цінних паперів: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Зарахування цінних паперів: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24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Списання цінних паперів: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25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Списання цінних паперів: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26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Списання цінних паперів: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27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(збільшення цінних паперів):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28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(збільшення цінних паперів):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(збільшення цінних паперів):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30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(зменшення цінних паперів):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(зменшення цінних паперів):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(зменшення цінних паперів): загальна номінальна вартість цінних паперів, загальна частка консолідованого іпотечного боргу, що припадає на іпотечні сертифікати участі на дату реєстрації випуску одного цінного папера,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Примітки</w:t>
                  </w:r>
                </w:p>
              </w:tc>
            </w:tr>
          </w:tbl>
          <w:p w:rsidR="005F5449" w:rsidRPr="00024499" w:rsidRDefault="005F5449" w:rsidP="00024499">
            <w:pPr>
              <w:pStyle w:val="a6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B232AD">
              <w:rPr>
                <w:vertAlign w:val="superscript"/>
              </w:rPr>
              <w:t>____________</w:t>
            </w:r>
            <w:r w:rsidRPr="00B232AD">
              <w:rPr>
                <w:vertAlign w:val="superscript"/>
              </w:rPr>
              <w:br/>
            </w:r>
            <w:r w:rsidRPr="00024499">
              <w:rPr>
                <w:vertAlign w:val="superscript"/>
              </w:rPr>
              <w:t>1 Облікові операції, проведені депозитарною установою, подаються щодо облікових операцій, здійснених протягом одного операційного дня депозитарною установою, унаслідок яких відбувається набуття/припинення прав власності на цінні папери (крім облікових операцій, пов'язаних із скасуванням реєстрації випуску цінних паперів, погашенням випуску цінних паперів).</w:t>
            </w:r>
          </w:p>
          <w:p w:rsidR="005F5449" w:rsidRPr="00B232AD" w:rsidRDefault="005F5449" w:rsidP="00B232A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  <w:tc>
          <w:tcPr>
            <w:tcW w:w="5245" w:type="dxa"/>
            <w:shd w:val="clear" w:color="auto" w:fill="auto"/>
          </w:tcPr>
          <w:tbl>
            <w:tblPr>
              <w:tblpPr w:leftFromText="45" w:rightFromText="45" w:vertAnchor="text" w:tblpXSpec="right" w:tblpYSpec="center"/>
              <w:tblW w:w="2249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62"/>
            </w:tblGrid>
            <w:tr w:rsidR="005F5449" w:rsidTr="005F5449">
              <w:trPr>
                <w:tblCellSpacing w:w="22" w:type="dxa"/>
              </w:trPr>
              <w:tc>
                <w:tcPr>
                  <w:tcW w:w="4781" w:type="pct"/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Додаток 9</w:t>
                  </w:r>
                  <w:r>
                    <w:br/>
                    <w:t>до Положення про порядок звітування депозитарними установами до Національної комісії з цінних паперів та фондового ринку</w:t>
                  </w:r>
                  <w:r>
                    <w:br/>
                    <w:t>(підпункт 7 пункту 4 розділу II)</w:t>
                  </w:r>
                </w:p>
              </w:tc>
            </w:tr>
          </w:tbl>
          <w:p w:rsidR="005F5449" w:rsidRPr="00B232AD" w:rsidRDefault="005F5449" w:rsidP="00B232AD">
            <w:pPr>
              <w:pStyle w:val="a6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B232AD">
              <w:rPr>
                <w:vertAlign w:val="superscript"/>
              </w:rPr>
              <w:br w:type="textWrapping" w:clear="all"/>
            </w:r>
          </w:p>
          <w:p w:rsidR="005F5449" w:rsidRPr="00B232AD" w:rsidRDefault="005F5449" w:rsidP="00B232AD">
            <w:pPr>
              <w:pStyle w:val="3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B232AD">
              <w:rPr>
                <w:vertAlign w:val="superscript"/>
              </w:rPr>
              <w:t>Довідка про облікові операції, проведені депозитарною установою 1</w:t>
            </w:r>
          </w:p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4557"/>
            </w:tblGrid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P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Номер за порядком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Квартал, за який подаються Дані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Рік, за який подаються Дані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4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Дані депозитарної установи: код за ЄДРПОУ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Дата операційного дня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6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за розпорядженнями депонентів / номінальних утримувачів, керуючих рахунками депонентів / номінальних утримувачів,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7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за розпорядженнями депонентів / номінальних утримувачів, керуючих рахунками депонентів / номінальних утримувачів,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8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за розпорядженнями номінальних утримувачів, керуючих рахунками депонентів / номінальних утримувачів,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9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унаслідок виконання безумовної операції з цінними паперами,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10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унаслідок виконання безумовної операції з цінними паперами,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11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унаслідок виконання безумовної операції з цінними паперами,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договорів на організаторі торгівлі,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договорів на організаторі торгівлі,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14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договорів на організаторі торгівлі,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15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 xml:space="preserve">Обслуговування операції: на підставі отриманої інформації від депозитарію про укладення правочинів щодо цінних паперів поза фондовою біржею, з дотриманням принципу "поставка цінних </w:t>
                  </w:r>
                  <w:r>
                    <w:lastRenderedPageBreak/>
                    <w:t>паперів проти оплати",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16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правочинів щодо цінних паперів поза фондовою біржею, з дотриманням принципу "поставка цінних паперів проти оплати",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17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правочинів щодо цінних паперів поза фондовою біржею, з дотриманням принципу "поставка цінних паперів проти оплати",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18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P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trike/>
                    </w:rPr>
                  </w:pPr>
                  <w:r w:rsidRPr="005F5449">
                    <w:rPr>
                      <w:b/>
                      <w:strike/>
                    </w:rPr>
                    <w:t xml:space="preserve">Обслуговування операції: виконаних відповідно до вимог </w:t>
                  </w:r>
                  <w:r w:rsidRPr="005F5449">
                    <w:rPr>
                      <w:b/>
                      <w:strike/>
                      <w:color w:val="0000FF"/>
                    </w:rPr>
                    <w:t>статті 65</w:t>
                  </w:r>
                  <w:r w:rsidRPr="005F5449">
                    <w:rPr>
                      <w:b/>
                      <w:strike/>
                      <w:color w:val="0000FF"/>
                      <w:vertAlign w:val="superscript"/>
                    </w:rPr>
                    <w:t xml:space="preserve"> 2</w:t>
                  </w:r>
                  <w:r w:rsidRPr="005F5449">
                    <w:rPr>
                      <w:b/>
                      <w:strike/>
                      <w:color w:val="0000FF"/>
                    </w:rPr>
                    <w:t xml:space="preserve"> Закону України "Про акціонерні товариства"</w:t>
                  </w:r>
                  <w:r w:rsidRPr="005F5449">
                    <w:rPr>
                      <w:b/>
                      <w:strike/>
                    </w:rPr>
                    <w:t>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19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P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trike/>
                    </w:rPr>
                  </w:pPr>
                  <w:r w:rsidRPr="005F5449">
                    <w:rPr>
                      <w:b/>
                      <w:strike/>
                    </w:rPr>
                    <w:t xml:space="preserve">Обслуговування операції: виконаних відповідно до вимог </w:t>
                  </w:r>
                  <w:r w:rsidRPr="005F5449">
                    <w:rPr>
                      <w:b/>
                      <w:strike/>
                      <w:color w:val="0000FF"/>
                    </w:rPr>
                    <w:t>статті 65</w:t>
                  </w:r>
                  <w:r w:rsidRPr="005F5449">
                    <w:rPr>
                      <w:b/>
                      <w:strike/>
                      <w:color w:val="0000FF"/>
                      <w:vertAlign w:val="superscript"/>
                    </w:rPr>
                    <w:t xml:space="preserve"> 2</w:t>
                  </w:r>
                  <w:r w:rsidRPr="005F5449">
                    <w:rPr>
                      <w:b/>
                      <w:strike/>
                      <w:color w:val="0000FF"/>
                    </w:rPr>
                    <w:t xml:space="preserve"> Закону України "Про акціонерні товариства"</w:t>
                  </w:r>
                  <w:r w:rsidRPr="005F5449">
                    <w:rPr>
                      <w:b/>
                      <w:strike/>
                    </w:rPr>
                    <w:t>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20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P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trike/>
                    </w:rPr>
                  </w:pPr>
                  <w:r w:rsidRPr="005F5449">
                    <w:rPr>
                      <w:b/>
                      <w:strike/>
                    </w:rPr>
                    <w:t xml:space="preserve">Обслуговування операції: виконаних відповідно до вимог </w:t>
                  </w:r>
                  <w:r w:rsidRPr="005F5449">
                    <w:rPr>
                      <w:b/>
                      <w:strike/>
                      <w:color w:val="0000FF"/>
                    </w:rPr>
                    <w:t>статті 65</w:t>
                  </w:r>
                  <w:r w:rsidRPr="005F5449">
                    <w:rPr>
                      <w:b/>
                      <w:strike/>
                      <w:color w:val="0000FF"/>
                      <w:vertAlign w:val="superscript"/>
                    </w:rPr>
                    <w:t xml:space="preserve"> 2</w:t>
                  </w:r>
                  <w:r w:rsidRPr="005F5449">
                    <w:rPr>
                      <w:b/>
                      <w:strike/>
                      <w:color w:val="0000FF"/>
                    </w:rPr>
                    <w:t xml:space="preserve"> Закону </w:t>
                  </w:r>
                  <w:r w:rsidRPr="005F5449">
                    <w:rPr>
                      <w:b/>
                      <w:strike/>
                      <w:color w:val="0000FF"/>
                    </w:rPr>
                    <w:lastRenderedPageBreak/>
                    <w:t>України "Про акціонерні товариства"</w:t>
                  </w:r>
                  <w:r w:rsidRPr="005F5449">
                    <w:rPr>
                      <w:b/>
                      <w:strike/>
                    </w:rPr>
                    <w:t>, загальна номінальна вартість цінних паперів,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21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Зарахування цінних паперів: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Зарахування цінних паперів: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Зарахування цінних паперів: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24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Списання цінних паперів: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25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Списання цінних паперів: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26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Списання цінних паперів: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27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(збільшення цінних паперів):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28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(збільшення цінних паперів):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(збільшення цінних паперів):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30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(зменшення цінних паперів):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(зменшення цінних паперів):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(зменшення цінних паперів): загальна номінальна вартість цінних паперів, загальна частка консолідованого іпотечного боргу, що припадає на іпотечні сертифікати участі на дату реєстрації випуску одного цінного папера,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Примітки</w:t>
                  </w:r>
                </w:p>
              </w:tc>
            </w:tr>
          </w:tbl>
          <w:p w:rsidR="005F5449" w:rsidRPr="00B232AD" w:rsidRDefault="005F5449" w:rsidP="00024499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bdr w:val="none" w:sz="0" w:space="0" w:color="auto" w:frame="1"/>
              </w:rPr>
            </w:pPr>
            <w:r w:rsidRPr="00B232AD">
              <w:rPr>
                <w:vertAlign w:val="superscript"/>
              </w:rPr>
              <w:t>____________</w:t>
            </w:r>
            <w:r w:rsidRPr="00B232AD">
              <w:rPr>
                <w:vertAlign w:val="superscript"/>
              </w:rPr>
              <w:br/>
            </w:r>
            <w:r w:rsidRPr="00024499">
              <w:rPr>
                <w:vertAlign w:val="superscript"/>
              </w:rPr>
              <w:t>1 Облікові операції, проведені депозитарною установою, подаються щодо облікових операцій, здійснених протягом одного операційного дня депозитарною установою, унаслідок яких відбувається набуття/припинення прав власності на цінні папери (крім облікових операцій, пов'язаних із скасуванням реєстрації випуску цінних паперів, погашенням випуску цінних паперів</w:t>
            </w:r>
            <w:r w:rsidR="002E2DB8" w:rsidRPr="00024499">
              <w:rPr>
                <w:vertAlign w:val="superscript"/>
              </w:rPr>
              <w:t xml:space="preserve">, </w:t>
            </w:r>
            <w:r w:rsidR="002E2DB8" w:rsidRPr="00024499">
              <w:rPr>
                <w:b/>
                <w:u w:val="single"/>
                <w:vertAlign w:val="superscript"/>
              </w:rPr>
              <w:t xml:space="preserve">виконаних відповідно до вимог статті 65 </w:t>
            </w:r>
            <w:r w:rsidR="002E2DB8" w:rsidRPr="00404339">
              <w:rPr>
                <w:b/>
                <w:u w:val="single"/>
                <w:vertAlign w:val="superscript"/>
              </w:rPr>
              <w:t>2</w:t>
            </w:r>
            <w:r w:rsidR="002E2DB8" w:rsidRPr="00024499">
              <w:rPr>
                <w:b/>
                <w:u w:val="single"/>
                <w:vertAlign w:val="superscript"/>
              </w:rPr>
              <w:t xml:space="preserve"> Закону України "Про акціонерні товариства"</w:t>
            </w:r>
            <w:r w:rsidRPr="00024499">
              <w:rPr>
                <w:b/>
                <w:vertAlign w:val="superscript"/>
              </w:rPr>
              <w:t>).</w:t>
            </w:r>
          </w:p>
        </w:tc>
        <w:tc>
          <w:tcPr>
            <w:tcW w:w="5245" w:type="dxa"/>
            <w:shd w:val="clear" w:color="auto" w:fill="auto"/>
          </w:tcPr>
          <w:tbl>
            <w:tblPr>
              <w:tblpPr w:leftFromText="45" w:rightFromText="45" w:vertAnchor="text" w:tblpXSpec="right" w:tblpYSpec="center"/>
              <w:tblW w:w="2251" w:type="pct"/>
              <w:tblCellSpacing w:w="22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64"/>
            </w:tblGrid>
            <w:tr w:rsidR="005F5449" w:rsidTr="005F5449">
              <w:trPr>
                <w:tblCellSpacing w:w="22" w:type="dxa"/>
              </w:trPr>
              <w:tc>
                <w:tcPr>
                  <w:tcW w:w="4766" w:type="pct"/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Додаток 9</w:t>
                  </w:r>
                  <w:r>
                    <w:br/>
                    <w:t>до Положення про порядок звітування депозитарними установами до Національної комісії з цінних паперів та фондового ринку</w:t>
                  </w:r>
                  <w:r>
                    <w:br/>
                    <w:t>(підпункт 7 пункту 4 розділу II)</w:t>
                  </w:r>
                </w:p>
              </w:tc>
            </w:tr>
          </w:tbl>
          <w:p w:rsidR="005F5449" w:rsidRPr="00B232AD" w:rsidRDefault="005F5449" w:rsidP="00B232AD">
            <w:pPr>
              <w:pStyle w:val="a6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B232AD">
              <w:rPr>
                <w:vertAlign w:val="superscript"/>
              </w:rPr>
              <w:br w:type="textWrapping" w:clear="all"/>
            </w:r>
          </w:p>
          <w:p w:rsidR="005F5449" w:rsidRPr="00B232AD" w:rsidRDefault="005F5449" w:rsidP="00B232AD">
            <w:pPr>
              <w:pStyle w:val="3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B232AD">
              <w:rPr>
                <w:vertAlign w:val="superscript"/>
              </w:rPr>
              <w:t>Довідка про облікові операції, проведені депозитарною установою 1</w:t>
            </w:r>
          </w:p>
          <w:tbl>
            <w:tblPr>
              <w:tblW w:w="5000" w:type="pct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456"/>
              <w:gridCol w:w="4557"/>
            </w:tblGrid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P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Номер за порядком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Квартал, за який подаються Дані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Рік, за який подаються Дані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4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Дані депозитарної установи: код за ЄДРПОУ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5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Дата операційного дня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6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за розпорядженнями депонентів / номінальних утримувачів, керуючих рахунками депонентів / номінальних утримувачів,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7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за розпорядженнями депонентів / номінальних утримувачів, керуючих рахунками депонентів / номінальних утримувачів,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8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за розпорядженнями номінальних утримувачів, керуючих рахунками депонентів / номінальних утримувачів,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9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унаслідок виконання безумовної операції з цінними паперами,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10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унаслідок виконання безумовної операції з цінними паперами,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11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унаслідок виконання безумовної операції з цінними паперами,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договорів на організаторі торгівлі,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договорів на організаторі торгівлі,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14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договорів на організаторі торгівлі,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15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 xml:space="preserve">Обслуговування операції: на підставі отриманої інформації від депозитарію про укладення правочинів щодо цінних паперів поза фондовою біржею, з дотриманням принципу "поставка цінних </w:t>
                  </w:r>
                  <w:r>
                    <w:lastRenderedPageBreak/>
                    <w:t>паперів проти оплати",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16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правочинів щодо цінних паперів поза фондовою біржею, з дотриманням принципу "поставка цінних паперів проти оплати",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17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Обслуговування операції: на підставі отриманої інформації від депозитарію про укладення правочинів щодо цінних паперів поза фондовою біржею, з дотриманням принципу "поставка цінних паперів проти оплати",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18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P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trike/>
                    </w:rPr>
                  </w:pPr>
                  <w:r w:rsidRPr="005F5449">
                    <w:rPr>
                      <w:b/>
                      <w:strike/>
                    </w:rPr>
                    <w:t xml:space="preserve">Обслуговування операції: виконаних відповідно до вимог </w:t>
                  </w:r>
                  <w:r w:rsidRPr="005F5449">
                    <w:rPr>
                      <w:b/>
                      <w:strike/>
                      <w:color w:val="0000FF"/>
                    </w:rPr>
                    <w:t>статті 65</w:t>
                  </w:r>
                  <w:r w:rsidRPr="005F5449">
                    <w:rPr>
                      <w:b/>
                      <w:strike/>
                      <w:color w:val="0000FF"/>
                      <w:vertAlign w:val="superscript"/>
                    </w:rPr>
                    <w:t xml:space="preserve"> 2</w:t>
                  </w:r>
                  <w:r w:rsidRPr="005F5449">
                    <w:rPr>
                      <w:b/>
                      <w:strike/>
                      <w:color w:val="0000FF"/>
                    </w:rPr>
                    <w:t xml:space="preserve"> Закону України "Про акціонерні товариства"</w:t>
                  </w:r>
                  <w:r w:rsidRPr="005F5449">
                    <w:rPr>
                      <w:b/>
                      <w:strike/>
                    </w:rPr>
                    <w:t>,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19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P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trike/>
                    </w:rPr>
                  </w:pPr>
                  <w:r w:rsidRPr="005F5449">
                    <w:rPr>
                      <w:b/>
                      <w:strike/>
                    </w:rPr>
                    <w:t xml:space="preserve">Обслуговування операції: виконаних відповідно до вимог </w:t>
                  </w:r>
                  <w:r w:rsidRPr="005F5449">
                    <w:rPr>
                      <w:b/>
                      <w:strike/>
                      <w:color w:val="0000FF"/>
                    </w:rPr>
                    <w:t>статті 65</w:t>
                  </w:r>
                  <w:r w:rsidRPr="005F5449">
                    <w:rPr>
                      <w:b/>
                      <w:strike/>
                      <w:color w:val="0000FF"/>
                      <w:vertAlign w:val="superscript"/>
                    </w:rPr>
                    <w:t xml:space="preserve"> 2</w:t>
                  </w:r>
                  <w:r w:rsidRPr="005F5449">
                    <w:rPr>
                      <w:b/>
                      <w:strike/>
                      <w:color w:val="0000FF"/>
                    </w:rPr>
                    <w:t xml:space="preserve"> Закону України "Про акціонерні товариства"</w:t>
                  </w:r>
                  <w:r w:rsidRPr="005F5449">
                    <w:rPr>
                      <w:b/>
                      <w:strike/>
                    </w:rPr>
                    <w:t>,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20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P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  <w:rPr>
                      <w:b/>
                      <w:strike/>
                    </w:rPr>
                  </w:pPr>
                  <w:r w:rsidRPr="005F5449">
                    <w:rPr>
                      <w:b/>
                      <w:strike/>
                    </w:rPr>
                    <w:t xml:space="preserve">Обслуговування операції: виконаних відповідно до вимог </w:t>
                  </w:r>
                  <w:r w:rsidRPr="005F5449">
                    <w:rPr>
                      <w:b/>
                      <w:strike/>
                      <w:color w:val="0000FF"/>
                    </w:rPr>
                    <w:t>статті 65</w:t>
                  </w:r>
                  <w:r w:rsidRPr="005F5449">
                    <w:rPr>
                      <w:b/>
                      <w:strike/>
                      <w:color w:val="0000FF"/>
                      <w:vertAlign w:val="superscript"/>
                    </w:rPr>
                    <w:t xml:space="preserve"> 2</w:t>
                  </w:r>
                  <w:r w:rsidRPr="005F5449">
                    <w:rPr>
                      <w:b/>
                      <w:strike/>
                      <w:color w:val="0000FF"/>
                    </w:rPr>
                    <w:t xml:space="preserve"> Закону </w:t>
                  </w:r>
                  <w:r w:rsidRPr="005F5449">
                    <w:rPr>
                      <w:b/>
                      <w:strike/>
                      <w:color w:val="0000FF"/>
                    </w:rPr>
                    <w:lastRenderedPageBreak/>
                    <w:t>України "Про акціонерні товариства"</w:t>
                  </w:r>
                  <w:r w:rsidRPr="005F5449">
                    <w:rPr>
                      <w:b/>
                      <w:strike/>
                    </w:rPr>
                    <w:t>, загальна номінальна вартість цінних паперів,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21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Зарахування цінних паперів: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Зарахування цінних паперів: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Зарахування цінних паперів: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24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Списання цінних паперів: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25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Списання цінних паперів: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26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Списання цінних паперів: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27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(збільшення цінних паперів):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28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(збільшення цінних паперів):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(збільшення цінних паперів): загальна номінальна вартість цінних паперів, загальна частка консолідованого іпотечного боргу, що припадає на іпотечні сертифікати участі,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30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(зменшення цінних паперів): загальна кількість цінних паперів,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31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(зменшення цінних паперів): загальна кількість операцій, шт.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32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Переказ (зменшення цінних паперів): загальна номінальна вартість цінних паперів, загальна частка консолідованого іпотечного боргу, що припадає на іпотечні сертифікати участі на дату реєстрації випуску одного цінного папера, загальна премія - для опціонних сертифікатів, грн</w:t>
                  </w:r>
                </w:p>
              </w:tc>
            </w:tr>
            <w:tr w:rsidR="005F5449" w:rsidTr="00B232AD">
              <w:trPr>
                <w:tblCellSpacing w:w="22" w:type="dxa"/>
              </w:trPr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33</w:t>
                  </w:r>
                </w:p>
              </w:tc>
              <w:tc>
                <w:tcPr>
                  <w:tcW w:w="4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F5449" w:rsidRDefault="005F5449" w:rsidP="005F5449">
                  <w:pPr>
                    <w:pStyle w:val="a6"/>
                    <w:spacing w:before="0" w:beforeAutospacing="0" w:after="0" w:afterAutospacing="0"/>
                    <w:jc w:val="both"/>
                  </w:pPr>
                  <w:r>
                    <w:t>Примітки</w:t>
                  </w:r>
                </w:p>
              </w:tc>
            </w:tr>
          </w:tbl>
          <w:p w:rsidR="005F5449" w:rsidRPr="00B232AD" w:rsidRDefault="005F5449" w:rsidP="00024499">
            <w:pPr>
              <w:pStyle w:val="a6"/>
              <w:spacing w:before="0" w:beforeAutospacing="0" w:after="0" w:afterAutospacing="0"/>
              <w:jc w:val="both"/>
              <w:rPr>
                <w:b/>
                <w:bCs/>
                <w:bdr w:val="none" w:sz="0" w:space="0" w:color="auto" w:frame="1"/>
              </w:rPr>
            </w:pPr>
            <w:r w:rsidRPr="00B232AD">
              <w:rPr>
                <w:vertAlign w:val="superscript"/>
              </w:rPr>
              <w:t>____________</w:t>
            </w:r>
            <w:r w:rsidRPr="00B232AD">
              <w:rPr>
                <w:vertAlign w:val="superscript"/>
              </w:rPr>
              <w:br/>
            </w:r>
            <w:r w:rsidRPr="00024499">
              <w:rPr>
                <w:vertAlign w:val="superscript"/>
              </w:rPr>
              <w:t>1 Облікові операції, проведені депозитарною установою, подаються щодо облікових операцій, здійснених протягом одного операційного дня депозитарною установою, унаслідок яких відбувається набуття/припинення прав власності на цінні папери (крім облікових операцій, пов'язаних із скасуванням реєстрації випуску цінних паперів, погашенням випуску цінних паперів</w:t>
            </w:r>
            <w:r w:rsidR="002E2DB8" w:rsidRPr="00024499">
              <w:rPr>
                <w:vertAlign w:val="superscript"/>
              </w:rPr>
              <w:t xml:space="preserve">, </w:t>
            </w:r>
            <w:r w:rsidR="002E2DB8" w:rsidRPr="00024499">
              <w:rPr>
                <w:b/>
                <w:u w:val="single"/>
                <w:vertAlign w:val="superscript"/>
              </w:rPr>
              <w:t>виконаних відповідно до вимог статті 65 2 Закону України "Про акціонерні товариства"</w:t>
            </w:r>
            <w:r w:rsidRPr="00024499">
              <w:rPr>
                <w:b/>
                <w:u w:val="single"/>
                <w:vertAlign w:val="superscript"/>
              </w:rPr>
              <w:t>).</w:t>
            </w:r>
          </w:p>
        </w:tc>
      </w:tr>
    </w:tbl>
    <w:p w:rsidR="005F5449" w:rsidRPr="00C43433" w:rsidRDefault="005F5449" w:rsidP="005F54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24499" w:rsidRDefault="0011712D" w:rsidP="005F544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43433">
        <w:rPr>
          <w:rFonts w:ascii="Times New Roman" w:hAnsi="Times New Roman"/>
          <w:b/>
          <w:sz w:val="24"/>
          <w:szCs w:val="24"/>
        </w:rPr>
        <w:t xml:space="preserve">Директор департаменту </w:t>
      </w:r>
      <w:r w:rsidRPr="00C43433">
        <w:rPr>
          <w:rFonts w:ascii="Times New Roman" w:hAnsi="Times New Roman"/>
          <w:b/>
          <w:bCs/>
          <w:sz w:val="24"/>
          <w:szCs w:val="24"/>
        </w:rPr>
        <w:t xml:space="preserve">методології регулювання </w:t>
      </w:r>
    </w:p>
    <w:p w:rsidR="0011712D" w:rsidRPr="00236F73" w:rsidRDefault="0011712D" w:rsidP="000244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3433">
        <w:rPr>
          <w:rFonts w:ascii="Times New Roman" w:hAnsi="Times New Roman"/>
          <w:b/>
          <w:bCs/>
          <w:sz w:val="24"/>
          <w:szCs w:val="24"/>
        </w:rPr>
        <w:t>професійних учасників ринку цінних паперів</w:t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="00024499">
        <w:rPr>
          <w:rFonts w:ascii="Times New Roman" w:hAnsi="Times New Roman"/>
          <w:b/>
          <w:bCs/>
          <w:sz w:val="24"/>
          <w:szCs w:val="24"/>
        </w:rPr>
        <w:tab/>
      </w:r>
      <w:r w:rsidRPr="00C43433">
        <w:rPr>
          <w:rFonts w:ascii="Times New Roman" w:hAnsi="Times New Roman"/>
          <w:b/>
          <w:sz w:val="24"/>
          <w:szCs w:val="24"/>
        </w:rPr>
        <w:tab/>
        <w:t>І. Курочкіна</w:t>
      </w:r>
    </w:p>
    <w:sectPr w:rsidR="0011712D" w:rsidRPr="00236F73" w:rsidSect="00491F01">
      <w:headerReference w:type="default" r:id="rId7"/>
      <w:pgSz w:w="16838" w:h="11906" w:orient="landscape"/>
      <w:pgMar w:top="1417" w:right="850" w:bottom="709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7D" w:rsidRDefault="00FD377D" w:rsidP="00330F53">
      <w:pPr>
        <w:spacing w:after="0" w:line="240" w:lineRule="auto"/>
      </w:pPr>
      <w:r>
        <w:separator/>
      </w:r>
    </w:p>
  </w:endnote>
  <w:endnote w:type="continuationSeparator" w:id="0">
    <w:p w:rsidR="00FD377D" w:rsidRDefault="00FD377D" w:rsidP="0033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7D" w:rsidRDefault="00FD377D" w:rsidP="00330F53">
      <w:pPr>
        <w:spacing w:after="0" w:line="240" w:lineRule="auto"/>
      </w:pPr>
      <w:r>
        <w:separator/>
      </w:r>
    </w:p>
  </w:footnote>
  <w:footnote w:type="continuationSeparator" w:id="0">
    <w:p w:rsidR="00FD377D" w:rsidRDefault="00FD377D" w:rsidP="0033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F53" w:rsidRDefault="00330F5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03EA8">
      <w:rPr>
        <w:noProof/>
      </w:rPr>
      <w:t>2</w:t>
    </w:r>
    <w:r>
      <w:fldChar w:fldCharType="end"/>
    </w:r>
  </w:p>
  <w:p w:rsidR="00330F53" w:rsidRDefault="00330F5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834"/>
    <w:rsid w:val="000008A8"/>
    <w:rsid w:val="00005F6B"/>
    <w:rsid w:val="00015826"/>
    <w:rsid w:val="0002248B"/>
    <w:rsid w:val="00024499"/>
    <w:rsid w:val="00041E59"/>
    <w:rsid w:val="00042ABA"/>
    <w:rsid w:val="00045319"/>
    <w:rsid w:val="00065918"/>
    <w:rsid w:val="00070554"/>
    <w:rsid w:val="00080A60"/>
    <w:rsid w:val="000A7EA3"/>
    <w:rsid w:val="000B28CF"/>
    <w:rsid w:val="000E43F9"/>
    <w:rsid w:val="000F07D1"/>
    <w:rsid w:val="00103EA8"/>
    <w:rsid w:val="0011712D"/>
    <w:rsid w:val="00126F8E"/>
    <w:rsid w:val="00137ACB"/>
    <w:rsid w:val="00150FBB"/>
    <w:rsid w:val="00164C19"/>
    <w:rsid w:val="00164C4F"/>
    <w:rsid w:val="0016798D"/>
    <w:rsid w:val="001747A0"/>
    <w:rsid w:val="00186371"/>
    <w:rsid w:val="00195A91"/>
    <w:rsid w:val="001D50CD"/>
    <w:rsid w:val="00212BA1"/>
    <w:rsid w:val="00215DD0"/>
    <w:rsid w:val="00231589"/>
    <w:rsid w:val="00236F73"/>
    <w:rsid w:val="00237966"/>
    <w:rsid w:val="0028140F"/>
    <w:rsid w:val="00291137"/>
    <w:rsid w:val="0029128C"/>
    <w:rsid w:val="002A4632"/>
    <w:rsid w:val="002E2DB8"/>
    <w:rsid w:val="002F40B3"/>
    <w:rsid w:val="00300957"/>
    <w:rsid w:val="0032287C"/>
    <w:rsid w:val="00330F53"/>
    <w:rsid w:val="00344B5D"/>
    <w:rsid w:val="003605AD"/>
    <w:rsid w:val="00363706"/>
    <w:rsid w:val="003742FA"/>
    <w:rsid w:val="003745D0"/>
    <w:rsid w:val="003768A4"/>
    <w:rsid w:val="003825CD"/>
    <w:rsid w:val="00384AC9"/>
    <w:rsid w:val="0039509E"/>
    <w:rsid w:val="003A3592"/>
    <w:rsid w:val="003A3F48"/>
    <w:rsid w:val="003A7828"/>
    <w:rsid w:val="003B38FC"/>
    <w:rsid w:val="003B4E03"/>
    <w:rsid w:val="003C0889"/>
    <w:rsid w:val="003C428C"/>
    <w:rsid w:val="003C68C2"/>
    <w:rsid w:val="003D1692"/>
    <w:rsid w:val="003D7A96"/>
    <w:rsid w:val="003E27DF"/>
    <w:rsid w:val="003E2C1A"/>
    <w:rsid w:val="003F699C"/>
    <w:rsid w:val="004035B6"/>
    <w:rsid w:val="00404339"/>
    <w:rsid w:val="004255DA"/>
    <w:rsid w:val="004321FE"/>
    <w:rsid w:val="004356FF"/>
    <w:rsid w:val="00453681"/>
    <w:rsid w:val="00462E91"/>
    <w:rsid w:val="00467FD0"/>
    <w:rsid w:val="0047040F"/>
    <w:rsid w:val="0047705B"/>
    <w:rsid w:val="0048013F"/>
    <w:rsid w:val="00491F01"/>
    <w:rsid w:val="004C0687"/>
    <w:rsid w:val="004C1A13"/>
    <w:rsid w:val="004C39F4"/>
    <w:rsid w:val="004D6641"/>
    <w:rsid w:val="004E48DB"/>
    <w:rsid w:val="00523E8B"/>
    <w:rsid w:val="00530EEE"/>
    <w:rsid w:val="00537675"/>
    <w:rsid w:val="005419E8"/>
    <w:rsid w:val="005536C9"/>
    <w:rsid w:val="00567BDE"/>
    <w:rsid w:val="00570437"/>
    <w:rsid w:val="0057509C"/>
    <w:rsid w:val="00583322"/>
    <w:rsid w:val="005B024A"/>
    <w:rsid w:val="005C05FE"/>
    <w:rsid w:val="005C487A"/>
    <w:rsid w:val="005F5449"/>
    <w:rsid w:val="006113E0"/>
    <w:rsid w:val="0061449B"/>
    <w:rsid w:val="00615BFE"/>
    <w:rsid w:val="00623C68"/>
    <w:rsid w:val="00623DF2"/>
    <w:rsid w:val="0063494D"/>
    <w:rsid w:val="00635D95"/>
    <w:rsid w:val="0065464A"/>
    <w:rsid w:val="00664715"/>
    <w:rsid w:val="006A7270"/>
    <w:rsid w:val="006B09D6"/>
    <w:rsid w:val="006C0950"/>
    <w:rsid w:val="006C0D05"/>
    <w:rsid w:val="006C1338"/>
    <w:rsid w:val="006C7DEF"/>
    <w:rsid w:val="006D0416"/>
    <w:rsid w:val="006D5245"/>
    <w:rsid w:val="006F1DCC"/>
    <w:rsid w:val="00702AAA"/>
    <w:rsid w:val="00706C0B"/>
    <w:rsid w:val="00711538"/>
    <w:rsid w:val="00712BDB"/>
    <w:rsid w:val="00756A7F"/>
    <w:rsid w:val="00774195"/>
    <w:rsid w:val="007816DB"/>
    <w:rsid w:val="0078191A"/>
    <w:rsid w:val="007A3B1C"/>
    <w:rsid w:val="007C6F5C"/>
    <w:rsid w:val="007D5D99"/>
    <w:rsid w:val="007E1FDE"/>
    <w:rsid w:val="007F473F"/>
    <w:rsid w:val="007F5044"/>
    <w:rsid w:val="00800BBD"/>
    <w:rsid w:val="008015FA"/>
    <w:rsid w:val="00833348"/>
    <w:rsid w:val="008359D0"/>
    <w:rsid w:val="008601C2"/>
    <w:rsid w:val="00870E42"/>
    <w:rsid w:val="00882B87"/>
    <w:rsid w:val="008B5FF9"/>
    <w:rsid w:val="008B7A42"/>
    <w:rsid w:val="008C11FA"/>
    <w:rsid w:val="008E0C7D"/>
    <w:rsid w:val="008E5AB3"/>
    <w:rsid w:val="008F2AE2"/>
    <w:rsid w:val="008F4ECE"/>
    <w:rsid w:val="008F6F38"/>
    <w:rsid w:val="00905497"/>
    <w:rsid w:val="00907514"/>
    <w:rsid w:val="009163FB"/>
    <w:rsid w:val="00924CD4"/>
    <w:rsid w:val="0092732D"/>
    <w:rsid w:val="009313E3"/>
    <w:rsid w:val="00936681"/>
    <w:rsid w:val="00950341"/>
    <w:rsid w:val="009944D8"/>
    <w:rsid w:val="009B016E"/>
    <w:rsid w:val="009B7186"/>
    <w:rsid w:val="009D3AA7"/>
    <w:rsid w:val="009F3834"/>
    <w:rsid w:val="009F3D42"/>
    <w:rsid w:val="00A02F2F"/>
    <w:rsid w:val="00A23B4C"/>
    <w:rsid w:val="00A358C8"/>
    <w:rsid w:val="00A45AEA"/>
    <w:rsid w:val="00A47F8E"/>
    <w:rsid w:val="00A56FA7"/>
    <w:rsid w:val="00A65A52"/>
    <w:rsid w:val="00A7369D"/>
    <w:rsid w:val="00AA66FC"/>
    <w:rsid w:val="00AB64F9"/>
    <w:rsid w:val="00AB74AD"/>
    <w:rsid w:val="00AD0618"/>
    <w:rsid w:val="00AD488E"/>
    <w:rsid w:val="00AD68C7"/>
    <w:rsid w:val="00AE62E8"/>
    <w:rsid w:val="00AE760D"/>
    <w:rsid w:val="00B00CCB"/>
    <w:rsid w:val="00B01F14"/>
    <w:rsid w:val="00B05C07"/>
    <w:rsid w:val="00B10B2F"/>
    <w:rsid w:val="00B1318F"/>
    <w:rsid w:val="00B232AD"/>
    <w:rsid w:val="00B2607B"/>
    <w:rsid w:val="00B4356B"/>
    <w:rsid w:val="00B542D1"/>
    <w:rsid w:val="00B55589"/>
    <w:rsid w:val="00B677E4"/>
    <w:rsid w:val="00B86A89"/>
    <w:rsid w:val="00B93755"/>
    <w:rsid w:val="00BA35F2"/>
    <w:rsid w:val="00BA51CC"/>
    <w:rsid w:val="00BB293F"/>
    <w:rsid w:val="00BB7DB1"/>
    <w:rsid w:val="00BC220E"/>
    <w:rsid w:val="00BD10E9"/>
    <w:rsid w:val="00BD340B"/>
    <w:rsid w:val="00BF2935"/>
    <w:rsid w:val="00BF6463"/>
    <w:rsid w:val="00C10788"/>
    <w:rsid w:val="00C133B4"/>
    <w:rsid w:val="00C221BD"/>
    <w:rsid w:val="00C33A4E"/>
    <w:rsid w:val="00C362BF"/>
    <w:rsid w:val="00C43433"/>
    <w:rsid w:val="00C8331B"/>
    <w:rsid w:val="00CB1F43"/>
    <w:rsid w:val="00D03876"/>
    <w:rsid w:val="00D05124"/>
    <w:rsid w:val="00D055C3"/>
    <w:rsid w:val="00D0576E"/>
    <w:rsid w:val="00D064DD"/>
    <w:rsid w:val="00D121AD"/>
    <w:rsid w:val="00D17398"/>
    <w:rsid w:val="00D237E2"/>
    <w:rsid w:val="00D567CB"/>
    <w:rsid w:val="00D627D4"/>
    <w:rsid w:val="00D702F4"/>
    <w:rsid w:val="00D72584"/>
    <w:rsid w:val="00D76188"/>
    <w:rsid w:val="00D8152B"/>
    <w:rsid w:val="00D95AF2"/>
    <w:rsid w:val="00DA3BBC"/>
    <w:rsid w:val="00DA5F56"/>
    <w:rsid w:val="00DB148C"/>
    <w:rsid w:val="00DB759D"/>
    <w:rsid w:val="00DD6808"/>
    <w:rsid w:val="00DD6ECC"/>
    <w:rsid w:val="00DE3948"/>
    <w:rsid w:val="00DF1EBC"/>
    <w:rsid w:val="00DF32E5"/>
    <w:rsid w:val="00E1046A"/>
    <w:rsid w:val="00E161EE"/>
    <w:rsid w:val="00E16513"/>
    <w:rsid w:val="00E21EB0"/>
    <w:rsid w:val="00E22588"/>
    <w:rsid w:val="00E303BD"/>
    <w:rsid w:val="00E51E93"/>
    <w:rsid w:val="00E63D3E"/>
    <w:rsid w:val="00E73441"/>
    <w:rsid w:val="00E86B73"/>
    <w:rsid w:val="00EB7430"/>
    <w:rsid w:val="00ED37E9"/>
    <w:rsid w:val="00EE3327"/>
    <w:rsid w:val="00F32AD3"/>
    <w:rsid w:val="00F3625B"/>
    <w:rsid w:val="00F75D2B"/>
    <w:rsid w:val="00F80047"/>
    <w:rsid w:val="00F80E0C"/>
    <w:rsid w:val="00F842C3"/>
    <w:rsid w:val="00F92235"/>
    <w:rsid w:val="00FB7ECF"/>
    <w:rsid w:val="00FC670D"/>
    <w:rsid w:val="00FD377D"/>
    <w:rsid w:val="00FE58C5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7AA49-3FF6-4D92-9ABE-9F2FD43F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A13"/>
    <w:pPr>
      <w:spacing w:after="160" w:line="259" w:lineRule="auto"/>
    </w:pPr>
    <w:rPr>
      <w:rFonts w:eastAsia="Times New Roman"/>
      <w:sz w:val="22"/>
      <w:szCs w:val="22"/>
      <w:lang w:val="uk-UA"/>
    </w:rPr>
  </w:style>
  <w:style w:type="paragraph" w:styleId="3">
    <w:name w:val="heading 3"/>
    <w:basedOn w:val="a"/>
    <w:link w:val="30"/>
    <w:uiPriority w:val="9"/>
    <w:qFormat/>
    <w:locked/>
    <w:rsid w:val="00236F7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7398"/>
    <w:rPr>
      <w:rFonts w:ascii="Times New Roman" w:hAnsi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B6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locked/>
    <w:rsid w:val="00B677E4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a"/>
    <w:rsid w:val="0011712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rsid w:val="00F842C3"/>
  </w:style>
  <w:style w:type="paragraph" w:styleId="a6">
    <w:name w:val="Normal (Web)"/>
    <w:basedOn w:val="a"/>
    <w:uiPriority w:val="99"/>
    <w:unhideWhenUsed/>
    <w:rsid w:val="00F842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link w:val="3"/>
    <w:uiPriority w:val="9"/>
    <w:rsid w:val="00236F73"/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330F53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330F53"/>
    <w:rPr>
      <w:rFonts w:eastAsia="Times New Roman"/>
      <w:sz w:val="22"/>
      <w:szCs w:val="22"/>
      <w:lang w:eastAsia="en-US"/>
    </w:rPr>
  </w:style>
  <w:style w:type="paragraph" w:styleId="a9">
    <w:name w:val="footer"/>
    <w:basedOn w:val="a"/>
    <w:link w:val="aa"/>
    <w:rsid w:val="00330F5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rsid w:val="00330F5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DD3D-6895-4597-8A6C-10C39405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2578</Words>
  <Characters>14699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Порівняльна таблиця до проекту Змін до Положення про порядок звітування депозитарними установами до Національної комісії з цінних паперів та фондового ринку , затвердженого рішенням Національної комісії з цінних паперів та фондового ринку від 11</vt:lpstr>
      <vt:lpstr>Порівняльна таблиця до проекту Змін до Положення про порядок звітування депозитарними установами до Національної комісії з цінних паперів та фондового ринку , затвердженого рішенням Національної комісії з цінних паперів та фондового ринку від 11</vt:lpstr>
    </vt:vector>
  </TitlesOfParts>
  <Company>NSSMC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 до проекту Змін до Положення про порядок звітування депозитарними установами до Національної комісії з цінних паперів та фондового ринку , затвердженого рішенням Національної комісії з цінних паперів та фондового ринку від 11</dc:title>
  <dc:subject/>
  <dc:creator>Нінель Черноморченко</dc:creator>
  <cp:keywords/>
  <dc:description/>
  <cp:lastModifiedBy>Руслан Кисляк</cp:lastModifiedBy>
  <cp:revision>2</cp:revision>
  <cp:lastPrinted>2019-09-20T13:30:00Z</cp:lastPrinted>
  <dcterms:created xsi:type="dcterms:W3CDTF">2019-10-18T09:07:00Z</dcterms:created>
  <dcterms:modified xsi:type="dcterms:W3CDTF">2019-10-18T09:07:00Z</dcterms:modified>
</cp:coreProperties>
</file>